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Look w:val="04A0" w:firstRow="1" w:lastRow="0" w:firstColumn="1" w:lastColumn="0" w:noHBand="0" w:noVBand="1"/>
      </w:tblPr>
      <w:tblGrid>
        <w:gridCol w:w="1626"/>
        <w:gridCol w:w="7446"/>
      </w:tblGrid>
      <w:tr w:rsidR="00D92CE6" w:rsidRPr="00D92CE6" w14:paraId="6C3B1637" w14:textId="77777777" w:rsidTr="009C5352">
        <w:trPr>
          <w:trHeight w:val="1134"/>
        </w:trPr>
        <w:tc>
          <w:tcPr>
            <w:tcW w:w="844" w:type="pct"/>
            <w:tcBorders>
              <w:top w:val="single" w:sz="12" w:space="0" w:color="C00000"/>
              <w:left w:val="nil"/>
              <w:bottom w:val="single" w:sz="12" w:space="0" w:color="C00000"/>
              <w:right w:val="nil"/>
            </w:tcBorders>
            <w:vAlign w:val="center"/>
          </w:tcPr>
          <w:p w14:paraId="053CA784" w14:textId="77777777" w:rsidR="00D92CE6" w:rsidRPr="00D92CE6" w:rsidRDefault="00D92CE6" w:rsidP="00D92CE6">
            <w:pPr>
              <w:spacing w:line="240" w:lineRule="auto"/>
              <w:jc w:val="center"/>
              <w:rPr>
                <w:rFonts w:ascii="Times New Roman" w:eastAsia="Times New Roman" w:hAnsi="Times New Roman" w:cs="Times New Roman"/>
                <w:sz w:val="28"/>
                <w:szCs w:val="28"/>
                <w:lang w:eastAsia="en-US"/>
              </w:rPr>
            </w:pPr>
            <w:r w:rsidRPr="00D92CE6">
              <w:rPr>
                <w:rFonts w:ascii="Calibri" w:eastAsia="Times New Roman" w:hAnsi="Calibri" w:cs="Times New Roman"/>
                <w:noProof/>
                <w:sz w:val="24"/>
                <w:szCs w:val="24"/>
                <w:lang w:eastAsia="en-US"/>
              </w:rPr>
              <w:drawing>
                <wp:inline distT="0" distB="0" distL="0" distR="0" wp14:anchorId="31D02C39" wp14:editId="1A3D6472">
                  <wp:extent cx="885825" cy="885825"/>
                  <wp:effectExtent l="0" t="0" r="9525" b="9525"/>
                  <wp:docPr id="1262923420" name="Picture 1" descr="A red circle with a white let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white letter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156" w:type="pct"/>
            <w:tcBorders>
              <w:top w:val="single" w:sz="12" w:space="0" w:color="C00000"/>
              <w:left w:val="nil"/>
              <w:bottom w:val="single" w:sz="12" w:space="0" w:color="C00000"/>
              <w:right w:val="nil"/>
            </w:tcBorders>
            <w:vAlign w:val="center"/>
          </w:tcPr>
          <w:p w14:paraId="02F32DA0" w14:textId="77777777" w:rsidR="00D92CE6" w:rsidRPr="00D92CE6" w:rsidRDefault="00D92CE6" w:rsidP="00D92CE6">
            <w:pPr>
              <w:spacing w:line="360" w:lineRule="auto"/>
              <w:jc w:val="both"/>
              <w:rPr>
                <w:rFonts w:ascii="Times New Roman" w:eastAsia="Times New Roman" w:hAnsi="Times New Roman" w:cs="Times New Roman"/>
                <w:sz w:val="24"/>
                <w:szCs w:val="24"/>
                <w:lang w:eastAsia="en-US"/>
              </w:rPr>
            </w:pPr>
            <w:r w:rsidRPr="00D92CE6">
              <w:rPr>
                <w:rFonts w:ascii="Times New Roman" w:eastAsia="Times New Roman" w:hAnsi="Times New Roman" w:cs="Times New Roman"/>
                <w:sz w:val="24"/>
                <w:szCs w:val="24"/>
                <w:lang w:eastAsia="en-US"/>
              </w:rPr>
              <w:t xml:space="preserve">Supplementary material for </w:t>
            </w:r>
          </w:p>
          <w:p w14:paraId="462A0F38" w14:textId="269D88E0" w:rsidR="00D92CE6" w:rsidRPr="00D92CE6" w:rsidRDefault="00C23AC8" w:rsidP="00D92CE6">
            <w:pPr>
              <w:spacing w:line="360" w:lineRule="auto"/>
              <w:contextualSpacing/>
              <w:rPr>
                <w:rFonts w:ascii="Times New Roman" w:eastAsia="Times New Roman" w:hAnsi="Times New Roman" w:cs="Times New Roman"/>
                <w:b/>
                <w:bCs/>
                <w:sz w:val="24"/>
                <w:szCs w:val="24"/>
                <w:lang w:eastAsia="en-US"/>
              </w:rPr>
            </w:pPr>
            <w:r w:rsidRPr="00C23AC8">
              <w:rPr>
                <w:rFonts w:ascii="Times New Roman" w:eastAsia="Times New Roman" w:hAnsi="Times New Roman" w:cs="Times New Roman"/>
                <w:smallCaps/>
                <w:sz w:val="24"/>
                <w:szCs w:val="24"/>
                <w:lang w:eastAsia="en-US"/>
              </w:rPr>
              <w:t>Blanchard</w:t>
            </w:r>
            <w:r>
              <w:rPr>
                <w:rFonts w:ascii="Times New Roman" w:eastAsia="Times New Roman" w:hAnsi="Times New Roman" w:cs="Times New Roman"/>
                <w:smallCaps/>
                <w:sz w:val="24"/>
                <w:szCs w:val="24"/>
                <w:lang w:eastAsia="en-US"/>
              </w:rPr>
              <w:t>, A.</w:t>
            </w:r>
            <w:r w:rsidRPr="00C23AC8">
              <w:rPr>
                <w:rFonts w:ascii="Times New Roman" w:eastAsia="Times New Roman" w:hAnsi="Times New Roman" w:cs="Times New Roman"/>
                <w:smallCaps/>
                <w:sz w:val="24"/>
                <w:szCs w:val="24"/>
                <w:lang w:eastAsia="en-US"/>
              </w:rPr>
              <w:t>, J</w:t>
            </w:r>
            <w:r w:rsidR="00FA597C">
              <w:rPr>
                <w:rFonts w:ascii="Times New Roman" w:eastAsia="Times New Roman" w:hAnsi="Times New Roman" w:cs="Times New Roman"/>
                <w:smallCaps/>
                <w:sz w:val="24"/>
                <w:szCs w:val="24"/>
                <w:lang w:eastAsia="en-US"/>
              </w:rPr>
              <w:t>.-</w:t>
            </w:r>
            <w:r w:rsidRPr="00C23AC8">
              <w:rPr>
                <w:rFonts w:ascii="Times New Roman" w:eastAsia="Times New Roman" w:hAnsi="Times New Roman" w:cs="Times New Roman"/>
                <w:smallCaps/>
                <w:sz w:val="24"/>
                <w:szCs w:val="24"/>
                <w:lang w:eastAsia="en-US"/>
              </w:rPr>
              <w:t>N</w:t>
            </w:r>
            <w:r w:rsidR="00FA597C">
              <w:rPr>
                <w:rFonts w:ascii="Times New Roman" w:eastAsia="Times New Roman" w:hAnsi="Times New Roman" w:cs="Times New Roman"/>
                <w:smallCaps/>
                <w:sz w:val="24"/>
                <w:szCs w:val="24"/>
                <w:lang w:eastAsia="en-US"/>
              </w:rPr>
              <w:t>.</w:t>
            </w:r>
            <w:r w:rsidRPr="00C23AC8">
              <w:rPr>
                <w:rFonts w:ascii="Times New Roman" w:eastAsia="Times New Roman" w:hAnsi="Times New Roman" w:cs="Times New Roman"/>
                <w:smallCaps/>
                <w:sz w:val="24"/>
                <w:szCs w:val="24"/>
                <w:lang w:eastAsia="en-US"/>
              </w:rPr>
              <w:t xml:space="preserve"> Guyodo, B</w:t>
            </w:r>
            <w:r w:rsidR="00FA597C">
              <w:rPr>
                <w:rFonts w:ascii="Times New Roman" w:eastAsia="Times New Roman" w:hAnsi="Times New Roman" w:cs="Times New Roman"/>
                <w:smallCaps/>
                <w:sz w:val="24"/>
                <w:szCs w:val="24"/>
                <w:lang w:eastAsia="en-US"/>
              </w:rPr>
              <w:t>.</w:t>
            </w:r>
            <w:r w:rsidRPr="00C23AC8">
              <w:rPr>
                <w:rFonts w:ascii="Times New Roman" w:eastAsia="Times New Roman" w:hAnsi="Times New Roman" w:cs="Times New Roman"/>
                <w:smallCaps/>
                <w:sz w:val="24"/>
                <w:szCs w:val="24"/>
                <w:lang w:eastAsia="en-US"/>
              </w:rPr>
              <w:t xml:space="preserve"> Schulz Paulsson &amp; F</w:t>
            </w:r>
            <w:r w:rsidR="00FA597C">
              <w:rPr>
                <w:rFonts w:ascii="Times New Roman" w:eastAsia="Times New Roman" w:hAnsi="Times New Roman" w:cs="Times New Roman"/>
                <w:smallCaps/>
                <w:sz w:val="24"/>
                <w:szCs w:val="24"/>
                <w:lang w:eastAsia="en-US"/>
              </w:rPr>
              <w:t>.</w:t>
            </w:r>
            <w:r w:rsidRPr="00C23AC8">
              <w:rPr>
                <w:rFonts w:ascii="Times New Roman" w:eastAsia="Times New Roman" w:hAnsi="Times New Roman" w:cs="Times New Roman"/>
                <w:smallCaps/>
                <w:sz w:val="24"/>
                <w:szCs w:val="24"/>
                <w:lang w:eastAsia="en-US"/>
              </w:rPr>
              <w:t xml:space="preserve"> Montassier</w:t>
            </w:r>
            <w:r w:rsidR="00D92CE6" w:rsidRPr="00D92CE6">
              <w:rPr>
                <w:rFonts w:ascii="Times New Roman" w:eastAsia="Times New Roman" w:hAnsi="Times New Roman" w:cs="Times New Roman"/>
                <w:sz w:val="24"/>
                <w:szCs w:val="24"/>
                <w:lang w:eastAsia="en-US"/>
              </w:rPr>
              <w:t>. 2025.</w:t>
            </w:r>
            <w:r w:rsidR="00D92CE6" w:rsidRPr="00D92CE6">
              <w:rPr>
                <w:rFonts w:ascii="Times New Roman" w:eastAsia="Times New Roman" w:hAnsi="Times New Roman" w:cs="Times New Roman"/>
                <w:b/>
                <w:bCs/>
                <w:sz w:val="24"/>
                <w:szCs w:val="24"/>
                <w:lang w:eastAsia="en-US"/>
              </w:rPr>
              <w:t xml:space="preserve"> </w:t>
            </w:r>
            <w:r w:rsidR="003562F2" w:rsidRPr="003562F2">
              <w:rPr>
                <w:rFonts w:ascii="Times New Roman" w:eastAsia="Times New Roman" w:hAnsi="Times New Roman" w:cs="Times New Roman"/>
                <w:b/>
                <w:bCs/>
                <w:sz w:val="24"/>
                <w:szCs w:val="24"/>
                <w:lang w:val="en-US" w:eastAsia="en-US"/>
              </w:rPr>
              <w:t>Le Plasker in Plouharnel (fifth millennium cal BC): a newly discovered section of the megalithic complex of Carnac</w:t>
            </w:r>
            <w:r w:rsidR="00D92CE6" w:rsidRPr="00D92CE6">
              <w:rPr>
                <w:rFonts w:ascii="Times New Roman" w:eastAsia="Times New Roman" w:hAnsi="Times New Roman" w:cs="Times New Roman"/>
                <w:b/>
                <w:bCs/>
                <w:sz w:val="24"/>
                <w:szCs w:val="24"/>
                <w:lang w:eastAsia="en-US"/>
              </w:rPr>
              <w:t xml:space="preserve">. </w:t>
            </w:r>
            <w:r w:rsidR="00D92CE6" w:rsidRPr="00D92CE6">
              <w:rPr>
                <w:rFonts w:ascii="Times New Roman" w:eastAsia="Times New Roman" w:hAnsi="Times New Roman" w:cs="Times New Roman"/>
                <w:i/>
                <w:iCs/>
                <w:sz w:val="24"/>
                <w:szCs w:val="24"/>
                <w:lang w:eastAsia="en-US"/>
              </w:rPr>
              <w:t>Antiquity</w:t>
            </w:r>
            <w:r w:rsidR="00D92CE6" w:rsidRPr="00D92CE6">
              <w:rPr>
                <w:rFonts w:ascii="Times New Roman" w:eastAsia="Times New Roman" w:hAnsi="Times New Roman" w:cs="Times New Roman"/>
                <w:sz w:val="24"/>
                <w:szCs w:val="24"/>
                <w:lang w:eastAsia="en-US"/>
              </w:rPr>
              <w:t xml:space="preserve"> 99.</w:t>
            </w:r>
          </w:p>
          <w:p w14:paraId="5696A4BF" w14:textId="64B2F4F9" w:rsidR="00D92CE6" w:rsidRPr="00D92CE6" w:rsidRDefault="00D92CE6" w:rsidP="00D92CE6">
            <w:pPr>
              <w:spacing w:line="360" w:lineRule="auto"/>
              <w:rPr>
                <w:rFonts w:ascii="Times New Roman" w:eastAsia="Times New Roman" w:hAnsi="Times New Roman" w:cs="Times New Roman"/>
                <w:b/>
                <w:bCs/>
                <w:sz w:val="24"/>
                <w:szCs w:val="24"/>
                <w:lang w:eastAsia="en-US"/>
              </w:rPr>
            </w:pPr>
            <w:r w:rsidRPr="00D92CE6">
              <w:rPr>
                <w:rFonts w:ascii="Times New Roman" w:eastAsia="Times New Roman" w:hAnsi="Times New Roman" w:cs="Times New Roman"/>
                <w:sz w:val="24"/>
                <w:szCs w:val="24"/>
                <w:lang w:eastAsia="en-US"/>
              </w:rPr>
              <w:t xml:space="preserve">Author for correspondence </w:t>
            </w:r>
            <w:r w:rsidRPr="00D92CE6">
              <w:rPr>
                <w:rFonts w:ascii="Segoe UI Symbol" w:eastAsia="Arial Unicode MS" w:hAnsi="Segoe UI Symbol" w:cs="Segoe UI Symbol"/>
                <w:color w:val="000000"/>
                <w:sz w:val="24"/>
                <w:szCs w:val="24"/>
                <w:bdr w:val="nil"/>
                <w:lang w:eastAsia="en-US"/>
              </w:rPr>
              <w:t>✉</w:t>
            </w:r>
            <w:r w:rsidRPr="00D92CE6">
              <w:rPr>
                <w:rFonts w:ascii="Times New Roman" w:eastAsia="Arial Unicode MS" w:hAnsi="Times New Roman" w:cs="Times New Roman"/>
                <w:color w:val="000000"/>
                <w:sz w:val="24"/>
                <w:szCs w:val="24"/>
                <w:bdr w:val="nil"/>
                <w:lang w:eastAsia="en-US"/>
              </w:rPr>
              <w:t xml:space="preserve"> </w:t>
            </w:r>
            <w:r w:rsidR="00F86EAA" w:rsidRPr="002A4017">
              <w:rPr>
                <w:rFonts w:ascii="Times New Roman" w:eastAsia="Arial Unicode MS" w:hAnsi="Times New Roman" w:cs="Times New Roman"/>
                <w:color w:val="000000"/>
                <w:sz w:val="24"/>
                <w:szCs w:val="24"/>
                <w:bdr w:val="nil"/>
                <w:lang w:eastAsia="en-GB"/>
              </w:rPr>
              <w:t>audrey.blanchard@</w:t>
            </w:r>
            <w:r w:rsidR="00F86EAA">
              <w:rPr>
                <w:rFonts w:ascii="Times New Roman" w:eastAsia="Arial Unicode MS" w:hAnsi="Times New Roman" w:cs="Times New Roman"/>
                <w:color w:val="000000"/>
                <w:sz w:val="24"/>
                <w:szCs w:val="24"/>
                <w:bdr w:val="nil"/>
                <w:lang w:eastAsia="en-GB"/>
              </w:rPr>
              <w:t>univ-nantes.fr</w:t>
            </w:r>
          </w:p>
        </w:tc>
      </w:tr>
    </w:tbl>
    <w:p w14:paraId="538B2564" w14:textId="77777777" w:rsidR="00A9755C" w:rsidRDefault="00A9755C" w:rsidP="00BB58B7">
      <w:pPr>
        <w:spacing w:after="0" w:line="360" w:lineRule="auto"/>
        <w:jc w:val="both"/>
        <w:rPr>
          <w:rFonts w:ascii="Times New Roman" w:hAnsi="Times New Roman" w:cs="Times New Roman"/>
          <w:sz w:val="24"/>
          <w:szCs w:val="24"/>
          <w:u w:val="single"/>
          <w:lang w:val="en-GB"/>
        </w:rPr>
      </w:pPr>
    </w:p>
    <w:p w14:paraId="04FD9D5B" w14:textId="77777777" w:rsidR="00A9755C" w:rsidRDefault="00A9755C" w:rsidP="00BB58B7">
      <w:pPr>
        <w:spacing w:after="0" w:line="360" w:lineRule="auto"/>
        <w:jc w:val="both"/>
        <w:rPr>
          <w:rFonts w:ascii="Times New Roman" w:hAnsi="Times New Roman" w:cs="Times New Roman"/>
          <w:sz w:val="24"/>
          <w:szCs w:val="24"/>
          <w:u w:val="single"/>
          <w:lang w:val="en-GB"/>
        </w:rPr>
      </w:pPr>
    </w:p>
    <w:p w14:paraId="0DAACD80" w14:textId="0498C1FC" w:rsidR="00BB58B7" w:rsidRPr="00C60108" w:rsidRDefault="00531CCE" w:rsidP="00F7354B">
      <w:pPr>
        <w:spacing w:after="0" w:line="360" w:lineRule="auto"/>
        <w:rPr>
          <w:rFonts w:ascii="Times New Roman" w:hAnsi="Times New Roman" w:cs="Times New Roman"/>
          <w:sz w:val="24"/>
          <w:szCs w:val="24"/>
          <w:u w:val="single"/>
          <w:lang w:val="en-GB"/>
        </w:rPr>
      </w:pPr>
      <w:r>
        <w:rPr>
          <w:rFonts w:ascii="Times New Roman" w:hAnsi="Times New Roman" w:cs="Times New Roman"/>
          <w:sz w:val="24"/>
          <w:szCs w:val="24"/>
          <w:u w:val="single"/>
          <w:lang w:val="en-GB"/>
        </w:rPr>
        <w:t>Supplementary information on methodology</w:t>
      </w:r>
    </w:p>
    <w:p w14:paraId="7A8F643F" w14:textId="77777777" w:rsidR="00BB58B7" w:rsidRPr="00C60108" w:rsidRDefault="00BB58B7" w:rsidP="00F7354B">
      <w:pPr>
        <w:spacing w:after="0" w:line="360" w:lineRule="auto"/>
        <w:rPr>
          <w:rFonts w:ascii="Times New Roman" w:hAnsi="Times New Roman" w:cs="Times New Roman"/>
          <w:sz w:val="24"/>
          <w:szCs w:val="24"/>
          <w:lang w:val="en-GB"/>
        </w:rPr>
      </w:pPr>
    </w:p>
    <w:p w14:paraId="1DED2349" w14:textId="6C9A67DC" w:rsidR="00145717" w:rsidRPr="00C60108" w:rsidRDefault="00145717" w:rsidP="00F7354B">
      <w:pPr>
        <w:spacing w:after="0" w:line="360" w:lineRule="auto"/>
        <w:rPr>
          <w:rFonts w:ascii="Times New Roman" w:hAnsi="Times New Roman" w:cs="Times New Roman"/>
          <w:sz w:val="24"/>
          <w:szCs w:val="24"/>
          <w:lang w:val="en-GB"/>
        </w:rPr>
      </w:pPr>
      <w:r w:rsidRPr="00C60108">
        <w:rPr>
          <w:rFonts w:ascii="Times New Roman" w:hAnsi="Times New Roman" w:cs="Times New Roman"/>
          <w:sz w:val="24"/>
          <w:szCs w:val="24"/>
          <w:lang w:val="en-GB"/>
        </w:rPr>
        <w:t xml:space="preserve">Stone architecture, both domestic and funerary, involves using a considerable amount of raw material (Blanchard </w:t>
      </w:r>
      <w:r w:rsidRPr="00C60108">
        <w:rPr>
          <w:rFonts w:ascii="Times New Roman" w:hAnsi="Times New Roman" w:cs="Times New Roman"/>
          <w:i/>
          <w:sz w:val="24"/>
          <w:szCs w:val="24"/>
          <w:lang w:val="en-GB"/>
        </w:rPr>
        <w:t>et al</w:t>
      </w:r>
      <w:r w:rsidRPr="00C60108">
        <w:rPr>
          <w:rFonts w:ascii="Times New Roman" w:hAnsi="Times New Roman" w:cs="Times New Roman"/>
          <w:sz w:val="24"/>
          <w:szCs w:val="24"/>
          <w:lang w:val="en-GB"/>
        </w:rPr>
        <w:t xml:space="preserve">. 2021). In recent years, geological and geomorphological methodologies have been refined to explore the management of stone resources including their provenance, type, exploitation and utilisation. These specialised studies aim to evaluate the geological opportunities within a radius of a few kilometres of a site and to reveal the interplay between builders and their mineral environment. Such studies include analysing the different ways that materials were exploited and used (Guyodo &amp; Mens 2013). </w:t>
      </w:r>
    </w:p>
    <w:p w14:paraId="2D6F682F" w14:textId="77777777" w:rsidR="00145717" w:rsidRPr="00C60108" w:rsidRDefault="00145717" w:rsidP="00F7354B">
      <w:pPr>
        <w:spacing w:after="0" w:line="360" w:lineRule="auto"/>
        <w:rPr>
          <w:rFonts w:ascii="Times New Roman" w:hAnsi="Times New Roman" w:cs="Times New Roman"/>
          <w:sz w:val="24"/>
          <w:szCs w:val="24"/>
          <w:lang w:val="en-GB"/>
        </w:rPr>
      </w:pPr>
    </w:p>
    <w:p w14:paraId="25FCA38D" w14:textId="16E8C6AE" w:rsidR="00145717" w:rsidRPr="00C60108" w:rsidRDefault="00145717" w:rsidP="00F7354B">
      <w:pPr>
        <w:spacing w:after="0" w:line="360" w:lineRule="auto"/>
        <w:rPr>
          <w:rFonts w:ascii="Times New Roman" w:hAnsi="Times New Roman" w:cs="Times New Roman"/>
          <w:sz w:val="24"/>
          <w:szCs w:val="24"/>
          <w:lang w:val="en-GB"/>
        </w:rPr>
      </w:pPr>
      <w:r w:rsidRPr="00C60108">
        <w:rPr>
          <w:rFonts w:ascii="Times New Roman" w:hAnsi="Times New Roman" w:cs="Times New Roman"/>
          <w:sz w:val="24"/>
          <w:szCs w:val="24"/>
          <w:lang w:val="en-GB"/>
        </w:rPr>
        <w:t xml:space="preserve">The methodology used in this study is based on a geomorphological reading of large-volume assemblages, such as the monoliths, standing stones and stelae of the Carnac region (Sellier 2023). It can also be standardised to apply to all architectural blocks and stone building types, as well as to accessible natural outcrops and surface quarries (Guyodo </w:t>
      </w:r>
      <w:r w:rsidRPr="00C60108">
        <w:rPr>
          <w:rFonts w:ascii="Times New Roman" w:hAnsi="Times New Roman" w:cs="Times New Roman"/>
          <w:i/>
          <w:sz w:val="24"/>
          <w:szCs w:val="24"/>
          <w:lang w:val="en-GB"/>
        </w:rPr>
        <w:t>et al.</w:t>
      </w:r>
      <w:r w:rsidRPr="00C60108">
        <w:rPr>
          <w:rFonts w:ascii="Times New Roman" w:hAnsi="Times New Roman" w:cs="Times New Roman"/>
          <w:sz w:val="24"/>
          <w:szCs w:val="24"/>
          <w:lang w:val="en-GB"/>
        </w:rPr>
        <w:t xml:space="preserve"> 2020). At the Le Plasker site, all blocks, from monoliths to rubble, were examined for evidence as to how they were produced, where they came from and how they might have been used. In particular, the study focused on extraction marks and evidence and observation of surface conditions, as well as of any traces of pre-megalithic or post-megalithic use. Alongside a study of the lithic assemblages, attempts were made to physically reassemble the monoliths.</w:t>
      </w:r>
    </w:p>
    <w:p w14:paraId="681B0ED8" w14:textId="77777777" w:rsidR="00145717" w:rsidRPr="00C60108" w:rsidRDefault="00145717" w:rsidP="00F7354B">
      <w:pPr>
        <w:spacing w:after="0" w:line="360" w:lineRule="auto"/>
        <w:rPr>
          <w:rFonts w:ascii="Times New Roman" w:hAnsi="Times New Roman" w:cs="Times New Roman"/>
          <w:sz w:val="24"/>
          <w:szCs w:val="24"/>
          <w:lang w:val="en-GB"/>
        </w:rPr>
      </w:pPr>
    </w:p>
    <w:p w14:paraId="714C7993" w14:textId="0BEAC8AE" w:rsidR="00145717" w:rsidRPr="00C60108" w:rsidRDefault="00145717" w:rsidP="00F7354B">
      <w:pPr>
        <w:spacing w:line="360" w:lineRule="auto"/>
        <w:rPr>
          <w:rFonts w:ascii="Times New Roman" w:hAnsi="Times New Roman" w:cs="Times New Roman"/>
          <w:sz w:val="24"/>
          <w:szCs w:val="24"/>
          <w:lang w:val="en-GB"/>
        </w:rPr>
      </w:pPr>
      <w:r w:rsidRPr="00C60108">
        <w:rPr>
          <w:rFonts w:ascii="Times New Roman" w:hAnsi="Times New Roman" w:cs="Times New Roman"/>
          <w:sz w:val="24"/>
          <w:szCs w:val="24"/>
          <w:lang w:val="en-GB"/>
        </w:rPr>
        <w:t>The funerary architecture was preserved in a thin layer. Micromorphological analyses were carried out on the cist and the sediments covering the construction in order to reconstruct its original shape. Sediment sample</w:t>
      </w:r>
      <w:r w:rsidR="00BB58B7" w:rsidRPr="00C60108">
        <w:rPr>
          <w:rFonts w:ascii="Times New Roman" w:hAnsi="Times New Roman" w:cs="Times New Roman"/>
          <w:sz w:val="24"/>
          <w:szCs w:val="24"/>
          <w:lang w:val="en-GB"/>
        </w:rPr>
        <w:t>s</w:t>
      </w:r>
      <w:r w:rsidRPr="00C60108">
        <w:rPr>
          <w:rFonts w:ascii="Times New Roman" w:hAnsi="Times New Roman" w:cs="Times New Roman"/>
          <w:sz w:val="24"/>
          <w:szCs w:val="24"/>
          <w:lang w:val="en-GB"/>
        </w:rPr>
        <w:t xml:space="preserve"> were taken from all the structures but neither ancient Neolithic levels, nor any classic domestic structures like postholes, were found.</w:t>
      </w:r>
    </w:p>
    <w:p w14:paraId="779DF52C" w14:textId="77777777" w:rsidR="00BB58B7" w:rsidRPr="00C60108" w:rsidRDefault="00BB58B7" w:rsidP="00F7354B">
      <w:pPr>
        <w:spacing w:line="360" w:lineRule="auto"/>
        <w:rPr>
          <w:rFonts w:ascii="Times New Roman" w:hAnsi="Times New Roman" w:cs="Times New Roman"/>
          <w:sz w:val="24"/>
          <w:szCs w:val="24"/>
          <w:lang w:val="en-GB"/>
        </w:rPr>
      </w:pPr>
    </w:p>
    <w:p w14:paraId="187B4F6D" w14:textId="77777777" w:rsidR="00883C0E" w:rsidRDefault="00883C0E" w:rsidP="00F7354B">
      <w:pPr>
        <w:spacing w:line="360" w:lineRule="auto"/>
        <w:rPr>
          <w:rFonts w:ascii="Times New Roman" w:hAnsi="Times New Roman" w:cs="Times New Roman"/>
          <w:b/>
          <w:bCs/>
          <w:sz w:val="24"/>
          <w:szCs w:val="24"/>
          <w:lang w:val="en-GB"/>
        </w:rPr>
      </w:pPr>
    </w:p>
    <w:p w14:paraId="2C91C4CE" w14:textId="47D6DA23" w:rsidR="00BB58B7" w:rsidRPr="00F86EAA" w:rsidRDefault="00BB58B7" w:rsidP="00F7354B">
      <w:pPr>
        <w:spacing w:line="360" w:lineRule="auto"/>
        <w:rPr>
          <w:rFonts w:ascii="Times New Roman" w:hAnsi="Times New Roman" w:cs="Times New Roman"/>
          <w:b/>
          <w:bCs/>
          <w:sz w:val="24"/>
          <w:szCs w:val="24"/>
          <w:lang w:val="en-GB"/>
        </w:rPr>
      </w:pPr>
      <w:r w:rsidRPr="00F86EAA">
        <w:rPr>
          <w:rFonts w:ascii="Times New Roman" w:hAnsi="Times New Roman" w:cs="Times New Roman"/>
          <w:b/>
          <w:bCs/>
          <w:sz w:val="24"/>
          <w:szCs w:val="24"/>
          <w:lang w:val="en-GB"/>
        </w:rPr>
        <w:lastRenderedPageBreak/>
        <w:t>References</w:t>
      </w:r>
    </w:p>
    <w:p w14:paraId="1A39BB65" w14:textId="77777777" w:rsidR="00BB58B7" w:rsidRPr="00C60108" w:rsidRDefault="00BB58B7" w:rsidP="00F7354B">
      <w:pPr>
        <w:pStyle w:val="BodyText"/>
        <w:spacing w:before="60" w:line="276" w:lineRule="auto"/>
        <w:ind w:right="0"/>
        <w:jc w:val="left"/>
        <w:rPr>
          <w:rFonts w:ascii="Times New Roman" w:hAnsi="Times New Roman"/>
          <w:szCs w:val="24"/>
        </w:rPr>
      </w:pPr>
      <w:r w:rsidRPr="00C60108">
        <w:rPr>
          <w:rFonts w:ascii="Times New Roman" w:hAnsi="Times New Roman"/>
          <w:smallCaps/>
          <w:szCs w:val="24"/>
        </w:rPr>
        <w:t>Blanchard</w:t>
      </w:r>
      <w:r w:rsidRPr="00C60108">
        <w:rPr>
          <w:rFonts w:ascii="Times New Roman" w:hAnsi="Times New Roman"/>
          <w:szCs w:val="24"/>
        </w:rPr>
        <w:t xml:space="preserve">, A., S. </w:t>
      </w:r>
      <w:r w:rsidRPr="00C60108">
        <w:rPr>
          <w:rFonts w:ascii="Times New Roman" w:hAnsi="Times New Roman"/>
          <w:smallCaps/>
          <w:szCs w:val="24"/>
        </w:rPr>
        <w:t>Cassen</w:t>
      </w:r>
      <w:r w:rsidRPr="00C60108">
        <w:rPr>
          <w:rFonts w:ascii="Times New Roman" w:hAnsi="Times New Roman"/>
          <w:szCs w:val="24"/>
        </w:rPr>
        <w:t xml:space="preserve"> &amp; J.N. </w:t>
      </w:r>
      <w:r w:rsidRPr="00C60108">
        <w:rPr>
          <w:rFonts w:ascii="Times New Roman" w:hAnsi="Times New Roman"/>
          <w:smallCaps/>
          <w:szCs w:val="24"/>
        </w:rPr>
        <w:t>Guyodo</w:t>
      </w:r>
      <w:r w:rsidRPr="00C60108">
        <w:rPr>
          <w:rFonts w:ascii="Times New Roman" w:hAnsi="Times New Roman"/>
          <w:szCs w:val="24"/>
        </w:rPr>
        <w:t xml:space="preserve">. 2021. </w:t>
      </w:r>
      <w:r w:rsidRPr="00C60108">
        <w:rPr>
          <w:rFonts w:ascii="Times New Roman" w:hAnsi="Times New Roman"/>
          <w:i/>
          <w:szCs w:val="24"/>
        </w:rPr>
        <w:t>Architectures néolithiques de l’île d’Yeu (Vendée)</w:t>
      </w:r>
      <w:r w:rsidRPr="00C60108">
        <w:rPr>
          <w:rFonts w:ascii="Times New Roman" w:hAnsi="Times New Roman"/>
          <w:szCs w:val="24"/>
        </w:rPr>
        <w:t>. Oxford: Archaeopress.</w:t>
      </w:r>
    </w:p>
    <w:p w14:paraId="63CCC1E7" w14:textId="77777777" w:rsidR="00BB58B7" w:rsidRPr="00C60108" w:rsidRDefault="00BB58B7" w:rsidP="00F7354B">
      <w:pPr>
        <w:pStyle w:val="BodyText"/>
        <w:spacing w:before="60" w:line="276" w:lineRule="auto"/>
        <w:ind w:right="0"/>
        <w:jc w:val="left"/>
        <w:rPr>
          <w:rFonts w:ascii="Times New Roman" w:hAnsi="Times New Roman"/>
          <w:szCs w:val="24"/>
        </w:rPr>
      </w:pPr>
    </w:p>
    <w:p w14:paraId="51D27167" w14:textId="5ED3169A" w:rsidR="00BB58B7" w:rsidRPr="00C60108" w:rsidRDefault="00BB58B7" w:rsidP="00F7354B">
      <w:pPr>
        <w:spacing w:after="0" w:line="360" w:lineRule="auto"/>
        <w:rPr>
          <w:rFonts w:ascii="Times New Roman" w:hAnsi="Times New Roman" w:cs="Times New Roman"/>
          <w:sz w:val="24"/>
          <w:szCs w:val="24"/>
        </w:rPr>
      </w:pPr>
      <w:r w:rsidRPr="00C60108">
        <w:rPr>
          <w:rFonts w:ascii="Times New Roman" w:hAnsi="Times New Roman" w:cs="Times New Roman"/>
          <w:smallCaps/>
          <w:sz w:val="24"/>
          <w:szCs w:val="24"/>
          <w:lang w:val="sv-SE"/>
        </w:rPr>
        <w:t>Guyodo,</w:t>
      </w:r>
      <w:r w:rsidRPr="00C60108">
        <w:rPr>
          <w:rFonts w:ascii="Times New Roman" w:hAnsi="Times New Roman" w:cs="Times New Roman"/>
          <w:sz w:val="24"/>
          <w:szCs w:val="24"/>
          <w:lang w:val="sv-SE"/>
        </w:rPr>
        <w:t xml:space="preserve"> J.N. &amp; E. </w:t>
      </w:r>
      <w:r w:rsidRPr="00C60108">
        <w:rPr>
          <w:rFonts w:ascii="Times New Roman" w:hAnsi="Times New Roman" w:cs="Times New Roman"/>
          <w:smallCaps/>
          <w:sz w:val="24"/>
          <w:szCs w:val="24"/>
          <w:lang w:val="sv-SE"/>
        </w:rPr>
        <w:t>Mens</w:t>
      </w:r>
      <w:r w:rsidRPr="00C60108">
        <w:rPr>
          <w:rFonts w:ascii="Times New Roman" w:hAnsi="Times New Roman" w:cs="Times New Roman"/>
          <w:sz w:val="24"/>
          <w:szCs w:val="24"/>
          <w:lang w:val="sv-SE"/>
        </w:rPr>
        <w:t xml:space="preserve">. 2013. </w:t>
      </w:r>
      <w:r w:rsidRPr="00C60108">
        <w:rPr>
          <w:rFonts w:ascii="Times New Roman" w:hAnsi="Times New Roman" w:cs="Times New Roman"/>
          <w:i/>
          <w:sz w:val="24"/>
          <w:szCs w:val="24"/>
        </w:rPr>
        <w:t>Les Premières architectures en pierre en Europe occidentale du Ve au IIe millénaire avant J.-C</w:t>
      </w:r>
      <w:r w:rsidRPr="00C60108">
        <w:rPr>
          <w:rFonts w:ascii="Times New Roman" w:hAnsi="Times New Roman" w:cs="Times New Roman"/>
          <w:sz w:val="24"/>
          <w:szCs w:val="24"/>
        </w:rPr>
        <w:t>. Rennes: Presses Universitaires</w:t>
      </w:r>
      <w:r w:rsidR="005B6250">
        <w:rPr>
          <w:rFonts w:ascii="Times New Roman" w:hAnsi="Times New Roman" w:cs="Times New Roman"/>
          <w:sz w:val="24"/>
          <w:szCs w:val="24"/>
        </w:rPr>
        <w:t xml:space="preserve"> de France</w:t>
      </w:r>
      <w:r w:rsidRPr="00C60108">
        <w:rPr>
          <w:rFonts w:ascii="Times New Roman" w:hAnsi="Times New Roman" w:cs="Times New Roman"/>
          <w:sz w:val="24"/>
          <w:szCs w:val="24"/>
        </w:rPr>
        <w:t>.</w:t>
      </w:r>
    </w:p>
    <w:p w14:paraId="0E5AF0BE" w14:textId="77777777" w:rsidR="00BB58B7" w:rsidRPr="00C60108" w:rsidRDefault="00BB58B7" w:rsidP="00F7354B">
      <w:pPr>
        <w:pStyle w:val="BodyText"/>
        <w:spacing w:before="60" w:line="276" w:lineRule="auto"/>
        <w:ind w:right="0"/>
        <w:jc w:val="left"/>
        <w:rPr>
          <w:rFonts w:ascii="Times New Roman" w:hAnsi="Times New Roman"/>
          <w:szCs w:val="24"/>
        </w:rPr>
      </w:pPr>
    </w:p>
    <w:p w14:paraId="2B3A88D7" w14:textId="406CCF6C" w:rsidR="00BB58B7" w:rsidRPr="00C60108" w:rsidRDefault="00BB58B7" w:rsidP="00F7354B">
      <w:pPr>
        <w:autoSpaceDE w:val="0"/>
        <w:autoSpaceDN w:val="0"/>
        <w:adjustRightInd w:val="0"/>
        <w:spacing w:after="0" w:line="360" w:lineRule="auto"/>
        <w:rPr>
          <w:rFonts w:ascii="Times New Roman" w:hAnsi="Times New Roman" w:cs="Times New Roman"/>
          <w:sz w:val="24"/>
          <w:szCs w:val="24"/>
          <w:lang w:val="en-US"/>
        </w:rPr>
      </w:pPr>
      <w:r w:rsidRPr="00C60108">
        <w:rPr>
          <w:rFonts w:ascii="Times New Roman" w:hAnsi="Times New Roman" w:cs="Times New Roman"/>
          <w:smallCaps/>
          <w:sz w:val="24"/>
          <w:szCs w:val="24"/>
          <w:shd w:val="clear" w:color="auto" w:fill="FFFFFF"/>
        </w:rPr>
        <w:t>Guyodo</w:t>
      </w:r>
      <w:r w:rsidRPr="00C60108">
        <w:rPr>
          <w:rFonts w:ascii="Times New Roman" w:hAnsi="Times New Roman" w:cs="Times New Roman"/>
          <w:sz w:val="24"/>
          <w:szCs w:val="24"/>
          <w:shd w:val="clear" w:color="auto" w:fill="FFFFFF"/>
        </w:rPr>
        <w:t xml:space="preserve">, J.N., A. </w:t>
      </w:r>
      <w:r w:rsidRPr="00C60108">
        <w:rPr>
          <w:rFonts w:ascii="Times New Roman" w:hAnsi="Times New Roman" w:cs="Times New Roman"/>
          <w:smallCaps/>
          <w:sz w:val="24"/>
          <w:szCs w:val="24"/>
          <w:shd w:val="clear" w:color="auto" w:fill="FFFFFF"/>
        </w:rPr>
        <w:t>Blanchard</w:t>
      </w:r>
      <w:r w:rsidRPr="00C60108">
        <w:rPr>
          <w:rFonts w:ascii="Times New Roman" w:hAnsi="Times New Roman" w:cs="Times New Roman"/>
          <w:sz w:val="24"/>
          <w:szCs w:val="24"/>
          <w:shd w:val="clear" w:color="auto" w:fill="FFFFFF"/>
        </w:rPr>
        <w:t xml:space="preserve"> &amp; L. </w:t>
      </w:r>
      <w:r w:rsidRPr="00C60108">
        <w:rPr>
          <w:rFonts w:ascii="Times New Roman" w:hAnsi="Times New Roman" w:cs="Times New Roman"/>
          <w:smallCaps/>
          <w:sz w:val="24"/>
          <w:szCs w:val="24"/>
          <w:shd w:val="clear" w:color="auto" w:fill="FFFFFF"/>
        </w:rPr>
        <w:t>Laporte</w:t>
      </w:r>
      <w:r w:rsidRPr="00C60108">
        <w:rPr>
          <w:rFonts w:ascii="Times New Roman" w:hAnsi="Times New Roman" w:cs="Times New Roman"/>
          <w:sz w:val="24"/>
          <w:szCs w:val="24"/>
          <w:shd w:val="clear" w:color="auto" w:fill="FFFFFF"/>
        </w:rPr>
        <w:t xml:space="preserve">. </w:t>
      </w:r>
      <w:r w:rsidRPr="00C60108">
        <w:rPr>
          <w:rFonts w:ascii="Times New Roman" w:hAnsi="Times New Roman" w:cs="Times New Roman"/>
          <w:sz w:val="24"/>
          <w:szCs w:val="24"/>
          <w:shd w:val="clear" w:color="auto" w:fill="FFFFFF"/>
          <w:lang w:val="en-US"/>
        </w:rPr>
        <w:t xml:space="preserve">2020. </w:t>
      </w:r>
      <w:r w:rsidRPr="00C60108">
        <w:rPr>
          <w:rFonts w:ascii="Times New Roman" w:hAnsi="Times New Roman" w:cs="Times New Roman"/>
          <w:sz w:val="24"/>
          <w:szCs w:val="24"/>
          <w:shd w:val="clear" w:color="auto" w:fill="FFFFFF"/>
          <w:lang w:val="en-GB"/>
        </w:rPr>
        <w:t>Stone architectures: entrances of Neolithic enclosures in Western France (5th</w:t>
      </w:r>
      <w:r w:rsidRPr="00C60108">
        <w:rPr>
          <w:rFonts w:ascii="Times New Roman" w:eastAsia="AGaramondPro-Regular" w:hAnsi="Times New Roman" w:cs="Times New Roman"/>
          <w:sz w:val="24"/>
          <w:szCs w:val="24"/>
          <w:lang w:val="en-US"/>
        </w:rPr>
        <w:t>–</w:t>
      </w:r>
      <w:r w:rsidRPr="00C60108">
        <w:rPr>
          <w:rFonts w:ascii="Times New Roman" w:hAnsi="Times New Roman" w:cs="Times New Roman"/>
          <w:sz w:val="24"/>
          <w:szCs w:val="24"/>
          <w:shd w:val="clear" w:color="auto" w:fill="FFFFFF"/>
          <w:lang w:val="en-GB"/>
        </w:rPr>
        <w:t>3rd mille</w:t>
      </w:r>
      <w:r w:rsidR="00F86EAA">
        <w:rPr>
          <w:rFonts w:ascii="Times New Roman" w:hAnsi="Times New Roman" w:cs="Times New Roman"/>
          <w:sz w:val="24"/>
          <w:szCs w:val="24"/>
          <w:shd w:val="clear" w:color="auto" w:fill="FFFFFF"/>
          <w:lang w:val="en-GB"/>
        </w:rPr>
        <w:t>n</w:t>
      </w:r>
      <w:r w:rsidRPr="00C60108">
        <w:rPr>
          <w:rFonts w:ascii="Times New Roman" w:hAnsi="Times New Roman" w:cs="Times New Roman"/>
          <w:sz w:val="24"/>
          <w:szCs w:val="24"/>
          <w:shd w:val="clear" w:color="auto" w:fill="FFFFFF"/>
          <w:lang w:val="en-GB"/>
        </w:rPr>
        <w:t>nium BC</w:t>
      </w:r>
      <w:r w:rsidRPr="00263AF0">
        <w:rPr>
          <w:rFonts w:ascii="Times New Roman" w:hAnsi="Times New Roman" w:cs="Times New Roman"/>
          <w:sz w:val="24"/>
          <w:szCs w:val="24"/>
          <w:shd w:val="clear" w:color="auto" w:fill="FFFFFF"/>
          <w:lang w:val="en-GB"/>
        </w:rPr>
        <w:t>), in F</w:t>
      </w:r>
      <w:r w:rsidRPr="00C60108">
        <w:rPr>
          <w:rFonts w:ascii="Times New Roman" w:hAnsi="Times New Roman" w:cs="Times New Roman"/>
          <w:sz w:val="24"/>
          <w:szCs w:val="24"/>
          <w:shd w:val="clear" w:color="auto" w:fill="FFFFFF"/>
          <w:lang w:val="en-GB"/>
        </w:rPr>
        <w:t xml:space="preserve">. Cousseau &amp; L. Laporte (ed.) </w:t>
      </w:r>
      <w:r w:rsidRPr="00C60108">
        <w:rPr>
          <w:rFonts w:ascii="Times New Roman" w:hAnsi="Times New Roman" w:cs="Times New Roman"/>
          <w:i/>
          <w:sz w:val="24"/>
          <w:szCs w:val="24"/>
          <w:lang w:val="en-GB"/>
        </w:rPr>
        <w:t>Pre and Protohistoric stone architectures. Comparisons of the social and technical contexts associated to their building</w:t>
      </w:r>
      <w:r w:rsidRPr="00C60108">
        <w:rPr>
          <w:rFonts w:ascii="Times New Roman" w:hAnsi="Times New Roman" w:cs="Times New Roman"/>
          <w:sz w:val="24"/>
          <w:szCs w:val="24"/>
          <w:lang w:val="en-GB"/>
        </w:rPr>
        <w:t>: 130</w:t>
      </w:r>
      <w:r w:rsidRPr="00C60108">
        <w:rPr>
          <w:rFonts w:ascii="Times New Roman" w:eastAsia="AGaramondPro-Regular" w:hAnsi="Times New Roman" w:cs="Times New Roman"/>
          <w:sz w:val="24"/>
          <w:szCs w:val="24"/>
          <w:lang w:val="en-US"/>
        </w:rPr>
        <w:t>–</w:t>
      </w:r>
      <w:r w:rsidRPr="00C60108">
        <w:rPr>
          <w:rFonts w:ascii="Times New Roman" w:hAnsi="Times New Roman" w:cs="Times New Roman"/>
          <w:sz w:val="24"/>
          <w:szCs w:val="24"/>
          <w:lang w:val="en-GB"/>
        </w:rPr>
        <w:t xml:space="preserve">43. </w:t>
      </w:r>
      <w:r w:rsidRPr="00C60108">
        <w:rPr>
          <w:rFonts w:ascii="Times New Roman" w:hAnsi="Times New Roman" w:cs="Times New Roman"/>
          <w:sz w:val="24"/>
          <w:szCs w:val="24"/>
          <w:lang w:val="en-US"/>
        </w:rPr>
        <w:t>Oxford: Archaeopress.</w:t>
      </w:r>
    </w:p>
    <w:p w14:paraId="45DB5F7B" w14:textId="77777777" w:rsidR="00BB58B7" w:rsidRPr="00C60108" w:rsidRDefault="00BB58B7" w:rsidP="00F7354B">
      <w:pPr>
        <w:spacing w:after="0" w:line="360" w:lineRule="auto"/>
        <w:rPr>
          <w:rFonts w:ascii="Times New Roman" w:hAnsi="Times New Roman" w:cs="Times New Roman"/>
          <w:smallCaps/>
          <w:sz w:val="24"/>
          <w:szCs w:val="24"/>
        </w:rPr>
      </w:pPr>
    </w:p>
    <w:p w14:paraId="5F7C8266" w14:textId="28B1E708" w:rsidR="00BB58B7" w:rsidRPr="00C60108" w:rsidRDefault="00BB58B7" w:rsidP="00F7354B">
      <w:pPr>
        <w:spacing w:after="0" w:line="360" w:lineRule="auto"/>
        <w:rPr>
          <w:rFonts w:ascii="Times New Roman" w:hAnsi="Times New Roman" w:cs="Times New Roman"/>
          <w:sz w:val="24"/>
          <w:szCs w:val="24"/>
        </w:rPr>
      </w:pPr>
      <w:r w:rsidRPr="00C60108">
        <w:rPr>
          <w:rFonts w:ascii="Times New Roman" w:hAnsi="Times New Roman" w:cs="Times New Roman"/>
          <w:smallCaps/>
          <w:sz w:val="24"/>
          <w:szCs w:val="24"/>
        </w:rPr>
        <w:t>Sellier, D</w:t>
      </w:r>
      <w:r w:rsidRPr="00C60108">
        <w:rPr>
          <w:rFonts w:ascii="Times New Roman" w:hAnsi="Times New Roman" w:cs="Times New Roman"/>
          <w:sz w:val="24"/>
          <w:szCs w:val="24"/>
        </w:rPr>
        <w:t xml:space="preserve">. 2023. </w:t>
      </w:r>
      <w:r w:rsidRPr="00C60108">
        <w:rPr>
          <w:rFonts w:ascii="Times New Roman" w:hAnsi="Times New Roman" w:cs="Times New Roman"/>
          <w:i/>
          <w:iCs/>
          <w:sz w:val="24"/>
          <w:szCs w:val="24"/>
        </w:rPr>
        <w:t>Les champs de menhirs du Pays de Carnac. Patrimoine archéologique et géomorphologique</w:t>
      </w:r>
      <w:r w:rsidRPr="00C60108">
        <w:rPr>
          <w:rFonts w:ascii="Times New Roman" w:hAnsi="Times New Roman" w:cs="Times New Roman"/>
          <w:sz w:val="24"/>
          <w:szCs w:val="24"/>
        </w:rPr>
        <w:t>. Rennes: Presses Universitaires</w:t>
      </w:r>
      <w:r w:rsidR="003E3EC4">
        <w:rPr>
          <w:rFonts w:ascii="Times New Roman" w:hAnsi="Times New Roman" w:cs="Times New Roman"/>
          <w:sz w:val="24"/>
          <w:szCs w:val="24"/>
        </w:rPr>
        <w:t xml:space="preserve"> de France</w:t>
      </w:r>
      <w:r w:rsidRPr="00C60108">
        <w:rPr>
          <w:rFonts w:ascii="Times New Roman" w:hAnsi="Times New Roman" w:cs="Times New Roman"/>
          <w:sz w:val="24"/>
          <w:szCs w:val="24"/>
        </w:rPr>
        <w:t>.</w:t>
      </w:r>
    </w:p>
    <w:p w14:paraId="46A37BD7" w14:textId="77777777" w:rsidR="00BB58B7" w:rsidRPr="00C60108" w:rsidRDefault="00BB58B7" w:rsidP="00F7354B">
      <w:pPr>
        <w:spacing w:after="0" w:line="360" w:lineRule="auto"/>
        <w:rPr>
          <w:rFonts w:ascii="Times New Roman" w:hAnsi="Times New Roman" w:cs="Times New Roman"/>
          <w:sz w:val="24"/>
          <w:szCs w:val="24"/>
          <w:u w:val="single"/>
        </w:rPr>
      </w:pPr>
      <w:r w:rsidRPr="00C60108">
        <w:rPr>
          <w:rFonts w:ascii="Times New Roman" w:hAnsi="Times New Roman" w:cs="Times New Roman"/>
          <w:sz w:val="24"/>
          <w:szCs w:val="24"/>
          <w:u w:val="single"/>
        </w:rPr>
        <w:br w:type="page"/>
      </w:r>
    </w:p>
    <w:p w14:paraId="19940B26" w14:textId="7B1AAEFD" w:rsidR="00BB58B7" w:rsidRPr="00C60108" w:rsidRDefault="009C18C1" w:rsidP="00F7354B">
      <w:pPr>
        <w:pStyle w:val="BodyText"/>
        <w:spacing w:before="60" w:line="276" w:lineRule="auto"/>
        <w:ind w:right="0"/>
        <w:jc w:val="left"/>
        <w:rPr>
          <w:rFonts w:ascii="Times New Roman" w:hAnsi="Times New Roman"/>
          <w:szCs w:val="24"/>
        </w:rPr>
      </w:pPr>
      <w:r w:rsidRPr="00C60108">
        <w:rPr>
          <w:rFonts w:ascii="Times New Roman" w:hAnsi="Times New Roman"/>
          <w:noProof/>
          <w:szCs w:val="24"/>
          <w:u w:val="single"/>
          <w:lang w:val="en-GB"/>
        </w:rPr>
        <w:lastRenderedPageBreak/>
        <w:drawing>
          <wp:anchor distT="0" distB="0" distL="114300" distR="114300" simplePos="0" relativeHeight="251658240" behindDoc="0" locked="0" layoutInCell="1" allowOverlap="1" wp14:anchorId="5CE8D979" wp14:editId="49B81F70">
            <wp:simplePos x="0" y="0"/>
            <wp:positionH relativeFrom="margin">
              <wp:posOffset>495300</wp:posOffset>
            </wp:positionH>
            <wp:positionV relativeFrom="paragraph">
              <wp:posOffset>0</wp:posOffset>
            </wp:positionV>
            <wp:extent cx="4800600" cy="6562725"/>
            <wp:effectExtent l="0" t="0" r="0" b="9525"/>
            <wp:wrapTopAndBottom/>
            <wp:docPr id="1060369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0" cy="656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8C107" w14:textId="49F8A68F" w:rsidR="00BB58B7" w:rsidRPr="00FE4A72" w:rsidRDefault="00C60108" w:rsidP="00BB58B7">
      <w:pPr>
        <w:spacing w:line="360" w:lineRule="auto"/>
        <w:jc w:val="both"/>
        <w:rPr>
          <w:rFonts w:ascii="Times New Roman" w:hAnsi="Times New Roman" w:cs="Times New Roman"/>
          <w:i/>
          <w:iCs/>
          <w:sz w:val="24"/>
          <w:szCs w:val="24"/>
        </w:rPr>
      </w:pPr>
      <w:r w:rsidRPr="00FE4A72">
        <w:rPr>
          <w:rFonts w:ascii="Times New Roman" w:hAnsi="Times New Roman" w:cs="Times New Roman"/>
          <w:i/>
          <w:iCs/>
          <w:sz w:val="24"/>
          <w:szCs w:val="24"/>
        </w:rPr>
        <w:t xml:space="preserve">Figure S1. </w:t>
      </w:r>
      <w:r w:rsidR="00FE4A72" w:rsidRPr="00FE4A72">
        <w:rPr>
          <w:rFonts w:ascii="Times New Roman" w:hAnsi="Times New Roman" w:cs="Times New Roman"/>
          <w:i/>
          <w:iCs/>
          <w:sz w:val="24"/>
          <w:szCs w:val="24"/>
        </w:rPr>
        <w:t>Plan of Le Plasker with uncalibrated radiocarbon dates.</w:t>
      </w:r>
    </w:p>
    <w:sectPr w:rsidR="00BB58B7" w:rsidRPr="00FE4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GaramondPro-Regular">
    <w:altName w:val="Yu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17"/>
    <w:rsid w:val="00082C8C"/>
    <w:rsid w:val="00145717"/>
    <w:rsid w:val="001531DA"/>
    <w:rsid w:val="00263AF0"/>
    <w:rsid w:val="002F23AF"/>
    <w:rsid w:val="003148C0"/>
    <w:rsid w:val="003562F2"/>
    <w:rsid w:val="003E3EC4"/>
    <w:rsid w:val="00531CCE"/>
    <w:rsid w:val="005B6250"/>
    <w:rsid w:val="006514E3"/>
    <w:rsid w:val="00883C0E"/>
    <w:rsid w:val="009C18C1"/>
    <w:rsid w:val="00A6186F"/>
    <w:rsid w:val="00A9755C"/>
    <w:rsid w:val="00AB452D"/>
    <w:rsid w:val="00BB58B7"/>
    <w:rsid w:val="00BF0C04"/>
    <w:rsid w:val="00C23AC8"/>
    <w:rsid w:val="00C60108"/>
    <w:rsid w:val="00D92CE6"/>
    <w:rsid w:val="00E97ED9"/>
    <w:rsid w:val="00F7354B"/>
    <w:rsid w:val="00F86EAA"/>
    <w:rsid w:val="00FA597C"/>
    <w:rsid w:val="00FE4A72"/>
    <w:rsid w:val="00FF0050"/>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A8F3"/>
  <w15:chartTrackingRefBased/>
  <w15:docId w15:val="{F15D9E23-D85E-490D-A735-A87B04BE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717"/>
    <w:pPr>
      <w:spacing w:line="259" w:lineRule="auto"/>
    </w:pPr>
    <w:rPr>
      <w:rFonts w:ascii="EB Garamond" w:eastAsia="EB Garamond" w:hAnsi="EB Garamond" w:cs="EB Garamond"/>
      <w:kern w:val="0"/>
      <w:sz w:val="22"/>
      <w:szCs w:val="22"/>
      <w:lang w:eastAsia="fr-FR"/>
      <w14:ligatures w14:val="none"/>
    </w:rPr>
  </w:style>
  <w:style w:type="paragraph" w:styleId="Heading1">
    <w:name w:val="heading 1"/>
    <w:basedOn w:val="Normal"/>
    <w:next w:val="Normal"/>
    <w:link w:val="Heading1Char"/>
    <w:uiPriority w:val="9"/>
    <w:qFormat/>
    <w:rsid w:val="0014571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4571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4571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4571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14571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14571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14571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14571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145717"/>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717"/>
    <w:rPr>
      <w:rFonts w:eastAsiaTheme="majorEastAsia" w:cstheme="majorBidi"/>
      <w:color w:val="272727" w:themeColor="text1" w:themeTint="D8"/>
    </w:rPr>
  </w:style>
  <w:style w:type="paragraph" w:styleId="Title">
    <w:name w:val="Title"/>
    <w:basedOn w:val="Normal"/>
    <w:next w:val="Normal"/>
    <w:link w:val="TitleChar"/>
    <w:uiPriority w:val="10"/>
    <w:qFormat/>
    <w:rsid w:val="0014571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45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717"/>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45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717"/>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145717"/>
    <w:rPr>
      <w:i/>
      <w:iCs/>
      <w:color w:val="404040" w:themeColor="text1" w:themeTint="BF"/>
    </w:rPr>
  </w:style>
  <w:style w:type="paragraph" w:styleId="ListParagraph">
    <w:name w:val="List Paragraph"/>
    <w:basedOn w:val="Normal"/>
    <w:uiPriority w:val="34"/>
    <w:qFormat/>
    <w:rsid w:val="00145717"/>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145717"/>
    <w:rPr>
      <w:i/>
      <w:iCs/>
      <w:color w:val="0F4761" w:themeColor="accent1" w:themeShade="BF"/>
    </w:rPr>
  </w:style>
  <w:style w:type="paragraph" w:styleId="IntenseQuote">
    <w:name w:val="Intense Quote"/>
    <w:basedOn w:val="Normal"/>
    <w:next w:val="Normal"/>
    <w:link w:val="IntenseQuoteChar"/>
    <w:uiPriority w:val="30"/>
    <w:qFormat/>
    <w:rsid w:val="0014571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145717"/>
    <w:rPr>
      <w:i/>
      <w:iCs/>
      <w:color w:val="0F4761" w:themeColor="accent1" w:themeShade="BF"/>
    </w:rPr>
  </w:style>
  <w:style w:type="character" w:styleId="IntenseReference">
    <w:name w:val="Intense Reference"/>
    <w:basedOn w:val="DefaultParagraphFont"/>
    <w:uiPriority w:val="32"/>
    <w:qFormat/>
    <w:rsid w:val="00145717"/>
    <w:rPr>
      <w:b/>
      <w:bCs/>
      <w:smallCaps/>
      <w:color w:val="0F4761" w:themeColor="accent1" w:themeShade="BF"/>
      <w:spacing w:val="5"/>
    </w:rPr>
  </w:style>
  <w:style w:type="paragraph" w:styleId="BodyText">
    <w:name w:val="Body Text"/>
    <w:basedOn w:val="Normal"/>
    <w:link w:val="BodyTextChar"/>
    <w:rsid w:val="00BB58B7"/>
    <w:pPr>
      <w:spacing w:after="0" w:line="360" w:lineRule="atLeast"/>
      <w:ind w:right="5"/>
      <w:jc w:val="both"/>
    </w:pPr>
    <w:rPr>
      <w:rFonts w:ascii="Times" w:eastAsia="Times New Roman" w:hAnsi="Times" w:cs="Times New Roman"/>
      <w:sz w:val="24"/>
      <w:szCs w:val="20"/>
    </w:rPr>
  </w:style>
  <w:style w:type="character" w:customStyle="1" w:styleId="BodyTextChar">
    <w:name w:val="Body Text Char"/>
    <w:basedOn w:val="DefaultParagraphFont"/>
    <w:link w:val="BodyText"/>
    <w:rsid w:val="00BB58B7"/>
    <w:rPr>
      <w:rFonts w:ascii="Times" w:eastAsia="Times New Roman" w:hAnsi="Times" w:cs="Times New Roman"/>
      <w:kern w:val="0"/>
      <w:szCs w:val="20"/>
      <w:lang w:eastAsia="fr-FR"/>
      <w14:ligatures w14:val="none"/>
    </w:rPr>
  </w:style>
  <w:style w:type="table" w:customStyle="1" w:styleId="TableGrid1">
    <w:name w:val="Table Grid1"/>
    <w:basedOn w:val="TableNormal"/>
    <w:next w:val="TableGrid"/>
    <w:uiPriority w:val="39"/>
    <w:rsid w:val="00D92CE6"/>
    <w:pPr>
      <w:spacing w:after="0" w:line="240" w:lineRule="auto"/>
    </w:pPr>
    <w:rPr>
      <w:rFonts w:ascii="Calibri" w:eastAsia="Times New Roman"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9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1CCE"/>
    <w:pPr>
      <w:spacing w:after="0" w:line="240" w:lineRule="auto"/>
    </w:pPr>
    <w:rPr>
      <w:rFonts w:ascii="EB Garamond" w:eastAsia="EB Garamond" w:hAnsi="EB Garamond" w:cs="EB Garamond"/>
      <w:kern w:val="0"/>
      <w:sz w:val="22"/>
      <w:szCs w:val="22"/>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1C8D92B6DDF049A548D48126A7763F" ma:contentTypeVersion="16" ma:contentTypeDescription="Create a new document." ma:contentTypeScope="" ma:versionID="4d7d0adf79065ef05f5e78b0485f1685">
  <xsd:schema xmlns:xsd="http://www.w3.org/2001/XMLSchema" xmlns:xs="http://www.w3.org/2001/XMLSchema" xmlns:p="http://schemas.microsoft.com/office/2006/metadata/properties" xmlns:ns2="da70c3ce-dc9a-4ee3-aecc-93f224539e5c" xmlns:ns3="d2eba423-b50c-447e-9023-c6afef29b892" targetNamespace="http://schemas.microsoft.com/office/2006/metadata/properties" ma:root="true" ma:fieldsID="dfbe40b6f74f3bc5c07086d4396bf126" ns2:_="" ns3:_="">
    <xsd:import namespace="da70c3ce-dc9a-4ee3-aecc-93f224539e5c"/>
    <xsd:import namespace="d2eba423-b50c-447e-9023-c6afef29b8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NameofEditor0" minOccurs="0"/>
                <xsd:element ref="ns2:Readyforproduction" minOccurs="0"/>
                <xsd:element ref="ns3:SharedWithUsers" minOccurs="0"/>
                <xsd:element ref="ns3:SharedWithDetails" minOccurs="0"/>
                <xsd:element ref="ns2:Priority" minOccurs="0"/>
                <xsd:element ref="ns2:Prioritynumber" minOccurs="0"/>
                <xsd:element ref="ns2:Date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c3ce-dc9a-4ee3-aecc-93f224539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ameofEditor0" ma:index="12" nillable="true" ma:displayName="Name of Editor" ma:format="RadioButtons" ma:internalName="NameofEditor0">
      <xsd:simpleType>
        <xsd:restriction base="dms:Choice">
          <xsd:enumeration value="Robin"/>
          <xsd:enumeration value="Rob"/>
        </xsd:restriction>
      </xsd:simpleType>
    </xsd:element>
    <xsd:element name="Readyforproduction" ma:index="13" nillable="true" ma:displayName="Ready for production" ma:default="0" ma:description="Select 'Yes' when editing is finished." ma:format="Dropdown" ma:internalName="Readyforproduction">
      <xsd:simpleType>
        <xsd:restriction base="dms:Boolean"/>
      </xsd:simpleType>
    </xsd:element>
    <xsd:element name="Priority" ma:index="16" nillable="true" ma:displayName="Priority" ma:format="Dropdown" ma:internalName="Priority" ma:percentage="FALSE">
      <xsd:simpleType>
        <xsd:restriction base="dms:Number"/>
      </xsd:simpleType>
    </xsd:element>
    <xsd:element name="Prioritynumber" ma:index="17" nillable="true" ma:displayName="Priority  " ma:format="RadioButtons" ma:internalName="Prioritynumber">
      <xsd:simpleType>
        <xsd:union memberTypes="dms:Text">
          <xsd:simpleType>
            <xsd:restriction base="dms:Choice">
              <xsd:enumeration value="High"/>
              <xsd:enumeration value="Medium"/>
              <xsd:enumeration value="Low"/>
            </xsd:restriction>
          </xsd:simpleType>
        </xsd:union>
      </xsd:simpleType>
    </xsd:element>
    <xsd:element name="Dateuploaded" ma:index="18" nillable="true" ma:displayName="Date uploaded" ma:format="DateOnly" ma:internalName="Dateuploa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eba423-b50c-447e-9023-c6afef29b8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ority xmlns="da70c3ce-dc9a-4ee3-aecc-93f224539e5c" xsi:nil="true"/>
    <Prioritynumber xmlns="da70c3ce-dc9a-4ee3-aecc-93f224539e5c" xsi:nil="true"/>
    <Readyforproduction xmlns="da70c3ce-dc9a-4ee3-aecc-93f224539e5c">false</Readyforproduction>
    <NameofEditor0 xmlns="da70c3ce-dc9a-4ee3-aecc-93f224539e5c" xsi:nil="true"/>
    <Dateuploaded xmlns="da70c3ce-dc9a-4ee3-aecc-93f224539e5c" xsi:nil="true"/>
  </documentManagement>
</p:properties>
</file>

<file path=customXml/itemProps1.xml><?xml version="1.0" encoding="utf-8"?>
<ds:datastoreItem xmlns:ds="http://schemas.openxmlformats.org/officeDocument/2006/customXml" ds:itemID="{B32966F1-0577-4551-AA75-1EB6863A77E1}">
  <ds:schemaRefs>
    <ds:schemaRef ds:uri="http://schemas.microsoft.com/sharepoint/v3/contenttype/forms"/>
  </ds:schemaRefs>
</ds:datastoreItem>
</file>

<file path=customXml/itemProps2.xml><?xml version="1.0" encoding="utf-8"?>
<ds:datastoreItem xmlns:ds="http://schemas.openxmlformats.org/officeDocument/2006/customXml" ds:itemID="{934C33F2-35CE-4425-A55D-CD09786E6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c3ce-dc9a-4ee3-aecc-93f224539e5c"/>
    <ds:schemaRef ds:uri="d2eba423-b50c-447e-9023-c6afef29b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7CF59-56CC-4B04-B232-0CD9272F1876}">
  <ds:schemaRefs>
    <ds:schemaRef ds:uri="http://schemas.microsoft.com/office/2006/metadata/properties"/>
    <ds:schemaRef ds:uri="http://schemas.microsoft.com/office/infopath/2007/PartnerControls"/>
    <ds:schemaRef ds:uri="da70c3ce-dc9a-4ee3-aecc-93f224539e5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Blanchard</dc:creator>
  <cp:keywords/>
  <dc:description/>
  <cp:lastModifiedBy>gpsg24</cp:lastModifiedBy>
  <cp:revision>6</cp:revision>
  <dcterms:created xsi:type="dcterms:W3CDTF">2025-04-11T07:23:00Z</dcterms:created>
  <dcterms:modified xsi:type="dcterms:W3CDTF">2025-04-29T10:39:00Z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0x010100791C8D92B6DDF049A548D48126A7763F</vt:lpwstr>
  </property>
</Properties>
</file>