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1626"/>
        <w:gridCol w:w="7350"/>
      </w:tblGrid>
      <w:tr w:rsidR="00632362" w:rsidRPr="00632362" w14:paraId="0E331B1E" w14:textId="77777777" w:rsidTr="00A73B52">
        <w:trPr>
          <w:trHeight w:val="1134"/>
        </w:trPr>
        <w:tc>
          <w:tcPr>
            <w:tcW w:w="844" w:type="pct"/>
            <w:tcBorders>
              <w:top w:val="single" w:sz="12" w:space="0" w:color="C00000"/>
              <w:left w:val="nil"/>
              <w:bottom w:val="single" w:sz="12" w:space="0" w:color="C00000"/>
              <w:right w:val="nil"/>
            </w:tcBorders>
            <w:vAlign w:val="center"/>
          </w:tcPr>
          <w:p w14:paraId="7FA51B04" w14:textId="77777777" w:rsidR="00632362" w:rsidRPr="00632362" w:rsidRDefault="00632362" w:rsidP="00A73B52">
            <w:pPr>
              <w:jc w:val="center"/>
              <w:rPr>
                <w:color w:val="auto"/>
                <w:sz w:val="28"/>
                <w:szCs w:val="28"/>
              </w:rPr>
            </w:pPr>
            <w:r w:rsidRPr="00632362">
              <w:rPr>
                <w:noProof/>
                <w:color w:val="auto"/>
              </w:rPr>
              <w:drawing>
                <wp:inline distT="0" distB="0" distL="0" distR="0" wp14:anchorId="59A3F888" wp14:editId="028260D0">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7C0A54DF" w14:textId="77777777" w:rsidR="00632362" w:rsidRPr="00632362" w:rsidRDefault="00632362" w:rsidP="00A73B52">
            <w:pPr>
              <w:spacing w:line="360" w:lineRule="auto"/>
              <w:jc w:val="both"/>
              <w:rPr>
                <w:color w:val="auto"/>
              </w:rPr>
            </w:pPr>
            <w:r w:rsidRPr="00632362">
              <w:rPr>
                <w:color w:val="auto"/>
              </w:rPr>
              <w:t xml:space="preserve">Supplementary material for </w:t>
            </w:r>
          </w:p>
          <w:p w14:paraId="3366E8EC" w14:textId="3FF235DE" w:rsidR="00632362" w:rsidRPr="00632362" w:rsidRDefault="00632362" w:rsidP="00A73B52">
            <w:pPr>
              <w:spacing w:line="360" w:lineRule="auto"/>
              <w:contextualSpacing/>
              <w:rPr>
                <w:b/>
                <w:bCs/>
                <w:color w:val="auto"/>
              </w:rPr>
            </w:pPr>
            <w:proofErr w:type="spellStart"/>
            <w:r w:rsidRPr="00632362">
              <w:rPr>
                <w:smallCaps/>
                <w:color w:val="auto"/>
                <w:lang w:val="es-ES"/>
              </w:rPr>
              <w:t>Jervis</w:t>
            </w:r>
            <w:proofErr w:type="spellEnd"/>
            <w:r w:rsidRPr="00632362">
              <w:rPr>
                <w:smallCaps/>
                <w:color w:val="auto"/>
                <w:lang w:val="es-ES"/>
              </w:rPr>
              <w:t>, B</w:t>
            </w:r>
            <w:r w:rsidRPr="00632362">
              <w:rPr>
                <w:color w:val="auto"/>
                <w:lang w:val="es-ES"/>
              </w:rPr>
              <w:t xml:space="preserve">. </w:t>
            </w:r>
            <w:r w:rsidRPr="00632362">
              <w:rPr>
                <w:color w:val="auto"/>
              </w:rPr>
              <w:t>2025.</w:t>
            </w:r>
            <w:r w:rsidRPr="00632362">
              <w:rPr>
                <w:b/>
                <w:bCs/>
                <w:color w:val="auto"/>
              </w:rPr>
              <w:t xml:space="preserve"> </w:t>
            </w:r>
            <w:r w:rsidRPr="00632362">
              <w:rPr>
                <w:b/>
                <w:bCs/>
                <w:color w:val="auto"/>
                <w:lang w:val="en-US"/>
              </w:rPr>
              <w:t xml:space="preserve">Minoritarian entrepreneurs: pottery, commerce and </w:t>
            </w:r>
            <w:proofErr w:type="spellStart"/>
            <w:r w:rsidRPr="00632362">
              <w:rPr>
                <w:b/>
                <w:bCs/>
                <w:color w:val="auto"/>
                <w:lang w:val="en-US"/>
              </w:rPr>
              <w:t>urbanisation</w:t>
            </w:r>
            <w:proofErr w:type="spellEnd"/>
            <w:r w:rsidRPr="00632362">
              <w:rPr>
                <w:b/>
                <w:bCs/>
                <w:color w:val="auto"/>
                <w:lang w:val="en-US"/>
              </w:rPr>
              <w:t xml:space="preserve"> in medieval England (</w:t>
            </w:r>
            <w:r w:rsidRPr="00632362">
              <w:rPr>
                <w:b/>
                <w:bCs/>
                <w:i/>
                <w:iCs/>
                <w:color w:val="auto"/>
                <w:lang w:val="en-US"/>
              </w:rPr>
              <w:t>c</w:t>
            </w:r>
            <w:r w:rsidRPr="00632362">
              <w:rPr>
                <w:b/>
                <w:bCs/>
                <w:color w:val="auto"/>
                <w:lang w:val="en-US"/>
              </w:rPr>
              <w:t>. AD 1200–1350)</w:t>
            </w:r>
            <w:r w:rsidRPr="00632362">
              <w:rPr>
                <w:b/>
                <w:bCs/>
                <w:color w:val="auto"/>
              </w:rPr>
              <w:t xml:space="preserve">. </w:t>
            </w:r>
            <w:r w:rsidRPr="00632362">
              <w:rPr>
                <w:i/>
                <w:iCs/>
                <w:color w:val="auto"/>
              </w:rPr>
              <w:t>Antiquity</w:t>
            </w:r>
            <w:r w:rsidRPr="00632362">
              <w:rPr>
                <w:color w:val="auto"/>
              </w:rPr>
              <w:t xml:space="preserve"> 99.</w:t>
            </w:r>
          </w:p>
          <w:p w14:paraId="0E026D98" w14:textId="3340DCF6" w:rsidR="00632362" w:rsidRPr="00632362" w:rsidRDefault="00632362" w:rsidP="00A73B52">
            <w:pPr>
              <w:spacing w:line="360" w:lineRule="auto"/>
              <w:rPr>
                <w:b/>
                <w:bCs/>
                <w:color w:val="auto"/>
              </w:rPr>
            </w:pPr>
            <w:r w:rsidRPr="00632362">
              <w:rPr>
                <w:color w:val="auto"/>
              </w:rPr>
              <w:t xml:space="preserve">Author for correspondence </w:t>
            </w:r>
            <w:r w:rsidRPr="00632362">
              <w:rPr>
                <w:rFonts w:ascii="Segoe UI Symbol" w:eastAsia="Arial Unicode MS" w:hAnsi="Segoe UI Symbol" w:cs="Segoe UI Symbol"/>
                <w:color w:val="auto"/>
                <w:bdr w:val="nil"/>
              </w:rPr>
              <w:t>✉</w:t>
            </w:r>
            <w:r w:rsidRPr="00632362">
              <w:rPr>
                <w:rFonts w:eastAsia="Arial Unicode MS"/>
                <w:color w:val="auto"/>
                <w:bdr w:val="nil"/>
              </w:rPr>
              <w:t xml:space="preserve"> </w:t>
            </w:r>
            <w:r w:rsidRPr="00632362">
              <w:rPr>
                <w:rStyle w:val="normaltextrun"/>
                <w:color w:val="auto"/>
              </w:rPr>
              <w:t>bpj4@leicester.ac.uk</w:t>
            </w:r>
          </w:p>
        </w:tc>
      </w:tr>
    </w:tbl>
    <w:p w14:paraId="18CFD5AA" w14:textId="77777777" w:rsidR="00632362" w:rsidRPr="00632362" w:rsidRDefault="00632362" w:rsidP="00632362">
      <w:pPr>
        <w:spacing w:after="0" w:line="240" w:lineRule="auto"/>
        <w:ind w:left="0" w:firstLine="0"/>
        <w:contextualSpacing/>
        <w:rPr>
          <w:b/>
          <w:color w:val="auto"/>
        </w:rPr>
      </w:pPr>
    </w:p>
    <w:p w14:paraId="50A118D4" w14:textId="1F51CDDA" w:rsidR="00EA4457" w:rsidRPr="00632362" w:rsidRDefault="00EA4457" w:rsidP="00632362">
      <w:pPr>
        <w:spacing w:after="0" w:line="240" w:lineRule="auto"/>
        <w:ind w:left="0" w:firstLine="0"/>
        <w:contextualSpacing/>
        <w:rPr>
          <w:color w:val="auto"/>
        </w:rPr>
      </w:pPr>
    </w:p>
    <w:p w14:paraId="4F425CA0" w14:textId="341813B2" w:rsidR="00EA4457" w:rsidRPr="00632362" w:rsidRDefault="00632362" w:rsidP="00632362">
      <w:pPr>
        <w:spacing w:after="0" w:line="240" w:lineRule="auto"/>
        <w:ind w:left="0" w:firstLine="0"/>
        <w:contextualSpacing/>
        <w:rPr>
          <w:color w:val="auto"/>
        </w:rPr>
      </w:pPr>
      <w:r w:rsidRPr="00632362">
        <w:rPr>
          <w:color w:val="auto"/>
        </w:rPr>
        <w:t xml:space="preserve">Supplementary details comprise data pertaining to the undertaking of network analysis to map urban pottery distributions in southern and midland England in the period </w:t>
      </w:r>
      <w:r w:rsidRPr="00035F3D">
        <w:rPr>
          <w:i/>
          <w:iCs/>
          <w:color w:val="auto"/>
        </w:rPr>
        <w:t>c</w:t>
      </w:r>
      <w:r w:rsidR="00975E7F">
        <w:rPr>
          <w:color w:val="auto"/>
        </w:rPr>
        <w:t xml:space="preserve">. </w:t>
      </w:r>
      <w:r w:rsidRPr="00632362">
        <w:rPr>
          <w:color w:val="auto"/>
        </w:rPr>
        <w:t xml:space="preserve">1200–1350. The analysis incorporates the counties of: </w:t>
      </w:r>
    </w:p>
    <w:p w14:paraId="3FE83746"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Devon </w:t>
      </w:r>
    </w:p>
    <w:p w14:paraId="4A9D4767"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Somerset </w:t>
      </w:r>
    </w:p>
    <w:p w14:paraId="0EC9257E"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Wiltshire </w:t>
      </w:r>
    </w:p>
    <w:p w14:paraId="55B01BE7"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Hampshire </w:t>
      </w:r>
    </w:p>
    <w:p w14:paraId="602B518C"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West Sussex </w:t>
      </w:r>
    </w:p>
    <w:p w14:paraId="78E43F86"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East Sussex </w:t>
      </w:r>
    </w:p>
    <w:p w14:paraId="6765E573"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Kent </w:t>
      </w:r>
    </w:p>
    <w:p w14:paraId="4B204AAA"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Essex </w:t>
      </w:r>
    </w:p>
    <w:p w14:paraId="30DD2617"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Surrey </w:t>
      </w:r>
    </w:p>
    <w:p w14:paraId="2F0AFB07"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Berkshire </w:t>
      </w:r>
    </w:p>
    <w:p w14:paraId="534CF7A2"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Oxfordshire </w:t>
      </w:r>
    </w:p>
    <w:p w14:paraId="4AC4F59E"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Gloucestershire </w:t>
      </w:r>
    </w:p>
    <w:p w14:paraId="010F7A3B"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Worcestershire </w:t>
      </w:r>
    </w:p>
    <w:p w14:paraId="49D0D604"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Herefordshire </w:t>
      </w:r>
    </w:p>
    <w:p w14:paraId="6BAF3437"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Buckinghamshire </w:t>
      </w:r>
    </w:p>
    <w:p w14:paraId="3B730257"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Northamptonshire </w:t>
      </w:r>
    </w:p>
    <w:p w14:paraId="462D8DDC"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Bedfordshire </w:t>
      </w:r>
    </w:p>
    <w:p w14:paraId="5CA80AFC"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Cambridgeshire </w:t>
      </w:r>
    </w:p>
    <w:p w14:paraId="35BA4C20"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Lincolnshire </w:t>
      </w:r>
    </w:p>
    <w:p w14:paraId="470734A7" w14:textId="77777777" w:rsidR="00EA4457" w:rsidRPr="00632362" w:rsidRDefault="00632362" w:rsidP="00632362">
      <w:pPr>
        <w:numPr>
          <w:ilvl w:val="0"/>
          <w:numId w:val="1"/>
        </w:numPr>
        <w:spacing w:after="0" w:line="240" w:lineRule="auto"/>
        <w:ind w:left="0" w:firstLine="0"/>
        <w:contextualSpacing/>
        <w:rPr>
          <w:color w:val="auto"/>
        </w:rPr>
      </w:pPr>
      <w:r w:rsidRPr="00632362">
        <w:rPr>
          <w:color w:val="auto"/>
        </w:rPr>
        <w:t xml:space="preserve">Leicestershire </w:t>
      </w:r>
    </w:p>
    <w:p w14:paraId="7B743DE9" w14:textId="77777777" w:rsidR="00632362" w:rsidRPr="00632362" w:rsidRDefault="00632362" w:rsidP="00632362">
      <w:pPr>
        <w:numPr>
          <w:ilvl w:val="0"/>
          <w:numId w:val="1"/>
        </w:numPr>
        <w:spacing w:after="0" w:line="240" w:lineRule="auto"/>
        <w:ind w:left="0" w:firstLine="0"/>
        <w:contextualSpacing/>
        <w:rPr>
          <w:color w:val="auto"/>
        </w:rPr>
      </w:pPr>
      <w:r w:rsidRPr="00632362">
        <w:rPr>
          <w:color w:val="auto"/>
        </w:rPr>
        <w:t xml:space="preserve">Greater London </w:t>
      </w:r>
    </w:p>
    <w:p w14:paraId="7A7BBA04" w14:textId="35782070" w:rsidR="00EA4457" w:rsidRPr="00632362" w:rsidRDefault="00632362" w:rsidP="00632362">
      <w:pPr>
        <w:spacing w:after="0" w:line="240" w:lineRule="auto"/>
        <w:ind w:left="0" w:firstLine="0"/>
        <w:contextualSpacing/>
        <w:rPr>
          <w:color w:val="auto"/>
        </w:rPr>
      </w:pPr>
      <w:r w:rsidRPr="00632362">
        <w:rPr>
          <w:color w:val="auto"/>
        </w:rPr>
        <w:t xml:space="preserve">Note that the counties of Cornwall and Dorset did not yield sufficient data for inclusion. </w:t>
      </w:r>
    </w:p>
    <w:p w14:paraId="779C1300"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3991E867" w14:textId="5BAB49A6" w:rsidR="00EA4457" w:rsidRPr="00632362" w:rsidRDefault="00632362" w:rsidP="00632362">
      <w:pPr>
        <w:pStyle w:val="Heading1"/>
        <w:spacing w:line="240" w:lineRule="auto"/>
        <w:ind w:left="0" w:firstLine="0"/>
        <w:contextualSpacing/>
        <w:rPr>
          <w:color w:val="auto"/>
        </w:rPr>
      </w:pPr>
      <w:r w:rsidRPr="00632362">
        <w:rPr>
          <w:color w:val="auto"/>
        </w:rPr>
        <w:t xml:space="preserve">Criteria for </w:t>
      </w:r>
      <w:r w:rsidR="00975E7F">
        <w:rPr>
          <w:color w:val="auto"/>
        </w:rPr>
        <w:t>i</w:t>
      </w:r>
      <w:r w:rsidRPr="00632362">
        <w:rPr>
          <w:color w:val="auto"/>
        </w:rPr>
        <w:t xml:space="preserve">nclusion </w:t>
      </w:r>
    </w:p>
    <w:p w14:paraId="2D8D8592"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2949F6D3" w14:textId="2D713679" w:rsidR="00EA4457" w:rsidRPr="00632362" w:rsidRDefault="00632362" w:rsidP="00632362">
      <w:pPr>
        <w:spacing w:after="0" w:line="240" w:lineRule="auto"/>
        <w:ind w:left="0" w:firstLine="0"/>
        <w:contextualSpacing/>
        <w:rPr>
          <w:color w:val="auto"/>
        </w:rPr>
      </w:pPr>
      <w:r w:rsidRPr="00632362">
        <w:rPr>
          <w:color w:val="auto"/>
        </w:rPr>
        <w:t xml:space="preserve">Places are included as a network where they are recognised as a town. This is defined as a place with a borough charter or a place identified by Alan Everitt as a market town around 1600 as summarised in the Online Gazetteer of Markets and Fairs in England and Wales to 1516 </w:t>
      </w:r>
      <w:r>
        <w:rPr>
          <w:color w:val="auto"/>
        </w:rPr>
        <w:t>(</w:t>
      </w:r>
      <w:r w:rsidRPr="00632362">
        <w:rPr>
          <w:color w:val="auto"/>
        </w:rPr>
        <w:t>http://www.history.ac.uk/cmh/gaz/gazweb2.html</w:t>
      </w:r>
      <w:r>
        <w:rPr>
          <w:color w:val="auto"/>
        </w:rPr>
        <w:t>)</w:t>
      </w:r>
      <w:hyperlink r:id="rId8">
        <w:r w:rsidRPr="00632362">
          <w:rPr>
            <w:color w:val="auto"/>
          </w:rPr>
          <w:t>.</w:t>
        </w:r>
      </w:hyperlink>
      <w:r w:rsidRPr="00632362">
        <w:rPr>
          <w:color w:val="auto"/>
        </w:rPr>
        <w:t xml:space="preserve"> </w:t>
      </w:r>
    </w:p>
    <w:p w14:paraId="158ECCC1"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2251C243" w14:textId="77777777" w:rsidR="00EA4457" w:rsidRPr="00632362" w:rsidRDefault="00632362" w:rsidP="00632362">
      <w:pPr>
        <w:spacing w:after="0" w:line="240" w:lineRule="auto"/>
        <w:ind w:left="0" w:firstLine="0"/>
        <w:contextualSpacing/>
        <w:rPr>
          <w:color w:val="auto"/>
        </w:rPr>
      </w:pPr>
      <w:r w:rsidRPr="00632362">
        <w:rPr>
          <w:color w:val="auto"/>
        </w:rPr>
        <w:t xml:space="preserve">Sites in those towns outside of the top 50 </w:t>
      </w:r>
      <w:proofErr w:type="gramStart"/>
      <w:r w:rsidRPr="00632362">
        <w:rPr>
          <w:color w:val="auto"/>
        </w:rPr>
        <w:t>on the basis of</w:t>
      </w:r>
      <w:proofErr w:type="gramEnd"/>
      <w:r w:rsidRPr="00632362">
        <w:rPr>
          <w:color w:val="auto"/>
        </w:rPr>
        <w:t xml:space="preserve"> population in the poll tax of 1377 were identified through commissioning Historic Environment Record searches of historic town cores. Ceramic data were extracted from those reports where medieval features or deposits were present. </w:t>
      </w:r>
    </w:p>
    <w:p w14:paraId="35963605"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5EA321B3" w14:textId="2FA285CB" w:rsidR="00EA4457" w:rsidRPr="00632362" w:rsidRDefault="00632362" w:rsidP="00632362">
      <w:pPr>
        <w:spacing w:after="0" w:line="240" w:lineRule="auto"/>
        <w:ind w:left="0" w:firstLine="0"/>
        <w:contextualSpacing/>
        <w:rPr>
          <w:color w:val="auto"/>
        </w:rPr>
      </w:pPr>
      <w:r w:rsidRPr="00632362">
        <w:rPr>
          <w:color w:val="auto"/>
        </w:rPr>
        <w:t xml:space="preserve">Pottery is included in the network where it can be linked to a known production site or region and is known to have been in circulation in the period </w:t>
      </w:r>
      <w:r w:rsidRPr="00035F3D">
        <w:rPr>
          <w:i/>
          <w:iCs/>
          <w:color w:val="auto"/>
        </w:rPr>
        <w:t>c</w:t>
      </w:r>
      <w:r w:rsidR="00975E7F">
        <w:rPr>
          <w:color w:val="auto"/>
        </w:rPr>
        <w:t xml:space="preserve">. </w:t>
      </w:r>
      <w:r w:rsidRPr="00632362">
        <w:rPr>
          <w:color w:val="auto"/>
        </w:rPr>
        <w:t xml:space="preserve">1200–1350. Therefore, </w:t>
      </w:r>
      <w:r w:rsidRPr="00632362">
        <w:rPr>
          <w:color w:val="auto"/>
        </w:rPr>
        <w:lastRenderedPageBreak/>
        <w:t xml:space="preserve">miscellaneous unprovenanced wares are not included. Continental imports are also excluded, as these often reached sites through distribution mechanisms other than the market. </w:t>
      </w:r>
    </w:p>
    <w:p w14:paraId="3350BF99"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3BD315D1" w14:textId="77777777" w:rsidR="00EA4457" w:rsidRDefault="00632362" w:rsidP="00632362">
      <w:pPr>
        <w:spacing w:after="0" w:line="240" w:lineRule="auto"/>
        <w:ind w:left="0" w:firstLine="0"/>
        <w:contextualSpacing/>
        <w:rPr>
          <w:color w:val="auto"/>
        </w:rPr>
      </w:pPr>
      <w:r w:rsidRPr="00632362">
        <w:rPr>
          <w:color w:val="auto"/>
        </w:rPr>
        <w:t xml:space="preserve">For larger towns a representative selection of site reports available on the Archaeology Data Service or as publications were consulted. </w:t>
      </w:r>
    </w:p>
    <w:p w14:paraId="36B246B9" w14:textId="77777777" w:rsidR="00632362" w:rsidRPr="00632362" w:rsidRDefault="00632362" w:rsidP="00632362">
      <w:pPr>
        <w:spacing w:after="0" w:line="240" w:lineRule="auto"/>
        <w:ind w:left="0" w:firstLine="0"/>
        <w:contextualSpacing/>
        <w:rPr>
          <w:color w:val="auto"/>
        </w:rPr>
      </w:pPr>
    </w:p>
    <w:p w14:paraId="2BF8C679" w14:textId="77777777" w:rsidR="00EA4457" w:rsidRPr="00632362" w:rsidRDefault="00632362" w:rsidP="00632362">
      <w:pPr>
        <w:pStyle w:val="Heading1"/>
        <w:spacing w:line="240" w:lineRule="auto"/>
        <w:ind w:left="0" w:firstLine="0"/>
        <w:contextualSpacing/>
        <w:rPr>
          <w:color w:val="auto"/>
        </w:rPr>
      </w:pPr>
      <w:r w:rsidRPr="00632362">
        <w:rPr>
          <w:color w:val="auto"/>
        </w:rPr>
        <w:t xml:space="preserve">Methodology </w:t>
      </w:r>
    </w:p>
    <w:p w14:paraId="01E2D7BE"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767B47F2" w14:textId="6D4D3B70" w:rsidR="00EA4457" w:rsidRPr="00632362" w:rsidRDefault="00632362" w:rsidP="00632362">
      <w:pPr>
        <w:spacing w:after="0" w:line="240" w:lineRule="auto"/>
        <w:ind w:left="0" w:firstLine="0"/>
        <w:contextualSpacing/>
        <w:rPr>
          <w:color w:val="auto"/>
        </w:rPr>
      </w:pPr>
      <w:r w:rsidRPr="00632362">
        <w:rPr>
          <w:color w:val="auto"/>
        </w:rPr>
        <w:t>Due to inconsistencies in recording</w:t>
      </w:r>
      <w:r w:rsidR="005337C3">
        <w:rPr>
          <w:color w:val="auto"/>
        </w:rPr>
        <w:t>,</w:t>
      </w:r>
      <w:r w:rsidRPr="00632362">
        <w:rPr>
          <w:color w:val="auto"/>
        </w:rPr>
        <w:t xml:space="preserve"> the presence of pottery ware types was recorded at each site and where possible it was determined whether these were a major ware (</w:t>
      </w:r>
      <w:proofErr w:type="spellStart"/>
      <w:r w:rsidRPr="00632362">
        <w:rPr>
          <w:color w:val="auto"/>
        </w:rPr>
        <w:t>ie</w:t>
      </w:r>
      <w:proofErr w:type="spellEnd"/>
      <w:r w:rsidRPr="00632362">
        <w:rPr>
          <w:color w:val="auto"/>
        </w:rPr>
        <w:t>. typical of the assemblage) or a minor ware (</w:t>
      </w:r>
      <w:proofErr w:type="spellStart"/>
      <w:r w:rsidRPr="00632362">
        <w:rPr>
          <w:color w:val="auto"/>
        </w:rPr>
        <w:t>ie</w:t>
      </w:r>
      <w:proofErr w:type="spellEnd"/>
      <w:r w:rsidRPr="00632362">
        <w:rPr>
          <w:color w:val="auto"/>
        </w:rPr>
        <w:t xml:space="preserve">. rare or exceptional within the assemblage). Ware types were assigned to broad common ware groups, where possible through concordance with published regional pottery type series. These, in turn, were allocated to a broad production region. </w:t>
      </w:r>
    </w:p>
    <w:p w14:paraId="72840A65"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4E8FC2CC" w14:textId="77777777" w:rsidR="00EA4457" w:rsidRPr="00632362" w:rsidRDefault="00632362" w:rsidP="00632362">
      <w:pPr>
        <w:spacing w:after="0" w:line="240" w:lineRule="auto"/>
        <w:ind w:left="0" w:firstLine="0"/>
        <w:contextualSpacing/>
        <w:rPr>
          <w:color w:val="auto"/>
        </w:rPr>
      </w:pPr>
      <w:r w:rsidRPr="00632362">
        <w:rPr>
          <w:color w:val="auto"/>
        </w:rPr>
        <w:t xml:space="preserve">The nodes in the network comprise the towns and the production regions. </w:t>
      </w:r>
    </w:p>
    <w:p w14:paraId="7C30DA8E"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793D809B" w14:textId="5F2B71C7" w:rsidR="00EA4457" w:rsidRPr="00632362" w:rsidRDefault="00632362" w:rsidP="00632362">
      <w:pPr>
        <w:spacing w:after="0" w:line="240" w:lineRule="auto"/>
        <w:ind w:left="0" w:firstLine="0"/>
        <w:contextualSpacing/>
        <w:rPr>
          <w:color w:val="auto"/>
        </w:rPr>
      </w:pPr>
      <w:r w:rsidRPr="00632362">
        <w:rPr>
          <w:color w:val="auto"/>
        </w:rPr>
        <w:t>The edges in the network comprise pottery from a given production region, present within a particular towns. Edges are directed from the source to the town. Edges relating to a major ware within an assemblage w</w:t>
      </w:r>
      <w:r w:rsidR="005337C3">
        <w:rPr>
          <w:color w:val="auto"/>
        </w:rPr>
        <w:t>ere</w:t>
      </w:r>
      <w:r w:rsidRPr="00632362">
        <w:rPr>
          <w:color w:val="auto"/>
        </w:rPr>
        <w:t xml:space="preserve"> given a weight of 1 and those relating to minor wares or wares of indeterminate significance were weighted 0.5. </w:t>
      </w:r>
    </w:p>
    <w:p w14:paraId="477BA070"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6CC6B257" w14:textId="77777777" w:rsidR="00EA4457" w:rsidRPr="00632362" w:rsidRDefault="00632362" w:rsidP="00632362">
      <w:pPr>
        <w:spacing w:after="0" w:line="240" w:lineRule="auto"/>
        <w:ind w:left="0" w:firstLine="0"/>
        <w:contextualSpacing/>
        <w:rPr>
          <w:color w:val="auto"/>
        </w:rPr>
      </w:pPr>
      <w:r w:rsidRPr="00632362">
        <w:rPr>
          <w:color w:val="auto"/>
        </w:rPr>
        <w:t xml:space="preserve">The network was created using the open source software Gephi. </w:t>
      </w:r>
    </w:p>
    <w:p w14:paraId="1DB4A2A7"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35D09BA3" w14:textId="77777777" w:rsidR="00EA4457" w:rsidRPr="00632362" w:rsidRDefault="00632362" w:rsidP="00632362">
      <w:pPr>
        <w:pStyle w:val="Heading1"/>
        <w:spacing w:line="240" w:lineRule="auto"/>
        <w:ind w:left="0" w:firstLine="0"/>
        <w:contextualSpacing/>
        <w:rPr>
          <w:color w:val="auto"/>
        </w:rPr>
      </w:pPr>
      <w:r w:rsidRPr="00632362">
        <w:rPr>
          <w:color w:val="auto"/>
        </w:rPr>
        <w:t xml:space="preserve">Dataset </w:t>
      </w:r>
    </w:p>
    <w:p w14:paraId="1EEF942F"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68148BFD" w14:textId="77777777" w:rsidR="00EA4457" w:rsidRPr="00632362" w:rsidRDefault="00632362" w:rsidP="00632362">
      <w:pPr>
        <w:spacing w:after="0" w:line="240" w:lineRule="auto"/>
        <w:ind w:left="0" w:firstLine="0"/>
        <w:contextualSpacing/>
        <w:rPr>
          <w:color w:val="auto"/>
        </w:rPr>
      </w:pPr>
      <w:r w:rsidRPr="00632362">
        <w:rPr>
          <w:color w:val="auto"/>
        </w:rPr>
        <w:t xml:space="preserve">The spreadsheet comprises 4 sheets. </w:t>
      </w:r>
    </w:p>
    <w:p w14:paraId="774B5C99"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212C44CE" w14:textId="77777777" w:rsidR="00EA4457" w:rsidRPr="00632362" w:rsidRDefault="00632362" w:rsidP="00632362">
      <w:pPr>
        <w:spacing w:after="0" w:line="240" w:lineRule="auto"/>
        <w:ind w:left="0" w:firstLine="0"/>
        <w:contextualSpacing/>
        <w:rPr>
          <w:color w:val="auto"/>
        </w:rPr>
      </w:pPr>
      <w:r w:rsidRPr="00632362">
        <w:rPr>
          <w:color w:val="auto"/>
        </w:rPr>
        <w:t xml:space="preserve">NODES provides the nodes table. The fields comprise: </w:t>
      </w:r>
    </w:p>
    <w:p w14:paraId="3A5869FA" w14:textId="77777777" w:rsidR="00EA4457" w:rsidRPr="00632362" w:rsidRDefault="00632362" w:rsidP="00632362">
      <w:pPr>
        <w:spacing w:after="0" w:line="240" w:lineRule="auto"/>
        <w:ind w:left="0" w:firstLine="0"/>
        <w:contextualSpacing/>
        <w:rPr>
          <w:color w:val="auto"/>
        </w:rPr>
      </w:pPr>
      <w:r w:rsidRPr="00632362">
        <w:rPr>
          <w:color w:val="auto"/>
        </w:rPr>
        <w:t xml:space="preserve">ID: A unique ID number for each node. </w:t>
      </w:r>
    </w:p>
    <w:p w14:paraId="6CE67F2C" w14:textId="77777777" w:rsidR="00EA4457" w:rsidRPr="00632362" w:rsidRDefault="00632362" w:rsidP="00632362">
      <w:pPr>
        <w:spacing w:after="0" w:line="240" w:lineRule="auto"/>
        <w:ind w:left="0" w:firstLine="0"/>
        <w:contextualSpacing/>
        <w:rPr>
          <w:color w:val="auto"/>
        </w:rPr>
      </w:pPr>
      <w:r w:rsidRPr="00632362">
        <w:rPr>
          <w:color w:val="auto"/>
        </w:rPr>
        <w:t xml:space="preserve">Label: The name of the town or production region. </w:t>
      </w:r>
    </w:p>
    <w:p w14:paraId="61A9B5A4" w14:textId="77777777" w:rsidR="00EA4457" w:rsidRPr="00632362" w:rsidRDefault="00632362" w:rsidP="00632362">
      <w:pPr>
        <w:spacing w:after="0" w:line="240" w:lineRule="auto"/>
        <w:ind w:left="0" w:firstLine="0"/>
        <w:contextualSpacing/>
        <w:rPr>
          <w:color w:val="auto"/>
        </w:rPr>
      </w:pPr>
      <w:proofErr w:type="spellStart"/>
      <w:r w:rsidRPr="00632362">
        <w:rPr>
          <w:color w:val="auto"/>
        </w:rPr>
        <w:t>NodeType</w:t>
      </w:r>
      <w:proofErr w:type="spellEnd"/>
      <w:r w:rsidRPr="00632362">
        <w:rPr>
          <w:color w:val="auto"/>
        </w:rPr>
        <w:t xml:space="preserve">: Determines whether the node is a Large town, a town or a production region. Degree: The indegree (for towns) or outdegree (for production regions), providing a measure of the centrality of the node within the network. </w:t>
      </w:r>
    </w:p>
    <w:p w14:paraId="46AA3BC1" w14:textId="73D8C975" w:rsidR="00EA4457" w:rsidRPr="00632362" w:rsidRDefault="00632362" w:rsidP="00632362">
      <w:pPr>
        <w:spacing w:after="0" w:line="240" w:lineRule="auto"/>
        <w:ind w:left="0" w:firstLine="0"/>
        <w:contextualSpacing/>
        <w:rPr>
          <w:color w:val="auto"/>
        </w:rPr>
      </w:pPr>
      <w:r w:rsidRPr="00632362">
        <w:rPr>
          <w:color w:val="auto"/>
        </w:rPr>
        <w:t>Co-ordinates are given as longitude/latitude and in x/y format. For production regions the co</w:t>
      </w:r>
      <w:r w:rsidR="00975E7F">
        <w:rPr>
          <w:color w:val="auto"/>
        </w:rPr>
        <w:t>-</w:t>
      </w:r>
      <w:r w:rsidRPr="00632362">
        <w:rPr>
          <w:color w:val="auto"/>
        </w:rPr>
        <w:t xml:space="preserve">ordinate is an approximate location or the location of a known production site. </w:t>
      </w:r>
    </w:p>
    <w:p w14:paraId="0BC33987"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5B829E6C" w14:textId="77777777" w:rsidR="00EA4457" w:rsidRPr="00632362" w:rsidRDefault="00632362" w:rsidP="00632362">
      <w:pPr>
        <w:spacing w:after="0" w:line="240" w:lineRule="auto"/>
        <w:ind w:left="0" w:firstLine="0"/>
        <w:contextualSpacing/>
        <w:rPr>
          <w:color w:val="auto"/>
        </w:rPr>
      </w:pPr>
      <w:r w:rsidRPr="00632362">
        <w:rPr>
          <w:color w:val="auto"/>
        </w:rPr>
        <w:t xml:space="preserve">EDGES provides the edges table. The fields comprise: </w:t>
      </w:r>
    </w:p>
    <w:p w14:paraId="3D047FC8" w14:textId="77777777" w:rsidR="00EA4457" w:rsidRPr="00632362" w:rsidRDefault="00632362" w:rsidP="00632362">
      <w:pPr>
        <w:spacing w:after="0" w:line="240" w:lineRule="auto"/>
        <w:ind w:left="0" w:firstLine="0"/>
        <w:contextualSpacing/>
        <w:rPr>
          <w:color w:val="auto"/>
        </w:rPr>
      </w:pPr>
      <w:r w:rsidRPr="00632362">
        <w:rPr>
          <w:color w:val="auto"/>
        </w:rPr>
        <w:t>Source: The source node (</w:t>
      </w:r>
      <w:proofErr w:type="spellStart"/>
      <w:r w:rsidRPr="00632362">
        <w:rPr>
          <w:color w:val="auto"/>
        </w:rPr>
        <w:t>ie</w:t>
      </w:r>
      <w:proofErr w:type="spellEnd"/>
      <w:r w:rsidRPr="00632362">
        <w:rPr>
          <w:color w:val="auto"/>
        </w:rPr>
        <w:t xml:space="preserve">. production region). </w:t>
      </w:r>
    </w:p>
    <w:p w14:paraId="70A700BB" w14:textId="77777777" w:rsidR="00EA4457" w:rsidRPr="00632362" w:rsidRDefault="00632362" w:rsidP="00632362">
      <w:pPr>
        <w:spacing w:after="0" w:line="240" w:lineRule="auto"/>
        <w:ind w:left="0" w:firstLine="0"/>
        <w:contextualSpacing/>
        <w:rPr>
          <w:color w:val="auto"/>
        </w:rPr>
      </w:pPr>
      <w:r w:rsidRPr="00632362">
        <w:rPr>
          <w:color w:val="auto"/>
        </w:rPr>
        <w:t>Target: The target node (</w:t>
      </w:r>
      <w:proofErr w:type="spellStart"/>
      <w:r w:rsidRPr="00632362">
        <w:rPr>
          <w:color w:val="auto"/>
        </w:rPr>
        <w:t>ie</w:t>
      </w:r>
      <w:proofErr w:type="spellEnd"/>
      <w:r w:rsidRPr="00632362">
        <w:rPr>
          <w:color w:val="auto"/>
        </w:rPr>
        <w:t xml:space="preserve">. the town). </w:t>
      </w:r>
    </w:p>
    <w:p w14:paraId="51D40769" w14:textId="77777777" w:rsidR="00EA4457" w:rsidRPr="00632362" w:rsidRDefault="00632362" w:rsidP="00632362">
      <w:pPr>
        <w:spacing w:after="0" w:line="240" w:lineRule="auto"/>
        <w:ind w:left="0" w:firstLine="0"/>
        <w:contextualSpacing/>
        <w:rPr>
          <w:color w:val="auto"/>
        </w:rPr>
      </w:pPr>
      <w:r w:rsidRPr="00632362">
        <w:rPr>
          <w:color w:val="auto"/>
        </w:rPr>
        <w:t xml:space="preserve">Direction: All nodes are directed from source to target. </w:t>
      </w:r>
    </w:p>
    <w:p w14:paraId="4E2D1C30" w14:textId="77777777" w:rsidR="00EA4457" w:rsidRPr="00632362" w:rsidRDefault="00632362" w:rsidP="00632362">
      <w:pPr>
        <w:spacing w:after="0" w:line="240" w:lineRule="auto"/>
        <w:ind w:left="0" w:firstLine="0"/>
        <w:contextualSpacing/>
        <w:rPr>
          <w:color w:val="auto"/>
        </w:rPr>
      </w:pPr>
      <w:r w:rsidRPr="00632362">
        <w:rPr>
          <w:color w:val="auto"/>
        </w:rPr>
        <w:t xml:space="preserve">ID: A unique ID for each edge. </w:t>
      </w:r>
    </w:p>
    <w:p w14:paraId="339F3D7F" w14:textId="77777777" w:rsidR="00EA4457" w:rsidRPr="00632362" w:rsidRDefault="00632362" w:rsidP="00632362">
      <w:pPr>
        <w:spacing w:after="0" w:line="240" w:lineRule="auto"/>
        <w:ind w:left="0" w:firstLine="0"/>
        <w:contextualSpacing/>
        <w:rPr>
          <w:color w:val="auto"/>
        </w:rPr>
      </w:pPr>
      <w:r w:rsidRPr="00632362">
        <w:rPr>
          <w:color w:val="auto"/>
        </w:rPr>
        <w:t xml:space="preserve">Weight: 0.5 for minor wares and 1 for major wares. </w:t>
      </w:r>
    </w:p>
    <w:p w14:paraId="7F0705BA"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4B73B38B" w14:textId="77777777" w:rsidR="00EA4457" w:rsidRPr="00632362" w:rsidRDefault="00632362" w:rsidP="00632362">
      <w:pPr>
        <w:spacing w:after="0" w:line="240" w:lineRule="auto"/>
        <w:ind w:left="0" w:firstLine="0"/>
        <w:contextualSpacing/>
        <w:rPr>
          <w:color w:val="auto"/>
        </w:rPr>
      </w:pPr>
      <w:r w:rsidRPr="00632362">
        <w:rPr>
          <w:color w:val="auto"/>
        </w:rPr>
        <w:t xml:space="preserve">Pottery types provides a concordance of common names, references to published type series, the relevant production region and earliest and latest dates for each ware type. </w:t>
      </w:r>
    </w:p>
    <w:p w14:paraId="30BBC8D1"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2F13D44A" w14:textId="77777777" w:rsidR="00EA4457" w:rsidRPr="00632362" w:rsidRDefault="00632362" w:rsidP="00632362">
      <w:pPr>
        <w:spacing w:after="0" w:line="240" w:lineRule="auto"/>
        <w:ind w:left="0" w:firstLine="0"/>
        <w:contextualSpacing/>
        <w:rPr>
          <w:color w:val="auto"/>
        </w:rPr>
      </w:pPr>
      <w:r w:rsidRPr="00632362">
        <w:rPr>
          <w:color w:val="auto"/>
        </w:rPr>
        <w:t xml:space="preserve">Sites provides a list of the sites included within the dataset, with reference to the site report. </w:t>
      </w:r>
    </w:p>
    <w:p w14:paraId="26C3F6F9"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10A3AFDA" w14:textId="13237D0F" w:rsidR="00EA4457" w:rsidRPr="00632362" w:rsidRDefault="00632362" w:rsidP="00632362">
      <w:pPr>
        <w:spacing w:after="0" w:line="240" w:lineRule="auto"/>
        <w:ind w:left="0" w:firstLine="0"/>
        <w:contextualSpacing/>
        <w:rPr>
          <w:color w:val="auto"/>
        </w:rPr>
      </w:pPr>
      <w:r w:rsidRPr="00632362">
        <w:rPr>
          <w:color w:val="auto"/>
        </w:rPr>
        <w:lastRenderedPageBreak/>
        <w:t xml:space="preserve">Data relating to the distribution of ceramics presented in this paper are available at https://doi.org/10.25392/leicester.data.28264694 </w:t>
      </w:r>
    </w:p>
    <w:p w14:paraId="729DF14B"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303EC5CE" w14:textId="0157ED43" w:rsidR="00EA4457" w:rsidRPr="00632362" w:rsidRDefault="00632362" w:rsidP="00632362">
      <w:pPr>
        <w:pStyle w:val="Heading1"/>
        <w:spacing w:line="240" w:lineRule="auto"/>
        <w:ind w:left="0" w:firstLine="0"/>
        <w:contextualSpacing/>
        <w:rPr>
          <w:color w:val="auto"/>
        </w:rPr>
      </w:pPr>
      <w:r w:rsidRPr="00632362">
        <w:rPr>
          <w:color w:val="auto"/>
        </w:rPr>
        <w:t xml:space="preserve">Potential </w:t>
      </w:r>
      <w:r w:rsidR="00975E7F">
        <w:rPr>
          <w:color w:val="auto"/>
        </w:rPr>
        <w:t>d</w:t>
      </w:r>
      <w:r w:rsidRPr="00632362">
        <w:rPr>
          <w:color w:val="auto"/>
        </w:rPr>
        <w:t xml:space="preserve">ata </w:t>
      </w:r>
      <w:r w:rsidR="00975E7F">
        <w:rPr>
          <w:color w:val="auto"/>
        </w:rPr>
        <w:t>r</w:t>
      </w:r>
      <w:r w:rsidRPr="00632362">
        <w:rPr>
          <w:color w:val="auto"/>
        </w:rPr>
        <w:t>e-</w:t>
      </w:r>
      <w:r w:rsidR="00975E7F">
        <w:rPr>
          <w:color w:val="auto"/>
        </w:rPr>
        <w:t>u</w:t>
      </w:r>
      <w:r w:rsidRPr="00632362">
        <w:rPr>
          <w:color w:val="auto"/>
        </w:rPr>
        <w:t xml:space="preserve">se </w:t>
      </w:r>
    </w:p>
    <w:p w14:paraId="7337378A" w14:textId="77777777" w:rsidR="00EA4457" w:rsidRPr="00632362" w:rsidRDefault="00632362" w:rsidP="00632362">
      <w:pPr>
        <w:spacing w:after="0" w:line="240" w:lineRule="auto"/>
        <w:ind w:left="0" w:firstLine="0"/>
        <w:contextualSpacing/>
        <w:rPr>
          <w:color w:val="auto"/>
        </w:rPr>
      </w:pPr>
      <w:r w:rsidRPr="00632362">
        <w:rPr>
          <w:color w:val="auto"/>
        </w:rPr>
        <w:t xml:space="preserve">The data have the potential to be re-used in further studies of pottery distribution, acting as a starting point for more detailed analysis or as a reference for targeted regional studies. </w:t>
      </w:r>
    </w:p>
    <w:p w14:paraId="285AA2D1" w14:textId="77777777" w:rsidR="00EA4457" w:rsidRPr="00632362" w:rsidRDefault="00632362" w:rsidP="00632362">
      <w:pPr>
        <w:spacing w:after="0" w:line="240" w:lineRule="auto"/>
        <w:ind w:left="0" w:firstLine="0"/>
        <w:contextualSpacing/>
        <w:rPr>
          <w:color w:val="auto"/>
        </w:rPr>
      </w:pPr>
      <w:r w:rsidRPr="00632362">
        <w:rPr>
          <w:color w:val="auto"/>
        </w:rPr>
        <w:t xml:space="preserve"> </w:t>
      </w:r>
    </w:p>
    <w:p w14:paraId="3825052B" w14:textId="6A371110" w:rsidR="00EA4457" w:rsidRPr="00632362" w:rsidRDefault="00632362" w:rsidP="00632362">
      <w:pPr>
        <w:spacing w:after="0" w:line="240" w:lineRule="auto"/>
        <w:ind w:left="0" w:firstLine="0"/>
        <w:contextualSpacing/>
        <w:rPr>
          <w:color w:val="auto"/>
        </w:rPr>
      </w:pPr>
      <w:r w:rsidRPr="00632362">
        <w:rPr>
          <w:color w:val="auto"/>
        </w:rPr>
        <w:t>Data were collated by Ben Jervis in 2023/2024 under the auspices of the Urban Life in a Time of Crisis: Enduring Urbanism in Medieval England (ENDURE), selected by the ERC and funded by UKRI under grant agreement EP/X023850/2</w:t>
      </w:r>
      <w:r w:rsidR="00975E7F">
        <w:rPr>
          <w:color w:val="auto"/>
        </w:rPr>
        <w:t>.</w:t>
      </w:r>
      <w:r w:rsidRPr="00632362">
        <w:rPr>
          <w:rFonts w:eastAsia="Calibri"/>
          <w:color w:val="auto"/>
        </w:rPr>
        <w:t xml:space="preserve"> </w:t>
      </w:r>
    </w:p>
    <w:sectPr w:rsidR="00EA4457" w:rsidRPr="00632362">
      <w:pgSz w:w="11905" w:h="16840"/>
      <w:pgMar w:top="1499" w:right="1488" w:bottom="1649"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3408" w14:textId="77777777" w:rsidR="004F5A9B" w:rsidRDefault="004F5A9B" w:rsidP="004F5A9B">
      <w:pPr>
        <w:spacing w:after="0" w:line="240" w:lineRule="auto"/>
      </w:pPr>
      <w:r>
        <w:separator/>
      </w:r>
    </w:p>
  </w:endnote>
  <w:endnote w:type="continuationSeparator" w:id="0">
    <w:p w14:paraId="47867ADA" w14:textId="77777777" w:rsidR="004F5A9B" w:rsidRDefault="004F5A9B" w:rsidP="004F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2392" w14:textId="77777777" w:rsidR="004F5A9B" w:rsidRDefault="004F5A9B" w:rsidP="004F5A9B">
      <w:pPr>
        <w:spacing w:after="0" w:line="240" w:lineRule="auto"/>
      </w:pPr>
      <w:r>
        <w:separator/>
      </w:r>
    </w:p>
  </w:footnote>
  <w:footnote w:type="continuationSeparator" w:id="0">
    <w:p w14:paraId="52122569" w14:textId="77777777" w:rsidR="004F5A9B" w:rsidRDefault="004F5A9B" w:rsidP="004F5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293"/>
    <w:multiLevelType w:val="hybridMultilevel"/>
    <w:tmpl w:val="F2CC0906"/>
    <w:lvl w:ilvl="0" w:tplc="B0A668C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AFE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C6E9F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8C9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E115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F2EA4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3A44E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B4EF3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928EA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307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57"/>
    <w:rsid w:val="00035F3D"/>
    <w:rsid w:val="00134885"/>
    <w:rsid w:val="004325AC"/>
    <w:rsid w:val="004F5A9B"/>
    <w:rsid w:val="005337C3"/>
    <w:rsid w:val="00632362"/>
    <w:rsid w:val="008E1DE7"/>
    <w:rsid w:val="00974805"/>
    <w:rsid w:val="00975E7F"/>
    <w:rsid w:val="00AE6C3D"/>
    <w:rsid w:val="00D80105"/>
    <w:rsid w:val="00EA4457"/>
    <w:rsid w:val="00FF2B3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0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1">
    <w:name w:val="Table Grid1"/>
    <w:basedOn w:val="TableNormal"/>
    <w:next w:val="TableGrid"/>
    <w:uiPriority w:val="39"/>
    <w:rsid w:val="00632362"/>
    <w:pPr>
      <w:spacing w:after="0" w:line="240" w:lineRule="auto"/>
    </w:pPr>
    <w:rPr>
      <w:rFonts w:ascii="Calibri" w:eastAsia="Times New Roman"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32362"/>
  </w:style>
  <w:style w:type="paragraph" w:styleId="Revision">
    <w:name w:val="Revision"/>
    <w:hidden/>
    <w:uiPriority w:val="99"/>
    <w:semiHidden/>
    <w:rsid w:val="005337C3"/>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4F5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9B"/>
    <w:rPr>
      <w:rFonts w:ascii="Times New Roman" w:eastAsia="Times New Roman" w:hAnsi="Times New Roman" w:cs="Times New Roman"/>
      <w:color w:val="000000"/>
    </w:rPr>
  </w:style>
  <w:style w:type="paragraph" w:styleId="Footer">
    <w:name w:val="footer"/>
    <w:basedOn w:val="Normal"/>
    <w:link w:val="FooterChar"/>
    <w:uiPriority w:val="99"/>
    <w:unhideWhenUsed/>
    <w:rsid w:val="004F5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9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story.ac.uk/cmh/gaz/gazweb2.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4036</Characters>
  <Application>Microsoft Office Word</Application>
  <DocSecurity>0</DocSecurity>
  <Lines>60</Lines>
  <Paragraphs>12</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2025-04-03T08:21:00Z</dcterms:created>
  <dcterms:modified xsi:type="dcterms:W3CDTF">2025-04-03T08:21:00Z</dcterms:modified>
</cp:coreProperties>
</file>