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5000" w:type="pct"/>
        <w:tblLook w:val="04A0" w:firstRow="1" w:lastRow="0" w:firstColumn="1" w:lastColumn="0" w:noHBand="0" w:noVBand="1"/>
      </w:tblPr>
      <w:tblGrid>
        <w:gridCol w:w="1626"/>
        <w:gridCol w:w="7446"/>
      </w:tblGrid>
      <w:tr w:rsidR="009D49B6" w:rsidRPr="009D49B6" w14:paraId="103B002B" w14:textId="77777777" w:rsidTr="003571B4">
        <w:trPr>
          <w:trHeight w:val="1134"/>
        </w:trPr>
        <w:tc>
          <w:tcPr>
            <w:tcW w:w="844" w:type="pct"/>
            <w:tcBorders>
              <w:top w:val="single" w:sz="12" w:space="0" w:color="C00000"/>
              <w:left w:val="nil"/>
              <w:bottom w:val="single" w:sz="12" w:space="0" w:color="C00000"/>
              <w:right w:val="nil"/>
            </w:tcBorders>
            <w:vAlign w:val="center"/>
          </w:tcPr>
          <w:p w14:paraId="3206D267" w14:textId="77777777" w:rsidR="009D49B6" w:rsidRPr="009D49B6" w:rsidRDefault="009D49B6" w:rsidP="009D49B6">
            <w:pPr>
              <w:jc w:val="center"/>
              <w:rPr>
                <w:rFonts w:ascii="Times New Roman" w:hAnsi="Times New Roman"/>
                <w:sz w:val="28"/>
                <w:szCs w:val="28"/>
              </w:rPr>
            </w:pPr>
            <w:r w:rsidRPr="009D49B6">
              <w:rPr>
                <w:rFonts w:ascii="Times New Roman" w:hAnsi="Times New Roman"/>
                <w:noProof/>
              </w:rPr>
              <w:drawing>
                <wp:inline distT="0" distB="0" distL="0" distR="0" wp14:anchorId="4282367B" wp14:editId="1870E3C1">
                  <wp:extent cx="885825" cy="885825"/>
                  <wp:effectExtent l="0" t="0" r="9525" b="9525"/>
                  <wp:docPr id="1262923420" name="Picture 1" descr="A red circle with a white letter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circle with a white letter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c>
        <w:tc>
          <w:tcPr>
            <w:tcW w:w="4156" w:type="pct"/>
            <w:tcBorders>
              <w:top w:val="single" w:sz="12" w:space="0" w:color="C00000"/>
              <w:left w:val="nil"/>
              <w:bottom w:val="single" w:sz="12" w:space="0" w:color="C00000"/>
              <w:right w:val="nil"/>
            </w:tcBorders>
            <w:vAlign w:val="center"/>
          </w:tcPr>
          <w:p w14:paraId="4AC29AC0" w14:textId="77777777" w:rsidR="009D49B6" w:rsidRPr="009D49B6" w:rsidRDefault="009D49B6" w:rsidP="009D49B6">
            <w:pPr>
              <w:spacing w:line="360" w:lineRule="auto"/>
              <w:jc w:val="both"/>
              <w:rPr>
                <w:rFonts w:ascii="Times New Roman" w:hAnsi="Times New Roman"/>
              </w:rPr>
            </w:pPr>
            <w:r w:rsidRPr="009D49B6">
              <w:rPr>
                <w:rFonts w:ascii="Times New Roman" w:hAnsi="Times New Roman"/>
              </w:rPr>
              <w:t xml:space="preserve">Supplementary material for </w:t>
            </w:r>
          </w:p>
          <w:p w14:paraId="26B78FB8" w14:textId="65708A18" w:rsidR="009D49B6" w:rsidRPr="009D49B6" w:rsidRDefault="009D49B6" w:rsidP="009D49B6">
            <w:pPr>
              <w:spacing w:line="360" w:lineRule="auto"/>
              <w:contextualSpacing/>
              <w:rPr>
                <w:rFonts w:ascii="Times New Roman" w:hAnsi="Times New Roman"/>
                <w:b/>
                <w:bCs/>
              </w:rPr>
            </w:pPr>
            <w:proofErr w:type="spellStart"/>
            <w:r w:rsidRPr="009D49B6">
              <w:rPr>
                <w:rFonts w:ascii="Times New Roman" w:hAnsi="Times New Roman"/>
                <w:smallCaps/>
                <w:lang w:val="es-ES"/>
              </w:rPr>
              <w:t>Smyth</w:t>
            </w:r>
            <w:proofErr w:type="spellEnd"/>
            <w:r>
              <w:rPr>
                <w:rFonts w:ascii="Times New Roman" w:hAnsi="Times New Roman"/>
                <w:smallCaps/>
                <w:lang w:val="es-ES"/>
              </w:rPr>
              <w:t>, J.</w:t>
            </w:r>
            <w:r w:rsidRPr="009D49B6">
              <w:rPr>
                <w:rFonts w:ascii="Times New Roman" w:hAnsi="Times New Roman"/>
                <w:smallCaps/>
                <w:lang w:val="es-ES"/>
              </w:rPr>
              <w:t>, N</w:t>
            </w:r>
            <w:r>
              <w:rPr>
                <w:rFonts w:ascii="Times New Roman" w:hAnsi="Times New Roman"/>
                <w:smallCaps/>
                <w:lang w:val="es-ES"/>
              </w:rPr>
              <w:t>.</w:t>
            </w:r>
            <w:r w:rsidRPr="009D49B6">
              <w:rPr>
                <w:rFonts w:ascii="Times New Roman" w:hAnsi="Times New Roman"/>
                <w:smallCaps/>
                <w:lang w:val="es-ES"/>
              </w:rPr>
              <w:t xml:space="preserve"> Carlin, D</w:t>
            </w:r>
            <w:r>
              <w:rPr>
                <w:rFonts w:ascii="Times New Roman" w:hAnsi="Times New Roman"/>
                <w:smallCaps/>
                <w:lang w:val="es-ES"/>
              </w:rPr>
              <w:t>.</w:t>
            </w:r>
            <w:r w:rsidRPr="009D49B6">
              <w:rPr>
                <w:rFonts w:ascii="Times New Roman" w:hAnsi="Times New Roman"/>
                <w:smallCaps/>
                <w:lang w:val="es-ES"/>
              </w:rPr>
              <w:t xml:space="preserve"> Hofmann, C</w:t>
            </w:r>
            <w:r>
              <w:rPr>
                <w:rFonts w:ascii="Times New Roman" w:hAnsi="Times New Roman"/>
                <w:smallCaps/>
                <w:lang w:val="es-ES"/>
              </w:rPr>
              <w:t>.</w:t>
            </w:r>
            <w:r w:rsidRPr="009D49B6">
              <w:rPr>
                <w:rFonts w:ascii="Times New Roman" w:hAnsi="Times New Roman"/>
                <w:smallCaps/>
                <w:lang w:val="es-ES"/>
              </w:rPr>
              <w:t xml:space="preserve">J. </w:t>
            </w:r>
            <w:proofErr w:type="spellStart"/>
            <w:r w:rsidRPr="009D49B6">
              <w:rPr>
                <w:rFonts w:ascii="Times New Roman" w:hAnsi="Times New Roman"/>
                <w:smallCaps/>
                <w:lang w:val="es-ES"/>
              </w:rPr>
              <w:t>Frieman</w:t>
            </w:r>
            <w:proofErr w:type="spellEnd"/>
            <w:r w:rsidRPr="009D49B6">
              <w:rPr>
                <w:rFonts w:ascii="Times New Roman" w:hAnsi="Times New Roman"/>
                <w:smallCaps/>
                <w:lang w:val="es-ES"/>
              </w:rPr>
              <w:t>, P</w:t>
            </w:r>
            <w:r>
              <w:rPr>
                <w:rFonts w:ascii="Times New Roman" w:hAnsi="Times New Roman"/>
                <w:smallCaps/>
                <w:lang w:val="es-ES"/>
              </w:rPr>
              <w:t>.</w:t>
            </w:r>
            <w:r w:rsidRPr="009D49B6">
              <w:rPr>
                <w:rFonts w:ascii="Times New Roman" w:hAnsi="Times New Roman"/>
                <w:smallCaps/>
                <w:lang w:val="es-ES"/>
              </w:rPr>
              <w:t xml:space="preserve"> </w:t>
            </w:r>
            <w:proofErr w:type="spellStart"/>
            <w:r w:rsidRPr="009D49B6">
              <w:rPr>
                <w:rFonts w:ascii="Times New Roman" w:hAnsi="Times New Roman"/>
                <w:smallCaps/>
                <w:lang w:val="es-ES"/>
              </w:rPr>
              <w:t>Bickle</w:t>
            </w:r>
            <w:proofErr w:type="spellEnd"/>
            <w:r w:rsidRPr="009D49B6">
              <w:rPr>
                <w:rFonts w:ascii="Times New Roman" w:hAnsi="Times New Roman"/>
                <w:smallCaps/>
                <w:lang w:val="es-ES"/>
              </w:rPr>
              <w:t>, K</w:t>
            </w:r>
            <w:r>
              <w:rPr>
                <w:rFonts w:ascii="Times New Roman" w:hAnsi="Times New Roman"/>
                <w:smallCaps/>
                <w:lang w:val="es-ES"/>
              </w:rPr>
              <w:t>.</w:t>
            </w:r>
            <w:r w:rsidRPr="009D49B6">
              <w:rPr>
                <w:rFonts w:ascii="Times New Roman" w:hAnsi="Times New Roman"/>
                <w:smallCaps/>
                <w:lang w:val="es-ES"/>
              </w:rPr>
              <w:t xml:space="preserve"> Cleary, S</w:t>
            </w:r>
            <w:r>
              <w:rPr>
                <w:rFonts w:ascii="Times New Roman" w:hAnsi="Times New Roman"/>
                <w:smallCaps/>
                <w:lang w:val="es-ES"/>
              </w:rPr>
              <w:t xml:space="preserve">. </w:t>
            </w:r>
            <w:proofErr w:type="spellStart"/>
            <w:r w:rsidRPr="009D49B6">
              <w:rPr>
                <w:rFonts w:ascii="Times New Roman" w:hAnsi="Times New Roman"/>
                <w:smallCaps/>
                <w:lang w:val="es-ES"/>
              </w:rPr>
              <w:t>Greaney</w:t>
            </w:r>
            <w:proofErr w:type="spellEnd"/>
            <w:r w:rsidRPr="009D49B6">
              <w:rPr>
                <w:rFonts w:ascii="Times New Roman" w:hAnsi="Times New Roman"/>
                <w:smallCaps/>
                <w:lang w:val="es-ES"/>
              </w:rPr>
              <w:t xml:space="preserve"> &amp; R</w:t>
            </w:r>
            <w:r>
              <w:rPr>
                <w:rFonts w:ascii="Times New Roman" w:hAnsi="Times New Roman"/>
                <w:smallCaps/>
                <w:lang w:val="es-ES"/>
              </w:rPr>
              <w:t>.</w:t>
            </w:r>
            <w:r w:rsidRPr="009D49B6">
              <w:rPr>
                <w:rFonts w:ascii="Times New Roman" w:hAnsi="Times New Roman"/>
                <w:smallCaps/>
                <w:lang w:val="es-ES"/>
              </w:rPr>
              <w:t xml:space="preserve"> Pope</w:t>
            </w:r>
            <w:r w:rsidRPr="009D49B6">
              <w:rPr>
                <w:rFonts w:ascii="Times New Roman" w:hAnsi="Times New Roman"/>
                <w:lang w:val="es-ES"/>
              </w:rPr>
              <w:t xml:space="preserve">. </w:t>
            </w:r>
            <w:r w:rsidRPr="009D49B6">
              <w:rPr>
                <w:rFonts w:ascii="Times New Roman" w:hAnsi="Times New Roman"/>
              </w:rPr>
              <w:t>2025</w:t>
            </w:r>
            <w:r w:rsidRPr="00E06E06">
              <w:rPr>
                <w:rFonts w:ascii="Times New Roman" w:hAnsi="Times New Roman"/>
              </w:rPr>
              <w:t>.</w:t>
            </w:r>
            <w:r w:rsidRPr="00E06E06">
              <w:rPr>
                <w:rFonts w:ascii="Times New Roman" w:hAnsi="Times New Roman"/>
                <w:b/>
                <w:bCs/>
              </w:rPr>
              <w:t xml:space="preserve"> The ‘king’ of Newgrange? A critical analysis of a Neolithic petrous fragment from the passage tomb chamber. </w:t>
            </w:r>
            <w:r w:rsidRPr="009D49B6">
              <w:rPr>
                <w:rFonts w:ascii="Times New Roman" w:hAnsi="Times New Roman"/>
                <w:i/>
                <w:iCs/>
              </w:rPr>
              <w:t>Antiquity</w:t>
            </w:r>
            <w:r w:rsidRPr="009D49B6">
              <w:rPr>
                <w:rFonts w:ascii="Times New Roman" w:hAnsi="Times New Roman"/>
              </w:rPr>
              <w:t xml:space="preserve"> 99.</w:t>
            </w:r>
          </w:p>
          <w:p w14:paraId="6B1142C2" w14:textId="1087F4BA" w:rsidR="009D49B6" w:rsidRPr="009D49B6" w:rsidRDefault="009D49B6" w:rsidP="009D49B6">
            <w:pPr>
              <w:spacing w:line="360" w:lineRule="auto"/>
              <w:rPr>
                <w:rFonts w:ascii="Times New Roman" w:hAnsi="Times New Roman"/>
                <w:b/>
                <w:bCs/>
              </w:rPr>
            </w:pPr>
            <w:r w:rsidRPr="009D49B6">
              <w:rPr>
                <w:rFonts w:ascii="Times New Roman" w:hAnsi="Times New Roman"/>
              </w:rPr>
              <w:t xml:space="preserve">Author for correspondence </w:t>
            </w:r>
            <w:r w:rsidRPr="009D49B6">
              <w:rPr>
                <w:rFonts w:ascii="Segoe UI Symbol" w:eastAsia="Arial Unicode MS" w:hAnsi="Segoe UI Symbol" w:cs="Segoe UI Symbol"/>
                <w:color w:val="000000"/>
                <w:bdr w:val="nil"/>
              </w:rPr>
              <w:t>✉</w:t>
            </w:r>
            <w:r w:rsidRPr="009D49B6">
              <w:rPr>
                <w:rFonts w:ascii="Times New Roman" w:eastAsia="Arial Unicode MS" w:hAnsi="Times New Roman"/>
                <w:color w:val="000000"/>
                <w:bdr w:val="nil"/>
              </w:rPr>
              <w:t xml:space="preserve"> </w:t>
            </w:r>
            <w:r w:rsidRPr="00A941D3">
              <w:rPr>
                <w:rFonts w:ascii="Times New Roman" w:hAnsi="Times New Roman"/>
              </w:rPr>
              <w:t>jessica.smyth@ucd.ie</w:t>
            </w:r>
          </w:p>
        </w:tc>
      </w:tr>
    </w:tbl>
    <w:p w14:paraId="25FC7802" w14:textId="77777777" w:rsidR="009D49B6" w:rsidRDefault="009D49B6">
      <w:pPr>
        <w:rPr>
          <w:b/>
          <w:bCs/>
        </w:rPr>
      </w:pPr>
    </w:p>
    <w:p w14:paraId="41D7E139" w14:textId="30841137" w:rsidR="00B25702" w:rsidRPr="00A563D2" w:rsidRDefault="00B11BED">
      <w:pPr>
        <w:rPr>
          <w:b/>
          <w:bCs/>
        </w:rPr>
      </w:pPr>
      <w:r w:rsidRPr="00A563D2">
        <w:rPr>
          <w:b/>
          <w:bCs/>
        </w:rPr>
        <w:t>Supplementary Information</w:t>
      </w:r>
      <w:r w:rsidR="00FD2A68" w:rsidRPr="00A563D2">
        <w:rPr>
          <w:b/>
          <w:bCs/>
        </w:rPr>
        <w:t xml:space="preserve">: </w:t>
      </w:r>
      <w:r w:rsidR="00A563D2">
        <w:rPr>
          <w:b/>
          <w:bCs/>
        </w:rPr>
        <w:t>a</w:t>
      </w:r>
      <w:r w:rsidR="005B166C" w:rsidRPr="00A563D2">
        <w:rPr>
          <w:b/>
          <w:bCs/>
        </w:rPr>
        <w:t xml:space="preserve"> brief summary of early</w:t>
      </w:r>
      <w:r w:rsidR="00FD2A68" w:rsidRPr="00A563D2">
        <w:rPr>
          <w:b/>
          <w:bCs/>
        </w:rPr>
        <w:t xml:space="preserve"> investigations at Newgrange</w:t>
      </w:r>
    </w:p>
    <w:p w14:paraId="68B43871" w14:textId="77777777" w:rsidR="005B166C" w:rsidRDefault="005B166C"/>
    <w:p w14:paraId="4DD0ADFC" w14:textId="06365AFB" w:rsidR="00FD2A68" w:rsidRDefault="005B166C">
      <w:r>
        <w:t xml:space="preserve">Given its striking size, Newgrange </w:t>
      </w:r>
      <w:r w:rsidR="00B11BED">
        <w:t xml:space="preserve">has </w:t>
      </w:r>
      <w:r>
        <w:t xml:space="preserve">attracted considerable antiquarian interest since its rediscovery in </w:t>
      </w:r>
      <w:r w:rsidRPr="005B166C">
        <w:t>1699 (</w:t>
      </w:r>
      <w:proofErr w:type="spellStart"/>
      <w:r w:rsidRPr="005B166C">
        <w:t>Lhwyd</w:t>
      </w:r>
      <w:proofErr w:type="spellEnd"/>
      <w:r w:rsidRPr="005B166C">
        <w:t xml:space="preserve"> 1710)</w:t>
      </w:r>
      <w:r>
        <w:t xml:space="preserve">. This </w:t>
      </w:r>
      <w:r w:rsidR="00B11BED">
        <w:t xml:space="preserve">has </w:t>
      </w:r>
      <w:r>
        <w:t>both caused structural alterations and introduced elements of uncertainty regarding the appearance and location of human remains, which can be traced through subsequent reporting and interpretation.</w:t>
      </w:r>
      <w:r w:rsidR="00A563D2">
        <w:t xml:space="preserve"> </w:t>
      </w:r>
      <w:r w:rsidR="00B11BED">
        <w:t>Late 18</w:t>
      </w:r>
      <w:r w:rsidR="00B11BED" w:rsidRPr="00B11BED">
        <w:rPr>
          <w:vertAlign w:val="superscript"/>
        </w:rPr>
        <w:t>th</w:t>
      </w:r>
      <w:r w:rsidR="00B11BED">
        <w:t xml:space="preserve"> century</w:t>
      </w:r>
      <w:r>
        <w:t xml:space="preserve"> </w:t>
      </w:r>
      <w:r w:rsidR="00B11BED">
        <w:t>visitors to</w:t>
      </w:r>
      <w:r w:rsidR="00247C95">
        <w:t xml:space="preserve"> </w:t>
      </w:r>
      <w:r>
        <w:t xml:space="preserve">the tomb </w:t>
      </w:r>
      <w:r w:rsidR="00B11BED">
        <w:t>dug</w:t>
      </w:r>
      <w:r w:rsidR="00B11BED" w:rsidRPr="00B11BED">
        <w:t xml:space="preserve"> through the rear recess in search of treasure</w:t>
      </w:r>
      <w:r w:rsidR="00B11BED">
        <w:t xml:space="preserve">, smashing its basin stone in the process, </w:t>
      </w:r>
      <w:r>
        <w:t xml:space="preserve">and by 1891 the </w:t>
      </w:r>
      <w:r w:rsidR="00FD2A68" w:rsidRPr="00690376">
        <w:t xml:space="preserve">upper basin stone </w:t>
      </w:r>
      <w:r w:rsidR="00B11BED">
        <w:t>from</w:t>
      </w:r>
      <w:r w:rsidR="00FD2A68" w:rsidRPr="00690376">
        <w:t xml:space="preserve"> the right recess </w:t>
      </w:r>
      <w:r w:rsidR="00B11BED">
        <w:t xml:space="preserve">had been moved </w:t>
      </w:r>
      <w:r w:rsidR="00FD2A68" w:rsidRPr="00690376">
        <w:t>to the centre of the tomb chamber</w:t>
      </w:r>
      <w:r w:rsidR="00B11BED">
        <w:t>, where it remained until the 1950s</w:t>
      </w:r>
      <w:r w:rsidR="00FD2A68" w:rsidRPr="00690376">
        <w:t xml:space="preserve"> (Coffey 1892; O’Kelly 1982: 38, 102</w:t>
      </w:r>
      <w:r w:rsidR="00B11BED">
        <w:t xml:space="preserve">; </w:t>
      </w:r>
      <w:r w:rsidR="00A563D2" w:rsidRPr="00A563D2">
        <w:t>Stout &amp; Stout 2008</w:t>
      </w:r>
      <w:r w:rsidR="00A563D2">
        <w:t>:</w:t>
      </w:r>
      <w:r w:rsidR="00A563D2" w:rsidRPr="00A563D2">
        <w:t xml:space="preserve"> 55</w:t>
      </w:r>
      <w:r w:rsidR="00FD2A68" w:rsidRPr="00690376">
        <w:t xml:space="preserve">). In the late 1880s, restoration work by the </w:t>
      </w:r>
      <w:r w:rsidR="00C351B0">
        <w:t xml:space="preserve">Board of Works (now </w:t>
      </w:r>
      <w:r w:rsidR="00FD2A68" w:rsidRPr="00690376">
        <w:t xml:space="preserve">Office of Public Works </w:t>
      </w:r>
      <w:r w:rsidR="00C351B0">
        <w:t xml:space="preserve">or </w:t>
      </w:r>
      <w:r w:rsidR="00FD2A68" w:rsidRPr="00690376">
        <w:t>OPW) also significantly disturbed the interior.</w:t>
      </w:r>
      <w:r w:rsidR="00E06E06">
        <w:t xml:space="preserve"> </w:t>
      </w:r>
      <w:r w:rsidR="00FD2A68" w:rsidRPr="00690376">
        <w:t>These interventions extended into all of the tomb recesses, with concrete spread over some of the floors and cast into plinths to support timber struts (O’Kelly 1982: fig</w:t>
      </w:r>
      <w:r w:rsidR="004515CA">
        <w:t>.</w:t>
      </w:r>
      <w:r w:rsidR="00FD2A68" w:rsidRPr="00690376">
        <w:t xml:space="preserve"> 4) and the basin stone in the left recess apparently moved.  By the late 19th century, Newgrange was already viewed as a ‘despoiled tumulus’, with little in the tomb thought to remain intact (Coffey 1892: 15). Major disturbance also took place in 1901, when holes were dug along the front of the orthostats in the passage and chamber to facilitate recording of the megalithic art (O’Kelly 1982: 102), and again from the mid-1950s, when work facilitating increasing tourist access was conducted. </w:t>
      </w:r>
    </w:p>
    <w:p w14:paraId="5E915D46" w14:textId="77777777" w:rsidR="00F96D0E" w:rsidRDefault="00F96D0E"/>
    <w:p w14:paraId="45DA4A7F" w14:textId="168D4858" w:rsidR="00FD2A68" w:rsidRPr="00690376" w:rsidRDefault="005B166C" w:rsidP="00FD2A68">
      <w:r>
        <w:t xml:space="preserve">The presence of human remains in the chamber was also extensively discussed by antiquarians. </w:t>
      </w:r>
      <w:r w:rsidR="00FD2A68">
        <w:t xml:space="preserve">Crucially, early in the history of investigation of Newgrange, </w:t>
      </w:r>
      <w:r w:rsidR="00FD2A68" w:rsidRPr="00690376">
        <w:t>Thomas Molyneux (1726: 204</w:t>
      </w:r>
      <w:r w:rsidR="00FD2A68">
        <w:t>)</w:t>
      </w:r>
      <w:r w:rsidR="00FD2A68" w:rsidRPr="00690376">
        <w:t xml:space="preserve"> was told by the landowner Charles Campbell that “</w:t>
      </w:r>
      <w:r w:rsidR="00FD2A68" w:rsidRPr="00A152B8">
        <w:t xml:space="preserve">when first the cave was opened, the bones of two dead bodies entire, not burnt, were found upon the floor, in </w:t>
      </w:r>
      <w:proofErr w:type="spellStart"/>
      <w:r w:rsidR="00FD2A68" w:rsidRPr="00A152B8">
        <w:t>likelyhood</w:t>
      </w:r>
      <w:proofErr w:type="spellEnd"/>
      <w:r w:rsidR="00FD2A68" w:rsidRPr="00A152B8">
        <w:t xml:space="preserve"> the </w:t>
      </w:r>
      <w:proofErr w:type="spellStart"/>
      <w:r w:rsidR="00FD2A68" w:rsidRPr="00A152B8">
        <w:t>reliques</w:t>
      </w:r>
      <w:proofErr w:type="spellEnd"/>
      <w:r w:rsidR="00FD2A68" w:rsidRPr="00A152B8">
        <w:t xml:space="preserve"> of a husband and his wife</w:t>
      </w:r>
      <w:r w:rsidR="00FD2A68" w:rsidRPr="00690376">
        <w:t>”. While discounting the more fanciful elements of this account, O’Kelly (1982: 24, 107) was struck by the similarities between this apparent double burial and the human bone report recording the unburnt remains of at least two individuals, one likely male (</w:t>
      </w:r>
      <w:proofErr w:type="spellStart"/>
      <w:r w:rsidR="00FD2A68" w:rsidRPr="00690376">
        <w:t>Fraher</w:t>
      </w:r>
      <w:proofErr w:type="spellEnd"/>
      <w:r w:rsidR="00FD2A68" w:rsidRPr="00690376">
        <w:t xml:space="preserve"> 1982: 198, 200</w:t>
      </w:r>
      <w:r w:rsidR="00FD2A68">
        <w:t xml:space="preserve">; also </w:t>
      </w:r>
      <w:r w:rsidR="00FD2A68" w:rsidRPr="00690376">
        <w:t xml:space="preserve">O’Sullivan 1982). Based on this, O’Kelly (1982: 107 [emphasis added]) suggested that this material “may have been derived from a </w:t>
      </w:r>
      <w:r w:rsidR="00FD2A68" w:rsidRPr="00690376">
        <w:rPr>
          <w:i/>
          <w:iCs/>
        </w:rPr>
        <w:t>pair</w:t>
      </w:r>
      <w:r w:rsidR="00FD2A68" w:rsidRPr="00690376">
        <w:t xml:space="preserve"> of skeletons”, presumably (although not explicitly) referring to </w:t>
      </w:r>
      <w:r w:rsidR="00FD2A68">
        <w:t>those</w:t>
      </w:r>
      <w:r w:rsidR="00FD2A68" w:rsidRPr="00690376">
        <w:t xml:space="preserve"> mentioned by Molyneux. However, Molyneux is alone among early visitors to Newgrange in describing articulated human remains, and the veracity of his supposed ‘eye witness’ account has been challenged (Coffey 1892: 15; </w:t>
      </w:r>
      <w:proofErr w:type="spellStart"/>
      <w:r w:rsidR="00FD2A68" w:rsidRPr="00690376">
        <w:t>Herity</w:t>
      </w:r>
      <w:proofErr w:type="spellEnd"/>
      <w:r w:rsidR="00FD2A68" w:rsidRPr="00690376">
        <w:t xml:space="preserve"> 1967: 130–1). Significantly, the first antiquarian to visit Newgrange, Edward </w:t>
      </w:r>
      <w:proofErr w:type="spellStart"/>
      <w:r w:rsidR="00FD2A68" w:rsidRPr="00690376">
        <w:t>Lhwyd</w:t>
      </w:r>
      <w:proofErr w:type="spellEnd"/>
      <w:r w:rsidR="00FD2A68" w:rsidRPr="00690376">
        <w:t xml:space="preserve"> (1710: 504) observed the basin stones in the chamber recesses and “loose stones </w:t>
      </w:r>
      <w:proofErr w:type="spellStart"/>
      <w:r w:rsidR="00FD2A68" w:rsidRPr="00690376">
        <w:t>every where</w:t>
      </w:r>
      <w:proofErr w:type="spellEnd"/>
      <w:r w:rsidR="00FD2A68" w:rsidRPr="00690376">
        <w:t xml:space="preserve"> under feet”, but does not mention any burial deposits. His account of what was previously retrieved is telling: “They found several bones in the cave…and some other things, </w:t>
      </w:r>
      <w:r w:rsidR="00FD2A68" w:rsidRPr="00690376">
        <w:rPr>
          <w:i/>
          <w:iCs/>
        </w:rPr>
        <w:lastRenderedPageBreak/>
        <w:t xml:space="preserve">which I omit, because the labourers </w:t>
      </w:r>
      <w:proofErr w:type="spellStart"/>
      <w:r w:rsidR="00FD2A68" w:rsidRPr="00690376">
        <w:rPr>
          <w:i/>
          <w:iCs/>
        </w:rPr>
        <w:t>differ’d</w:t>
      </w:r>
      <w:proofErr w:type="spellEnd"/>
      <w:r w:rsidR="00FD2A68" w:rsidRPr="00690376">
        <w:rPr>
          <w:i/>
          <w:iCs/>
        </w:rPr>
        <w:t xml:space="preserve"> in their account</w:t>
      </w:r>
      <w:r w:rsidR="00FD2A68" w:rsidRPr="00690376">
        <w:t>” (</w:t>
      </w:r>
      <w:proofErr w:type="spellStart"/>
      <w:r w:rsidR="00FD2A68" w:rsidRPr="00690376">
        <w:t>Lhwyd</w:t>
      </w:r>
      <w:proofErr w:type="spellEnd"/>
      <w:r w:rsidR="00FD2A68" w:rsidRPr="00690376">
        <w:t xml:space="preserve"> 1710: 504; [emphasis added]).</w:t>
      </w:r>
      <w:r w:rsidR="00E06E06">
        <w:t xml:space="preserve"> </w:t>
      </w:r>
    </w:p>
    <w:p w14:paraId="718EEFA8" w14:textId="77777777" w:rsidR="00FD2A68" w:rsidRDefault="00FD2A68"/>
    <w:p w14:paraId="20347533" w14:textId="3443279C" w:rsidR="00FD2A68" w:rsidRPr="00A563D2" w:rsidRDefault="009D49B6" w:rsidP="00FD2A68">
      <w:r w:rsidRPr="009D49B6">
        <w:rPr>
          <w:smallCaps/>
        </w:rPr>
        <w:t xml:space="preserve">Coffey, G. </w:t>
      </w:r>
      <w:r w:rsidR="00FD2A68" w:rsidRPr="00A563D2">
        <w:t xml:space="preserve">1892. On the </w:t>
      </w:r>
      <w:r w:rsidRPr="00A563D2">
        <w:t xml:space="preserve">tumuli and inscribed stones </w:t>
      </w:r>
      <w:r w:rsidR="00FD2A68" w:rsidRPr="00A563D2">
        <w:t xml:space="preserve">at New Grange, Dowth, and </w:t>
      </w:r>
      <w:proofErr w:type="spellStart"/>
      <w:r w:rsidR="00FD2A68" w:rsidRPr="00A563D2">
        <w:t>Knowth</w:t>
      </w:r>
      <w:proofErr w:type="spellEnd"/>
      <w:r w:rsidR="00FD2A68" w:rsidRPr="00A563D2">
        <w:t xml:space="preserve">. </w:t>
      </w:r>
      <w:r w:rsidR="00FD2A68" w:rsidRPr="00A563D2">
        <w:rPr>
          <w:i/>
          <w:iCs/>
        </w:rPr>
        <w:t>Transactions of the Royal Irish Academy</w:t>
      </w:r>
      <w:r w:rsidR="00FD2A68" w:rsidRPr="00A563D2">
        <w:t xml:space="preserve"> 30: 1–95.</w:t>
      </w:r>
    </w:p>
    <w:p w14:paraId="20F5EB8C" w14:textId="63628A4B" w:rsidR="005B166C" w:rsidRPr="00A563D2" w:rsidRDefault="009D49B6" w:rsidP="00FD2A68">
      <w:proofErr w:type="spellStart"/>
      <w:r w:rsidRPr="009D49B6">
        <w:rPr>
          <w:smallCaps/>
        </w:rPr>
        <w:t>Fraher</w:t>
      </w:r>
      <w:proofErr w:type="spellEnd"/>
      <w:r w:rsidRPr="009D49B6">
        <w:rPr>
          <w:smallCaps/>
        </w:rPr>
        <w:t>, T.P.</w:t>
      </w:r>
      <w:r w:rsidRPr="00A563D2">
        <w:t xml:space="preserve"> </w:t>
      </w:r>
      <w:r w:rsidR="005B166C" w:rsidRPr="00A563D2">
        <w:t>1982. Appendix B, 1: The human skeletal remains, in</w:t>
      </w:r>
      <w:r>
        <w:t xml:space="preserve"> M.</w:t>
      </w:r>
      <w:r w:rsidR="005B166C" w:rsidRPr="00A563D2">
        <w:t xml:space="preserve"> O’Kelly</w:t>
      </w:r>
      <w:r>
        <w:t>,</w:t>
      </w:r>
      <w:r w:rsidR="005B166C" w:rsidRPr="00A563D2">
        <w:t xml:space="preserve"> </w:t>
      </w:r>
      <w:r w:rsidR="005B166C" w:rsidRPr="00A563D2">
        <w:rPr>
          <w:i/>
          <w:iCs/>
        </w:rPr>
        <w:t xml:space="preserve">Newgrange: </w:t>
      </w:r>
      <w:r w:rsidRPr="00A563D2">
        <w:rPr>
          <w:i/>
          <w:iCs/>
        </w:rPr>
        <w:t>archaeology, art and legend</w:t>
      </w:r>
      <w:r w:rsidR="005B166C" w:rsidRPr="00A563D2">
        <w:t>: 197–205. London: Thames &amp; Hudson.</w:t>
      </w:r>
    </w:p>
    <w:p w14:paraId="704EB86E" w14:textId="5A7E19B4" w:rsidR="005B166C" w:rsidRPr="00A563D2" w:rsidRDefault="009D49B6" w:rsidP="00FD2A68">
      <w:proofErr w:type="spellStart"/>
      <w:r w:rsidRPr="009D49B6">
        <w:rPr>
          <w:smallCaps/>
        </w:rPr>
        <w:t>Herity</w:t>
      </w:r>
      <w:proofErr w:type="spellEnd"/>
      <w:r w:rsidRPr="009D49B6">
        <w:rPr>
          <w:smallCaps/>
        </w:rPr>
        <w:t>, M.</w:t>
      </w:r>
      <w:r w:rsidRPr="00A563D2">
        <w:t xml:space="preserve"> </w:t>
      </w:r>
      <w:r w:rsidR="005B166C" w:rsidRPr="00A563D2">
        <w:t xml:space="preserve">1967. From </w:t>
      </w:r>
      <w:proofErr w:type="spellStart"/>
      <w:r w:rsidR="005B166C" w:rsidRPr="00A563D2">
        <w:t>Lhuyd</w:t>
      </w:r>
      <w:proofErr w:type="spellEnd"/>
      <w:r w:rsidR="005B166C" w:rsidRPr="00A563D2">
        <w:t xml:space="preserve"> to Coffey: new information from unpublished descriptions of the Boyne Valley tombs. </w:t>
      </w:r>
      <w:r w:rsidR="005B166C" w:rsidRPr="00A563D2">
        <w:rPr>
          <w:i/>
          <w:iCs/>
        </w:rPr>
        <w:t>Studia Hibernica</w:t>
      </w:r>
      <w:r w:rsidR="005B166C" w:rsidRPr="00A563D2">
        <w:t xml:space="preserve"> 7: 127–45.</w:t>
      </w:r>
    </w:p>
    <w:p w14:paraId="0EA54485" w14:textId="01DC032A" w:rsidR="005B166C" w:rsidRPr="00A563D2" w:rsidRDefault="009D49B6" w:rsidP="00FD2A68">
      <w:proofErr w:type="spellStart"/>
      <w:r w:rsidRPr="009D49B6">
        <w:rPr>
          <w:smallCaps/>
        </w:rPr>
        <w:t>Lhwyd</w:t>
      </w:r>
      <w:proofErr w:type="spellEnd"/>
      <w:r w:rsidRPr="009D49B6">
        <w:rPr>
          <w:smallCaps/>
        </w:rPr>
        <w:t>, E.</w:t>
      </w:r>
      <w:r w:rsidRPr="00A563D2">
        <w:t xml:space="preserve"> </w:t>
      </w:r>
      <w:r w:rsidR="005B166C" w:rsidRPr="00A563D2">
        <w:t xml:space="preserve">1710. Several </w:t>
      </w:r>
      <w:r w:rsidRPr="00A563D2">
        <w:t xml:space="preserve">observations relating to the antiquities and natural history </w:t>
      </w:r>
      <w:r w:rsidR="005B166C" w:rsidRPr="00A563D2">
        <w:t xml:space="preserve">of Ireland, Made by Mr. Edw. </w:t>
      </w:r>
      <w:proofErr w:type="spellStart"/>
      <w:r w:rsidR="005B166C" w:rsidRPr="00A563D2">
        <w:t>Lhwyd</w:t>
      </w:r>
      <w:proofErr w:type="spellEnd"/>
      <w:r w:rsidR="005B166C" w:rsidRPr="00A563D2">
        <w:t xml:space="preserve">, in </w:t>
      </w:r>
      <w:r w:rsidRPr="00A563D2">
        <w:t xml:space="preserve">his travels </w:t>
      </w:r>
      <w:proofErr w:type="spellStart"/>
      <w:r w:rsidRPr="00A563D2">
        <w:t>thro</w:t>
      </w:r>
      <w:proofErr w:type="spellEnd"/>
      <w:r w:rsidRPr="00A563D2">
        <w:t>’ that kingdom</w:t>
      </w:r>
      <w:r w:rsidR="005B166C" w:rsidRPr="00A563D2">
        <w:t xml:space="preserve">, in Letter to </w:t>
      </w:r>
      <w:proofErr w:type="spellStart"/>
      <w:r w:rsidR="005B166C" w:rsidRPr="00A563D2">
        <w:t>Dr.</w:t>
      </w:r>
      <w:proofErr w:type="spellEnd"/>
      <w:r w:rsidR="005B166C" w:rsidRPr="00A563D2">
        <w:t xml:space="preserve"> Tancred Robinson, Fellow of the College of Physicians and Royal Society. </w:t>
      </w:r>
      <w:r w:rsidR="005B166C" w:rsidRPr="00A563D2">
        <w:rPr>
          <w:i/>
          <w:iCs/>
        </w:rPr>
        <w:t>Philosophical Transactions</w:t>
      </w:r>
      <w:r w:rsidR="005B166C" w:rsidRPr="00A563D2">
        <w:t xml:space="preserve"> (1683-1775) 27: 503–506.</w:t>
      </w:r>
    </w:p>
    <w:p w14:paraId="7A855D47" w14:textId="3DA59E6E" w:rsidR="005B166C" w:rsidRPr="00A563D2" w:rsidRDefault="009D49B6" w:rsidP="00FD2A68">
      <w:r w:rsidRPr="009D49B6">
        <w:rPr>
          <w:smallCaps/>
        </w:rPr>
        <w:t>Molyneux, T.</w:t>
      </w:r>
      <w:r w:rsidRPr="00A563D2">
        <w:t xml:space="preserve"> </w:t>
      </w:r>
      <w:r w:rsidR="005B166C" w:rsidRPr="00A563D2">
        <w:t xml:space="preserve">1726. </w:t>
      </w:r>
      <w:r w:rsidR="005B166C" w:rsidRPr="00A563D2">
        <w:rPr>
          <w:i/>
          <w:iCs/>
        </w:rPr>
        <w:t>A Discourse concerning the Danish Mounts, Forts and Towers in Ireland</w:t>
      </w:r>
      <w:r w:rsidR="005B166C" w:rsidRPr="00A563D2">
        <w:t>. Dublin: George Grierson.</w:t>
      </w:r>
    </w:p>
    <w:p w14:paraId="1F411E4F" w14:textId="7DB3F952" w:rsidR="00FD2A68" w:rsidRPr="00A563D2" w:rsidRDefault="009D49B6">
      <w:proofErr w:type="spellStart"/>
      <w:r w:rsidRPr="009D49B6">
        <w:rPr>
          <w:smallCaps/>
        </w:rPr>
        <w:t>O’kelly</w:t>
      </w:r>
      <w:proofErr w:type="spellEnd"/>
      <w:r w:rsidRPr="009D49B6">
        <w:rPr>
          <w:smallCaps/>
        </w:rPr>
        <w:t>, M.J.</w:t>
      </w:r>
      <w:r w:rsidRPr="00A563D2">
        <w:t xml:space="preserve"> </w:t>
      </w:r>
      <w:r w:rsidR="00FD2A68" w:rsidRPr="00A563D2">
        <w:t xml:space="preserve">1982. </w:t>
      </w:r>
      <w:r w:rsidR="00FD2A68" w:rsidRPr="00A563D2">
        <w:rPr>
          <w:i/>
          <w:iCs/>
        </w:rPr>
        <w:t xml:space="preserve">Newgrange: </w:t>
      </w:r>
      <w:r w:rsidRPr="00A563D2">
        <w:rPr>
          <w:i/>
          <w:iCs/>
        </w:rPr>
        <w:t>archaeology, art and legend</w:t>
      </w:r>
      <w:r w:rsidR="00FD2A68" w:rsidRPr="00A563D2">
        <w:t>. London: Thames &amp; Hudson.</w:t>
      </w:r>
    </w:p>
    <w:p w14:paraId="6545A250" w14:textId="5839ED93" w:rsidR="005B166C" w:rsidRPr="00A563D2" w:rsidRDefault="009D49B6">
      <w:proofErr w:type="spellStart"/>
      <w:r w:rsidRPr="009D49B6">
        <w:rPr>
          <w:smallCaps/>
        </w:rPr>
        <w:t>O’sullivan</w:t>
      </w:r>
      <w:proofErr w:type="spellEnd"/>
      <w:r w:rsidRPr="009D49B6">
        <w:rPr>
          <w:smallCaps/>
        </w:rPr>
        <w:t>, V.R.</w:t>
      </w:r>
      <w:r w:rsidRPr="00A563D2">
        <w:t xml:space="preserve"> </w:t>
      </w:r>
      <w:r w:rsidR="005B166C" w:rsidRPr="00A563D2">
        <w:t xml:space="preserve">1982. Appendix B, 2: The human dental remains, in </w:t>
      </w:r>
      <w:r>
        <w:t xml:space="preserve">M. </w:t>
      </w:r>
      <w:r w:rsidR="005B166C" w:rsidRPr="00A563D2">
        <w:t>O’Kelly</w:t>
      </w:r>
      <w:r>
        <w:t>,</w:t>
      </w:r>
      <w:r w:rsidR="005B166C" w:rsidRPr="00A563D2">
        <w:t xml:space="preserve"> </w:t>
      </w:r>
      <w:r w:rsidR="005B166C" w:rsidRPr="00A563D2">
        <w:rPr>
          <w:i/>
          <w:iCs/>
        </w:rPr>
        <w:t xml:space="preserve">Newgrange: </w:t>
      </w:r>
      <w:r w:rsidRPr="00A563D2">
        <w:rPr>
          <w:i/>
          <w:iCs/>
        </w:rPr>
        <w:t>archaeology, art and legend</w:t>
      </w:r>
      <w:r w:rsidR="005B166C" w:rsidRPr="00A563D2">
        <w:t>: 205</w:t>
      </w:r>
      <w:r>
        <w:t>–</w:t>
      </w:r>
      <w:r w:rsidR="005B166C" w:rsidRPr="00A563D2">
        <w:t xml:space="preserve">214. London: Thames </w:t>
      </w:r>
      <w:r w:rsidR="00C351B0">
        <w:t>&amp;</w:t>
      </w:r>
      <w:r w:rsidR="00C351B0" w:rsidRPr="00A563D2">
        <w:t xml:space="preserve"> </w:t>
      </w:r>
      <w:r w:rsidR="005B166C" w:rsidRPr="00A563D2">
        <w:t>Hudson.</w:t>
      </w:r>
    </w:p>
    <w:p w14:paraId="770C9DF7" w14:textId="319271F6" w:rsidR="00A563D2" w:rsidRPr="00A563D2" w:rsidRDefault="009D49B6">
      <w:r w:rsidRPr="009D49B6">
        <w:rPr>
          <w:smallCaps/>
        </w:rPr>
        <w:t>Stout, G. &amp; M. Stout</w:t>
      </w:r>
      <w:r w:rsidR="00A563D2" w:rsidRPr="00A563D2">
        <w:t xml:space="preserve">. 2008. </w:t>
      </w:r>
      <w:r w:rsidR="00A563D2" w:rsidRPr="00A563D2">
        <w:rPr>
          <w:i/>
          <w:iCs/>
        </w:rPr>
        <w:t>Newgrange</w:t>
      </w:r>
      <w:r w:rsidR="00A563D2" w:rsidRPr="00A563D2">
        <w:t>. Cork: Cork University Press.</w:t>
      </w:r>
    </w:p>
    <w:sectPr w:rsidR="00A563D2" w:rsidRPr="00A563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533A0" w14:textId="77777777" w:rsidR="00F14013" w:rsidRDefault="00F14013" w:rsidP="008B1949">
      <w:pPr>
        <w:spacing w:line="240" w:lineRule="auto"/>
      </w:pPr>
      <w:r>
        <w:separator/>
      </w:r>
    </w:p>
  </w:endnote>
  <w:endnote w:type="continuationSeparator" w:id="0">
    <w:p w14:paraId="5FAB9F4F" w14:textId="77777777" w:rsidR="00F14013" w:rsidRDefault="00F14013" w:rsidP="008B19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C835B" w14:textId="77777777" w:rsidR="00F14013" w:rsidRDefault="00F14013" w:rsidP="008B1949">
      <w:pPr>
        <w:spacing w:line="240" w:lineRule="auto"/>
      </w:pPr>
      <w:r>
        <w:separator/>
      </w:r>
    </w:p>
  </w:footnote>
  <w:footnote w:type="continuationSeparator" w:id="0">
    <w:p w14:paraId="679BC483" w14:textId="77777777" w:rsidR="00F14013" w:rsidRDefault="00F14013" w:rsidP="008B194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A68"/>
    <w:rsid w:val="0001587F"/>
    <w:rsid w:val="000D6A0B"/>
    <w:rsid w:val="000F5DA3"/>
    <w:rsid w:val="00224893"/>
    <w:rsid w:val="002251F6"/>
    <w:rsid w:val="00247C95"/>
    <w:rsid w:val="002B3D15"/>
    <w:rsid w:val="002C1500"/>
    <w:rsid w:val="003670C7"/>
    <w:rsid w:val="004515CA"/>
    <w:rsid w:val="005064E9"/>
    <w:rsid w:val="00583594"/>
    <w:rsid w:val="005B166C"/>
    <w:rsid w:val="007146B7"/>
    <w:rsid w:val="008A5C99"/>
    <w:rsid w:val="008B1949"/>
    <w:rsid w:val="0098452C"/>
    <w:rsid w:val="009D49B6"/>
    <w:rsid w:val="00A152B8"/>
    <w:rsid w:val="00A563D2"/>
    <w:rsid w:val="00B11BED"/>
    <w:rsid w:val="00B25702"/>
    <w:rsid w:val="00B36176"/>
    <w:rsid w:val="00B36389"/>
    <w:rsid w:val="00B842EF"/>
    <w:rsid w:val="00C351B0"/>
    <w:rsid w:val="00C75B98"/>
    <w:rsid w:val="00CC4E35"/>
    <w:rsid w:val="00E06E06"/>
    <w:rsid w:val="00EA689D"/>
    <w:rsid w:val="00EC6344"/>
    <w:rsid w:val="00F14013"/>
    <w:rsid w:val="00F96D0E"/>
    <w:rsid w:val="00FD2A6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9D39E"/>
  <w15:chartTrackingRefBased/>
  <w15:docId w15:val="{D4BA209C-2CEA-4F91-95BB-0E9240505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D2A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2A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2A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2A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2A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2A6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2A6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2A6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2A6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A68"/>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FD2A68"/>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FD2A68"/>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FD2A68"/>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FD2A68"/>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FD2A68"/>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FD2A68"/>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FD2A68"/>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FD2A68"/>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FD2A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2A68"/>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FD2A6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2A68"/>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FD2A6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2A68"/>
    <w:rPr>
      <w:i/>
      <w:iCs/>
      <w:color w:val="404040" w:themeColor="text1" w:themeTint="BF"/>
      <w:lang w:val="en-GB"/>
    </w:rPr>
  </w:style>
  <w:style w:type="paragraph" w:styleId="ListParagraph">
    <w:name w:val="List Paragraph"/>
    <w:basedOn w:val="Normal"/>
    <w:uiPriority w:val="34"/>
    <w:qFormat/>
    <w:rsid w:val="00FD2A68"/>
    <w:pPr>
      <w:ind w:left="720"/>
      <w:contextualSpacing/>
    </w:pPr>
  </w:style>
  <w:style w:type="character" w:styleId="IntenseEmphasis">
    <w:name w:val="Intense Emphasis"/>
    <w:basedOn w:val="DefaultParagraphFont"/>
    <w:uiPriority w:val="21"/>
    <w:qFormat/>
    <w:rsid w:val="00FD2A68"/>
    <w:rPr>
      <w:i/>
      <w:iCs/>
      <w:color w:val="0F4761" w:themeColor="accent1" w:themeShade="BF"/>
    </w:rPr>
  </w:style>
  <w:style w:type="paragraph" w:styleId="IntenseQuote">
    <w:name w:val="Intense Quote"/>
    <w:basedOn w:val="Normal"/>
    <w:next w:val="Normal"/>
    <w:link w:val="IntenseQuoteChar"/>
    <w:uiPriority w:val="30"/>
    <w:qFormat/>
    <w:rsid w:val="00FD2A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2A68"/>
    <w:rPr>
      <w:i/>
      <w:iCs/>
      <w:color w:val="0F4761" w:themeColor="accent1" w:themeShade="BF"/>
      <w:lang w:val="en-GB"/>
    </w:rPr>
  </w:style>
  <w:style w:type="character" w:styleId="IntenseReference">
    <w:name w:val="Intense Reference"/>
    <w:basedOn w:val="DefaultParagraphFont"/>
    <w:uiPriority w:val="32"/>
    <w:qFormat/>
    <w:rsid w:val="00FD2A68"/>
    <w:rPr>
      <w:b/>
      <w:bCs/>
      <w:smallCaps/>
      <w:color w:val="0F4761" w:themeColor="accent1" w:themeShade="BF"/>
      <w:spacing w:val="5"/>
    </w:rPr>
  </w:style>
  <w:style w:type="paragraph" w:styleId="Revision">
    <w:name w:val="Revision"/>
    <w:hidden/>
    <w:uiPriority w:val="99"/>
    <w:semiHidden/>
    <w:rsid w:val="00F96D0E"/>
    <w:pPr>
      <w:spacing w:line="240" w:lineRule="auto"/>
    </w:pPr>
    <w:rPr>
      <w:lang w:val="en-GB"/>
    </w:rPr>
  </w:style>
  <w:style w:type="table" w:customStyle="1" w:styleId="TableGrid1">
    <w:name w:val="Table Grid1"/>
    <w:basedOn w:val="TableNormal"/>
    <w:next w:val="TableGrid"/>
    <w:uiPriority w:val="39"/>
    <w:rsid w:val="009D49B6"/>
    <w:pPr>
      <w:spacing w:line="240" w:lineRule="auto"/>
    </w:pPr>
    <w:rPr>
      <w:rFonts w:ascii="Calibri" w:eastAsia="Times New Roman" w:hAnsi="Calibri"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D49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Hofmann</dc:creator>
  <cp:keywords/>
  <dc:description/>
  <cp:lastModifiedBy>gpsg24</cp:lastModifiedBy>
  <cp:revision>4</cp:revision>
  <dcterms:created xsi:type="dcterms:W3CDTF">2025-03-20T16:13:00Z</dcterms:created>
  <dcterms:modified xsi:type="dcterms:W3CDTF">2025-03-26T09:49:00Z</dcterms:modified>
</cp:coreProperties>
</file>