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26"/>
        <w:gridCol w:w="7734"/>
      </w:tblGrid>
      <w:tr w:rsidR="00D434D3" w:rsidRPr="00554037" w14:paraId="4CBD1CFB" w14:textId="77777777" w:rsidTr="0024120F">
        <w:trPr>
          <w:trHeight w:val="1134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30CAE093" w14:textId="77777777" w:rsidR="00D434D3" w:rsidRPr="00554037" w:rsidRDefault="00D434D3" w:rsidP="0024120F">
            <w:pPr>
              <w:jc w:val="center"/>
              <w:rPr>
                <w:rFonts w:asciiTheme="majorBidi" w:eastAsia="Times New Roman" w:hAnsiTheme="majorBidi"/>
                <w:kern w:val="2"/>
                <w:sz w:val="28"/>
                <w:szCs w:val="28"/>
                <w:lang w:eastAsia="en-GB"/>
              </w:rPr>
            </w:pPr>
            <w:r w:rsidRPr="00554037">
              <w:rPr>
                <w:rFonts w:ascii="Times New Roman" w:eastAsia="Times New Roman" w:hAnsi="Times New Roman"/>
                <w:noProof/>
                <w:kern w:val="2"/>
                <w:lang w:eastAsia="en-GB"/>
              </w:rPr>
              <w:drawing>
                <wp:inline distT="0" distB="0" distL="0" distR="0" wp14:anchorId="0E0DA86C" wp14:editId="3D02E58A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721633AD" w14:textId="77777777" w:rsidR="00D434D3" w:rsidRPr="00554037" w:rsidRDefault="00D434D3" w:rsidP="00F31BBB">
            <w:pPr>
              <w:spacing w:line="360" w:lineRule="auto"/>
              <w:rPr>
                <w:rFonts w:ascii="Times New Roman" w:eastAsia="Times New Roman" w:hAnsi="Times New Roman"/>
                <w:kern w:val="2"/>
                <w:lang w:eastAsia="en-GB"/>
              </w:rPr>
            </w:pPr>
            <w:r w:rsidRPr="00554037">
              <w:rPr>
                <w:rFonts w:ascii="Times New Roman" w:eastAsia="Times New Roman" w:hAnsi="Times New Roman"/>
                <w:kern w:val="2"/>
                <w:lang w:eastAsia="en-GB"/>
              </w:rPr>
              <w:t xml:space="preserve">Supplementary material for </w:t>
            </w:r>
          </w:p>
          <w:p w14:paraId="58C9709A" w14:textId="77777777" w:rsidR="00D434D3" w:rsidRPr="00554037" w:rsidRDefault="00D434D3" w:rsidP="00F31BBB">
            <w:pPr>
              <w:spacing w:line="360" w:lineRule="auto"/>
              <w:rPr>
                <w:rFonts w:ascii="Times New Roman" w:eastAsia="Times New Roman" w:hAnsi="Times New Roman"/>
                <w:kern w:val="2"/>
                <w:lang w:eastAsia="en-GB"/>
              </w:rPr>
            </w:pPr>
            <w:r w:rsidRPr="006D0916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Covey</w:t>
            </w:r>
            <w:r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, R.A.</w:t>
            </w:r>
            <w:r w:rsidRPr="006D0916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, K</w:t>
            </w:r>
            <w:r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.</w:t>
            </w:r>
            <w:r w:rsidRPr="006D0916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 xml:space="preserve"> Quave, N</w:t>
            </w:r>
            <w:r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.</w:t>
            </w:r>
            <w:r w:rsidRPr="006D0916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 xml:space="preserve"> </w:t>
            </w:r>
            <w:proofErr w:type="spellStart"/>
            <w:r w:rsidRPr="006D0916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Payntar</w:t>
            </w:r>
            <w:proofErr w:type="spellEnd"/>
            <w:r w:rsidRPr="006D0916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, C</w:t>
            </w:r>
            <w:r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.</w:t>
            </w:r>
            <w:r w:rsidRPr="006D0916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 xml:space="preserve"> Weinberg, H</w:t>
            </w:r>
            <w:r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.</w:t>
            </w:r>
            <w:r w:rsidRPr="006D0916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 xml:space="preserve"> Quispe-Bustamante &amp; V</w:t>
            </w:r>
            <w:r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.</w:t>
            </w:r>
            <w:r w:rsidRPr="006D0916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 xml:space="preserve"> Bélisle</w:t>
            </w:r>
            <w:r w:rsidRPr="00554037">
              <w:rPr>
                <w:rFonts w:ascii="Times New Roman" w:eastAsia="Times New Roman" w:hAnsi="Times New Roman"/>
                <w:kern w:val="2"/>
                <w:lang w:eastAsia="en-GB"/>
              </w:rPr>
              <w:t>. 2025.</w:t>
            </w:r>
            <w:r w:rsidRPr="00554037">
              <w:rPr>
                <w:rFonts w:ascii="Times New Roman" w:eastAsia="Times New Roman" w:hAnsi="Times New Roman"/>
                <w:b/>
                <w:bCs/>
                <w:kern w:val="2"/>
                <w:lang w:eastAsia="en-GB"/>
              </w:rPr>
              <w:t xml:space="preserve"> </w:t>
            </w:r>
            <w:r w:rsidRPr="00986437">
              <w:rPr>
                <w:rFonts w:ascii="Times New Roman" w:hAnsi="Times New Roman"/>
                <w:b/>
                <w:bCs/>
              </w:rPr>
              <w:t>Settlement discontinuity at Ak’awillay and the development of the Inca imperial capital region (Cuzco, Peru)</w:t>
            </w:r>
            <w:r w:rsidRPr="00554037">
              <w:rPr>
                <w:rFonts w:ascii="Times New Roman" w:eastAsia="Times New Roman" w:hAnsi="Times New Roman"/>
                <w:b/>
                <w:bCs/>
                <w:kern w:val="2"/>
                <w:lang w:eastAsia="en-GB"/>
              </w:rPr>
              <w:t xml:space="preserve">. </w:t>
            </w:r>
            <w:r w:rsidRPr="00554037">
              <w:rPr>
                <w:rFonts w:ascii="Times New Roman" w:eastAsia="Times New Roman" w:hAnsi="Times New Roman"/>
                <w:i/>
                <w:iCs/>
                <w:kern w:val="2"/>
                <w:lang w:eastAsia="en-GB"/>
              </w:rPr>
              <w:t>Antiquity</w:t>
            </w:r>
            <w:r w:rsidRPr="00554037">
              <w:rPr>
                <w:rFonts w:ascii="Times New Roman" w:eastAsia="Times New Roman" w:hAnsi="Times New Roman"/>
                <w:kern w:val="2"/>
                <w:lang w:eastAsia="en-GB"/>
              </w:rPr>
              <w:t xml:space="preserve"> 99.</w:t>
            </w:r>
          </w:p>
          <w:p w14:paraId="42F1AE6B" w14:textId="77777777" w:rsidR="00D434D3" w:rsidRPr="00554037" w:rsidRDefault="00D434D3" w:rsidP="00F31BBB">
            <w:pPr>
              <w:spacing w:line="360" w:lineRule="auto"/>
              <w:rPr>
                <w:rFonts w:ascii="Times New Roman" w:eastAsia="Times New Roman" w:hAnsi="Times New Roman"/>
                <w:b/>
                <w:bCs/>
                <w:kern w:val="2"/>
                <w:lang w:eastAsia="en-GB"/>
              </w:rPr>
            </w:pPr>
            <w:r w:rsidRPr="00554037">
              <w:rPr>
                <w:rFonts w:ascii="Times New Roman" w:eastAsia="Times New Roman" w:hAnsi="Times New Roman"/>
                <w:lang w:eastAsia="en-GB"/>
              </w:rPr>
              <w:t xml:space="preserve">Author for correspondence </w:t>
            </w:r>
            <w:r w:rsidRPr="00554037">
              <w:rPr>
                <w:rFonts w:ascii="Segoe UI Symbol" w:eastAsia="Arial Unicode MS" w:hAnsi="Segoe UI Symbol" w:cs="Segoe UI Symbol"/>
                <w:color w:val="000000"/>
                <w:bdr w:val="nil"/>
                <w:lang w:eastAsia="en-GB"/>
              </w:rPr>
              <w:t>✉</w:t>
            </w:r>
            <w:r w:rsidRPr="00554037">
              <w:rPr>
                <w:rFonts w:ascii="Times New Roman" w:eastAsia="Arial Unicode MS" w:hAnsi="Times New Roman"/>
                <w:color w:val="000000"/>
                <w:bdr w:val="nil"/>
                <w:lang w:eastAsia="en-GB"/>
              </w:rPr>
              <w:t xml:space="preserve"> </w:t>
            </w:r>
            <w:r w:rsidRPr="00B94976">
              <w:rPr>
                <w:rFonts w:ascii="Times New Roman" w:eastAsia="Arial Unicode MS" w:hAnsi="Times New Roman"/>
                <w:color w:val="000000"/>
                <w:bdr w:val="nil"/>
                <w:lang w:eastAsia="en-GB"/>
              </w:rPr>
              <w:t>r.alan.covey@austin.utexas.edu</w:t>
            </w:r>
          </w:p>
        </w:tc>
      </w:tr>
    </w:tbl>
    <w:p w14:paraId="021CDCC3" w14:textId="284DD745" w:rsidR="00283207" w:rsidRPr="00CA7DE1" w:rsidRDefault="00283207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482EE9" w14:textId="4FEEC7C0" w:rsidR="00283207" w:rsidRPr="00F31BBB" w:rsidRDefault="00283207" w:rsidP="00EB47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BBB">
        <w:rPr>
          <w:rFonts w:ascii="Times New Roman" w:hAnsi="Times New Roman" w:cs="Times New Roman"/>
          <w:b/>
          <w:bCs/>
          <w:sz w:val="24"/>
          <w:szCs w:val="24"/>
        </w:rPr>
        <w:t>Intensive Surface Collections</w:t>
      </w:r>
    </w:p>
    <w:p w14:paraId="1671F9E1" w14:textId="6CFA0A55" w:rsidR="00283207" w:rsidRPr="00CA7DE1" w:rsidRDefault="00283207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 xml:space="preserve">During the 2005 survey of the </w:t>
      </w:r>
      <w:proofErr w:type="spellStart"/>
      <w:r w:rsidRPr="00CA7DE1">
        <w:rPr>
          <w:rFonts w:ascii="Times New Roman" w:hAnsi="Times New Roman" w:cs="Times New Roman"/>
          <w:sz w:val="24"/>
          <w:szCs w:val="24"/>
        </w:rPr>
        <w:t>Xaquixaguana</w:t>
      </w:r>
      <w:proofErr w:type="spellEnd"/>
      <w:r w:rsidRPr="00CA7DE1">
        <w:rPr>
          <w:rFonts w:ascii="Times New Roman" w:hAnsi="Times New Roman" w:cs="Times New Roman"/>
          <w:sz w:val="24"/>
          <w:szCs w:val="24"/>
        </w:rPr>
        <w:t xml:space="preserve"> Valley, survey crews conducted intensive surface collections at most sites estimated to be larger than one hectare.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Pr="00CA7DE1">
        <w:rPr>
          <w:rFonts w:ascii="Times New Roman" w:hAnsi="Times New Roman" w:cs="Times New Roman"/>
          <w:sz w:val="24"/>
          <w:szCs w:val="24"/>
        </w:rPr>
        <w:t>Collections were made during a second site visit, during which a grid of circular “dog leash” units with a radius of 4m was placed ever</w:t>
      </w:r>
      <w:r w:rsidR="004410FE" w:rsidRPr="00CA7DE1">
        <w:rPr>
          <w:rFonts w:ascii="Times New Roman" w:hAnsi="Times New Roman" w:cs="Times New Roman"/>
          <w:sz w:val="24"/>
          <w:szCs w:val="24"/>
        </w:rPr>
        <w:t>y</w:t>
      </w:r>
      <w:r w:rsidRPr="00CA7DE1">
        <w:rPr>
          <w:rFonts w:ascii="Times New Roman" w:hAnsi="Times New Roman" w:cs="Times New Roman"/>
          <w:sz w:val="24"/>
          <w:szCs w:val="24"/>
        </w:rPr>
        <w:t xml:space="preserve"> 50m where surface ceramics were distributed.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Pr="00CA7DE1">
        <w:rPr>
          <w:rFonts w:ascii="Times New Roman" w:hAnsi="Times New Roman" w:cs="Times New Roman"/>
          <w:sz w:val="24"/>
          <w:szCs w:val="24"/>
        </w:rPr>
        <w:t>This collection strategy permitted the rapid assessment of a sample of approximately 2% of the surface area of large sites.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Pr="00CA7DE1">
        <w:rPr>
          <w:rFonts w:ascii="Times New Roman" w:hAnsi="Times New Roman" w:cs="Times New Roman"/>
          <w:sz w:val="24"/>
          <w:szCs w:val="24"/>
        </w:rPr>
        <w:t>Crew members collected and counted all material in each unit, recovering all decorated and rim sherds to be washed and classified in the laboratory.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="0018261D" w:rsidRPr="00CA7DE1">
        <w:rPr>
          <w:rFonts w:ascii="Times New Roman" w:hAnsi="Times New Roman" w:cs="Times New Roman"/>
          <w:sz w:val="24"/>
          <w:szCs w:val="24"/>
        </w:rPr>
        <w:t xml:space="preserve">In total, the XPAS project reported processing roughly 120,000 artifacts in the field, including 22,000 sherds studied in the laboratory (Covey </w:t>
      </w:r>
      <w:r w:rsidR="0018261D" w:rsidRPr="00CA7DE1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18261D" w:rsidRPr="00CA7DE1">
        <w:rPr>
          <w:rFonts w:ascii="Times New Roman" w:hAnsi="Times New Roman" w:cs="Times New Roman"/>
          <w:sz w:val="24"/>
          <w:szCs w:val="24"/>
        </w:rPr>
        <w:t>2014:7).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="003325DE" w:rsidRPr="00CA7DE1">
        <w:rPr>
          <w:rFonts w:ascii="Times New Roman" w:hAnsi="Times New Roman" w:cs="Times New Roman"/>
          <w:sz w:val="24"/>
          <w:szCs w:val="24"/>
        </w:rPr>
        <w:t xml:space="preserve">Collection units at </w:t>
      </w:r>
      <w:proofErr w:type="spellStart"/>
      <w:r w:rsidR="003325DE" w:rsidRPr="00CA7DE1">
        <w:rPr>
          <w:rFonts w:ascii="Times New Roman" w:hAnsi="Times New Roman" w:cs="Times New Roman"/>
          <w:sz w:val="24"/>
          <w:szCs w:val="24"/>
        </w:rPr>
        <w:t>Ak’awillay</w:t>
      </w:r>
      <w:proofErr w:type="spellEnd"/>
      <w:r w:rsidR="003325DE" w:rsidRPr="00CA7DE1">
        <w:rPr>
          <w:rFonts w:ascii="Times New Roman" w:hAnsi="Times New Roman" w:cs="Times New Roman"/>
          <w:sz w:val="24"/>
          <w:szCs w:val="24"/>
        </w:rPr>
        <w:t xml:space="preserve"> indicated a sizeable occupation for all periods (Table S1).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="003325DE" w:rsidRPr="00CA7DE1">
        <w:rPr>
          <w:rFonts w:ascii="Times New Roman" w:hAnsi="Times New Roman" w:cs="Times New Roman"/>
          <w:sz w:val="24"/>
          <w:szCs w:val="24"/>
        </w:rPr>
        <w:t xml:space="preserve">By comparison, collection units placed at the nearby site of </w:t>
      </w:r>
      <w:proofErr w:type="spellStart"/>
      <w:r w:rsidR="003325DE" w:rsidRPr="00CA7DE1">
        <w:rPr>
          <w:rFonts w:ascii="Times New Roman" w:hAnsi="Times New Roman" w:cs="Times New Roman"/>
          <w:sz w:val="24"/>
          <w:szCs w:val="24"/>
        </w:rPr>
        <w:t>Chullapunku</w:t>
      </w:r>
      <w:proofErr w:type="spellEnd"/>
      <w:r w:rsidR="003325DE" w:rsidRPr="00CA7DE1">
        <w:rPr>
          <w:rFonts w:ascii="Times New Roman" w:hAnsi="Times New Roman" w:cs="Times New Roman"/>
          <w:sz w:val="24"/>
          <w:szCs w:val="24"/>
        </w:rPr>
        <w:t xml:space="preserve"> comprised almost exclusively LIP material.</w:t>
      </w:r>
    </w:p>
    <w:p w14:paraId="33CB97AE" w14:textId="79411319" w:rsidR="00283207" w:rsidRPr="00CA7DE1" w:rsidRDefault="00283207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869367" w14:textId="0419438E" w:rsidR="003325DE" w:rsidRPr="00F31BBB" w:rsidRDefault="003325DE" w:rsidP="00EB47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BBB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="00452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BBB">
        <w:rPr>
          <w:rFonts w:ascii="Times New Roman" w:hAnsi="Times New Roman" w:cs="Times New Roman"/>
          <w:b/>
          <w:bCs/>
          <w:sz w:val="24"/>
          <w:szCs w:val="24"/>
        </w:rPr>
        <w:t xml:space="preserve">Sherd Counts from Intensive Collection Units at </w:t>
      </w:r>
      <w:proofErr w:type="spellStart"/>
      <w:r w:rsidRPr="00F31BBB">
        <w:rPr>
          <w:rFonts w:ascii="Times New Roman" w:hAnsi="Times New Roman" w:cs="Times New Roman"/>
          <w:b/>
          <w:bCs/>
          <w:sz w:val="24"/>
          <w:szCs w:val="24"/>
        </w:rPr>
        <w:t>Ak’awillay</w:t>
      </w:r>
      <w:proofErr w:type="spellEnd"/>
      <w:r w:rsidRPr="00F31BBB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F31BBB">
        <w:rPr>
          <w:rFonts w:ascii="Times New Roman" w:hAnsi="Times New Roman" w:cs="Times New Roman"/>
          <w:b/>
          <w:bCs/>
          <w:sz w:val="24"/>
          <w:szCs w:val="24"/>
        </w:rPr>
        <w:t>Chullapunku</w:t>
      </w:r>
      <w:proofErr w:type="spellEnd"/>
      <w:r w:rsidR="00F31BBB" w:rsidRPr="00F31B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124"/>
        <w:gridCol w:w="1110"/>
        <w:gridCol w:w="976"/>
        <w:gridCol w:w="893"/>
        <w:gridCol w:w="1030"/>
        <w:gridCol w:w="893"/>
        <w:gridCol w:w="893"/>
        <w:gridCol w:w="892"/>
      </w:tblGrid>
      <w:tr w:rsidR="00340D5B" w:rsidRPr="00CA7DE1" w14:paraId="0220F286" w14:textId="77777777" w:rsidTr="003325DE">
        <w:tc>
          <w:tcPr>
            <w:tcW w:w="1334" w:type="dxa"/>
          </w:tcPr>
          <w:p w14:paraId="71DC5188" w14:textId="7F18BC18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</w:tc>
        <w:tc>
          <w:tcPr>
            <w:tcW w:w="1124" w:type="dxa"/>
          </w:tcPr>
          <w:p w14:paraId="2C30CF6F" w14:textId="7BE3111A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Form.</w:t>
            </w:r>
          </w:p>
        </w:tc>
        <w:tc>
          <w:tcPr>
            <w:tcW w:w="1016" w:type="dxa"/>
          </w:tcPr>
          <w:p w14:paraId="6792A712" w14:textId="118D8A3B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Qotakalli</w:t>
            </w:r>
            <w:proofErr w:type="spellEnd"/>
          </w:p>
        </w:tc>
        <w:tc>
          <w:tcPr>
            <w:tcW w:w="932" w:type="dxa"/>
          </w:tcPr>
          <w:p w14:paraId="00203DE7" w14:textId="21FD3456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Araway</w:t>
            </w:r>
            <w:proofErr w:type="spellEnd"/>
          </w:p>
        </w:tc>
        <w:tc>
          <w:tcPr>
            <w:tcW w:w="893" w:type="dxa"/>
          </w:tcPr>
          <w:p w14:paraId="684FA185" w14:textId="1F221CE2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Muyu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Urqu</w:t>
            </w:r>
            <w:proofErr w:type="spellEnd"/>
          </w:p>
        </w:tc>
        <w:tc>
          <w:tcPr>
            <w:tcW w:w="903" w:type="dxa"/>
          </w:tcPr>
          <w:p w14:paraId="51F46885" w14:textId="0D83C0C0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Other EIP/MH</w:t>
            </w:r>
          </w:p>
        </w:tc>
        <w:tc>
          <w:tcPr>
            <w:tcW w:w="893" w:type="dxa"/>
          </w:tcPr>
          <w:p w14:paraId="285AA42A" w14:textId="3FA2C25D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Killke</w:t>
            </w:r>
          </w:p>
        </w:tc>
        <w:tc>
          <w:tcPr>
            <w:tcW w:w="893" w:type="dxa"/>
          </w:tcPr>
          <w:p w14:paraId="38589DAD" w14:textId="3067F362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Other LIP</w:t>
            </w:r>
          </w:p>
        </w:tc>
        <w:tc>
          <w:tcPr>
            <w:tcW w:w="892" w:type="dxa"/>
          </w:tcPr>
          <w:p w14:paraId="3AA5B516" w14:textId="266F2E11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Inca</w:t>
            </w:r>
          </w:p>
        </w:tc>
      </w:tr>
      <w:tr w:rsidR="00340D5B" w:rsidRPr="00CA7DE1" w14:paraId="5D76D090" w14:textId="77777777" w:rsidTr="003325DE">
        <w:tc>
          <w:tcPr>
            <w:tcW w:w="1334" w:type="dxa"/>
          </w:tcPr>
          <w:p w14:paraId="4504B6E0" w14:textId="54DAA99F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Ak’awillay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(X-228)</w:t>
            </w:r>
          </w:p>
        </w:tc>
        <w:tc>
          <w:tcPr>
            <w:tcW w:w="1124" w:type="dxa"/>
          </w:tcPr>
          <w:p w14:paraId="60E8920E" w14:textId="77FA64DD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016" w:type="dxa"/>
          </w:tcPr>
          <w:p w14:paraId="55381C65" w14:textId="4808D1C3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32" w:type="dxa"/>
          </w:tcPr>
          <w:p w14:paraId="64A62B73" w14:textId="0C999EA6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" w:type="dxa"/>
          </w:tcPr>
          <w:p w14:paraId="3A68E964" w14:textId="3A98CE55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" w:type="dxa"/>
          </w:tcPr>
          <w:p w14:paraId="65CE7E2A" w14:textId="3F61EFF5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93" w:type="dxa"/>
          </w:tcPr>
          <w:p w14:paraId="3DCAED1F" w14:textId="39AF8999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3" w:type="dxa"/>
          </w:tcPr>
          <w:p w14:paraId="2CF78C43" w14:textId="1950BE09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92" w:type="dxa"/>
          </w:tcPr>
          <w:p w14:paraId="2FCCC38D" w14:textId="67C93095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40D5B" w:rsidRPr="00CA7DE1" w14:paraId="06D04B9A" w14:textId="77777777" w:rsidTr="003325DE">
        <w:tc>
          <w:tcPr>
            <w:tcW w:w="1334" w:type="dxa"/>
          </w:tcPr>
          <w:p w14:paraId="322C0412" w14:textId="00BE4614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Chullapunku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(X-258)</w:t>
            </w:r>
          </w:p>
        </w:tc>
        <w:tc>
          <w:tcPr>
            <w:tcW w:w="1124" w:type="dxa"/>
          </w:tcPr>
          <w:p w14:paraId="5DA5059F" w14:textId="1E931FC5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14:paraId="1ED591DC" w14:textId="0D368C62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02496A62" w14:textId="00B432FB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14:paraId="1BCB88B9" w14:textId="589E3815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14:paraId="6A48ED42" w14:textId="586C0A3C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0AC2E4D5" w14:textId="253E121C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93" w:type="dxa"/>
          </w:tcPr>
          <w:p w14:paraId="71D16969" w14:textId="61DF8306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892" w:type="dxa"/>
          </w:tcPr>
          <w:p w14:paraId="09C5DD87" w14:textId="15BDCA17" w:rsidR="00340D5B" w:rsidRPr="00CA7DE1" w:rsidRDefault="00340D5B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385090A" w14:textId="3668B6AB" w:rsidR="00340D5B" w:rsidRPr="00CA7DE1" w:rsidRDefault="00340D5B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E3EDCD" w14:textId="77777777" w:rsidR="00340D5B" w:rsidRPr="00CA7DE1" w:rsidRDefault="00340D5B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CD1966" w14:textId="589686A5" w:rsidR="00283207" w:rsidRPr="00F31BBB" w:rsidRDefault="00283207" w:rsidP="00EB47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BBB">
        <w:rPr>
          <w:rFonts w:ascii="Times New Roman" w:hAnsi="Times New Roman" w:cs="Times New Roman"/>
          <w:b/>
          <w:bCs/>
          <w:sz w:val="24"/>
          <w:szCs w:val="24"/>
        </w:rPr>
        <w:t>Test Excavations</w:t>
      </w:r>
    </w:p>
    <w:p w14:paraId="076687E5" w14:textId="5A32E14C" w:rsidR="00283207" w:rsidRPr="00CA7DE1" w:rsidRDefault="00633F20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 xml:space="preserve">The 20 test units excavated at </w:t>
      </w:r>
      <w:proofErr w:type="spellStart"/>
      <w:r w:rsidRPr="00CA7DE1">
        <w:rPr>
          <w:rFonts w:ascii="Times New Roman" w:hAnsi="Times New Roman" w:cs="Times New Roman"/>
          <w:sz w:val="24"/>
          <w:szCs w:val="24"/>
        </w:rPr>
        <w:t>Ak’awillay</w:t>
      </w:r>
      <w:proofErr w:type="spellEnd"/>
      <w:r w:rsidRPr="00CA7DE1">
        <w:rPr>
          <w:rFonts w:ascii="Times New Roman" w:hAnsi="Times New Roman" w:cs="Times New Roman"/>
          <w:sz w:val="24"/>
          <w:szCs w:val="24"/>
        </w:rPr>
        <w:t xml:space="preserve"> in 2012 and 2016 were placed in areas of the site where intensive surface collections had identified greater concentrations of late </w:t>
      </w:r>
      <w:proofErr w:type="spellStart"/>
      <w:r w:rsidRPr="00CA7DE1">
        <w:rPr>
          <w:rFonts w:ascii="Times New Roman" w:hAnsi="Times New Roman" w:cs="Times New Roman"/>
          <w:sz w:val="24"/>
          <w:szCs w:val="24"/>
        </w:rPr>
        <w:t>prehispanic</w:t>
      </w:r>
      <w:proofErr w:type="spellEnd"/>
      <w:r w:rsidRPr="00CA7DE1">
        <w:rPr>
          <w:rFonts w:ascii="Times New Roman" w:hAnsi="Times New Roman" w:cs="Times New Roman"/>
          <w:sz w:val="24"/>
          <w:szCs w:val="24"/>
        </w:rPr>
        <w:t xml:space="preserve"> ceramic styles. All units were laid out as 1 x 1m squares</w:t>
      </w:r>
      <w:r w:rsidR="008D4817" w:rsidRPr="00CA7DE1">
        <w:rPr>
          <w:rFonts w:ascii="Times New Roman" w:hAnsi="Times New Roman" w:cs="Times New Roman"/>
          <w:sz w:val="24"/>
          <w:szCs w:val="24"/>
        </w:rPr>
        <w:t>, four of which were expanded to 2 x 2m units to follow artifact concentrations or architecture encountered in the initial unit.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="008D4817" w:rsidRPr="00CA7DE1">
        <w:rPr>
          <w:rFonts w:ascii="Times New Roman" w:hAnsi="Times New Roman" w:cs="Times New Roman"/>
          <w:sz w:val="24"/>
          <w:szCs w:val="24"/>
        </w:rPr>
        <w:t>All units were</w:t>
      </w:r>
      <w:r w:rsidRPr="00CA7DE1">
        <w:rPr>
          <w:rFonts w:ascii="Times New Roman" w:hAnsi="Times New Roman" w:cs="Times New Roman"/>
          <w:sz w:val="24"/>
          <w:szCs w:val="24"/>
        </w:rPr>
        <w:t xml:space="preserve"> excavated stratigraphically following natural changes in the soil.</w:t>
      </w:r>
      <w:r w:rsidR="008D4817" w:rsidRPr="00CA7DE1">
        <w:rPr>
          <w:rFonts w:ascii="Times New Roman" w:hAnsi="Times New Roman" w:cs="Times New Roman"/>
          <w:sz w:val="24"/>
          <w:szCs w:val="24"/>
        </w:rPr>
        <w:t xml:space="preserve"> </w:t>
      </w:r>
      <w:r w:rsidR="00CA7DE1" w:rsidRPr="00CA7DE1">
        <w:rPr>
          <w:rFonts w:ascii="Times New Roman" w:hAnsi="Times New Roman" w:cs="Times New Roman"/>
          <w:sz w:val="24"/>
          <w:szCs w:val="24"/>
        </w:rPr>
        <w:t xml:space="preserve">Analysis of diagnostic pottery in the 2012 excavations identified styles of all periods in the Cuzco sequence; the Inca-associated contexts are described in </w:t>
      </w:r>
      <w:proofErr w:type="spellStart"/>
      <w:r w:rsidR="00CA7DE1" w:rsidRPr="00CA7DE1">
        <w:rPr>
          <w:rFonts w:ascii="Times New Roman" w:hAnsi="Times New Roman" w:cs="Times New Roman"/>
          <w:sz w:val="24"/>
          <w:szCs w:val="24"/>
        </w:rPr>
        <w:t>Quave</w:t>
      </w:r>
      <w:proofErr w:type="spellEnd"/>
      <w:r w:rsidR="00CA7DE1" w:rsidRPr="00CA7DE1">
        <w:rPr>
          <w:rFonts w:ascii="Times New Roman" w:hAnsi="Times New Roman" w:cs="Times New Roman"/>
          <w:sz w:val="24"/>
          <w:szCs w:val="24"/>
        </w:rPr>
        <w:t xml:space="preserve"> and Covey (2015).</w:t>
      </w:r>
    </w:p>
    <w:p w14:paraId="359FF192" w14:textId="53BB5057" w:rsidR="0018261D" w:rsidRPr="00CA7DE1" w:rsidRDefault="0018261D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05EB5A" w14:textId="2DD29C64" w:rsidR="00CA7DE1" w:rsidRPr="00F31BBB" w:rsidRDefault="00CA7DE1" w:rsidP="00EB47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BBB">
        <w:rPr>
          <w:rFonts w:ascii="Times New Roman" w:hAnsi="Times New Roman" w:cs="Times New Roman"/>
          <w:b/>
          <w:bCs/>
          <w:sz w:val="24"/>
          <w:szCs w:val="24"/>
        </w:rPr>
        <w:t>Table S2. Diagnostic Sherd Counts from 2012 Test Excavations</w:t>
      </w:r>
      <w:r w:rsidR="00F31BBB" w:rsidRPr="00F31B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31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440"/>
      </w:tblGrid>
      <w:tr w:rsidR="00CA7DE1" w:rsidRPr="00CA7DE1" w14:paraId="21FD2299" w14:textId="77777777" w:rsidTr="00CA7DE1">
        <w:tc>
          <w:tcPr>
            <w:tcW w:w="4045" w:type="dxa"/>
          </w:tcPr>
          <w:p w14:paraId="5F8E0177" w14:textId="190F15BE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440" w:type="dxa"/>
          </w:tcPr>
          <w:p w14:paraId="65DB1D3A" w14:textId="59BF67DC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Count </w:t>
            </w:r>
          </w:p>
        </w:tc>
      </w:tr>
      <w:tr w:rsidR="00CA7DE1" w:rsidRPr="00CA7DE1" w14:paraId="48A98703" w14:textId="77777777" w:rsidTr="00CA7DE1">
        <w:tc>
          <w:tcPr>
            <w:tcW w:w="4045" w:type="dxa"/>
          </w:tcPr>
          <w:p w14:paraId="24169C44" w14:textId="14C522B4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Chanapata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(Formative)</w:t>
            </w:r>
          </w:p>
        </w:tc>
        <w:tc>
          <w:tcPr>
            <w:tcW w:w="1440" w:type="dxa"/>
          </w:tcPr>
          <w:p w14:paraId="1275B4E6" w14:textId="3C48689B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DE1" w:rsidRPr="00CA7DE1" w14:paraId="1BEDC110" w14:textId="77777777" w:rsidTr="00CA7DE1">
        <w:tc>
          <w:tcPr>
            <w:tcW w:w="4045" w:type="dxa"/>
          </w:tcPr>
          <w:p w14:paraId="2AAD656B" w14:textId="6721CFB1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Paqalla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Moqo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(Formative) </w:t>
            </w:r>
          </w:p>
        </w:tc>
        <w:tc>
          <w:tcPr>
            <w:tcW w:w="1440" w:type="dxa"/>
          </w:tcPr>
          <w:p w14:paraId="59187FDA" w14:textId="2411486C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DE1" w:rsidRPr="00CA7DE1" w14:paraId="1970247C" w14:textId="77777777" w:rsidTr="00CA7DE1">
        <w:tc>
          <w:tcPr>
            <w:tcW w:w="4045" w:type="dxa"/>
          </w:tcPr>
          <w:p w14:paraId="130A7A89" w14:textId="13F1167E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Unknown Incised (Formative or EIP?)</w:t>
            </w:r>
          </w:p>
        </w:tc>
        <w:tc>
          <w:tcPr>
            <w:tcW w:w="1440" w:type="dxa"/>
          </w:tcPr>
          <w:p w14:paraId="140B8814" w14:textId="4F4B39B1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DE1" w:rsidRPr="00CA7DE1" w14:paraId="13250EE5" w14:textId="77777777" w:rsidTr="00CA7DE1">
        <w:tc>
          <w:tcPr>
            <w:tcW w:w="4045" w:type="dxa"/>
          </w:tcPr>
          <w:p w14:paraId="072509F9" w14:textId="6AE1E3AD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Huaru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(EIP)</w:t>
            </w:r>
          </w:p>
        </w:tc>
        <w:tc>
          <w:tcPr>
            <w:tcW w:w="1440" w:type="dxa"/>
          </w:tcPr>
          <w:p w14:paraId="32FC4663" w14:textId="4C5BB828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DE1" w:rsidRPr="00CA7DE1" w14:paraId="5DA76846" w14:textId="77777777" w:rsidTr="00CA7DE1">
        <w:tc>
          <w:tcPr>
            <w:tcW w:w="4045" w:type="dxa"/>
          </w:tcPr>
          <w:p w14:paraId="0FB9333F" w14:textId="232E4DEE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Possible </w:t>
            </w: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Huaru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-related</w:t>
            </w:r>
          </w:p>
        </w:tc>
        <w:tc>
          <w:tcPr>
            <w:tcW w:w="1440" w:type="dxa"/>
          </w:tcPr>
          <w:p w14:paraId="4EEFB960" w14:textId="00F6AA56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A7DE1" w:rsidRPr="00CA7DE1" w14:paraId="6836A792" w14:textId="77777777" w:rsidTr="00CA7DE1">
        <w:tc>
          <w:tcPr>
            <w:tcW w:w="4045" w:type="dxa"/>
          </w:tcPr>
          <w:p w14:paraId="5E37A88C" w14:textId="77FD9E8B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Qotakalli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(EIP/MH)</w:t>
            </w:r>
          </w:p>
        </w:tc>
        <w:tc>
          <w:tcPr>
            <w:tcW w:w="1440" w:type="dxa"/>
          </w:tcPr>
          <w:p w14:paraId="1849F487" w14:textId="57B83694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7DE1" w:rsidRPr="00CA7DE1" w14:paraId="75E18548" w14:textId="77777777" w:rsidTr="00CA7DE1">
        <w:tc>
          <w:tcPr>
            <w:tcW w:w="4045" w:type="dxa"/>
          </w:tcPr>
          <w:p w14:paraId="3693CBBB" w14:textId="4DAA808F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Local </w:t>
            </w: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Qotakalli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(EIP/MH)</w:t>
            </w:r>
          </w:p>
        </w:tc>
        <w:tc>
          <w:tcPr>
            <w:tcW w:w="1440" w:type="dxa"/>
          </w:tcPr>
          <w:p w14:paraId="5EFB9DCC" w14:textId="6BE89B20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A7DE1" w:rsidRPr="00CA7DE1" w14:paraId="42A42931" w14:textId="77777777" w:rsidTr="00CA7DE1">
        <w:tc>
          <w:tcPr>
            <w:tcW w:w="4045" w:type="dxa"/>
          </w:tcPr>
          <w:p w14:paraId="60F550B2" w14:textId="0EB5B9FA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Local </w:t>
            </w: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Muyu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Urqu</w:t>
            </w:r>
            <w:proofErr w:type="spellEnd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 xml:space="preserve"> (MH)</w:t>
            </w:r>
          </w:p>
        </w:tc>
        <w:tc>
          <w:tcPr>
            <w:tcW w:w="1440" w:type="dxa"/>
          </w:tcPr>
          <w:p w14:paraId="3E2593CE" w14:textId="6CAC746C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DE1" w:rsidRPr="00CA7DE1" w14:paraId="14ECA9C3" w14:textId="77777777" w:rsidTr="00CA7DE1">
        <w:tc>
          <w:tcPr>
            <w:tcW w:w="4045" w:type="dxa"/>
          </w:tcPr>
          <w:p w14:paraId="56DCB824" w14:textId="651352B6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Araway</w:t>
            </w:r>
            <w:proofErr w:type="spellEnd"/>
          </w:p>
        </w:tc>
        <w:tc>
          <w:tcPr>
            <w:tcW w:w="1440" w:type="dxa"/>
          </w:tcPr>
          <w:p w14:paraId="6C911557" w14:textId="3158EC94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DE1" w:rsidRPr="00CA7DE1" w14:paraId="298EF2B4" w14:textId="77777777" w:rsidTr="00CA7DE1">
        <w:tc>
          <w:tcPr>
            <w:tcW w:w="4045" w:type="dxa"/>
          </w:tcPr>
          <w:p w14:paraId="7A581B72" w14:textId="42FA1821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Other EIP/MH Decorated</w:t>
            </w:r>
          </w:p>
        </w:tc>
        <w:tc>
          <w:tcPr>
            <w:tcW w:w="1440" w:type="dxa"/>
          </w:tcPr>
          <w:p w14:paraId="2121D256" w14:textId="371C4AB7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A7DE1" w:rsidRPr="00CA7DE1" w14:paraId="34BA8FEF" w14:textId="77777777" w:rsidTr="00CA7DE1">
        <w:tc>
          <w:tcPr>
            <w:tcW w:w="4045" w:type="dxa"/>
          </w:tcPr>
          <w:p w14:paraId="6C01A57A" w14:textId="14C3B1C5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Other EIP/MH Undecorated</w:t>
            </w:r>
          </w:p>
        </w:tc>
        <w:tc>
          <w:tcPr>
            <w:tcW w:w="1440" w:type="dxa"/>
          </w:tcPr>
          <w:p w14:paraId="16361B1B" w14:textId="32877D20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7DE1" w:rsidRPr="00CA7DE1" w14:paraId="7AED97E5" w14:textId="77777777" w:rsidTr="00CA7DE1">
        <w:tc>
          <w:tcPr>
            <w:tcW w:w="4045" w:type="dxa"/>
          </w:tcPr>
          <w:p w14:paraId="579AE2DA" w14:textId="2C3EB4DE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LIP Decorated</w:t>
            </w:r>
          </w:p>
        </w:tc>
        <w:tc>
          <w:tcPr>
            <w:tcW w:w="1440" w:type="dxa"/>
          </w:tcPr>
          <w:p w14:paraId="6BFD9943" w14:textId="273D298B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A7DE1" w:rsidRPr="00CA7DE1" w14:paraId="02E84666" w14:textId="77777777" w:rsidTr="00CA7DE1">
        <w:tc>
          <w:tcPr>
            <w:tcW w:w="4045" w:type="dxa"/>
          </w:tcPr>
          <w:p w14:paraId="07E93670" w14:textId="07B9F168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LIP Undecorated</w:t>
            </w:r>
          </w:p>
        </w:tc>
        <w:tc>
          <w:tcPr>
            <w:tcW w:w="1440" w:type="dxa"/>
          </w:tcPr>
          <w:p w14:paraId="18DA1F1C" w14:textId="036EC51A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DE1" w:rsidRPr="00CA7DE1" w14:paraId="2AA22E58" w14:textId="77777777" w:rsidTr="00CA7DE1">
        <w:tc>
          <w:tcPr>
            <w:tcW w:w="4045" w:type="dxa"/>
          </w:tcPr>
          <w:p w14:paraId="23E166A3" w14:textId="0A081857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Cuzco Inca Decorated</w:t>
            </w:r>
          </w:p>
        </w:tc>
        <w:tc>
          <w:tcPr>
            <w:tcW w:w="1440" w:type="dxa"/>
          </w:tcPr>
          <w:p w14:paraId="192B3BCF" w14:textId="260E222A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CA7DE1" w:rsidRPr="00CA7DE1" w14:paraId="17B4EF91" w14:textId="77777777" w:rsidTr="00CA7DE1">
        <w:tc>
          <w:tcPr>
            <w:tcW w:w="4045" w:type="dxa"/>
          </w:tcPr>
          <w:p w14:paraId="74309558" w14:textId="35C2D8CD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Inca-related Decorated</w:t>
            </w:r>
          </w:p>
        </w:tc>
        <w:tc>
          <w:tcPr>
            <w:tcW w:w="1440" w:type="dxa"/>
          </w:tcPr>
          <w:p w14:paraId="06DE42CA" w14:textId="6C47FEF2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A7DE1" w:rsidRPr="00CA7DE1" w14:paraId="14A810FA" w14:textId="77777777" w:rsidTr="00CA7DE1">
        <w:tc>
          <w:tcPr>
            <w:tcW w:w="4045" w:type="dxa"/>
          </w:tcPr>
          <w:p w14:paraId="13573949" w14:textId="4A35E0E3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Inca Undecorated</w:t>
            </w:r>
          </w:p>
        </w:tc>
        <w:tc>
          <w:tcPr>
            <w:tcW w:w="1440" w:type="dxa"/>
          </w:tcPr>
          <w:p w14:paraId="143D746C" w14:textId="1BA03DEC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7DE1" w:rsidRPr="00CA7DE1" w14:paraId="7C9F4A3A" w14:textId="77777777" w:rsidTr="00CA7DE1">
        <w:tc>
          <w:tcPr>
            <w:tcW w:w="4045" w:type="dxa"/>
          </w:tcPr>
          <w:p w14:paraId="21F6DDD8" w14:textId="4C502847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Colonial</w:t>
            </w:r>
          </w:p>
        </w:tc>
        <w:tc>
          <w:tcPr>
            <w:tcW w:w="1440" w:type="dxa"/>
          </w:tcPr>
          <w:p w14:paraId="16A96BF5" w14:textId="3A261CA3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7DE1" w:rsidRPr="00CA7DE1" w14:paraId="2C0DE508" w14:textId="77777777" w:rsidTr="00CA7DE1">
        <w:tc>
          <w:tcPr>
            <w:tcW w:w="4045" w:type="dxa"/>
          </w:tcPr>
          <w:p w14:paraId="05EF8411" w14:textId="68E90F7A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</w:p>
        </w:tc>
        <w:tc>
          <w:tcPr>
            <w:tcW w:w="1440" w:type="dxa"/>
          </w:tcPr>
          <w:p w14:paraId="50AA305B" w14:textId="50039C94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DE1" w:rsidRPr="00CA7DE1" w14:paraId="31D2F028" w14:textId="77777777" w:rsidTr="00CA7DE1">
        <w:tc>
          <w:tcPr>
            <w:tcW w:w="4045" w:type="dxa"/>
          </w:tcPr>
          <w:p w14:paraId="5CA107B3" w14:textId="461A418F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Utilitarian/Domestic</w:t>
            </w:r>
          </w:p>
        </w:tc>
        <w:tc>
          <w:tcPr>
            <w:tcW w:w="1440" w:type="dxa"/>
          </w:tcPr>
          <w:p w14:paraId="28B1388B" w14:textId="4EEEB6C2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CA7DE1" w:rsidRPr="00CA7DE1" w14:paraId="42CBA6CD" w14:textId="77777777" w:rsidTr="00CA7DE1">
        <w:tc>
          <w:tcPr>
            <w:tcW w:w="4045" w:type="dxa"/>
          </w:tcPr>
          <w:p w14:paraId="2C1832CF" w14:textId="68D0AA57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Unknown Decorated</w:t>
            </w:r>
          </w:p>
        </w:tc>
        <w:tc>
          <w:tcPr>
            <w:tcW w:w="1440" w:type="dxa"/>
          </w:tcPr>
          <w:p w14:paraId="3761ECF1" w14:textId="03E121FD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CA7DE1" w:rsidRPr="00CA7DE1" w14:paraId="568C78EF" w14:textId="77777777" w:rsidTr="00CA7DE1">
        <w:tc>
          <w:tcPr>
            <w:tcW w:w="4045" w:type="dxa"/>
          </w:tcPr>
          <w:p w14:paraId="0EA01413" w14:textId="42332674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2E2EDACB" w14:textId="5C93F2D4" w:rsidR="00CA7DE1" w:rsidRPr="00CA7DE1" w:rsidRDefault="00CA7DE1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DE1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</w:tr>
    </w:tbl>
    <w:p w14:paraId="0415537D" w14:textId="4130A480" w:rsidR="00CA7DE1" w:rsidRPr="00CA7DE1" w:rsidRDefault="00CA7DE1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23896B" w14:textId="35BCBCC1" w:rsidR="00CA7DE1" w:rsidRDefault="00C60933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2016 excavations, stylistic identifications of decorated pottery were tabulated (Table S</w:t>
      </w:r>
      <w:r w:rsidR="00EB47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sample is much smaller, reflecting a smaller excavated area that had less artifact density and lower percentages of decorated pottery.</w:t>
      </w:r>
    </w:p>
    <w:p w14:paraId="7E41A722" w14:textId="37B5C248" w:rsidR="00EB476C" w:rsidRDefault="00EB476C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EB129B" w14:textId="74983D59" w:rsidR="00EB476C" w:rsidRPr="00F31BBB" w:rsidRDefault="00EB476C" w:rsidP="00EB47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BBB">
        <w:rPr>
          <w:rFonts w:ascii="Times New Roman" w:hAnsi="Times New Roman" w:cs="Times New Roman"/>
          <w:b/>
          <w:bCs/>
          <w:sz w:val="24"/>
          <w:szCs w:val="24"/>
        </w:rPr>
        <w:t>Table S3.</w:t>
      </w:r>
      <w:r w:rsidR="00452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BBB">
        <w:rPr>
          <w:rFonts w:ascii="Times New Roman" w:hAnsi="Times New Roman" w:cs="Times New Roman"/>
          <w:b/>
          <w:bCs/>
          <w:sz w:val="24"/>
          <w:szCs w:val="24"/>
        </w:rPr>
        <w:t>Decorated Sherd Count from the 2016 Test Units</w:t>
      </w:r>
      <w:r w:rsidR="00F31BBB" w:rsidRPr="00F31B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520"/>
      </w:tblGrid>
      <w:tr w:rsidR="00C60933" w14:paraId="0E9F5F48" w14:textId="77777777" w:rsidTr="00C60933">
        <w:tc>
          <w:tcPr>
            <w:tcW w:w="2965" w:type="dxa"/>
          </w:tcPr>
          <w:p w14:paraId="60BBD107" w14:textId="28D76AD2" w:rsidR="00C60933" w:rsidRDefault="00C60933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</w:p>
        </w:tc>
        <w:tc>
          <w:tcPr>
            <w:tcW w:w="2520" w:type="dxa"/>
          </w:tcPr>
          <w:p w14:paraId="204EEB23" w14:textId="600B7A7E" w:rsidR="00C60933" w:rsidRDefault="00C60933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 </w:t>
            </w:r>
          </w:p>
        </w:tc>
      </w:tr>
      <w:tr w:rsidR="00C60933" w14:paraId="3A25FFAE" w14:textId="77777777" w:rsidTr="00C60933">
        <w:tc>
          <w:tcPr>
            <w:tcW w:w="2965" w:type="dxa"/>
          </w:tcPr>
          <w:p w14:paraId="1316FE2A" w14:textId="141968E5" w:rsidR="00C60933" w:rsidRDefault="00C60933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Chanapata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(Formative)</w:t>
            </w:r>
          </w:p>
        </w:tc>
        <w:tc>
          <w:tcPr>
            <w:tcW w:w="2520" w:type="dxa"/>
          </w:tcPr>
          <w:p w14:paraId="74213CCA" w14:textId="1B816046" w:rsidR="00C60933" w:rsidRDefault="00C60933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1?</w:t>
            </w:r>
          </w:p>
        </w:tc>
      </w:tr>
      <w:tr w:rsidR="00C60933" w14:paraId="290BE312" w14:textId="77777777" w:rsidTr="00C60933">
        <w:tc>
          <w:tcPr>
            <w:tcW w:w="2965" w:type="dxa"/>
          </w:tcPr>
          <w:p w14:paraId="5ECE7812" w14:textId="6432BC8B" w:rsidR="00C60933" w:rsidRDefault="00C60933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(EIP)</w:t>
            </w:r>
          </w:p>
        </w:tc>
        <w:tc>
          <w:tcPr>
            <w:tcW w:w="2520" w:type="dxa"/>
          </w:tcPr>
          <w:p w14:paraId="31E13DC8" w14:textId="09781371" w:rsidR="00C60933" w:rsidRDefault="00C60933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933" w14:paraId="0A633AFB" w14:textId="77777777" w:rsidTr="00C60933">
        <w:tc>
          <w:tcPr>
            <w:tcW w:w="2965" w:type="dxa"/>
          </w:tcPr>
          <w:p w14:paraId="4812F2F8" w14:textId="37738F06" w:rsidR="00C60933" w:rsidRDefault="00C60933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Qotakalli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(EIP/MH)</w:t>
            </w:r>
          </w:p>
        </w:tc>
        <w:tc>
          <w:tcPr>
            <w:tcW w:w="2520" w:type="dxa"/>
          </w:tcPr>
          <w:p w14:paraId="19FFEE3C" w14:textId="6742A5E7" w:rsidR="00C60933" w:rsidRDefault="00C60933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933" w14:paraId="0AE4154C" w14:textId="77777777" w:rsidTr="00C60933">
        <w:tc>
          <w:tcPr>
            <w:tcW w:w="2965" w:type="dxa"/>
          </w:tcPr>
          <w:p w14:paraId="1BDA7817" w14:textId="19D7DBFE" w:rsidR="00C60933" w:rsidRDefault="00C60933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Urqu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(MH)</w:t>
            </w:r>
          </w:p>
        </w:tc>
        <w:tc>
          <w:tcPr>
            <w:tcW w:w="2520" w:type="dxa"/>
          </w:tcPr>
          <w:p w14:paraId="273DDA15" w14:textId="0388AC86" w:rsidR="00C60933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933" w14:paraId="611A26C7" w14:textId="77777777" w:rsidTr="00C60933">
        <w:tc>
          <w:tcPr>
            <w:tcW w:w="2965" w:type="dxa"/>
          </w:tcPr>
          <w:p w14:paraId="6B11CAE4" w14:textId="5CEF76BD" w:rsidR="00C60933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(MH)</w:t>
            </w:r>
          </w:p>
        </w:tc>
        <w:tc>
          <w:tcPr>
            <w:tcW w:w="2520" w:type="dxa"/>
          </w:tcPr>
          <w:p w14:paraId="24A17535" w14:textId="685E7522" w:rsidR="00C60933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C5E" w14:paraId="2DC7A8BB" w14:textId="77777777" w:rsidTr="00D266B8">
        <w:tc>
          <w:tcPr>
            <w:tcW w:w="2965" w:type="dxa"/>
          </w:tcPr>
          <w:p w14:paraId="271BAB75" w14:textId="010A85F9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MH</w:t>
            </w:r>
          </w:p>
        </w:tc>
        <w:tc>
          <w:tcPr>
            <w:tcW w:w="2520" w:type="dxa"/>
          </w:tcPr>
          <w:p w14:paraId="6B8D7B7F" w14:textId="0BC25742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7C5E" w14:paraId="6FE3B0C2" w14:textId="77777777" w:rsidTr="00D266B8">
        <w:tc>
          <w:tcPr>
            <w:tcW w:w="2965" w:type="dxa"/>
          </w:tcPr>
          <w:p w14:paraId="5FA0CF7F" w14:textId="3EE0D578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Killke (LIP)</w:t>
            </w:r>
          </w:p>
        </w:tc>
        <w:tc>
          <w:tcPr>
            <w:tcW w:w="2520" w:type="dxa"/>
          </w:tcPr>
          <w:p w14:paraId="37451281" w14:textId="4EE53B70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37C5E" w14:paraId="3CAF41A0" w14:textId="77777777" w:rsidTr="00D266B8">
        <w:tc>
          <w:tcPr>
            <w:tcW w:w="2965" w:type="dxa"/>
          </w:tcPr>
          <w:p w14:paraId="0D00F0C6" w14:textId="792859A7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LIP</w:t>
            </w:r>
          </w:p>
        </w:tc>
        <w:tc>
          <w:tcPr>
            <w:tcW w:w="2520" w:type="dxa"/>
          </w:tcPr>
          <w:p w14:paraId="78219DCA" w14:textId="58FF4A56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7C5E" w14:paraId="6A9B953B" w14:textId="77777777" w:rsidTr="00D266B8">
        <w:tc>
          <w:tcPr>
            <w:tcW w:w="2965" w:type="dxa"/>
          </w:tcPr>
          <w:p w14:paraId="2A7558B0" w14:textId="738E5978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</w:t>
            </w:r>
          </w:p>
        </w:tc>
        <w:tc>
          <w:tcPr>
            <w:tcW w:w="2520" w:type="dxa"/>
          </w:tcPr>
          <w:p w14:paraId="72D82F4D" w14:textId="3C3A29B9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60933" w14:paraId="34777318" w14:textId="77777777" w:rsidTr="00C60933">
        <w:tc>
          <w:tcPr>
            <w:tcW w:w="2965" w:type="dxa"/>
          </w:tcPr>
          <w:p w14:paraId="434E86CC" w14:textId="30931CEA" w:rsidR="00C60933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Colonial</w:t>
            </w:r>
          </w:p>
        </w:tc>
        <w:tc>
          <w:tcPr>
            <w:tcW w:w="2520" w:type="dxa"/>
          </w:tcPr>
          <w:p w14:paraId="3696062B" w14:textId="4EA74060" w:rsidR="00C60933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7C5E" w14:paraId="3E112DFB" w14:textId="77777777" w:rsidTr="00D266B8">
        <w:tc>
          <w:tcPr>
            <w:tcW w:w="2965" w:type="dxa"/>
          </w:tcPr>
          <w:p w14:paraId="77A4D630" w14:textId="6CCA545A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</w:p>
        </w:tc>
        <w:tc>
          <w:tcPr>
            <w:tcW w:w="2520" w:type="dxa"/>
          </w:tcPr>
          <w:p w14:paraId="09B9F5A3" w14:textId="015D930C" w:rsidR="00737C5E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933" w14:paraId="3F5229AC" w14:textId="77777777" w:rsidTr="00C60933">
        <w:tc>
          <w:tcPr>
            <w:tcW w:w="2965" w:type="dxa"/>
          </w:tcPr>
          <w:p w14:paraId="65872088" w14:textId="20C6FE87" w:rsidR="00C60933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20" w:type="dxa"/>
          </w:tcPr>
          <w:p w14:paraId="0BF7DFD2" w14:textId="2C5338AA" w:rsidR="00C60933" w:rsidRDefault="00737C5E" w:rsidP="00EB4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7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3A78145A" w14:textId="77777777" w:rsidR="007C3ACC" w:rsidRDefault="007C3ACC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8914C" w14:textId="58AF0503" w:rsidR="00C60933" w:rsidRPr="00F31BBB" w:rsidRDefault="000042E3" w:rsidP="00EB47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BBB">
        <w:rPr>
          <w:rFonts w:ascii="Times New Roman" w:hAnsi="Times New Roman" w:cs="Times New Roman"/>
          <w:b/>
          <w:bCs/>
          <w:sz w:val="24"/>
          <w:szCs w:val="24"/>
        </w:rPr>
        <w:t>Radiocarbon Samples</w:t>
      </w:r>
    </w:p>
    <w:p w14:paraId="20FF5DFE" w14:textId="71515F3B" w:rsidR="000042E3" w:rsidRDefault="000042E3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the 2016 season, 18 samples of carbonized organic material were selected for dating based on archaeological preservation and association with material culture from different periods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(Table S4). Export permits were granted by the Peruvian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Cultura, and all samples were processed in the AMS laboratory at the Univers</w:t>
      </w:r>
      <w:r w:rsidR="005E4B88">
        <w:rPr>
          <w:rFonts w:ascii="Times New Roman" w:hAnsi="Times New Roman" w:cs="Times New Roman"/>
          <w:sz w:val="24"/>
          <w:szCs w:val="24"/>
        </w:rPr>
        <w:t>ity of Arizona.</w:t>
      </w:r>
    </w:p>
    <w:p w14:paraId="48E90180" w14:textId="77777777" w:rsidR="000042E3" w:rsidRDefault="000042E3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5A60FE" w14:textId="59BF4B46" w:rsidR="000042E3" w:rsidRPr="00F31BBB" w:rsidRDefault="000042E3" w:rsidP="000042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1BBB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S4. Context of Charcoal Samples from Sector II</w:t>
      </w:r>
      <w:r w:rsidR="00F31BBB" w:rsidRPr="00F31BBB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1899"/>
        <w:gridCol w:w="1434"/>
        <w:gridCol w:w="4378"/>
      </w:tblGrid>
      <w:tr w:rsidR="000042E3" w:rsidRPr="00E964E9" w14:paraId="635EBDCF" w14:textId="77777777" w:rsidTr="00D7161F">
        <w:tc>
          <w:tcPr>
            <w:tcW w:w="1194" w:type="dxa"/>
          </w:tcPr>
          <w:p w14:paraId="4647BE6C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Sample</w:t>
            </w:r>
          </w:p>
        </w:tc>
        <w:tc>
          <w:tcPr>
            <w:tcW w:w="1899" w:type="dxa"/>
          </w:tcPr>
          <w:p w14:paraId="49612062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Provenience</w:t>
            </w:r>
          </w:p>
        </w:tc>
        <w:tc>
          <w:tcPr>
            <w:tcW w:w="1434" w:type="dxa"/>
          </w:tcPr>
          <w:p w14:paraId="2E241FB4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Depth</w:t>
            </w:r>
          </w:p>
        </w:tc>
        <w:tc>
          <w:tcPr>
            <w:tcW w:w="4378" w:type="dxa"/>
          </w:tcPr>
          <w:p w14:paraId="3AE0F689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Associated Pottery</w:t>
            </w:r>
          </w:p>
        </w:tc>
      </w:tr>
      <w:tr w:rsidR="000042E3" w:rsidRPr="00E964E9" w14:paraId="7F3BA2AB" w14:textId="77777777" w:rsidTr="00D7161F">
        <w:tc>
          <w:tcPr>
            <w:tcW w:w="1194" w:type="dxa"/>
          </w:tcPr>
          <w:p w14:paraId="44A49873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AA113131</w:t>
            </w:r>
          </w:p>
        </w:tc>
        <w:tc>
          <w:tcPr>
            <w:tcW w:w="1899" w:type="dxa"/>
          </w:tcPr>
          <w:p w14:paraId="79793CFB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PP2, Level 6</w:t>
            </w:r>
          </w:p>
        </w:tc>
        <w:tc>
          <w:tcPr>
            <w:tcW w:w="1434" w:type="dxa"/>
          </w:tcPr>
          <w:p w14:paraId="3B2554C8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84 cm</w:t>
            </w:r>
          </w:p>
        </w:tc>
        <w:tc>
          <w:tcPr>
            <w:tcW w:w="4378" w:type="dxa"/>
          </w:tcPr>
          <w:p w14:paraId="22325034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(EIP)</w:t>
            </w:r>
          </w:p>
        </w:tc>
      </w:tr>
      <w:tr w:rsidR="000042E3" w:rsidRPr="00E964E9" w14:paraId="2D7CEDE1" w14:textId="77777777" w:rsidTr="00D7161F">
        <w:tc>
          <w:tcPr>
            <w:tcW w:w="1194" w:type="dxa"/>
          </w:tcPr>
          <w:p w14:paraId="2DDC7AC6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AA113132</w:t>
            </w:r>
          </w:p>
        </w:tc>
        <w:tc>
          <w:tcPr>
            <w:tcW w:w="1899" w:type="dxa"/>
          </w:tcPr>
          <w:p w14:paraId="7E5ED31F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PP3, Level 1</w:t>
            </w:r>
          </w:p>
        </w:tc>
        <w:tc>
          <w:tcPr>
            <w:tcW w:w="1434" w:type="dxa"/>
          </w:tcPr>
          <w:p w14:paraId="16D63A42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 cm</w:t>
            </w:r>
          </w:p>
        </w:tc>
        <w:tc>
          <w:tcPr>
            <w:tcW w:w="4378" w:type="dxa"/>
          </w:tcPr>
          <w:p w14:paraId="3385C254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Colonial, Inca</w:t>
            </w:r>
          </w:p>
        </w:tc>
      </w:tr>
      <w:tr w:rsidR="000042E3" w:rsidRPr="00E964E9" w14:paraId="65BC07DA" w14:textId="77777777" w:rsidTr="00D7161F">
        <w:tc>
          <w:tcPr>
            <w:tcW w:w="1194" w:type="dxa"/>
          </w:tcPr>
          <w:p w14:paraId="2CBE90A7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AA113133</w:t>
            </w:r>
          </w:p>
        </w:tc>
        <w:tc>
          <w:tcPr>
            <w:tcW w:w="1899" w:type="dxa"/>
          </w:tcPr>
          <w:p w14:paraId="25C02E30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PP3, Level 2</w:t>
            </w:r>
          </w:p>
        </w:tc>
        <w:tc>
          <w:tcPr>
            <w:tcW w:w="1434" w:type="dxa"/>
          </w:tcPr>
          <w:p w14:paraId="58B8A0E8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 cm</w:t>
            </w:r>
          </w:p>
        </w:tc>
        <w:tc>
          <w:tcPr>
            <w:tcW w:w="4378" w:type="dxa"/>
          </w:tcPr>
          <w:p w14:paraId="3E01CA56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Inca, Killke</w:t>
            </w:r>
          </w:p>
        </w:tc>
      </w:tr>
      <w:tr w:rsidR="000042E3" w:rsidRPr="00E964E9" w14:paraId="6B0F8C56" w14:textId="77777777" w:rsidTr="00D7161F">
        <w:tc>
          <w:tcPr>
            <w:tcW w:w="1194" w:type="dxa"/>
          </w:tcPr>
          <w:p w14:paraId="79862263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AA113134</w:t>
            </w:r>
          </w:p>
        </w:tc>
        <w:tc>
          <w:tcPr>
            <w:tcW w:w="1899" w:type="dxa"/>
          </w:tcPr>
          <w:p w14:paraId="29E23B42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PP3, Level 7</w:t>
            </w:r>
          </w:p>
        </w:tc>
        <w:tc>
          <w:tcPr>
            <w:tcW w:w="1434" w:type="dxa"/>
          </w:tcPr>
          <w:p w14:paraId="6708203A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 cm</w:t>
            </w:r>
          </w:p>
        </w:tc>
        <w:tc>
          <w:tcPr>
            <w:tcW w:w="4378" w:type="dxa"/>
          </w:tcPr>
          <w:p w14:paraId="3DC93553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Araway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(MH)</w:t>
            </w:r>
          </w:p>
        </w:tc>
      </w:tr>
      <w:tr w:rsidR="000042E3" w:rsidRPr="00E964E9" w14:paraId="72A6DE77" w14:textId="77777777" w:rsidTr="00D7161F">
        <w:tc>
          <w:tcPr>
            <w:tcW w:w="1194" w:type="dxa"/>
          </w:tcPr>
          <w:p w14:paraId="4E87C19E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AA113135</w:t>
            </w:r>
          </w:p>
        </w:tc>
        <w:tc>
          <w:tcPr>
            <w:tcW w:w="1899" w:type="dxa"/>
          </w:tcPr>
          <w:p w14:paraId="491BA656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PP4, Level 4</w:t>
            </w:r>
          </w:p>
        </w:tc>
        <w:tc>
          <w:tcPr>
            <w:tcW w:w="1434" w:type="dxa"/>
          </w:tcPr>
          <w:p w14:paraId="44C90636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58 cm</w:t>
            </w:r>
          </w:p>
        </w:tc>
        <w:tc>
          <w:tcPr>
            <w:tcW w:w="4378" w:type="dxa"/>
          </w:tcPr>
          <w:p w14:paraId="6F001EB4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Colonial, Inca-related, LIP</w:t>
            </w:r>
          </w:p>
        </w:tc>
      </w:tr>
      <w:tr w:rsidR="000042E3" w:rsidRPr="00E964E9" w14:paraId="64AAF954" w14:textId="77777777" w:rsidTr="00D7161F">
        <w:tc>
          <w:tcPr>
            <w:tcW w:w="1194" w:type="dxa"/>
          </w:tcPr>
          <w:p w14:paraId="06B17DD6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AA113136</w:t>
            </w:r>
          </w:p>
        </w:tc>
        <w:tc>
          <w:tcPr>
            <w:tcW w:w="1899" w:type="dxa"/>
          </w:tcPr>
          <w:p w14:paraId="62351EEE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PP4, Level 5</w:t>
            </w:r>
          </w:p>
        </w:tc>
        <w:tc>
          <w:tcPr>
            <w:tcW w:w="1434" w:type="dxa"/>
          </w:tcPr>
          <w:p w14:paraId="2AF08666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66 cm</w:t>
            </w:r>
          </w:p>
        </w:tc>
        <w:tc>
          <w:tcPr>
            <w:tcW w:w="4378" w:type="dxa"/>
          </w:tcPr>
          <w:p w14:paraId="6860CD25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 and LIP</w:t>
            </w:r>
          </w:p>
        </w:tc>
      </w:tr>
      <w:tr w:rsidR="000042E3" w:rsidRPr="00E964E9" w14:paraId="7FECF6E2" w14:textId="77777777" w:rsidTr="00D7161F">
        <w:tc>
          <w:tcPr>
            <w:tcW w:w="1194" w:type="dxa"/>
          </w:tcPr>
          <w:p w14:paraId="0E2BF325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AA113137</w:t>
            </w:r>
          </w:p>
        </w:tc>
        <w:tc>
          <w:tcPr>
            <w:tcW w:w="1899" w:type="dxa"/>
          </w:tcPr>
          <w:p w14:paraId="471B8DEF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PP4, Level 5</w:t>
            </w:r>
          </w:p>
        </w:tc>
        <w:tc>
          <w:tcPr>
            <w:tcW w:w="1434" w:type="dxa"/>
          </w:tcPr>
          <w:p w14:paraId="0720EC35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 cm</w:t>
            </w:r>
          </w:p>
        </w:tc>
        <w:tc>
          <w:tcPr>
            <w:tcW w:w="4378" w:type="dxa"/>
          </w:tcPr>
          <w:p w14:paraId="151273B0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 and LIP</w:t>
            </w:r>
          </w:p>
        </w:tc>
      </w:tr>
      <w:tr w:rsidR="000042E3" w:rsidRPr="00E964E9" w14:paraId="1877F1FE" w14:textId="77777777" w:rsidTr="00D7161F">
        <w:tc>
          <w:tcPr>
            <w:tcW w:w="1194" w:type="dxa"/>
          </w:tcPr>
          <w:p w14:paraId="40C83509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AA113138</w:t>
            </w:r>
          </w:p>
        </w:tc>
        <w:tc>
          <w:tcPr>
            <w:tcW w:w="1899" w:type="dxa"/>
          </w:tcPr>
          <w:p w14:paraId="5BA77AB3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PP4, Level 6</w:t>
            </w:r>
          </w:p>
        </w:tc>
        <w:tc>
          <w:tcPr>
            <w:tcW w:w="1434" w:type="dxa"/>
          </w:tcPr>
          <w:p w14:paraId="431B1C77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 cm</w:t>
            </w:r>
          </w:p>
        </w:tc>
        <w:tc>
          <w:tcPr>
            <w:tcW w:w="4378" w:type="dxa"/>
          </w:tcPr>
          <w:p w14:paraId="021FC93E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Inca-related, LIP</w:t>
            </w:r>
          </w:p>
        </w:tc>
      </w:tr>
      <w:tr w:rsidR="000042E3" w:rsidRPr="00E964E9" w14:paraId="7281967D" w14:textId="77777777" w:rsidTr="00D7161F">
        <w:tc>
          <w:tcPr>
            <w:tcW w:w="1194" w:type="dxa"/>
          </w:tcPr>
          <w:p w14:paraId="4C8B6608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AA113139</w:t>
            </w:r>
          </w:p>
        </w:tc>
        <w:tc>
          <w:tcPr>
            <w:tcW w:w="1899" w:type="dxa"/>
          </w:tcPr>
          <w:p w14:paraId="1AD619B3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PP4, Level 6</w:t>
            </w:r>
          </w:p>
        </w:tc>
        <w:tc>
          <w:tcPr>
            <w:tcW w:w="1434" w:type="dxa"/>
          </w:tcPr>
          <w:p w14:paraId="22A4A4DF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 cm</w:t>
            </w:r>
          </w:p>
        </w:tc>
        <w:tc>
          <w:tcPr>
            <w:tcW w:w="4378" w:type="dxa"/>
          </w:tcPr>
          <w:p w14:paraId="2155C55F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Inca-related, LIP</w:t>
            </w:r>
          </w:p>
        </w:tc>
      </w:tr>
      <w:tr w:rsidR="000042E3" w:rsidRPr="00E964E9" w14:paraId="7F27E777" w14:textId="77777777" w:rsidTr="00D7161F">
        <w:tc>
          <w:tcPr>
            <w:tcW w:w="1194" w:type="dxa"/>
          </w:tcPr>
          <w:p w14:paraId="70773676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AA113140</w:t>
            </w:r>
          </w:p>
        </w:tc>
        <w:tc>
          <w:tcPr>
            <w:tcW w:w="1899" w:type="dxa"/>
          </w:tcPr>
          <w:p w14:paraId="28715337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PP4, Level 8</w:t>
            </w:r>
          </w:p>
        </w:tc>
        <w:tc>
          <w:tcPr>
            <w:tcW w:w="1434" w:type="dxa"/>
          </w:tcPr>
          <w:p w14:paraId="1E9232AF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103 cm </w:t>
            </w:r>
          </w:p>
        </w:tc>
        <w:tc>
          <w:tcPr>
            <w:tcW w:w="4378" w:type="dxa"/>
          </w:tcPr>
          <w:p w14:paraId="69AF24E9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Inca-related, LIP</w:t>
            </w:r>
          </w:p>
        </w:tc>
      </w:tr>
      <w:tr w:rsidR="000042E3" w:rsidRPr="00E964E9" w14:paraId="0EFF5580" w14:textId="77777777" w:rsidTr="00D7161F">
        <w:tc>
          <w:tcPr>
            <w:tcW w:w="1194" w:type="dxa"/>
          </w:tcPr>
          <w:p w14:paraId="38E7C4DB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AA113141</w:t>
            </w:r>
          </w:p>
        </w:tc>
        <w:tc>
          <w:tcPr>
            <w:tcW w:w="1899" w:type="dxa"/>
          </w:tcPr>
          <w:p w14:paraId="2E77CC84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PP5, Level 5</w:t>
            </w:r>
          </w:p>
        </w:tc>
        <w:tc>
          <w:tcPr>
            <w:tcW w:w="1434" w:type="dxa"/>
          </w:tcPr>
          <w:p w14:paraId="44EDBE51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67 cm</w:t>
            </w:r>
          </w:p>
        </w:tc>
        <w:tc>
          <w:tcPr>
            <w:tcW w:w="4378" w:type="dxa"/>
          </w:tcPr>
          <w:p w14:paraId="6FAB0583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</w:t>
            </w:r>
          </w:p>
        </w:tc>
      </w:tr>
      <w:tr w:rsidR="000042E3" w:rsidRPr="00E964E9" w14:paraId="317CF24D" w14:textId="77777777" w:rsidTr="00D7161F">
        <w:tc>
          <w:tcPr>
            <w:tcW w:w="1194" w:type="dxa"/>
          </w:tcPr>
          <w:p w14:paraId="747FB9FB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AA113142</w:t>
            </w:r>
          </w:p>
        </w:tc>
        <w:tc>
          <w:tcPr>
            <w:tcW w:w="1899" w:type="dxa"/>
          </w:tcPr>
          <w:p w14:paraId="630ED202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PP5, Level 5</w:t>
            </w:r>
          </w:p>
        </w:tc>
        <w:tc>
          <w:tcPr>
            <w:tcW w:w="1434" w:type="dxa"/>
          </w:tcPr>
          <w:p w14:paraId="4A9B926F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65 cm</w:t>
            </w:r>
          </w:p>
        </w:tc>
        <w:tc>
          <w:tcPr>
            <w:tcW w:w="4378" w:type="dxa"/>
          </w:tcPr>
          <w:p w14:paraId="4D4D81E4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</w:t>
            </w:r>
          </w:p>
        </w:tc>
      </w:tr>
      <w:tr w:rsidR="000042E3" w:rsidRPr="00E964E9" w14:paraId="799A798A" w14:textId="77777777" w:rsidTr="00D7161F">
        <w:tc>
          <w:tcPr>
            <w:tcW w:w="1194" w:type="dxa"/>
          </w:tcPr>
          <w:p w14:paraId="21685216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AA113143</w:t>
            </w:r>
          </w:p>
        </w:tc>
        <w:tc>
          <w:tcPr>
            <w:tcW w:w="1899" w:type="dxa"/>
          </w:tcPr>
          <w:p w14:paraId="3A21CEDD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PP5, Level 6</w:t>
            </w:r>
          </w:p>
        </w:tc>
        <w:tc>
          <w:tcPr>
            <w:tcW w:w="1434" w:type="dxa"/>
          </w:tcPr>
          <w:p w14:paraId="3E09C8F4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77 cm</w:t>
            </w:r>
          </w:p>
        </w:tc>
        <w:tc>
          <w:tcPr>
            <w:tcW w:w="4378" w:type="dxa"/>
          </w:tcPr>
          <w:p w14:paraId="186F1C39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</w:t>
            </w:r>
          </w:p>
        </w:tc>
      </w:tr>
      <w:tr w:rsidR="000042E3" w:rsidRPr="00E964E9" w14:paraId="6F6CAA89" w14:textId="77777777" w:rsidTr="00D7161F">
        <w:tc>
          <w:tcPr>
            <w:tcW w:w="1194" w:type="dxa"/>
          </w:tcPr>
          <w:p w14:paraId="3635A43C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AA113144</w:t>
            </w:r>
          </w:p>
        </w:tc>
        <w:tc>
          <w:tcPr>
            <w:tcW w:w="1899" w:type="dxa"/>
          </w:tcPr>
          <w:p w14:paraId="42EA6A70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PP5, Level 7</w:t>
            </w:r>
          </w:p>
        </w:tc>
        <w:tc>
          <w:tcPr>
            <w:tcW w:w="1434" w:type="dxa"/>
          </w:tcPr>
          <w:p w14:paraId="36021FF5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 cm</w:t>
            </w:r>
          </w:p>
        </w:tc>
        <w:tc>
          <w:tcPr>
            <w:tcW w:w="4378" w:type="dxa"/>
          </w:tcPr>
          <w:p w14:paraId="0A90C89B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</w:t>
            </w:r>
          </w:p>
        </w:tc>
      </w:tr>
      <w:tr w:rsidR="000042E3" w:rsidRPr="00E964E9" w14:paraId="7478B11D" w14:textId="77777777" w:rsidTr="00D7161F">
        <w:tc>
          <w:tcPr>
            <w:tcW w:w="1194" w:type="dxa"/>
          </w:tcPr>
          <w:p w14:paraId="36D74DDE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AA113145</w:t>
            </w:r>
          </w:p>
        </w:tc>
        <w:tc>
          <w:tcPr>
            <w:tcW w:w="1899" w:type="dxa"/>
          </w:tcPr>
          <w:p w14:paraId="7CD3207A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PP5A, Level 5</w:t>
            </w:r>
          </w:p>
        </w:tc>
        <w:tc>
          <w:tcPr>
            <w:tcW w:w="1434" w:type="dxa"/>
          </w:tcPr>
          <w:p w14:paraId="4A91D890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58 cm</w:t>
            </w:r>
          </w:p>
        </w:tc>
        <w:tc>
          <w:tcPr>
            <w:tcW w:w="4378" w:type="dxa"/>
          </w:tcPr>
          <w:p w14:paraId="582DEA0C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</w:t>
            </w:r>
          </w:p>
        </w:tc>
      </w:tr>
      <w:tr w:rsidR="000042E3" w:rsidRPr="00E964E9" w14:paraId="3D148A5D" w14:textId="77777777" w:rsidTr="00D7161F">
        <w:tc>
          <w:tcPr>
            <w:tcW w:w="1194" w:type="dxa"/>
          </w:tcPr>
          <w:p w14:paraId="552F8ECF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AA113146</w:t>
            </w:r>
          </w:p>
        </w:tc>
        <w:tc>
          <w:tcPr>
            <w:tcW w:w="1899" w:type="dxa"/>
          </w:tcPr>
          <w:p w14:paraId="1C867CFC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PP5A, Level 6S</w:t>
            </w:r>
          </w:p>
        </w:tc>
        <w:tc>
          <w:tcPr>
            <w:tcW w:w="1434" w:type="dxa"/>
          </w:tcPr>
          <w:p w14:paraId="6E758498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73 cm</w:t>
            </w:r>
          </w:p>
        </w:tc>
        <w:tc>
          <w:tcPr>
            <w:tcW w:w="4378" w:type="dxa"/>
          </w:tcPr>
          <w:p w14:paraId="2D6CAC23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</w:t>
            </w:r>
          </w:p>
        </w:tc>
      </w:tr>
      <w:tr w:rsidR="000042E3" w:rsidRPr="00E964E9" w14:paraId="16B25032" w14:textId="77777777" w:rsidTr="00D7161F">
        <w:tc>
          <w:tcPr>
            <w:tcW w:w="1194" w:type="dxa"/>
          </w:tcPr>
          <w:p w14:paraId="580CEED8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AA113147</w:t>
            </w:r>
          </w:p>
        </w:tc>
        <w:tc>
          <w:tcPr>
            <w:tcW w:w="1899" w:type="dxa"/>
          </w:tcPr>
          <w:p w14:paraId="0333C53D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PP5A, Level 6S</w:t>
            </w:r>
          </w:p>
        </w:tc>
        <w:tc>
          <w:tcPr>
            <w:tcW w:w="1434" w:type="dxa"/>
          </w:tcPr>
          <w:p w14:paraId="742276CB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71 cm</w:t>
            </w:r>
          </w:p>
        </w:tc>
        <w:tc>
          <w:tcPr>
            <w:tcW w:w="4378" w:type="dxa"/>
          </w:tcPr>
          <w:p w14:paraId="69344E72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Inca</w:t>
            </w:r>
          </w:p>
        </w:tc>
      </w:tr>
      <w:tr w:rsidR="000042E3" w:rsidRPr="00E964E9" w14:paraId="28C1F686" w14:textId="77777777" w:rsidTr="00D7161F">
        <w:tc>
          <w:tcPr>
            <w:tcW w:w="1194" w:type="dxa"/>
          </w:tcPr>
          <w:p w14:paraId="51BB4D67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AA113148</w:t>
            </w:r>
          </w:p>
        </w:tc>
        <w:tc>
          <w:tcPr>
            <w:tcW w:w="1899" w:type="dxa"/>
          </w:tcPr>
          <w:p w14:paraId="19954DF3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PP6, Level 1E</w:t>
            </w:r>
          </w:p>
        </w:tc>
        <w:tc>
          <w:tcPr>
            <w:tcW w:w="1434" w:type="dxa"/>
          </w:tcPr>
          <w:p w14:paraId="0FDC1B7A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 cm</w:t>
            </w:r>
          </w:p>
        </w:tc>
        <w:tc>
          <w:tcPr>
            <w:tcW w:w="4378" w:type="dxa"/>
          </w:tcPr>
          <w:p w14:paraId="0A16D3A4" w14:textId="77777777" w:rsidR="000042E3" w:rsidRPr="00E964E9" w:rsidRDefault="000042E3" w:rsidP="00D716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6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Qotakalli-related,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MH</w:t>
            </w:r>
          </w:p>
        </w:tc>
      </w:tr>
    </w:tbl>
    <w:p w14:paraId="3379BB6F" w14:textId="77777777" w:rsidR="000042E3" w:rsidRPr="00CA7DE1" w:rsidRDefault="000042E3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D5D21D" w14:textId="5698597F" w:rsidR="00283207" w:rsidRPr="00F31BBB" w:rsidRDefault="00283207" w:rsidP="00EB47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BBB">
        <w:rPr>
          <w:rFonts w:ascii="Times New Roman" w:hAnsi="Times New Roman" w:cs="Times New Roman"/>
          <w:b/>
          <w:bCs/>
          <w:sz w:val="24"/>
          <w:szCs w:val="24"/>
        </w:rPr>
        <w:t>Radiocarbon Calibration</w:t>
      </w:r>
    </w:p>
    <w:p w14:paraId="52290FD2" w14:textId="119A512B" w:rsidR="00D57D2B" w:rsidRPr="00CA7DE1" w:rsidRDefault="00D57D2B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7DE1">
        <w:rPr>
          <w:rFonts w:ascii="Times New Roman" w:hAnsi="Times New Roman" w:cs="Times New Roman"/>
          <w:sz w:val="24"/>
          <w:szCs w:val="24"/>
        </w:rPr>
        <w:t>As the radiocarbon database for Inca archaeology has grown in recent years, scholars have begun to discuss calibration practices</w:t>
      </w:r>
      <w:r w:rsidR="00AB41E0" w:rsidRPr="00CA7DE1">
        <w:rPr>
          <w:rFonts w:ascii="Times New Roman" w:hAnsi="Times New Roman" w:cs="Times New Roman"/>
          <w:sz w:val="24"/>
          <w:szCs w:val="24"/>
        </w:rPr>
        <w:t xml:space="preserve"> for Andean South America (Contreras 2022)</w:t>
      </w:r>
      <w:r w:rsidRPr="00CA7DE1">
        <w:rPr>
          <w:rFonts w:ascii="Times New Roman" w:hAnsi="Times New Roman" w:cs="Times New Roman"/>
          <w:sz w:val="24"/>
          <w:szCs w:val="24"/>
        </w:rPr>
        <w:t>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Pr="00CA7DE1">
        <w:rPr>
          <w:rFonts w:ascii="Times New Roman" w:hAnsi="Times New Roman" w:cs="Times New Roman"/>
          <w:sz w:val="24"/>
          <w:szCs w:val="24"/>
        </w:rPr>
        <w:t>The two most widely used calibration curves—IntCal20 (</w:t>
      </w:r>
      <w:r w:rsidR="00AB41E0" w:rsidRPr="00CA7DE1">
        <w:rPr>
          <w:rFonts w:ascii="Times New Roman" w:hAnsi="Times New Roman" w:cs="Times New Roman"/>
          <w:sz w:val="24"/>
          <w:szCs w:val="24"/>
        </w:rPr>
        <w:t xml:space="preserve">Reimer </w:t>
      </w:r>
      <w:r w:rsidR="00AB41E0" w:rsidRPr="00CA7DE1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AB41E0" w:rsidRPr="00CA7DE1">
        <w:rPr>
          <w:rFonts w:ascii="Times New Roman" w:hAnsi="Times New Roman" w:cs="Times New Roman"/>
          <w:sz w:val="24"/>
          <w:szCs w:val="24"/>
        </w:rPr>
        <w:t xml:space="preserve"> 2020</w:t>
      </w:r>
      <w:r w:rsidRPr="00CA7DE1">
        <w:rPr>
          <w:rFonts w:ascii="Times New Roman" w:hAnsi="Times New Roman" w:cs="Times New Roman"/>
          <w:sz w:val="24"/>
          <w:szCs w:val="24"/>
        </w:rPr>
        <w:t>) and SHCal20 (</w:t>
      </w:r>
      <w:r w:rsidR="00AB41E0" w:rsidRPr="00CA7DE1">
        <w:rPr>
          <w:rFonts w:ascii="Times New Roman" w:hAnsi="Times New Roman" w:cs="Times New Roman"/>
          <w:sz w:val="24"/>
          <w:szCs w:val="24"/>
        </w:rPr>
        <w:t xml:space="preserve">Hogg </w:t>
      </w:r>
      <w:r w:rsidR="00AB41E0" w:rsidRPr="00CA7DE1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AB41E0" w:rsidRPr="00CA7DE1">
        <w:rPr>
          <w:rFonts w:ascii="Times New Roman" w:hAnsi="Times New Roman" w:cs="Times New Roman"/>
          <w:sz w:val="24"/>
          <w:szCs w:val="24"/>
        </w:rPr>
        <w:t>2020</w:t>
      </w:r>
      <w:r w:rsidRPr="00CA7DE1">
        <w:rPr>
          <w:rFonts w:ascii="Times New Roman" w:hAnsi="Times New Roman" w:cs="Times New Roman"/>
          <w:sz w:val="24"/>
          <w:szCs w:val="24"/>
        </w:rPr>
        <w:t xml:space="preserve">)—were both developed </w:t>
      </w:r>
      <w:r w:rsidR="00AB41E0" w:rsidRPr="00CA7DE1">
        <w:rPr>
          <w:rFonts w:ascii="Times New Roman" w:hAnsi="Times New Roman" w:cs="Times New Roman"/>
          <w:sz w:val="24"/>
          <w:szCs w:val="24"/>
        </w:rPr>
        <w:t>using samples from other continents</w:t>
      </w:r>
      <w:r w:rsidRPr="00CA7DE1">
        <w:rPr>
          <w:rFonts w:ascii="Times New Roman" w:hAnsi="Times New Roman" w:cs="Times New Roman"/>
          <w:sz w:val="24"/>
          <w:szCs w:val="24"/>
        </w:rPr>
        <w:t xml:space="preserve">, and very little </w:t>
      </w:r>
      <w:r w:rsidRPr="00CA7DE1">
        <w:rPr>
          <w:rFonts w:ascii="Times New Roman" w:hAnsi="Times New Roman" w:cs="Times New Roman"/>
          <w:sz w:val="24"/>
          <w:szCs w:val="24"/>
        </w:rPr>
        <w:lastRenderedPageBreak/>
        <w:t>dendrochronology has been conducted in the Andes to determine which curve (if either) accurately calibrates dates</w:t>
      </w:r>
      <w:r w:rsidR="00AB41E0" w:rsidRPr="00CA7DE1">
        <w:rPr>
          <w:rFonts w:ascii="Times New Roman" w:hAnsi="Times New Roman" w:cs="Times New Roman"/>
          <w:sz w:val="24"/>
          <w:szCs w:val="24"/>
        </w:rPr>
        <w:t xml:space="preserve"> (e.g., Morales </w:t>
      </w:r>
      <w:r w:rsidR="00AB41E0" w:rsidRPr="00CA7DE1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AB41E0" w:rsidRPr="00CA7DE1">
        <w:rPr>
          <w:rFonts w:ascii="Times New Roman" w:hAnsi="Times New Roman" w:cs="Times New Roman"/>
          <w:sz w:val="24"/>
          <w:szCs w:val="24"/>
        </w:rPr>
        <w:t xml:space="preserve"> 2013)</w:t>
      </w:r>
      <w:r w:rsidRPr="00CA7DE1">
        <w:rPr>
          <w:rFonts w:ascii="Times New Roman" w:hAnsi="Times New Roman" w:cs="Times New Roman"/>
          <w:sz w:val="24"/>
          <w:szCs w:val="24"/>
        </w:rPr>
        <w:t>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Pr="00CA7DE1">
        <w:rPr>
          <w:rFonts w:ascii="Times New Roman" w:hAnsi="Times New Roman" w:cs="Times New Roman"/>
          <w:sz w:val="24"/>
          <w:szCs w:val="24"/>
        </w:rPr>
        <w:t>Furthermore, the geographical extent and environmental complexity of Inca territory has led scholars to argue that</w:t>
      </w:r>
      <w:r w:rsidR="008B4108" w:rsidRPr="00CA7DE1">
        <w:rPr>
          <w:rFonts w:ascii="Times New Roman" w:hAnsi="Times New Roman" w:cs="Times New Roman"/>
          <w:sz w:val="24"/>
          <w:szCs w:val="24"/>
        </w:rPr>
        <w:t xml:space="preserve"> the circulation of</w:t>
      </w:r>
      <w:r w:rsidRPr="00CA7DE1">
        <w:rPr>
          <w:rFonts w:ascii="Times New Roman" w:hAnsi="Times New Roman" w:cs="Times New Roman"/>
          <w:sz w:val="24"/>
          <w:szCs w:val="24"/>
        </w:rPr>
        <w:t xml:space="preserve"> </w:t>
      </w:r>
      <w:r w:rsidR="008B4108" w:rsidRPr="00CA7DE1">
        <w:rPr>
          <w:rFonts w:ascii="Times New Roman" w:hAnsi="Times New Roman" w:cs="Times New Roman"/>
          <w:sz w:val="24"/>
          <w:szCs w:val="24"/>
        </w:rPr>
        <w:t>hemispheric</w:t>
      </w:r>
      <w:r w:rsidRPr="00CA7DE1">
        <w:rPr>
          <w:rFonts w:ascii="Times New Roman" w:hAnsi="Times New Roman" w:cs="Times New Roman"/>
          <w:sz w:val="24"/>
          <w:szCs w:val="24"/>
        </w:rPr>
        <w:t xml:space="preserve"> air currents (</w:t>
      </w:r>
      <w:proofErr w:type="spellStart"/>
      <w:r w:rsidRPr="00CA7DE1">
        <w:rPr>
          <w:rFonts w:ascii="Times New Roman" w:hAnsi="Times New Roman" w:cs="Times New Roman"/>
          <w:sz w:val="24"/>
          <w:szCs w:val="24"/>
        </w:rPr>
        <w:t>Ancapichún</w:t>
      </w:r>
      <w:proofErr w:type="spellEnd"/>
      <w:r w:rsidRPr="00CA7DE1">
        <w:rPr>
          <w:rFonts w:ascii="Times New Roman" w:hAnsi="Times New Roman" w:cs="Times New Roman"/>
          <w:sz w:val="24"/>
          <w:szCs w:val="24"/>
        </w:rPr>
        <w:t xml:space="preserve"> </w:t>
      </w:r>
      <w:r w:rsidRPr="00CA7DE1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A7DE1">
        <w:rPr>
          <w:rFonts w:ascii="Times New Roman" w:hAnsi="Times New Roman" w:cs="Times New Roman"/>
          <w:sz w:val="24"/>
          <w:szCs w:val="24"/>
        </w:rPr>
        <w:t xml:space="preserve"> 2022</w:t>
      </w:r>
      <w:r w:rsidR="008B4108" w:rsidRPr="00CA7DE1">
        <w:rPr>
          <w:rFonts w:ascii="Times New Roman" w:hAnsi="Times New Roman" w:cs="Times New Roman"/>
          <w:sz w:val="24"/>
          <w:szCs w:val="24"/>
        </w:rPr>
        <w:t>; Ogburn 2012</w:t>
      </w:r>
      <w:r w:rsidRPr="00CA7DE1">
        <w:rPr>
          <w:rFonts w:ascii="Times New Roman" w:hAnsi="Times New Roman" w:cs="Times New Roman"/>
          <w:sz w:val="24"/>
          <w:szCs w:val="24"/>
        </w:rPr>
        <w:t xml:space="preserve">) </w:t>
      </w:r>
      <w:r w:rsidR="008B4108" w:rsidRPr="00CA7DE1">
        <w:rPr>
          <w:rFonts w:ascii="Times New Roman" w:hAnsi="Times New Roman" w:cs="Times New Roman"/>
          <w:sz w:val="24"/>
          <w:szCs w:val="24"/>
        </w:rPr>
        <w:t>necessitates</w:t>
      </w:r>
      <w:r w:rsidRPr="00CA7DE1">
        <w:rPr>
          <w:rFonts w:ascii="Times New Roman" w:hAnsi="Times New Roman" w:cs="Times New Roman"/>
          <w:sz w:val="24"/>
          <w:szCs w:val="24"/>
        </w:rPr>
        <w:t xml:space="preserve"> the careful application of calibration curves in different Andean settings.</w:t>
      </w:r>
      <w:r w:rsidR="00452AA5">
        <w:rPr>
          <w:rFonts w:ascii="Times New Roman" w:hAnsi="Times New Roman" w:cs="Times New Roman"/>
          <w:sz w:val="24"/>
          <w:szCs w:val="24"/>
        </w:rPr>
        <w:t xml:space="preserve"> </w:t>
      </w:r>
      <w:r w:rsidR="008B4108" w:rsidRPr="00CA7DE1">
        <w:rPr>
          <w:rFonts w:ascii="Times New Roman" w:hAnsi="Times New Roman" w:cs="Times New Roman"/>
          <w:sz w:val="24"/>
          <w:szCs w:val="24"/>
        </w:rPr>
        <w:t>To present data with maximum long-term utility, we augment the mixed calibration presented in the text with Table S</w:t>
      </w:r>
      <w:r w:rsidR="00EB476C">
        <w:rPr>
          <w:rFonts w:ascii="Times New Roman" w:hAnsi="Times New Roman" w:cs="Times New Roman"/>
          <w:sz w:val="24"/>
          <w:szCs w:val="24"/>
        </w:rPr>
        <w:t>4</w:t>
      </w:r>
      <w:r w:rsidR="008B4108" w:rsidRPr="00CA7DE1">
        <w:rPr>
          <w:rFonts w:ascii="Times New Roman" w:hAnsi="Times New Roman" w:cs="Times New Roman"/>
          <w:sz w:val="24"/>
          <w:szCs w:val="24"/>
        </w:rPr>
        <w:t>, which calibrates all dates using IntCal20, SHCal20, and an average of the two.</w:t>
      </w:r>
    </w:p>
    <w:p w14:paraId="102BE5BC" w14:textId="3869FFC8" w:rsidR="00D57D2B" w:rsidRPr="00CA7DE1" w:rsidRDefault="00D57D2B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867D83" w14:textId="7C43FCBC" w:rsidR="008B4108" w:rsidRPr="00F31BBB" w:rsidRDefault="008B4108" w:rsidP="00EB47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BBB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7DF2D4E" w14:textId="035285EC" w:rsidR="00C3696F" w:rsidRPr="006E305A" w:rsidRDefault="00C3696F" w:rsidP="00C3696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305A">
        <w:rPr>
          <w:rFonts w:ascii="Times New Roman" w:eastAsia="Times New Roman" w:hAnsi="Times New Roman" w:cs="Times New Roman"/>
          <w:smallCaps/>
          <w:sz w:val="24"/>
          <w:szCs w:val="24"/>
        </w:rPr>
        <w:t>Ancapichún</w:t>
      </w:r>
      <w:proofErr w:type="spellEnd"/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, S., J. </w:t>
      </w:r>
      <w:proofErr w:type="spellStart"/>
      <w:r w:rsidRPr="006E305A">
        <w:rPr>
          <w:rFonts w:ascii="Times New Roman" w:eastAsia="Times New Roman" w:hAnsi="Times New Roman" w:cs="Times New Roman"/>
          <w:smallCaps/>
          <w:sz w:val="24"/>
          <w:szCs w:val="24"/>
        </w:rPr>
        <w:t>Pawlyta</w:t>
      </w:r>
      <w:proofErr w:type="spellEnd"/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, A.Z. </w:t>
      </w:r>
      <w:r w:rsidRPr="006E305A">
        <w:rPr>
          <w:rFonts w:ascii="Times New Roman" w:eastAsia="Times New Roman" w:hAnsi="Times New Roman" w:cs="Times New Roman"/>
          <w:smallCaps/>
          <w:sz w:val="24"/>
          <w:szCs w:val="24"/>
        </w:rPr>
        <w:t>Rakowski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 &amp; D. </w:t>
      </w:r>
      <w:proofErr w:type="spellStart"/>
      <w:r w:rsidRPr="006E305A">
        <w:rPr>
          <w:rFonts w:ascii="Times New Roman" w:eastAsia="Times New Roman" w:hAnsi="Times New Roman" w:cs="Times New Roman"/>
          <w:smallCaps/>
          <w:sz w:val="24"/>
          <w:szCs w:val="24"/>
        </w:rPr>
        <w:t>Sieczkowska</w:t>
      </w:r>
      <w:proofErr w:type="spellEnd"/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. 2022. Influence of </w:t>
      </w:r>
      <w:r w:rsidR="001D36EB" w:rsidRPr="006E305A">
        <w:rPr>
          <w:rFonts w:ascii="Times New Roman" w:eastAsia="Times New Roman" w:hAnsi="Times New Roman" w:cs="Times New Roman"/>
          <w:sz w:val="24"/>
          <w:szCs w:val="24"/>
        </w:rPr>
        <w:t>air parcels f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rom Northern and Southern Hemispheres on </w:t>
      </w:r>
      <w:r w:rsidR="001D36EB" w:rsidRPr="006E305A">
        <w:rPr>
          <w:rFonts w:ascii="Times New Roman" w:eastAsia="Times New Roman" w:hAnsi="Times New Roman" w:cs="Times New Roman"/>
          <w:sz w:val="24"/>
          <w:szCs w:val="24"/>
        </w:rPr>
        <w:t xml:space="preserve">radiocarbon-based 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Inca </w:t>
      </w:r>
      <w:r w:rsidR="001D36E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hronology. </w:t>
      </w:r>
      <w:r w:rsidRPr="006E305A">
        <w:rPr>
          <w:rFonts w:ascii="Times New Roman" w:eastAsia="Times New Roman" w:hAnsi="Times New Roman" w:cs="Times New Roman"/>
          <w:i/>
          <w:iCs/>
          <w:sz w:val="24"/>
          <w:szCs w:val="24"/>
        </w:rPr>
        <w:t>Radiocarbon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 64: 1431–46. </w:t>
      </w:r>
      <w:r w:rsidRPr="001D36EB">
        <w:rPr>
          <w:rFonts w:ascii="Times New Roman" w:eastAsia="Times New Roman" w:hAnsi="Times New Roman" w:cs="Times New Roman"/>
          <w:sz w:val="24"/>
          <w:szCs w:val="24"/>
        </w:rPr>
        <w:t>https://doi.org/10.1017/RDC.2022.87</w:t>
      </w:r>
    </w:p>
    <w:p w14:paraId="37D9C0B5" w14:textId="6504F850" w:rsidR="00C3696F" w:rsidRPr="006E305A" w:rsidRDefault="00C3696F" w:rsidP="00C3696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05A">
        <w:rPr>
          <w:rFonts w:ascii="Times New Roman" w:eastAsia="Times New Roman" w:hAnsi="Times New Roman" w:cs="Times New Roman"/>
          <w:smallCaps/>
          <w:sz w:val="24"/>
          <w:szCs w:val="24"/>
        </w:rPr>
        <w:t>Contreras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, D.A. 2022. Stages, </w:t>
      </w:r>
      <w:r w:rsidR="00CD265E" w:rsidRPr="006E305A">
        <w:rPr>
          <w:rFonts w:ascii="Times New Roman" w:eastAsia="Times New Roman" w:hAnsi="Times New Roman" w:cs="Times New Roman"/>
          <w:sz w:val="24"/>
          <w:szCs w:val="24"/>
        </w:rPr>
        <w:t>periods, and ra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diocarbon: </w:t>
      </w:r>
      <w:r w:rsidRPr="005406D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="00CD265E" w:rsidRPr="006E305A">
        <w:rPr>
          <w:rFonts w:ascii="Times New Roman" w:eastAsia="Times New Roman" w:hAnsi="Times New Roman" w:cs="Times New Roman"/>
          <w:sz w:val="24"/>
          <w:szCs w:val="24"/>
        </w:rPr>
        <w:t xml:space="preserve">dating in the archaeology 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of the Central Andes. </w:t>
      </w:r>
      <w:proofErr w:type="spellStart"/>
      <w:r w:rsidRPr="006E305A">
        <w:rPr>
          <w:rFonts w:ascii="Times New Roman" w:eastAsia="Times New Roman" w:hAnsi="Times New Roman" w:cs="Times New Roman"/>
          <w:i/>
          <w:iCs/>
          <w:sz w:val="24"/>
          <w:szCs w:val="24"/>
        </w:rPr>
        <w:t>Ñawpa</w:t>
      </w:r>
      <w:proofErr w:type="spellEnd"/>
      <w:r w:rsidRPr="006E30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Pacha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BB5">
        <w:rPr>
          <w:rFonts w:ascii="Times New Roman" w:eastAsia="Times New Roman" w:hAnsi="Times New Roman" w:cs="Times New Roman"/>
          <w:sz w:val="24"/>
          <w:szCs w:val="24"/>
        </w:rPr>
        <w:t>42: 205–33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65C3">
        <w:rPr>
          <w:rFonts w:ascii="Times New Roman" w:eastAsia="Times New Roman" w:hAnsi="Times New Roman" w:cs="Times New Roman"/>
          <w:sz w:val="24"/>
          <w:szCs w:val="24"/>
        </w:rPr>
        <w:t>https://doi.org/10.1080/00776297.2022.2028389</w:t>
      </w:r>
    </w:p>
    <w:p w14:paraId="37C2C283" w14:textId="3F3AADE4" w:rsidR="00C3696F" w:rsidRPr="006E305A" w:rsidRDefault="00C3696F" w:rsidP="00C3696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05A">
        <w:rPr>
          <w:rFonts w:ascii="Times New Roman" w:eastAsia="Times New Roman" w:hAnsi="Times New Roman" w:cs="Times New Roman"/>
          <w:smallCaps/>
          <w:sz w:val="24"/>
          <w:szCs w:val="24"/>
        </w:rPr>
        <w:t>Covey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, R.A., V. </w:t>
      </w:r>
      <w:proofErr w:type="spellStart"/>
      <w:r w:rsidRPr="006E305A">
        <w:rPr>
          <w:rFonts w:ascii="Times New Roman" w:eastAsia="Times New Roman" w:hAnsi="Times New Roman" w:cs="Times New Roman"/>
          <w:smallCaps/>
          <w:sz w:val="24"/>
          <w:szCs w:val="24"/>
        </w:rPr>
        <w:t>Bélisle</w:t>
      </w:r>
      <w:proofErr w:type="spellEnd"/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 &amp; A.R. </w:t>
      </w:r>
      <w:r w:rsidRPr="006E305A">
        <w:rPr>
          <w:rFonts w:ascii="Times New Roman" w:eastAsia="Times New Roman" w:hAnsi="Times New Roman" w:cs="Times New Roman"/>
          <w:smallCaps/>
          <w:sz w:val="24"/>
          <w:szCs w:val="24"/>
        </w:rPr>
        <w:t>Davis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. 2014. Research </w:t>
      </w:r>
      <w:r w:rsidR="00BC561A" w:rsidRPr="006E305A">
        <w:rPr>
          <w:rFonts w:ascii="Times New Roman" w:eastAsia="Times New Roman" w:hAnsi="Times New Roman" w:cs="Times New Roman"/>
          <w:sz w:val="24"/>
          <w:szCs w:val="24"/>
        </w:rPr>
        <w:t>projects and field and laboratory meth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ods, in R.A. Covey (ed.) </w:t>
      </w:r>
      <w:r w:rsidRPr="006E30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Regional </w:t>
      </w:r>
      <w:r w:rsidR="00BC561A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6E30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rchaeology in the Inca Heartland: </w:t>
      </w:r>
      <w:r w:rsidR="00BC561A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6E30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 Hanan Cuzco </w:t>
      </w:r>
      <w:r w:rsidR="00BC561A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6E305A">
        <w:rPr>
          <w:rFonts w:ascii="Times New Roman" w:eastAsia="Times New Roman" w:hAnsi="Times New Roman" w:cs="Times New Roman"/>
          <w:i/>
          <w:iCs/>
          <w:sz w:val="24"/>
          <w:szCs w:val="24"/>
        </w:rPr>
        <w:t>urveys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 (Memoirs of the Museum of Anthropology 55)</w:t>
      </w:r>
      <w:r w:rsidR="00BC561A" w:rsidRPr="006E305A">
        <w:rPr>
          <w:rFonts w:ascii="Times New Roman" w:eastAsia="Times New Roman" w:hAnsi="Times New Roman" w:cs="Times New Roman"/>
          <w:sz w:val="24"/>
          <w:szCs w:val="24"/>
        </w:rPr>
        <w:t>: 3–19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>. Ann Arbor: Museum of Anthropology, University of Michigan.</w:t>
      </w:r>
    </w:p>
    <w:p w14:paraId="45ACDE80" w14:textId="08A2ECF9" w:rsidR="00C3696F" w:rsidRPr="008267D9" w:rsidRDefault="00C3696F" w:rsidP="00C3696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05A">
        <w:rPr>
          <w:rFonts w:ascii="Times New Roman" w:eastAsia="Times New Roman" w:hAnsi="Times New Roman" w:cs="Times New Roman"/>
          <w:smallCaps/>
          <w:sz w:val="24"/>
          <w:szCs w:val="24"/>
        </w:rPr>
        <w:t>Hogg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, A.G. </w:t>
      </w:r>
      <w:r w:rsidRPr="008267D9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6E305A">
        <w:rPr>
          <w:rFonts w:ascii="Times New Roman" w:eastAsia="Times New Roman" w:hAnsi="Times New Roman" w:cs="Times New Roman"/>
          <w:sz w:val="24"/>
          <w:szCs w:val="24"/>
        </w:rPr>
        <w:t xml:space="preserve">. 2020. SHCal20 Southern 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Hemisphere </w:t>
      </w:r>
      <w:r w:rsidR="008267D9" w:rsidRPr="008267D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alibration, 0–55,000 </w:t>
      </w:r>
      <w:r w:rsidR="008267D9" w:rsidRPr="008267D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ears cal BP. </w:t>
      </w:r>
      <w:r w:rsidRPr="008267D9">
        <w:rPr>
          <w:rFonts w:ascii="Times New Roman" w:eastAsia="Times New Roman" w:hAnsi="Times New Roman" w:cs="Times New Roman"/>
          <w:i/>
          <w:iCs/>
          <w:sz w:val="24"/>
          <w:szCs w:val="24"/>
        </w:rPr>
        <w:t>Radiocarbon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 62: 759–78. https://doi.org/10.1017/RDC.2020.59</w:t>
      </w:r>
    </w:p>
    <w:p w14:paraId="13E0B636" w14:textId="5B44A354" w:rsidR="00C3696F" w:rsidRPr="008267D9" w:rsidRDefault="00C3696F" w:rsidP="00C3696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D9">
        <w:rPr>
          <w:rFonts w:ascii="Times New Roman" w:eastAsia="Times New Roman" w:hAnsi="Times New Roman" w:cs="Times New Roman"/>
          <w:smallCaps/>
          <w:sz w:val="24"/>
          <w:szCs w:val="24"/>
          <w:lang w:val="es-PE"/>
        </w:rPr>
        <w:t>Morales</w:t>
      </w:r>
      <w:r w:rsidRPr="008267D9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, M.S., A.E. </w:t>
      </w:r>
      <w:r w:rsidRPr="008267D9">
        <w:rPr>
          <w:rFonts w:ascii="Times New Roman" w:eastAsia="Times New Roman" w:hAnsi="Times New Roman" w:cs="Times New Roman"/>
          <w:smallCaps/>
          <w:sz w:val="24"/>
          <w:szCs w:val="24"/>
          <w:lang w:val="es-PE"/>
        </w:rPr>
        <w:t>Nielsen</w:t>
      </w:r>
      <w:r w:rsidRPr="008267D9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&amp; R. </w:t>
      </w:r>
      <w:r w:rsidRPr="008267D9">
        <w:rPr>
          <w:rFonts w:ascii="Times New Roman" w:eastAsia="Times New Roman" w:hAnsi="Times New Roman" w:cs="Times New Roman"/>
          <w:smallCaps/>
          <w:sz w:val="24"/>
          <w:szCs w:val="24"/>
          <w:lang w:val="es-PE"/>
        </w:rPr>
        <w:t>Villalba</w:t>
      </w:r>
      <w:r w:rsidRPr="008267D9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2013. First dendroarchaeological dates of prehistoric contexts in South America: </w:t>
      </w:r>
      <w:proofErr w:type="spellStart"/>
      <w:r w:rsidRPr="005406DE">
        <w:rPr>
          <w:rFonts w:ascii="Times New Roman" w:eastAsia="Times New Roman" w:hAnsi="Times New Roman" w:cs="Times New Roman"/>
          <w:i/>
          <w:iCs/>
          <w:sz w:val="24"/>
          <w:szCs w:val="24"/>
        </w:rPr>
        <w:t>chullpas</w:t>
      </w:r>
      <w:proofErr w:type="spellEnd"/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 in the Central Andes. </w:t>
      </w:r>
      <w:r w:rsidRPr="008267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Archaeological Science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 40: 2393–401. https://doi.org/10.1016/j.jas.2013.01.003</w:t>
      </w:r>
    </w:p>
    <w:p w14:paraId="2EBAE3B3" w14:textId="76D2E575" w:rsidR="00C3696F" w:rsidRPr="008267D9" w:rsidRDefault="00C3696F" w:rsidP="00C3696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7D9">
        <w:rPr>
          <w:rFonts w:ascii="Times New Roman" w:eastAsia="Times New Roman" w:hAnsi="Times New Roman" w:cs="Times New Roman"/>
          <w:smallCaps/>
          <w:sz w:val="24"/>
          <w:szCs w:val="24"/>
        </w:rPr>
        <w:lastRenderedPageBreak/>
        <w:t>Ogburn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, D.E. 2012. Reconceiving the </w:t>
      </w:r>
      <w:r w:rsidR="0094454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hronology of Inca Imperial </w:t>
      </w:r>
      <w:r w:rsidR="0094454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xpansion. </w:t>
      </w:r>
      <w:r w:rsidRPr="008267D9">
        <w:rPr>
          <w:rFonts w:ascii="Times New Roman" w:eastAsia="Times New Roman" w:hAnsi="Times New Roman" w:cs="Times New Roman"/>
          <w:i/>
          <w:iCs/>
          <w:sz w:val="24"/>
          <w:szCs w:val="24"/>
        </w:rPr>
        <w:t>Radiocarbon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 54: 219–37. https://doi.org/10.2458/azu_js_rc.v54i2.16014</w:t>
      </w:r>
    </w:p>
    <w:p w14:paraId="52BE18B4" w14:textId="43AFE0FB" w:rsidR="00C3696F" w:rsidRPr="008267D9" w:rsidRDefault="00C3696F" w:rsidP="00C3696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7D9">
        <w:rPr>
          <w:rFonts w:ascii="Times New Roman" w:eastAsia="Times New Roman" w:hAnsi="Times New Roman" w:cs="Times New Roman"/>
          <w:smallCaps/>
          <w:sz w:val="24"/>
          <w:szCs w:val="24"/>
        </w:rPr>
        <w:t>Quave</w:t>
      </w:r>
      <w:proofErr w:type="spellEnd"/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, K.E. &amp; R.A. </w:t>
      </w:r>
      <w:r w:rsidRPr="008267D9">
        <w:rPr>
          <w:rFonts w:ascii="Times New Roman" w:eastAsia="Times New Roman" w:hAnsi="Times New Roman" w:cs="Times New Roman"/>
          <w:smallCaps/>
          <w:sz w:val="24"/>
          <w:szCs w:val="24"/>
        </w:rPr>
        <w:t>Covey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. 2015. The </w:t>
      </w:r>
      <w:r w:rsidR="0041499C" w:rsidRPr="008267D9">
        <w:rPr>
          <w:rFonts w:ascii="Times New Roman" w:eastAsia="Times New Roman" w:hAnsi="Times New Roman" w:cs="Times New Roman"/>
          <w:sz w:val="24"/>
          <w:szCs w:val="24"/>
        </w:rPr>
        <w:t xml:space="preserve">material remains 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of Inka </w:t>
      </w:r>
      <w:r w:rsidR="0041499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ower among </w:t>
      </w:r>
      <w:r w:rsidR="0041499C" w:rsidRPr="008267D9">
        <w:rPr>
          <w:rFonts w:ascii="Times New Roman" w:eastAsia="Times New Roman" w:hAnsi="Times New Roman" w:cs="Times New Roman"/>
          <w:sz w:val="24"/>
          <w:szCs w:val="24"/>
        </w:rPr>
        <w:t>imperial heartland communities</w:t>
      </w:r>
      <w:r w:rsidR="003F6D38">
        <w:rPr>
          <w:rFonts w:ascii="Times New Roman" w:eastAsia="Times New Roman" w:hAnsi="Times New Roman" w:cs="Times New Roman"/>
          <w:sz w:val="24"/>
          <w:szCs w:val="24"/>
        </w:rPr>
        <w:t>, in</w:t>
      </w:r>
      <w:r w:rsidR="00E41802">
        <w:rPr>
          <w:rFonts w:ascii="Times New Roman" w:eastAsia="Times New Roman" w:hAnsi="Times New Roman" w:cs="Times New Roman"/>
          <w:sz w:val="24"/>
          <w:szCs w:val="24"/>
        </w:rPr>
        <w:t xml:space="preserve"> M. Barnes, I. de Castro, J. Flores Espinoza, </w:t>
      </w:r>
      <w:r w:rsidR="00E15088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E15088">
        <w:rPr>
          <w:rFonts w:ascii="Times New Roman" w:eastAsia="Times New Roman" w:hAnsi="Times New Roman" w:cs="Times New Roman"/>
          <w:sz w:val="24"/>
          <w:szCs w:val="24"/>
        </w:rPr>
        <w:t>Kurella</w:t>
      </w:r>
      <w:proofErr w:type="spellEnd"/>
      <w:r w:rsidR="00E15088">
        <w:rPr>
          <w:rFonts w:ascii="Times New Roman" w:eastAsia="Times New Roman" w:hAnsi="Times New Roman" w:cs="Times New Roman"/>
          <w:sz w:val="24"/>
          <w:szCs w:val="24"/>
        </w:rPr>
        <w:t xml:space="preserve"> &amp; K. Noack</w:t>
      </w:r>
      <w:r w:rsidR="003F6D38">
        <w:rPr>
          <w:rFonts w:ascii="Times New Roman" w:eastAsia="Times New Roman" w:hAnsi="Times New Roman" w:cs="Times New Roman"/>
          <w:sz w:val="24"/>
          <w:szCs w:val="24"/>
        </w:rPr>
        <w:t xml:space="preserve"> (ed.)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231" w:rsidRPr="00536231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the Inca</w:t>
      </w:r>
      <w:r w:rsidR="005362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36231">
        <w:rPr>
          <w:rFonts w:ascii="Times New Roman" w:eastAsia="Times New Roman" w:hAnsi="Times New Roman" w:cs="Times New Roman"/>
          <w:sz w:val="24"/>
          <w:szCs w:val="24"/>
        </w:rPr>
        <w:t>Tribus</w:t>
      </w:r>
      <w:proofErr w:type="spellEnd"/>
      <w:r w:rsidRPr="00536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>Special Edition</w:t>
      </w:r>
      <w:r w:rsidR="0053623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>: 110–27.</w:t>
      </w:r>
      <w:r w:rsidR="009D1EEC">
        <w:rPr>
          <w:rFonts w:ascii="Times New Roman" w:eastAsia="Times New Roman" w:hAnsi="Times New Roman" w:cs="Times New Roman"/>
          <w:sz w:val="24"/>
          <w:szCs w:val="24"/>
        </w:rPr>
        <w:t xml:space="preserve"> Stuttgart: Linden-Museum Stuttgart.</w:t>
      </w:r>
    </w:p>
    <w:p w14:paraId="61C68097" w14:textId="480240DB" w:rsidR="00C3696F" w:rsidRPr="008267D9" w:rsidRDefault="00C3696F" w:rsidP="00C3696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67D9">
        <w:rPr>
          <w:rFonts w:ascii="Times New Roman" w:eastAsia="Times New Roman" w:hAnsi="Times New Roman" w:cs="Times New Roman"/>
          <w:smallCaps/>
          <w:sz w:val="24"/>
          <w:szCs w:val="24"/>
          <w:lang w:val="es-PE"/>
        </w:rPr>
        <w:t>Reimer</w:t>
      </w:r>
      <w:proofErr w:type="spellEnd"/>
      <w:r w:rsidRPr="008267D9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, P.J. </w:t>
      </w:r>
      <w:r w:rsidRPr="00E15088">
        <w:rPr>
          <w:rFonts w:ascii="Times New Roman" w:eastAsia="Times New Roman" w:hAnsi="Times New Roman" w:cs="Times New Roman"/>
          <w:i/>
          <w:iCs/>
          <w:sz w:val="24"/>
          <w:szCs w:val="24"/>
          <w:lang w:val="es-PE"/>
        </w:rPr>
        <w:t>et al</w:t>
      </w:r>
      <w:r w:rsidRPr="008267D9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. 2020. 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The IntCal20 Northern Hemisphere </w:t>
      </w:r>
      <w:r w:rsidR="00E15088" w:rsidRPr="008267D9">
        <w:rPr>
          <w:rFonts w:ascii="Times New Roman" w:eastAsia="Times New Roman" w:hAnsi="Times New Roman" w:cs="Times New Roman"/>
          <w:sz w:val="24"/>
          <w:szCs w:val="24"/>
        </w:rPr>
        <w:t xml:space="preserve">radiocarbon age calibration curve 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(0–55 cal kBP). </w:t>
      </w:r>
      <w:r w:rsidRPr="008267D9">
        <w:rPr>
          <w:rFonts w:ascii="Times New Roman" w:eastAsia="Times New Roman" w:hAnsi="Times New Roman" w:cs="Times New Roman"/>
          <w:i/>
          <w:iCs/>
          <w:sz w:val="24"/>
          <w:szCs w:val="24"/>
        </w:rPr>
        <w:t>Radiocarbon</w:t>
      </w:r>
      <w:r w:rsidRPr="008267D9">
        <w:rPr>
          <w:rFonts w:ascii="Times New Roman" w:eastAsia="Times New Roman" w:hAnsi="Times New Roman" w:cs="Times New Roman"/>
          <w:sz w:val="24"/>
          <w:szCs w:val="24"/>
        </w:rPr>
        <w:t xml:space="preserve"> 62: 725–57. https://doi.org/10.1017/RDC.2020.41</w:t>
      </w:r>
    </w:p>
    <w:p w14:paraId="4CD4CADC" w14:textId="77777777" w:rsidR="00B1312F" w:rsidRPr="008267D9" w:rsidRDefault="00B1312F" w:rsidP="00EB47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1312F" w:rsidRPr="00826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07"/>
    <w:rsid w:val="000042E3"/>
    <w:rsid w:val="0018261D"/>
    <w:rsid w:val="001D36EB"/>
    <w:rsid w:val="001D6272"/>
    <w:rsid w:val="002365C3"/>
    <w:rsid w:val="00283207"/>
    <w:rsid w:val="003325DE"/>
    <w:rsid w:val="00340D5B"/>
    <w:rsid w:val="00395A2A"/>
    <w:rsid w:val="003F6D38"/>
    <w:rsid w:val="0041499C"/>
    <w:rsid w:val="004410FE"/>
    <w:rsid w:val="00452AA5"/>
    <w:rsid w:val="004F39DD"/>
    <w:rsid w:val="00506F0D"/>
    <w:rsid w:val="005327F2"/>
    <w:rsid w:val="00536231"/>
    <w:rsid w:val="005406DE"/>
    <w:rsid w:val="005E4B88"/>
    <w:rsid w:val="006079FD"/>
    <w:rsid w:val="00633F20"/>
    <w:rsid w:val="0069157B"/>
    <w:rsid w:val="00701FEC"/>
    <w:rsid w:val="00737C5E"/>
    <w:rsid w:val="00753516"/>
    <w:rsid w:val="007C3ACC"/>
    <w:rsid w:val="008267D9"/>
    <w:rsid w:val="008B4108"/>
    <w:rsid w:val="008D4817"/>
    <w:rsid w:val="00904BC5"/>
    <w:rsid w:val="009057F0"/>
    <w:rsid w:val="00941F1B"/>
    <w:rsid w:val="00944544"/>
    <w:rsid w:val="009D1EEC"/>
    <w:rsid w:val="00A96BB5"/>
    <w:rsid w:val="00AB41E0"/>
    <w:rsid w:val="00B00B3A"/>
    <w:rsid w:val="00B1312F"/>
    <w:rsid w:val="00BC561A"/>
    <w:rsid w:val="00C3696F"/>
    <w:rsid w:val="00C60933"/>
    <w:rsid w:val="00CA7DE1"/>
    <w:rsid w:val="00CD265E"/>
    <w:rsid w:val="00D1338B"/>
    <w:rsid w:val="00D434D3"/>
    <w:rsid w:val="00D57D2B"/>
    <w:rsid w:val="00D76BA5"/>
    <w:rsid w:val="00E13CB9"/>
    <w:rsid w:val="00E15088"/>
    <w:rsid w:val="00E41802"/>
    <w:rsid w:val="00EB476C"/>
    <w:rsid w:val="00F01913"/>
    <w:rsid w:val="00F3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DCF4"/>
  <w15:chartTrackingRefBased/>
  <w15:docId w15:val="{AF731F2B-FD68-48A9-9679-D5FCFBBD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01913"/>
    <w:pPr>
      <w:spacing w:after="0" w:line="240" w:lineRule="auto"/>
    </w:pPr>
    <w:rPr>
      <w:rFonts w:eastAsiaTheme="minorEastAsia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6070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Alan Covey</dc:creator>
  <cp:keywords/>
  <dc:description/>
  <cp:lastModifiedBy>gpsg24</cp:lastModifiedBy>
  <cp:revision>2</cp:revision>
  <dcterms:created xsi:type="dcterms:W3CDTF">2024-12-19T15:05:00Z</dcterms:created>
  <dcterms:modified xsi:type="dcterms:W3CDTF">2024-12-19T15:05:00Z</dcterms:modified>
</cp:coreProperties>
</file>