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5000" w:type="pct"/>
        <w:tblLook w:val="04A0" w:firstRow="1" w:lastRow="0" w:firstColumn="1" w:lastColumn="0" w:noHBand="0" w:noVBand="1"/>
      </w:tblPr>
      <w:tblGrid>
        <w:gridCol w:w="2355"/>
        <w:gridCol w:w="11599"/>
      </w:tblGrid>
      <w:tr w:rsidR="006E0E10" w:rsidRPr="006E0E10" w14:paraId="4A740889" w14:textId="77777777" w:rsidTr="002E5D63">
        <w:trPr>
          <w:trHeight w:val="1134"/>
        </w:trPr>
        <w:tc>
          <w:tcPr>
            <w:tcW w:w="844" w:type="pct"/>
            <w:tcBorders>
              <w:top w:val="single" w:sz="12" w:space="0" w:color="C00000"/>
              <w:left w:val="nil"/>
              <w:bottom w:val="single" w:sz="12" w:space="0" w:color="C00000"/>
              <w:right w:val="nil"/>
            </w:tcBorders>
            <w:vAlign w:val="center"/>
          </w:tcPr>
          <w:p w14:paraId="1CC6B74C" w14:textId="77777777" w:rsidR="006E0E10" w:rsidRPr="006E0E10" w:rsidRDefault="006E0E10" w:rsidP="006E0E10">
            <w:pPr>
              <w:jc w:val="center"/>
              <w:rPr>
                <w:rFonts w:ascii="Times New Roman" w:hAnsi="Times New Roman"/>
                <w:kern w:val="2"/>
                <w:sz w:val="28"/>
                <w:szCs w:val="28"/>
              </w:rPr>
            </w:pPr>
            <w:r w:rsidRPr="006E0E10">
              <w:rPr>
                <w:rFonts w:ascii="Times New Roman" w:hAnsi="Times New Roman"/>
                <w:noProof/>
                <w:kern w:val="2"/>
              </w:rPr>
              <w:drawing>
                <wp:inline distT="0" distB="0" distL="0" distR="0" wp14:anchorId="60785DB0" wp14:editId="04AF14B0">
                  <wp:extent cx="885825" cy="885825"/>
                  <wp:effectExtent l="0" t="0" r="9525" b="9525"/>
                  <wp:docPr id="1262923420" name="Picture 1" descr="A red circle with a white letter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circle with a white letter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c>
        <w:tc>
          <w:tcPr>
            <w:tcW w:w="4156" w:type="pct"/>
            <w:tcBorders>
              <w:top w:val="single" w:sz="12" w:space="0" w:color="C00000"/>
              <w:left w:val="nil"/>
              <w:bottom w:val="single" w:sz="12" w:space="0" w:color="C00000"/>
              <w:right w:val="nil"/>
            </w:tcBorders>
            <w:vAlign w:val="center"/>
          </w:tcPr>
          <w:p w14:paraId="0E72AAAA" w14:textId="77777777" w:rsidR="006E0E10" w:rsidRPr="006E0E10" w:rsidRDefault="006E0E10" w:rsidP="006E0E10">
            <w:pPr>
              <w:spacing w:line="360" w:lineRule="auto"/>
              <w:jc w:val="both"/>
              <w:rPr>
                <w:rFonts w:ascii="Times New Roman" w:hAnsi="Times New Roman"/>
                <w:kern w:val="2"/>
              </w:rPr>
            </w:pPr>
            <w:r w:rsidRPr="006E0E10">
              <w:rPr>
                <w:rFonts w:ascii="Times New Roman" w:hAnsi="Times New Roman"/>
                <w:kern w:val="2"/>
              </w:rPr>
              <w:t xml:space="preserve">Supplementary material for </w:t>
            </w:r>
          </w:p>
          <w:p w14:paraId="6009FD3E" w14:textId="7277CBA2" w:rsidR="006E0E10" w:rsidRPr="006E0E10" w:rsidRDefault="006E0E10" w:rsidP="00F97AEF">
            <w:pPr>
              <w:spacing w:line="360" w:lineRule="auto"/>
              <w:rPr>
                <w:rFonts w:ascii="Times New Roman" w:hAnsi="Times New Roman"/>
                <w:kern w:val="2"/>
              </w:rPr>
            </w:pPr>
            <w:r w:rsidRPr="006E0E10">
              <w:rPr>
                <w:rFonts w:ascii="Times New Roman" w:hAnsi="Times New Roman"/>
                <w:smallCaps/>
                <w:kern w:val="2"/>
              </w:rPr>
              <w:t>Wright</w:t>
            </w:r>
            <w:r>
              <w:rPr>
                <w:rFonts w:ascii="Times New Roman" w:hAnsi="Times New Roman"/>
                <w:smallCaps/>
                <w:kern w:val="2"/>
              </w:rPr>
              <w:t>, E.</w:t>
            </w:r>
            <w:r w:rsidRPr="006E0E10">
              <w:rPr>
                <w:rFonts w:ascii="Times New Roman" w:hAnsi="Times New Roman"/>
                <w:smallCaps/>
                <w:kern w:val="2"/>
              </w:rPr>
              <w:t>, C</w:t>
            </w:r>
            <w:r>
              <w:rPr>
                <w:rFonts w:ascii="Times New Roman" w:hAnsi="Times New Roman"/>
                <w:smallCaps/>
                <w:kern w:val="2"/>
              </w:rPr>
              <w:t>.</w:t>
            </w:r>
            <w:r w:rsidRPr="006E0E10">
              <w:rPr>
                <w:rFonts w:ascii="Times New Roman" w:hAnsi="Times New Roman"/>
                <w:smallCaps/>
                <w:kern w:val="2"/>
              </w:rPr>
              <w:t xml:space="preserve"> Davies, A</w:t>
            </w:r>
            <w:r>
              <w:rPr>
                <w:rFonts w:ascii="Times New Roman" w:hAnsi="Times New Roman"/>
                <w:smallCaps/>
                <w:kern w:val="2"/>
              </w:rPr>
              <w:t>.</w:t>
            </w:r>
            <w:r w:rsidRPr="006E0E10">
              <w:rPr>
                <w:rFonts w:ascii="Times New Roman" w:hAnsi="Times New Roman"/>
                <w:smallCaps/>
                <w:kern w:val="2"/>
              </w:rPr>
              <w:t xml:space="preserve"> Lamb, H</w:t>
            </w:r>
            <w:r>
              <w:rPr>
                <w:rFonts w:ascii="Times New Roman" w:hAnsi="Times New Roman"/>
                <w:smallCaps/>
                <w:kern w:val="2"/>
              </w:rPr>
              <w:t>.</w:t>
            </w:r>
            <w:r w:rsidRPr="006E0E10">
              <w:rPr>
                <w:rFonts w:ascii="Times New Roman" w:hAnsi="Times New Roman"/>
                <w:smallCaps/>
                <w:kern w:val="2"/>
              </w:rPr>
              <w:t xml:space="preserve"> Miller, K</w:t>
            </w:r>
            <w:r>
              <w:rPr>
                <w:rFonts w:ascii="Times New Roman" w:hAnsi="Times New Roman"/>
                <w:smallCaps/>
                <w:kern w:val="2"/>
              </w:rPr>
              <w:t>.</w:t>
            </w:r>
            <w:r w:rsidRPr="006E0E10">
              <w:rPr>
                <w:rFonts w:ascii="Times New Roman" w:hAnsi="Times New Roman"/>
                <w:smallCaps/>
                <w:kern w:val="2"/>
              </w:rPr>
              <w:t xml:space="preserve"> Rielly, S</w:t>
            </w:r>
            <w:r>
              <w:rPr>
                <w:rFonts w:ascii="Times New Roman" w:hAnsi="Times New Roman"/>
                <w:smallCaps/>
                <w:kern w:val="2"/>
              </w:rPr>
              <w:t>.</w:t>
            </w:r>
            <w:r w:rsidRPr="006E0E10">
              <w:rPr>
                <w:rFonts w:ascii="Times New Roman" w:hAnsi="Times New Roman"/>
                <w:smallCaps/>
                <w:kern w:val="2"/>
              </w:rPr>
              <w:t xml:space="preserve"> Charlton, A</w:t>
            </w:r>
            <w:r>
              <w:rPr>
                <w:rFonts w:ascii="Times New Roman" w:hAnsi="Times New Roman"/>
                <w:smallCaps/>
                <w:kern w:val="2"/>
              </w:rPr>
              <w:t>.</w:t>
            </w:r>
            <w:r w:rsidRPr="006E0E10">
              <w:rPr>
                <w:rFonts w:ascii="Times New Roman" w:hAnsi="Times New Roman"/>
                <w:smallCaps/>
                <w:kern w:val="2"/>
              </w:rPr>
              <w:t xml:space="preserve"> Kesson, G</w:t>
            </w:r>
            <w:r>
              <w:rPr>
                <w:rFonts w:ascii="Times New Roman" w:hAnsi="Times New Roman"/>
                <w:smallCaps/>
                <w:kern w:val="2"/>
              </w:rPr>
              <w:t>.</w:t>
            </w:r>
            <w:r w:rsidRPr="006E0E10">
              <w:rPr>
                <w:rFonts w:ascii="Times New Roman" w:hAnsi="Times New Roman"/>
                <w:smallCaps/>
                <w:kern w:val="2"/>
              </w:rPr>
              <w:t xml:space="preserve"> Larson, L</w:t>
            </w:r>
            <w:r>
              <w:rPr>
                <w:rFonts w:ascii="Times New Roman" w:hAnsi="Times New Roman"/>
                <w:smallCaps/>
                <w:kern w:val="2"/>
              </w:rPr>
              <w:t>.</w:t>
            </w:r>
            <w:r w:rsidRPr="006E0E10">
              <w:rPr>
                <w:rFonts w:ascii="Times New Roman" w:hAnsi="Times New Roman"/>
                <w:smallCaps/>
                <w:kern w:val="2"/>
              </w:rPr>
              <w:t xml:space="preserve"> Lewis &amp; H</w:t>
            </w:r>
            <w:r>
              <w:rPr>
                <w:rFonts w:ascii="Times New Roman" w:hAnsi="Times New Roman"/>
                <w:smallCaps/>
                <w:kern w:val="2"/>
              </w:rPr>
              <w:t>.</w:t>
            </w:r>
            <w:r w:rsidRPr="006E0E10">
              <w:rPr>
                <w:rFonts w:ascii="Times New Roman" w:hAnsi="Times New Roman"/>
                <w:smallCaps/>
                <w:kern w:val="2"/>
              </w:rPr>
              <w:t>J. O’Regan</w:t>
            </w:r>
            <w:r w:rsidRPr="006E0E10">
              <w:rPr>
                <w:rFonts w:ascii="Times New Roman" w:hAnsi="Times New Roman"/>
                <w:kern w:val="2"/>
              </w:rPr>
              <w:t>. 2025.</w:t>
            </w:r>
            <w:r w:rsidRPr="006E0E10">
              <w:rPr>
                <w:rFonts w:ascii="Times New Roman" w:hAnsi="Times New Roman"/>
                <w:b/>
                <w:bCs/>
                <w:kern w:val="2"/>
              </w:rPr>
              <w:t xml:space="preserve"> </w:t>
            </w:r>
            <w:r w:rsidRPr="000B3177">
              <w:rPr>
                <w:rFonts w:ascii="Times New Roman" w:hAnsi="Times New Roman"/>
                <w:b/>
              </w:rPr>
              <w:t>What does a bear</w:t>
            </w:r>
            <w:r w:rsidR="00F97AEF">
              <w:rPr>
                <w:rFonts w:ascii="Times New Roman" w:hAnsi="Times New Roman"/>
                <w:b/>
              </w:rPr>
              <w:t>-</w:t>
            </w:r>
            <w:r w:rsidRPr="000B3177">
              <w:rPr>
                <w:rFonts w:ascii="Times New Roman" w:hAnsi="Times New Roman"/>
                <w:b/>
              </w:rPr>
              <w:t xml:space="preserve">baiting assemblage look like? Interdisciplinary analysis of an </w:t>
            </w:r>
            <w:r w:rsidR="00F97AEF">
              <w:rPr>
                <w:rFonts w:ascii="Times New Roman" w:hAnsi="Times New Roman"/>
                <w:b/>
              </w:rPr>
              <w:t>E</w:t>
            </w:r>
            <w:r w:rsidRPr="000B3177">
              <w:rPr>
                <w:rFonts w:ascii="Times New Roman" w:hAnsi="Times New Roman"/>
                <w:b/>
              </w:rPr>
              <w:t xml:space="preserve">arly </w:t>
            </w:r>
            <w:r w:rsidR="00F97AEF">
              <w:rPr>
                <w:rFonts w:ascii="Times New Roman" w:hAnsi="Times New Roman"/>
                <w:b/>
              </w:rPr>
              <w:t>M</w:t>
            </w:r>
            <w:r w:rsidRPr="000B3177">
              <w:rPr>
                <w:rFonts w:ascii="Times New Roman" w:hAnsi="Times New Roman"/>
                <w:b/>
              </w:rPr>
              <w:t xml:space="preserve">odern </w:t>
            </w:r>
            <w:r>
              <w:rPr>
                <w:rFonts w:ascii="Times New Roman" w:hAnsi="Times New Roman"/>
                <w:b/>
              </w:rPr>
              <w:t>‘</w:t>
            </w:r>
            <w:r w:rsidRPr="000B3177">
              <w:rPr>
                <w:rFonts w:ascii="Times New Roman" w:hAnsi="Times New Roman"/>
                <w:b/>
              </w:rPr>
              <w:t>sport</w:t>
            </w:r>
            <w:r>
              <w:rPr>
                <w:rFonts w:ascii="Times New Roman" w:hAnsi="Times New Roman"/>
                <w:b/>
              </w:rPr>
              <w:t>’</w:t>
            </w:r>
            <w:r w:rsidRPr="006E0E10">
              <w:rPr>
                <w:rFonts w:ascii="Times New Roman" w:hAnsi="Times New Roman"/>
                <w:b/>
                <w:bCs/>
                <w:kern w:val="2"/>
              </w:rPr>
              <w:t xml:space="preserve">. </w:t>
            </w:r>
            <w:r w:rsidRPr="006E0E10">
              <w:rPr>
                <w:rFonts w:ascii="Times New Roman" w:hAnsi="Times New Roman"/>
                <w:i/>
                <w:iCs/>
                <w:kern w:val="2"/>
              </w:rPr>
              <w:t>Antiquity</w:t>
            </w:r>
            <w:r w:rsidRPr="006E0E10">
              <w:rPr>
                <w:rFonts w:ascii="Times New Roman" w:hAnsi="Times New Roman"/>
                <w:kern w:val="2"/>
              </w:rPr>
              <w:t xml:space="preserve"> 99.</w:t>
            </w:r>
          </w:p>
          <w:p w14:paraId="7A452A48" w14:textId="5C4FB454" w:rsidR="006E0E10" w:rsidRPr="006E0E10" w:rsidRDefault="006E0E10" w:rsidP="006E0E10">
            <w:pPr>
              <w:spacing w:line="360" w:lineRule="auto"/>
              <w:jc w:val="both"/>
              <w:rPr>
                <w:rFonts w:ascii="Times New Roman" w:hAnsi="Times New Roman"/>
                <w:b/>
                <w:bCs/>
                <w:kern w:val="2"/>
              </w:rPr>
            </w:pPr>
            <w:r w:rsidRPr="006E0E10">
              <w:rPr>
                <w:rFonts w:ascii="Times New Roman" w:hAnsi="Times New Roman"/>
              </w:rPr>
              <w:t xml:space="preserve">Author for correspondence </w:t>
            </w:r>
            <w:r w:rsidRPr="006E0E10">
              <w:rPr>
                <w:rFonts w:ascii="Segoe UI Symbol" w:eastAsia="Arial Unicode MS" w:hAnsi="Segoe UI Symbol" w:cs="Segoe UI Symbol"/>
                <w:color w:val="000000"/>
                <w:bdr w:val="nil"/>
              </w:rPr>
              <w:t>✉</w:t>
            </w:r>
            <w:r w:rsidRPr="006E0E10">
              <w:rPr>
                <w:rFonts w:ascii="Times New Roman" w:eastAsia="Arial Unicode MS" w:hAnsi="Times New Roman"/>
                <w:color w:val="000000"/>
                <w:bdr w:val="nil"/>
              </w:rPr>
              <w:t xml:space="preserve"> </w:t>
            </w:r>
            <w:r w:rsidRPr="00FB781B">
              <w:rPr>
                <w:rFonts w:ascii="Times New Roman" w:eastAsia="Arial Unicode MS" w:hAnsi="Times New Roman"/>
                <w:color w:val="000000"/>
                <w:bdr w:val="nil"/>
              </w:rPr>
              <w:t>hannah.oregan@nottingham.ac.uk</w:t>
            </w:r>
          </w:p>
        </w:tc>
      </w:tr>
    </w:tbl>
    <w:p w14:paraId="4B44B819" w14:textId="77777777" w:rsidR="006E0E10" w:rsidRDefault="006E0E10">
      <w:pPr>
        <w:rPr>
          <w:b/>
        </w:rPr>
      </w:pPr>
    </w:p>
    <w:p w14:paraId="66487D9E" w14:textId="77777777" w:rsidR="00126128" w:rsidRDefault="00126128">
      <w:pPr>
        <w:rPr>
          <w:b/>
        </w:rPr>
      </w:pPr>
    </w:p>
    <w:p w14:paraId="06080944" w14:textId="77777777" w:rsidR="00126128" w:rsidRDefault="00126128">
      <w:pPr>
        <w:rPr>
          <w:b/>
        </w:rPr>
      </w:pPr>
    </w:p>
    <w:p w14:paraId="7D583AA2" w14:textId="77777777" w:rsidR="00126128" w:rsidRDefault="0078150B">
      <w:pPr>
        <w:rPr>
          <w:b/>
        </w:rPr>
      </w:pPr>
      <w:r>
        <w:rPr>
          <w:b/>
        </w:rPr>
        <w:t>Background and Methodology</w:t>
      </w:r>
    </w:p>
    <w:p w14:paraId="3CCE5D40" w14:textId="77777777" w:rsidR="00126128" w:rsidRDefault="00126128">
      <w:pPr>
        <w:rPr>
          <w:b/>
        </w:rPr>
      </w:pPr>
    </w:p>
    <w:p w14:paraId="53DC3897" w14:textId="77777777" w:rsidR="00126128" w:rsidRDefault="0078150B">
      <w:pPr>
        <w:rPr>
          <w:b/>
        </w:rPr>
      </w:pPr>
      <w:r>
        <w:rPr>
          <w:b/>
        </w:rPr>
        <w:t>1.1 A brief overview of baiting</w:t>
      </w:r>
    </w:p>
    <w:p w14:paraId="4273D89D" w14:textId="633E32AD" w:rsidR="00126128" w:rsidRDefault="0078150B">
      <w:r>
        <w:t xml:space="preserve">In England, bear baiting appears to have medieval origins, but became formally linked with the crown through the creation of the role of Master of the King’s Bears by Richard III in 1484 (Cerasano 1991). This title changes through time and individual uses, and it also picked up other animals; by the seventeenth century, its occupants were known as the Master of King’s Bulls, Bears and Mastiff Dogs. Legally, butchers were required to bait bulls before their meat could be sold, owing to a suggestion that otherwise the meat would be tainted and bad to ingest. Butchers were often, and repeatedly, fined for selling meat ‘unbayted’. Alongside this legal requirement, bear-baiting became common as a commercial enterprise throughout England, with bearwards being included in the 1572 Vagabond Act, which, like players, required them to have a patron or a licence, else they would be considered vagrants (Dionne 2004). Some aristocrats patronised both actors and bearwards; the Earl of Leicester, for example, gave his name to a major dramatic troupe as well as a roaming bearward in the 1570s (see </w:t>
      </w:r>
      <w:r w:rsidR="00747FCD">
        <w:t>Johnston n.d.</w:t>
      </w:r>
      <w:r>
        <w:t xml:space="preserve"> for 1574-5 and 1575-6, the years following a patent awarded to Leicester’s players, as per Wickham </w:t>
      </w:r>
      <w:r w:rsidRPr="009329E7">
        <w:rPr>
          <w:i/>
          <w:iCs/>
        </w:rPr>
        <w:t>et al.</w:t>
      </w:r>
      <w:r>
        <w:t xml:space="preserve"> 2000). </w:t>
      </w:r>
    </w:p>
    <w:p w14:paraId="7149DE1E" w14:textId="77777777" w:rsidR="00126128" w:rsidRDefault="00126128"/>
    <w:p w14:paraId="39DB11FF" w14:textId="77777777" w:rsidR="00126128" w:rsidRDefault="0078150B">
      <w:r>
        <w:t xml:space="preserve">While baiting is often considered to result in the death of the animal, from our zooarchaeological work it is apparent that some animals did survive. This is also attested by documentary records; for example, a document attached to the sale of the bear-ring in London listed named bears and named bulls, which suggests they had survived for some time to be named. A handbill for the London arena (Dulwich Archives MSS 002-041) says one baiting will “worry” a bull to death, which implies that this was not always the case, and Stokes’ (1996) work in Somerset identified a man who travelled with his bull to baitings in multiple towns. </w:t>
      </w:r>
    </w:p>
    <w:p w14:paraId="244E2919" w14:textId="77777777" w:rsidR="00126128" w:rsidRDefault="00126128"/>
    <w:p w14:paraId="658B662B" w14:textId="64470AB2" w:rsidR="00126128" w:rsidRDefault="0078150B">
      <w:r>
        <w:lastRenderedPageBreak/>
        <w:t xml:space="preserve">Baiting formed a key part of early modern entertainment economically, as well as socially, with multiple trades being involved in its activities, from vittailing and ale-selling to proximate or overlapping forms of commercial leisure (such as cockfighting, archery, and music and drama) (Davies 2023). It was also highly popular, with audience numbers possibly reaching over 1000 (though exact figures remain unclear) (Brownstein 1969); certainly, at the point when the Paris Garden structure known as Payne’s Standings collapsed in 1583, it was thought to be full to </w:t>
      </w:r>
      <w:r w:rsidR="009329E7">
        <w:t>overcapacity</w:t>
      </w:r>
      <w:r>
        <w:t xml:space="preserve"> (see correspondence transcribed in Chambers 1923: 292). These structures continued to develop, expand, and adapt through these decades, making fixed audience capacities tricky to pin down.</w:t>
      </w:r>
    </w:p>
    <w:p w14:paraId="2FDB6167" w14:textId="77777777" w:rsidR="00126128" w:rsidRDefault="00126128"/>
    <w:p w14:paraId="0E3487D5" w14:textId="7AEA6325" w:rsidR="00126128" w:rsidRDefault="0078150B">
      <w:r>
        <w:t>Both men, women, and youths attended baitings, and Elizabeth I was a major patron - Robert Dudley put on a baiting of 13 bears at Kenilworth Castle in 1575 in an attempt to impress her. Although Parliament during the Interregnum passed two ordinances for the Lord Mayor of London to suppress playhouses, rope-dancing, and bear baitings, its jurisdiction was not wholly effective in bringing London to heel and indeed evidence suggests bear gardens continued to thrive through the 1650s (Hotson 1925). The official restriction was overturned by Charles II following his restoration in 1660. Baitings happened indoors and out, including in or around the Banqueting Hall at Westminster (The National Archives E351/544, 10b, April 1613). Both bear and bull baiting were finally banned nationally in 1835 (Cowie 2017: 160</w:t>
      </w:r>
      <w:r w:rsidR="00747FCD">
        <w:t>–</w:t>
      </w:r>
      <w:r>
        <w:t>61).</w:t>
      </w:r>
      <w:r w:rsidR="006A19FA">
        <w:t xml:space="preserve"> </w:t>
      </w:r>
      <w:r>
        <w:t xml:space="preserve"> </w:t>
      </w:r>
    </w:p>
    <w:p w14:paraId="104BC0F0" w14:textId="77777777" w:rsidR="00126128" w:rsidRDefault="00126128">
      <w:pPr>
        <w:rPr>
          <w:b/>
        </w:rPr>
      </w:pPr>
    </w:p>
    <w:p w14:paraId="45356066" w14:textId="77777777" w:rsidR="00126128" w:rsidRDefault="0078150B">
      <w:pPr>
        <w:rPr>
          <w:b/>
        </w:rPr>
      </w:pPr>
      <w:r>
        <w:rPr>
          <w:b/>
        </w:rPr>
        <w:t>1.1.2 Baiting on Bankside</w:t>
      </w:r>
    </w:p>
    <w:p w14:paraId="2BBFFF26" w14:textId="77777777" w:rsidR="00126128" w:rsidRDefault="00126128">
      <w:pPr>
        <w:rPr>
          <w:b/>
        </w:rPr>
      </w:pPr>
    </w:p>
    <w:p w14:paraId="7FAC2353" w14:textId="77777777" w:rsidR="00126128" w:rsidRDefault="0078150B">
      <w:pPr>
        <w:rPr>
          <w:b/>
        </w:rPr>
      </w:pPr>
      <w:r>
        <w:rPr>
          <w:b/>
        </w:rPr>
        <w:t>1.1.2.1 Baiting on Bankside - named structures</w:t>
      </w:r>
    </w:p>
    <w:p w14:paraId="09D43525" w14:textId="77777777" w:rsidR="00126128" w:rsidRDefault="00126128">
      <w:pPr>
        <w:rPr>
          <w:b/>
        </w:rPr>
      </w:pPr>
    </w:p>
    <w:p w14:paraId="2D078803" w14:textId="4FC378DD" w:rsidR="00126128" w:rsidRDefault="0078150B">
      <w:r>
        <w:rPr>
          <w:b/>
        </w:rPr>
        <w:t>Bear Gardens</w:t>
      </w:r>
      <w:r>
        <w:t xml:space="preserve"> are numbered 1 through 5, following the demarcations of Braines (1924), with “3a” introduced by Bowsher (2012). Bear Garden 1 abutted the Thames by Mason’s Stairs, while Bear Garden 2 is thought to have been near Maid Lane. Little is known of these two structures. </w:t>
      </w:r>
      <w:r w:rsidRPr="009329E7">
        <w:rPr>
          <w:b/>
          <w:bCs/>
        </w:rPr>
        <w:t>Bear Garden 3</w:t>
      </w:r>
      <w:r>
        <w:t xml:space="preserve"> was also known as “</w:t>
      </w:r>
      <w:r>
        <w:rPr>
          <w:b/>
        </w:rPr>
        <w:t>Payne’s Standings</w:t>
      </w:r>
      <w:r>
        <w:t>” and sat behind the existing Bell and Cock (a stew and food and drink venue). This structure collapsed on 13 January 1583 during a show. Bowsher (2012) labels its replacement on the same site–which was built within five months as a larger venue–</w:t>
      </w:r>
      <w:r>
        <w:rPr>
          <w:b/>
        </w:rPr>
        <w:t>Bear Garden 3a</w:t>
      </w:r>
      <w:r>
        <w:t>. This lasted until 1613, when Philip Henslowe and Jacob Meade built the Hope playhouse (</w:t>
      </w:r>
      <w:r w:rsidR="002F1A46">
        <w:t>s</w:t>
      </w:r>
      <w:r>
        <w:t xml:space="preserve">ee Davies 2023 for more detail). </w:t>
      </w:r>
    </w:p>
    <w:p w14:paraId="14F99E14" w14:textId="77777777" w:rsidR="00126128" w:rsidRDefault="00126128"/>
    <w:p w14:paraId="47322794" w14:textId="0028E497" w:rsidR="00126128" w:rsidRDefault="0078150B">
      <w:r>
        <w:rPr>
          <w:b/>
        </w:rPr>
        <w:t xml:space="preserve">Hope </w:t>
      </w:r>
      <w:r w:rsidRPr="009329E7">
        <w:rPr>
          <w:b/>
        </w:rPr>
        <w:t xml:space="preserve">Playhouse </w:t>
      </w:r>
      <w:r w:rsidR="009329E7" w:rsidRPr="009329E7">
        <w:rPr>
          <w:b/>
        </w:rPr>
        <w:t>(Bear Garden 4)</w:t>
      </w:r>
      <w:r w:rsidR="009329E7">
        <w:t xml:space="preserve"> </w:t>
      </w:r>
      <w:r>
        <w:t xml:space="preserve">- Henslowe and Meade contracted the carpenter Gilbert Katherens in 1613 with meticulous instructions to create a dual-purpose playhouse: both a game place and a theatrical stage, with a removable stage structure on trestles. The contract instructed Katherens to look to the Swan playhouse in its architectural features and to re-use timber, benches, and seats, as useful, from the previous structure (as well as material Henslowe had lately bought from an old house in Thames Street) (Wickham </w:t>
      </w:r>
      <w:r w:rsidRPr="009329E7">
        <w:rPr>
          <w:i/>
          <w:iCs/>
        </w:rPr>
        <w:t>et al.</w:t>
      </w:r>
      <w:r>
        <w:t xml:space="preserve"> 2000: 598</w:t>
      </w:r>
      <w:r w:rsidR="00747FCD">
        <w:t>–</w:t>
      </w:r>
      <w:r>
        <w:t>9). Although there are limited records about the Hope, it appears in Wenceslaus Hollar</w:t>
      </w:r>
      <w:r w:rsidR="006A19FA">
        <w:t>’</w:t>
      </w:r>
      <w:r>
        <w:t xml:space="preserve">s view of London in 1647 and was home to Ben Jonsons’ </w:t>
      </w:r>
      <w:r>
        <w:rPr>
          <w:i/>
        </w:rPr>
        <w:t>Bartholomew Fair</w:t>
      </w:r>
      <w:r>
        <w:t xml:space="preserve"> (the prologue to which makes reference to the bears that shared the space). After three years, no major theatrical troupe </w:t>
      </w:r>
      <w:r>
        <w:lastRenderedPageBreak/>
        <w:t>used the structure, raising questions about the suitability of acting companies working alongside animals, though three years is itself a long time for such an operation and there are many factors in early seventeenth century London playing industry that might explain why a company was not housed long term at a given playhouse. The Hope survived as a baiting and entertainment arena into the 1650s and was replaced by Davies’ Bear Garden in 1662</w:t>
      </w:r>
      <w:r w:rsidR="00747FCD">
        <w:t>–</w:t>
      </w:r>
      <w:r>
        <w:t xml:space="preserve">3 (though sometimes still continued to be known as the Hope) (Wickham </w:t>
      </w:r>
      <w:r w:rsidRPr="009329E7">
        <w:rPr>
          <w:i/>
          <w:iCs/>
        </w:rPr>
        <w:t>et al.</w:t>
      </w:r>
      <w:r>
        <w:t xml:space="preserve"> 2000: 596</w:t>
      </w:r>
      <w:r w:rsidR="00747FCD">
        <w:t>–</w:t>
      </w:r>
      <w:r>
        <w:t>7)</w:t>
      </w:r>
    </w:p>
    <w:p w14:paraId="6A252916" w14:textId="77777777" w:rsidR="00126128" w:rsidRDefault="00126128">
      <w:pPr>
        <w:rPr>
          <w:color w:val="FF0000"/>
        </w:rPr>
      </w:pPr>
    </w:p>
    <w:p w14:paraId="2EA62668" w14:textId="0DEA2228" w:rsidR="00126128" w:rsidRDefault="0078150B">
      <w:r>
        <w:rPr>
          <w:b/>
        </w:rPr>
        <w:t>The Globe</w:t>
      </w:r>
      <w:r>
        <w:t xml:space="preserve"> playhouse was built by a group of sharers formed from the Burbage family and lead sharers in the Lord Chamberlain’s Men acting company in 1599. The playhouse was a solution to the legal difficulties around the Burbages</w:t>
      </w:r>
      <w:r w:rsidR="007A4AFD">
        <w:t>’</w:t>
      </w:r>
      <w:r>
        <w:t xml:space="preserve"> previous theatrical space, the Theatre in Shoreditch. It was likely ready by May or June 1599 (Wickham </w:t>
      </w:r>
      <w:r w:rsidRPr="004A7973">
        <w:rPr>
          <w:i/>
          <w:iCs/>
        </w:rPr>
        <w:t>et al</w:t>
      </w:r>
      <w:r>
        <w:t>. 200</w:t>
      </w:r>
      <w:r w:rsidR="004A7973">
        <w:t>0</w:t>
      </w:r>
      <w:r>
        <w:t>: 493</w:t>
      </w:r>
      <w:r w:rsidR="00747FCD">
        <w:t>–</w:t>
      </w:r>
      <w:r>
        <w:t>4.) There is no evidence the playhouse hosted animal sports, though its proximity to the other named structures listed here puts it in a wider recreational hub that prominently included commercial baiting.</w:t>
      </w:r>
    </w:p>
    <w:p w14:paraId="371C2F76" w14:textId="77777777" w:rsidR="00126128" w:rsidRDefault="00126128">
      <w:pPr>
        <w:rPr>
          <w:color w:val="FF0000"/>
        </w:rPr>
      </w:pPr>
    </w:p>
    <w:p w14:paraId="4F5586E0" w14:textId="0FBA70AF" w:rsidR="00126128" w:rsidRDefault="0078150B">
      <w:pPr>
        <w:rPr>
          <w:color w:val="FF0000"/>
        </w:rPr>
      </w:pPr>
      <w:r>
        <w:rPr>
          <w:b/>
        </w:rPr>
        <w:t xml:space="preserve">The Rose </w:t>
      </w:r>
      <w:r>
        <w:t xml:space="preserve">playhouse was built by Philip Henslowe and John Cholmondley in 1587, </w:t>
      </w:r>
      <w:r w:rsidR="009329E7">
        <w:t xml:space="preserve">and </w:t>
      </w:r>
      <w:r>
        <w:t xml:space="preserve">expanded and altered in 1592. Greenfield (2007) called attention to the unusual difference in height between the floor and the first layer of seating in the original playhouse. He proposes that it could have been used as a multipurpose arena like the Hope - for baiting, sword-fighting and playing - before being remodelled into a playhouse more primarily suited to acting in 1592.  </w:t>
      </w:r>
    </w:p>
    <w:p w14:paraId="1F242461" w14:textId="77777777" w:rsidR="00126128" w:rsidRDefault="00126128">
      <w:pPr>
        <w:rPr>
          <w:color w:val="FF0000"/>
        </w:rPr>
      </w:pPr>
    </w:p>
    <w:p w14:paraId="48947162" w14:textId="253E423C" w:rsidR="00126128" w:rsidRDefault="0078150B">
      <w:pPr>
        <w:rPr>
          <w:b/>
        </w:rPr>
      </w:pPr>
      <w:r>
        <w:rPr>
          <w:b/>
        </w:rPr>
        <w:t xml:space="preserve">Davies Bear Garden </w:t>
      </w:r>
      <w:r w:rsidR="009329E7">
        <w:rPr>
          <w:b/>
        </w:rPr>
        <w:t xml:space="preserve">(Bear Garden 5) </w:t>
      </w:r>
      <w:r>
        <w:t>was built in 1662</w:t>
      </w:r>
      <w:r w:rsidR="00747FCD">
        <w:t>–</w:t>
      </w:r>
      <w:r>
        <w:t>3 and demolished in 1882 and was not replaced (Capon &amp; Rielly 2020). It was the last formal ‘bear garden’ to have been present on Bankside, thereby bookending at least 140 years of animal baiting in the area.</w:t>
      </w:r>
      <w:r>
        <w:rPr>
          <w:b/>
        </w:rPr>
        <w:t xml:space="preserve"> </w:t>
      </w:r>
    </w:p>
    <w:p w14:paraId="01CE95C5" w14:textId="77777777" w:rsidR="00126128" w:rsidRDefault="00126128">
      <w:pPr>
        <w:rPr>
          <w:b/>
        </w:rPr>
      </w:pPr>
    </w:p>
    <w:p w14:paraId="6D545FE2" w14:textId="77777777" w:rsidR="00126128" w:rsidRDefault="00126128">
      <w:pPr>
        <w:rPr>
          <w:b/>
        </w:rPr>
      </w:pPr>
    </w:p>
    <w:p w14:paraId="58EF5F95" w14:textId="77777777" w:rsidR="00126128" w:rsidRDefault="0078150B">
      <w:pPr>
        <w:rPr>
          <w:b/>
        </w:rPr>
      </w:pPr>
      <w:r>
        <w:rPr>
          <w:b/>
        </w:rPr>
        <w:t>1.1.2.2 Baiting on Bankside - archaeological sites included in the text</w:t>
      </w:r>
    </w:p>
    <w:p w14:paraId="7232B90F" w14:textId="77777777" w:rsidR="00126128" w:rsidRDefault="00126128">
      <w:pPr>
        <w:rPr>
          <w:b/>
        </w:rPr>
      </w:pPr>
    </w:p>
    <w:p w14:paraId="1EF25DCD" w14:textId="77777777" w:rsidR="00126128" w:rsidRDefault="0078150B">
      <w:r>
        <w:t xml:space="preserve">Although the excavated sites cover parts of multiple playhouses and bear gardens, the associated animal bone assemblages do not always belong to the closest arena, e.g. the footprint of the BAK99 excavation contains part of the Hope playhouse but the bones are from earlier and later arenas (see Table 1, and further details below). </w:t>
      </w:r>
    </w:p>
    <w:p w14:paraId="530543EF" w14:textId="77777777" w:rsidR="00126128" w:rsidRDefault="00126128"/>
    <w:p w14:paraId="0C0C0616" w14:textId="44A79443" w:rsidR="00126128" w:rsidRDefault="0078150B">
      <w:r>
        <w:t xml:space="preserve">The site of </w:t>
      </w:r>
      <w:r>
        <w:rPr>
          <w:b/>
        </w:rPr>
        <w:t>20-22 New Globe Walk (NGW00</w:t>
      </w:r>
      <w:r>
        <w:t xml:space="preserve">) sits to the south of Benbow House (BAN95) and to the north of 60 Park Street (PSE02) on the western side of the excavated areas shown in </w:t>
      </w:r>
      <w:r w:rsidR="00747FCD">
        <w:t>F</w:t>
      </w:r>
      <w:r>
        <w:t xml:space="preserve">igure 2 (main text). Together the sites fill the area between the modern roads of New Globe Walk and Bear Gardens. Limited areas of NGW00 were excavated in 2000, as described in Mackinder </w:t>
      </w:r>
      <w:r w:rsidRPr="009329E7">
        <w:rPr>
          <w:i/>
          <w:iCs/>
        </w:rPr>
        <w:t>et al</w:t>
      </w:r>
      <w:r>
        <w:t>. (2013: 1). The main deposit of interest to our study was designated B: Open Area 1, and consisted of waterlain deposits with large quantities of animal bone, mainly horse, and dog with some bear. NGW00 contexts 45, 63, 65 and 66</w:t>
      </w:r>
      <w:r w:rsidR="006A19FA">
        <w:t xml:space="preserve"> </w:t>
      </w:r>
      <w:r>
        <w:t xml:space="preserve">are thought to relate to a “pond for dead dogs” associated with one of the bear gardens. Alongside the bones were found pottery for food preparation and serving. It is suggested that these deposits were formed by filling in </w:t>
      </w:r>
      <w:r>
        <w:lastRenderedPageBreak/>
        <w:t xml:space="preserve">the earlier fishponds on the site, and that they are associated with Payne’s Standings (Bear Garden 3) and Bear Garden 3a. Also on the site was a possible stable or kennel (B:S1) associated with an undated deposit of straw or rushes B[61] containing dog bones. All information above from Mackinder </w:t>
      </w:r>
      <w:r w:rsidRPr="004A7973">
        <w:rPr>
          <w:i/>
          <w:iCs/>
        </w:rPr>
        <w:t>et al.</w:t>
      </w:r>
      <w:r>
        <w:t xml:space="preserve"> (2013).</w:t>
      </w:r>
      <w:r w:rsidR="006A19FA">
        <w:t xml:space="preserve"> </w:t>
      </w:r>
    </w:p>
    <w:p w14:paraId="445240CD" w14:textId="77777777" w:rsidR="00126128" w:rsidRDefault="00126128"/>
    <w:p w14:paraId="228CC4E7" w14:textId="6483D956" w:rsidR="00126128" w:rsidRDefault="0078150B">
      <w:r>
        <w:rPr>
          <w:b/>
        </w:rPr>
        <w:t>Riverside House</w:t>
      </w:r>
      <w:r>
        <w:t xml:space="preserve"> </w:t>
      </w:r>
      <w:r>
        <w:rPr>
          <w:b/>
        </w:rPr>
        <w:t xml:space="preserve">(BAK99) </w:t>
      </w:r>
      <w:r>
        <w:t xml:space="preserve">comprises the northeast quadrant of the area studied here (Figure 2), and fronts onto the modern River Thames, between the roads of Bear Gardens and Southwark Bridge. A considerable area of BAK99 was excavated, and waterlain deposits containing horse, dog and bear remains were designated A: OA1 (Open Area 1). These deposits are very similar to those from NGW00 and it is also thought they are associated with Payne’s Standings (Bear Garden 3) and Bear Garden 3a. Later material designated disuse deposits A: Structure 11, included six horse bones, two dog bones and a bear humerus. These are thought to be associated with Davies Bear Garden (Bear Garden 5), sited to the southwest in 60 Park Street (PSE02). Despite the excavated area covering part of the Hope Playhouse site, no animal bones directly associated with the Hope were recovered. All information above from Mackinder </w:t>
      </w:r>
      <w:r w:rsidRPr="004A7973">
        <w:rPr>
          <w:i/>
          <w:iCs/>
        </w:rPr>
        <w:t>et al.</w:t>
      </w:r>
      <w:r>
        <w:t xml:space="preserve"> (2013).</w:t>
      </w:r>
      <w:r w:rsidR="006A19FA">
        <w:t xml:space="preserve"> </w:t>
      </w:r>
    </w:p>
    <w:p w14:paraId="0D6A8FE3" w14:textId="77777777" w:rsidR="00126128" w:rsidRDefault="00126128"/>
    <w:p w14:paraId="4C1EB342" w14:textId="00B22013" w:rsidR="00126128" w:rsidRDefault="0078150B">
      <w:r>
        <w:rPr>
          <w:b/>
        </w:rPr>
        <w:t>Benbow House (BAN95)</w:t>
      </w:r>
      <w:r>
        <w:t xml:space="preserve"> was subject to limited excavation and watching briefs between 1995 and 1997 (Mackinder &amp; Blatherwick 2000). It sits in the most northwest part of the area under consideration with NGW00 to the south, and BAK99 to the </w:t>
      </w:r>
      <w:r w:rsidR="002F1A46">
        <w:t>e</w:t>
      </w:r>
      <w:r>
        <w:t xml:space="preserve">ast. Excavation of wooden pilings belonging to ‘Building 12’ led to it being identified as the site of Payne’s Standings (Bear Garden 3) and Bear Garden 3a. </w:t>
      </w:r>
      <w:r w:rsidR="001612C4">
        <w:t>Some horse and dog bones</w:t>
      </w:r>
      <w:r>
        <w:t xml:space="preserve"> were found in waterlain deposits in Open Area 12. Organic deposits containing dog remains were also found to the North of Building 12 (Mackinder &amp; Blatherwick 2000: 26</w:t>
      </w:r>
      <w:r w:rsidR="00747FCD">
        <w:t>–</w:t>
      </w:r>
      <w:r>
        <w:t xml:space="preserve">28). Some horse remains were found in a pit [394] in open area 7; Open area 11 had three horse bones and three dog bones that were eroded and clearly redeposited. Open area 13 had two large dumps of secondarily deposited dog and horse remains - there was no dating material but the excavators associated them with Bear Garden 3a. The sediments within the dumps are not discussed in the report. All information above from Mackinder and Blatherwick (2000). </w:t>
      </w:r>
    </w:p>
    <w:p w14:paraId="50CFC2DE" w14:textId="77777777" w:rsidR="00126128" w:rsidRDefault="00126128"/>
    <w:p w14:paraId="4D739AF6" w14:textId="645521BA" w:rsidR="00126128" w:rsidRDefault="0078150B">
      <w:r>
        <w:rPr>
          <w:b/>
        </w:rPr>
        <w:t>Empire Warehouse (EMH12)</w:t>
      </w:r>
      <w:r>
        <w:t xml:space="preserve"> covers the same footprint as two earlier evaluations with </w:t>
      </w:r>
      <w:r w:rsidR="004A7973">
        <w:t xml:space="preserve">different </w:t>
      </w:r>
      <w:r>
        <w:t xml:space="preserve">site codes - </w:t>
      </w:r>
      <w:r>
        <w:rPr>
          <w:b/>
        </w:rPr>
        <w:t>Empire Warehouse (EWH08)</w:t>
      </w:r>
      <w:r>
        <w:t xml:space="preserve">, and </w:t>
      </w:r>
      <w:r>
        <w:rPr>
          <w:b/>
        </w:rPr>
        <w:t>1 Bear Gardens/ 2 Rose Alley (BGU08)</w:t>
      </w:r>
      <w:r>
        <w:t xml:space="preserve">. EWH08 formed the northern half of the site in Figure 2, and included parts of the Hope Playhouse (Bear Garden 4), while BGU08 formed the southern half and touched the edge of Davies Bear Garden (Bear Garden 5). Despite the footprint of the area covering parts of Bear Gardens 4 and 5, it is thought on the basis of ceramic dating that the majority, if not all, of the faunal material from these sites relates to Bear Gardens 3 and 3a. All three excavations are unpublished, but some details of the sites and the horses, dogs and bears recovered are given in Capon &amp; Rielly (2020). </w:t>
      </w:r>
    </w:p>
    <w:p w14:paraId="670CA0D0" w14:textId="77777777" w:rsidR="00126128" w:rsidRDefault="00126128"/>
    <w:p w14:paraId="6A823668" w14:textId="44514816" w:rsidR="00126128" w:rsidRDefault="0078150B">
      <w:r>
        <w:t xml:space="preserve">The </w:t>
      </w:r>
      <w:r>
        <w:rPr>
          <w:b/>
        </w:rPr>
        <w:t>Union Works, 60 Park Street (PSE02)</w:t>
      </w:r>
      <w:r>
        <w:t xml:space="preserve"> lies to the south of NGW00, and </w:t>
      </w:r>
      <w:r w:rsidR="002F1A46">
        <w:t>w</w:t>
      </w:r>
      <w:r>
        <w:t xml:space="preserve">est of BGU08, PRU05 and EWH12 (Figure 2). Much of Davies Bear Garden (Bear Garden 5) lies beneath this location, but very few faunal remains have been recovered here compared to other areas (Rielly </w:t>
      </w:r>
      <w:r>
        <w:lastRenderedPageBreak/>
        <w:t>2004, number of bone fragments thought to be related to baiting</w:t>
      </w:r>
      <w:r w:rsidR="004A7973">
        <w:t xml:space="preserve"> </w:t>
      </w:r>
      <w:r>
        <w:t>=</w:t>
      </w:r>
      <w:r w:rsidR="004A7973">
        <w:t xml:space="preserve"> </w:t>
      </w:r>
      <w:r>
        <w:t xml:space="preserve">5). The PSE02 bone assemblage was not examined for our study, although one bear metapodial and one bear mandible fragment were included in the isotope and ancient DNA analyses. </w:t>
      </w:r>
    </w:p>
    <w:p w14:paraId="206E34BC" w14:textId="77777777" w:rsidR="00126128" w:rsidRDefault="00126128"/>
    <w:p w14:paraId="3EE9DAED" w14:textId="77777777" w:rsidR="00126128" w:rsidRDefault="0078150B">
      <w:r>
        <w:rPr>
          <w:b/>
        </w:rPr>
        <w:t>58 Park Street (PRU05)</w:t>
      </w:r>
      <w:r>
        <w:t xml:space="preserve"> lies to the south of EWH12 and to the east of PSE02, with the modern road of Bear Gardens lying between them. Part of the structure of Davies Bear Garden (Bear Garden 5) underlies PRU05, but few faunal remains were recovered (Pipe 2009a, n=4). The PRU05 bone assemblage was not examined for our study.</w:t>
      </w:r>
    </w:p>
    <w:p w14:paraId="2C808CA4" w14:textId="77777777" w:rsidR="00126128" w:rsidRDefault="00126128"/>
    <w:p w14:paraId="5AA0418C" w14:textId="05B94964" w:rsidR="00126128" w:rsidRDefault="0078150B">
      <w:r>
        <w:rPr>
          <w:b/>
        </w:rPr>
        <w:t>The Rose (2-10 Southwark Bridge)</w:t>
      </w:r>
      <w:r>
        <w:t xml:space="preserve"> has two site codes </w:t>
      </w:r>
      <w:r>
        <w:rPr>
          <w:b/>
        </w:rPr>
        <w:t xml:space="preserve">SBH88 </w:t>
      </w:r>
      <w:r>
        <w:t>and</w:t>
      </w:r>
      <w:r>
        <w:rPr>
          <w:b/>
        </w:rPr>
        <w:t xml:space="preserve"> PR441</w:t>
      </w:r>
      <w:r>
        <w:t xml:space="preserve">, both lie in the southern half of the Rose site as seen in </w:t>
      </w:r>
      <w:r w:rsidR="00747FCD">
        <w:t>F</w:t>
      </w:r>
      <w:r>
        <w:t>igure 2</w:t>
      </w:r>
      <w:r w:rsidR="00C315CE">
        <w:t xml:space="preserve"> (main text)</w:t>
      </w:r>
      <w:r>
        <w:t xml:space="preserve">. Animal bones were recovered from Open Area 2 (period 2) which predated the Playhouse. The assemblage contained sheep and goat bones, plus horse and dog remains in contexts A[434] and A[469] suggested to be from baiting (Bowsher </w:t>
      </w:r>
      <w:r w:rsidR="00C315CE">
        <w:t>&amp;</w:t>
      </w:r>
      <w:r>
        <w:t xml:space="preserve"> Miller 2009: 32). As they predate the Rose (built 1587), they are most likely to have been associated with Bear Gardens 3 and 3a, although they are at some distance from it. Animal bones from Building 2, Phase 1 (the early Rose), again included sheep, goat, dogs, horses and a single bear bone (Bowsher </w:t>
      </w:r>
      <w:r w:rsidR="00C315CE">
        <w:t>&amp;</w:t>
      </w:r>
      <w:r>
        <w:t xml:space="preserve"> Miller 2009: 53). Animal bones from Building 2, Phase 2 (the remodelled Rose) were largely domesticates, with one small fragment of turtle (Bowsher </w:t>
      </w:r>
      <w:r w:rsidR="00C315CE">
        <w:t>&amp;</w:t>
      </w:r>
      <w:r>
        <w:t xml:space="preserve"> Miller 2009: 53). Following the closure of the Rose, further animal bones were found in the demolition dumps, which included domesticates and fish, while dog, horse and bear remains were found in the backfills of the north ditch and demolition dumps near the back of the stage (Bowsher </w:t>
      </w:r>
      <w:r w:rsidR="00C315CE">
        <w:t xml:space="preserve">&amp; </w:t>
      </w:r>
      <w:r>
        <w:t>Miller 2009: 74, 76). Post-playhouse bone assemblages were identified in Open Area 3, which again included large numbers of domesticates, and limited dog</w:t>
      </w:r>
      <w:r w:rsidR="002F1A46">
        <w:t>,</w:t>
      </w:r>
      <w:r>
        <w:t xml:space="preserve"> horse and bear bones likely to be associated with the Hope (Bear Garden 4) (Bowsher &amp; Miller 2009: 78</w:t>
      </w:r>
      <w:r w:rsidR="00B11CF5">
        <w:t>–</w:t>
      </w:r>
      <w:r>
        <w:t xml:space="preserve">79). </w:t>
      </w:r>
    </w:p>
    <w:p w14:paraId="50FF8D1F" w14:textId="77777777" w:rsidR="00126128" w:rsidRDefault="00126128"/>
    <w:p w14:paraId="76D5C25D" w14:textId="73CC8C46" w:rsidR="00126128" w:rsidRDefault="0078150B">
      <w:r>
        <w:rPr>
          <w:b/>
        </w:rPr>
        <w:t xml:space="preserve">The Globe </w:t>
      </w:r>
      <w:r>
        <w:t xml:space="preserve">comprises several site codes of which only fauna from </w:t>
      </w:r>
      <w:r>
        <w:rPr>
          <w:b/>
        </w:rPr>
        <w:t>ACT89</w:t>
      </w:r>
      <w:r>
        <w:t>, a watching brief in Anchor Terrace car park, ha</w:t>
      </w:r>
      <w:r w:rsidR="002F1A46">
        <w:t>ve</w:t>
      </w:r>
      <w:r>
        <w:t xml:space="preserve"> been examined here. Few animal bones were found and those from Open Area 4 comprised sheep and cattle, roe deer, fallow deer, and fish (Bowsher </w:t>
      </w:r>
      <w:r w:rsidR="00C315CE">
        <w:t>&amp;</w:t>
      </w:r>
      <w:r>
        <w:t xml:space="preserve"> Miller 2009: 100).</w:t>
      </w:r>
      <w:r w:rsidR="006A19FA">
        <w:t xml:space="preserve"> </w:t>
      </w:r>
    </w:p>
    <w:p w14:paraId="018E5D67" w14:textId="77777777" w:rsidR="00126128" w:rsidRDefault="00126128">
      <w:pPr>
        <w:rPr>
          <w:b/>
        </w:rPr>
      </w:pPr>
    </w:p>
    <w:p w14:paraId="4DA1F662" w14:textId="77777777" w:rsidR="00126128" w:rsidRDefault="00126128">
      <w:pPr>
        <w:rPr>
          <w:b/>
        </w:rPr>
      </w:pPr>
    </w:p>
    <w:p w14:paraId="5975EFC2" w14:textId="77777777" w:rsidR="00126128" w:rsidRDefault="0078150B">
      <w:pPr>
        <w:rPr>
          <w:b/>
        </w:rPr>
      </w:pPr>
      <w:r>
        <w:rPr>
          <w:b/>
        </w:rPr>
        <w:t>1.2. Methods</w:t>
      </w:r>
    </w:p>
    <w:p w14:paraId="1C7BC8D5" w14:textId="77777777" w:rsidR="00126128" w:rsidRDefault="0078150B">
      <w:pPr>
        <w:rPr>
          <w:b/>
        </w:rPr>
      </w:pPr>
      <w:r>
        <w:rPr>
          <w:b/>
        </w:rPr>
        <w:t>1.2.1 Zooarchaeology</w:t>
      </w:r>
    </w:p>
    <w:p w14:paraId="53D467AC" w14:textId="77777777" w:rsidR="00126128" w:rsidRDefault="00126128">
      <w:pPr>
        <w:rPr>
          <w:b/>
        </w:rPr>
      </w:pPr>
    </w:p>
    <w:p w14:paraId="169A1897" w14:textId="77777777" w:rsidR="00126128" w:rsidRDefault="0078150B">
      <w:pPr>
        <w:rPr>
          <w:i/>
        </w:rPr>
      </w:pPr>
      <w:r>
        <w:rPr>
          <w:i/>
        </w:rPr>
        <w:t>Material recovery and selection</w:t>
      </w:r>
    </w:p>
    <w:p w14:paraId="30AE09EF" w14:textId="51E0F138" w:rsidR="00126128" w:rsidRDefault="0078150B">
      <w:r>
        <w:t>Analyses focused on the hand-collected materials from all sites, as the taxa of interest here tend to be large, and relatively few contexts had been sieved.</w:t>
      </w:r>
      <w:r w:rsidR="006A19FA">
        <w:t xml:space="preserve"> </w:t>
      </w:r>
    </w:p>
    <w:p w14:paraId="1FBFEEB1" w14:textId="77777777" w:rsidR="00126128" w:rsidRDefault="00126128"/>
    <w:p w14:paraId="2134C01D" w14:textId="76CF2140" w:rsidR="00126128" w:rsidRPr="006A19FA" w:rsidRDefault="0078150B">
      <w:r>
        <w:lastRenderedPageBreak/>
        <w:t xml:space="preserve">Due to issues of access during the </w:t>
      </w:r>
      <w:r w:rsidR="002F1A46">
        <w:t>C</w:t>
      </w:r>
      <w:r>
        <w:t>ovid pandemic there was some variation in the way that the different assemblages were studied. The assemblages curated by MOLA (BAN95, BAK99, NGW00, BGU08) were re-recorded in full. For assemblages held at the Museum of London Archaeological Archive (LAARC) (PR441, SBH88, EWH08, EMH12) only the dog and bear remains were fully re-recorded, while ACT89 (also held at LAARC) was fully re-recorded</w:t>
      </w:r>
      <w:r w:rsidRPr="006A19FA">
        <w:t xml:space="preserve">. </w:t>
      </w:r>
      <w:r w:rsidR="002C1BE4" w:rsidRPr="006A19FA">
        <w:t>Kevin Rielly</w:t>
      </w:r>
      <w:r w:rsidR="005806F4" w:rsidRPr="006A19FA">
        <w:t>’</w:t>
      </w:r>
      <w:r w:rsidRPr="006A19FA">
        <w:t xml:space="preserve">s full database for the Empire Warehouse material (EWH08 and EMH12) and data from the MOLA ORACLE database for the Rose and the Globe (PR441, SBH88) were used to supplement the data that </w:t>
      </w:r>
      <w:r w:rsidR="005806F4" w:rsidRPr="006A19FA">
        <w:t xml:space="preserve">Elizabeth Wright </w:t>
      </w:r>
      <w:r w:rsidRPr="006A19FA">
        <w:t xml:space="preserve">recorded. </w:t>
      </w:r>
    </w:p>
    <w:p w14:paraId="7FBADAC5" w14:textId="77777777" w:rsidR="00126128" w:rsidRPr="006A19FA" w:rsidRDefault="00126128"/>
    <w:p w14:paraId="3E67A749" w14:textId="713FFD3F" w:rsidR="00126128" w:rsidRDefault="0078150B">
      <w:r w:rsidRPr="006A19FA">
        <w:t xml:space="preserve">Owing to the intensity of early modern activity on Bankside it was not always possible to attribute individual contexts to specific </w:t>
      </w:r>
      <w:r>
        <w:t xml:space="preserve">baiting arenas (see Table 1 in the main text), however it was possible to split the material between playhouse contexts (those related to the Rose and the Globe) and baiting arenas (all other contexts). This approach has allowed us to look for features that define the different types of activity taking place at these sites. The Hope was used as both a playhouse and a baiting arena, however over time activities became dominated by baiting (see </w:t>
      </w:r>
      <w:r w:rsidR="00B11CF5">
        <w:t>s</w:t>
      </w:r>
      <w:r>
        <w:t xml:space="preserve">ection 1.1.2.1 above), confirmed by both archival details and our results (below). As a result the Hope material has been considered a “baiting assemblage” for the purposes of this analysis. </w:t>
      </w:r>
    </w:p>
    <w:p w14:paraId="29896EC4" w14:textId="77777777" w:rsidR="00126128" w:rsidRDefault="00126128">
      <w:pPr>
        <w:rPr>
          <w:b/>
        </w:rPr>
      </w:pPr>
    </w:p>
    <w:p w14:paraId="186B277A" w14:textId="77777777" w:rsidR="00126128" w:rsidRDefault="0078150B">
      <w:pPr>
        <w:rPr>
          <w:i/>
        </w:rPr>
      </w:pPr>
      <w:r>
        <w:rPr>
          <w:i/>
        </w:rPr>
        <w:t>Recording system</w:t>
      </w:r>
    </w:p>
    <w:p w14:paraId="61D637BA" w14:textId="77777777" w:rsidR="00126128" w:rsidRDefault="0078150B">
      <w:r>
        <w:t xml:space="preserve">The animal bones from Bankside were recorded using a standardised protocol involving the diagnostic zones laid out in </w:t>
      </w:r>
      <w:hyperlink r:id="rId12">
        <w:r>
          <w:t>Bertini Vacca (2012)</w:t>
        </w:r>
      </w:hyperlink>
      <w:r>
        <w:t>. This involves the recording of a predefined set of skeletal parts, defined as ‘countable’, which are then used in the quantification of species and body parts.</w:t>
      </w:r>
    </w:p>
    <w:p w14:paraId="7224D48D" w14:textId="77777777" w:rsidR="00126128" w:rsidRDefault="00126128"/>
    <w:p w14:paraId="09FB1A57" w14:textId="77777777" w:rsidR="00126128" w:rsidRDefault="0078150B">
      <w:pPr>
        <w:rPr>
          <w:i/>
        </w:rPr>
      </w:pPr>
      <w:r>
        <w:rPr>
          <w:i/>
        </w:rPr>
        <w:t>Quantification</w:t>
      </w:r>
    </w:p>
    <w:p w14:paraId="012E2B7D" w14:textId="77777777" w:rsidR="00126128" w:rsidRDefault="0078150B">
      <w:pPr>
        <w:spacing w:after="240"/>
      </w:pPr>
      <w:r>
        <w:t xml:space="preserve">Species frequencies are presented using the Number of Identified Specimens (NISP) and Minimum Number of Individuals (MNI). Body part frequencies are presented using Minimum Animal Units (MAU). </w:t>
      </w:r>
    </w:p>
    <w:p w14:paraId="63471082" w14:textId="3DF66E91" w:rsidR="00126128" w:rsidRDefault="0078150B">
      <w:pPr>
        <w:spacing w:after="240"/>
      </w:pPr>
      <w:r>
        <w:t xml:space="preserve">NISP was obtained by tallying the number of ‘countable’ identified specimens for each taxon. This number was adjusted in order to make the counts from different species more comparable: partial skeletons were counted as 1 bone, pig and dog metapodials were divided by two, upper incisors and pig first premolars (P1) have been excluded. The MAU was obtained by dividing the number of fragments for each element by the number of times that each is present in a complete animal, without taking side into account (sensu Binford 1984 – these formulae are laid out in Table </w:t>
      </w:r>
      <w:r w:rsidR="00B11CF5">
        <w:t>S</w:t>
      </w:r>
      <w:r>
        <w:t xml:space="preserve">1 below). </w:t>
      </w:r>
    </w:p>
    <w:p w14:paraId="38512A9D" w14:textId="0A377B40" w:rsidR="00126128" w:rsidRDefault="0078150B">
      <w:pPr>
        <w:spacing w:after="240"/>
        <w:rPr>
          <w:b/>
        </w:rPr>
      </w:pPr>
      <w:r>
        <w:rPr>
          <w:b/>
        </w:rPr>
        <w:t xml:space="preserve">Table S1: Formulae used to calculate Minimum number of Animal Units (MAU) and Minimum Number of Individuals (MNI). </w:t>
      </w:r>
      <w:r>
        <w:t>n=Minimum Number of skeletal Elements (MNE). The count of the most common zone for each bone was used as the MNE.</w:t>
      </w:r>
    </w:p>
    <w:tbl>
      <w:tblPr>
        <w:tblStyle w:val="af9"/>
        <w:tblW w:w="8235" w:type="dxa"/>
        <w:tblBorders>
          <w:top w:val="nil"/>
          <w:left w:val="nil"/>
          <w:bottom w:val="nil"/>
          <w:right w:val="nil"/>
          <w:insideH w:val="nil"/>
          <w:insideV w:val="nil"/>
        </w:tblBorders>
        <w:tblLayout w:type="fixed"/>
        <w:tblLook w:val="0600" w:firstRow="0" w:lastRow="0" w:firstColumn="0" w:lastColumn="0" w:noHBand="1" w:noVBand="1"/>
      </w:tblPr>
      <w:tblGrid>
        <w:gridCol w:w="2775"/>
        <w:gridCol w:w="5460"/>
      </w:tblGrid>
      <w:tr w:rsidR="00126128" w14:paraId="09DFB536" w14:textId="77777777">
        <w:trPr>
          <w:trHeight w:val="285"/>
        </w:trPr>
        <w:tc>
          <w:tcPr>
            <w:tcW w:w="2775" w:type="dxa"/>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bottom"/>
          </w:tcPr>
          <w:p w14:paraId="1CDC90BE" w14:textId="77777777" w:rsidR="00126128" w:rsidRDefault="0078150B">
            <w:pPr>
              <w:spacing w:line="240" w:lineRule="auto"/>
              <w:jc w:val="center"/>
              <w:rPr>
                <w:b/>
              </w:rPr>
            </w:pPr>
            <w:r>
              <w:rPr>
                <w:b/>
              </w:rPr>
              <w:lastRenderedPageBreak/>
              <w:t>Element</w:t>
            </w:r>
          </w:p>
        </w:tc>
        <w:tc>
          <w:tcPr>
            <w:tcW w:w="5460" w:type="dxa"/>
            <w:tcBorders>
              <w:top w:val="single" w:sz="6" w:space="0" w:color="000000"/>
              <w:left w:val="nil"/>
              <w:bottom w:val="single" w:sz="6" w:space="0" w:color="000000"/>
              <w:right w:val="single" w:sz="6" w:space="0" w:color="000000"/>
            </w:tcBorders>
            <w:shd w:val="clear" w:color="auto" w:fill="F2F2F2"/>
            <w:tcMar>
              <w:top w:w="0" w:type="dxa"/>
              <w:left w:w="100" w:type="dxa"/>
              <w:bottom w:w="0" w:type="dxa"/>
              <w:right w:w="100" w:type="dxa"/>
            </w:tcMar>
            <w:vAlign w:val="bottom"/>
          </w:tcPr>
          <w:p w14:paraId="54A99C58" w14:textId="77777777" w:rsidR="00126128" w:rsidRDefault="0078150B">
            <w:pPr>
              <w:spacing w:line="240" w:lineRule="auto"/>
              <w:jc w:val="center"/>
              <w:rPr>
                <w:b/>
              </w:rPr>
            </w:pPr>
            <w:r>
              <w:rPr>
                <w:b/>
              </w:rPr>
              <w:t>Calculation</w:t>
            </w:r>
          </w:p>
        </w:tc>
      </w:tr>
      <w:tr w:rsidR="00126128" w14:paraId="40CFFF05" w14:textId="77777777">
        <w:trPr>
          <w:trHeight w:val="285"/>
        </w:trPr>
        <w:tc>
          <w:tcPr>
            <w:tcW w:w="2775" w:type="dxa"/>
            <w:tcBorders>
              <w:top w:val="nil"/>
              <w:left w:val="single" w:sz="6" w:space="0" w:color="000000"/>
              <w:bottom w:val="nil"/>
              <w:right w:val="nil"/>
            </w:tcBorders>
            <w:tcMar>
              <w:top w:w="0" w:type="dxa"/>
              <w:left w:w="100" w:type="dxa"/>
              <w:bottom w:w="0" w:type="dxa"/>
              <w:right w:w="100" w:type="dxa"/>
            </w:tcMar>
            <w:vAlign w:val="bottom"/>
          </w:tcPr>
          <w:p w14:paraId="663798E7" w14:textId="77777777" w:rsidR="00126128" w:rsidRDefault="0078150B">
            <w:pPr>
              <w:spacing w:line="240" w:lineRule="auto"/>
              <w:rPr>
                <w:b/>
              </w:rPr>
            </w:pPr>
            <w:r>
              <w:rPr>
                <w:b/>
              </w:rPr>
              <w:t>Upper or lower incisors</w:t>
            </w:r>
          </w:p>
        </w:tc>
        <w:tc>
          <w:tcPr>
            <w:tcW w:w="5460" w:type="dxa"/>
            <w:tcBorders>
              <w:top w:val="nil"/>
              <w:left w:val="single" w:sz="6" w:space="0" w:color="000000"/>
              <w:bottom w:val="nil"/>
              <w:right w:val="single" w:sz="6" w:space="0" w:color="000000"/>
            </w:tcBorders>
            <w:tcMar>
              <w:top w:w="0" w:type="dxa"/>
              <w:left w:w="100" w:type="dxa"/>
              <w:bottom w:w="0" w:type="dxa"/>
              <w:right w:w="100" w:type="dxa"/>
            </w:tcMar>
            <w:vAlign w:val="bottom"/>
          </w:tcPr>
          <w:p w14:paraId="7DF1D046" w14:textId="77777777" w:rsidR="00126128" w:rsidRDefault="0078150B">
            <w:pPr>
              <w:spacing w:line="240" w:lineRule="auto"/>
            </w:pPr>
            <w:r>
              <w:t>Bos and Ovis/Capra = n/8</w:t>
            </w:r>
          </w:p>
        </w:tc>
      </w:tr>
      <w:tr w:rsidR="00126128" w14:paraId="7648F839" w14:textId="77777777">
        <w:trPr>
          <w:trHeight w:val="285"/>
        </w:trPr>
        <w:tc>
          <w:tcPr>
            <w:tcW w:w="2775" w:type="dxa"/>
            <w:tcBorders>
              <w:top w:val="nil"/>
              <w:left w:val="single" w:sz="6" w:space="0" w:color="000000"/>
              <w:bottom w:val="single" w:sz="6" w:space="0" w:color="000000"/>
              <w:right w:val="nil"/>
            </w:tcBorders>
            <w:tcMar>
              <w:top w:w="0" w:type="dxa"/>
              <w:left w:w="100" w:type="dxa"/>
              <w:bottom w:w="0" w:type="dxa"/>
              <w:right w:w="100" w:type="dxa"/>
            </w:tcMar>
            <w:vAlign w:val="bottom"/>
          </w:tcPr>
          <w:p w14:paraId="06774ABF" w14:textId="77777777" w:rsidR="00126128" w:rsidRDefault="0078150B">
            <w:pPr>
              <w:spacing w:line="240" w:lineRule="auto"/>
              <w:rPr>
                <w:b/>
              </w:rPr>
            </w:pPr>
            <w:r>
              <w:rPr>
                <w:b/>
              </w:rPr>
              <w:t xml:space="preserve"> </w:t>
            </w:r>
          </w:p>
        </w:tc>
        <w:tc>
          <w:tcPr>
            <w:tcW w:w="546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14:paraId="297B3264" w14:textId="77777777" w:rsidR="00126128" w:rsidRDefault="0078150B">
            <w:pPr>
              <w:spacing w:line="240" w:lineRule="auto"/>
            </w:pPr>
            <w:r>
              <w:t>Sus, Canis and Ursus = n/6</w:t>
            </w:r>
          </w:p>
        </w:tc>
      </w:tr>
      <w:tr w:rsidR="00126128" w14:paraId="77939EF2" w14:textId="77777777">
        <w:trPr>
          <w:trHeight w:val="285"/>
        </w:trPr>
        <w:tc>
          <w:tcPr>
            <w:tcW w:w="2775" w:type="dxa"/>
            <w:tcBorders>
              <w:top w:val="nil"/>
              <w:left w:val="single" w:sz="6" w:space="0" w:color="000000"/>
              <w:bottom w:val="nil"/>
              <w:right w:val="nil"/>
            </w:tcBorders>
            <w:tcMar>
              <w:top w:w="0" w:type="dxa"/>
              <w:left w:w="100" w:type="dxa"/>
              <w:bottom w:w="0" w:type="dxa"/>
              <w:right w:w="100" w:type="dxa"/>
            </w:tcMar>
            <w:vAlign w:val="bottom"/>
          </w:tcPr>
          <w:p w14:paraId="68679100" w14:textId="77777777" w:rsidR="00126128" w:rsidRDefault="0078150B">
            <w:pPr>
              <w:spacing w:line="240" w:lineRule="auto"/>
              <w:rPr>
                <w:b/>
              </w:rPr>
            </w:pPr>
            <w:r>
              <w:rPr>
                <w:b/>
              </w:rPr>
              <w:t>Unidentified incisors</w:t>
            </w:r>
          </w:p>
        </w:tc>
        <w:tc>
          <w:tcPr>
            <w:tcW w:w="5460" w:type="dxa"/>
            <w:tcBorders>
              <w:top w:val="nil"/>
              <w:left w:val="single" w:sz="6" w:space="0" w:color="000000"/>
              <w:bottom w:val="nil"/>
              <w:right w:val="single" w:sz="6" w:space="0" w:color="000000"/>
            </w:tcBorders>
            <w:tcMar>
              <w:top w:w="0" w:type="dxa"/>
              <w:left w:w="100" w:type="dxa"/>
              <w:bottom w:w="0" w:type="dxa"/>
              <w:right w:w="100" w:type="dxa"/>
            </w:tcMar>
            <w:vAlign w:val="bottom"/>
          </w:tcPr>
          <w:p w14:paraId="68329539" w14:textId="77777777" w:rsidR="00126128" w:rsidRDefault="0078150B">
            <w:pPr>
              <w:spacing w:line="240" w:lineRule="auto"/>
            </w:pPr>
            <w:r>
              <w:t>Bos and Ovis/Capra = n/8</w:t>
            </w:r>
          </w:p>
        </w:tc>
      </w:tr>
      <w:tr w:rsidR="00126128" w14:paraId="6CD94C04" w14:textId="77777777">
        <w:trPr>
          <w:trHeight w:val="285"/>
        </w:trPr>
        <w:tc>
          <w:tcPr>
            <w:tcW w:w="2775" w:type="dxa"/>
            <w:tcBorders>
              <w:top w:val="nil"/>
              <w:left w:val="single" w:sz="6" w:space="0" w:color="000000"/>
              <w:bottom w:val="single" w:sz="6" w:space="0" w:color="000000"/>
              <w:right w:val="nil"/>
            </w:tcBorders>
            <w:tcMar>
              <w:top w:w="0" w:type="dxa"/>
              <w:left w:w="100" w:type="dxa"/>
              <w:bottom w:w="0" w:type="dxa"/>
              <w:right w:w="100" w:type="dxa"/>
            </w:tcMar>
            <w:vAlign w:val="bottom"/>
          </w:tcPr>
          <w:p w14:paraId="754591B0" w14:textId="77777777" w:rsidR="00126128" w:rsidRDefault="0078150B">
            <w:pPr>
              <w:spacing w:line="240" w:lineRule="auto"/>
              <w:rPr>
                <w:b/>
              </w:rPr>
            </w:pPr>
            <w:r>
              <w:rPr>
                <w:b/>
              </w:rPr>
              <w:t xml:space="preserve"> </w:t>
            </w:r>
          </w:p>
        </w:tc>
        <w:tc>
          <w:tcPr>
            <w:tcW w:w="546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14:paraId="08F2FCCF" w14:textId="77777777" w:rsidR="00126128" w:rsidRDefault="0078150B">
            <w:pPr>
              <w:spacing w:line="240" w:lineRule="auto"/>
            </w:pPr>
            <w:r>
              <w:t>Sus, Canis and Ursus = n/12</w:t>
            </w:r>
          </w:p>
        </w:tc>
      </w:tr>
      <w:tr w:rsidR="00126128" w14:paraId="2DE06EDA" w14:textId="77777777">
        <w:trPr>
          <w:trHeight w:val="285"/>
        </w:trPr>
        <w:tc>
          <w:tcPr>
            <w:tcW w:w="277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14:paraId="674625D8" w14:textId="77777777" w:rsidR="00126128" w:rsidRDefault="0078150B">
            <w:pPr>
              <w:spacing w:line="240" w:lineRule="auto"/>
              <w:rPr>
                <w:b/>
              </w:rPr>
            </w:pPr>
            <w:r>
              <w:rPr>
                <w:b/>
              </w:rPr>
              <w:t>Premolars</w:t>
            </w:r>
          </w:p>
        </w:tc>
        <w:tc>
          <w:tcPr>
            <w:tcW w:w="5460" w:type="dxa"/>
            <w:tcBorders>
              <w:top w:val="nil"/>
              <w:left w:val="nil"/>
              <w:bottom w:val="single" w:sz="6" w:space="0" w:color="000000"/>
              <w:right w:val="single" w:sz="6" w:space="0" w:color="000000"/>
            </w:tcBorders>
            <w:tcMar>
              <w:top w:w="0" w:type="dxa"/>
              <w:left w:w="100" w:type="dxa"/>
              <w:bottom w:w="0" w:type="dxa"/>
              <w:right w:w="100" w:type="dxa"/>
            </w:tcMar>
            <w:vAlign w:val="bottom"/>
          </w:tcPr>
          <w:p w14:paraId="0926BAFF" w14:textId="77777777" w:rsidR="00126128" w:rsidRDefault="0078150B">
            <w:pPr>
              <w:spacing w:line="240" w:lineRule="auto"/>
            </w:pPr>
            <w:r>
              <w:t>n/6</w:t>
            </w:r>
          </w:p>
        </w:tc>
      </w:tr>
      <w:tr w:rsidR="00126128" w14:paraId="7CA9DC46" w14:textId="77777777">
        <w:trPr>
          <w:trHeight w:val="285"/>
        </w:trPr>
        <w:tc>
          <w:tcPr>
            <w:tcW w:w="277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14:paraId="16096D1A" w14:textId="77777777" w:rsidR="00126128" w:rsidRDefault="0078150B">
            <w:pPr>
              <w:spacing w:line="240" w:lineRule="auto"/>
              <w:rPr>
                <w:b/>
              </w:rPr>
            </w:pPr>
            <w:r>
              <w:rPr>
                <w:b/>
              </w:rPr>
              <w:t>P/M</w:t>
            </w:r>
          </w:p>
        </w:tc>
        <w:tc>
          <w:tcPr>
            <w:tcW w:w="5460" w:type="dxa"/>
            <w:tcBorders>
              <w:top w:val="nil"/>
              <w:left w:val="nil"/>
              <w:bottom w:val="single" w:sz="6" w:space="0" w:color="000000"/>
              <w:right w:val="single" w:sz="6" w:space="0" w:color="000000"/>
            </w:tcBorders>
            <w:tcMar>
              <w:top w:w="0" w:type="dxa"/>
              <w:left w:w="100" w:type="dxa"/>
              <w:bottom w:w="0" w:type="dxa"/>
              <w:right w:w="100" w:type="dxa"/>
            </w:tcMar>
            <w:vAlign w:val="bottom"/>
          </w:tcPr>
          <w:p w14:paraId="02AB3200" w14:textId="77777777" w:rsidR="00126128" w:rsidRDefault="0078150B">
            <w:pPr>
              <w:spacing w:line="240" w:lineRule="auto"/>
            </w:pPr>
            <w:r>
              <w:t>n/12</w:t>
            </w:r>
          </w:p>
        </w:tc>
      </w:tr>
      <w:tr w:rsidR="00126128" w14:paraId="0CC433E9" w14:textId="77777777">
        <w:trPr>
          <w:trHeight w:val="285"/>
        </w:trPr>
        <w:tc>
          <w:tcPr>
            <w:tcW w:w="277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14:paraId="1B746511" w14:textId="77777777" w:rsidR="00126128" w:rsidRDefault="0078150B">
            <w:pPr>
              <w:spacing w:line="240" w:lineRule="auto"/>
              <w:rPr>
                <w:b/>
              </w:rPr>
            </w:pPr>
            <w:r>
              <w:rPr>
                <w:b/>
              </w:rPr>
              <w:t>M1/2</w:t>
            </w:r>
          </w:p>
        </w:tc>
        <w:tc>
          <w:tcPr>
            <w:tcW w:w="5460" w:type="dxa"/>
            <w:tcBorders>
              <w:top w:val="nil"/>
              <w:left w:val="nil"/>
              <w:bottom w:val="single" w:sz="6" w:space="0" w:color="000000"/>
              <w:right w:val="single" w:sz="6" w:space="0" w:color="000000"/>
            </w:tcBorders>
            <w:tcMar>
              <w:top w:w="0" w:type="dxa"/>
              <w:left w:w="100" w:type="dxa"/>
              <w:bottom w:w="0" w:type="dxa"/>
              <w:right w:w="100" w:type="dxa"/>
            </w:tcMar>
            <w:vAlign w:val="bottom"/>
          </w:tcPr>
          <w:p w14:paraId="5B55FC7D" w14:textId="77777777" w:rsidR="00126128" w:rsidRDefault="0078150B">
            <w:pPr>
              <w:spacing w:line="240" w:lineRule="auto"/>
            </w:pPr>
            <w:r>
              <w:t>n/4</w:t>
            </w:r>
          </w:p>
        </w:tc>
      </w:tr>
      <w:tr w:rsidR="00126128" w14:paraId="6CF5E456" w14:textId="77777777">
        <w:trPr>
          <w:trHeight w:val="285"/>
        </w:trPr>
        <w:tc>
          <w:tcPr>
            <w:tcW w:w="2775" w:type="dxa"/>
            <w:tcBorders>
              <w:top w:val="nil"/>
              <w:left w:val="single" w:sz="6" w:space="0" w:color="000000"/>
              <w:bottom w:val="nil"/>
              <w:right w:val="single" w:sz="6" w:space="0" w:color="000000"/>
            </w:tcBorders>
            <w:tcMar>
              <w:top w:w="0" w:type="dxa"/>
              <w:left w:w="100" w:type="dxa"/>
              <w:bottom w:w="0" w:type="dxa"/>
              <w:right w:w="100" w:type="dxa"/>
            </w:tcMar>
            <w:vAlign w:val="bottom"/>
          </w:tcPr>
          <w:p w14:paraId="5E0825B8" w14:textId="77777777" w:rsidR="00126128" w:rsidRDefault="0078150B">
            <w:pPr>
              <w:spacing w:line="240" w:lineRule="auto"/>
              <w:rPr>
                <w:b/>
              </w:rPr>
            </w:pPr>
            <w:r>
              <w:rPr>
                <w:b/>
              </w:rPr>
              <w:t>M3</w:t>
            </w:r>
          </w:p>
        </w:tc>
        <w:tc>
          <w:tcPr>
            <w:tcW w:w="5460" w:type="dxa"/>
            <w:tcBorders>
              <w:top w:val="nil"/>
              <w:left w:val="nil"/>
              <w:bottom w:val="nil"/>
              <w:right w:val="single" w:sz="6" w:space="0" w:color="000000"/>
            </w:tcBorders>
            <w:tcMar>
              <w:top w:w="0" w:type="dxa"/>
              <w:left w:w="100" w:type="dxa"/>
              <w:bottom w:w="0" w:type="dxa"/>
              <w:right w:w="100" w:type="dxa"/>
            </w:tcMar>
            <w:vAlign w:val="bottom"/>
          </w:tcPr>
          <w:p w14:paraId="799BE6E5" w14:textId="77777777" w:rsidR="00126128" w:rsidRDefault="0078150B">
            <w:pPr>
              <w:spacing w:line="240" w:lineRule="auto"/>
            </w:pPr>
            <w:r>
              <w:t>n/2</w:t>
            </w:r>
          </w:p>
        </w:tc>
      </w:tr>
      <w:tr w:rsidR="00126128" w14:paraId="401B939A" w14:textId="77777777">
        <w:trPr>
          <w:trHeight w:val="285"/>
        </w:trPr>
        <w:tc>
          <w:tcPr>
            <w:tcW w:w="2775" w:type="dxa"/>
            <w:tcBorders>
              <w:top w:val="single" w:sz="6" w:space="0" w:color="000000"/>
              <w:left w:val="single" w:sz="6" w:space="0" w:color="000000"/>
              <w:bottom w:val="nil"/>
              <w:right w:val="nil"/>
            </w:tcBorders>
            <w:tcMar>
              <w:top w:w="0" w:type="dxa"/>
              <w:left w:w="100" w:type="dxa"/>
              <w:bottom w:w="0" w:type="dxa"/>
              <w:right w:w="100" w:type="dxa"/>
            </w:tcMar>
            <w:vAlign w:val="bottom"/>
          </w:tcPr>
          <w:p w14:paraId="3045AEE7" w14:textId="77777777" w:rsidR="00126128" w:rsidRDefault="0078150B">
            <w:pPr>
              <w:spacing w:line="240" w:lineRule="auto"/>
              <w:rPr>
                <w:b/>
              </w:rPr>
            </w:pPr>
            <w:r>
              <w:rPr>
                <w:b/>
              </w:rPr>
              <w:t>Phalanges</w:t>
            </w:r>
          </w:p>
        </w:tc>
        <w:tc>
          <w:tcPr>
            <w:tcW w:w="5460" w:type="dxa"/>
            <w:tcBorders>
              <w:top w:val="single" w:sz="6" w:space="0" w:color="000000"/>
              <w:left w:val="single" w:sz="6" w:space="0" w:color="000000"/>
              <w:bottom w:val="nil"/>
              <w:right w:val="single" w:sz="6" w:space="0" w:color="000000"/>
            </w:tcBorders>
            <w:tcMar>
              <w:top w:w="0" w:type="dxa"/>
              <w:left w:w="100" w:type="dxa"/>
              <w:bottom w:w="0" w:type="dxa"/>
              <w:right w:w="100" w:type="dxa"/>
            </w:tcMar>
            <w:vAlign w:val="bottom"/>
          </w:tcPr>
          <w:p w14:paraId="7C53B0E7" w14:textId="77777777" w:rsidR="00126128" w:rsidRPr="006E0E10" w:rsidRDefault="0078150B">
            <w:pPr>
              <w:spacing w:line="240" w:lineRule="auto"/>
              <w:rPr>
                <w:lang w:val="es-ES"/>
              </w:rPr>
            </w:pPr>
            <w:r w:rsidRPr="006E0E10">
              <w:rPr>
                <w:lang w:val="es-ES"/>
              </w:rPr>
              <w:t>Bos, Ovis/Capra, Sus = n/8</w:t>
            </w:r>
          </w:p>
          <w:p w14:paraId="31B677B8" w14:textId="77777777" w:rsidR="00126128" w:rsidRDefault="0078150B">
            <w:pPr>
              <w:spacing w:line="240" w:lineRule="auto"/>
            </w:pPr>
            <w:r>
              <w:t>Ursus = n/10</w:t>
            </w:r>
          </w:p>
        </w:tc>
      </w:tr>
      <w:tr w:rsidR="00126128" w14:paraId="271143C1" w14:textId="77777777">
        <w:trPr>
          <w:trHeight w:val="285"/>
        </w:trPr>
        <w:tc>
          <w:tcPr>
            <w:tcW w:w="2775" w:type="dxa"/>
            <w:tcBorders>
              <w:top w:val="nil"/>
              <w:left w:val="single" w:sz="6" w:space="0" w:color="000000"/>
              <w:bottom w:val="single" w:sz="6" w:space="0" w:color="000000"/>
              <w:right w:val="nil"/>
            </w:tcBorders>
            <w:tcMar>
              <w:top w:w="0" w:type="dxa"/>
              <w:left w:w="100" w:type="dxa"/>
              <w:bottom w:w="0" w:type="dxa"/>
              <w:right w:w="100" w:type="dxa"/>
            </w:tcMar>
            <w:vAlign w:val="bottom"/>
          </w:tcPr>
          <w:p w14:paraId="7CFA58E7" w14:textId="77777777" w:rsidR="00126128" w:rsidRDefault="0078150B">
            <w:pPr>
              <w:spacing w:line="240" w:lineRule="auto"/>
              <w:rPr>
                <w:b/>
              </w:rPr>
            </w:pPr>
            <w:r>
              <w:rPr>
                <w:b/>
              </w:rPr>
              <w:t xml:space="preserve"> </w:t>
            </w:r>
          </w:p>
        </w:tc>
        <w:tc>
          <w:tcPr>
            <w:tcW w:w="546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14:paraId="2B318D94" w14:textId="77777777" w:rsidR="00126128" w:rsidRDefault="0078150B">
            <w:pPr>
              <w:spacing w:line="240" w:lineRule="auto"/>
            </w:pPr>
            <w:r>
              <w:t>Horse = n/4</w:t>
            </w:r>
          </w:p>
        </w:tc>
      </w:tr>
      <w:tr w:rsidR="00126128" w14:paraId="2242BF25" w14:textId="77777777">
        <w:trPr>
          <w:trHeight w:val="285"/>
        </w:trPr>
        <w:tc>
          <w:tcPr>
            <w:tcW w:w="2775" w:type="dxa"/>
            <w:tcBorders>
              <w:top w:val="nil"/>
              <w:left w:val="single" w:sz="6" w:space="0" w:color="000000"/>
              <w:bottom w:val="nil"/>
              <w:right w:val="nil"/>
            </w:tcBorders>
            <w:tcMar>
              <w:top w:w="0" w:type="dxa"/>
              <w:left w:w="100" w:type="dxa"/>
              <w:bottom w:w="0" w:type="dxa"/>
              <w:right w:w="100" w:type="dxa"/>
            </w:tcMar>
            <w:vAlign w:val="bottom"/>
          </w:tcPr>
          <w:p w14:paraId="5C61068C" w14:textId="77777777" w:rsidR="00126128" w:rsidRDefault="0078150B">
            <w:pPr>
              <w:spacing w:line="240" w:lineRule="auto"/>
              <w:rPr>
                <w:b/>
              </w:rPr>
            </w:pPr>
            <w:r>
              <w:rPr>
                <w:b/>
              </w:rPr>
              <w:t>Atlas/axis</w:t>
            </w:r>
          </w:p>
        </w:tc>
        <w:tc>
          <w:tcPr>
            <w:tcW w:w="5460" w:type="dxa"/>
            <w:tcBorders>
              <w:top w:val="nil"/>
              <w:left w:val="single" w:sz="6" w:space="0" w:color="000000"/>
              <w:bottom w:val="nil"/>
              <w:right w:val="single" w:sz="6" w:space="0" w:color="000000"/>
            </w:tcBorders>
            <w:tcMar>
              <w:top w:w="0" w:type="dxa"/>
              <w:left w:w="100" w:type="dxa"/>
              <w:bottom w:w="0" w:type="dxa"/>
              <w:right w:w="100" w:type="dxa"/>
            </w:tcMar>
            <w:vAlign w:val="bottom"/>
          </w:tcPr>
          <w:p w14:paraId="114514FC" w14:textId="77777777" w:rsidR="00126128" w:rsidRDefault="0078150B">
            <w:pPr>
              <w:spacing w:line="240" w:lineRule="auto"/>
            </w:pPr>
            <w:r>
              <w:t>n/1</w:t>
            </w:r>
          </w:p>
        </w:tc>
      </w:tr>
      <w:tr w:rsidR="00126128" w14:paraId="46EECDDF" w14:textId="77777777">
        <w:trPr>
          <w:trHeight w:val="285"/>
        </w:trPr>
        <w:tc>
          <w:tcPr>
            <w:tcW w:w="2775" w:type="dxa"/>
            <w:tcBorders>
              <w:top w:val="single" w:sz="6" w:space="0" w:color="000000"/>
              <w:left w:val="single" w:sz="6" w:space="0" w:color="000000"/>
              <w:bottom w:val="nil"/>
              <w:right w:val="nil"/>
            </w:tcBorders>
            <w:tcMar>
              <w:top w:w="0" w:type="dxa"/>
              <w:left w:w="100" w:type="dxa"/>
              <w:bottom w:w="0" w:type="dxa"/>
              <w:right w:w="100" w:type="dxa"/>
            </w:tcMar>
            <w:vAlign w:val="bottom"/>
          </w:tcPr>
          <w:p w14:paraId="75ABBFBC" w14:textId="77777777" w:rsidR="00126128" w:rsidRDefault="0078150B">
            <w:pPr>
              <w:spacing w:line="240" w:lineRule="auto"/>
              <w:rPr>
                <w:b/>
              </w:rPr>
            </w:pPr>
            <w:r>
              <w:rPr>
                <w:b/>
              </w:rPr>
              <w:t>Metapodials</w:t>
            </w:r>
          </w:p>
        </w:tc>
        <w:tc>
          <w:tcPr>
            <w:tcW w:w="5460" w:type="dxa"/>
            <w:tcBorders>
              <w:top w:val="single" w:sz="6" w:space="0" w:color="000000"/>
              <w:left w:val="single" w:sz="6" w:space="0" w:color="000000"/>
              <w:bottom w:val="nil"/>
              <w:right w:val="single" w:sz="6" w:space="0" w:color="000000"/>
            </w:tcBorders>
            <w:tcMar>
              <w:top w:w="0" w:type="dxa"/>
              <w:left w:w="100" w:type="dxa"/>
              <w:bottom w:w="0" w:type="dxa"/>
              <w:right w:w="100" w:type="dxa"/>
            </w:tcMar>
            <w:vAlign w:val="bottom"/>
          </w:tcPr>
          <w:p w14:paraId="58E79292" w14:textId="77777777" w:rsidR="00126128" w:rsidRDefault="0078150B">
            <w:pPr>
              <w:spacing w:line="240" w:lineRule="auto"/>
            </w:pPr>
            <w:r>
              <w:t xml:space="preserve"> </w:t>
            </w:r>
          </w:p>
        </w:tc>
      </w:tr>
      <w:tr w:rsidR="00126128" w:rsidRPr="005806F4" w14:paraId="1FDF7454" w14:textId="77777777">
        <w:trPr>
          <w:trHeight w:val="540"/>
        </w:trPr>
        <w:tc>
          <w:tcPr>
            <w:tcW w:w="2775" w:type="dxa"/>
            <w:tcBorders>
              <w:top w:val="nil"/>
              <w:left w:val="single" w:sz="6" w:space="0" w:color="000000"/>
              <w:bottom w:val="nil"/>
              <w:right w:val="nil"/>
            </w:tcBorders>
            <w:tcMar>
              <w:top w:w="0" w:type="dxa"/>
              <w:left w:w="100" w:type="dxa"/>
              <w:bottom w:w="0" w:type="dxa"/>
              <w:right w:w="100" w:type="dxa"/>
            </w:tcMar>
            <w:vAlign w:val="bottom"/>
          </w:tcPr>
          <w:p w14:paraId="525CADE4" w14:textId="77777777" w:rsidR="00126128" w:rsidRDefault="0078150B">
            <w:pPr>
              <w:spacing w:line="240" w:lineRule="auto"/>
            </w:pPr>
            <w:r>
              <w:t>Metacarpal</w:t>
            </w:r>
          </w:p>
        </w:tc>
        <w:tc>
          <w:tcPr>
            <w:tcW w:w="5460" w:type="dxa"/>
            <w:tcBorders>
              <w:top w:val="nil"/>
              <w:left w:val="single" w:sz="6" w:space="0" w:color="000000"/>
              <w:bottom w:val="nil"/>
              <w:right w:val="single" w:sz="6" w:space="0" w:color="000000"/>
            </w:tcBorders>
            <w:tcMar>
              <w:top w:w="0" w:type="dxa"/>
              <w:left w:w="100" w:type="dxa"/>
              <w:bottom w:w="0" w:type="dxa"/>
              <w:right w:w="100" w:type="dxa"/>
            </w:tcMar>
            <w:vAlign w:val="bottom"/>
          </w:tcPr>
          <w:p w14:paraId="4887E16A" w14:textId="77777777" w:rsidR="00126128" w:rsidRPr="005806F4" w:rsidRDefault="0078150B">
            <w:pPr>
              <w:spacing w:line="240" w:lineRule="auto"/>
              <w:rPr>
                <w:lang w:val="pt-PT"/>
              </w:rPr>
            </w:pPr>
            <w:r w:rsidRPr="005806F4">
              <w:rPr>
                <w:lang w:val="pt-PT"/>
              </w:rPr>
              <w:t>Bos and Ovis/Capra = n/2; n=(MC1=MC2/2)</w:t>
            </w:r>
          </w:p>
        </w:tc>
      </w:tr>
      <w:tr w:rsidR="00126128" w:rsidRPr="005806F4" w14:paraId="5FBA24C0" w14:textId="77777777">
        <w:trPr>
          <w:trHeight w:val="285"/>
        </w:trPr>
        <w:tc>
          <w:tcPr>
            <w:tcW w:w="2775" w:type="dxa"/>
            <w:tcBorders>
              <w:top w:val="nil"/>
              <w:left w:val="single" w:sz="6" w:space="0" w:color="000000"/>
              <w:bottom w:val="nil"/>
              <w:right w:val="nil"/>
            </w:tcBorders>
            <w:tcMar>
              <w:top w:w="0" w:type="dxa"/>
              <w:left w:w="100" w:type="dxa"/>
              <w:bottom w:w="0" w:type="dxa"/>
              <w:right w:w="100" w:type="dxa"/>
            </w:tcMar>
            <w:vAlign w:val="bottom"/>
          </w:tcPr>
          <w:p w14:paraId="5A7E85AB" w14:textId="77777777" w:rsidR="00126128" w:rsidRPr="005806F4" w:rsidRDefault="0078150B">
            <w:pPr>
              <w:spacing w:line="240" w:lineRule="auto"/>
              <w:rPr>
                <w:lang w:val="pt-PT"/>
              </w:rPr>
            </w:pPr>
            <w:r w:rsidRPr="005806F4">
              <w:rPr>
                <w:lang w:val="pt-PT"/>
              </w:rPr>
              <w:t xml:space="preserve"> </w:t>
            </w:r>
          </w:p>
        </w:tc>
        <w:tc>
          <w:tcPr>
            <w:tcW w:w="5460" w:type="dxa"/>
            <w:tcBorders>
              <w:top w:val="nil"/>
              <w:left w:val="single" w:sz="6" w:space="0" w:color="000000"/>
              <w:bottom w:val="nil"/>
              <w:right w:val="single" w:sz="6" w:space="0" w:color="000000"/>
            </w:tcBorders>
            <w:tcMar>
              <w:top w:w="0" w:type="dxa"/>
              <w:left w:w="100" w:type="dxa"/>
              <w:bottom w:w="0" w:type="dxa"/>
              <w:right w:w="100" w:type="dxa"/>
            </w:tcMar>
            <w:vAlign w:val="bottom"/>
          </w:tcPr>
          <w:p w14:paraId="42DAD214" w14:textId="77777777" w:rsidR="00126128" w:rsidRPr="005806F4" w:rsidRDefault="0078150B">
            <w:pPr>
              <w:spacing w:line="240" w:lineRule="auto"/>
              <w:rPr>
                <w:lang w:val="pt-PT"/>
              </w:rPr>
            </w:pPr>
            <w:r w:rsidRPr="005806F4">
              <w:rPr>
                <w:lang w:val="pt-PT"/>
              </w:rPr>
              <w:t>Sus, Canis and Ursus = n/2; n = (MCIII+MCIV/2 + MP/4)</w:t>
            </w:r>
          </w:p>
        </w:tc>
      </w:tr>
      <w:tr w:rsidR="00126128" w:rsidRPr="005806F4" w14:paraId="1C0CE798" w14:textId="77777777">
        <w:trPr>
          <w:trHeight w:val="285"/>
        </w:trPr>
        <w:tc>
          <w:tcPr>
            <w:tcW w:w="2775" w:type="dxa"/>
            <w:tcBorders>
              <w:top w:val="nil"/>
              <w:left w:val="single" w:sz="6" w:space="0" w:color="000000"/>
              <w:bottom w:val="nil"/>
              <w:right w:val="nil"/>
            </w:tcBorders>
            <w:tcMar>
              <w:top w:w="0" w:type="dxa"/>
              <w:left w:w="100" w:type="dxa"/>
              <w:bottom w:w="0" w:type="dxa"/>
              <w:right w:w="100" w:type="dxa"/>
            </w:tcMar>
            <w:vAlign w:val="bottom"/>
          </w:tcPr>
          <w:p w14:paraId="0320D1A4" w14:textId="77777777" w:rsidR="00126128" w:rsidRDefault="0078150B">
            <w:pPr>
              <w:spacing w:line="240" w:lineRule="auto"/>
            </w:pPr>
            <w:r>
              <w:t>Metatarsal</w:t>
            </w:r>
          </w:p>
        </w:tc>
        <w:tc>
          <w:tcPr>
            <w:tcW w:w="5460" w:type="dxa"/>
            <w:tcBorders>
              <w:top w:val="nil"/>
              <w:left w:val="single" w:sz="6" w:space="0" w:color="000000"/>
              <w:bottom w:val="nil"/>
              <w:right w:val="single" w:sz="6" w:space="0" w:color="000000"/>
            </w:tcBorders>
            <w:tcMar>
              <w:top w:w="0" w:type="dxa"/>
              <w:left w:w="100" w:type="dxa"/>
              <w:bottom w:w="0" w:type="dxa"/>
              <w:right w:w="100" w:type="dxa"/>
            </w:tcMar>
            <w:vAlign w:val="bottom"/>
          </w:tcPr>
          <w:p w14:paraId="1D1725AC" w14:textId="77777777" w:rsidR="00126128" w:rsidRPr="005806F4" w:rsidRDefault="0078150B">
            <w:pPr>
              <w:spacing w:line="240" w:lineRule="auto"/>
              <w:rPr>
                <w:lang w:val="pt-PT"/>
              </w:rPr>
            </w:pPr>
            <w:r w:rsidRPr="005806F4">
              <w:rPr>
                <w:lang w:val="pt-PT"/>
              </w:rPr>
              <w:t>Bos and Ovis/Capra = n/2; n=(MT1=MT2/2)</w:t>
            </w:r>
          </w:p>
        </w:tc>
      </w:tr>
      <w:tr w:rsidR="00126128" w14:paraId="54C6E5B7" w14:textId="77777777">
        <w:trPr>
          <w:trHeight w:val="285"/>
        </w:trPr>
        <w:tc>
          <w:tcPr>
            <w:tcW w:w="2775" w:type="dxa"/>
            <w:tcBorders>
              <w:top w:val="nil"/>
              <w:left w:val="single" w:sz="6" w:space="0" w:color="000000"/>
              <w:bottom w:val="nil"/>
              <w:right w:val="nil"/>
            </w:tcBorders>
            <w:tcMar>
              <w:top w:w="0" w:type="dxa"/>
              <w:left w:w="100" w:type="dxa"/>
              <w:bottom w:w="0" w:type="dxa"/>
              <w:right w:w="100" w:type="dxa"/>
            </w:tcMar>
            <w:vAlign w:val="bottom"/>
          </w:tcPr>
          <w:p w14:paraId="361D6DDD" w14:textId="77777777" w:rsidR="00126128" w:rsidRPr="005806F4" w:rsidRDefault="0078150B">
            <w:pPr>
              <w:spacing w:line="240" w:lineRule="auto"/>
              <w:rPr>
                <w:lang w:val="pt-PT"/>
              </w:rPr>
            </w:pPr>
            <w:r w:rsidRPr="005806F4">
              <w:rPr>
                <w:lang w:val="pt-PT"/>
              </w:rPr>
              <w:t xml:space="preserve"> </w:t>
            </w:r>
          </w:p>
        </w:tc>
        <w:tc>
          <w:tcPr>
            <w:tcW w:w="5460" w:type="dxa"/>
            <w:tcBorders>
              <w:top w:val="nil"/>
              <w:left w:val="single" w:sz="6" w:space="0" w:color="000000"/>
              <w:bottom w:val="nil"/>
              <w:right w:val="single" w:sz="6" w:space="0" w:color="000000"/>
            </w:tcBorders>
            <w:tcMar>
              <w:top w:w="0" w:type="dxa"/>
              <w:left w:w="100" w:type="dxa"/>
              <w:bottom w:w="0" w:type="dxa"/>
              <w:right w:w="100" w:type="dxa"/>
            </w:tcMar>
            <w:vAlign w:val="bottom"/>
          </w:tcPr>
          <w:p w14:paraId="220C813E" w14:textId="77777777" w:rsidR="00126128" w:rsidRDefault="0078150B">
            <w:pPr>
              <w:spacing w:line="240" w:lineRule="auto"/>
            </w:pPr>
            <w:r>
              <w:t>Sus, Canis and Ursus = n/2; n = (MTIII+MTIV/2 + MP/4)</w:t>
            </w:r>
          </w:p>
        </w:tc>
      </w:tr>
      <w:tr w:rsidR="00126128" w:rsidRPr="005806F4" w14:paraId="31C84F99" w14:textId="77777777">
        <w:trPr>
          <w:trHeight w:val="285"/>
        </w:trPr>
        <w:tc>
          <w:tcPr>
            <w:tcW w:w="2775" w:type="dxa"/>
            <w:tcBorders>
              <w:top w:val="nil"/>
              <w:left w:val="single" w:sz="6" w:space="0" w:color="000000"/>
              <w:bottom w:val="nil"/>
              <w:right w:val="nil"/>
            </w:tcBorders>
            <w:tcMar>
              <w:top w:w="0" w:type="dxa"/>
              <w:left w:w="100" w:type="dxa"/>
              <w:bottom w:w="0" w:type="dxa"/>
              <w:right w:w="100" w:type="dxa"/>
            </w:tcMar>
            <w:vAlign w:val="bottom"/>
          </w:tcPr>
          <w:p w14:paraId="6D676E2D" w14:textId="77777777" w:rsidR="00126128" w:rsidRDefault="0078150B">
            <w:pPr>
              <w:spacing w:line="240" w:lineRule="auto"/>
            </w:pPr>
            <w:r>
              <w:t>Metapodial</w:t>
            </w:r>
          </w:p>
        </w:tc>
        <w:tc>
          <w:tcPr>
            <w:tcW w:w="5460" w:type="dxa"/>
            <w:tcBorders>
              <w:top w:val="nil"/>
              <w:left w:val="single" w:sz="6" w:space="0" w:color="000000"/>
              <w:bottom w:val="nil"/>
              <w:right w:val="single" w:sz="6" w:space="0" w:color="000000"/>
            </w:tcBorders>
            <w:tcMar>
              <w:top w:w="0" w:type="dxa"/>
              <w:left w:w="100" w:type="dxa"/>
              <w:bottom w:w="0" w:type="dxa"/>
              <w:right w:w="100" w:type="dxa"/>
            </w:tcMar>
            <w:vAlign w:val="bottom"/>
          </w:tcPr>
          <w:p w14:paraId="33FAA63D" w14:textId="77777777" w:rsidR="00126128" w:rsidRPr="005806F4" w:rsidRDefault="0078150B">
            <w:pPr>
              <w:spacing w:line="240" w:lineRule="auto"/>
              <w:rPr>
                <w:lang w:val="pt-PT"/>
              </w:rPr>
            </w:pPr>
            <w:r w:rsidRPr="005806F4">
              <w:rPr>
                <w:lang w:val="pt-PT"/>
              </w:rPr>
              <w:t>Bos and Ovis/Capra = n/4; n=(MP1+MP2/2)</w:t>
            </w:r>
          </w:p>
        </w:tc>
      </w:tr>
      <w:tr w:rsidR="00126128" w:rsidRPr="005806F4" w14:paraId="0CC5C169" w14:textId="77777777">
        <w:trPr>
          <w:trHeight w:val="285"/>
        </w:trPr>
        <w:tc>
          <w:tcPr>
            <w:tcW w:w="2775" w:type="dxa"/>
            <w:tcBorders>
              <w:top w:val="nil"/>
              <w:left w:val="single" w:sz="6" w:space="0" w:color="000000"/>
              <w:bottom w:val="single" w:sz="6" w:space="0" w:color="000000"/>
              <w:right w:val="nil"/>
            </w:tcBorders>
            <w:tcMar>
              <w:top w:w="0" w:type="dxa"/>
              <w:left w:w="100" w:type="dxa"/>
              <w:bottom w:w="0" w:type="dxa"/>
              <w:right w:w="100" w:type="dxa"/>
            </w:tcMar>
            <w:vAlign w:val="bottom"/>
          </w:tcPr>
          <w:p w14:paraId="6CA26776" w14:textId="77777777" w:rsidR="00126128" w:rsidRPr="005806F4" w:rsidRDefault="00126128">
            <w:pPr>
              <w:spacing w:line="240" w:lineRule="auto"/>
              <w:rPr>
                <w:lang w:val="pt-PT"/>
              </w:rPr>
            </w:pPr>
          </w:p>
        </w:tc>
        <w:tc>
          <w:tcPr>
            <w:tcW w:w="546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14:paraId="2D6813A1" w14:textId="77777777" w:rsidR="00126128" w:rsidRPr="005806F4" w:rsidRDefault="00126128">
            <w:pPr>
              <w:spacing w:line="240" w:lineRule="auto"/>
              <w:rPr>
                <w:lang w:val="pt-PT"/>
              </w:rPr>
            </w:pPr>
          </w:p>
        </w:tc>
      </w:tr>
      <w:tr w:rsidR="00126128" w14:paraId="5952CBDC" w14:textId="77777777">
        <w:trPr>
          <w:trHeight w:val="285"/>
        </w:trPr>
        <w:tc>
          <w:tcPr>
            <w:tcW w:w="277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14:paraId="19999C48" w14:textId="77777777" w:rsidR="00126128" w:rsidRDefault="0078150B">
            <w:pPr>
              <w:spacing w:line="240" w:lineRule="auto"/>
              <w:rPr>
                <w:b/>
              </w:rPr>
            </w:pPr>
            <w:r>
              <w:rPr>
                <w:b/>
              </w:rPr>
              <w:t>All other body parts</w:t>
            </w:r>
          </w:p>
        </w:tc>
        <w:tc>
          <w:tcPr>
            <w:tcW w:w="5460" w:type="dxa"/>
            <w:tcBorders>
              <w:top w:val="nil"/>
              <w:left w:val="nil"/>
              <w:bottom w:val="single" w:sz="6" w:space="0" w:color="000000"/>
              <w:right w:val="single" w:sz="6" w:space="0" w:color="000000"/>
            </w:tcBorders>
            <w:tcMar>
              <w:top w:w="0" w:type="dxa"/>
              <w:left w:w="100" w:type="dxa"/>
              <w:bottom w:w="0" w:type="dxa"/>
              <w:right w:w="100" w:type="dxa"/>
            </w:tcMar>
            <w:vAlign w:val="bottom"/>
          </w:tcPr>
          <w:p w14:paraId="350D4668" w14:textId="77777777" w:rsidR="00126128" w:rsidRDefault="0078150B">
            <w:pPr>
              <w:spacing w:line="240" w:lineRule="auto"/>
            </w:pPr>
            <w:r>
              <w:t>n/2</w:t>
            </w:r>
          </w:p>
        </w:tc>
      </w:tr>
    </w:tbl>
    <w:p w14:paraId="5863AD15" w14:textId="77777777" w:rsidR="00126128" w:rsidRDefault="0078150B">
      <w:pPr>
        <w:spacing w:before="240" w:after="240"/>
        <w:rPr>
          <w:color w:val="FF0000"/>
        </w:rPr>
      </w:pPr>
      <w:r>
        <w:rPr>
          <w:color w:val="FF0000"/>
        </w:rPr>
        <w:t xml:space="preserve"> </w:t>
      </w:r>
    </w:p>
    <w:p w14:paraId="02F3E9A1" w14:textId="77777777" w:rsidR="00126128" w:rsidRDefault="0078150B">
      <w:pPr>
        <w:rPr>
          <w:i/>
        </w:rPr>
      </w:pPr>
      <w:r>
        <w:rPr>
          <w:i/>
        </w:rPr>
        <w:t>Bone modification and pathology</w:t>
      </w:r>
    </w:p>
    <w:p w14:paraId="625687A6" w14:textId="77777777" w:rsidR="00126128" w:rsidRDefault="0078150B">
      <w:pPr>
        <w:spacing w:after="240"/>
      </w:pPr>
      <w:r>
        <w:t>When present, butchery marks were recorded as ‘cuts’, ‘chops’ and ‘saw marks’ (or combinations of these). Thermally altered bones were recorded as ‘singed’ (smaller brown or black burnt patches), ‘burned’ (fully brown or black) and ‘calcined’ (burnt to white). The presence of gnawing marks by carnivores and rodents was recorded, along with all pathologies and trauma.</w:t>
      </w:r>
    </w:p>
    <w:p w14:paraId="2C9ED40F" w14:textId="77777777" w:rsidR="00126128" w:rsidRDefault="0078150B">
      <w:pPr>
        <w:rPr>
          <w:i/>
        </w:rPr>
      </w:pPr>
      <w:r>
        <w:rPr>
          <w:i/>
        </w:rPr>
        <w:lastRenderedPageBreak/>
        <w:t>Ageing</w:t>
      </w:r>
    </w:p>
    <w:p w14:paraId="643A0B61" w14:textId="77777777" w:rsidR="00126128" w:rsidRDefault="0078150B">
      <w:r>
        <w:t xml:space="preserve">Age at death was reconstructed using bone fusion and tooth eruption and wear. For fusion we used the ages given by </w:t>
      </w:r>
      <w:hyperlink r:id="rId13">
        <w:r>
          <w:t>Silver (1969</w:t>
        </w:r>
      </w:hyperlink>
      <w:r>
        <w:t xml:space="preserve">) for dog and </w:t>
      </w:r>
      <w:hyperlink r:id="rId14">
        <w:r>
          <w:t>Weinstock (2009</w:t>
        </w:r>
      </w:hyperlink>
      <w:r>
        <w:t xml:space="preserve">) for bear. Dog tooth wear was recorded causing the system described by </w:t>
      </w:r>
      <w:hyperlink r:id="rId15">
        <w:r>
          <w:t>Horard-Herbin (2000</w:t>
        </w:r>
      </w:hyperlink>
      <w:r>
        <w:t xml:space="preserve">). Very few bear teeth were available for analysis. </w:t>
      </w:r>
    </w:p>
    <w:p w14:paraId="21D37077" w14:textId="77777777" w:rsidR="00126128" w:rsidRDefault="00126128"/>
    <w:p w14:paraId="478E521B" w14:textId="77777777" w:rsidR="00126128" w:rsidRDefault="0078150B">
      <w:pPr>
        <w:rPr>
          <w:i/>
        </w:rPr>
      </w:pPr>
      <w:r>
        <w:rPr>
          <w:i/>
        </w:rPr>
        <w:t>Biometry</w:t>
      </w:r>
    </w:p>
    <w:p w14:paraId="39F0BD96" w14:textId="77777777" w:rsidR="00126128" w:rsidRDefault="0078150B">
      <w:pPr>
        <w:spacing w:after="240"/>
      </w:pPr>
      <w:r>
        <w:t xml:space="preserve">A series of measurements were taken on bones and teeth according to the criteria described by Payne and Bull (1988) and </w:t>
      </w:r>
      <w:hyperlink r:id="rId16">
        <w:r>
          <w:t>von den Driesch (1976)</w:t>
        </w:r>
      </w:hyperlink>
      <w:r>
        <w:t>. Measurements were taken with digital callipers or a measuring board, and approximated to the nearest tenth of millimetre (callipers) or millimetre (measuring board).</w:t>
      </w:r>
    </w:p>
    <w:p w14:paraId="63A5ECEC" w14:textId="77777777" w:rsidR="00126128" w:rsidRDefault="0078150B">
      <w:pPr>
        <w:spacing w:after="240"/>
      </w:pPr>
      <w:r>
        <w:t>Dog biometrical data were analysed using log ratio histograms, scatterplots and shoulder height calculations.</w:t>
      </w:r>
      <w:r>
        <w:rPr>
          <w:color w:val="FF0000"/>
        </w:rPr>
        <w:t xml:space="preserve"> </w:t>
      </w:r>
      <w:r>
        <w:t>Shoulder heights are included as much of the available comparative data for this period came in this form, but it is important to remember that shoulder height calculations are estimates and do not necessarily reflect actual size.</w:t>
      </w:r>
    </w:p>
    <w:p w14:paraId="6F7EF3DF" w14:textId="77777777" w:rsidR="00126128" w:rsidRDefault="0078150B">
      <w:pPr>
        <w:spacing w:after="240"/>
      </w:pPr>
      <w:r>
        <w:t xml:space="preserve">Measurements were analysed using a log ratio index scaling technique (Meadow 1999; Simpson </w:t>
      </w:r>
      <w:r w:rsidRPr="00A2538D">
        <w:rPr>
          <w:i/>
          <w:iCs/>
        </w:rPr>
        <w:t>et al</w:t>
      </w:r>
      <w:r>
        <w:t xml:space="preserve">. 1960). This technique involves the comparison of measurements from a dataset to that of a standard individual or population, by calculating what is known as the log size index (LSI). Through this, multiple different measurements can be combined on the same scale, and sample sizes can be enhanced. In this study a standard individual was used from the reference collection at the </w:t>
      </w:r>
      <w:r>
        <w:rPr>
          <w:i/>
        </w:rPr>
        <w:t>Tony Legge Zooarchaeology Laboratory</w:t>
      </w:r>
      <w:r>
        <w:t xml:space="preserve"> at the University of Sheffield. This was a male adult dog of unknown breed, originally from Assiros in Greece (accession no. 0546) - this was the most complete individual in the collection and so allowed for the most measurements to be included in the log ratio analysis. </w:t>
      </w:r>
    </w:p>
    <w:p w14:paraId="745E9F8E" w14:textId="167165B1" w:rsidR="00126128" w:rsidRDefault="0078150B">
      <w:pPr>
        <w:spacing w:before="240" w:after="240"/>
        <w:rPr>
          <w:b/>
        </w:rPr>
      </w:pPr>
      <w:r>
        <w:t>Shoulder height estimations were calculated using the greatest length (GL) of all measurable dog radii, humeri, femora and tibiae using equations in Harcourt (1974). All estimated shoulder heights were then amalgamated into a ‘Bankside’ grouping (n = 117) for comparison with dogs from other sites of the period. Comparative dog data included here are from England (Welker &amp; Dunham 2019), Northern Ireland (Murphy 2001)</w:t>
      </w:r>
      <w:r w:rsidR="002F1A46">
        <w:t>,</w:t>
      </w:r>
      <w:r>
        <w:t xml:space="preserve"> British Museum site (MPB09; Rielly 2015), Bishopsgate Goods Yard (BGX05; Pipe 2009b) and Elverton Street (EVT95; Cowie </w:t>
      </w:r>
      <w:r w:rsidRPr="00A2538D">
        <w:rPr>
          <w:i/>
          <w:iCs/>
        </w:rPr>
        <w:t>et al.</w:t>
      </w:r>
      <w:r>
        <w:t xml:space="preserve"> 1998; Pipe </w:t>
      </w:r>
      <w:r w:rsidR="00B11CF5">
        <w:t>n.d.</w:t>
      </w:r>
      <w:r>
        <w:t>).</w:t>
      </w:r>
    </w:p>
    <w:p w14:paraId="6D1BFA00" w14:textId="65B703DF" w:rsidR="00126128" w:rsidRDefault="0078150B">
      <w:r>
        <w:t xml:space="preserve">Limb-bone lengths of early modern dogs were taken from the literature and shoulder heights calculated, with the exception of the English sample from Welker &amp; Dunham (2019) where only published shoulder height estimates were included in their dataset. The Elverton Street site comprised four complete dog burials found in individual pits (Cowie </w:t>
      </w:r>
      <w:r w:rsidRPr="00A2538D">
        <w:rPr>
          <w:i/>
          <w:iCs/>
        </w:rPr>
        <w:t>et al.</w:t>
      </w:r>
      <w:r>
        <w:t xml:space="preserve"> 1998). Although there was no direct dating of the dog skeletons, horse remains found at the site were radiocarbon dated to the medieval and post-medieval periods, with an end date for site use of c. 1600 provided </w:t>
      </w:r>
      <w:r>
        <w:lastRenderedPageBreak/>
        <w:t xml:space="preserve">by historical sources (Cowie </w:t>
      </w:r>
      <w:r w:rsidRPr="00A2538D">
        <w:rPr>
          <w:i/>
          <w:iCs/>
        </w:rPr>
        <w:t>et al</w:t>
      </w:r>
      <w:r>
        <w:t>. 1998). The dog remains from the British Museum site phase 5.1 had an MNI of 42, and were largely disarticulated with some butchery marks (Rielly 2015). The dog data from Northern Ireland were published by Murphy (2001) and only contexts from the 16th and 17th century have been included in our stature estimates. One interesting item of note is that a very large canid found at Carrickfergus and dating to the 16th-17th centuries was not included in the data tables in Murphy (2001) as its size (estimated shoulder height of 74.8 cm) was thought to potentially bring it into the wolf (</w:t>
      </w:r>
      <w:r>
        <w:rPr>
          <w:i/>
        </w:rPr>
        <w:t>Canis lupus</w:t>
      </w:r>
      <w:r>
        <w:t>) size-range. However, this size is also well within the range of dogs found at Bankside, and given the role of Carrickfergus in Northern Irish history it is not impossible that it could have been an import from England. We have therefore included it in our analyses. The dog measurement data from Bishopsgate Goods Yard and Elverton Street are from unpublished reports that have kindly been shared with us by Alan Pipe. For the British Museum site (MPB09) only data from phases 4.2 and 5.1 (i.e. mid 17</w:t>
      </w:r>
      <w:r>
        <w:rPr>
          <w:vertAlign w:val="superscript"/>
        </w:rPr>
        <w:t>th</w:t>
      </w:r>
      <w:r>
        <w:t xml:space="preserve"> to late 18</w:t>
      </w:r>
      <w:r>
        <w:rPr>
          <w:vertAlign w:val="superscript"/>
        </w:rPr>
        <w:t>th</w:t>
      </w:r>
      <w:r>
        <w:t xml:space="preserve"> centuries) were included from Rielly (2015). For Bishopsgate Goods Yard (BGX05) only data from periods 9 and 10 (i.e. AD 1500</w:t>
      </w:r>
      <w:r w:rsidR="00B11CF5">
        <w:t>–</w:t>
      </w:r>
      <w:r>
        <w:t>1700) were included from Pipe (2009</w:t>
      </w:r>
      <w:r w:rsidR="005806F4">
        <w:t>b</w:t>
      </w:r>
      <w:r>
        <w:t>). All early modern data from England (c. 1500</w:t>
      </w:r>
      <w:r w:rsidR="00B11CF5">
        <w:t>–</w:t>
      </w:r>
      <w:r>
        <w:t>1900) from the Supplementary Information of Welker and Dunham (2019) were used, which includes dogs from the Royal Naval Victualling Yard, and Witney Palace.</w:t>
      </w:r>
    </w:p>
    <w:p w14:paraId="6552D619" w14:textId="77777777" w:rsidR="00126128" w:rsidRDefault="00126128">
      <w:pPr>
        <w:rPr>
          <w:b/>
        </w:rPr>
      </w:pPr>
    </w:p>
    <w:p w14:paraId="35EC5FEA" w14:textId="77777777" w:rsidR="00126128" w:rsidRDefault="0078150B">
      <w:pPr>
        <w:rPr>
          <w:b/>
        </w:rPr>
      </w:pPr>
      <w:r>
        <w:rPr>
          <w:b/>
        </w:rPr>
        <w:t>1.2.2 Stable isotope analysis</w:t>
      </w:r>
    </w:p>
    <w:p w14:paraId="48285DE3" w14:textId="77777777" w:rsidR="00126128" w:rsidRDefault="0078150B">
      <w:r>
        <w:t>Stable isotope analysis of δ</w:t>
      </w:r>
      <w:r>
        <w:rPr>
          <w:vertAlign w:val="superscript"/>
        </w:rPr>
        <w:t>13</w:t>
      </w:r>
      <w:r>
        <w:t>C, δ</w:t>
      </w:r>
      <w:r>
        <w:rPr>
          <w:vertAlign w:val="superscript"/>
        </w:rPr>
        <w:t>15</w:t>
      </w:r>
      <w:r>
        <w:t xml:space="preserve">N and </w:t>
      </w:r>
      <w:r>
        <w:rPr>
          <w:highlight w:val="white"/>
        </w:rPr>
        <w:t>δ</w:t>
      </w:r>
      <w:r>
        <w:rPr>
          <w:highlight w:val="white"/>
          <w:vertAlign w:val="superscript"/>
        </w:rPr>
        <w:t>34</w:t>
      </w:r>
      <w:r>
        <w:rPr>
          <w:highlight w:val="white"/>
        </w:rPr>
        <w:t xml:space="preserve">S was undertaken on </w:t>
      </w:r>
      <w:r>
        <w:t>bone collagen (n =106) and tooth dentine (n = 2) to examine the diet of the animals at Bankside. We analysed δ</w:t>
      </w:r>
      <w:r>
        <w:rPr>
          <w:vertAlign w:val="superscript"/>
        </w:rPr>
        <w:t>13</w:t>
      </w:r>
      <w:r>
        <w:t>C, δ</w:t>
      </w:r>
      <w:r>
        <w:rPr>
          <w:vertAlign w:val="superscript"/>
        </w:rPr>
        <w:t>15</w:t>
      </w:r>
      <w:r>
        <w:t xml:space="preserve">N and </w:t>
      </w:r>
      <w:r>
        <w:rPr>
          <w:highlight w:val="white"/>
        </w:rPr>
        <w:t>δ</w:t>
      </w:r>
      <w:r>
        <w:rPr>
          <w:highlight w:val="white"/>
          <w:vertAlign w:val="superscript"/>
        </w:rPr>
        <w:t>34</w:t>
      </w:r>
      <w:r>
        <w:rPr>
          <w:highlight w:val="white"/>
        </w:rPr>
        <w:t xml:space="preserve">S </w:t>
      </w:r>
      <w:r>
        <w:t xml:space="preserve">from 49 dogs and 20 bears, as well as 8 cattle and 31 equids. Where possible we sampled a limited range of elements from each species at each site in order to avoid duplicating results from the same individual. </w:t>
      </w:r>
    </w:p>
    <w:p w14:paraId="4FA6AB0D" w14:textId="77777777" w:rsidR="00126128" w:rsidRDefault="00126128">
      <w:pPr>
        <w:rPr>
          <w:b/>
        </w:rPr>
      </w:pPr>
    </w:p>
    <w:p w14:paraId="47FCE68B" w14:textId="0967E136" w:rsidR="00126128" w:rsidRDefault="0078150B">
      <w:pPr>
        <w:rPr>
          <w:highlight w:val="white"/>
        </w:rPr>
      </w:pPr>
      <w:r>
        <w:t>Bone and dentine sampling for bears was conducted at the British Geological Survey (BGS), and dog, equid and cattle bones were sampled at LAARC and the University of Nottingham Isotope Laboratory. Collagen was extracted at the University of Nottingham Isotope Laboratory for cattle, equids and dogs, and at BGS (Keyworth, UK) for bears. δ</w:t>
      </w:r>
      <w:r>
        <w:rPr>
          <w:vertAlign w:val="superscript"/>
        </w:rPr>
        <w:t>13</w:t>
      </w:r>
      <w:r>
        <w:t>C, δ</w:t>
      </w:r>
      <w:r>
        <w:rPr>
          <w:vertAlign w:val="superscript"/>
        </w:rPr>
        <w:t>15</w:t>
      </w:r>
      <w:r>
        <w:t xml:space="preserve">N and </w:t>
      </w:r>
      <w:r>
        <w:rPr>
          <w:highlight w:val="white"/>
        </w:rPr>
        <w:t>δ</w:t>
      </w:r>
      <w:r>
        <w:rPr>
          <w:highlight w:val="white"/>
          <w:vertAlign w:val="superscript"/>
        </w:rPr>
        <w:t>34</w:t>
      </w:r>
      <w:r>
        <w:rPr>
          <w:highlight w:val="white"/>
        </w:rPr>
        <w:t>S stable isotope analysis of bone collagen and tooth dentine was undertaken at the Stable Isotope Facility</w:t>
      </w:r>
      <w:r w:rsidR="004C1331">
        <w:rPr>
          <w:highlight w:val="white"/>
        </w:rPr>
        <w:t>,</w:t>
      </w:r>
      <w:r>
        <w:rPr>
          <w:highlight w:val="white"/>
        </w:rPr>
        <w:t xml:space="preserve"> BGS. </w:t>
      </w:r>
    </w:p>
    <w:p w14:paraId="4C252DA6" w14:textId="77777777" w:rsidR="00126128" w:rsidRDefault="00126128">
      <w:pPr>
        <w:rPr>
          <w:highlight w:val="white"/>
        </w:rPr>
      </w:pPr>
    </w:p>
    <w:p w14:paraId="49551A43" w14:textId="6990759E" w:rsidR="00126128" w:rsidRDefault="0078150B">
      <w:pPr>
        <w:rPr>
          <w:highlight w:val="white"/>
        </w:rPr>
      </w:pPr>
      <w:bookmarkStart w:id="0" w:name="_heading=h.gjdgxs" w:colFirst="0" w:colLast="0"/>
      <w:bookmarkEnd w:id="0"/>
      <w:r>
        <w:rPr>
          <w:color w:val="000000"/>
          <w:highlight w:val="white"/>
        </w:rPr>
        <w:t xml:space="preserve">Bone powder samples (&gt;0.1g) were obtained from bear bones from areas of cortical bone using a rotary dental drill at low speed, following cleaning of the outer surfaces with a diamond burr to remove surface contamination. Equid, cattle and dog samples (&gt;0.3g) were either cut using a rotary blade from the broken ends of cortical bones, or cores were extracted from cortical bone using a diamond corer of 8mm diameter. Collagen was extracted from all samples using a modified Longin protocol (Brown </w:t>
      </w:r>
      <w:r w:rsidRPr="004C1331">
        <w:rPr>
          <w:i/>
          <w:iCs/>
          <w:color w:val="000000"/>
          <w:highlight w:val="white"/>
        </w:rPr>
        <w:t>et al.</w:t>
      </w:r>
      <w:r>
        <w:rPr>
          <w:color w:val="000000"/>
          <w:highlight w:val="white"/>
        </w:rPr>
        <w:t xml:space="preserve"> 1988). The bone samples were demineralised in 0.5M aq. HCl solution, which was regularly replaced until full demineralisation was determined to have occurred. </w:t>
      </w:r>
      <w:r>
        <w:rPr>
          <w:highlight w:val="white"/>
        </w:rPr>
        <w:t>Each sample was then rinsed with purified water (MilliQ) and gelatinised in pH3 HCl at 70˚C for 48-72 hours. The supernatant solution was then filtered (8μm Ezee-filter, Elkay, Basingstoke), frozen and freeze dried. The lyophilised collagen (2mg) was analysed for concurrent δ</w:t>
      </w:r>
      <w:r>
        <w:rPr>
          <w:highlight w:val="white"/>
          <w:vertAlign w:val="superscript"/>
        </w:rPr>
        <w:t>34</w:t>
      </w:r>
      <w:r>
        <w:rPr>
          <w:highlight w:val="white"/>
        </w:rPr>
        <w:t>S, δ</w:t>
      </w:r>
      <w:r>
        <w:rPr>
          <w:highlight w:val="white"/>
          <w:vertAlign w:val="superscript"/>
        </w:rPr>
        <w:t>13</w:t>
      </w:r>
      <w:r>
        <w:rPr>
          <w:highlight w:val="white"/>
        </w:rPr>
        <w:t>C and δ</w:t>
      </w:r>
      <w:r>
        <w:rPr>
          <w:highlight w:val="white"/>
          <w:vertAlign w:val="superscript"/>
        </w:rPr>
        <w:t>15</w:t>
      </w:r>
      <w:r>
        <w:rPr>
          <w:highlight w:val="white"/>
        </w:rPr>
        <w:t>N using a Thermo Finnigan EA IsoLink coupled to a Delta V Plus isotope ratio mass spectrometer via a Conflo IV interface at the Stable Isotope Facility at BGS (Keyworth, UK). Ratios of δ</w:t>
      </w:r>
      <w:r>
        <w:rPr>
          <w:highlight w:val="white"/>
          <w:vertAlign w:val="superscript"/>
        </w:rPr>
        <w:t>34</w:t>
      </w:r>
      <w:r>
        <w:rPr>
          <w:highlight w:val="white"/>
        </w:rPr>
        <w:t>S, δ</w:t>
      </w:r>
      <w:r>
        <w:rPr>
          <w:highlight w:val="white"/>
          <w:vertAlign w:val="superscript"/>
        </w:rPr>
        <w:t>13</w:t>
      </w:r>
      <w:r>
        <w:rPr>
          <w:highlight w:val="white"/>
        </w:rPr>
        <w:t>C and δ</w:t>
      </w:r>
      <w:r>
        <w:rPr>
          <w:highlight w:val="white"/>
          <w:vertAlign w:val="superscript"/>
        </w:rPr>
        <w:t>15</w:t>
      </w:r>
      <w:r>
        <w:rPr>
          <w:highlight w:val="white"/>
        </w:rPr>
        <w:t xml:space="preserve">N are reported in per mil (‰) relative to VCDT, VPDB and AIR standards respectively. </w:t>
      </w:r>
      <w:r>
        <w:rPr>
          <w:highlight w:val="white"/>
        </w:rPr>
        <w:lastRenderedPageBreak/>
        <w:t>Carbon was standardised using a 2-point correction using USGS 40 (-26.39‰) &amp; USGS 41 (37.63‰), Nitrogen using a 2 point correction using USGS 40 (-4.52‰) &amp; USGS 41 (47.57‰), and sulfur standardised using a 2 point correction using IAEA S2 (22.6‰) and M1360P (Lab standard gelatine calibrated to IAEA S1 and IAEA S2 = 2.99‰). Normalisation and analytical error w</w:t>
      </w:r>
      <w:r w:rsidR="002F1A46">
        <w:rPr>
          <w:highlight w:val="white"/>
        </w:rPr>
        <w:t>ere</w:t>
      </w:r>
      <w:r>
        <w:rPr>
          <w:highlight w:val="white"/>
        </w:rPr>
        <w:t xml:space="preserve"> checked using the well characterised Elemental Microanalysis IRMS fish gelatine standard B2215 (δ</w:t>
      </w:r>
      <w:r>
        <w:rPr>
          <w:highlight w:val="white"/>
          <w:vertAlign w:val="superscript"/>
        </w:rPr>
        <w:t>13</w:t>
      </w:r>
      <w:r>
        <w:rPr>
          <w:highlight w:val="white"/>
        </w:rPr>
        <w:t>CVPD</w:t>
      </w:r>
      <w:r>
        <w:t>B = –22.92 ± 0.10‰, δ</w:t>
      </w:r>
      <w:r>
        <w:rPr>
          <w:vertAlign w:val="superscript"/>
        </w:rPr>
        <w:t>15</w:t>
      </w:r>
      <w:r>
        <w:t>NAIR = 4.26 ± 0.12‰, and δ</w:t>
      </w:r>
      <w:r>
        <w:rPr>
          <w:vertAlign w:val="superscript"/>
        </w:rPr>
        <w:t>34</w:t>
      </w:r>
      <w:r>
        <w:t>SVCTD = 1.21 ± 0.24‰),</w:t>
      </w:r>
      <w:r>
        <w:rPr>
          <w:color w:val="FF0000"/>
        </w:rPr>
        <w:t xml:space="preserve"> </w:t>
      </w:r>
      <w:r>
        <w:rPr>
          <w:color w:val="242424"/>
        </w:rPr>
        <w:t xml:space="preserve">which gave the values detailed in </w:t>
      </w:r>
      <w:r w:rsidR="00B11CF5">
        <w:rPr>
          <w:color w:val="242424"/>
        </w:rPr>
        <w:t>T</w:t>
      </w:r>
      <w:r>
        <w:rPr>
          <w:color w:val="242424"/>
        </w:rPr>
        <w:t xml:space="preserve">able S2 below. </w:t>
      </w:r>
      <w:r>
        <w:rPr>
          <w:highlight w:val="white"/>
        </w:rPr>
        <w:t xml:space="preserve">Weight % was calculated using B2215 (N%= 16.55, C% = 43.78, S% = 0.51). </w:t>
      </w:r>
    </w:p>
    <w:p w14:paraId="60DD57D3" w14:textId="77777777" w:rsidR="00126128" w:rsidRDefault="00126128">
      <w:pPr>
        <w:rPr>
          <w:highlight w:val="white"/>
        </w:rPr>
      </w:pPr>
    </w:p>
    <w:p w14:paraId="698498DB" w14:textId="77777777" w:rsidR="006E0E10" w:rsidRDefault="006E0E10">
      <w:pPr>
        <w:rPr>
          <w:highlight w:val="white"/>
        </w:rPr>
      </w:pPr>
    </w:p>
    <w:p w14:paraId="6A0373B8" w14:textId="77777777" w:rsidR="006E0E10" w:rsidRDefault="006E0E10">
      <w:pPr>
        <w:rPr>
          <w:highlight w:val="white"/>
        </w:rPr>
      </w:pPr>
    </w:p>
    <w:p w14:paraId="149C0BA3" w14:textId="4F06DD3F" w:rsidR="006E0E10" w:rsidRPr="006E0E10" w:rsidRDefault="006E0E10">
      <w:pPr>
        <w:rPr>
          <w:b/>
          <w:highlight w:val="white"/>
        </w:rPr>
      </w:pPr>
      <w:r>
        <w:rPr>
          <w:b/>
          <w:highlight w:val="white"/>
        </w:rPr>
        <w:t xml:space="preserve">Table S2. Results of </w:t>
      </w:r>
      <w:r>
        <w:rPr>
          <w:b/>
        </w:rPr>
        <w:t xml:space="preserve">fish gelatine standard B2215 for all </w:t>
      </w:r>
      <w:r>
        <w:rPr>
          <w:b/>
          <w:highlight w:val="white"/>
        </w:rPr>
        <w:t>δ</w:t>
      </w:r>
      <w:r>
        <w:rPr>
          <w:b/>
          <w:highlight w:val="white"/>
          <w:vertAlign w:val="superscript"/>
        </w:rPr>
        <w:t>13</w:t>
      </w:r>
      <w:r>
        <w:rPr>
          <w:b/>
          <w:highlight w:val="white"/>
        </w:rPr>
        <w:t xml:space="preserve">C </w:t>
      </w:r>
      <w:r>
        <w:rPr>
          <w:b/>
          <w:highlight w:val="white"/>
          <w:vertAlign w:val="subscript"/>
        </w:rPr>
        <w:t>VPD</w:t>
      </w:r>
      <w:r>
        <w:rPr>
          <w:b/>
          <w:vertAlign w:val="subscript"/>
        </w:rPr>
        <w:t>B</w:t>
      </w:r>
      <w:r>
        <w:rPr>
          <w:b/>
        </w:rPr>
        <w:t>, δ</w:t>
      </w:r>
      <w:r>
        <w:rPr>
          <w:b/>
          <w:vertAlign w:val="superscript"/>
        </w:rPr>
        <w:t>15</w:t>
      </w:r>
      <w:r>
        <w:rPr>
          <w:b/>
        </w:rPr>
        <w:t xml:space="preserve">N </w:t>
      </w:r>
      <w:r>
        <w:rPr>
          <w:b/>
          <w:vertAlign w:val="subscript"/>
        </w:rPr>
        <w:t>AIR</w:t>
      </w:r>
      <w:r>
        <w:rPr>
          <w:b/>
        </w:rPr>
        <w:t xml:space="preserve"> and δ</w:t>
      </w:r>
      <w:r>
        <w:rPr>
          <w:b/>
          <w:vertAlign w:val="superscript"/>
        </w:rPr>
        <w:t>34</w:t>
      </w:r>
      <w:r>
        <w:rPr>
          <w:b/>
        </w:rPr>
        <w:t xml:space="preserve">S </w:t>
      </w:r>
      <w:r>
        <w:rPr>
          <w:b/>
          <w:vertAlign w:val="subscript"/>
        </w:rPr>
        <w:t>VCDT</w:t>
      </w:r>
      <w:r>
        <w:rPr>
          <w:b/>
        </w:rPr>
        <w:t xml:space="preserve"> runs. </w:t>
      </w:r>
    </w:p>
    <w:tbl>
      <w:tblPr>
        <w:tblStyle w:val="afa"/>
        <w:tblW w:w="9025" w:type="dxa"/>
        <w:tblBorders>
          <w:top w:val="nil"/>
          <w:left w:val="nil"/>
          <w:bottom w:val="nil"/>
          <w:right w:val="nil"/>
          <w:insideH w:val="nil"/>
          <w:insideV w:val="nil"/>
        </w:tblBorders>
        <w:tblLayout w:type="fixed"/>
        <w:tblLook w:val="0600" w:firstRow="0" w:lastRow="0" w:firstColumn="0" w:lastColumn="0" w:noHBand="1" w:noVBand="1"/>
      </w:tblPr>
      <w:tblGrid>
        <w:gridCol w:w="2283"/>
        <w:gridCol w:w="2267"/>
        <w:gridCol w:w="2208"/>
        <w:gridCol w:w="2267"/>
      </w:tblGrid>
      <w:tr w:rsidR="00126128" w14:paraId="0FA20547" w14:textId="77777777">
        <w:trPr>
          <w:trHeight w:val="345"/>
        </w:trPr>
        <w:tc>
          <w:tcPr>
            <w:tcW w:w="228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67F318A" w14:textId="77777777" w:rsidR="00126128" w:rsidRDefault="0078150B">
            <w:pPr>
              <w:rPr>
                <w:b/>
                <w:color w:val="242424"/>
              </w:rPr>
            </w:pPr>
            <w:r>
              <w:rPr>
                <w:b/>
                <w:color w:val="242424"/>
              </w:rPr>
              <w:t>B2215/Run</w:t>
            </w:r>
          </w:p>
        </w:tc>
        <w:tc>
          <w:tcPr>
            <w:tcW w:w="2267" w:type="dxa"/>
            <w:tcBorders>
              <w:top w:val="single" w:sz="8" w:space="0" w:color="000000"/>
              <w:bottom w:val="single" w:sz="8" w:space="0" w:color="000000"/>
              <w:right w:val="single" w:sz="8" w:space="0" w:color="000000"/>
            </w:tcBorders>
            <w:tcMar>
              <w:top w:w="0" w:type="dxa"/>
              <w:left w:w="100" w:type="dxa"/>
              <w:bottom w:w="0" w:type="dxa"/>
              <w:right w:w="100" w:type="dxa"/>
            </w:tcMar>
          </w:tcPr>
          <w:p w14:paraId="789C4695" w14:textId="77777777" w:rsidR="00126128" w:rsidRDefault="0078150B">
            <w:pPr>
              <w:rPr>
                <w:b/>
                <w:color w:val="242424"/>
              </w:rPr>
            </w:pPr>
            <w:r>
              <w:rPr>
                <w:b/>
                <w:color w:val="242424"/>
              </w:rPr>
              <w:t>δ</w:t>
            </w:r>
            <w:r>
              <w:rPr>
                <w:b/>
                <w:color w:val="242424"/>
                <w:vertAlign w:val="superscript"/>
              </w:rPr>
              <w:t>13</w:t>
            </w:r>
            <w:r>
              <w:rPr>
                <w:b/>
                <w:color w:val="242424"/>
              </w:rPr>
              <w:t xml:space="preserve">C </w:t>
            </w:r>
            <w:r>
              <w:rPr>
                <w:b/>
                <w:color w:val="242424"/>
                <w:vertAlign w:val="subscript"/>
              </w:rPr>
              <w:t>VPDB</w:t>
            </w:r>
            <w:r>
              <w:rPr>
                <w:b/>
                <w:color w:val="242424"/>
              </w:rPr>
              <w:t xml:space="preserve"> ‰</w:t>
            </w:r>
          </w:p>
        </w:tc>
        <w:tc>
          <w:tcPr>
            <w:tcW w:w="2208" w:type="dxa"/>
            <w:tcBorders>
              <w:top w:val="single" w:sz="8" w:space="0" w:color="000000"/>
              <w:bottom w:val="single" w:sz="8" w:space="0" w:color="000000"/>
              <w:right w:val="single" w:sz="8" w:space="0" w:color="000000"/>
            </w:tcBorders>
            <w:tcMar>
              <w:top w:w="0" w:type="dxa"/>
              <w:left w:w="100" w:type="dxa"/>
              <w:bottom w:w="0" w:type="dxa"/>
              <w:right w:w="100" w:type="dxa"/>
            </w:tcMar>
          </w:tcPr>
          <w:p w14:paraId="1E4CBEF6" w14:textId="77777777" w:rsidR="00126128" w:rsidRDefault="0078150B">
            <w:pPr>
              <w:rPr>
                <w:b/>
                <w:color w:val="242424"/>
              </w:rPr>
            </w:pPr>
            <w:r>
              <w:rPr>
                <w:b/>
                <w:color w:val="242424"/>
              </w:rPr>
              <w:t>δ</w:t>
            </w:r>
            <w:r>
              <w:rPr>
                <w:b/>
                <w:color w:val="242424"/>
                <w:vertAlign w:val="superscript"/>
              </w:rPr>
              <w:t>15</w:t>
            </w:r>
            <w:r>
              <w:rPr>
                <w:b/>
                <w:color w:val="242424"/>
              </w:rPr>
              <w:t xml:space="preserve">N </w:t>
            </w:r>
            <w:r>
              <w:rPr>
                <w:b/>
                <w:color w:val="242424"/>
                <w:vertAlign w:val="subscript"/>
              </w:rPr>
              <w:t>AIR</w:t>
            </w:r>
            <w:r>
              <w:rPr>
                <w:b/>
                <w:color w:val="242424"/>
              </w:rPr>
              <w:t xml:space="preserve"> ‰</w:t>
            </w:r>
          </w:p>
        </w:tc>
        <w:tc>
          <w:tcPr>
            <w:tcW w:w="2267" w:type="dxa"/>
            <w:tcBorders>
              <w:top w:val="single" w:sz="8" w:space="0" w:color="000000"/>
              <w:bottom w:val="single" w:sz="8" w:space="0" w:color="000000"/>
              <w:right w:val="single" w:sz="8" w:space="0" w:color="000000"/>
            </w:tcBorders>
            <w:tcMar>
              <w:top w:w="0" w:type="dxa"/>
              <w:left w:w="100" w:type="dxa"/>
              <w:bottom w:w="0" w:type="dxa"/>
              <w:right w:w="100" w:type="dxa"/>
            </w:tcMar>
          </w:tcPr>
          <w:p w14:paraId="0146AE86" w14:textId="77777777" w:rsidR="00126128" w:rsidRDefault="0078150B">
            <w:pPr>
              <w:rPr>
                <w:b/>
                <w:color w:val="242424"/>
              </w:rPr>
            </w:pPr>
            <w:r>
              <w:rPr>
                <w:b/>
                <w:color w:val="242424"/>
              </w:rPr>
              <w:t>δ</w:t>
            </w:r>
            <w:r>
              <w:rPr>
                <w:b/>
                <w:color w:val="242424"/>
                <w:vertAlign w:val="superscript"/>
              </w:rPr>
              <w:t>34</w:t>
            </w:r>
            <w:r>
              <w:rPr>
                <w:b/>
                <w:color w:val="242424"/>
              </w:rPr>
              <w:t xml:space="preserve">S </w:t>
            </w:r>
            <w:r>
              <w:rPr>
                <w:b/>
                <w:color w:val="242424"/>
                <w:vertAlign w:val="subscript"/>
              </w:rPr>
              <w:t>VCDT</w:t>
            </w:r>
            <w:r>
              <w:rPr>
                <w:b/>
                <w:color w:val="242424"/>
              </w:rPr>
              <w:t xml:space="preserve"> ‰</w:t>
            </w:r>
          </w:p>
        </w:tc>
      </w:tr>
      <w:tr w:rsidR="00126128" w14:paraId="153B5654" w14:textId="77777777">
        <w:trPr>
          <w:trHeight w:val="300"/>
        </w:trPr>
        <w:tc>
          <w:tcPr>
            <w:tcW w:w="2283" w:type="dxa"/>
            <w:tcBorders>
              <w:left w:val="single" w:sz="8" w:space="0" w:color="000000"/>
              <w:bottom w:val="single" w:sz="8" w:space="0" w:color="000000"/>
              <w:right w:val="single" w:sz="8" w:space="0" w:color="000000"/>
            </w:tcBorders>
            <w:tcMar>
              <w:top w:w="0" w:type="dxa"/>
              <w:left w:w="100" w:type="dxa"/>
              <w:bottom w:w="0" w:type="dxa"/>
              <w:right w:w="100" w:type="dxa"/>
            </w:tcMar>
          </w:tcPr>
          <w:p w14:paraId="55B129EB" w14:textId="77777777" w:rsidR="00126128" w:rsidRDefault="0078150B">
            <w:pPr>
              <w:rPr>
                <w:color w:val="242424"/>
              </w:rPr>
            </w:pPr>
            <w:r>
              <w:rPr>
                <w:color w:val="242424"/>
              </w:rPr>
              <w:t>1</w:t>
            </w:r>
          </w:p>
        </w:tc>
        <w:tc>
          <w:tcPr>
            <w:tcW w:w="2267" w:type="dxa"/>
            <w:tcBorders>
              <w:bottom w:val="single" w:sz="8" w:space="0" w:color="000000"/>
              <w:right w:val="single" w:sz="8" w:space="0" w:color="000000"/>
            </w:tcBorders>
            <w:tcMar>
              <w:top w:w="0" w:type="dxa"/>
              <w:left w:w="100" w:type="dxa"/>
              <w:bottom w:w="0" w:type="dxa"/>
              <w:right w:w="100" w:type="dxa"/>
            </w:tcMar>
          </w:tcPr>
          <w:p w14:paraId="08A1F966" w14:textId="77777777" w:rsidR="00126128" w:rsidRDefault="0078150B">
            <w:pPr>
              <w:rPr>
                <w:color w:val="242424"/>
              </w:rPr>
            </w:pPr>
            <w:r>
              <w:rPr>
                <w:color w:val="242424"/>
              </w:rPr>
              <w:t>-22.97 ± 0.14 (n=6)</w:t>
            </w:r>
          </w:p>
        </w:tc>
        <w:tc>
          <w:tcPr>
            <w:tcW w:w="2208" w:type="dxa"/>
            <w:tcBorders>
              <w:bottom w:val="single" w:sz="8" w:space="0" w:color="000000"/>
              <w:right w:val="single" w:sz="8" w:space="0" w:color="000000"/>
            </w:tcBorders>
            <w:tcMar>
              <w:top w:w="0" w:type="dxa"/>
              <w:left w:w="100" w:type="dxa"/>
              <w:bottom w:w="0" w:type="dxa"/>
              <w:right w:w="100" w:type="dxa"/>
            </w:tcMar>
          </w:tcPr>
          <w:p w14:paraId="48E971C1" w14:textId="77777777" w:rsidR="00126128" w:rsidRDefault="0078150B">
            <w:pPr>
              <w:rPr>
                <w:color w:val="242424"/>
              </w:rPr>
            </w:pPr>
            <w:r>
              <w:rPr>
                <w:color w:val="242424"/>
              </w:rPr>
              <w:t>4.39 ± 0.08 (n=6)</w:t>
            </w:r>
          </w:p>
        </w:tc>
        <w:tc>
          <w:tcPr>
            <w:tcW w:w="2267" w:type="dxa"/>
            <w:tcBorders>
              <w:bottom w:val="single" w:sz="8" w:space="0" w:color="000000"/>
              <w:right w:val="single" w:sz="8" w:space="0" w:color="000000"/>
            </w:tcBorders>
            <w:tcMar>
              <w:top w:w="0" w:type="dxa"/>
              <w:left w:w="100" w:type="dxa"/>
              <w:bottom w:w="0" w:type="dxa"/>
              <w:right w:w="100" w:type="dxa"/>
            </w:tcMar>
          </w:tcPr>
          <w:p w14:paraId="3EBDDFB1" w14:textId="77777777" w:rsidR="00126128" w:rsidRDefault="0078150B">
            <w:pPr>
              <w:rPr>
                <w:color w:val="242424"/>
              </w:rPr>
            </w:pPr>
            <w:r>
              <w:rPr>
                <w:color w:val="242424"/>
              </w:rPr>
              <w:t>0.97 ± 0.46 (n=6)</w:t>
            </w:r>
          </w:p>
        </w:tc>
      </w:tr>
      <w:tr w:rsidR="00126128" w14:paraId="4C4E7C55" w14:textId="77777777">
        <w:trPr>
          <w:trHeight w:val="300"/>
        </w:trPr>
        <w:tc>
          <w:tcPr>
            <w:tcW w:w="2283" w:type="dxa"/>
            <w:tcBorders>
              <w:left w:val="single" w:sz="8" w:space="0" w:color="000000"/>
              <w:bottom w:val="single" w:sz="8" w:space="0" w:color="000000"/>
              <w:right w:val="single" w:sz="8" w:space="0" w:color="000000"/>
            </w:tcBorders>
            <w:tcMar>
              <w:top w:w="0" w:type="dxa"/>
              <w:left w:w="100" w:type="dxa"/>
              <w:bottom w:w="0" w:type="dxa"/>
              <w:right w:w="100" w:type="dxa"/>
            </w:tcMar>
          </w:tcPr>
          <w:p w14:paraId="206BA3DE" w14:textId="77777777" w:rsidR="00126128" w:rsidRDefault="0078150B">
            <w:pPr>
              <w:rPr>
                <w:color w:val="242424"/>
              </w:rPr>
            </w:pPr>
            <w:r>
              <w:rPr>
                <w:color w:val="242424"/>
              </w:rPr>
              <w:t>2</w:t>
            </w:r>
          </w:p>
        </w:tc>
        <w:tc>
          <w:tcPr>
            <w:tcW w:w="2267" w:type="dxa"/>
            <w:tcBorders>
              <w:bottom w:val="single" w:sz="8" w:space="0" w:color="000000"/>
              <w:right w:val="single" w:sz="8" w:space="0" w:color="000000"/>
            </w:tcBorders>
            <w:tcMar>
              <w:top w:w="0" w:type="dxa"/>
              <w:left w:w="100" w:type="dxa"/>
              <w:bottom w:w="0" w:type="dxa"/>
              <w:right w:w="100" w:type="dxa"/>
            </w:tcMar>
          </w:tcPr>
          <w:p w14:paraId="5C7A3CD6" w14:textId="77777777" w:rsidR="00126128" w:rsidRDefault="0078150B">
            <w:pPr>
              <w:rPr>
                <w:color w:val="242424"/>
              </w:rPr>
            </w:pPr>
            <w:r>
              <w:rPr>
                <w:color w:val="242424"/>
              </w:rPr>
              <w:t>-23.10 ± 0.18 (n=7)</w:t>
            </w:r>
          </w:p>
        </w:tc>
        <w:tc>
          <w:tcPr>
            <w:tcW w:w="2208" w:type="dxa"/>
            <w:tcBorders>
              <w:bottom w:val="single" w:sz="8" w:space="0" w:color="000000"/>
              <w:right w:val="single" w:sz="8" w:space="0" w:color="000000"/>
            </w:tcBorders>
            <w:tcMar>
              <w:top w:w="0" w:type="dxa"/>
              <w:left w:w="100" w:type="dxa"/>
              <w:bottom w:w="0" w:type="dxa"/>
              <w:right w:w="100" w:type="dxa"/>
            </w:tcMar>
          </w:tcPr>
          <w:p w14:paraId="587CB8A1" w14:textId="77777777" w:rsidR="00126128" w:rsidRDefault="0078150B">
            <w:pPr>
              <w:rPr>
                <w:color w:val="242424"/>
              </w:rPr>
            </w:pPr>
            <w:r>
              <w:rPr>
                <w:color w:val="242424"/>
              </w:rPr>
              <w:t>4.58 ± 0.12 (n=7)</w:t>
            </w:r>
          </w:p>
        </w:tc>
        <w:tc>
          <w:tcPr>
            <w:tcW w:w="2267" w:type="dxa"/>
            <w:tcBorders>
              <w:bottom w:val="single" w:sz="8" w:space="0" w:color="000000"/>
              <w:right w:val="single" w:sz="8" w:space="0" w:color="000000"/>
            </w:tcBorders>
            <w:tcMar>
              <w:top w:w="0" w:type="dxa"/>
              <w:left w:w="100" w:type="dxa"/>
              <w:bottom w:w="0" w:type="dxa"/>
              <w:right w:w="100" w:type="dxa"/>
            </w:tcMar>
          </w:tcPr>
          <w:p w14:paraId="43C3DEFE" w14:textId="77777777" w:rsidR="00126128" w:rsidRDefault="0078150B">
            <w:pPr>
              <w:rPr>
                <w:color w:val="242424"/>
              </w:rPr>
            </w:pPr>
            <w:r>
              <w:rPr>
                <w:color w:val="242424"/>
              </w:rPr>
              <w:t>1.14 ± 0.92 (n=7)</w:t>
            </w:r>
          </w:p>
        </w:tc>
      </w:tr>
      <w:tr w:rsidR="00126128" w14:paraId="49741671" w14:textId="77777777">
        <w:trPr>
          <w:trHeight w:val="300"/>
        </w:trPr>
        <w:tc>
          <w:tcPr>
            <w:tcW w:w="2283" w:type="dxa"/>
            <w:tcBorders>
              <w:left w:val="single" w:sz="8" w:space="0" w:color="000000"/>
              <w:bottom w:val="single" w:sz="8" w:space="0" w:color="000000"/>
              <w:right w:val="single" w:sz="8" w:space="0" w:color="000000"/>
            </w:tcBorders>
            <w:tcMar>
              <w:top w:w="0" w:type="dxa"/>
              <w:left w:w="100" w:type="dxa"/>
              <w:bottom w:w="0" w:type="dxa"/>
              <w:right w:w="100" w:type="dxa"/>
            </w:tcMar>
          </w:tcPr>
          <w:p w14:paraId="7A049C59" w14:textId="77777777" w:rsidR="00126128" w:rsidRDefault="0078150B">
            <w:pPr>
              <w:rPr>
                <w:color w:val="242424"/>
              </w:rPr>
            </w:pPr>
            <w:r>
              <w:rPr>
                <w:color w:val="242424"/>
              </w:rPr>
              <w:t>3</w:t>
            </w:r>
          </w:p>
        </w:tc>
        <w:tc>
          <w:tcPr>
            <w:tcW w:w="2267" w:type="dxa"/>
            <w:tcBorders>
              <w:bottom w:val="single" w:sz="8" w:space="0" w:color="000000"/>
              <w:right w:val="single" w:sz="8" w:space="0" w:color="000000"/>
            </w:tcBorders>
            <w:tcMar>
              <w:top w:w="0" w:type="dxa"/>
              <w:left w:w="100" w:type="dxa"/>
              <w:bottom w:w="0" w:type="dxa"/>
              <w:right w:w="100" w:type="dxa"/>
            </w:tcMar>
          </w:tcPr>
          <w:p w14:paraId="1DEEE983" w14:textId="77777777" w:rsidR="00126128" w:rsidRDefault="0078150B">
            <w:pPr>
              <w:rPr>
                <w:color w:val="242424"/>
              </w:rPr>
            </w:pPr>
            <w:r>
              <w:rPr>
                <w:color w:val="242424"/>
              </w:rPr>
              <w:t>-22.96 ± 0.20 (n=8)</w:t>
            </w:r>
          </w:p>
        </w:tc>
        <w:tc>
          <w:tcPr>
            <w:tcW w:w="2208" w:type="dxa"/>
            <w:tcBorders>
              <w:bottom w:val="single" w:sz="8" w:space="0" w:color="000000"/>
              <w:right w:val="single" w:sz="8" w:space="0" w:color="000000"/>
            </w:tcBorders>
            <w:tcMar>
              <w:top w:w="0" w:type="dxa"/>
              <w:left w:w="100" w:type="dxa"/>
              <w:bottom w:w="0" w:type="dxa"/>
              <w:right w:w="100" w:type="dxa"/>
            </w:tcMar>
          </w:tcPr>
          <w:p w14:paraId="7180FEB5" w14:textId="77777777" w:rsidR="00126128" w:rsidRDefault="0078150B">
            <w:pPr>
              <w:rPr>
                <w:color w:val="242424"/>
              </w:rPr>
            </w:pPr>
            <w:r>
              <w:rPr>
                <w:color w:val="242424"/>
              </w:rPr>
              <w:t>4.48 ± 0.26 (n=8)</w:t>
            </w:r>
          </w:p>
        </w:tc>
        <w:tc>
          <w:tcPr>
            <w:tcW w:w="2267" w:type="dxa"/>
            <w:tcBorders>
              <w:bottom w:val="single" w:sz="8" w:space="0" w:color="000000"/>
              <w:right w:val="single" w:sz="8" w:space="0" w:color="000000"/>
            </w:tcBorders>
            <w:tcMar>
              <w:top w:w="0" w:type="dxa"/>
              <w:left w:w="100" w:type="dxa"/>
              <w:bottom w:w="0" w:type="dxa"/>
              <w:right w:w="100" w:type="dxa"/>
            </w:tcMar>
          </w:tcPr>
          <w:p w14:paraId="7CB867D3" w14:textId="77777777" w:rsidR="00126128" w:rsidRDefault="0078150B">
            <w:pPr>
              <w:rPr>
                <w:color w:val="242424"/>
              </w:rPr>
            </w:pPr>
            <w:r>
              <w:rPr>
                <w:color w:val="242424"/>
              </w:rPr>
              <w:t>1.07 ± 0.84 (n=8)</w:t>
            </w:r>
          </w:p>
        </w:tc>
      </w:tr>
      <w:tr w:rsidR="00126128" w14:paraId="6C9CA866" w14:textId="77777777">
        <w:trPr>
          <w:trHeight w:val="300"/>
        </w:trPr>
        <w:tc>
          <w:tcPr>
            <w:tcW w:w="2283" w:type="dxa"/>
            <w:tcBorders>
              <w:left w:val="single" w:sz="8" w:space="0" w:color="000000"/>
              <w:bottom w:val="single" w:sz="8" w:space="0" w:color="000000"/>
              <w:right w:val="single" w:sz="8" w:space="0" w:color="000000"/>
            </w:tcBorders>
            <w:tcMar>
              <w:top w:w="0" w:type="dxa"/>
              <w:left w:w="100" w:type="dxa"/>
              <w:bottom w:w="0" w:type="dxa"/>
              <w:right w:w="100" w:type="dxa"/>
            </w:tcMar>
          </w:tcPr>
          <w:p w14:paraId="058DD295" w14:textId="77777777" w:rsidR="00126128" w:rsidRDefault="0078150B">
            <w:pPr>
              <w:rPr>
                <w:color w:val="242424"/>
              </w:rPr>
            </w:pPr>
            <w:r>
              <w:rPr>
                <w:color w:val="242424"/>
              </w:rPr>
              <w:t>4</w:t>
            </w:r>
          </w:p>
        </w:tc>
        <w:tc>
          <w:tcPr>
            <w:tcW w:w="2267" w:type="dxa"/>
            <w:tcBorders>
              <w:bottom w:val="single" w:sz="8" w:space="0" w:color="000000"/>
              <w:right w:val="single" w:sz="8" w:space="0" w:color="000000"/>
            </w:tcBorders>
            <w:tcMar>
              <w:top w:w="0" w:type="dxa"/>
              <w:left w:w="100" w:type="dxa"/>
              <w:bottom w:w="0" w:type="dxa"/>
              <w:right w:w="100" w:type="dxa"/>
            </w:tcMar>
          </w:tcPr>
          <w:p w14:paraId="2CD45654" w14:textId="77777777" w:rsidR="00126128" w:rsidRDefault="0078150B">
            <w:pPr>
              <w:rPr>
                <w:color w:val="242424"/>
              </w:rPr>
            </w:pPr>
            <w:r>
              <w:rPr>
                <w:color w:val="242424"/>
              </w:rPr>
              <w:t>-22.84 ± 0.08 (n=6)</w:t>
            </w:r>
          </w:p>
        </w:tc>
        <w:tc>
          <w:tcPr>
            <w:tcW w:w="2208" w:type="dxa"/>
            <w:tcBorders>
              <w:bottom w:val="single" w:sz="8" w:space="0" w:color="000000"/>
              <w:right w:val="single" w:sz="8" w:space="0" w:color="000000"/>
            </w:tcBorders>
            <w:tcMar>
              <w:top w:w="0" w:type="dxa"/>
              <w:left w:w="100" w:type="dxa"/>
              <w:bottom w:w="0" w:type="dxa"/>
              <w:right w:w="100" w:type="dxa"/>
            </w:tcMar>
          </w:tcPr>
          <w:p w14:paraId="690090D5" w14:textId="77777777" w:rsidR="00126128" w:rsidRDefault="0078150B">
            <w:pPr>
              <w:rPr>
                <w:color w:val="242424"/>
              </w:rPr>
            </w:pPr>
            <w:r>
              <w:rPr>
                <w:color w:val="242424"/>
              </w:rPr>
              <w:t>4.42 ± 0.12 (n=6)</w:t>
            </w:r>
          </w:p>
        </w:tc>
        <w:tc>
          <w:tcPr>
            <w:tcW w:w="2267" w:type="dxa"/>
            <w:tcBorders>
              <w:bottom w:val="single" w:sz="8" w:space="0" w:color="000000"/>
              <w:right w:val="single" w:sz="8" w:space="0" w:color="000000"/>
            </w:tcBorders>
            <w:tcMar>
              <w:top w:w="0" w:type="dxa"/>
              <w:left w:w="100" w:type="dxa"/>
              <w:bottom w:w="0" w:type="dxa"/>
              <w:right w:w="100" w:type="dxa"/>
            </w:tcMar>
          </w:tcPr>
          <w:p w14:paraId="55C11DAF" w14:textId="77777777" w:rsidR="00126128" w:rsidRDefault="0078150B">
            <w:pPr>
              <w:rPr>
                <w:color w:val="242424"/>
              </w:rPr>
            </w:pPr>
            <w:r>
              <w:rPr>
                <w:color w:val="242424"/>
              </w:rPr>
              <w:t>1.29 ± 0.17 (n=6)</w:t>
            </w:r>
          </w:p>
        </w:tc>
      </w:tr>
      <w:tr w:rsidR="00126128" w14:paraId="6DCACC50" w14:textId="77777777">
        <w:trPr>
          <w:trHeight w:val="300"/>
        </w:trPr>
        <w:tc>
          <w:tcPr>
            <w:tcW w:w="2283" w:type="dxa"/>
            <w:tcBorders>
              <w:left w:val="single" w:sz="8" w:space="0" w:color="000000"/>
              <w:bottom w:val="single" w:sz="8" w:space="0" w:color="000000"/>
              <w:right w:val="single" w:sz="8" w:space="0" w:color="000000"/>
            </w:tcBorders>
            <w:tcMar>
              <w:top w:w="0" w:type="dxa"/>
              <w:left w:w="100" w:type="dxa"/>
              <w:bottom w:w="0" w:type="dxa"/>
              <w:right w:w="100" w:type="dxa"/>
            </w:tcMar>
          </w:tcPr>
          <w:p w14:paraId="50F54B7D" w14:textId="77777777" w:rsidR="00126128" w:rsidRDefault="0078150B">
            <w:pPr>
              <w:rPr>
                <w:color w:val="242424"/>
              </w:rPr>
            </w:pPr>
            <w:r>
              <w:rPr>
                <w:color w:val="242424"/>
              </w:rPr>
              <w:t>5</w:t>
            </w:r>
          </w:p>
        </w:tc>
        <w:tc>
          <w:tcPr>
            <w:tcW w:w="2267" w:type="dxa"/>
            <w:tcBorders>
              <w:bottom w:val="single" w:sz="8" w:space="0" w:color="000000"/>
              <w:right w:val="single" w:sz="8" w:space="0" w:color="000000"/>
            </w:tcBorders>
            <w:tcMar>
              <w:top w:w="0" w:type="dxa"/>
              <w:left w:w="100" w:type="dxa"/>
              <w:bottom w:w="0" w:type="dxa"/>
              <w:right w:w="100" w:type="dxa"/>
            </w:tcMar>
          </w:tcPr>
          <w:p w14:paraId="6D5DCCC1" w14:textId="77777777" w:rsidR="00126128" w:rsidRDefault="0078150B">
            <w:pPr>
              <w:rPr>
                <w:color w:val="242424"/>
              </w:rPr>
            </w:pPr>
            <w:r>
              <w:rPr>
                <w:color w:val="242424"/>
              </w:rPr>
              <w:t>-22.74 ± 0.11 (n=6)</w:t>
            </w:r>
          </w:p>
        </w:tc>
        <w:tc>
          <w:tcPr>
            <w:tcW w:w="2208" w:type="dxa"/>
            <w:tcBorders>
              <w:bottom w:val="single" w:sz="8" w:space="0" w:color="000000"/>
              <w:right w:val="single" w:sz="8" w:space="0" w:color="000000"/>
            </w:tcBorders>
            <w:tcMar>
              <w:top w:w="0" w:type="dxa"/>
              <w:left w:w="100" w:type="dxa"/>
              <w:bottom w:w="0" w:type="dxa"/>
              <w:right w:w="100" w:type="dxa"/>
            </w:tcMar>
          </w:tcPr>
          <w:p w14:paraId="4284F9DB" w14:textId="77777777" w:rsidR="00126128" w:rsidRDefault="0078150B">
            <w:pPr>
              <w:rPr>
                <w:color w:val="242424"/>
              </w:rPr>
            </w:pPr>
            <w:r>
              <w:rPr>
                <w:color w:val="242424"/>
              </w:rPr>
              <w:t>4.22 ± 0.08 (n=6)</w:t>
            </w:r>
          </w:p>
        </w:tc>
        <w:tc>
          <w:tcPr>
            <w:tcW w:w="2267" w:type="dxa"/>
            <w:tcBorders>
              <w:bottom w:val="single" w:sz="8" w:space="0" w:color="000000"/>
              <w:right w:val="single" w:sz="8" w:space="0" w:color="000000"/>
            </w:tcBorders>
            <w:tcMar>
              <w:top w:w="0" w:type="dxa"/>
              <w:left w:w="100" w:type="dxa"/>
              <w:bottom w:w="0" w:type="dxa"/>
              <w:right w:w="100" w:type="dxa"/>
            </w:tcMar>
          </w:tcPr>
          <w:p w14:paraId="02721636" w14:textId="77777777" w:rsidR="00126128" w:rsidRDefault="0078150B">
            <w:pPr>
              <w:rPr>
                <w:color w:val="242424"/>
              </w:rPr>
            </w:pPr>
            <w:r>
              <w:rPr>
                <w:color w:val="242424"/>
              </w:rPr>
              <w:t>0.78 ± 0.27 (n=6)</w:t>
            </w:r>
          </w:p>
        </w:tc>
      </w:tr>
      <w:tr w:rsidR="00126128" w14:paraId="51C72B73" w14:textId="77777777">
        <w:trPr>
          <w:trHeight w:val="300"/>
        </w:trPr>
        <w:tc>
          <w:tcPr>
            <w:tcW w:w="2283" w:type="dxa"/>
            <w:tcBorders>
              <w:left w:val="single" w:sz="8" w:space="0" w:color="000000"/>
              <w:bottom w:val="single" w:sz="8" w:space="0" w:color="000000"/>
              <w:right w:val="single" w:sz="8" w:space="0" w:color="000000"/>
            </w:tcBorders>
            <w:tcMar>
              <w:top w:w="0" w:type="dxa"/>
              <w:left w:w="100" w:type="dxa"/>
              <w:bottom w:w="0" w:type="dxa"/>
              <w:right w:w="100" w:type="dxa"/>
            </w:tcMar>
          </w:tcPr>
          <w:p w14:paraId="180D09D6" w14:textId="77777777" w:rsidR="00126128" w:rsidRDefault="0078150B">
            <w:pPr>
              <w:rPr>
                <w:color w:val="242424"/>
              </w:rPr>
            </w:pPr>
            <w:r>
              <w:rPr>
                <w:color w:val="242424"/>
              </w:rPr>
              <w:t>6</w:t>
            </w:r>
          </w:p>
        </w:tc>
        <w:tc>
          <w:tcPr>
            <w:tcW w:w="2267" w:type="dxa"/>
            <w:tcBorders>
              <w:bottom w:val="single" w:sz="8" w:space="0" w:color="000000"/>
              <w:right w:val="single" w:sz="8" w:space="0" w:color="000000"/>
            </w:tcBorders>
            <w:tcMar>
              <w:top w:w="0" w:type="dxa"/>
              <w:left w:w="100" w:type="dxa"/>
              <w:bottom w:w="0" w:type="dxa"/>
              <w:right w:w="100" w:type="dxa"/>
            </w:tcMar>
          </w:tcPr>
          <w:p w14:paraId="473F0905" w14:textId="77777777" w:rsidR="00126128" w:rsidRDefault="0078150B">
            <w:pPr>
              <w:rPr>
                <w:color w:val="242424"/>
              </w:rPr>
            </w:pPr>
            <w:r>
              <w:rPr>
                <w:color w:val="242424"/>
              </w:rPr>
              <w:t>-22.90 ± 0.11 (n=4)</w:t>
            </w:r>
          </w:p>
        </w:tc>
        <w:tc>
          <w:tcPr>
            <w:tcW w:w="2208" w:type="dxa"/>
            <w:tcBorders>
              <w:bottom w:val="single" w:sz="8" w:space="0" w:color="000000"/>
              <w:right w:val="single" w:sz="8" w:space="0" w:color="000000"/>
            </w:tcBorders>
            <w:tcMar>
              <w:top w:w="0" w:type="dxa"/>
              <w:left w:w="100" w:type="dxa"/>
              <w:bottom w:w="0" w:type="dxa"/>
              <w:right w:w="100" w:type="dxa"/>
            </w:tcMar>
          </w:tcPr>
          <w:p w14:paraId="5849DA15" w14:textId="77777777" w:rsidR="00126128" w:rsidRDefault="0078150B">
            <w:pPr>
              <w:rPr>
                <w:color w:val="242424"/>
              </w:rPr>
            </w:pPr>
            <w:r>
              <w:rPr>
                <w:color w:val="242424"/>
              </w:rPr>
              <w:t>4.24 ± 0.06 (n=4)</w:t>
            </w:r>
          </w:p>
        </w:tc>
        <w:tc>
          <w:tcPr>
            <w:tcW w:w="2267" w:type="dxa"/>
            <w:tcBorders>
              <w:bottom w:val="single" w:sz="8" w:space="0" w:color="000000"/>
              <w:right w:val="single" w:sz="8" w:space="0" w:color="000000"/>
            </w:tcBorders>
            <w:tcMar>
              <w:top w:w="0" w:type="dxa"/>
              <w:left w:w="100" w:type="dxa"/>
              <w:bottom w:w="0" w:type="dxa"/>
              <w:right w:w="100" w:type="dxa"/>
            </w:tcMar>
          </w:tcPr>
          <w:p w14:paraId="24404C98" w14:textId="77777777" w:rsidR="00126128" w:rsidRDefault="0078150B">
            <w:pPr>
              <w:rPr>
                <w:color w:val="242424"/>
              </w:rPr>
            </w:pPr>
            <w:r>
              <w:rPr>
                <w:color w:val="242424"/>
              </w:rPr>
              <w:t>0.81 ± 0.04 (n=4)</w:t>
            </w:r>
          </w:p>
        </w:tc>
      </w:tr>
      <w:tr w:rsidR="00126128" w14:paraId="3CF914E1" w14:textId="77777777">
        <w:trPr>
          <w:trHeight w:val="300"/>
        </w:trPr>
        <w:tc>
          <w:tcPr>
            <w:tcW w:w="2283" w:type="dxa"/>
            <w:tcBorders>
              <w:left w:val="single" w:sz="8" w:space="0" w:color="000000"/>
              <w:bottom w:val="single" w:sz="8" w:space="0" w:color="000000"/>
              <w:right w:val="single" w:sz="8" w:space="0" w:color="000000"/>
            </w:tcBorders>
            <w:tcMar>
              <w:top w:w="0" w:type="dxa"/>
              <w:left w:w="100" w:type="dxa"/>
              <w:bottom w:w="0" w:type="dxa"/>
              <w:right w:w="100" w:type="dxa"/>
            </w:tcMar>
          </w:tcPr>
          <w:p w14:paraId="60DAB883" w14:textId="77777777" w:rsidR="00126128" w:rsidRDefault="0078150B">
            <w:pPr>
              <w:rPr>
                <w:color w:val="242424"/>
              </w:rPr>
            </w:pPr>
            <w:r>
              <w:rPr>
                <w:color w:val="242424"/>
              </w:rPr>
              <w:t>Runs 1-6 combined</w:t>
            </w:r>
          </w:p>
        </w:tc>
        <w:tc>
          <w:tcPr>
            <w:tcW w:w="2267" w:type="dxa"/>
            <w:tcBorders>
              <w:bottom w:val="single" w:sz="8" w:space="0" w:color="000000"/>
              <w:right w:val="single" w:sz="8" w:space="0" w:color="000000"/>
            </w:tcBorders>
            <w:tcMar>
              <w:top w:w="0" w:type="dxa"/>
              <w:left w:w="100" w:type="dxa"/>
              <w:bottom w:w="0" w:type="dxa"/>
              <w:right w:w="100" w:type="dxa"/>
            </w:tcMar>
          </w:tcPr>
          <w:p w14:paraId="41E55C58" w14:textId="77777777" w:rsidR="00126128" w:rsidRDefault="0078150B">
            <w:pPr>
              <w:rPr>
                <w:color w:val="242424"/>
              </w:rPr>
            </w:pPr>
            <w:r>
              <w:rPr>
                <w:color w:val="242424"/>
              </w:rPr>
              <w:t>-22.92 ± 0.18 (n=37)</w:t>
            </w:r>
          </w:p>
        </w:tc>
        <w:tc>
          <w:tcPr>
            <w:tcW w:w="2208" w:type="dxa"/>
            <w:tcBorders>
              <w:bottom w:val="single" w:sz="8" w:space="0" w:color="000000"/>
              <w:right w:val="single" w:sz="8" w:space="0" w:color="000000"/>
            </w:tcBorders>
            <w:tcMar>
              <w:top w:w="0" w:type="dxa"/>
              <w:left w:w="100" w:type="dxa"/>
              <w:bottom w:w="0" w:type="dxa"/>
              <w:right w:w="100" w:type="dxa"/>
            </w:tcMar>
          </w:tcPr>
          <w:p w14:paraId="1714853F" w14:textId="77777777" w:rsidR="00126128" w:rsidRDefault="0078150B">
            <w:pPr>
              <w:rPr>
                <w:color w:val="242424"/>
              </w:rPr>
            </w:pPr>
            <w:r>
              <w:rPr>
                <w:color w:val="242424"/>
              </w:rPr>
              <w:t>4.41 ± 0.19 (n=37)</w:t>
            </w:r>
          </w:p>
        </w:tc>
        <w:tc>
          <w:tcPr>
            <w:tcW w:w="2267" w:type="dxa"/>
            <w:tcBorders>
              <w:bottom w:val="single" w:sz="8" w:space="0" w:color="000000"/>
              <w:right w:val="single" w:sz="8" w:space="0" w:color="000000"/>
            </w:tcBorders>
            <w:tcMar>
              <w:top w:w="0" w:type="dxa"/>
              <w:left w:w="100" w:type="dxa"/>
              <w:bottom w:w="0" w:type="dxa"/>
              <w:right w:w="100" w:type="dxa"/>
            </w:tcMar>
          </w:tcPr>
          <w:p w14:paraId="09487D3C" w14:textId="77777777" w:rsidR="00126128" w:rsidRDefault="0078150B">
            <w:pPr>
              <w:rPr>
                <w:color w:val="242424"/>
              </w:rPr>
            </w:pPr>
            <w:r>
              <w:rPr>
                <w:color w:val="242424"/>
              </w:rPr>
              <w:t>1.03 ± 0.59 (n=37)</w:t>
            </w:r>
          </w:p>
        </w:tc>
      </w:tr>
    </w:tbl>
    <w:p w14:paraId="123C13B6" w14:textId="77777777" w:rsidR="00126128" w:rsidRDefault="00126128">
      <w:pPr>
        <w:rPr>
          <w:highlight w:val="white"/>
        </w:rPr>
      </w:pPr>
    </w:p>
    <w:p w14:paraId="25CCE05F" w14:textId="54553297" w:rsidR="00126128" w:rsidRDefault="0078150B">
      <w:pPr>
        <w:rPr>
          <w:highlight w:val="white"/>
        </w:rPr>
      </w:pPr>
      <w:r>
        <w:rPr>
          <w:highlight w:val="white"/>
        </w:rPr>
        <w:t xml:space="preserve">Collagen quality was examined using prescribed quality ranges </w:t>
      </w:r>
      <w:r>
        <w:t xml:space="preserve">(De Niro 1985; Nehlich </w:t>
      </w:r>
      <w:r w:rsidR="004C1331">
        <w:t xml:space="preserve">&amp; </w:t>
      </w:r>
      <w:r>
        <w:t>Richards 2009). At</w:t>
      </w:r>
      <w:r>
        <w:rPr>
          <w:highlight w:val="white"/>
        </w:rPr>
        <w:t>omic C/N ratios between 2.9</w:t>
      </w:r>
      <w:r w:rsidR="00B11CF5">
        <w:rPr>
          <w:highlight w:val="white"/>
        </w:rPr>
        <w:t>–</w:t>
      </w:r>
      <w:r>
        <w:rPr>
          <w:highlight w:val="white"/>
        </w:rPr>
        <w:t>3.6, atomic C/S ratios between 300</w:t>
      </w:r>
      <w:r w:rsidR="009E1237">
        <w:rPr>
          <w:highlight w:val="white"/>
        </w:rPr>
        <w:t>–</w:t>
      </w:r>
      <w:r>
        <w:rPr>
          <w:highlight w:val="white"/>
        </w:rPr>
        <w:t>900 and atomic N/S ratios between 100</w:t>
      </w:r>
      <w:r w:rsidR="009E1237">
        <w:rPr>
          <w:highlight w:val="white"/>
        </w:rPr>
        <w:t>–</w:t>
      </w:r>
      <w:r>
        <w:rPr>
          <w:highlight w:val="white"/>
        </w:rPr>
        <w:t xml:space="preserve">300 are indicative of well-preserved collagen. All samples met the C/N ratios but C/S and N/S were variable (of 109 samples in total, 37 met the N/S thresholds, 42 met C/S) - see </w:t>
      </w:r>
      <w:r w:rsidR="009E1237">
        <w:rPr>
          <w:highlight w:val="white"/>
        </w:rPr>
        <w:t>section</w:t>
      </w:r>
      <w:r>
        <w:rPr>
          <w:highlight w:val="white"/>
        </w:rPr>
        <w:t xml:space="preserve"> 2.6.2 for discussion of why this might be the case. All data obtained are given in </w:t>
      </w:r>
      <w:r w:rsidR="009E1237">
        <w:rPr>
          <w:highlight w:val="white"/>
        </w:rPr>
        <w:t>OSM2</w:t>
      </w:r>
      <w:r>
        <w:rPr>
          <w:highlight w:val="white"/>
        </w:rPr>
        <w:t xml:space="preserve"> (worksheet 3). </w:t>
      </w:r>
    </w:p>
    <w:p w14:paraId="3FC85947" w14:textId="77777777" w:rsidR="00126128" w:rsidRDefault="00126128">
      <w:pPr>
        <w:rPr>
          <w:highlight w:val="white"/>
        </w:rPr>
      </w:pPr>
    </w:p>
    <w:p w14:paraId="0415DE8D" w14:textId="77777777" w:rsidR="00126128" w:rsidRDefault="0078150B">
      <w:pPr>
        <w:rPr>
          <w:b/>
        </w:rPr>
      </w:pPr>
      <w:r>
        <w:br w:type="page"/>
      </w:r>
    </w:p>
    <w:p w14:paraId="56076DF6" w14:textId="77777777" w:rsidR="00126128" w:rsidRDefault="0078150B">
      <w:pPr>
        <w:rPr>
          <w:b/>
        </w:rPr>
      </w:pPr>
      <w:r>
        <w:rPr>
          <w:b/>
        </w:rPr>
        <w:lastRenderedPageBreak/>
        <w:t>1.2.3 Archival research</w:t>
      </w:r>
    </w:p>
    <w:p w14:paraId="76124CAE" w14:textId="6B68F2F1" w:rsidR="00126128" w:rsidRDefault="0078150B">
      <w:r>
        <w:t xml:space="preserve">Multiple different sources were used to interrogate baiting, from eyewitness accounts to details of the places where the </w:t>
      </w:r>
      <w:r w:rsidR="002F1A46">
        <w:t>‘</w:t>
      </w:r>
      <w:r>
        <w:t>sport</w:t>
      </w:r>
      <w:r w:rsidR="002F1A46">
        <w:t>’</w:t>
      </w:r>
      <w:r>
        <w:t xml:space="preserve"> took place (Table S3). Much information is centred on Bankside, but records from around England have helped to give context to the archaeological evidence at hand:</w:t>
      </w:r>
    </w:p>
    <w:p w14:paraId="3714B901" w14:textId="77777777" w:rsidR="00126128" w:rsidRDefault="00126128"/>
    <w:p w14:paraId="310A36B4" w14:textId="2573BA17" w:rsidR="00126128" w:rsidRDefault="0078150B">
      <w:pPr>
        <w:rPr>
          <w:b/>
        </w:rPr>
      </w:pPr>
      <w:r>
        <w:rPr>
          <w:b/>
        </w:rPr>
        <w:t>Table S3</w:t>
      </w:r>
      <w:r w:rsidR="006E0E10">
        <w:rPr>
          <w:b/>
        </w:rPr>
        <w:t>.</w:t>
      </w:r>
      <w:r>
        <w:rPr>
          <w:b/>
        </w:rPr>
        <w:t xml:space="preserve"> Archival sources used for this project</w:t>
      </w:r>
      <w:r w:rsidR="006A19FA">
        <w:rPr>
          <w:b/>
        </w:rPr>
        <w:t>.</w:t>
      </w:r>
    </w:p>
    <w:tbl>
      <w:tblPr>
        <w:tblStyle w:val="afb"/>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5"/>
        <w:gridCol w:w="6015"/>
      </w:tblGrid>
      <w:tr w:rsidR="00126128" w14:paraId="50C329BF" w14:textId="77777777">
        <w:trPr>
          <w:trHeight w:val="507"/>
        </w:trPr>
        <w:tc>
          <w:tcPr>
            <w:tcW w:w="2985" w:type="dxa"/>
            <w:shd w:val="clear" w:color="auto" w:fill="auto"/>
            <w:tcMar>
              <w:top w:w="100" w:type="dxa"/>
              <w:left w:w="100" w:type="dxa"/>
              <w:bottom w:w="100" w:type="dxa"/>
              <w:right w:w="100" w:type="dxa"/>
            </w:tcMar>
          </w:tcPr>
          <w:p w14:paraId="6FE15AF9" w14:textId="77777777" w:rsidR="00126128" w:rsidRDefault="0078150B">
            <w:pPr>
              <w:widowControl w:val="0"/>
              <w:spacing w:line="240" w:lineRule="auto"/>
              <w:rPr>
                <w:b/>
              </w:rPr>
            </w:pPr>
            <w:r>
              <w:rPr>
                <w:b/>
              </w:rPr>
              <w:t>Archive</w:t>
            </w:r>
          </w:p>
        </w:tc>
        <w:tc>
          <w:tcPr>
            <w:tcW w:w="6015" w:type="dxa"/>
            <w:shd w:val="clear" w:color="auto" w:fill="auto"/>
            <w:tcMar>
              <w:top w:w="100" w:type="dxa"/>
              <w:left w:w="100" w:type="dxa"/>
              <w:bottom w:w="100" w:type="dxa"/>
              <w:right w:w="100" w:type="dxa"/>
            </w:tcMar>
          </w:tcPr>
          <w:p w14:paraId="336BFC84" w14:textId="77777777" w:rsidR="00126128" w:rsidRDefault="0078150B">
            <w:pPr>
              <w:widowControl w:val="0"/>
              <w:spacing w:line="240" w:lineRule="auto"/>
              <w:rPr>
                <w:b/>
              </w:rPr>
            </w:pPr>
            <w:r>
              <w:rPr>
                <w:b/>
              </w:rPr>
              <w:t>Details</w:t>
            </w:r>
          </w:p>
        </w:tc>
      </w:tr>
      <w:tr w:rsidR="00126128" w14:paraId="75FBCD9D" w14:textId="77777777">
        <w:tc>
          <w:tcPr>
            <w:tcW w:w="2985" w:type="dxa"/>
            <w:shd w:val="clear" w:color="auto" w:fill="auto"/>
            <w:tcMar>
              <w:top w:w="100" w:type="dxa"/>
              <w:left w:w="100" w:type="dxa"/>
              <w:bottom w:w="100" w:type="dxa"/>
              <w:right w:w="100" w:type="dxa"/>
            </w:tcMar>
          </w:tcPr>
          <w:p w14:paraId="6A255D66" w14:textId="77777777" w:rsidR="00126128" w:rsidRDefault="0078150B">
            <w:pPr>
              <w:widowControl w:val="0"/>
              <w:spacing w:line="240" w:lineRule="auto"/>
            </w:pPr>
            <w:r>
              <w:t>Dulwich College Archives</w:t>
            </w:r>
          </w:p>
        </w:tc>
        <w:tc>
          <w:tcPr>
            <w:tcW w:w="6015" w:type="dxa"/>
            <w:shd w:val="clear" w:color="auto" w:fill="auto"/>
            <w:tcMar>
              <w:top w:w="100" w:type="dxa"/>
              <w:left w:w="100" w:type="dxa"/>
              <w:bottom w:w="100" w:type="dxa"/>
              <w:right w:w="100" w:type="dxa"/>
            </w:tcMar>
          </w:tcPr>
          <w:p w14:paraId="367D0A2A" w14:textId="77777777" w:rsidR="00126128" w:rsidRDefault="0078150B">
            <w:pPr>
              <w:widowControl w:val="0"/>
              <w:spacing w:line="240" w:lineRule="auto"/>
            </w:pPr>
            <w:r>
              <w:t>Papers from Philip Henslowe and Edward Alleyn as Masters of the Bulls, Bears, and Mastiff Dogs in the early seventeenth century</w:t>
            </w:r>
          </w:p>
        </w:tc>
      </w:tr>
      <w:tr w:rsidR="00126128" w14:paraId="3C30C89A" w14:textId="77777777">
        <w:tc>
          <w:tcPr>
            <w:tcW w:w="2985" w:type="dxa"/>
            <w:shd w:val="clear" w:color="auto" w:fill="auto"/>
            <w:tcMar>
              <w:top w:w="100" w:type="dxa"/>
              <w:left w:w="100" w:type="dxa"/>
              <w:bottom w:w="100" w:type="dxa"/>
              <w:right w:w="100" w:type="dxa"/>
            </w:tcMar>
          </w:tcPr>
          <w:p w14:paraId="580BF080" w14:textId="77777777" w:rsidR="00126128" w:rsidRDefault="0078150B">
            <w:pPr>
              <w:widowControl w:val="0"/>
              <w:spacing w:line="240" w:lineRule="auto"/>
            </w:pPr>
            <w:r>
              <w:t>The National Archives</w:t>
            </w:r>
          </w:p>
        </w:tc>
        <w:tc>
          <w:tcPr>
            <w:tcW w:w="6015" w:type="dxa"/>
            <w:shd w:val="clear" w:color="auto" w:fill="auto"/>
            <w:tcMar>
              <w:top w:w="100" w:type="dxa"/>
              <w:left w:w="100" w:type="dxa"/>
              <w:bottom w:w="100" w:type="dxa"/>
              <w:right w:w="100" w:type="dxa"/>
            </w:tcMar>
          </w:tcPr>
          <w:p w14:paraId="5D165110" w14:textId="77777777" w:rsidR="00126128" w:rsidRDefault="0078150B">
            <w:pPr>
              <w:widowControl w:val="0"/>
              <w:spacing w:line="240" w:lineRule="auto"/>
            </w:pPr>
            <w:r>
              <w:t>Various documentation related to Bankside baiting, including leases, lawsuits, and Privy Council orders</w:t>
            </w:r>
          </w:p>
        </w:tc>
      </w:tr>
      <w:tr w:rsidR="00126128" w14:paraId="79D8EE7E" w14:textId="77777777">
        <w:tc>
          <w:tcPr>
            <w:tcW w:w="2985" w:type="dxa"/>
            <w:shd w:val="clear" w:color="auto" w:fill="auto"/>
            <w:tcMar>
              <w:top w:w="100" w:type="dxa"/>
              <w:left w:w="100" w:type="dxa"/>
              <w:bottom w:w="100" w:type="dxa"/>
              <w:right w:w="100" w:type="dxa"/>
            </w:tcMar>
          </w:tcPr>
          <w:p w14:paraId="368C841A" w14:textId="77777777" w:rsidR="00126128" w:rsidRDefault="0078150B">
            <w:pPr>
              <w:widowControl w:val="0"/>
              <w:spacing w:line="240" w:lineRule="auto"/>
            </w:pPr>
            <w:r>
              <w:t>London Metropolitan Archives</w:t>
            </w:r>
          </w:p>
        </w:tc>
        <w:tc>
          <w:tcPr>
            <w:tcW w:w="6015" w:type="dxa"/>
            <w:shd w:val="clear" w:color="auto" w:fill="auto"/>
            <w:tcMar>
              <w:top w:w="100" w:type="dxa"/>
              <w:left w:w="100" w:type="dxa"/>
              <w:bottom w:w="100" w:type="dxa"/>
              <w:right w:w="100" w:type="dxa"/>
            </w:tcMar>
          </w:tcPr>
          <w:p w14:paraId="47B4B036" w14:textId="77777777" w:rsidR="00126128" w:rsidRDefault="0078150B">
            <w:pPr>
              <w:widowControl w:val="0"/>
              <w:spacing w:line="240" w:lineRule="auto"/>
            </w:pPr>
            <w:r>
              <w:t>London-based records pertaining to drama, including London Corporation details; also including Sewer Records of Kent and Surrey, which holds details about the land uses and occupants on Bankside around baiting arenas</w:t>
            </w:r>
          </w:p>
        </w:tc>
      </w:tr>
      <w:tr w:rsidR="00126128" w14:paraId="34DA8E2B" w14:textId="77777777">
        <w:tc>
          <w:tcPr>
            <w:tcW w:w="2985" w:type="dxa"/>
            <w:shd w:val="clear" w:color="auto" w:fill="auto"/>
            <w:tcMar>
              <w:top w:w="100" w:type="dxa"/>
              <w:left w:w="100" w:type="dxa"/>
              <w:bottom w:w="100" w:type="dxa"/>
              <w:right w:w="100" w:type="dxa"/>
            </w:tcMar>
          </w:tcPr>
          <w:p w14:paraId="124240AD" w14:textId="77777777" w:rsidR="00126128" w:rsidRDefault="0078150B">
            <w:pPr>
              <w:widowControl w:val="0"/>
              <w:spacing w:line="240" w:lineRule="auto"/>
            </w:pPr>
            <w:r>
              <w:t>Local records (various)</w:t>
            </w:r>
          </w:p>
        </w:tc>
        <w:tc>
          <w:tcPr>
            <w:tcW w:w="6015" w:type="dxa"/>
            <w:shd w:val="clear" w:color="auto" w:fill="auto"/>
            <w:tcMar>
              <w:top w:w="100" w:type="dxa"/>
              <w:left w:w="100" w:type="dxa"/>
              <w:bottom w:w="100" w:type="dxa"/>
              <w:right w:w="100" w:type="dxa"/>
            </w:tcMar>
          </w:tcPr>
          <w:p w14:paraId="12B7EBB7" w14:textId="51DEB83F" w:rsidR="00126128" w:rsidRDefault="0078150B">
            <w:pPr>
              <w:widowControl w:val="0"/>
              <w:spacing w:line="240" w:lineRule="auto"/>
            </w:pPr>
            <w:r>
              <w:t>Records from English local archives (such as Lancashire, Kent, Suffolk, Bristol, Cheshire) with evidence on social practices connected to bloodsports</w:t>
            </w:r>
          </w:p>
        </w:tc>
      </w:tr>
      <w:tr w:rsidR="00126128" w14:paraId="4F13B78C" w14:textId="77777777">
        <w:tc>
          <w:tcPr>
            <w:tcW w:w="2985" w:type="dxa"/>
            <w:shd w:val="clear" w:color="auto" w:fill="auto"/>
            <w:tcMar>
              <w:top w:w="100" w:type="dxa"/>
              <w:left w:w="100" w:type="dxa"/>
              <w:bottom w:w="100" w:type="dxa"/>
              <w:right w:w="100" w:type="dxa"/>
            </w:tcMar>
          </w:tcPr>
          <w:p w14:paraId="3F8CD46C" w14:textId="77777777" w:rsidR="00126128" w:rsidRDefault="0078150B">
            <w:pPr>
              <w:widowControl w:val="0"/>
              <w:spacing w:line="240" w:lineRule="auto"/>
            </w:pPr>
            <w:r>
              <w:t>British Library</w:t>
            </w:r>
          </w:p>
        </w:tc>
        <w:tc>
          <w:tcPr>
            <w:tcW w:w="6015" w:type="dxa"/>
            <w:shd w:val="clear" w:color="auto" w:fill="auto"/>
            <w:tcMar>
              <w:top w:w="100" w:type="dxa"/>
              <w:left w:w="100" w:type="dxa"/>
              <w:bottom w:w="100" w:type="dxa"/>
              <w:right w:w="100" w:type="dxa"/>
            </w:tcMar>
          </w:tcPr>
          <w:p w14:paraId="18BE140B" w14:textId="77777777" w:rsidR="00126128" w:rsidRDefault="0078150B">
            <w:pPr>
              <w:widowControl w:val="0"/>
              <w:spacing w:line="240" w:lineRule="auto"/>
            </w:pPr>
            <w:r>
              <w:t>Documents pertaining to entertainment and activity on Bankside, such as collapse of the Paris Garden scaffolds (Lansdowne MS 37)</w:t>
            </w:r>
          </w:p>
        </w:tc>
      </w:tr>
      <w:tr w:rsidR="00126128" w14:paraId="270DDD87" w14:textId="77777777">
        <w:tc>
          <w:tcPr>
            <w:tcW w:w="2985" w:type="dxa"/>
            <w:shd w:val="clear" w:color="auto" w:fill="auto"/>
            <w:tcMar>
              <w:top w:w="100" w:type="dxa"/>
              <w:left w:w="100" w:type="dxa"/>
              <w:bottom w:w="100" w:type="dxa"/>
              <w:right w:w="100" w:type="dxa"/>
            </w:tcMar>
          </w:tcPr>
          <w:p w14:paraId="42754FA0" w14:textId="77777777" w:rsidR="00126128" w:rsidRDefault="0078150B">
            <w:pPr>
              <w:widowControl w:val="0"/>
              <w:spacing w:line="240" w:lineRule="auto"/>
            </w:pPr>
            <w:r>
              <w:rPr>
                <w:i/>
              </w:rPr>
              <w:t xml:space="preserve">Records of Early English Drama </w:t>
            </w:r>
            <w:r>
              <w:t>(University of Toronto Press)</w:t>
            </w:r>
          </w:p>
        </w:tc>
        <w:tc>
          <w:tcPr>
            <w:tcW w:w="6015" w:type="dxa"/>
            <w:shd w:val="clear" w:color="auto" w:fill="auto"/>
            <w:tcMar>
              <w:top w:w="100" w:type="dxa"/>
              <w:left w:w="100" w:type="dxa"/>
              <w:bottom w:w="100" w:type="dxa"/>
              <w:right w:w="100" w:type="dxa"/>
            </w:tcMar>
          </w:tcPr>
          <w:p w14:paraId="297C77D5" w14:textId="77777777" w:rsidR="00126128" w:rsidRDefault="0078150B">
            <w:pPr>
              <w:widowControl w:val="0"/>
              <w:spacing w:line="240" w:lineRule="auto"/>
            </w:pPr>
            <w:r>
              <w:t>A published collection of transcribed primary sources arranged by counties, concerning all forms of performance, drama, or display, including baiting.</w:t>
            </w:r>
          </w:p>
        </w:tc>
      </w:tr>
      <w:tr w:rsidR="00126128" w14:paraId="60C1EED0" w14:textId="77777777">
        <w:tc>
          <w:tcPr>
            <w:tcW w:w="2985" w:type="dxa"/>
            <w:shd w:val="clear" w:color="auto" w:fill="auto"/>
            <w:tcMar>
              <w:top w:w="100" w:type="dxa"/>
              <w:left w:w="100" w:type="dxa"/>
              <w:bottom w:w="100" w:type="dxa"/>
              <w:right w:w="100" w:type="dxa"/>
            </w:tcMar>
          </w:tcPr>
          <w:p w14:paraId="59F851E4" w14:textId="77777777" w:rsidR="00126128" w:rsidRDefault="0078150B">
            <w:pPr>
              <w:widowControl w:val="0"/>
              <w:spacing w:line="240" w:lineRule="auto"/>
            </w:pPr>
            <w:r>
              <w:t>Print and other MS sources</w:t>
            </w:r>
          </w:p>
        </w:tc>
        <w:tc>
          <w:tcPr>
            <w:tcW w:w="6015" w:type="dxa"/>
            <w:shd w:val="clear" w:color="auto" w:fill="auto"/>
            <w:tcMar>
              <w:top w:w="100" w:type="dxa"/>
              <w:left w:w="100" w:type="dxa"/>
              <w:bottom w:w="100" w:type="dxa"/>
              <w:right w:w="100" w:type="dxa"/>
            </w:tcMar>
          </w:tcPr>
          <w:p w14:paraId="266A8D78" w14:textId="4ABE499E" w:rsidR="00126128" w:rsidRDefault="0078150B">
            <w:pPr>
              <w:widowControl w:val="0"/>
              <w:spacing w:line="240" w:lineRule="auto"/>
            </w:pPr>
            <w:r>
              <w:t xml:space="preserve">Various printed texts that include accounts of baiting such </w:t>
            </w:r>
            <w:r>
              <w:lastRenderedPageBreak/>
              <w:t xml:space="preserve">as Thomas Dekker’s </w:t>
            </w:r>
            <w:r>
              <w:rPr>
                <w:i/>
              </w:rPr>
              <w:t xml:space="preserve">Worke for Armorers </w:t>
            </w:r>
            <w:r>
              <w:t>(1609) and manuscript accounts such as Lupold von Wedel’s account of baiting performance (</w:t>
            </w:r>
            <w:r>
              <w:rPr>
                <w:i/>
              </w:rPr>
              <w:t>Transactions of the Royal History Society</w:t>
            </w:r>
            <w:r>
              <w:t xml:space="preserve"> n.s. 9 (1895): 223</w:t>
            </w:r>
            <w:r w:rsidR="007A4AFD">
              <w:t>–</w:t>
            </w:r>
            <w:r>
              <w:t>70).</w:t>
            </w:r>
          </w:p>
        </w:tc>
      </w:tr>
    </w:tbl>
    <w:p w14:paraId="0AF38093" w14:textId="77777777" w:rsidR="00126128" w:rsidRDefault="00126128"/>
    <w:p w14:paraId="197C8B53" w14:textId="4BC06623" w:rsidR="00126128" w:rsidRDefault="0078150B">
      <w:pPr>
        <w:rPr>
          <w:b/>
        </w:rPr>
      </w:pPr>
      <w:r>
        <w:br w:type="page"/>
      </w:r>
      <w:r>
        <w:rPr>
          <w:b/>
        </w:rPr>
        <w:lastRenderedPageBreak/>
        <w:t>2. Results</w:t>
      </w:r>
    </w:p>
    <w:p w14:paraId="59F9BFC6" w14:textId="77777777" w:rsidR="00126128" w:rsidRDefault="00126128"/>
    <w:p w14:paraId="5D3EF9DA" w14:textId="77777777" w:rsidR="00126128" w:rsidRDefault="0078150B">
      <w:pPr>
        <w:rPr>
          <w:b/>
        </w:rPr>
      </w:pPr>
      <w:r>
        <w:rPr>
          <w:b/>
        </w:rPr>
        <w:t>2.1 Species representation</w:t>
      </w:r>
    </w:p>
    <w:p w14:paraId="540401C0" w14:textId="77777777" w:rsidR="00126128" w:rsidRDefault="0078150B">
      <w:pPr>
        <w:rPr>
          <w:i/>
        </w:rPr>
      </w:pPr>
      <w:r>
        <w:rPr>
          <w:i/>
        </w:rPr>
        <w:t>Summary data for NISP and MNI</w:t>
      </w:r>
    </w:p>
    <w:p w14:paraId="38C40F9F" w14:textId="77777777" w:rsidR="00126128" w:rsidRDefault="00126128"/>
    <w:p w14:paraId="54981DAD" w14:textId="062EC927" w:rsidR="00126128" w:rsidRPr="006A19FA" w:rsidRDefault="0078150B">
      <w:r>
        <w:rPr>
          <w:b/>
        </w:rPr>
        <w:t>Table S</w:t>
      </w:r>
      <w:r w:rsidR="006E0E10">
        <w:rPr>
          <w:b/>
        </w:rPr>
        <w:t>4.</w:t>
      </w:r>
      <w:r>
        <w:rPr>
          <w:b/>
        </w:rPr>
        <w:t xml:space="preserve"> Summary NISP data for the six main species present at sites on Bankside.</w:t>
      </w:r>
      <w:r>
        <w:t xml:space="preserve"> This study focused on a number of taxa (cattle, pigs, sheep/goat, dogs, equids and bears) and the NISPs presented here are for these taxa only. The number displayed is an adjusted NISP (see </w:t>
      </w:r>
      <w:r w:rsidR="009E1237">
        <w:t xml:space="preserve">section </w:t>
      </w:r>
      <w:r>
        <w:t xml:space="preserve">1.2 for details). Some assemblages were only partially recorded for this study, so NISPs for these have been calculated using database data from past studies. For SBH88 and PR441 these data were taken from MOLA’s ORACLE database, and for EWH08 and EMH12 data were taken from a database compiled </w:t>
      </w:r>
      <w:r w:rsidRPr="006A19FA">
        <w:t xml:space="preserve">by </w:t>
      </w:r>
      <w:r w:rsidR="005806F4" w:rsidRPr="006A19FA">
        <w:t>Kevin Rielly</w:t>
      </w:r>
      <w:r w:rsidR="006A19FA">
        <w:t>.</w:t>
      </w:r>
      <w:r w:rsidRPr="006A19FA">
        <w:t xml:space="preserve"> </w:t>
      </w:r>
    </w:p>
    <w:p w14:paraId="6AB76AA9" w14:textId="77777777" w:rsidR="00126128" w:rsidRDefault="00126128">
      <w:pPr>
        <w:rPr>
          <w:b/>
        </w:rPr>
      </w:pPr>
    </w:p>
    <w:p w14:paraId="1983B60E" w14:textId="77777777" w:rsidR="00126128" w:rsidRDefault="00126128">
      <w:pPr>
        <w:rPr>
          <w:b/>
        </w:rPr>
      </w:pPr>
    </w:p>
    <w:p w14:paraId="6CEBF6B3" w14:textId="77777777" w:rsidR="00126128" w:rsidRDefault="0078150B">
      <w:pPr>
        <w:rPr>
          <w:b/>
        </w:rPr>
        <w:sectPr w:rsidR="00126128">
          <w:footerReference w:type="default" r:id="rId17"/>
          <w:pgSz w:w="16834" w:h="11909" w:orient="landscape"/>
          <w:pgMar w:top="1440" w:right="1440" w:bottom="1440" w:left="1440" w:header="720" w:footer="720" w:gutter="0"/>
          <w:pgNumType w:start="1"/>
          <w:cols w:space="720"/>
        </w:sectPr>
      </w:pPr>
      <w:r>
        <w:rPr>
          <w:b/>
          <w:noProof/>
        </w:rPr>
        <w:drawing>
          <wp:inline distT="114300" distB="114300" distL="114300" distR="114300" wp14:anchorId="48B3344D" wp14:editId="1DEA3E60">
            <wp:extent cx="8863200" cy="2311400"/>
            <wp:effectExtent l="0" t="0" r="0" b="0"/>
            <wp:docPr id="89797119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8863200" cy="2311400"/>
                    </a:xfrm>
                    <a:prstGeom prst="rect">
                      <a:avLst/>
                    </a:prstGeom>
                    <a:ln/>
                  </pic:spPr>
                </pic:pic>
              </a:graphicData>
            </a:graphic>
          </wp:inline>
        </w:drawing>
      </w:r>
    </w:p>
    <w:p w14:paraId="213B0A3A" w14:textId="6C9A4079" w:rsidR="00126128" w:rsidRDefault="0078150B">
      <w:pPr>
        <w:rPr>
          <w:b/>
        </w:rPr>
      </w:pPr>
      <w:r>
        <w:rPr>
          <w:b/>
        </w:rPr>
        <w:lastRenderedPageBreak/>
        <w:t>Table S</w:t>
      </w:r>
      <w:r w:rsidR="006E0E10">
        <w:rPr>
          <w:b/>
        </w:rPr>
        <w:t>5.</w:t>
      </w:r>
      <w:r>
        <w:rPr>
          <w:b/>
        </w:rPr>
        <w:t xml:space="preserve"> Summary MNI data for the six main species present at sites on Bankside.</w:t>
      </w:r>
    </w:p>
    <w:p w14:paraId="4417080A" w14:textId="448F2FFA" w:rsidR="00126128" w:rsidRPr="009E1237" w:rsidRDefault="0078150B">
      <w:r>
        <w:t xml:space="preserve">The formulae used to calculate MNI are presented in </w:t>
      </w:r>
      <w:r w:rsidR="006E0E10">
        <w:t>section</w:t>
      </w:r>
      <w:r>
        <w:t xml:space="preserve"> 1.2.1</w:t>
      </w:r>
      <w:r w:rsidR="006A19FA">
        <w:t xml:space="preserve"> </w:t>
      </w:r>
    </w:p>
    <w:p w14:paraId="429C333C" w14:textId="77777777" w:rsidR="00126128" w:rsidRDefault="00126128">
      <w:pPr>
        <w:rPr>
          <w:b/>
        </w:rPr>
      </w:pPr>
    </w:p>
    <w:tbl>
      <w:tblPr>
        <w:tblStyle w:val="afc"/>
        <w:tblW w:w="6314" w:type="dxa"/>
        <w:tblLayout w:type="fixed"/>
        <w:tblLook w:val="0400" w:firstRow="0" w:lastRow="0" w:firstColumn="0" w:lastColumn="0" w:noHBand="0" w:noVBand="1"/>
      </w:tblPr>
      <w:tblGrid>
        <w:gridCol w:w="1342"/>
        <w:gridCol w:w="743"/>
        <w:gridCol w:w="637"/>
        <w:gridCol w:w="933"/>
        <w:gridCol w:w="799"/>
        <w:gridCol w:w="1002"/>
        <w:gridCol w:w="858"/>
      </w:tblGrid>
      <w:tr w:rsidR="00126128" w14:paraId="33B82FB1" w14:textId="77777777">
        <w:trPr>
          <w:trHeight w:val="300"/>
        </w:trPr>
        <w:tc>
          <w:tcPr>
            <w:tcW w:w="13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666933" w14:textId="77777777" w:rsidR="00126128" w:rsidRDefault="0078150B">
            <w:pPr>
              <w:rPr>
                <w:b/>
              </w:rPr>
            </w:pPr>
            <w:r>
              <w:rPr>
                <w:b/>
              </w:rPr>
              <w:t> </w:t>
            </w:r>
          </w:p>
        </w:tc>
        <w:tc>
          <w:tcPr>
            <w:tcW w:w="1380" w:type="dxa"/>
            <w:gridSpan w:val="2"/>
            <w:tcBorders>
              <w:top w:val="single" w:sz="4" w:space="0" w:color="000000"/>
              <w:left w:val="nil"/>
              <w:bottom w:val="single" w:sz="4" w:space="0" w:color="000000"/>
              <w:right w:val="single" w:sz="4" w:space="0" w:color="000000"/>
            </w:tcBorders>
            <w:shd w:val="clear" w:color="auto" w:fill="auto"/>
            <w:vAlign w:val="bottom"/>
          </w:tcPr>
          <w:p w14:paraId="5CDEB2A6" w14:textId="77777777" w:rsidR="00126128" w:rsidRDefault="0078150B">
            <w:pPr>
              <w:rPr>
                <w:b/>
              </w:rPr>
            </w:pPr>
            <w:r>
              <w:rPr>
                <w:b/>
              </w:rPr>
              <w:t xml:space="preserve">ALL </w:t>
            </w:r>
          </w:p>
        </w:tc>
        <w:tc>
          <w:tcPr>
            <w:tcW w:w="1732" w:type="dxa"/>
            <w:gridSpan w:val="2"/>
            <w:tcBorders>
              <w:top w:val="single" w:sz="4" w:space="0" w:color="000000"/>
              <w:left w:val="nil"/>
              <w:bottom w:val="single" w:sz="4" w:space="0" w:color="000000"/>
              <w:right w:val="single" w:sz="4" w:space="0" w:color="000000"/>
            </w:tcBorders>
            <w:shd w:val="clear" w:color="auto" w:fill="auto"/>
            <w:vAlign w:val="bottom"/>
          </w:tcPr>
          <w:p w14:paraId="66788483" w14:textId="77777777" w:rsidR="00126128" w:rsidRDefault="0078150B">
            <w:pPr>
              <w:rPr>
                <w:b/>
              </w:rPr>
            </w:pPr>
            <w:r>
              <w:rPr>
                <w:b/>
              </w:rPr>
              <w:t>PLAYHOUSES</w:t>
            </w:r>
          </w:p>
        </w:tc>
        <w:tc>
          <w:tcPr>
            <w:tcW w:w="1860" w:type="dxa"/>
            <w:gridSpan w:val="2"/>
            <w:tcBorders>
              <w:top w:val="single" w:sz="4" w:space="0" w:color="000000"/>
              <w:left w:val="nil"/>
              <w:bottom w:val="single" w:sz="4" w:space="0" w:color="000000"/>
              <w:right w:val="single" w:sz="4" w:space="0" w:color="000000"/>
            </w:tcBorders>
            <w:shd w:val="clear" w:color="auto" w:fill="auto"/>
            <w:vAlign w:val="bottom"/>
          </w:tcPr>
          <w:p w14:paraId="3880793F" w14:textId="77777777" w:rsidR="00126128" w:rsidRDefault="0078150B">
            <w:pPr>
              <w:rPr>
                <w:b/>
              </w:rPr>
            </w:pPr>
            <w:r>
              <w:rPr>
                <w:b/>
              </w:rPr>
              <w:t>BEAR GARDENS</w:t>
            </w:r>
          </w:p>
        </w:tc>
      </w:tr>
      <w:tr w:rsidR="00126128" w14:paraId="47F35E67" w14:textId="77777777">
        <w:trPr>
          <w:trHeight w:val="300"/>
        </w:trPr>
        <w:tc>
          <w:tcPr>
            <w:tcW w:w="13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0A6FEB" w14:textId="77777777" w:rsidR="00126128" w:rsidRDefault="00126128">
            <w:pPr>
              <w:widowControl w:val="0"/>
              <w:pBdr>
                <w:top w:val="nil"/>
                <w:left w:val="nil"/>
                <w:bottom w:val="nil"/>
                <w:right w:val="nil"/>
                <w:between w:val="nil"/>
              </w:pBdr>
              <w:rPr>
                <w:b/>
              </w:rPr>
            </w:pPr>
          </w:p>
        </w:tc>
        <w:tc>
          <w:tcPr>
            <w:tcW w:w="743" w:type="dxa"/>
            <w:tcBorders>
              <w:top w:val="nil"/>
              <w:left w:val="nil"/>
              <w:bottom w:val="single" w:sz="4" w:space="0" w:color="000000"/>
              <w:right w:val="single" w:sz="4" w:space="0" w:color="000000"/>
            </w:tcBorders>
            <w:shd w:val="clear" w:color="auto" w:fill="auto"/>
            <w:vAlign w:val="bottom"/>
          </w:tcPr>
          <w:p w14:paraId="7774634F" w14:textId="77777777" w:rsidR="00126128" w:rsidRDefault="0078150B">
            <w:pPr>
              <w:rPr>
                <w:b/>
              </w:rPr>
            </w:pPr>
            <w:r>
              <w:rPr>
                <w:b/>
              </w:rPr>
              <w:t>MNI</w:t>
            </w:r>
          </w:p>
        </w:tc>
        <w:tc>
          <w:tcPr>
            <w:tcW w:w="637" w:type="dxa"/>
            <w:tcBorders>
              <w:top w:val="nil"/>
              <w:left w:val="nil"/>
              <w:bottom w:val="single" w:sz="4" w:space="0" w:color="000000"/>
              <w:right w:val="single" w:sz="4" w:space="0" w:color="000000"/>
            </w:tcBorders>
            <w:shd w:val="clear" w:color="auto" w:fill="auto"/>
            <w:vAlign w:val="bottom"/>
          </w:tcPr>
          <w:p w14:paraId="4712BED7" w14:textId="77777777" w:rsidR="00126128" w:rsidRDefault="0078150B">
            <w:pPr>
              <w:rPr>
                <w:b/>
              </w:rPr>
            </w:pPr>
            <w:r>
              <w:rPr>
                <w:b/>
              </w:rPr>
              <w:t>%</w:t>
            </w:r>
          </w:p>
        </w:tc>
        <w:tc>
          <w:tcPr>
            <w:tcW w:w="933" w:type="dxa"/>
            <w:tcBorders>
              <w:top w:val="nil"/>
              <w:left w:val="nil"/>
              <w:bottom w:val="single" w:sz="4" w:space="0" w:color="000000"/>
              <w:right w:val="single" w:sz="4" w:space="0" w:color="000000"/>
            </w:tcBorders>
            <w:shd w:val="clear" w:color="auto" w:fill="auto"/>
            <w:vAlign w:val="bottom"/>
          </w:tcPr>
          <w:p w14:paraId="353022BC" w14:textId="77777777" w:rsidR="00126128" w:rsidRDefault="0078150B">
            <w:pPr>
              <w:rPr>
                <w:b/>
              </w:rPr>
            </w:pPr>
            <w:r>
              <w:rPr>
                <w:b/>
              </w:rPr>
              <w:t>MNI</w:t>
            </w:r>
          </w:p>
        </w:tc>
        <w:tc>
          <w:tcPr>
            <w:tcW w:w="799" w:type="dxa"/>
            <w:tcBorders>
              <w:top w:val="nil"/>
              <w:left w:val="nil"/>
              <w:bottom w:val="single" w:sz="4" w:space="0" w:color="000000"/>
              <w:right w:val="single" w:sz="4" w:space="0" w:color="000000"/>
            </w:tcBorders>
            <w:shd w:val="clear" w:color="auto" w:fill="auto"/>
            <w:vAlign w:val="bottom"/>
          </w:tcPr>
          <w:p w14:paraId="12B15DF7" w14:textId="77777777" w:rsidR="00126128" w:rsidRDefault="0078150B">
            <w:pPr>
              <w:rPr>
                <w:b/>
              </w:rPr>
            </w:pPr>
            <w:r>
              <w:rPr>
                <w:b/>
              </w:rPr>
              <w:t>%</w:t>
            </w:r>
          </w:p>
        </w:tc>
        <w:tc>
          <w:tcPr>
            <w:tcW w:w="1002" w:type="dxa"/>
            <w:tcBorders>
              <w:top w:val="nil"/>
              <w:left w:val="nil"/>
              <w:bottom w:val="single" w:sz="4" w:space="0" w:color="000000"/>
              <w:right w:val="single" w:sz="4" w:space="0" w:color="000000"/>
            </w:tcBorders>
            <w:shd w:val="clear" w:color="auto" w:fill="auto"/>
            <w:vAlign w:val="bottom"/>
          </w:tcPr>
          <w:p w14:paraId="396E9423" w14:textId="77777777" w:rsidR="00126128" w:rsidRDefault="0078150B">
            <w:pPr>
              <w:rPr>
                <w:b/>
              </w:rPr>
            </w:pPr>
            <w:r>
              <w:rPr>
                <w:b/>
              </w:rPr>
              <w:t>MNI</w:t>
            </w:r>
          </w:p>
        </w:tc>
        <w:tc>
          <w:tcPr>
            <w:tcW w:w="858" w:type="dxa"/>
            <w:tcBorders>
              <w:top w:val="nil"/>
              <w:left w:val="nil"/>
              <w:bottom w:val="single" w:sz="4" w:space="0" w:color="000000"/>
              <w:right w:val="single" w:sz="4" w:space="0" w:color="000000"/>
            </w:tcBorders>
            <w:shd w:val="clear" w:color="auto" w:fill="auto"/>
            <w:vAlign w:val="bottom"/>
          </w:tcPr>
          <w:p w14:paraId="6235E086" w14:textId="77777777" w:rsidR="00126128" w:rsidRDefault="0078150B">
            <w:pPr>
              <w:rPr>
                <w:b/>
              </w:rPr>
            </w:pPr>
            <w:r>
              <w:rPr>
                <w:b/>
              </w:rPr>
              <w:t>%</w:t>
            </w:r>
          </w:p>
        </w:tc>
      </w:tr>
      <w:tr w:rsidR="00126128" w14:paraId="4AEBA7A4" w14:textId="77777777">
        <w:trPr>
          <w:trHeight w:val="300"/>
        </w:trPr>
        <w:tc>
          <w:tcPr>
            <w:tcW w:w="1342" w:type="dxa"/>
            <w:tcBorders>
              <w:top w:val="nil"/>
              <w:left w:val="single" w:sz="4" w:space="0" w:color="000000"/>
              <w:bottom w:val="single" w:sz="4" w:space="0" w:color="000000"/>
              <w:right w:val="single" w:sz="4" w:space="0" w:color="000000"/>
            </w:tcBorders>
            <w:shd w:val="clear" w:color="auto" w:fill="auto"/>
            <w:vAlign w:val="bottom"/>
          </w:tcPr>
          <w:p w14:paraId="5E797A92" w14:textId="77777777" w:rsidR="00126128" w:rsidRDefault="0078150B">
            <w:r>
              <w:t>Cattle</w:t>
            </w:r>
          </w:p>
        </w:tc>
        <w:tc>
          <w:tcPr>
            <w:tcW w:w="743" w:type="dxa"/>
            <w:tcBorders>
              <w:top w:val="nil"/>
              <w:left w:val="nil"/>
              <w:bottom w:val="single" w:sz="4" w:space="0" w:color="000000"/>
              <w:right w:val="single" w:sz="4" w:space="0" w:color="000000"/>
            </w:tcBorders>
            <w:shd w:val="clear" w:color="auto" w:fill="auto"/>
            <w:vAlign w:val="bottom"/>
          </w:tcPr>
          <w:p w14:paraId="7560151E" w14:textId="77777777" w:rsidR="00126128" w:rsidRDefault="0078150B">
            <w:r>
              <w:t>56</w:t>
            </w:r>
          </w:p>
        </w:tc>
        <w:tc>
          <w:tcPr>
            <w:tcW w:w="637" w:type="dxa"/>
            <w:tcBorders>
              <w:top w:val="nil"/>
              <w:left w:val="nil"/>
              <w:bottom w:val="single" w:sz="4" w:space="0" w:color="000000"/>
              <w:right w:val="single" w:sz="4" w:space="0" w:color="000000"/>
            </w:tcBorders>
            <w:shd w:val="clear" w:color="auto" w:fill="auto"/>
            <w:vAlign w:val="bottom"/>
          </w:tcPr>
          <w:p w14:paraId="02171730" w14:textId="77777777" w:rsidR="00126128" w:rsidRDefault="0078150B">
            <w:r>
              <w:t>22</w:t>
            </w:r>
          </w:p>
        </w:tc>
        <w:tc>
          <w:tcPr>
            <w:tcW w:w="933" w:type="dxa"/>
            <w:tcBorders>
              <w:top w:val="nil"/>
              <w:left w:val="nil"/>
              <w:bottom w:val="single" w:sz="4" w:space="0" w:color="000000"/>
              <w:right w:val="single" w:sz="4" w:space="0" w:color="000000"/>
            </w:tcBorders>
            <w:shd w:val="clear" w:color="auto" w:fill="auto"/>
            <w:vAlign w:val="bottom"/>
          </w:tcPr>
          <w:p w14:paraId="4AE14682" w14:textId="77777777" w:rsidR="00126128" w:rsidRDefault="0078150B">
            <w:r>
              <w:t>45</w:t>
            </w:r>
          </w:p>
        </w:tc>
        <w:tc>
          <w:tcPr>
            <w:tcW w:w="799" w:type="dxa"/>
            <w:tcBorders>
              <w:top w:val="nil"/>
              <w:left w:val="nil"/>
              <w:bottom w:val="single" w:sz="4" w:space="0" w:color="000000"/>
              <w:right w:val="single" w:sz="4" w:space="0" w:color="000000"/>
            </w:tcBorders>
            <w:shd w:val="clear" w:color="auto" w:fill="auto"/>
            <w:vAlign w:val="bottom"/>
          </w:tcPr>
          <w:p w14:paraId="3F5ABA4D" w14:textId="77777777" w:rsidR="00126128" w:rsidRDefault="0078150B">
            <w:r>
              <w:t>28</w:t>
            </w:r>
          </w:p>
        </w:tc>
        <w:tc>
          <w:tcPr>
            <w:tcW w:w="1002" w:type="dxa"/>
            <w:tcBorders>
              <w:top w:val="nil"/>
              <w:left w:val="nil"/>
              <w:bottom w:val="single" w:sz="4" w:space="0" w:color="000000"/>
              <w:right w:val="single" w:sz="4" w:space="0" w:color="000000"/>
            </w:tcBorders>
            <w:shd w:val="clear" w:color="auto" w:fill="auto"/>
            <w:vAlign w:val="bottom"/>
          </w:tcPr>
          <w:p w14:paraId="16A9FAFC" w14:textId="77777777" w:rsidR="00126128" w:rsidRDefault="0078150B">
            <w:r>
              <w:t>11</w:t>
            </w:r>
          </w:p>
        </w:tc>
        <w:tc>
          <w:tcPr>
            <w:tcW w:w="858" w:type="dxa"/>
            <w:tcBorders>
              <w:top w:val="nil"/>
              <w:left w:val="nil"/>
              <w:bottom w:val="single" w:sz="4" w:space="0" w:color="000000"/>
              <w:right w:val="single" w:sz="4" w:space="0" w:color="000000"/>
            </w:tcBorders>
            <w:shd w:val="clear" w:color="auto" w:fill="auto"/>
            <w:vAlign w:val="bottom"/>
          </w:tcPr>
          <w:p w14:paraId="120E5550" w14:textId="77777777" w:rsidR="00126128" w:rsidRDefault="0078150B">
            <w:r>
              <w:t>10</w:t>
            </w:r>
          </w:p>
        </w:tc>
      </w:tr>
      <w:tr w:rsidR="00126128" w14:paraId="37A561F1" w14:textId="77777777">
        <w:trPr>
          <w:trHeight w:val="300"/>
        </w:trPr>
        <w:tc>
          <w:tcPr>
            <w:tcW w:w="1342" w:type="dxa"/>
            <w:tcBorders>
              <w:top w:val="nil"/>
              <w:left w:val="single" w:sz="4" w:space="0" w:color="000000"/>
              <w:bottom w:val="single" w:sz="4" w:space="0" w:color="000000"/>
              <w:right w:val="single" w:sz="4" w:space="0" w:color="000000"/>
            </w:tcBorders>
            <w:shd w:val="clear" w:color="auto" w:fill="auto"/>
            <w:vAlign w:val="bottom"/>
          </w:tcPr>
          <w:p w14:paraId="4D8B26A7" w14:textId="77777777" w:rsidR="00126128" w:rsidRDefault="0078150B">
            <w:r>
              <w:t>Pig</w:t>
            </w:r>
          </w:p>
        </w:tc>
        <w:tc>
          <w:tcPr>
            <w:tcW w:w="743" w:type="dxa"/>
            <w:tcBorders>
              <w:top w:val="nil"/>
              <w:left w:val="nil"/>
              <w:bottom w:val="single" w:sz="4" w:space="0" w:color="000000"/>
              <w:right w:val="single" w:sz="4" w:space="0" w:color="000000"/>
            </w:tcBorders>
            <w:shd w:val="clear" w:color="auto" w:fill="auto"/>
            <w:vAlign w:val="bottom"/>
          </w:tcPr>
          <w:p w14:paraId="6E56B9F8" w14:textId="77777777" w:rsidR="00126128" w:rsidRDefault="0078150B">
            <w:r>
              <w:t>12</w:t>
            </w:r>
          </w:p>
        </w:tc>
        <w:tc>
          <w:tcPr>
            <w:tcW w:w="637" w:type="dxa"/>
            <w:tcBorders>
              <w:top w:val="nil"/>
              <w:left w:val="nil"/>
              <w:bottom w:val="single" w:sz="4" w:space="0" w:color="000000"/>
              <w:right w:val="single" w:sz="4" w:space="0" w:color="000000"/>
            </w:tcBorders>
            <w:shd w:val="clear" w:color="auto" w:fill="auto"/>
            <w:vAlign w:val="bottom"/>
          </w:tcPr>
          <w:p w14:paraId="10294F1D" w14:textId="77777777" w:rsidR="00126128" w:rsidRDefault="0078150B">
            <w:r>
              <w:t>5</w:t>
            </w:r>
          </w:p>
        </w:tc>
        <w:tc>
          <w:tcPr>
            <w:tcW w:w="933" w:type="dxa"/>
            <w:tcBorders>
              <w:top w:val="nil"/>
              <w:left w:val="nil"/>
              <w:bottom w:val="single" w:sz="4" w:space="0" w:color="000000"/>
              <w:right w:val="single" w:sz="4" w:space="0" w:color="000000"/>
            </w:tcBorders>
            <w:shd w:val="clear" w:color="auto" w:fill="auto"/>
            <w:vAlign w:val="bottom"/>
          </w:tcPr>
          <w:p w14:paraId="1BCCD44B" w14:textId="77777777" w:rsidR="00126128" w:rsidRDefault="0078150B">
            <w:r>
              <w:t>9</w:t>
            </w:r>
          </w:p>
        </w:tc>
        <w:tc>
          <w:tcPr>
            <w:tcW w:w="799" w:type="dxa"/>
            <w:tcBorders>
              <w:top w:val="nil"/>
              <w:left w:val="nil"/>
              <w:bottom w:val="single" w:sz="4" w:space="0" w:color="000000"/>
              <w:right w:val="single" w:sz="4" w:space="0" w:color="000000"/>
            </w:tcBorders>
            <w:shd w:val="clear" w:color="auto" w:fill="auto"/>
            <w:vAlign w:val="bottom"/>
          </w:tcPr>
          <w:p w14:paraId="1BF90309" w14:textId="77777777" w:rsidR="00126128" w:rsidRDefault="0078150B">
            <w:r>
              <w:t>6</w:t>
            </w:r>
          </w:p>
        </w:tc>
        <w:tc>
          <w:tcPr>
            <w:tcW w:w="1002" w:type="dxa"/>
            <w:tcBorders>
              <w:top w:val="nil"/>
              <w:left w:val="nil"/>
              <w:bottom w:val="single" w:sz="4" w:space="0" w:color="000000"/>
              <w:right w:val="single" w:sz="4" w:space="0" w:color="000000"/>
            </w:tcBorders>
            <w:shd w:val="clear" w:color="auto" w:fill="auto"/>
            <w:vAlign w:val="bottom"/>
          </w:tcPr>
          <w:p w14:paraId="3AF6362E" w14:textId="77777777" w:rsidR="00126128" w:rsidRDefault="0078150B">
            <w:r>
              <w:t>6</w:t>
            </w:r>
          </w:p>
        </w:tc>
        <w:tc>
          <w:tcPr>
            <w:tcW w:w="858" w:type="dxa"/>
            <w:tcBorders>
              <w:top w:val="nil"/>
              <w:left w:val="nil"/>
              <w:bottom w:val="single" w:sz="4" w:space="0" w:color="000000"/>
              <w:right w:val="single" w:sz="4" w:space="0" w:color="000000"/>
            </w:tcBorders>
            <w:shd w:val="clear" w:color="auto" w:fill="auto"/>
            <w:vAlign w:val="bottom"/>
          </w:tcPr>
          <w:p w14:paraId="1289483F" w14:textId="77777777" w:rsidR="00126128" w:rsidRDefault="0078150B">
            <w:r>
              <w:t>6</w:t>
            </w:r>
          </w:p>
        </w:tc>
      </w:tr>
      <w:tr w:rsidR="00126128" w14:paraId="79D29C77" w14:textId="77777777">
        <w:trPr>
          <w:trHeight w:val="300"/>
        </w:trPr>
        <w:tc>
          <w:tcPr>
            <w:tcW w:w="1342" w:type="dxa"/>
            <w:tcBorders>
              <w:top w:val="nil"/>
              <w:left w:val="single" w:sz="4" w:space="0" w:color="000000"/>
              <w:bottom w:val="single" w:sz="4" w:space="0" w:color="000000"/>
              <w:right w:val="single" w:sz="4" w:space="0" w:color="000000"/>
            </w:tcBorders>
            <w:shd w:val="clear" w:color="auto" w:fill="auto"/>
            <w:vAlign w:val="bottom"/>
          </w:tcPr>
          <w:p w14:paraId="5EAB3836" w14:textId="77777777" w:rsidR="00126128" w:rsidRDefault="0078150B">
            <w:r>
              <w:t>Sheep/goat</w:t>
            </w:r>
          </w:p>
        </w:tc>
        <w:tc>
          <w:tcPr>
            <w:tcW w:w="743" w:type="dxa"/>
            <w:tcBorders>
              <w:top w:val="nil"/>
              <w:left w:val="nil"/>
              <w:bottom w:val="single" w:sz="4" w:space="0" w:color="000000"/>
              <w:right w:val="single" w:sz="4" w:space="0" w:color="000000"/>
            </w:tcBorders>
            <w:shd w:val="clear" w:color="auto" w:fill="auto"/>
            <w:vAlign w:val="bottom"/>
          </w:tcPr>
          <w:p w14:paraId="69984B67" w14:textId="77777777" w:rsidR="00126128" w:rsidRDefault="0078150B">
            <w:r>
              <w:t>113</w:t>
            </w:r>
          </w:p>
        </w:tc>
        <w:tc>
          <w:tcPr>
            <w:tcW w:w="637" w:type="dxa"/>
            <w:tcBorders>
              <w:top w:val="nil"/>
              <w:left w:val="nil"/>
              <w:bottom w:val="single" w:sz="4" w:space="0" w:color="000000"/>
              <w:right w:val="single" w:sz="4" w:space="0" w:color="000000"/>
            </w:tcBorders>
            <w:shd w:val="clear" w:color="auto" w:fill="auto"/>
            <w:vAlign w:val="bottom"/>
          </w:tcPr>
          <w:p w14:paraId="12919BD1" w14:textId="77777777" w:rsidR="00126128" w:rsidRDefault="0078150B">
            <w:r>
              <w:t>44</w:t>
            </w:r>
          </w:p>
        </w:tc>
        <w:tc>
          <w:tcPr>
            <w:tcW w:w="933" w:type="dxa"/>
            <w:tcBorders>
              <w:top w:val="nil"/>
              <w:left w:val="nil"/>
              <w:bottom w:val="single" w:sz="4" w:space="0" w:color="000000"/>
              <w:right w:val="single" w:sz="4" w:space="0" w:color="000000"/>
            </w:tcBorders>
            <w:shd w:val="clear" w:color="auto" w:fill="auto"/>
            <w:vAlign w:val="bottom"/>
          </w:tcPr>
          <w:p w14:paraId="77135BE4" w14:textId="77777777" w:rsidR="00126128" w:rsidRDefault="0078150B">
            <w:r>
              <w:t>88</w:t>
            </w:r>
          </w:p>
        </w:tc>
        <w:tc>
          <w:tcPr>
            <w:tcW w:w="799" w:type="dxa"/>
            <w:tcBorders>
              <w:top w:val="nil"/>
              <w:left w:val="nil"/>
              <w:bottom w:val="single" w:sz="4" w:space="0" w:color="000000"/>
              <w:right w:val="single" w:sz="4" w:space="0" w:color="000000"/>
            </w:tcBorders>
            <w:shd w:val="clear" w:color="auto" w:fill="auto"/>
            <w:vAlign w:val="bottom"/>
          </w:tcPr>
          <w:p w14:paraId="3CB93828" w14:textId="77777777" w:rsidR="00126128" w:rsidRDefault="0078150B">
            <w:r>
              <w:t>55</w:t>
            </w:r>
          </w:p>
        </w:tc>
        <w:tc>
          <w:tcPr>
            <w:tcW w:w="1002" w:type="dxa"/>
            <w:tcBorders>
              <w:top w:val="nil"/>
              <w:left w:val="nil"/>
              <w:bottom w:val="single" w:sz="4" w:space="0" w:color="000000"/>
              <w:right w:val="single" w:sz="4" w:space="0" w:color="000000"/>
            </w:tcBorders>
            <w:shd w:val="clear" w:color="auto" w:fill="auto"/>
            <w:vAlign w:val="bottom"/>
          </w:tcPr>
          <w:p w14:paraId="28AC39F6" w14:textId="77777777" w:rsidR="00126128" w:rsidRDefault="0078150B">
            <w:r>
              <w:t>27</w:t>
            </w:r>
          </w:p>
        </w:tc>
        <w:tc>
          <w:tcPr>
            <w:tcW w:w="858" w:type="dxa"/>
            <w:tcBorders>
              <w:top w:val="nil"/>
              <w:left w:val="nil"/>
              <w:bottom w:val="single" w:sz="4" w:space="0" w:color="000000"/>
              <w:right w:val="single" w:sz="4" w:space="0" w:color="000000"/>
            </w:tcBorders>
            <w:shd w:val="clear" w:color="auto" w:fill="auto"/>
            <w:vAlign w:val="bottom"/>
          </w:tcPr>
          <w:p w14:paraId="72386DA1" w14:textId="77777777" w:rsidR="00126128" w:rsidRDefault="0078150B">
            <w:r>
              <w:t>25</w:t>
            </w:r>
          </w:p>
        </w:tc>
      </w:tr>
      <w:tr w:rsidR="00126128" w14:paraId="7E663CA9" w14:textId="77777777">
        <w:trPr>
          <w:trHeight w:val="300"/>
        </w:trPr>
        <w:tc>
          <w:tcPr>
            <w:tcW w:w="1342" w:type="dxa"/>
            <w:tcBorders>
              <w:top w:val="nil"/>
              <w:left w:val="single" w:sz="4" w:space="0" w:color="000000"/>
              <w:bottom w:val="single" w:sz="4" w:space="0" w:color="000000"/>
              <w:right w:val="single" w:sz="4" w:space="0" w:color="000000"/>
            </w:tcBorders>
            <w:shd w:val="clear" w:color="auto" w:fill="auto"/>
            <w:vAlign w:val="bottom"/>
          </w:tcPr>
          <w:p w14:paraId="1FC97F7D" w14:textId="77777777" w:rsidR="00126128" w:rsidRDefault="0078150B">
            <w:r>
              <w:t>Dog</w:t>
            </w:r>
          </w:p>
        </w:tc>
        <w:tc>
          <w:tcPr>
            <w:tcW w:w="743" w:type="dxa"/>
            <w:tcBorders>
              <w:top w:val="nil"/>
              <w:left w:val="nil"/>
              <w:bottom w:val="single" w:sz="4" w:space="0" w:color="000000"/>
              <w:right w:val="single" w:sz="4" w:space="0" w:color="000000"/>
            </w:tcBorders>
            <w:shd w:val="clear" w:color="auto" w:fill="auto"/>
            <w:vAlign w:val="bottom"/>
          </w:tcPr>
          <w:p w14:paraId="102C9470" w14:textId="77777777" w:rsidR="00126128" w:rsidRDefault="0078150B">
            <w:r>
              <w:t>39</w:t>
            </w:r>
          </w:p>
        </w:tc>
        <w:tc>
          <w:tcPr>
            <w:tcW w:w="637" w:type="dxa"/>
            <w:tcBorders>
              <w:top w:val="nil"/>
              <w:left w:val="nil"/>
              <w:bottom w:val="single" w:sz="4" w:space="0" w:color="000000"/>
              <w:right w:val="single" w:sz="4" w:space="0" w:color="000000"/>
            </w:tcBorders>
            <w:shd w:val="clear" w:color="auto" w:fill="auto"/>
            <w:vAlign w:val="bottom"/>
          </w:tcPr>
          <w:p w14:paraId="19473EBE" w14:textId="77777777" w:rsidR="00126128" w:rsidRDefault="0078150B">
            <w:r>
              <w:t>15</w:t>
            </w:r>
          </w:p>
        </w:tc>
        <w:tc>
          <w:tcPr>
            <w:tcW w:w="933" w:type="dxa"/>
            <w:tcBorders>
              <w:top w:val="nil"/>
              <w:left w:val="nil"/>
              <w:bottom w:val="single" w:sz="4" w:space="0" w:color="000000"/>
              <w:right w:val="single" w:sz="4" w:space="0" w:color="000000"/>
            </w:tcBorders>
            <w:shd w:val="clear" w:color="auto" w:fill="auto"/>
            <w:vAlign w:val="bottom"/>
          </w:tcPr>
          <w:p w14:paraId="5D3EBF63" w14:textId="77777777" w:rsidR="00126128" w:rsidRDefault="0078150B">
            <w:r>
              <w:t>12</w:t>
            </w:r>
          </w:p>
        </w:tc>
        <w:tc>
          <w:tcPr>
            <w:tcW w:w="799" w:type="dxa"/>
            <w:tcBorders>
              <w:top w:val="nil"/>
              <w:left w:val="nil"/>
              <w:bottom w:val="single" w:sz="4" w:space="0" w:color="000000"/>
              <w:right w:val="single" w:sz="4" w:space="0" w:color="000000"/>
            </w:tcBorders>
            <w:shd w:val="clear" w:color="auto" w:fill="auto"/>
            <w:vAlign w:val="bottom"/>
          </w:tcPr>
          <w:p w14:paraId="4B4113ED" w14:textId="77777777" w:rsidR="00126128" w:rsidRDefault="0078150B">
            <w:r>
              <w:t>8</w:t>
            </w:r>
          </w:p>
        </w:tc>
        <w:tc>
          <w:tcPr>
            <w:tcW w:w="1002" w:type="dxa"/>
            <w:tcBorders>
              <w:top w:val="nil"/>
              <w:left w:val="nil"/>
              <w:bottom w:val="single" w:sz="4" w:space="0" w:color="000000"/>
              <w:right w:val="single" w:sz="4" w:space="0" w:color="000000"/>
            </w:tcBorders>
            <w:shd w:val="clear" w:color="auto" w:fill="auto"/>
            <w:vAlign w:val="bottom"/>
          </w:tcPr>
          <w:p w14:paraId="1AA65892" w14:textId="77777777" w:rsidR="00126128" w:rsidRDefault="0078150B">
            <w:r>
              <w:t>34</w:t>
            </w:r>
          </w:p>
        </w:tc>
        <w:tc>
          <w:tcPr>
            <w:tcW w:w="858" w:type="dxa"/>
            <w:tcBorders>
              <w:top w:val="nil"/>
              <w:left w:val="nil"/>
              <w:bottom w:val="single" w:sz="4" w:space="0" w:color="000000"/>
              <w:right w:val="single" w:sz="4" w:space="0" w:color="000000"/>
            </w:tcBorders>
            <w:shd w:val="clear" w:color="auto" w:fill="auto"/>
            <w:vAlign w:val="bottom"/>
          </w:tcPr>
          <w:p w14:paraId="7AA09AF9" w14:textId="77777777" w:rsidR="00126128" w:rsidRDefault="0078150B">
            <w:r>
              <w:t>32</w:t>
            </w:r>
          </w:p>
        </w:tc>
      </w:tr>
      <w:tr w:rsidR="00126128" w14:paraId="04C3362B" w14:textId="77777777">
        <w:trPr>
          <w:trHeight w:val="300"/>
        </w:trPr>
        <w:tc>
          <w:tcPr>
            <w:tcW w:w="1342" w:type="dxa"/>
            <w:tcBorders>
              <w:top w:val="nil"/>
              <w:left w:val="single" w:sz="4" w:space="0" w:color="000000"/>
              <w:bottom w:val="single" w:sz="4" w:space="0" w:color="000000"/>
              <w:right w:val="single" w:sz="4" w:space="0" w:color="000000"/>
            </w:tcBorders>
            <w:shd w:val="clear" w:color="auto" w:fill="auto"/>
            <w:vAlign w:val="bottom"/>
          </w:tcPr>
          <w:p w14:paraId="3332297D" w14:textId="77777777" w:rsidR="00126128" w:rsidRDefault="0078150B">
            <w:r>
              <w:t>Equid</w:t>
            </w:r>
          </w:p>
        </w:tc>
        <w:tc>
          <w:tcPr>
            <w:tcW w:w="743" w:type="dxa"/>
            <w:tcBorders>
              <w:top w:val="nil"/>
              <w:left w:val="nil"/>
              <w:bottom w:val="single" w:sz="4" w:space="0" w:color="000000"/>
              <w:right w:val="single" w:sz="4" w:space="0" w:color="000000"/>
            </w:tcBorders>
            <w:shd w:val="clear" w:color="auto" w:fill="auto"/>
            <w:vAlign w:val="bottom"/>
          </w:tcPr>
          <w:p w14:paraId="266E7142" w14:textId="77777777" w:rsidR="00126128" w:rsidRDefault="0078150B">
            <w:r>
              <w:t>30</w:t>
            </w:r>
          </w:p>
        </w:tc>
        <w:tc>
          <w:tcPr>
            <w:tcW w:w="637" w:type="dxa"/>
            <w:tcBorders>
              <w:top w:val="nil"/>
              <w:left w:val="nil"/>
              <w:bottom w:val="single" w:sz="4" w:space="0" w:color="000000"/>
              <w:right w:val="single" w:sz="4" w:space="0" w:color="000000"/>
            </w:tcBorders>
            <w:shd w:val="clear" w:color="auto" w:fill="auto"/>
            <w:vAlign w:val="bottom"/>
          </w:tcPr>
          <w:p w14:paraId="75FBCA70" w14:textId="77777777" w:rsidR="00126128" w:rsidRDefault="0078150B">
            <w:r>
              <w:t>12</w:t>
            </w:r>
          </w:p>
        </w:tc>
        <w:tc>
          <w:tcPr>
            <w:tcW w:w="933" w:type="dxa"/>
            <w:tcBorders>
              <w:top w:val="nil"/>
              <w:left w:val="nil"/>
              <w:bottom w:val="single" w:sz="4" w:space="0" w:color="000000"/>
              <w:right w:val="single" w:sz="4" w:space="0" w:color="000000"/>
            </w:tcBorders>
            <w:shd w:val="clear" w:color="auto" w:fill="auto"/>
            <w:vAlign w:val="bottom"/>
          </w:tcPr>
          <w:p w14:paraId="5792263E" w14:textId="77777777" w:rsidR="00126128" w:rsidRDefault="0078150B">
            <w:r>
              <w:t>4</w:t>
            </w:r>
          </w:p>
        </w:tc>
        <w:tc>
          <w:tcPr>
            <w:tcW w:w="799" w:type="dxa"/>
            <w:tcBorders>
              <w:top w:val="nil"/>
              <w:left w:val="nil"/>
              <w:bottom w:val="single" w:sz="4" w:space="0" w:color="000000"/>
              <w:right w:val="single" w:sz="4" w:space="0" w:color="000000"/>
            </w:tcBorders>
            <w:shd w:val="clear" w:color="auto" w:fill="auto"/>
            <w:vAlign w:val="bottom"/>
          </w:tcPr>
          <w:p w14:paraId="1CD20698" w14:textId="77777777" w:rsidR="00126128" w:rsidRDefault="0078150B">
            <w:r>
              <w:t>3</w:t>
            </w:r>
          </w:p>
        </w:tc>
        <w:tc>
          <w:tcPr>
            <w:tcW w:w="1002" w:type="dxa"/>
            <w:tcBorders>
              <w:top w:val="nil"/>
              <w:left w:val="nil"/>
              <w:bottom w:val="single" w:sz="4" w:space="0" w:color="000000"/>
              <w:right w:val="single" w:sz="4" w:space="0" w:color="000000"/>
            </w:tcBorders>
            <w:shd w:val="clear" w:color="auto" w:fill="auto"/>
            <w:vAlign w:val="bottom"/>
          </w:tcPr>
          <w:p w14:paraId="4053C88A" w14:textId="77777777" w:rsidR="00126128" w:rsidRDefault="0078150B">
            <w:r>
              <w:t>26</w:t>
            </w:r>
          </w:p>
        </w:tc>
        <w:tc>
          <w:tcPr>
            <w:tcW w:w="858" w:type="dxa"/>
            <w:tcBorders>
              <w:top w:val="nil"/>
              <w:left w:val="nil"/>
              <w:bottom w:val="single" w:sz="4" w:space="0" w:color="000000"/>
              <w:right w:val="single" w:sz="4" w:space="0" w:color="000000"/>
            </w:tcBorders>
            <w:shd w:val="clear" w:color="auto" w:fill="auto"/>
            <w:vAlign w:val="bottom"/>
          </w:tcPr>
          <w:p w14:paraId="69412F5F" w14:textId="77777777" w:rsidR="00126128" w:rsidRDefault="0078150B">
            <w:r>
              <w:t>24</w:t>
            </w:r>
          </w:p>
        </w:tc>
      </w:tr>
      <w:tr w:rsidR="00126128" w14:paraId="2AA40CD3" w14:textId="77777777">
        <w:trPr>
          <w:trHeight w:val="300"/>
        </w:trPr>
        <w:tc>
          <w:tcPr>
            <w:tcW w:w="1342" w:type="dxa"/>
            <w:tcBorders>
              <w:top w:val="nil"/>
              <w:left w:val="single" w:sz="4" w:space="0" w:color="000000"/>
              <w:bottom w:val="single" w:sz="4" w:space="0" w:color="000000"/>
              <w:right w:val="single" w:sz="4" w:space="0" w:color="000000"/>
            </w:tcBorders>
            <w:shd w:val="clear" w:color="auto" w:fill="auto"/>
            <w:vAlign w:val="bottom"/>
          </w:tcPr>
          <w:p w14:paraId="5001BD40" w14:textId="77777777" w:rsidR="00126128" w:rsidRDefault="0078150B">
            <w:r>
              <w:t>Bear</w:t>
            </w:r>
          </w:p>
        </w:tc>
        <w:tc>
          <w:tcPr>
            <w:tcW w:w="743" w:type="dxa"/>
            <w:tcBorders>
              <w:top w:val="nil"/>
              <w:left w:val="nil"/>
              <w:bottom w:val="single" w:sz="4" w:space="0" w:color="000000"/>
              <w:right w:val="single" w:sz="4" w:space="0" w:color="000000"/>
            </w:tcBorders>
            <w:shd w:val="clear" w:color="auto" w:fill="auto"/>
            <w:vAlign w:val="bottom"/>
          </w:tcPr>
          <w:p w14:paraId="6DC631D7" w14:textId="77777777" w:rsidR="00126128" w:rsidRDefault="0078150B">
            <w:r>
              <w:t>4</w:t>
            </w:r>
          </w:p>
        </w:tc>
        <w:tc>
          <w:tcPr>
            <w:tcW w:w="637" w:type="dxa"/>
            <w:tcBorders>
              <w:top w:val="nil"/>
              <w:left w:val="nil"/>
              <w:bottom w:val="single" w:sz="4" w:space="0" w:color="000000"/>
              <w:right w:val="single" w:sz="4" w:space="0" w:color="000000"/>
            </w:tcBorders>
            <w:shd w:val="clear" w:color="auto" w:fill="auto"/>
            <w:vAlign w:val="bottom"/>
          </w:tcPr>
          <w:p w14:paraId="6772ED07" w14:textId="77777777" w:rsidR="00126128" w:rsidRDefault="0078150B">
            <w:r>
              <w:t>2</w:t>
            </w:r>
          </w:p>
        </w:tc>
        <w:tc>
          <w:tcPr>
            <w:tcW w:w="933" w:type="dxa"/>
            <w:tcBorders>
              <w:top w:val="nil"/>
              <w:left w:val="nil"/>
              <w:bottom w:val="single" w:sz="4" w:space="0" w:color="000000"/>
              <w:right w:val="single" w:sz="4" w:space="0" w:color="000000"/>
            </w:tcBorders>
            <w:shd w:val="clear" w:color="auto" w:fill="auto"/>
            <w:vAlign w:val="bottom"/>
          </w:tcPr>
          <w:p w14:paraId="3EFC2359" w14:textId="77777777" w:rsidR="00126128" w:rsidRDefault="0078150B">
            <w:r>
              <w:t>1</w:t>
            </w:r>
          </w:p>
        </w:tc>
        <w:tc>
          <w:tcPr>
            <w:tcW w:w="799" w:type="dxa"/>
            <w:tcBorders>
              <w:top w:val="nil"/>
              <w:left w:val="nil"/>
              <w:bottom w:val="single" w:sz="4" w:space="0" w:color="000000"/>
              <w:right w:val="single" w:sz="4" w:space="0" w:color="000000"/>
            </w:tcBorders>
            <w:shd w:val="clear" w:color="auto" w:fill="auto"/>
            <w:vAlign w:val="bottom"/>
          </w:tcPr>
          <w:p w14:paraId="69E4E632" w14:textId="77777777" w:rsidR="00126128" w:rsidRDefault="0078150B">
            <w:r>
              <w:t>1</w:t>
            </w:r>
          </w:p>
        </w:tc>
        <w:tc>
          <w:tcPr>
            <w:tcW w:w="1002" w:type="dxa"/>
            <w:tcBorders>
              <w:top w:val="nil"/>
              <w:left w:val="nil"/>
              <w:bottom w:val="single" w:sz="4" w:space="0" w:color="000000"/>
              <w:right w:val="single" w:sz="4" w:space="0" w:color="000000"/>
            </w:tcBorders>
            <w:shd w:val="clear" w:color="auto" w:fill="auto"/>
            <w:vAlign w:val="bottom"/>
          </w:tcPr>
          <w:p w14:paraId="0D5FF657" w14:textId="77777777" w:rsidR="00126128" w:rsidRDefault="0078150B">
            <w:r>
              <w:t>3</w:t>
            </w:r>
          </w:p>
        </w:tc>
        <w:tc>
          <w:tcPr>
            <w:tcW w:w="858" w:type="dxa"/>
            <w:tcBorders>
              <w:top w:val="nil"/>
              <w:left w:val="nil"/>
              <w:bottom w:val="single" w:sz="4" w:space="0" w:color="000000"/>
              <w:right w:val="single" w:sz="4" w:space="0" w:color="000000"/>
            </w:tcBorders>
            <w:shd w:val="clear" w:color="auto" w:fill="auto"/>
            <w:vAlign w:val="bottom"/>
          </w:tcPr>
          <w:p w14:paraId="357A29D8" w14:textId="77777777" w:rsidR="00126128" w:rsidRDefault="0078150B">
            <w:r>
              <w:t>3</w:t>
            </w:r>
          </w:p>
        </w:tc>
      </w:tr>
      <w:tr w:rsidR="00126128" w14:paraId="404A0C62" w14:textId="77777777">
        <w:trPr>
          <w:trHeight w:val="300"/>
        </w:trPr>
        <w:tc>
          <w:tcPr>
            <w:tcW w:w="1342" w:type="dxa"/>
            <w:tcBorders>
              <w:top w:val="nil"/>
              <w:left w:val="single" w:sz="4" w:space="0" w:color="000000"/>
              <w:bottom w:val="single" w:sz="4" w:space="0" w:color="000000"/>
              <w:right w:val="single" w:sz="4" w:space="0" w:color="000000"/>
            </w:tcBorders>
            <w:shd w:val="clear" w:color="auto" w:fill="auto"/>
            <w:vAlign w:val="bottom"/>
          </w:tcPr>
          <w:p w14:paraId="728CCDD2" w14:textId="77777777" w:rsidR="00126128" w:rsidRDefault="0078150B">
            <w:pPr>
              <w:rPr>
                <w:b/>
              </w:rPr>
            </w:pPr>
            <w:r>
              <w:rPr>
                <w:b/>
              </w:rPr>
              <w:t>Total</w:t>
            </w:r>
          </w:p>
        </w:tc>
        <w:tc>
          <w:tcPr>
            <w:tcW w:w="743" w:type="dxa"/>
            <w:tcBorders>
              <w:top w:val="nil"/>
              <w:left w:val="nil"/>
              <w:bottom w:val="single" w:sz="4" w:space="0" w:color="000000"/>
              <w:right w:val="single" w:sz="4" w:space="0" w:color="000000"/>
            </w:tcBorders>
            <w:shd w:val="clear" w:color="auto" w:fill="auto"/>
            <w:vAlign w:val="bottom"/>
          </w:tcPr>
          <w:p w14:paraId="1EC0E2F5" w14:textId="77777777" w:rsidR="00126128" w:rsidRDefault="0078150B">
            <w:pPr>
              <w:rPr>
                <w:b/>
              </w:rPr>
            </w:pPr>
            <w:r>
              <w:rPr>
                <w:b/>
              </w:rPr>
              <w:t>254</w:t>
            </w:r>
          </w:p>
        </w:tc>
        <w:tc>
          <w:tcPr>
            <w:tcW w:w="637" w:type="dxa"/>
            <w:tcBorders>
              <w:top w:val="nil"/>
              <w:left w:val="nil"/>
              <w:bottom w:val="single" w:sz="4" w:space="0" w:color="000000"/>
              <w:right w:val="single" w:sz="4" w:space="0" w:color="000000"/>
            </w:tcBorders>
            <w:shd w:val="clear" w:color="auto" w:fill="auto"/>
            <w:vAlign w:val="bottom"/>
          </w:tcPr>
          <w:p w14:paraId="68CF999B" w14:textId="77777777" w:rsidR="00126128" w:rsidRDefault="0078150B">
            <w:pPr>
              <w:rPr>
                <w:b/>
              </w:rPr>
            </w:pPr>
            <w:r>
              <w:rPr>
                <w:b/>
              </w:rPr>
              <w:t>100</w:t>
            </w:r>
          </w:p>
        </w:tc>
        <w:tc>
          <w:tcPr>
            <w:tcW w:w="933" w:type="dxa"/>
            <w:tcBorders>
              <w:top w:val="nil"/>
              <w:left w:val="nil"/>
              <w:bottom w:val="single" w:sz="4" w:space="0" w:color="000000"/>
              <w:right w:val="single" w:sz="4" w:space="0" w:color="000000"/>
            </w:tcBorders>
            <w:shd w:val="clear" w:color="auto" w:fill="auto"/>
            <w:vAlign w:val="bottom"/>
          </w:tcPr>
          <w:p w14:paraId="7F44CFE2" w14:textId="77777777" w:rsidR="00126128" w:rsidRDefault="0078150B">
            <w:pPr>
              <w:rPr>
                <w:b/>
              </w:rPr>
            </w:pPr>
            <w:r>
              <w:rPr>
                <w:b/>
              </w:rPr>
              <w:t>159</w:t>
            </w:r>
          </w:p>
        </w:tc>
        <w:tc>
          <w:tcPr>
            <w:tcW w:w="799" w:type="dxa"/>
            <w:tcBorders>
              <w:top w:val="nil"/>
              <w:left w:val="nil"/>
              <w:bottom w:val="single" w:sz="4" w:space="0" w:color="000000"/>
              <w:right w:val="single" w:sz="4" w:space="0" w:color="000000"/>
            </w:tcBorders>
            <w:shd w:val="clear" w:color="auto" w:fill="auto"/>
            <w:vAlign w:val="bottom"/>
          </w:tcPr>
          <w:p w14:paraId="0DE8059E" w14:textId="77777777" w:rsidR="00126128" w:rsidRDefault="0078150B">
            <w:pPr>
              <w:rPr>
                <w:b/>
              </w:rPr>
            </w:pPr>
            <w:r>
              <w:rPr>
                <w:b/>
              </w:rPr>
              <w:t>100</w:t>
            </w:r>
          </w:p>
        </w:tc>
        <w:tc>
          <w:tcPr>
            <w:tcW w:w="1002" w:type="dxa"/>
            <w:tcBorders>
              <w:top w:val="nil"/>
              <w:left w:val="nil"/>
              <w:bottom w:val="single" w:sz="4" w:space="0" w:color="000000"/>
              <w:right w:val="single" w:sz="4" w:space="0" w:color="000000"/>
            </w:tcBorders>
            <w:shd w:val="clear" w:color="auto" w:fill="auto"/>
            <w:vAlign w:val="bottom"/>
          </w:tcPr>
          <w:p w14:paraId="192C4343" w14:textId="77777777" w:rsidR="00126128" w:rsidRDefault="0078150B">
            <w:pPr>
              <w:rPr>
                <w:b/>
              </w:rPr>
            </w:pPr>
            <w:r>
              <w:rPr>
                <w:b/>
              </w:rPr>
              <w:t>107</w:t>
            </w:r>
          </w:p>
        </w:tc>
        <w:tc>
          <w:tcPr>
            <w:tcW w:w="858" w:type="dxa"/>
            <w:tcBorders>
              <w:top w:val="nil"/>
              <w:left w:val="nil"/>
              <w:bottom w:val="single" w:sz="4" w:space="0" w:color="000000"/>
              <w:right w:val="single" w:sz="4" w:space="0" w:color="000000"/>
            </w:tcBorders>
            <w:shd w:val="clear" w:color="auto" w:fill="auto"/>
            <w:vAlign w:val="bottom"/>
          </w:tcPr>
          <w:p w14:paraId="521D120B" w14:textId="77777777" w:rsidR="00126128" w:rsidRDefault="0078150B">
            <w:pPr>
              <w:rPr>
                <w:b/>
              </w:rPr>
            </w:pPr>
            <w:r>
              <w:rPr>
                <w:b/>
              </w:rPr>
              <w:t>100</w:t>
            </w:r>
          </w:p>
        </w:tc>
      </w:tr>
    </w:tbl>
    <w:p w14:paraId="73C9E404" w14:textId="77777777" w:rsidR="00126128" w:rsidRDefault="00126128">
      <w:pPr>
        <w:rPr>
          <w:b/>
        </w:rPr>
      </w:pPr>
    </w:p>
    <w:p w14:paraId="233D542F" w14:textId="77777777" w:rsidR="00126128" w:rsidRDefault="00126128">
      <w:pPr>
        <w:rPr>
          <w:b/>
        </w:rPr>
      </w:pPr>
    </w:p>
    <w:p w14:paraId="02D343C1" w14:textId="77777777" w:rsidR="00126128" w:rsidRDefault="0078150B">
      <w:pPr>
        <w:rPr>
          <w:b/>
        </w:rPr>
      </w:pPr>
      <w:r>
        <w:rPr>
          <w:b/>
        </w:rPr>
        <w:t>2.2. Dog body part representation</w:t>
      </w:r>
    </w:p>
    <w:p w14:paraId="526F84D5" w14:textId="77777777" w:rsidR="00126128" w:rsidRDefault="0078150B">
      <w:pPr>
        <w:rPr>
          <w:b/>
        </w:rPr>
      </w:pPr>
      <w:r>
        <w:rPr>
          <w:b/>
          <w:noProof/>
        </w:rPr>
        <w:drawing>
          <wp:inline distT="114300" distB="114300" distL="114300" distR="114300" wp14:anchorId="3E679888" wp14:editId="6D246EF7">
            <wp:extent cx="4860000" cy="3733200"/>
            <wp:effectExtent l="0" t="0" r="0" b="635"/>
            <wp:docPr id="897971200"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9"/>
                    <a:srcRect/>
                    <a:stretch>
                      <a:fillRect/>
                    </a:stretch>
                  </pic:blipFill>
                  <pic:spPr>
                    <a:xfrm>
                      <a:off x="0" y="0"/>
                      <a:ext cx="4860000" cy="3733200"/>
                    </a:xfrm>
                    <a:prstGeom prst="rect">
                      <a:avLst/>
                    </a:prstGeom>
                    <a:ln/>
                  </pic:spPr>
                </pic:pic>
              </a:graphicData>
            </a:graphic>
          </wp:inline>
        </w:drawing>
      </w:r>
    </w:p>
    <w:p w14:paraId="1B47CA9B" w14:textId="0EB4E2C1" w:rsidR="00126128" w:rsidRDefault="0078150B">
      <w:pPr>
        <w:rPr>
          <w:b/>
        </w:rPr>
      </w:pPr>
      <w:r>
        <w:rPr>
          <w:b/>
        </w:rPr>
        <w:t>Figure S1</w:t>
      </w:r>
      <w:r w:rsidR="006E0E10">
        <w:rPr>
          <w:b/>
        </w:rPr>
        <w:t>.</w:t>
      </w:r>
      <w:r>
        <w:rPr>
          <w:b/>
        </w:rPr>
        <w:t xml:space="preserve"> Dog body part representation (shown using %Minimum Anatomical Units - MAU) from bear garden (top diagram) and playhouse (bottom diagram) contexts.</w:t>
      </w:r>
    </w:p>
    <w:p w14:paraId="2C344D03" w14:textId="77777777" w:rsidR="00126128" w:rsidRDefault="00126128">
      <w:pPr>
        <w:rPr>
          <w:b/>
        </w:rPr>
      </w:pPr>
    </w:p>
    <w:p w14:paraId="6D7B4879" w14:textId="77777777" w:rsidR="00126128" w:rsidRDefault="0078150B">
      <w:pPr>
        <w:rPr>
          <w:b/>
        </w:rPr>
      </w:pPr>
      <w:r>
        <w:rPr>
          <w:b/>
        </w:rPr>
        <w:t>2.3. Dog body size</w:t>
      </w:r>
    </w:p>
    <w:p w14:paraId="2D9848BD" w14:textId="675E6B18" w:rsidR="00126128" w:rsidRDefault="0078150B">
      <w:r>
        <w:t>Raw measurement data can be found in the accompanying spreadsheet (</w:t>
      </w:r>
      <w:r w:rsidR="006E0E10">
        <w:t>OSM2</w:t>
      </w:r>
      <w:r>
        <w:t>)</w:t>
      </w:r>
    </w:p>
    <w:p w14:paraId="462B3B06" w14:textId="77777777" w:rsidR="00126128" w:rsidRDefault="00126128">
      <w:pPr>
        <w:rPr>
          <w:b/>
        </w:rPr>
      </w:pPr>
    </w:p>
    <w:p w14:paraId="03843026" w14:textId="77777777" w:rsidR="00126128" w:rsidRDefault="0078150B">
      <w:pPr>
        <w:rPr>
          <w:b/>
        </w:rPr>
      </w:pPr>
      <w:r>
        <w:rPr>
          <w:b/>
        </w:rPr>
        <w:t>2.3.1 Scatterplots</w:t>
      </w:r>
    </w:p>
    <w:p w14:paraId="0137C28D" w14:textId="77777777" w:rsidR="00126128" w:rsidRDefault="0078150B">
      <w:pPr>
        <w:rPr>
          <w:color w:val="FF0000"/>
        </w:rPr>
      </w:pPr>
      <w:r>
        <w:rPr>
          <w:noProof/>
          <w:color w:val="FF0000"/>
        </w:rPr>
        <w:drawing>
          <wp:inline distT="114300" distB="114300" distL="114300" distR="114300" wp14:anchorId="44BBA91D" wp14:editId="6E539F04">
            <wp:extent cx="5553419" cy="7515691"/>
            <wp:effectExtent l="0" t="0" r="0" b="0"/>
            <wp:docPr id="89797119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0"/>
                    <a:srcRect/>
                    <a:stretch>
                      <a:fillRect/>
                    </a:stretch>
                  </pic:blipFill>
                  <pic:spPr>
                    <a:xfrm>
                      <a:off x="0" y="0"/>
                      <a:ext cx="5553419" cy="7515691"/>
                    </a:xfrm>
                    <a:prstGeom prst="rect">
                      <a:avLst/>
                    </a:prstGeom>
                    <a:ln/>
                  </pic:spPr>
                </pic:pic>
              </a:graphicData>
            </a:graphic>
          </wp:inline>
        </w:drawing>
      </w:r>
    </w:p>
    <w:p w14:paraId="532F5D29" w14:textId="62303681" w:rsidR="00126128" w:rsidRDefault="0078150B">
      <w:r>
        <w:rPr>
          <w:b/>
        </w:rPr>
        <w:t>Figure S2a</w:t>
      </w:r>
      <w:r w:rsidR="006E0E10">
        <w:rPr>
          <w:b/>
        </w:rPr>
        <w:t>.</w:t>
      </w:r>
      <w:r>
        <w:rPr>
          <w:b/>
        </w:rPr>
        <w:t xml:space="preserve"> Scatterplots investigating the size of dog postcranial remains comparing dogs from Bankside playhouse and bear garden contexts to other contemporary London sites. </w:t>
      </w:r>
      <w:r>
        <w:t>British Museum data from Rielly (2015), Bishopsgate Good’s Yard data from Pipe (2009</w:t>
      </w:r>
      <w:r w:rsidR="005806F4">
        <w:t>b</w:t>
      </w:r>
      <w:r>
        <w:t>).</w:t>
      </w:r>
    </w:p>
    <w:p w14:paraId="5B15C1BD" w14:textId="77777777" w:rsidR="00126128" w:rsidRDefault="00126128"/>
    <w:p w14:paraId="6CB65EC7" w14:textId="77777777" w:rsidR="00126128" w:rsidRDefault="0078150B">
      <w:r>
        <w:rPr>
          <w:noProof/>
        </w:rPr>
        <w:lastRenderedPageBreak/>
        <w:drawing>
          <wp:inline distT="114300" distB="114300" distL="114300" distR="114300" wp14:anchorId="1908425C" wp14:editId="6CE67818">
            <wp:extent cx="5731200" cy="5499100"/>
            <wp:effectExtent l="0" t="0" r="0" b="0"/>
            <wp:docPr id="89797120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1"/>
                    <a:srcRect/>
                    <a:stretch>
                      <a:fillRect/>
                    </a:stretch>
                  </pic:blipFill>
                  <pic:spPr>
                    <a:xfrm>
                      <a:off x="0" y="0"/>
                      <a:ext cx="5731200" cy="5499100"/>
                    </a:xfrm>
                    <a:prstGeom prst="rect">
                      <a:avLst/>
                    </a:prstGeom>
                    <a:ln/>
                  </pic:spPr>
                </pic:pic>
              </a:graphicData>
            </a:graphic>
          </wp:inline>
        </w:drawing>
      </w:r>
    </w:p>
    <w:p w14:paraId="2B5EE072" w14:textId="1E2EDCDC" w:rsidR="00126128" w:rsidRDefault="0078150B">
      <w:r>
        <w:rPr>
          <w:b/>
        </w:rPr>
        <w:t>Figure S2b</w:t>
      </w:r>
      <w:r w:rsidR="006E0E10">
        <w:rPr>
          <w:b/>
        </w:rPr>
        <w:t>.</w:t>
      </w:r>
      <w:r>
        <w:rPr>
          <w:b/>
        </w:rPr>
        <w:t xml:space="preserve"> Scatterplots investigating the shape of dog postcranial remains comparing dogs from Bankside playhouse and bear garden contexts to other contemporary London sites. </w:t>
      </w:r>
      <w:r>
        <w:t>British Museum data from Rielly (2015), Bishopsgate Good’s Yard data from Pipe (2009</w:t>
      </w:r>
      <w:r w:rsidR="005806F4">
        <w:t>b</w:t>
      </w:r>
      <w:r>
        <w:t>).</w:t>
      </w:r>
    </w:p>
    <w:p w14:paraId="71D53B78" w14:textId="77777777" w:rsidR="00126128" w:rsidRDefault="00126128"/>
    <w:p w14:paraId="1C57646E" w14:textId="77777777" w:rsidR="00126128" w:rsidRDefault="0078150B">
      <w:pPr>
        <w:rPr>
          <w:b/>
        </w:rPr>
      </w:pPr>
      <w:r>
        <w:rPr>
          <w:b/>
        </w:rPr>
        <w:t>2.3.2 Log ratios</w:t>
      </w:r>
    </w:p>
    <w:p w14:paraId="5FB490EC" w14:textId="77777777" w:rsidR="00126128" w:rsidRDefault="00126128">
      <w:pPr>
        <w:rPr>
          <w:b/>
        </w:rPr>
      </w:pPr>
    </w:p>
    <w:p w14:paraId="2D289A15" w14:textId="77777777" w:rsidR="00126128" w:rsidRDefault="0078150B">
      <w:r>
        <w:t xml:space="preserve">Only measurements from the Bankside assemblages were included in the tooth log ratio analysis due to the small sample sizes available from other sites. These results fit with those from the postcrania in that they confirm the large size of the Bankside dogs and the lack of variation within the population. </w:t>
      </w:r>
    </w:p>
    <w:p w14:paraId="09ABE422" w14:textId="77777777" w:rsidR="00126128" w:rsidRDefault="00126128"/>
    <w:p w14:paraId="225BB14A" w14:textId="77777777" w:rsidR="00126128" w:rsidRDefault="0078150B">
      <w:pPr>
        <w:rPr>
          <w:b/>
        </w:rPr>
      </w:pPr>
      <w:r>
        <w:rPr>
          <w:b/>
          <w:noProof/>
        </w:rPr>
        <w:lastRenderedPageBreak/>
        <w:drawing>
          <wp:inline distT="114300" distB="114300" distL="114300" distR="114300" wp14:anchorId="609A2528" wp14:editId="149053DD">
            <wp:extent cx="5820165" cy="5115268"/>
            <wp:effectExtent l="0" t="0" r="0" b="0"/>
            <wp:docPr id="897971201"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22"/>
                    <a:srcRect/>
                    <a:stretch>
                      <a:fillRect/>
                    </a:stretch>
                  </pic:blipFill>
                  <pic:spPr>
                    <a:xfrm>
                      <a:off x="0" y="0"/>
                      <a:ext cx="5820165" cy="5115268"/>
                    </a:xfrm>
                    <a:prstGeom prst="rect">
                      <a:avLst/>
                    </a:prstGeom>
                    <a:ln/>
                  </pic:spPr>
                </pic:pic>
              </a:graphicData>
            </a:graphic>
          </wp:inline>
        </w:drawing>
      </w:r>
    </w:p>
    <w:p w14:paraId="32AD1B8E" w14:textId="77777777" w:rsidR="00126128" w:rsidRDefault="00126128">
      <w:pPr>
        <w:rPr>
          <w:b/>
        </w:rPr>
      </w:pPr>
    </w:p>
    <w:p w14:paraId="3606EEDA" w14:textId="7C5879A1" w:rsidR="00126128" w:rsidRDefault="0078150B">
      <w:r>
        <w:rPr>
          <w:b/>
        </w:rPr>
        <w:t>Figure S3</w:t>
      </w:r>
      <w:r w:rsidR="006E0E10">
        <w:rPr>
          <w:b/>
        </w:rPr>
        <w:t>.</w:t>
      </w:r>
      <w:r>
        <w:rPr>
          <w:b/>
        </w:rPr>
        <w:t xml:space="preserve"> Log ratio histograms for dog tooth length and width measurements. </w:t>
      </w:r>
      <w:r>
        <w:t xml:space="preserve">The standard is marked with a black line and the mean with a green line. </w:t>
      </w:r>
    </w:p>
    <w:p w14:paraId="4305F9FC" w14:textId="77777777" w:rsidR="00126128" w:rsidRDefault="00126128">
      <w:pPr>
        <w:rPr>
          <w:b/>
        </w:rPr>
      </w:pPr>
    </w:p>
    <w:p w14:paraId="57541BC0" w14:textId="77777777" w:rsidR="00126128" w:rsidRDefault="00126128">
      <w:pPr>
        <w:rPr>
          <w:b/>
        </w:rPr>
      </w:pPr>
    </w:p>
    <w:p w14:paraId="50B98178" w14:textId="77777777" w:rsidR="00126128" w:rsidRDefault="00126128">
      <w:pPr>
        <w:rPr>
          <w:b/>
        </w:rPr>
      </w:pPr>
    </w:p>
    <w:p w14:paraId="77A8C7EF" w14:textId="77777777" w:rsidR="00126128" w:rsidRDefault="00126128">
      <w:pPr>
        <w:rPr>
          <w:b/>
        </w:rPr>
      </w:pPr>
    </w:p>
    <w:p w14:paraId="210B18E2" w14:textId="77777777" w:rsidR="00126128" w:rsidRDefault="00126128">
      <w:pPr>
        <w:rPr>
          <w:b/>
        </w:rPr>
      </w:pPr>
    </w:p>
    <w:p w14:paraId="41C64FB9" w14:textId="77777777" w:rsidR="00126128" w:rsidRDefault="00126128">
      <w:pPr>
        <w:rPr>
          <w:b/>
        </w:rPr>
      </w:pPr>
    </w:p>
    <w:p w14:paraId="6FED39D5" w14:textId="77777777" w:rsidR="00126128" w:rsidRDefault="00126128">
      <w:pPr>
        <w:rPr>
          <w:b/>
        </w:rPr>
      </w:pPr>
    </w:p>
    <w:p w14:paraId="7AD0811C" w14:textId="77777777" w:rsidR="00126128" w:rsidRDefault="00126128">
      <w:pPr>
        <w:rPr>
          <w:b/>
        </w:rPr>
      </w:pPr>
    </w:p>
    <w:p w14:paraId="2BF5FC32" w14:textId="77777777" w:rsidR="00126128" w:rsidRDefault="00126128">
      <w:pPr>
        <w:rPr>
          <w:b/>
        </w:rPr>
      </w:pPr>
    </w:p>
    <w:p w14:paraId="16D8C8BB" w14:textId="77777777" w:rsidR="00126128" w:rsidRDefault="00126128">
      <w:pPr>
        <w:rPr>
          <w:b/>
        </w:rPr>
      </w:pPr>
    </w:p>
    <w:p w14:paraId="3E72B110" w14:textId="77777777" w:rsidR="004C1331" w:rsidRDefault="004C1331">
      <w:pPr>
        <w:rPr>
          <w:b/>
        </w:rPr>
      </w:pPr>
      <w:r>
        <w:rPr>
          <w:b/>
        </w:rPr>
        <w:br w:type="page"/>
      </w:r>
    </w:p>
    <w:p w14:paraId="15997B1D" w14:textId="684F1F5A" w:rsidR="00126128" w:rsidRDefault="0078150B">
      <w:pPr>
        <w:rPr>
          <w:b/>
        </w:rPr>
      </w:pPr>
      <w:r>
        <w:rPr>
          <w:b/>
        </w:rPr>
        <w:lastRenderedPageBreak/>
        <w:t>2.3.3 Stature estimates</w:t>
      </w:r>
    </w:p>
    <w:p w14:paraId="3C14BE75" w14:textId="77777777" w:rsidR="00126128" w:rsidRDefault="0078150B">
      <w:pPr>
        <w:spacing w:before="240" w:after="240"/>
      </w:pPr>
      <w:r>
        <w:rPr>
          <w:noProof/>
        </w:rPr>
        <w:drawing>
          <wp:inline distT="0" distB="0" distL="0" distR="0" wp14:anchorId="7FEE0113" wp14:editId="68AC3428">
            <wp:extent cx="5639532" cy="2811705"/>
            <wp:effectExtent l="0" t="0" r="0" b="0"/>
            <wp:docPr id="89797120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3"/>
                    <a:srcRect/>
                    <a:stretch>
                      <a:fillRect/>
                    </a:stretch>
                  </pic:blipFill>
                  <pic:spPr>
                    <a:xfrm>
                      <a:off x="0" y="0"/>
                      <a:ext cx="5639532" cy="2811705"/>
                    </a:xfrm>
                    <a:prstGeom prst="rect">
                      <a:avLst/>
                    </a:prstGeom>
                    <a:ln/>
                  </pic:spPr>
                </pic:pic>
              </a:graphicData>
            </a:graphic>
          </wp:inline>
        </w:drawing>
      </w:r>
    </w:p>
    <w:p w14:paraId="02DB6DD1" w14:textId="10A56DF9" w:rsidR="00126128" w:rsidRDefault="0078150B">
      <w:pPr>
        <w:spacing w:before="240" w:after="240"/>
        <w:rPr>
          <w:b/>
        </w:rPr>
      </w:pPr>
      <w:r>
        <w:rPr>
          <w:b/>
        </w:rPr>
        <w:t>Figure S4. Comparison of estimated shoulder height (mm) using the equations of Harcourt (1974) for early modern dogs from Bankside, England and Northern Ireland.</w:t>
      </w:r>
      <w:r w:rsidR="006A19FA">
        <w:rPr>
          <w:b/>
        </w:rPr>
        <w:t xml:space="preserve"> </w:t>
      </w:r>
      <w:r>
        <w:t>British Museum data from Rielly (2015), Bishopsgate Good’s Yard data from Pipe (2009</w:t>
      </w:r>
      <w:r w:rsidR="005806F4">
        <w:t>b</w:t>
      </w:r>
      <w:r>
        <w:t>), Elverton Street data from Pipe (</w:t>
      </w:r>
      <w:r w:rsidR="009E1237">
        <w:t>n.d.</w:t>
      </w:r>
      <w:r>
        <w:t>), English data from Welker &amp; Dunham (2019) and Irish data from Murphy (2001).</w:t>
      </w:r>
    </w:p>
    <w:p w14:paraId="3710A033" w14:textId="77777777" w:rsidR="00126128" w:rsidRDefault="00126128">
      <w:pPr>
        <w:rPr>
          <w:b/>
        </w:rPr>
      </w:pPr>
    </w:p>
    <w:p w14:paraId="13DEA3FE" w14:textId="02B7679B" w:rsidR="00126128" w:rsidRDefault="0078150B">
      <w:pPr>
        <w:spacing w:after="240"/>
      </w:pPr>
      <w:r>
        <w:t>Shoulder height estimations for all measurable Bankside dog radii, humerii, femora and tibiae are shown in Figure S5. Very similar size ranges are seen across all available bones from all site codes. The three outliers are a radius from the Rose from the lifetime of the playhouse, a radius from Empire Warehouse (EWH08) which dates to the period of Davies Bear Garden, and a small humerus from the post-Playhouse levels at the Rose.</w:t>
      </w:r>
    </w:p>
    <w:p w14:paraId="1ABFC8C7" w14:textId="77777777" w:rsidR="00126128" w:rsidRDefault="0078150B">
      <w:r>
        <w:rPr>
          <w:noProof/>
        </w:rPr>
        <w:drawing>
          <wp:inline distT="114300" distB="114300" distL="114300" distR="114300" wp14:anchorId="3159BEEB" wp14:editId="6ED8A20B">
            <wp:extent cx="5172075" cy="2705100"/>
            <wp:effectExtent l="0" t="0" r="9525" b="0"/>
            <wp:docPr id="89797120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4"/>
                    <a:srcRect/>
                    <a:stretch>
                      <a:fillRect/>
                    </a:stretch>
                  </pic:blipFill>
                  <pic:spPr>
                    <a:xfrm>
                      <a:off x="0" y="0"/>
                      <a:ext cx="5172075" cy="2705100"/>
                    </a:xfrm>
                    <a:prstGeom prst="rect">
                      <a:avLst/>
                    </a:prstGeom>
                    <a:ln/>
                  </pic:spPr>
                </pic:pic>
              </a:graphicData>
            </a:graphic>
          </wp:inline>
        </w:drawing>
      </w:r>
    </w:p>
    <w:p w14:paraId="4A863F14" w14:textId="4EB7D58C" w:rsidR="00126128" w:rsidRDefault="0078150B">
      <w:pPr>
        <w:spacing w:after="240"/>
        <w:rPr>
          <w:b/>
        </w:rPr>
      </w:pPr>
      <w:r>
        <w:rPr>
          <w:b/>
        </w:rPr>
        <w:t xml:space="preserve">Figure S5. Bankside dog stature (mm) calculated from each long bone using equations in Harcourt (1974). </w:t>
      </w:r>
    </w:p>
    <w:p w14:paraId="1B2EB25E" w14:textId="675C046F" w:rsidR="00126128" w:rsidRDefault="0078150B">
      <w:pPr>
        <w:spacing w:after="240"/>
      </w:pPr>
      <w:r>
        <w:lastRenderedPageBreak/>
        <w:t>Summary statistics for the data shown in Figure S5 are shown in Table S</w:t>
      </w:r>
      <w:r w:rsidR="00842C73">
        <w:t>6</w:t>
      </w:r>
      <w:r>
        <w:t xml:space="preserve"> (raw data are presented in </w:t>
      </w:r>
      <w:r w:rsidR="006E0E10">
        <w:t>OSM2</w:t>
      </w:r>
      <w:r>
        <w:t>).</w:t>
      </w:r>
    </w:p>
    <w:p w14:paraId="697D7A4A" w14:textId="77777777" w:rsidR="00126128" w:rsidRDefault="00126128">
      <w:pPr>
        <w:rPr>
          <w:b/>
        </w:rPr>
      </w:pPr>
    </w:p>
    <w:p w14:paraId="0DC9674A" w14:textId="34FF7D00" w:rsidR="00126128" w:rsidRDefault="0078150B">
      <w:r>
        <w:rPr>
          <w:b/>
        </w:rPr>
        <w:t>Table S</w:t>
      </w:r>
      <w:r w:rsidR="00842C73">
        <w:rPr>
          <w:b/>
        </w:rPr>
        <w:t>6.</w:t>
      </w:r>
      <w:r>
        <w:rPr>
          <w:b/>
        </w:rPr>
        <w:t xml:space="preserve"> Summary data for elements shown in Figure S5</w:t>
      </w:r>
      <w:r w:rsidR="00842C73">
        <w:rPr>
          <w:b/>
        </w:rPr>
        <w:t>.</w:t>
      </w:r>
    </w:p>
    <w:p w14:paraId="028C45C6" w14:textId="77777777" w:rsidR="00126128" w:rsidRDefault="00126128">
      <w:pPr>
        <w:rPr>
          <w:b/>
        </w:rPr>
      </w:pPr>
    </w:p>
    <w:tbl>
      <w:tblPr>
        <w:tblStyle w:val="afd"/>
        <w:tblW w:w="4520" w:type="dxa"/>
        <w:tblLayout w:type="fixed"/>
        <w:tblLook w:val="0400" w:firstRow="0" w:lastRow="0" w:firstColumn="0" w:lastColumn="0" w:noHBand="0" w:noVBand="1"/>
      </w:tblPr>
      <w:tblGrid>
        <w:gridCol w:w="1155"/>
        <w:gridCol w:w="461"/>
        <w:gridCol w:w="1334"/>
        <w:gridCol w:w="1570"/>
      </w:tblGrid>
      <w:tr w:rsidR="00126128" w14:paraId="7ECD241E" w14:textId="77777777">
        <w:trPr>
          <w:trHeight w:val="300"/>
        </w:trPr>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D5FC5" w14:textId="77777777" w:rsidR="00126128" w:rsidRDefault="0078150B">
            <w:pPr>
              <w:rPr>
                <w:b/>
              </w:rPr>
            </w:pPr>
            <w:r>
              <w:rPr>
                <w:b/>
              </w:rPr>
              <w:t>Element</w:t>
            </w:r>
          </w:p>
        </w:tc>
        <w:tc>
          <w:tcPr>
            <w:tcW w:w="461" w:type="dxa"/>
            <w:tcBorders>
              <w:top w:val="single" w:sz="4" w:space="0" w:color="000000"/>
              <w:left w:val="nil"/>
              <w:bottom w:val="single" w:sz="4" w:space="0" w:color="000000"/>
              <w:right w:val="single" w:sz="4" w:space="0" w:color="000000"/>
            </w:tcBorders>
            <w:shd w:val="clear" w:color="auto" w:fill="auto"/>
            <w:vAlign w:val="center"/>
          </w:tcPr>
          <w:p w14:paraId="4B2FF42A" w14:textId="77777777" w:rsidR="00126128" w:rsidRDefault="0078150B">
            <w:pPr>
              <w:rPr>
                <w:b/>
              </w:rPr>
            </w:pPr>
            <w:r>
              <w:rPr>
                <w:b/>
              </w:rPr>
              <w:t>n</w:t>
            </w:r>
          </w:p>
        </w:tc>
        <w:tc>
          <w:tcPr>
            <w:tcW w:w="1334" w:type="dxa"/>
            <w:tcBorders>
              <w:top w:val="single" w:sz="4" w:space="0" w:color="000000"/>
              <w:left w:val="nil"/>
              <w:bottom w:val="single" w:sz="4" w:space="0" w:color="000000"/>
              <w:right w:val="single" w:sz="4" w:space="0" w:color="000000"/>
            </w:tcBorders>
            <w:shd w:val="clear" w:color="auto" w:fill="auto"/>
            <w:vAlign w:val="center"/>
          </w:tcPr>
          <w:p w14:paraId="09B6D9CF" w14:textId="77777777" w:rsidR="00126128" w:rsidRDefault="0078150B">
            <w:pPr>
              <w:rPr>
                <w:b/>
              </w:rPr>
            </w:pPr>
            <w:r>
              <w:rPr>
                <w:b/>
              </w:rPr>
              <w:t>Mean (mm)</w:t>
            </w:r>
          </w:p>
        </w:tc>
        <w:tc>
          <w:tcPr>
            <w:tcW w:w="1570" w:type="dxa"/>
            <w:tcBorders>
              <w:top w:val="single" w:sz="4" w:space="0" w:color="000000"/>
              <w:left w:val="nil"/>
              <w:bottom w:val="single" w:sz="4" w:space="0" w:color="000000"/>
              <w:right w:val="single" w:sz="4" w:space="0" w:color="000000"/>
            </w:tcBorders>
            <w:shd w:val="clear" w:color="auto" w:fill="auto"/>
            <w:vAlign w:val="center"/>
          </w:tcPr>
          <w:p w14:paraId="46CE98EA" w14:textId="77777777" w:rsidR="00126128" w:rsidRDefault="0078150B">
            <w:pPr>
              <w:rPr>
                <w:b/>
              </w:rPr>
            </w:pPr>
            <w:r>
              <w:rPr>
                <w:b/>
              </w:rPr>
              <w:t>Range (mm)</w:t>
            </w:r>
          </w:p>
        </w:tc>
      </w:tr>
      <w:tr w:rsidR="00126128" w14:paraId="01715584" w14:textId="77777777">
        <w:trPr>
          <w:trHeight w:val="570"/>
        </w:trPr>
        <w:tc>
          <w:tcPr>
            <w:tcW w:w="1155" w:type="dxa"/>
            <w:tcBorders>
              <w:top w:val="nil"/>
              <w:left w:val="single" w:sz="4" w:space="0" w:color="000000"/>
              <w:bottom w:val="single" w:sz="4" w:space="0" w:color="000000"/>
              <w:right w:val="single" w:sz="4" w:space="0" w:color="000000"/>
            </w:tcBorders>
            <w:shd w:val="clear" w:color="auto" w:fill="auto"/>
            <w:vAlign w:val="center"/>
          </w:tcPr>
          <w:p w14:paraId="1EEF8E4F" w14:textId="77777777" w:rsidR="00126128" w:rsidRDefault="0078150B">
            <w:r>
              <w:t>Humerus</w:t>
            </w:r>
          </w:p>
        </w:tc>
        <w:tc>
          <w:tcPr>
            <w:tcW w:w="461" w:type="dxa"/>
            <w:tcBorders>
              <w:top w:val="nil"/>
              <w:left w:val="nil"/>
              <w:bottom w:val="single" w:sz="4" w:space="0" w:color="000000"/>
              <w:right w:val="single" w:sz="4" w:space="0" w:color="000000"/>
            </w:tcBorders>
            <w:shd w:val="clear" w:color="auto" w:fill="auto"/>
            <w:vAlign w:val="center"/>
          </w:tcPr>
          <w:p w14:paraId="67332678" w14:textId="77777777" w:rsidR="00126128" w:rsidRDefault="0078150B">
            <w:r>
              <w:t>28</w:t>
            </w:r>
          </w:p>
        </w:tc>
        <w:tc>
          <w:tcPr>
            <w:tcW w:w="1334" w:type="dxa"/>
            <w:tcBorders>
              <w:top w:val="nil"/>
              <w:left w:val="nil"/>
              <w:bottom w:val="single" w:sz="4" w:space="0" w:color="000000"/>
              <w:right w:val="single" w:sz="4" w:space="0" w:color="000000"/>
            </w:tcBorders>
            <w:shd w:val="clear" w:color="auto" w:fill="auto"/>
            <w:vAlign w:val="center"/>
          </w:tcPr>
          <w:p w14:paraId="3057A528" w14:textId="77777777" w:rsidR="00126128" w:rsidRDefault="0078150B">
            <w:r>
              <w:t>678.04</w:t>
            </w:r>
          </w:p>
        </w:tc>
        <w:tc>
          <w:tcPr>
            <w:tcW w:w="1570" w:type="dxa"/>
            <w:tcBorders>
              <w:top w:val="nil"/>
              <w:left w:val="nil"/>
              <w:bottom w:val="single" w:sz="4" w:space="0" w:color="000000"/>
              <w:right w:val="single" w:sz="4" w:space="0" w:color="000000"/>
            </w:tcBorders>
            <w:shd w:val="clear" w:color="auto" w:fill="auto"/>
            <w:vAlign w:val="center"/>
          </w:tcPr>
          <w:p w14:paraId="2D67C806" w14:textId="77777777" w:rsidR="00126128" w:rsidRDefault="0078150B">
            <w:r>
              <w:t>391.92 – 806.95</w:t>
            </w:r>
          </w:p>
        </w:tc>
      </w:tr>
      <w:tr w:rsidR="00126128" w14:paraId="6FD41E5E" w14:textId="77777777">
        <w:trPr>
          <w:trHeight w:val="570"/>
        </w:trPr>
        <w:tc>
          <w:tcPr>
            <w:tcW w:w="1155" w:type="dxa"/>
            <w:tcBorders>
              <w:top w:val="nil"/>
              <w:left w:val="single" w:sz="4" w:space="0" w:color="000000"/>
              <w:bottom w:val="single" w:sz="4" w:space="0" w:color="000000"/>
              <w:right w:val="single" w:sz="4" w:space="0" w:color="000000"/>
            </w:tcBorders>
            <w:shd w:val="clear" w:color="auto" w:fill="auto"/>
            <w:vAlign w:val="center"/>
          </w:tcPr>
          <w:p w14:paraId="73EA596E" w14:textId="77777777" w:rsidR="00126128" w:rsidRDefault="0078150B">
            <w:r>
              <w:t>Radius</w:t>
            </w:r>
          </w:p>
        </w:tc>
        <w:tc>
          <w:tcPr>
            <w:tcW w:w="461" w:type="dxa"/>
            <w:tcBorders>
              <w:top w:val="nil"/>
              <w:left w:val="nil"/>
              <w:bottom w:val="single" w:sz="4" w:space="0" w:color="000000"/>
              <w:right w:val="single" w:sz="4" w:space="0" w:color="000000"/>
            </w:tcBorders>
            <w:shd w:val="clear" w:color="auto" w:fill="auto"/>
            <w:vAlign w:val="center"/>
          </w:tcPr>
          <w:p w14:paraId="0075BED0" w14:textId="77777777" w:rsidR="00126128" w:rsidRDefault="0078150B">
            <w:r>
              <w:t>16</w:t>
            </w:r>
          </w:p>
        </w:tc>
        <w:tc>
          <w:tcPr>
            <w:tcW w:w="1334" w:type="dxa"/>
            <w:tcBorders>
              <w:top w:val="nil"/>
              <w:left w:val="nil"/>
              <w:bottom w:val="single" w:sz="4" w:space="0" w:color="000000"/>
              <w:right w:val="single" w:sz="4" w:space="0" w:color="000000"/>
            </w:tcBorders>
            <w:shd w:val="clear" w:color="auto" w:fill="auto"/>
            <w:vAlign w:val="center"/>
          </w:tcPr>
          <w:p w14:paraId="4025D527" w14:textId="77777777" w:rsidR="00126128" w:rsidRDefault="0078150B">
            <w:r>
              <w:t>675.09</w:t>
            </w:r>
          </w:p>
        </w:tc>
        <w:tc>
          <w:tcPr>
            <w:tcW w:w="1570" w:type="dxa"/>
            <w:tcBorders>
              <w:top w:val="nil"/>
              <w:left w:val="nil"/>
              <w:bottom w:val="single" w:sz="4" w:space="0" w:color="000000"/>
              <w:right w:val="single" w:sz="4" w:space="0" w:color="000000"/>
            </w:tcBorders>
            <w:shd w:val="clear" w:color="auto" w:fill="auto"/>
            <w:vAlign w:val="center"/>
          </w:tcPr>
          <w:p w14:paraId="066F1DBA" w14:textId="77777777" w:rsidR="00126128" w:rsidRDefault="0078150B">
            <w:r>
              <w:t>418.60 – 773.17</w:t>
            </w:r>
          </w:p>
        </w:tc>
      </w:tr>
      <w:tr w:rsidR="00126128" w14:paraId="0D29266B" w14:textId="77777777">
        <w:trPr>
          <w:trHeight w:val="570"/>
        </w:trPr>
        <w:tc>
          <w:tcPr>
            <w:tcW w:w="1155" w:type="dxa"/>
            <w:tcBorders>
              <w:top w:val="nil"/>
              <w:left w:val="single" w:sz="4" w:space="0" w:color="000000"/>
              <w:bottom w:val="single" w:sz="4" w:space="0" w:color="000000"/>
              <w:right w:val="single" w:sz="4" w:space="0" w:color="000000"/>
            </w:tcBorders>
            <w:shd w:val="clear" w:color="auto" w:fill="auto"/>
            <w:vAlign w:val="center"/>
          </w:tcPr>
          <w:p w14:paraId="379DE606" w14:textId="77777777" w:rsidR="00126128" w:rsidRDefault="0078150B">
            <w:r>
              <w:t>Femur</w:t>
            </w:r>
          </w:p>
        </w:tc>
        <w:tc>
          <w:tcPr>
            <w:tcW w:w="461" w:type="dxa"/>
            <w:tcBorders>
              <w:top w:val="nil"/>
              <w:left w:val="nil"/>
              <w:bottom w:val="single" w:sz="4" w:space="0" w:color="000000"/>
              <w:right w:val="single" w:sz="4" w:space="0" w:color="000000"/>
            </w:tcBorders>
            <w:shd w:val="clear" w:color="auto" w:fill="auto"/>
            <w:vAlign w:val="center"/>
          </w:tcPr>
          <w:p w14:paraId="3F8E40FB" w14:textId="77777777" w:rsidR="00126128" w:rsidRDefault="0078150B">
            <w:r>
              <w:t>32</w:t>
            </w:r>
          </w:p>
        </w:tc>
        <w:tc>
          <w:tcPr>
            <w:tcW w:w="1334" w:type="dxa"/>
            <w:tcBorders>
              <w:top w:val="nil"/>
              <w:left w:val="nil"/>
              <w:bottom w:val="single" w:sz="4" w:space="0" w:color="000000"/>
              <w:right w:val="single" w:sz="4" w:space="0" w:color="000000"/>
            </w:tcBorders>
            <w:shd w:val="clear" w:color="auto" w:fill="auto"/>
            <w:vAlign w:val="center"/>
          </w:tcPr>
          <w:p w14:paraId="4F5FBDFE" w14:textId="77777777" w:rsidR="00126128" w:rsidRDefault="0078150B">
            <w:r>
              <w:t>709.14</w:t>
            </w:r>
          </w:p>
        </w:tc>
        <w:tc>
          <w:tcPr>
            <w:tcW w:w="1570" w:type="dxa"/>
            <w:tcBorders>
              <w:top w:val="nil"/>
              <w:left w:val="nil"/>
              <w:bottom w:val="single" w:sz="4" w:space="0" w:color="000000"/>
              <w:right w:val="single" w:sz="4" w:space="0" w:color="000000"/>
            </w:tcBorders>
            <w:shd w:val="clear" w:color="auto" w:fill="auto"/>
            <w:vAlign w:val="center"/>
          </w:tcPr>
          <w:p w14:paraId="270886D3" w14:textId="77777777" w:rsidR="00126128" w:rsidRDefault="0078150B">
            <w:r>
              <w:t>586.78 – 803.44</w:t>
            </w:r>
          </w:p>
        </w:tc>
      </w:tr>
      <w:tr w:rsidR="00126128" w14:paraId="23F6DCC0" w14:textId="77777777">
        <w:trPr>
          <w:trHeight w:val="570"/>
        </w:trPr>
        <w:tc>
          <w:tcPr>
            <w:tcW w:w="1155" w:type="dxa"/>
            <w:tcBorders>
              <w:top w:val="nil"/>
              <w:left w:val="single" w:sz="4" w:space="0" w:color="000000"/>
              <w:bottom w:val="single" w:sz="4" w:space="0" w:color="000000"/>
              <w:right w:val="single" w:sz="4" w:space="0" w:color="000000"/>
            </w:tcBorders>
            <w:shd w:val="clear" w:color="auto" w:fill="auto"/>
            <w:vAlign w:val="center"/>
          </w:tcPr>
          <w:p w14:paraId="7EB3A192" w14:textId="77777777" w:rsidR="00126128" w:rsidRDefault="0078150B">
            <w:r>
              <w:t>Tibia</w:t>
            </w:r>
          </w:p>
        </w:tc>
        <w:tc>
          <w:tcPr>
            <w:tcW w:w="461" w:type="dxa"/>
            <w:tcBorders>
              <w:top w:val="nil"/>
              <w:left w:val="nil"/>
              <w:bottom w:val="single" w:sz="4" w:space="0" w:color="000000"/>
              <w:right w:val="single" w:sz="4" w:space="0" w:color="000000"/>
            </w:tcBorders>
            <w:shd w:val="clear" w:color="auto" w:fill="auto"/>
            <w:vAlign w:val="center"/>
          </w:tcPr>
          <w:p w14:paraId="4C4A61EA" w14:textId="77777777" w:rsidR="00126128" w:rsidRDefault="0078150B">
            <w:r>
              <w:t>41</w:t>
            </w:r>
          </w:p>
        </w:tc>
        <w:tc>
          <w:tcPr>
            <w:tcW w:w="1334" w:type="dxa"/>
            <w:tcBorders>
              <w:top w:val="nil"/>
              <w:left w:val="nil"/>
              <w:bottom w:val="single" w:sz="4" w:space="0" w:color="000000"/>
              <w:right w:val="single" w:sz="4" w:space="0" w:color="000000"/>
            </w:tcBorders>
            <w:shd w:val="clear" w:color="auto" w:fill="auto"/>
            <w:vAlign w:val="center"/>
          </w:tcPr>
          <w:p w14:paraId="5C9B1BDB" w14:textId="77777777" w:rsidR="00126128" w:rsidRDefault="0078150B">
            <w:r>
              <w:t>709.5</w:t>
            </w:r>
          </w:p>
        </w:tc>
        <w:tc>
          <w:tcPr>
            <w:tcW w:w="1570" w:type="dxa"/>
            <w:tcBorders>
              <w:top w:val="nil"/>
              <w:left w:val="nil"/>
              <w:bottom w:val="single" w:sz="4" w:space="0" w:color="000000"/>
              <w:right w:val="single" w:sz="4" w:space="0" w:color="000000"/>
            </w:tcBorders>
            <w:shd w:val="clear" w:color="auto" w:fill="auto"/>
            <w:vAlign w:val="center"/>
          </w:tcPr>
          <w:p w14:paraId="45889632" w14:textId="77777777" w:rsidR="00126128" w:rsidRDefault="0078150B">
            <w:r>
              <w:t>596.33 – 780.29</w:t>
            </w:r>
          </w:p>
        </w:tc>
      </w:tr>
    </w:tbl>
    <w:p w14:paraId="507F6A65" w14:textId="77777777" w:rsidR="00126128" w:rsidRDefault="00126128">
      <w:pPr>
        <w:rPr>
          <w:b/>
        </w:rPr>
      </w:pPr>
    </w:p>
    <w:p w14:paraId="43218AD2" w14:textId="77777777" w:rsidR="00126128" w:rsidRDefault="00126128">
      <w:pPr>
        <w:rPr>
          <w:b/>
        </w:rPr>
      </w:pPr>
    </w:p>
    <w:p w14:paraId="78D763DE" w14:textId="77777777" w:rsidR="00126128" w:rsidRDefault="00126128">
      <w:pPr>
        <w:rPr>
          <w:b/>
        </w:rPr>
      </w:pPr>
    </w:p>
    <w:p w14:paraId="711AFD84" w14:textId="77777777" w:rsidR="004C1331" w:rsidRDefault="004C1331">
      <w:pPr>
        <w:rPr>
          <w:b/>
        </w:rPr>
      </w:pPr>
      <w:r>
        <w:rPr>
          <w:b/>
        </w:rPr>
        <w:br w:type="page"/>
      </w:r>
    </w:p>
    <w:p w14:paraId="7A1F23B8" w14:textId="07CD7C02" w:rsidR="00126128" w:rsidRDefault="0078150B">
      <w:pPr>
        <w:rPr>
          <w:b/>
        </w:rPr>
      </w:pPr>
      <w:r>
        <w:rPr>
          <w:b/>
        </w:rPr>
        <w:lastRenderedPageBreak/>
        <w:t>2.4. Age</w:t>
      </w:r>
    </w:p>
    <w:p w14:paraId="17AA5596" w14:textId="77777777" w:rsidR="00126128" w:rsidRDefault="0078150B">
      <w:pPr>
        <w:rPr>
          <w:b/>
        </w:rPr>
      </w:pPr>
      <w:r>
        <w:rPr>
          <w:b/>
        </w:rPr>
        <w:t>2.4.1 Dog age</w:t>
      </w:r>
    </w:p>
    <w:p w14:paraId="7CA22C30" w14:textId="77777777" w:rsidR="00126128" w:rsidRDefault="00126128">
      <w:pPr>
        <w:rPr>
          <w:b/>
        </w:rPr>
      </w:pPr>
    </w:p>
    <w:p w14:paraId="74861F53" w14:textId="6FC478BB" w:rsidR="00126128" w:rsidRDefault="0078150B">
      <w:r>
        <w:rPr>
          <w:b/>
        </w:rPr>
        <w:t>Table S</w:t>
      </w:r>
      <w:r w:rsidR="00842C73">
        <w:rPr>
          <w:b/>
        </w:rPr>
        <w:t>7.</w:t>
      </w:r>
      <w:r>
        <w:rPr>
          <w:b/>
        </w:rPr>
        <w:t xml:space="preserve"> Summary dog epiphyseal fusion data. </w:t>
      </w:r>
      <w:r>
        <w:t>Fusion ages according to Silver (1969). F=fused, G=fusing, ud=unfused diaphysis, ux=unfused diaphysis + epiphysis.</w:t>
      </w:r>
    </w:p>
    <w:p w14:paraId="586CB6F3" w14:textId="77777777" w:rsidR="00126128" w:rsidRDefault="00126128"/>
    <w:tbl>
      <w:tblPr>
        <w:tblStyle w:val="afe"/>
        <w:tblW w:w="7374" w:type="dxa"/>
        <w:tblLayout w:type="fixed"/>
        <w:tblLook w:val="0400" w:firstRow="0" w:lastRow="0" w:firstColumn="0" w:lastColumn="0" w:noHBand="0" w:noVBand="1"/>
      </w:tblPr>
      <w:tblGrid>
        <w:gridCol w:w="1780"/>
        <w:gridCol w:w="1440"/>
        <w:gridCol w:w="1400"/>
        <w:gridCol w:w="1300"/>
        <w:gridCol w:w="584"/>
        <w:gridCol w:w="870"/>
      </w:tblGrid>
      <w:tr w:rsidR="00126128" w14:paraId="74BC0534" w14:textId="77777777">
        <w:trPr>
          <w:trHeight w:val="300"/>
        </w:trPr>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37599" w14:textId="77777777" w:rsidR="00126128" w:rsidRDefault="0078150B">
            <w:pPr>
              <w:rPr>
                <w:b/>
              </w:rPr>
            </w:pPr>
            <w:r>
              <w:rPr>
                <w:b/>
              </w:rPr>
              <w:t>SITE GROUP</w:t>
            </w:r>
          </w:p>
        </w:tc>
        <w:tc>
          <w:tcPr>
            <w:tcW w:w="1440" w:type="dxa"/>
            <w:tcBorders>
              <w:top w:val="single" w:sz="4" w:space="0" w:color="000000"/>
              <w:left w:val="nil"/>
              <w:bottom w:val="single" w:sz="4" w:space="0" w:color="000000"/>
              <w:right w:val="single" w:sz="4" w:space="0" w:color="000000"/>
            </w:tcBorders>
            <w:shd w:val="clear" w:color="auto" w:fill="auto"/>
            <w:vAlign w:val="center"/>
          </w:tcPr>
          <w:p w14:paraId="48B348F2" w14:textId="77777777" w:rsidR="00126128" w:rsidRDefault="0078150B">
            <w:pPr>
              <w:rPr>
                <w:b/>
              </w:rPr>
            </w:pPr>
            <w:r>
              <w:rPr>
                <w:b/>
              </w:rPr>
              <w:t>FUSION STAGE</w:t>
            </w:r>
          </w:p>
        </w:tc>
        <w:tc>
          <w:tcPr>
            <w:tcW w:w="1400" w:type="dxa"/>
            <w:tcBorders>
              <w:top w:val="single" w:sz="4" w:space="0" w:color="000000"/>
              <w:left w:val="nil"/>
              <w:bottom w:val="single" w:sz="4" w:space="0" w:color="000000"/>
              <w:right w:val="single" w:sz="4" w:space="0" w:color="000000"/>
            </w:tcBorders>
            <w:shd w:val="clear" w:color="auto" w:fill="auto"/>
            <w:vAlign w:val="center"/>
          </w:tcPr>
          <w:p w14:paraId="21024801" w14:textId="77777777" w:rsidR="00126128" w:rsidRDefault="0078150B">
            <w:pPr>
              <w:rPr>
                <w:b/>
              </w:rPr>
            </w:pPr>
            <w:r>
              <w:rPr>
                <w:b/>
              </w:rPr>
              <w:t>GRAND TOTAL</w:t>
            </w:r>
          </w:p>
        </w:tc>
        <w:tc>
          <w:tcPr>
            <w:tcW w:w="1300" w:type="dxa"/>
            <w:tcBorders>
              <w:top w:val="single" w:sz="4" w:space="0" w:color="000000"/>
              <w:left w:val="nil"/>
              <w:bottom w:val="single" w:sz="4" w:space="0" w:color="000000"/>
              <w:right w:val="single" w:sz="4" w:space="0" w:color="000000"/>
            </w:tcBorders>
            <w:shd w:val="clear" w:color="auto" w:fill="auto"/>
            <w:vAlign w:val="center"/>
          </w:tcPr>
          <w:p w14:paraId="6F910AE7" w14:textId="77777777" w:rsidR="00126128" w:rsidRDefault="0078150B">
            <w:pPr>
              <w:rPr>
                <w:b/>
              </w:rPr>
            </w:pPr>
            <w:r>
              <w:rPr>
                <w:b/>
              </w:rPr>
              <w:t>TOTAL F+G+H</w:t>
            </w:r>
          </w:p>
        </w:tc>
        <w:tc>
          <w:tcPr>
            <w:tcW w:w="584" w:type="dxa"/>
            <w:tcBorders>
              <w:top w:val="single" w:sz="4" w:space="0" w:color="000000"/>
              <w:left w:val="nil"/>
              <w:bottom w:val="single" w:sz="4" w:space="0" w:color="000000"/>
              <w:right w:val="single" w:sz="4" w:space="0" w:color="000000"/>
            </w:tcBorders>
            <w:shd w:val="clear" w:color="auto" w:fill="auto"/>
            <w:vAlign w:val="center"/>
          </w:tcPr>
          <w:p w14:paraId="2A5C3721" w14:textId="77777777" w:rsidR="00126128" w:rsidRDefault="0078150B">
            <w:pPr>
              <w:rPr>
                <w:b/>
              </w:rPr>
            </w:pPr>
            <w:r>
              <w:rPr>
                <w:b/>
              </w:rPr>
              <w:t>%</w:t>
            </w:r>
          </w:p>
        </w:tc>
        <w:tc>
          <w:tcPr>
            <w:tcW w:w="870" w:type="dxa"/>
            <w:tcBorders>
              <w:top w:val="single" w:sz="4" w:space="0" w:color="000000"/>
              <w:left w:val="nil"/>
              <w:bottom w:val="single" w:sz="4" w:space="0" w:color="000000"/>
              <w:right w:val="single" w:sz="4" w:space="0" w:color="000000"/>
            </w:tcBorders>
            <w:shd w:val="clear" w:color="auto" w:fill="auto"/>
            <w:vAlign w:val="center"/>
          </w:tcPr>
          <w:p w14:paraId="2EBBC687" w14:textId="77777777" w:rsidR="00126128" w:rsidRDefault="0078150B">
            <w:pPr>
              <w:rPr>
                <w:b/>
              </w:rPr>
            </w:pPr>
            <w:r>
              <w:rPr>
                <w:b/>
              </w:rPr>
              <w:t>ud+ux</w:t>
            </w:r>
          </w:p>
        </w:tc>
      </w:tr>
      <w:tr w:rsidR="00126128" w14:paraId="7B2D32D5" w14:textId="77777777">
        <w:trPr>
          <w:trHeight w:val="300"/>
        </w:trPr>
        <w:tc>
          <w:tcPr>
            <w:tcW w:w="1780" w:type="dxa"/>
            <w:vMerge w:val="restart"/>
            <w:tcBorders>
              <w:top w:val="nil"/>
              <w:left w:val="single" w:sz="4" w:space="0" w:color="000000"/>
              <w:bottom w:val="single" w:sz="4" w:space="0" w:color="000000"/>
              <w:right w:val="single" w:sz="4" w:space="0" w:color="000000"/>
            </w:tcBorders>
            <w:shd w:val="clear" w:color="auto" w:fill="auto"/>
            <w:vAlign w:val="center"/>
          </w:tcPr>
          <w:p w14:paraId="6C2085C3" w14:textId="77777777" w:rsidR="00126128" w:rsidRDefault="0078150B">
            <w:pPr>
              <w:rPr>
                <w:b/>
              </w:rPr>
            </w:pPr>
            <w:r>
              <w:rPr>
                <w:b/>
              </w:rPr>
              <w:t>ALL BANKSIDE</w:t>
            </w:r>
          </w:p>
        </w:tc>
        <w:tc>
          <w:tcPr>
            <w:tcW w:w="1440" w:type="dxa"/>
            <w:tcBorders>
              <w:top w:val="nil"/>
              <w:left w:val="nil"/>
              <w:bottom w:val="single" w:sz="4" w:space="0" w:color="000000"/>
              <w:right w:val="single" w:sz="4" w:space="0" w:color="000000"/>
            </w:tcBorders>
            <w:shd w:val="clear" w:color="auto" w:fill="auto"/>
            <w:vAlign w:val="bottom"/>
          </w:tcPr>
          <w:p w14:paraId="36B87D01" w14:textId="77777777" w:rsidR="00126128" w:rsidRDefault="0078150B">
            <w:r>
              <w:t>earliest</w:t>
            </w:r>
          </w:p>
        </w:tc>
        <w:tc>
          <w:tcPr>
            <w:tcW w:w="1400" w:type="dxa"/>
            <w:tcBorders>
              <w:top w:val="nil"/>
              <w:left w:val="nil"/>
              <w:bottom w:val="single" w:sz="4" w:space="0" w:color="000000"/>
              <w:right w:val="single" w:sz="4" w:space="0" w:color="000000"/>
            </w:tcBorders>
            <w:shd w:val="clear" w:color="auto" w:fill="auto"/>
            <w:vAlign w:val="bottom"/>
          </w:tcPr>
          <w:p w14:paraId="5EA0703E" w14:textId="77777777" w:rsidR="00126128" w:rsidRDefault="0078150B">
            <w:r>
              <w:t>55</w:t>
            </w:r>
          </w:p>
        </w:tc>
        <w:tc>
          <w:tcPr>
            <w:tcW w:w="1300" w:type="dxa"/>
            <w:tcBorders>
              <w:top w:val="nil"/>
              <w:left w:val="nil"/>
              <w:bottom w:val="single" w:sz="4" w:space="0" w:color="000000"/>
              <w:right w:val="single" w:sz="4" w:space="0" w:color="000000"/>
            </w:tcBorders>
            <w:shd w:val="clear" w:color="auto" w:fill="auto"/>
            <w:vAlign w:val="bottom"/>
          </w:tcPr>
          <w:p w14:paraId="4BFEF568" w14:textId="77777777" w:rsidR="00126128" w:rsidRDefault="0078150B">
            <w:r>
              <w:t>55</w:t>
            </w:r>
          </w:p>
        </w:tc>
        <w:tc>
          <w:tcPr>
            <w:tcW w:w="584" w:type="dxa"/>
            <w:tcBorders>
              <w:top w:val="nil"/>
              <w:left w:val="nil"/>
              <w:bottom w:val="single" w:sz="4" w:space="0" w:color="000000"/>
              <w:right w:val="single" w:sz="4" w:space="0" w:color="000000"/>
            </w:tcBorders>
            <w:shd w:val="clear" w:color="auto" w:fill="auto"/>
            <w:vAlign w:val="bottom"/>
          </w:tcPr>
          <w:p w14:paraId="0F196C6D" w14:textId="77777777" w:rsidR="00126128" w:rsidRDefault="0078150B">
            <w:r>
              <w:t>100</w:t>
            </w:r>
          </w:p>
        </w:tc>
        <w:tc>
          <w:tcPr>
            <w:tcW w:w="870" w:type="dxa"/>
            <w:tcBorders>
              <w:top w:val="nil"/>
              <w:left w:val="nil"/>
              <w:bottom w:val="single" w:sz="4" w:space="0" w:color="000000"/>
              <w:right w:val="single" w:sz="4" w:space="0" w:color="000000"/>
            </w:tcBorders>
            <w:shd w:val="clear" w:color="auto" w:fill="auto"/>
            <w:vAlign w:val="bottom"/>
          </w:tcPr>
          <w:p w14:paraId="5D615CAD" w14:textId="77777777" w:rsidR="00126128" w:rsidRDefault="0078150B">
            <w:r>
              <w:t>0</w:t>
            </w:r>
          </w:p>
        </w:tc>
      </w:tr>
      <w:tr w:rsidR="00126128" w14:paraId="0568FFB2" w14:textId="77777777">
        <w:trPr>
          <w:trHeight w:val="300"/>
        </w:trPr>
        <w:tc>
          <w:tcPr>
            <w:tcW w:w="1780" w:type="dxa"/>
            <w:vMerge/>
            <w:tcBorders>
              <w:top w:val="nil"/>
              <w:left w:val="single" w:sz="4" w:space="0" w:color="000000"/>
              <w:bottom w:val="single" w:sz="4" w:space="0" w:color="000000"/>
              <w:right w:val="single" w:sz="4" w:space="0" w:color="000000"/>
            </w:tcBorders>
            <w:shd w:val="clear" w:color="auto" w:fill="auto"/>
            <w:vAlign w:val="center"/>
          </w:tcPr>
          <w:p w14:paraId="10041B5B" w14:textId="77777777" w:rsidR="00126128" w:rsidRDefault="00126128">
            <w:pPr>
              <w:widowControl w:val="0"/>
              <w:pBdr>
                <w:top w:val="nil"/>
                <w:left w:val="nil"/>
                <w:bottom w:val="nil"/>
                <w:right w:val="nil"/>
                <w:between w:val="nil"/>
              </w:pBdr>
            </w:pPr>
          </w:p>
        </w:tc>
        <w:tc>
          <w:tcPr>
            <w:tcW w:w="1440" w:type="dxa"/>
            <w:tcBorders>
              <w:top w:val="nil"/>
              <w:left w:val="nil"/>
              <w:bottom w:val="single" w:sz="4" w:space="0" w:color="000000"/>
              <w:right w:val="single" w:sz="4" w:space="0" w:color="000000"/>
            </w:tcBorders>
            <w:shd w:val="clear" w:color="auto" w:fill="auto"/>
            <w:vAlign w:val="bottom"/>
          </w:tcPr>
          <w:p w14:paraId="089A1CD9" w14:textId="77777777" w:rsidR="00126128" w:rsidRDefault="0078150B">
            <w:r>
              <w:t>early</w:t>
            </w:r>
          </w:p>
        </w:tc>
        <w:tc>
          <w:tcPr>
            <w:tcW w:w="1400" w:type="dxa"/>
            <w:tcBorders>
              <w:top w:val="nil"/>
              <w:left w:val="nil"/>
              <w:bottom w:val="single" w:sz="4" w:space="0" w:color="000000"/>
              <w:right w:val="single" w:sz="4" w:space="0" w:color="000000"/>
            </w:tcBorders>
            <w:shd w:val="clear" w:color="auto" w:fill="auto"/>
            <w:vAlign w:val="bottom"/>
          </w:tcPr>
          <w:p w14:paraId="1B515972" w14:textId="77777777" w:rsidR="00126128" w:rsidRDefault="0078150B">
            <w:r>
              <w:t>80</w:t>
            </w:r>
          </w:p>
        </w:tc>
        <w:tc>
          <w:tcPr>
            <w:tcW w:w="1300" w:type="dxa"/>
            <w:tcBorders>
              <w:top w:val="nil"/>
              <w:left w:val="nil"/>
              <w:bottom w:val="single" w:sz="4" w:space="0" w:color="000000"/>
              <w:right w:val="single" w:sz="4" w:space="0" w:color="000000"/>
            </w:tcBorders>
            <w:shd w:val="clear" w:color="auto" w:fill="auto"/>
            <w:vAlign w:val="bottom"/>
          </w:tcPr>
          <w:p w14:paraId="1AE12F20" w14:textId="77777777" w:rsidR="00126128" w:rsidRDefault="0078150B">
            <w:r>
              <w:t>79</w:t>
            </w:r>
          </w:p>
        </w:tc>
        <w:tc>
          <w:tcPr>
            <w:tcW w:w="584" w:type="dxa"/>
            <w:tcBorders>
              <w:top w:val="nil"/>
              <w:left w:val="nil"/>
              <w:bottom w:val="single" w:sz="4" w:space="0" w:color="000000"/>
              <w:right w:val="single" w:sz="4" w:space="0" w:color="000000"/>
            </w:tcBorders>
            <w:shd w:val="clear" w:color="auto" w:fill="auto"/>
            <w:vAlign w:val="bottom"/>
          </w:tcPr>
          <w:p w14:paraId="4BD9A7C1" w14:textId="77777777" w:rsidR="00126128" w:rsidRDefault="0078150B">
            <w:r>
              <w:t>99</w:t>
            </w:r>
          </w:p>
        </w:tc>
        <w:tc>
          <w:tcPr>
            <w:tcW w:w="870" w:type="dxa"/>
            <w:tcBorders>
              <w:top w:val="nil"/>
              <w:left w:val="nil"/>
              <w:bottom w:val="single" w:sz="4" w:space="0" w:color="000000"/>
              <w:right w:val="single" w:sz="4" w:space="0" w:color="000000"/>
            </w:tcBorders>
            <w:shd w:val="clear" w:color="auto" w:fill="auto"/>
            <w:vAlign w:val="bottom"/>
          </w:tcPr>
          <w:p w14:paraId="78057BBD" w14:textId="77777777" w:rsidR="00126128" w:rsidRDefault="0078150B">
            <w:r>
              <w:t>0</w:t>
            </w:r>
          </w:p>
        </w:tc>
      </w:tr>
      <w:tr w:rsidR="00126128" w14:paraId="7C0650F1" w14:textId="77777777">
        <w:trPr>
          <w:trHeight w:val="300"/>
        </w:trPr>
        <w:tc>
          <w:tcPr>
            <w:tcW w:w="1780" w:type="dxa"/>
            <w:vMerge/>
            <w:tcBorders>
              <w:top w:val="nil"/>
              <w:left w:val="single" w:sz="4" w:space="0" w:color="000000"/>
              <w:bottom w:val="single" w:sz="4" w:space="0" w:color="000000"/>
              <w:right w:val="single" w:sz="4" w:space="0" w:color="000000"/>
            </w:tcBorders>
            <w:shd w:val="clear" w:color="auto" w:fill="auto"/>
            <w:vAlign w:val="center"/>
          </w:tcPr>
          <w:p w14:paraId="2825F0DC" w14:textId="77777777" w:rsidR="00126128" w:rsidRDefault="00126128">
            <w:pPr>
              <w:widowControl w:val="0"/>
              <w:pBdr>
                <w:top w:val="nil"/>
                <w:left w:val="nil"/>
                <w:bottom w:val="nil"/>
                <w:right w:val="nil"/>
                <w:between w:val="nil"/>
              </w:pBdr>
            </w:pPr>
          </w:p>
        </w:tc>
        <w:tc>
          <w:tcPr>
            <w:tcW w:w="1440" w:type="dxa"/>
            <w:tcBorders>
              <w:top w:val="nil"/>
              <w:left w:val="nil"/>
              <w:bottom w:val="single" w:sz="4" w:space="0" w:color="000000"/>
              <w:right w:val="single" w:sz="4" w:space="0" w:color="000000"/>
            </w:tcBorders>
            <w:shd w:val="clear" w:color="auto" w:fill="auto"/>
            <w:vAlign w:val="bottom"/>
          </w:tcPr>
          <w:p w14:paraId="5295ED4E" w14:textId="77777777" w:rsidR="00126128" w:rsidRDefault="0078150B">
            <w:r>
              <w:t>intermediate</w:t>
            </w:r>
          </w:p>
        </w:tc>
        <w:tc>
          <w:tcPr>
            <w:tcW w:w="1400" w:type="dxa"/>
            <w:tcBorders>
              <w:top w:val="nil"/>
              <w:left w:val="nil"/>
              <w:bottom w:val="single" w:sz="4" w:space="0" w:color="000000"/>
              <w:right w:val="single" w:sz="4" w:space="0" w:color="000000"/>
            </w:tcBorders>
            <w:shd w:val="clear" w:color="auto" w:fill="auto"/>
            <w:vAlign w:val="bottom"/>
          </w:tcPr>
          <w:p w14:paraId="5CBDAAD1" w14:textId="77777777" w:rsidR="00126128" w:rsidRDefault="0078150B">
            <w:r>
              <w:t>63</w:t>
            </w:r>
          </w:p>
        </w:tc>
        <w:tc>
          <w:tcPr>
            <w:tcW w:w="1300" w:type="dxa"/>
            <w:tcBorders>
              <w:top w:val="nil"/>
              <w:left w:val="nil"/>
              <w:bottom w:val="single" w:sz="4" w:space="0" w:color="000000"/>
              <w:right w:val="single" w:sz="4" w:space="0" w:color="000000"/>
            </w:tcBorders>
            <w:shd w:val="clear" w:color="auto" w:fill="auto"/>
            <w:vAlign w:val="bottom"/>
          </w:tcPr>
          <w:p w14:paraId="734EF9D3" w14:textId="77777777" w:rsidR="00126128" w:rsidRDefault="0078150B">
            <w:r>
              <w:t>62</w:t>
            </w:r>
          </w:p>
        </w:tc>
        <w:tc>
          <w:tcPr>
            <w:tcW w:w="584" w:type="dxa"/>
            <w:tcBorders>
              <w:top w:val="nil"/>
              <w:left w:val="nil"/>
              <w:bottom w:val="single" w:sz="4" w:space="0" w:color="000000"/>
              <w:right w:val="single" w:sz="4" w:space="0" w:color="000000"/>
            </w:tcBorders>
            <w:shd w:val="clear" w:color="auto" w:fill="auto"/>
            <w:vAlign w:val="bottom"/>
          </w:tcPr>
          <w:p w14:paraId="37D3150E" w14:textId="77777777" w:rsidR="00126128" w:rsidRDefault="0078150B">
            <w:r>
              <w:t>98</w:t>
            </w:r>
          </w:p>
        </w:tc>
        <w:tc>
          <w:tcPr>
            <w:tcW w:w="870" w:type="dxa"/>
            <w:tcBorders>
              <w:top w:val="nil"/>
              <w:left w:val="nil"/>
              <w:bottom w:val="single" w:sz="4" w:space="0" w:color="000000"/>
              <w:right w:val="single" w:sz="4" w:space="0" w:color="000000"/>
            </w:tcBorders>
            <w:shd w:val="clear" w:color="auto" w:fill="auto"/>
            <w:vAlign w:val="bottom"/>
          </w:tcPr>
          <w:p w14:paraId="37DB883D" w14:textId="77777777" w:rsidR="00126128" w:rsidRDefault="0078150B">
            <w:r>
              <w:t>1</w:t>
            </w:r>
          </w:p>
        </w:tc>
      </w:tr>
      <w:tr w:rsidR="00126128" w14:paraId="6421FEEB" w14:textId="77777777">
        <w:trPr>
          <w:trHeight w:val="300"/>
        </w:trPr>
        <w:tc>
          <w:tcPr>
            <w:tcW w:w="1780" w:type="dxa"/>
            <w:vMerge/>
            <w:tcBorders>
              <w:top w:val="nil"/>
              <w:left w:val="single" w:sz="4" w:space="0" w:color="000000"/>
              <w:bottom w:val="single" w:sz="4" w:space="0" w:color="000000"/>
              <w:right w:val="single" w:sz="4" w:space="0" w:color="000000"/>
            </w:tcBorders>
            <w:shd w:val="clear" w:color="auto" w:fill="auto"/>
            <w:vAlign w:val="center"/>
          </w:tcPr>
          <w:p w14:paraId="195C2404" w14:textId="77777777" w:rsidR="00126128" w:rsidRDefault="00126128">
            <w:pPr>
              <w:widowControl w:val="0"/>
              <w:pBdr>
                <w:top w:val="nil"/>
                <w:left w:val="nil"/>
                <w:bottom w:val="nil"/>
                <w:right w:val="nil"/>
                <w:between w:val="nil"/>
              </w:pBdr>
            </w:pPr>
          </w:p>
        </w:tc>
        <w:tc>
          <w:tcPr>
            <w:tcW w:w="1440" w:type="dxa"/>
            <w:tcBorders>
              <w:top w:val="nil"/>
              <w:left w:val="nil"/>
              <w:bottom w:val="single" w:sz="4" w:space="0" w:color="000000"/>
              <w:right w:val="single" w:sz="4" w:space="0" w:color="000000"/>
            </w:tcBorders>
            <w:shd w:val="clear" w:color="auto" w:fill="auto"/>
            <w:vAlign w:val="bottom"/>
          </w:tcPr>
          <w:p w14:paraId="7EDE67AB" w14:textId="77777777" w:rsidR="00126128" w:rsidRDefault="0078150B">
            <w:r>
              <w:t>late</w:t>
            </w:r>
          </w:p>
        </w:tc>
        <w:tc>
          <w:tcPr>
            <w:tcW w:w="1400" w:type="dxa"/>
            <w:tcBorders>
              <w:top w:val="nil"/>
              <w:left w:val="nil"/>
              <w:bottom w:val="single" w:sz="4" w:space="0" w:color="000000"/>
              <w:right w:val="single" w:sz="4" w:space="0" w:color="000000"/>
            </w:tcBorders>
            <w:shd w:val="clear" w:color="auto" w:fill="auto"/>
            <w:vAlign w:val="bottom"/>
          </w:tcPr>
          <w:p w14:paraId="353C107F" w14:textId="77777777" w:rsidR="00126128" w:rsidRDefault="0078150B">
            <w:r>
              <w:t>186</w:t>
            </w:r>
          </w:p>
        </w:tc>
        <w:tc>
          <w:tcPr>
            <w:tcW w:w="1300" w:type="dxa"/>
            <w:tcBorders>
              <w:top w:val="nil"/>
              <w:left w:val="nil"/>
              <w:bottom w:val="single" w:sz="4" w:space="0" w:color="000000"/>
              <w:right w:val="single" w:sz="4" w:space="0" w:color="000000"/>
            </w:tcBorders>
            <w:shd w:val="clear" w:color="auto" w:fill="auto"/>
            <w:vAlign w:val="bottom"/>
          </w:tcPr>
          <w:p w14:paraId="5C5197E6" w14:textId="77777777" w:rsidR="00126128" w:rsidRDefault="0078150B">
            <w:r>
              <w:t>179</w:t>
            </w:r>
          </w:p>
        </w:tc>
        <w:tc>
          <w:tcPr>
            <w:tcW w:w="584" w:type="dxa"/>
            <w:tcBorders>
              <w:top w:val="nil"/>
              <w:left w:val="nil"/>
              <w:bottom w:val="single" w:sz="4" w:space="0" w:color="000000"/>
              <w:right w:val="single" w:sz="4" w:space="0" w:color="000000"/>
            </w:tcBorders>
            <w:shd w:val="clear" w:color="auto" w:fill="auto"/>
            <w:vAlign w:val="bottom"/>
          </w:tcPr>
          <w:p w14:paraId="413D427F" w14:textId="77777777" w:rsidR="00126128" w:rsidRDefault="0078150B">
            <w:r>
              <w:t>96</w:t>
            </w:r>
          </w:p>
        </w:tc>
        <w:tc>
          <w:tcPr>
            <w:tcW w:w="870" w:type="dxa"/>
            <w:tcBorders>
              <w:top w:val="nil"/>
              <w:left w:val="nil"/>
              <w:bottom w:val="single" w:sz="4" w:space="0" w:color="000000"/>
              <w:right w:val="single" w:sz="4" w:space="0" w:color="000000"/>
            </w:tcBorders>
            <w:shd w:val="clear" w:color="auto" w:fill="auto"/>
            <w:vAlign w:val="bottom"/>
          </w:tcPr>
          <w:p w14:paraId="662CEA36" w14:textId="77777777" w:rsidR="00126128" w:rsidRDefault="0078150B">
            <w:r>
              <w:t>7</w:t>
            </w:r>
          </w:p>
        </w:tc>
      </w:tr>
      <w:tr w:rsidR="00126128" w14:paraId="5EB89A63" w14:textId="77777777">
        <w:trPr>
          <w:trHeight w:val="300"/>
        </w:trPr>
        <w:tc>
          <w:tcPr>
            <w:tcW w:w="1780" w:type="dxa"/>
            <w:vMerge w:val="restart"/>
            <w:tcBorders>
              <w:top w:val="nil"/>
              <w:left w:val="single" w:sz="4" w:space="0" w:color="000000"/>
              <w:bottom w:val="single" w:sz="4" w:space="0" w:color="000000"/>
              <w:right w:val="single" w:sz="4" w:space="0" w:color="000000"/>
            </w:tcBorders>
            <w:shd w:val="clear" w:color="auto" w:fill="auto"/>
            <w:vAlign w:val="center"/>
          </w:tcPr>
          <w:p w14:paraId="073D6D65" w14:textId="77777777" w:rsidR="00126128" w:rsidRDefault="0078150B">
            <w:pPr>
              <w:rPr>
                <w:b/>
              </w:rPr>
            </w:pPr>
            <w:r>
              <w:rPr>
                <w:b/>
              </w:rPr>
              <w:t>PLAYHOUSES</w:t>
            </w:r>
          </w:p>
        </w:tc>
        <w:tc>
          <w:tcPr>
            <w:tcW w:w="1440" w:type="dxa"/>
            <w:tcBorders>
              <w:top w:val="nil"/>
              <w:left w:val="nil"/>
              <w:bottom w:val="single" w:sz="4" w:space="0" w:color="000000"/>
              <w:right w:val="single" w:sz="4" w:space="0" w:color="000000"/>
            </w:tcBorders>
            <w:shd w:val="clear" w:color="auto" w:fill="auto"/>
            <w:vAlign w:val="bottom"/>
          </w:tcPr>
          <w:p w14:paraId="5A9A5E02" w14:textId="77777777" w:rsidR="00126128" w:rsidRDefault="0078150B">
            <w:r>
              <w:t>earliest</w:t>
            </w:r>
          </w:p>
        </w:tc>
        <w:tc>
          <w:tcPr>
            <w:tcW w:w="1400" w:type="dxa"/>
            <w:tcBorders>
              <w:top w:val="nil"/>
              <w:left w:val="nil"/>
              <w:bottom w:val="single" w:sz="4" w:space="0" w:color="000000"/>
              <w:right w:val="single" w:sz="4" w:space="0" w:color="000000"/>
            </w:tcBorders>
            <w:shd w:val="clear" w:color="auto" w:fill="auto"/>
            <w:vAlign w:val="bottom"/>
          </w:tcPr>
          <w:p w14:paraId="6F1553E8" w14:textId="77777777" w:rsidR="00126128" w:rsidRDefault="0078150B">
            <w:r>
              <w:t>11</w:t>
            </w:r>
          </w:p>
        </w:tc>
        <w:tc>
          <w:tcPr>
            <w:tcW w:w="1300" w:type="dxa"/>
            <w:tcBorders>
              <w:top w:val="nil"/>
              <w:left w:val="nil"/>
              <w:bottom w:val="single" w:sz="4" w:space="0" w:color="000000"/>
              <w:right w:val="single" w:sz="4" w:space="0" w:color="000000"/>
            </w:tcBorders>
            <w:shd w:val="clear" w:color="auto" w:fill="auto"/>
            <w:vAlign w:val="bottom"/>
          </w:tcPr>
          <w:p w14:paraId="2040DBAD" w14:textId="77777777" w:rsidR="00126128" w:rsidRDefault="0078150B">
            <w:r>
              <w:t>11</w:t>
            </w:r>
          </w:p>
        </w:tc>
        <w:tc>
          <w:tcPr>
            <w:tcW w:w="584" w:type="dxa"/>
            <w:tcBorders>
              <w:top w:val="nil"/>
              <w:left w:val="nil"/>
              <w:bottom w:val="single" w:sz="4" w:space="0" w:color="000000"/>
              <w:right w:val="single" w:sz="4" w:space="0" w:color="000000"/>
            </w:tcBorders>
            <w:shd w:val="clear" w:color="auto" w:fill="auto"/>
            <w:vAlign w:val="bottom"/>
          </w:tcPr>
          <w:p w14:paraId="73384101" w14:textId="77777777" w:rsidR="00126128" w:rsidRDefault="0078150B">
            <w:r>
              <w:t>100</w:t>
            </w:r>
          </w:p>
        </w:tc>
        <w:tc>
          <w:tcPr>
            <w:tcW w:w="870" w:type="dxa"/>
            <w:tcBorders>
              <w:top w:val="nil"/>
              <w:left w:val="nil"/>
              <w:bottom w:val="single" w:sz="4" w:space="0" w:color="000000"/>
              <w:right w:val="single" w:sz="4" w:space="0" w:color="000000"/>
            </w:tcBorders>
            <w:shd w:val="clear" w:color="auto" w:fill="auto"/>
            <w:vAlign w:val="bottom"/>
          </w:tcPr>
          <w:p w14:paraId="5022B64D" w14:textId="77777777" w:rsidR="00126128" w:rsidRDefault="0078150B">
            <w:r>
              <w:t>0</w:t>
            </w:r>
          </w:p>
        </w:tc>
      </w:tr>
      <w:tr w:rsidR="00126128" w14:paraId="79D8699D" w14:textId="77777777">
        <w:trPr>
          <w:trHeight w:val="300"/>
        </w:trPr>
        <w:tc>
          <w:tcPr>
            <w:tcW w:w="1780" w:type="dxa"/>
            <w:vMerge/>
            <w:tcBorders>
              <w:top w:val="nil"/>
              <w:left w:val="single" w:sz="4" w:space="0" w:color="000000"/>
              <w:bottom w:val="single" w:sz="4" w:space="0" w:color="000000"/>
              <w:right w:val="single" w:sz="4" w:space="0" w:color="000000"/>
            </w:tcBorders>
            <w:shd w:val="clear" w:color="auto" w:fill="auto"/>
            <w:vAlign w:val="center"/>
          </w:tcPr>
          <w:p w14:paraId="6B07AFD0" w14:textId="77777777" w:rsidR="00126128" w:rsidRDefault="00126128">
            <w:pPr>
              <w:widowControl w:val="0"/>
              <w:pBdr>
                <w:top w:val="nil"/>
                <w:left w:val="nil"/>
                <w:bottom w:val="nil"/>
                <w:right w:val="nil"/>
                <w:between w:val="nil"/>
              </w:pBdr>
            </w:pPr>
          </w:p>
        </w:tc>
        <w:tc>
          <w:tcPr>
            <w:tcW w:w="1440" w:type="dxa"/>
            <w:tcBorders>
              <w:top w:val="nil"/>
              <w:left w:val="nil"/>
              <w:bottom w:val="single" w:sz="4" w:space="0" w:color="000000"/>
              <w:right w:val="single" w:sz="4" w:space="0" w:color="000000"/>
            </w:tcBorders>
            <w:shd w:val="clear" w:color="auto" w:fill="auto"/>
            <w:vAlign w:val="bottom"/>
          </w:tcPr>
          <w:p w14:paraId="20F0B553" w14:textId="77777777" w:rsidR="00126128" w:rsidRDefault="0078150B">
            <w:r>
              <w:t>early</w:t>
            </w:r>
          </w:p>
        </w:tc>
        <w:tc>
          <w:tcPr>
            <w:tcW w:w="1400" w:type="dxa"/>
            <w:tcBorders>
              <w:top w:val="nil"/>
              <w:left w:val="nil"/>
              <w:bottom w:val="single" w:sz="4" w:space="0" w:color="000000"/>
              <w:right w:val="single" w:sz="4" w:space="0" w:color="000000"/>
            </w:tcBorders>
            <w:shd w:val="clear" w:color="auto" w:fill="auto"/>
            <w:vAlign w:val="bottom"/>
          </w:tcPr>
          <w:p w14:paraId="4D69073F" w14:textId="77777777" w:rsidR="00126128" w:rsidRDefault="0078150B">
            <w:r>
              <w:t>24</w:t>
            </w:r>
          </w:p>
        </w:tc>
        <w:tc>
          <w:tcPr>
            <w:tcW w:w="1300" w:type="dxa"/>
            <w:tcBorders>
              <w:top w:val="nil"/>
              <w:left w:val="nil"/>
              <w:bottom w:val="single" w:sz="4" w:space="0" w:color="000000"/>
              <w:right w:val="single" w:sz="4" w:space="0" w:color="000000"/>
            </w:tcBorders>
            <w:shd w:val="clear" w:color="auto" w:fill="auto"/>
            <w:vAlign w:val="bottom"/>
          </w:tcPr>
          <w:p w14:paraId="5147CA69" w14:textId="77777777" w:rsidR="00126128" w:rsidRDefault="0078150B">
            <w:r>
              <w:t>24</w:t>
            </w:r>
          </w:p>
        </w:tc>
        <w:tc>
          <w:tcPr>
            <w:tcW w:w="584" w:type="dxa"/>
            <w:tcBorders>
              <w:top w:val="nil"/>
              <w:left w:val="nil"/>
              <w:bottom w:val="single" w:sz="4" w:space="0" w:color="000000"/>
              <w:right w:val="single" w:sz="4" w:space="0" w:color="000000"/>
            </w:tcBorders>
            <w:shd w:val="clear" w:color="auto" w:fill="auto"/>
            <w:vAlign w:val="bottom"/>
          </w:tcPr>
          <w:p w14:paraId="4A2D05C5" w14:textId="77777777" w:rsidR="00126128" w:rsidRDefault="0078150B">
            <w:r>
              <w:t>100</w:t>
            </w:r>
          </w:p>
        </w:tc>
        <w:tc>
          <w:tcPr>
            <w:tcW w:w="870" w:type="dxa"/>
            <w:tcBorders>
              <w:top w:val="nil"/>
              <w:left w:val="nil"/>
              <w:bottom w:val="single" w:sz="4" w:space="0" w:color="000000"/>
              <w:right w:val="single" w:sz="4" w:space="0" w:color="000000"/>
            </w:tcBorders>
            <w:shd w:val="clear" w:color="auto" w:fill="auto"/>
            <w:vAlign w:val="bottom"/>
          </w:tcPr>
          <w:p w14:paraId="3C43386C" w14:textId="77777777" w:rsidR="00126128" w:rsidRDefault="0078150B">
            <w:r>
              <w:t>0</w:t>
            </w:r>
          </w:p>
        </w:tc>
      </w:tr>
      <w:tr w:rsidR="00126128" w14:paraId="26C0D992" w14:textId="77777777">
        <w:trPr>
          <w:trHeight w:val="300"/>
        </w:trPr>
        <w:tc>
          <w:tcPr>
            <w:tcW w:w="1780" w:type="dxa"/>
            <w:vMerge/>
            <w:tcBorders>
              <w:top w:val="nil"/>
              <w:left w:val="single" w:sz="4" w:space="0" w:color="000000"/>
              <w:bottom w:val="single" w:sz="4" w:space="0" w:color="000000"/>
              <w:right w:val="single" w:sz="4" w:space="0" w:color="000000"/>
            </w:tcBorders>
            <w:shd w:val="clear" w:color="auto" w:fill="auto"/>
            <w:vAlign w:val="center"/>
          </w:tcPr>
          <w:p w14:paraId="7E5898D4" w14:textId="77777777" w:rsidR="00126128" w:rsidRDefault="00126128">
            <w:pPr>
              <w:widowControl w:val="0"/>
              <w:pBdr>
                <w:top w:val="nil"/>
                <w:left w:val="nil"/>
                <w:bottom w:val="nil"/>
                <w:right w:val="nil"/>
                <w:between w:val="nil"/>
              </w:pBdr>
            </w:pPr>
          </w:p>
        </w:tc>
        <w:tc>
          <w:tcPr>
            <w:tcW w:w="1440" w:type="dxa"/>
            <w:tcBorders>
              <w:top w:val="nil"/>
              <w:left w:val="nil"/>
              <w:bottom w:val="single" w:sz="4" w:space="0" w:color="000000"/>
              <w:right w:val="single" w:sz="4" w:space="0" w:color="000000"/>
            </w:tcBorders>
            <w:shd w:val="clear" w:color="auto" w:fill="auto"/>
            <w:vAlign w:val="bottom"/>
          </w:tcPr>
          <w:p w14:paraId="27EBF354" w14:textId="77777777" w:rsidR="00126128" w:rsidRDefault="0078150B">
            <w:r>
              <w:t>intermediate</w:t>
            </w:r>
          </w:p>
        </w:tc>
        <w:tc>
          <w:tcPr>
            <w:tcW w:w="1400" w:type="dxa"/>
            <w:tcBorders>
              <w:top w:val="nil"/>
              <w:left w:val="nil"/>
              <w:bottom w:val="single" w:sz="4" w:space="0" w:color="000000"/>
              <w:right w:val="single" w:sz="4" w:space="0" w:color="000000"/>
            </w:tcBorders>
            <w:shd w:val="clear" w:color="auto" w:fill="auto"/>
            <w:vAlign w:val="bottom"/>
          </w:tcPr>
          <w:p w14:paraId="21E2B02A" w14:textId="77777777" w:rsidR="00126128" w:rsidRDefault="0078150B">
            <w:r>
              <w:t>20</w:t>
            </w:r>
          </w:p>
        </w:tc>
        <w:tc>
          <w:tcPr>
            <w:tcW w:w="1300" w:type="dxa"/>
            <w:tcBorders>
              <w:top w:val="nil"/>
              <w:left w:val="nil"/>
              <w:bottom w:val="single" w:sz="4" w:space="0" w:color="000000"/>
              <w:right w:val="single" w:sz="4" w:space="0" w:color="000000"/>
            </w:tcBorders>
            <w:shd w:val="clear" w:color="auto" w:fill="auto"/>
            <w:vAlign w:val="bottom"/>
          </w:tcPr>
          <w:p w14:paraId="108CFC26" w14:textId="77777777" w:rsidR="00126128" w:rsidRDefault="0078150B">
            <w:r>
              <w:t>20</w:t>
            </w:r>
          </w:p>
        </w:tc>
        <w:tc>
          <w:tcPr>
            <w:tcW w:w="584" w:type="dxa"/>
            <w:tcBorders>
              <w:top w:val="nil"/>
              <w:left w:val="nil"/>
              <w:bottom w:val="single" w:sz="4" w:space="0" w:color="000000"/>
              <w:right w:val="single" w:sz="4" w:space="0" w:color="000000"/>
            </w:tcBorders>
            <w:shd w:val="clear" w:color="auto" w:fill="auto"/>
            <w:vAlign w:val="bottom"/>
          </w:tcPr>
          <w:p w14:paraId="0BB1FCD3" w14:textId="77777777" w:rsidR="00126128" w:rsidRDefault="0078150B">
            <w:r>
              <w:t>100</w:t>
            </w:r>
          </w:p>
        </w:tc>
        <w:tc>
          <w:tcPr>
            <w:tcW w:w="870" w:type="dxa"/>
            <w:tcBorders>
              <w:top w:val="nil"/>
              <w:left w:val="nil"/>
              <w:bottom w:val="single" w:sz="4" w:space="0" w:color="000000"/>
              <w:right w:val="single" w:sz="4" w:space="0" w:color="000000"/>
            </w:tcBorders>
            <w:shd w:val="clear" w:color="auto" w:fill="auto"/>
            <w:vAlign w:val="bottom"/>
          </w:tcPr>
          <w:p w14:paraId="463CD4E9" w14:textId="77777777" w:rsidR="00126128" w:rsidRDefault="0078150B">
            <w:r>
              <w:t>0</w:t>
            </w:r>
          </w:p>
        </w:tc>
      </w:tr>
      <w:tr w:rsidR="00126128" w14:paraId="7994E60B" w14:textId="77777777">
        <w:trPr>
          <w:trHeight w:val="300"/>
        </w:trPr>
        <w:tc>
          <w:tcPr>
            <w:tcW w:w="1780" w:type="dxa"/>
            <w:vMerge/>
            <w:tcBorders>
              <w:top w:val="nil"/>
              <w:left w:val="single" w:sz="4" w:space="0" w:color="000000"/>
              <w:bottom w:val="single" w:sz="4" w:space="0" w:color="000000"/>
              <w:right w:val="single" w:sz="4" w:space="0" w:color="000000"/>
            </w:tcBorders>
            <w:shd w:val="clear" w:color="auto" w:fill="auto"/>
            <w:vAlign w:val="center"/>
          </w:tcPr>
          <w:p w14:paraId="4F67713B" w14:textId="77777777" w:rsidR="00126128" w:rsidRDefault="00126128">
            <w:pPr>
              <w:widowControl w:val="0"/>
              <w:pBdr>
                <w:top w:val="nil"/>
                <w:left w:val="nil"/>
                <w:bottom w:val="nil"/>
                <w:right w:val="nil"/>
                <w:between w:val="nil"/>
              </w:pBdr>
            </w:pPr>
          </w:p>
        </w:tc>
        <w:tc>
          <w:tcPr>
            <w:tcW w:w="1440" w:type="dxa"/>
            <w:tcBorders>
              <w:top w:val="nil"/>
              <w:left w:val="nil"/>
              <w:bottom w:val="single" w:sz="4" w:space="0" w:color="000000"/>
              <w:right w:val="single" w:sz="4" w:space="0" w:color="000000"/>
            </w:tcBorders>
            <w:shd w:val="clear" w:color="auto" w:fill="auto"/>
            <w:vAlign w:val="bottom"/>
          </w:tcPr>
          <w:p w14:paraId="4E6FD14E" w14:textId="77777777" w:rsidR="00126128" w:rsidRDefault="0078150B">
            <w:r>
              <w:t>late</w:t>
            </w:r>
          </w:p>
        </w:tc>
        <w:tc>
          <w:tcPr>
            <w:tcW w:w="1400" w:type="dxa"/>
            <w:tcBorders>
              <w:top w:val="nil"/>
              <w:left w:val="nil"/>
              <w:bottom w:val="single" w:sz="4" w:space="0" w:color="000000"/>
              <w:right w:val="single" w:sz="4" w:space="0" w:color="000000"/>
            </w:tcBorders>
            <w:shd w:val="clear" w:color="auto" w:fill="auto"/>
            <w:vAlign w:val="bottom"/>
          </w:tcPr>
          <w:p w14:paraId="32BD7441" w14:textId="77777777" w:rsidR="00126128" w:rsidRDefault="0078150B">
            <w:r>
              <w:t>55</w:t>
            </w:r>
          </w:p>
        </w:tc>
        <w:tc>
          <w:tcPr>
            <w:tcW w:w="1300" w:type="dxa"/>
            <w:tcBorders>
              <w:top w:val="nil"/>
              <w:left w:val="nil"/>
              <w:bottom w:val="single" w:sz="4" w:space="0" w:color="000000"/>
              <w:right w:val="single" w:sz="4" w:space="0" w:color="000000"/>
            </w:tcBorders>
            <w:shd w:val="clear" w:color="auto" w:fill="auto"/>
            <w:vAlign w:val="bottom"/>
          </w:tcPr>
          <w:p w14:paraId="2921B011" w14:textId="77777777" w:rsidR="00126128" w:rsidRDefault="0078150B">
            <w:r>
              <w:t>55</w:t>
            </w:r>
          </w:p>
        </w:tc>
        <w:tc>
          <w:tcPr>
            <w:tcW w:w="584" w:type="dxa"/>
            <w:tcBorders>
              <w:top w:val="nil"/>
              <w:left w:val="nil"/>
              <w:bottom w:val="single" w:sz="4" w:space="0" w:color="000000"/>
              <w:right w:val="single" w:sz="4" w:space="0" w:color="000000"/>
            </w:tcBorders>
            <w:shd w:val="clear" w:color="auto" w:fill="auto"/>
            <w:vAlign w:val="bottom"/>
          </w:tcPr>
          <w:p w14:paraId="0C6C3679" w14:textId="77777777" w:rsidR="00126128" w:rsidRDefault="0078150B">
            <w:r>
              <w:t>100</w:t>
            </w:r>
          </w:p>
        </w:tc>
        <w:tc>
          <w:tcPr>
            <w:tcW w:w="870" w:type="dxa"/>
            <w:tcBorders>
              <w:top w:val="nil"/>
              <w:left w:val="nil"/>
              <w:bottom w:val="single" w:sz="4" w:space="0" w:color="000000"/>
              <w:right w:val="single" w:sz="4" w:space="0" w:color="000000"/>
            </w:tcBorders>
            <w:shd w:val="clear" w:color="auto" w:fill="auto"/>
            <w:vAlign w:val="bottom"/>
          </w:tcPr>
          <w:p w14:paraId="2E727F93" w14:textId="77777777" w:rsidR="00126128" w:rsidRDefault="0078150B">
            <w:r>
              <w:t>0</w:t>
            </w:r>
          </w:p>
        </w:tc>
      </w:tr>
      <w:tr w:rsidR="00126128" w14:paraId="7B31B362" w14:textId="77777777">
        <w:trPr>
          <w:trHeight w:val="300"/>
        </w:trPr>
        <w:tc>
          <w:tcPr>
            <w:tcW w:w="1780" w:type="dxa"/>
            <w:vMerge w:val="restart"/>
            <w:tcBorders>
              <w:top w:val="nil"/>
              <w:left w:val="single" w:sz="4" w:space="0" w:color="000000"/>
              <w:bottom w:val="single" w:sz="4" w:space="0" w:color="000000"/>
              <w:right w:val="single" w:sz="4" w:space="0" w:color="000000"/>
            </w:tcBorders>
            <w:shd w:val="clear" w:color="auto" w:fill="auto"/>
            <w:vAlign w:val="center"/>
          </w:tcPr>
          <w:p w14:paraId="604A2450" w14:textId="77777777" w:rsidR="00126128" w:rsidRDefault="0078150B">
            <w:pPr>
              <w:rPr>
                <w:b/>
              </w:rPr>
            </w:pPr>
            <w:r>
              <w:rPr>
                <w:b/>
              </w:rPr>
              <w:t>BEAR GARDENS</w:t>
            </w:r>
          </w:p>
        </w:tc>
        <w:tc>
          <w:tcPr>
            <w:tcW w:w="1440" w:type="dxa"/>
            <w:tcBorders>
              <w:top w:val="nil"/>
              <w:left w:val="nil"/>
              <w:bottom w:val="single" w:sz="4" w:space="0" w:color="000000"/>
              <w:right w:val="single" w:sz="4" w:space="0" w:color="000000"/>
            </w:tcBorders>
            <w:shd w:val="clear" w:color="auto" w:fill="auto"/>
            <w:vAlign w:val="bottom"/>
          </w:tcPr>
          <w:p w14:paraId="175FF5B2" w14:textId="77777777" w:rsidR="00126128" w:rsidRDefault="0078150B">
            <w:r>
              <w:t>earliest</w:t>
            </w:r>
          </w:p>
        </w:tc>
        <w:tc>
          <w:tcPr>
            <w:tcW w:w="1400" w:type="dxa"/>
            <w:tcBorders>
              <w:top w:val="nil"/>
              <w:left w:val="nil"/>
              <w:bottom w:val="single" w:sz="4" w:space="0" w:color="000000"/>
              <w:right w:val="single" w:sz="4" w:space="0" w:color="000000"/>
            </w:tcBorders>
            <w:shd w:val="clear" w:color="auto" w:fill="auto"/>
            <w:vAlign w:val="bottom"/>
          </w:tcPr>
          <w:p w14:paraId="57615EF7" w14:textId="77777777" w:rsidR="00126128" w:rsidRDefault="0078150B">
            <w:r>
              <w:t>44</w:t>
            </w:r>
          </w:p>
        </w:tc>
        <w:tc>
          <w:tcPr>
            <w:tcW w:w="1300" w:type="dxa"/>
            <w:tcBorders>
              <w:top w:val="nil"/>
              <w:left w:val="nil"/>
              <w:bottom w:val="single" w:sz="4" w:space="0" w:color="000000"/>
              <w:right w:val="single" w:sz="4" w:space="0" w:color="000000"/>
            </w:tcBorders>
            <w:shd w:val="clear" w:color="auto" w:fill="auto"/>
            <w:vAlign w:val="bottom"/>
          </w:tcPr>
          <w:p w14:paraId="4D851780" w14:textId="77777777" w:rsidR="00126128" w:rsidRDefault="0078150B">
            <w:r>
              <w:t>44</w:t>
            </w:r>
          </w:p>
        </w:tc>
        <w:tc>
          <w:tcPr>
            <w:tcW w:w="584" w:type="dxa"/>
            <w:tcBorders>
              <w:top w:val="nil"/>
              <w:left w:val="nil"/>
              <w:bottom w:val="single" w:sz="4" w:space="0" w:color="000000"/>
              <w:right w:val="single" w:sz="4" w:space="0" w:color="000000"/>
            </w:tcBorders>
            <w:shd w:val="clear" w:color="auto" w:fill="auto"/>
            <w:vAlign w:val="bottom"/>
          </w:tcPr>
          <w:p w14:paraId="05E36750" w14:textId="77777777" w:rsidR="00126128" w:rsidRDefault="0078150B">
            <w:r>
              <w:t>100</w:t>
            </w:r>
          </w:p>
        </w:tc>
        <w:tc>
          <w:tcPr>
            <w:tcW w:w="870" w:type="dxa"/>
            <w:tcBorders>
              <w:top w:val="nil"/>
              <w:left w:val="nil"/>
              <w:bottom w:val="single" w:sz="4" w:space="0" w:color="000000"/>
              <w:right w:val="single" w:sz="4" w:space="0" w:color="000000"/>
            </w:tcBorders>
            <w:shd w:val="clear" w:color="auto" w:fill="auto"/>
            <w:vAlign w:val="bottom"/>
          </w:tcPr>
          <w:p w14:paraId="7FFF2B6B" w14:textId="77777777" w:rsidR="00126128" w:rsidRDefault="0078150B">
            <w:r>
              <w:t>0</w:t>
            </w:r>
          </w:p>
        </w:tc>
      </w:tr>
      <w:tr w:rsidR="00126128" w14:paraId="612F9691" w14:textId="77777777">
        <w:trPr>
          <w:trHeight w:val="300"/>
        </w:trPr>
        <w:tc>
          <w:tcPr>
            <w:tcW w:w="1780" w:type="dxa"/>
            <w:vMerge/>
            <w:tcBorders>
              <w:top w:val="nil"/>
              <w:left w:val="single" w:sz="4" w:space="0" w:color="000000"/>
              <w:bottom w:val="single" w:sz="4" w:space="0" w:color="000000"/>
              <w:right w:val="single" w:sz="4" w:space="0" w:color="000000"/>
            </w:tcBorders>
            <w:shd w:val="clear" w:color="auto" w:fill="auto"/>
            <w:vAlign w:val="center"/>
          </w:tcPr>
          <w:p w14:paraId="3CBBBF32" w14:textId="77777777" w:rsidR="00126128" w:rsidRDefault="00126128">
            <w:pPr>
              <w:widowControl w:val="0"/>
              <w:pBdr>
                <w:top w:val="nil"/>
                <w:left w:val="nil"/>
                <w:bottom w:val="nil"/>
                <w:right w:val="nil"/>
                <w:between w:val="nil"/>
              </w:pBdr>
            </w:pPr>
          </w:p>
        </w:tc>
        <w:tc>
          <w:tcPr>
            <w:tcW w:w="1440" w:type="dxa"/>
            <w:tcBorders>
              <w:top w:val="nil"/>
              <w:left w:val="nil"/>
              <w:bottom w:val="single" w:sz="4" w:space="0" w:color="000000"/>
              <w:right w:val="single" w:sz="4" w:space="0" w:color="000000"/>
            </w:tcBorders>
            <w:shd w:val="clear" w:color="auto" w:fill="auto"/>
            <w:vAlign w:val="bottom"/>
          </w:tcPr>
          <w:p w14:paraId="09A2C01A" w14:textId="77777777" w:rsidR="00126128" w:rsidRDefault="0078150B">
            <w:r>
              <w:t>early</w:t>
            </w:r>
          </w:p>
        </w:tc>
        <w:tc>
          <w:tcPr>
            <w:tcW w:w="1400" w:type="dxa"/>
            <w:tcBorders>
              <w:top w:val="nil"/>
              <w:left w:val="nil"/>
              <w:bottom w:val="single" w:sz="4" w:space="0" w:color="000000"/>
              <w:right w:val="single" w:sz="4" w:space="0" w:color="000000"/>
            </w:tcBorders>
            <w:shd w:val="clear" w:color="auto" w:fill="auto"/>
            <w:vAlign w:val="bottom"/>
          </w:tcPr>
          <w:p w14:paraId="43B05E3E" w14:textId="77777777" w:rsidR="00126128" w:rsidRDefault="0078150B">
            <w:r>
              <w:t>56</w:t>
            </w:r>
          </w:p>
        </w:tc>
        <w:tc>
          <w:tcPr>
            <w:tcW w:w="1300" w:type="dxa"/>
            <w:tcBorders>
              <w:top w:val="nil"/>
              <w:left w:val="nil"/>
              <w:bottom w:val="single" w:sz="4" w:space="0" w:color="000000"/>
              <w:right w:val="single" w:sz="4" w:space="0" w:color="000000"/>
            </w:tcBorders>
            <w:shd w:val="clear" w:color="auto" w:fill="auto"/>
            <w:vAlign w:val="bottom"/>
          </w:tcPr>
          <w:p w14:paraId="601C3E39" w14:textId="77777777" w:rsidR="00126128" w:rsidRDefault="0078150B">
            <w:r>
              <w:t>55</w:t>
            </w:r>
          </w:p>
        </w:tc>
        <w:tc>
          <w:tcPr>
            <w:tcW w:w="584" w:type="dxa"/>
            <w:tcBorders>
              <w:top w:val="nil"/>
              <w:left w:val="nil"/>
              <w:bottom w:val="single" w:sz="4" w:space="0" w:color="000000"/>
              <w:right w:val="single" w:sz="4" w:space="0" w:color="000000"/>
            </w:tcBorders>
            <w:shd w:val="clear" w:color="auto" w:fill="auto"/>
            <w:vAlign w:val="bottom"/>
          </w:tcPr>
          <w:p w14:paraId="368BF869" w14:textId="77777777" w:rsidR="00126128" w:rsidRDefault="0078150B">
            <w:r>
              <w:t>98</w:t>
            </w:r>
          </w:p>
        </w:tc>
        <w:tc>
          <w:tcPr>
            <w:tcW w:w="870" w:type="dxa"/>
            <w:tcBorders>
              <w:top w:val="nil"/>
              <w:left w:val="nil"/>
              <w:bottom w:val="single" w:sz="4" w:space="0" w:color="000000"/>
              <w:right w:val="single" w:sz="4" w:space="0" w:color="000000"/>
            </w:tcBorders>
            <w:shd w:val="clear" w:color="auto" w:fill="auto"/>
            <w:vAlign w:val="bottom"/>
          </w:tcPr>
          <w:p w14:paraId="32C5969B" w14:textId="77777777" w:rsidR="00126128" w:rsidRDefault="0078150B">
            <w:r>
              <w:t>0</w:t>
            </w:r>
          </w:p>
        </w:tc>
      </w:tr>
      <w:tr w:rsidR="00126128" w14:paraId="79DA0F43" w14:textId="77777777">
        <w:trPr>
          <w:trHeight w:val="300"/>
        </w:trPr>
        <w:tc>
          <w:tcPr>
            <w:tcW w:w="1780" w:type="dxa"/>
            <w:vMerge/>
            <w:tcBorders>
              <w:top w:val="nil"/>
              <w:left w:val="single" w:sz="4" w:space="0" w:color="000000"/>
              <w:bottom w:val="single" w:sz="4" w:space="0" w:color="000000"/>
              <w:right w:val="single" w:sz="4" w:space="0" w:color="000000"/>
            </w:tcBorders>
            <w:shd w:val="clear" w:color="auto" w:fill="auto"/>
            <w:vAlign w:val="center"/>
          </w:tcPr>
          <w:p w14:paraId="79B025D8" w14:textId="77777777" w:rsidR="00126128" w:rsidRDefault="00126128">
            <w:pPr>
              <w:widowControl w:val="0"/>
              <w:pBdr>
                <w:top w:val="nil"/>
                <w:left w:val="nil"/>
                <w:bottom w:val="nil"/>
                <w:right w:val="nil"/>
                <w:between w:val="nil"/>
              </w:pBdr>
            </w:pPr>
          </w:p>
        </w:tc>
        <w:tc>
          <w:tcPr>
            <w:tcW w:w="1440" w:type="dxa"/>
            <w:tcBorders>
              <w:top w:val="nil"/>
              <w:left w:val="nil"/>
              <w:bottom w:val="single" w:sz="4" w:space="0" w:color="000000"/>
              <w:right w:val="single" w:sz="4" w:space="0" w:color="000000"/>
            </w:tcBorders>
            <w:shd w:val="clear" w:color="auto" w:fill="auto"/>
            <w:vAlign w:val="bottom"/>
          </w:tcPr>
          <w:p w14:paraId="75A8C242" w14:textId="77777777" w:rsidR="00126128" w:rsidRDefault="0078150B">
            <w:r>
              <w:t>intermediate</w:t>
            </w:r>
          </w:p>
        </w:tc>
        <w:tc>
          <w:tcPr>
            <w:tcW w:w="1400" w:type="dxa"/>
            <w:tcBorders>
              <w:top w:val="nil"/>
              <w:left w:val="nil"/>
              <w:bottom w:val="single" w:sz="4" w:space="0" w:color="000000"/>
              <w:right w:val="single" w:sz="4" w:space="0" w:color="000000"/>
            </w:tcBorders>
            <w:shd w:val="clear" w:color="auto" w:fill="auto"/>
            <w:vAlign w:val="bottom"/>
          </w:tcPr>
          <w:p w14:paraId="6631424E" w14:textId="77777777" w:rsidR="00126128" w:rsidRDefault="0078150B">
            <w:r>
              <w:t>43</w:t>
            </w:r>
          </w:p>
        </w:tc>
        <w:tc>
          <w:tcPr>
            <w:tcW w:w="1300" w:type="dxa"/>
            <w:tcBorders>
              <w:top w:val="nil"/>
              <w:left w:val="nil"/>
              <w:bottom w:val="single" w:sz="4" w:space="0" w:color="000000"/>
              <w:right w:val="single" w:sz="4" w:space="0" w:color="000000"/>
            </w:tcBorders>
            <w:shd w:val="clear" w:color="auto" w:fill="auto"/>
            <w:vAlign w:val="bottom"/>
          </w:tcPr>
          <w:p w14:paraId="0AC98C92" w14:textId="77777777" w:rsidR="00126128" w:rsidRDefault="0078150B">
            <w:r>
              <w:t>42</w:t>
            </w:r>
          </w:p>
        </w:tc>
        <w:tc>
          <w:tcPr>
            <w:tcW w:w="584" w:type="dxa"/>
            <w:tcBorders>
              <w:top w:val="nil"/>
              <w:left w:val="nil"/>
              <w:bottom w:val="single" w:sz="4" w:space="0" w:color="000000"/>
              <w:right w:val="single" w:sz="4" w:space="0" w:color="000000"/>
            </w:tcBorders>
            <w:shd w:val="clear" w:color="auto" w:fill="auto"/>
            <w:vAlign w:val="bottom"/>
          </w:tcPr>
          <w:p w14:paraId="71227588" w14:textId="77777777" w:rsidR="00126128" w:rsidRDefault="0078150B">
            <w:r>
              <w:t>98</w:t>
            </w:r>
          </w:p>
        </w:tc>
        <w:tc>
          <w:tcPr>
            <w:tcW w:w="870" w:type="dxa"/>
            <w:tcBorders>
              <w:top w:val="nil"/>
              <w:left w:val="nil"/>
              <w:bottom w:val="single" w:sz="4" w:space="0" w:color="000000"/>
              <w:right w:val="single" w:sz="4" w:space="0" w:color="000000"/>
            </w:tcBorders>
            <w:shd w:val="clear" w:color="auto" w:fill="auto"/>
            <w:vAlign w:val="bottom"/>
          </w:tcPr>
          <w:p w14:paraId="5203E0F6" w14:textId="77777777" w:rsidR="00126128" w:rsidRDefault="0078150B">
            <w:r>
              <w:t>1</w:t>
            </w:r>
          </w:p>
        </w:tc>
      </w:tr>
      <w:tr w:rsidR="00126128" w14:paraId="28FFD5E8" w14:textId="77777777">
        <w:trPr>
          <w:trHeight w:val="300"/>
        </w:trPr>
        <w:tc>
          <w:tcPr>
            <w:tcW w:w="1780" w:type="dxa"/>
            <w:vMerge/>
            <w:tcBorders>
              <w:top w:val="nil"/>
              <w:left w:val="single" w:sz="4" w:space="0" w:color="000000"/>
              <w:bottom w:val="single" w:sz="4" w:space="0" w:color="000000"/>
              <w:right w:val="single" w:sz="4" w:space="0" w:color="000000"/>
            </w:tcBorders>
            <w:shd w:val="clear" w:color="auto" w:fill="auto"/>
            <w:vAlign w:val="center"/>
          </w:tcPr>
          <w:p w14:paraId="3D886BA2" w14:textId="77777777" w:rsidR="00126128" w:rsidRDefault="00126128">
            <w:pPr>
              <w:widowControl w:val="0"/>
              <w:pBdr>
                <w:top w:val="nil"/>
                <w:left w:val="nil"/>
                <w:bottom w:val="nil"/>
                <w:right w:val="nil"/>
                <w:between w:val="nil"/>
              </w:pBdr>
            </w:pPr>
          </w:p>
        </w:tc>
        <w:tc>
          <w:tcPr>
            <w:tcW w:w="1440" w:type="dxa"/>
            <w:tcBorders>
              <w:top w:val="nil"/>
              <w:left w:val="nil"/>
              <w:bottom w:val="single" w:sz="4" w:space="0" w:color="000000"/>
              <w:right w:val="single" w:sz="4" w:space="0" w:color="000000"/>
            </w:tcBorders>
            <w:shd w:val="clear" w:color="auto" w:fill="auto"/>
            <w:vAlign w:val="bottom"/>
          </w:tcPr>
          <w:p w14:paraId="35960E14" w14:textId="77777777" w:rsidR="00126128" w:rsidRDefault="0078150B">
            <w:r>
              <w:t>late</w:t>
            </w:r>
          </w:p>
        </w:tc>
        <w:tc>
          <w:tcPr>
            <w:tcW w:w="1400" w:type="dxa"/>
            <w:tcBorders>
              <w:top w:val="nil"/>
              <w:left w:val="nil"/>
              <w:bottom w:val="single" w:sz="4" w:space="0" w:color="000000"/>
              <w:right w:val="single" w:sz="4" w:space="0" w:color="000000"/>
            </w:tcBorders>
            <w:shd w:val="clear" w:color="auto" w:fill="auto"/>
            <w:vAlign w:val="bottom"/>
          </w:tcPr>
          <w:p w14:paraId="58A6E224" w14:textId="77777777" w:rsidR="00126128" w:rsidRDefault="0078150B">
            <w:r>
              <w:t>131</w:t>
            </w:r>
          </w:p>
        </w:tc>
        <w:tc>
          <w:tcPr>
            <w:tcW w:w="1300" w:type="dxa"/>
            <w:tcBorders>
              <w:top w:val="nil"/>
              <w:left w:val="nil"/>
              <w:bottom w:val="single" w:sz="4" w:space="0" w:color="000000"/>
              <w:right w:val="single" w:sz="4" w:space="0" w:color="000000"/>
            </w:tcBorders>
            <w:shd w:val="clear" w:color="auto" w:fill="auto"/>
            <w:vAlign w:val="bottom"/>
          </w:tcPr>
          <w:p w14:paraId="153E66DB" w14:textId="77777777" w:rsidR="00126128" w:rsidRDefault="0078150B">
            <w:r>
              <w:t>124</w:t>
            </w:r>
          </w:p>
        </w:tc>
        <w:tc>
          <w:tcPr>
            <w:tcW w:w="584" w:type="dxa"/>
            <w:tcBorders>
              <w:top w:val="nil"/>
              <w:left w:val="nil"/>
              <w:bottom w:val="single" w:sz="4" w:space="0" w:color="000000"/>
              <w:right w:val="single" w:sz="4" w:space="0" w:color="000000"/>
            </w:tcBorders>
            <w:shd w:val="clear" w:color="auto" w:fill="auto"/>
            <w:vAlign w:val="bottom"/>
          </w:tcPr>
          <w:p w14:paraId="15FCA8FE" w14:textId="77777777" w:rsidR="00126128" w:rsidRDefault="0078150B">
            <w:r>
              <w:t>95</w:t>
            </w:r>
          </w:p>
        </w:tc>
        <w:tc>
          <w:tcPr>
            <w:tcW w:w="870" w:type="dxa"/>
            <w:tcBorders>
              <w:top w:val="nil"/>
              <w:left w:val="nil"/>
              <w:bottom w:val="single" w:sz="4" w:space="0" w:color="000000"/>
              <w:right w:val="single" w:sz="4" w:space="0" w:color="000000"/>
            </w:tcBorders>
            <w:shd w:val="clear" w:color="auto" w:fill="auto"/>
            <w:vAlign w:val="bottom"/>
          </w:tcPr>
          <w:p w14:paraId="18EBCC0D" w14:textId="77777777" w:rsidR="00126128" w:rsidRDefault="0078150B">
            <w:r>
              <w:t>7</w:t>
            </w:r>
          </w:p>
        </w:tc>
      </w:tr>
    </w:tbl>
    <w:p w14:paraId="79BDEE2F" w14:textId="77777777" w:rsidR="00126128" w:rsidRDefault="00126128">
      <w:pPr>
        <w:rPr>
          <w:b/>
        </w:rPr>
      </w:pPr>
    </w:p>
    <w:p w14:paraId="0667772A" w14:textId="77777777" w:rsidR="00126128" w:rsidRDefault="00126128">
      <w:pPr>
        <w:rPr>
          <w:b/>
        </w:rPr>
      </w:pPr>
    </w:p>
    <w:p w14:paraId="4A5343EC" w14:textId="77777777" w:rsidR="00126128" w:rsidRDefault="0078150B">
      <w:pPr>
        <w:rPr>
          <w:b/>
        </w:rPr>
      </w:pPr>
      <w:r>
        <w:br w:type="page"/>
      </w:r>
    </w:p>
    <w:p w14:paraId="7761A161" w14:textId="61C38904" w:rsidR="00126128" w:rsidRDefault="0078150B">
      <w:r>
        <w:rPr>
          <w:b/>
        </w:rPr>
        <w:lastRenderedPageBreak/>
        <w:t>Table S</w:t>
      </w:r>
      <w:r w:rsidR="00842C73">
        <w:rPr>
          <w:b/>
        </w:rPr>
        <w:t>8.</w:t>
      </w:r>
      <w:r>
        <w:rPr>
          <w:b/>
        </w:rPr>
        <w:t xml:space="preserve"> Summary MNE and MNI for dog tooth wear data. </w:t>
      </w:r>
      <w:r>
        <w:t>Categories after Horard-Herbin (2000).</w:t>
      </w:r>
    </w:p>
    <w:p w14:paraId="7778EE9C" w14:textId="77777777" w:rsidR="00126128" w:rsidRDefault="00126128"/>
    <w:p w14:paraId="7566D7EC" w14:textId="77777777" w:rsidR="00126128" w:rsidRDefault="00126128">
      <w:pPr>
        <w:rPr>
          <w:b/>
        </w:rPr>
      </w:pPr>
    </w:p>
    <w:tbl>
      <w:tblPr>
        <w:tblStyle w:val="aff"/>
        <w:tblW w:w="6908" w:type="dxa"/>
        <w:tblLayout w:type="fixed"/>
        <w:tblLook w:val="0400" w:firstRow="0" w:lastRow="0" w:firstColumn="0" w:lastColumn="0" w:noHBand="0" w:noVBand="1"/>
      </w:tblPr>
      <w:tblGrid>
        <w:gridCol w:w="1268"/>
        <w:gridCol w:w="805"/>
        <w:gridCol w:w="1075"/>
        <w:gridCol w:w="805"/>
        <w:gridCol w:w="1075"/>
        <w:gridCol w:w="805"/>
        <w:gridCol w:w="1075"/>
      </w:tblGrid>
      <w:tr w:rsidR="00126128" w14:paraId="7F2232A3" w14:textId="77777777">
        <w:trPr>
          <w:trHeight w:val="300"/>
        </w:trPr>
        <w:tc>
          <w:tcPr>
            <w:tcW w:w="1268" w:type="dxa"/>
            <w:vMerge w:val="restart"/>
            <w:tcBorders>
              <w:top w:val="single" w:sz="4" w:space="0" w:color="000000"/>
              <w:left w:val="single" w:sz="4" w:space="0" w:color="000000"/>
              <w:bottom w:val="single" w:sz="4" w:space="0" w:color="000000"/>
              <w:right w:val="single" w:sz="4" w:space="0" w:color="000000"/>
            </w:tcBorders>
            <w:shd w:val="clear" w:color="auto" w:fill="E7E6E6"/>
            <w:vAlign w:val="center"/>
          </w:tcPr>
          <w:p w14:paraId="05765F51" w14:textId="77777777" w:rsidR="00126128" w:rsidRDefault="0078150B">
            <w:pPr>
              <w:rPr>
                <w:b/>
              </w:rPr>
            </w:pPr>
            <w:r>
              <w:rPr>
                <w:b/>
              </w:rPr>
              <w:t>MNE</w:t>
            </w:r>
          </w:p>
        </w:tc>
        <w:tc>
          <w:tcPr>
            <w:tcW w:w="1880" w:type="dxa"/>
            <w:gridSpan w:val="2"/>
            <w:tcBorders>
              <w:top w:val="single" w:sz="4" w:space="0" w:color="000000"/>
              <w:left w:val="nil"/>
              <w:bottom w:val="single" w:sz="4" w:space="0" w:color="000000"/>
              <w:right w:val="single" w:sz="4" w:space="0" w:color="000000"/>
            </w:tcBorders>
            <w:shd w:val="clear" w:color="auto" w:fill="E7E6E6"/>
            <w:vAlign w:val="center"/>
          </w:tcPr>
          <w:p w14:paraId="29334D2A" w14:textId="77777777" w:rsidR="00126128" w:rsidRDefault="0078150B">
            <w:pPr>
              <w:rPr>
                <w:b/>
              </w:rPr>
            </w:pPr>
            <w:r>
              <w:rPr>
                <w:b/>
              </w:rPr>
              <w:t>ALL BANKSIDE</w:t>
            </w:r>
          </w:p>
        </w:tc>
        <w:tc>
          <w:tcPr>
            <w:tcW w:w="1880" w:type="dxa"/>
            <w:gridSpan w:val="2"/>
            <w:tcBorders>
              <w:top w:val="single" w:sz="4" w:space="0" w:color="000000"/>
              <w:left w:val="nil"/>
              <w:bottom w:val="single" w:sz="4" w:space="0" w:color="000000"/>
              <w:right w:val="single" w:sz="4" w:space="0" w:color="000000"/>
            </w:tcBorders>
            <w:shd w:val="clear" w:color="auto" w:fill="E7E6E6"/>
            <w:vAlign w:val="center"/>
          </w:tcPr>
          <w:p w14:paraId="30241A94" w14:textId="77777777" w:rsidR="00126128" w:rsidRDefault="0078150B">
            <w:pPr>
              <w:rPr>
                <w:b/>
              </w:rPr>
            </w:pPr>
            <w:r>
              <w:rPr>
                <w:b/>
              </w:rPr>
              <w:t>PLAYHOUSES</w:t>
            </w:r>
          </w:p>
        </w:tc>
        <w:tc>
          <w:tcPr>
            <w:tcW w:w="1880" w:type="dxa"/>
            <w:gridSpan w:val="2"/>
            <w:tcBorders>
              <w:top w:val="single" w:sz="4" w:space="0" w:color="000000"/>
              <w:left w:val="nil"/>
              <w:bottom w:val="single" w:sz="4" w:space="0" w:color="000000"/>
              <w:right w:val="single" w:sz="4" w:space="0" w:color="000000"/>
            </w:tcBorders>
            <w:shd w:val="clear" w:color="auto" w:fill="E7E6E6"/>
            <w:vAlign w:val="center"/>
          </w:tcPr>
          <w:p w14:paraId="741C5CD4" w14:textId="77777777" w:rsidR="00126128" w:rsidRDefault="0078150B">
            <w:pPr>
              <w:rPr>
                <w:b/>
              </w:rPr>
            </w:pPr>
            <w:r>
              <w:rPr>
                <w:b/>
              </w:rPr>
              <w:t>BEAR GARDENS</w:t>
            </w:r>
          </w:p>
        </w:tc>
      </w:tr>
      <w:tr w:rsidR="00126128" w14:paraId="00A420CE" w14:textId="77777777">
        <w:trPr>
          <w:trHeight w:val="300"/>
        </w:trPr>
        <w:tc>
          <w:tcPr>
            <w:tcW w:w="1268" w:type="dxa"/>
            <w:vMerge/>
            <w:tcBorders>
              <w:top w:val="single" w:sz="4" w:space="0" w:color="000000"/>
              <w:left w:val="single" w:sz="4" w:space="0" w:color="000000"/>
              <w:bottom w:val="single" w:sz="4" w:space="0" w:color="000000"/>
              <w:right w:val="single" w:sz="4" w:space="0" w:color="000000"/>
            </w:tcBorders>
            <w:shd w:val="clear" w:color="auto" w:fill="E7E6E6"/>
            <w:vAlign w:val="center"/>
          </w:tcPr>
          <w:p w14:paraId="5DFDA0B5" w14:textId="77777777" w:rsidR="00126128" w:rsidRDefault="00126128">
            <w:pPr>
              <w:widowControl w:val="0"/>
              <w:pBdr>
                <w:top w:val="nil"/>
                <w:left w:val="nil"/>
                <w:bottom w:val="nil"/>
                <w:right w:val="nil"/>
                <w:between w:val="nil"/>
              </w:pBdr>
              <w:rPr>
                <w:b/>
              </w:rPr>
            </w:pPr>
          </w:p>
        </w:tc>
        <w:tc>
          <w:tcPr>
            <w:tcW w:w="805" w:type="dxa"/>
            <w:tcBorders>
              <w:top w:val="nil"/>
              <w:left w:val="nil"/>
              <w:bottom w:val="single" w:sz="4" w:space="0" w:color="000000"/>
              <w:right w:val="single" w:sz="4" w:space="0" w:color="000000"/>
            </w:tcBorders>
            <w:shd w:val="clear" w:color="auto" w:fill="E7E6E6"/>
            <w:vAlign w:val="bottom"/>
          </w:tcPr>
          <w:p w14:paraId="660B2594" w14:textId="77777777" w:rsidR="00126128" w:rsidRDefault="0078150B">
            <w:pPr>
              <w:rPr>
                <w:b/>
              </w:rPr>
            </w:pPr>
            <w:r>
              <w:rPr>
                <w:b/>
              </w:rPr>
              <w:t>MNE</w:t>
            </w:r>
          </w:p>
        </w:tc>
        <w:tc>
          <w:tcPr>
            <w:tcW w:w="1075" w:type="dxa"/>
            <w:tcBorders>
              <w:top w:val="nil"/>
              <w:left w:val="nil"/>
              <w:bottom w:val="single" w:sz="4" w:space="0" w:color="000000"/>
              <w:right w:val="single" w:sz="4" w:space="0" w:color="000000"/>
            </w:tcBorders>
            <w:shd w:val="clear" w:color="auto" w:fill="E7E6E6"/>
            <w:vAlign w:val="bottom"/>
          </w:tcPr>
          <w:p w14:paraId="54AD9933" w14:textId="77777777" w:rsidR="00126128" w:rsidRDefault="0078150B">
            <w:pPr>
              <w:rPr>
                <w:b/>
              </w:rPr>
            </w:pPr>
            <w:r>
              <w:rPr>
                <w:b/>
              </w:rPr>
              <w:t>%MNE</w:t>
            </w:r>
          </w:p>
        </w:tc>
        <w:tc>
          <w:tcPr>
            <w:tcW w:w="805" w:type="dxa"/>
            <w:tcBorders>
              <w:top w:val="nil"/>
              <w:left w:val="nil"/>
              <w:bottom w:val="single" w:sz="4" w:space="0" w:color="000000"/>
              <w:right w:val="single" w:sz="4" w:space="0" w:color="000000"/>
            </w:tcBorders>
            <w:shd w:val="clear" w:color="auto" w:fill="E7E6E6"/>
            <w:vAlign w:val="bottom"/>
          </w:tcPr>
          <w:p w14:paraId="22DB0BBA" w14:textId="77777777" w:rsidR="00126128" w:rsidRDefault="0078150B">
            <w:pPr>
              <w:rPr>
                <w:b/>
              </w:rPr>
            </w:pPr>
            <w:r>
              <w:rPr>
                <w:b/>
              </w:rPr>
              <w:t>MNE</w:t>
            </w:r>
          </w:p>
        </w:tc>
        <w:tc>
          <w:tcPr>
            <w:tcW w:w="1075" w:type="dxa"/>
            <w:tcBorders>
              <w:top w:val="nil"/>
              <w:left w:val="nil"/>
              <w:bottom w:val="single" w:sz="4" w:space="0" w:color="000000"/>
              <w:right w:val="single" w:sz="4" w:space="0" w:color="000000"/>
            </w:tcBorders>
            <w:shd w:val="clear" w:color="auto" w:fill="E7E6E6"/>
            <w:vAlign w:val="bottom"/>
          </w:tcPr>
          <w:p w14:paraId="485D9C03" w14:textId="77777777" w:rsidR="00126128" w:rsidRDefault="0078150B">
            <w:pPr>
              <w:rPr>
                <w:b/>
              </w:rPr>
            </w:pPr>
            <w:r>
              <w:rPr>
                <w:b/>
              </w:rPr>
              <w:t>%MNE</w:t>
            </w:r>
          </w:p>
        </w:tc>
        <w:tc>
          <w:tcPr>
            <w:tcW w:w="805" w:type="dxa"/>
            <w:tcBorders>
              <w:top w:val="nil"/>
              <w:left w:val="nil"/>
              <w:bottom w:val="single" w:sz="4" w:space="0" w:color="000000"/>
              <w:right w:val="single" w:sz="4" w:space="0" w:color="000000"/>
            </w:tcBorders>
            <w:shd w:val="clear" w:color="auto" w:fill="E7E6E6"/>
            <w:vAlign w:val="bottom"/>
          </w:tcPr>
          <w:p w14:paraId="4A36F6D5" w14:textId="77777777" w:rsidR="00126128" w:rsidRDefault="0078150B">
            <w:pPr>
              <w:rPr>
                <w:b/>
              </w:rPr>
            </w:pPr>
            <w:r>
              <w:rPr>
                <w:b/>
              </w:rPr>
              <w:t>MNE</w:t>
            </w:r>
          </w:p>
        </w:tc>
        <w:tc>
          <w:tcPr>
            <w:tcW w:w="1075" w:type="dxa"/>
            <w:tcBorders>
              <w:top w:val="nil"/>
              <w:left w:val="nil"/>
              <w:bottom w:val="single" w:sz="4" w:space="0" w:color="000000"/>
              <w:right w:val="single" w:sz="4" w:space="0" w:color="000000"/>
            </w:tcBorders>
            <w:shd w:val="clear" w:color="auto" w:fill="E7E6E6"/>
            <w:vAlign w:val="bottom"/>
          </w:tcPr>
          <w:p w14:paraId="39A817C1" w14:textId="77777777" w:rsidR="00126128" w:rsidRDefault="0078150B">
            <w:pPr>
              <w:rPr>
                <w:b/>
              </w:rPr>
            </w:pPr>
            <w:r>
              <w:rPr>
                <w:b/>
              </w:rPr>
              <w:t>%MNE</w:t>
            </w:r>
          </w:p>
        </w:tc>
      </w:tr>
      <w:tr w:rsidR="00126128" w14:paraId="44BEC79F" w14:textId="77777777">
        <w:trPr>
          <w:trHeight w:val="300"/>
        </w:trPr>
        <w:tc>
          <w:tcPr>
            <w:tcW w:w="1268" w:type="dxa"/>
            <w:tcBorders>
              <w:top w:val="nil"/>
              <w:left w:val="single" w:sz="4" w:space="0" w:color="000000"/>
              <w:bottom w:val="single" w:sz="4" w:space="0" w:color="000000"/>
              <w:right w:val="single" w:sz="4" w:space="0" w:color="000000"/>
            </w:tcBorders>
            <w:shd w:val="clear" w:color="auto" w:fill="auto"/>
            <w:vAlign w:val="bottom"/>
          </w:tcPr>
          <w:p w14:paraId="338B4292" w14:textId="77777777" w:rsidR="00126128" w:rsidRDefault="0078150B">
            <w:pPr>
              <w:rPr>
                <w:b/>
              </w:rPr>
            </w:pPr>
            <w:r>
              <w:rPr>
                <w:b/>
              </w:rPr>
              <w:t>A (6-24)</w:t>
            </w:r>
          </w:p>
        </w:tc>
        <w:tc>
          <w:tcPr>
            <w:tcW w:w="805" w:type="dxa"/>
            <w:tcBorders>
              <w:top w:val="nil"/>
              <w:left w:val="nil"/>
              <w:bottom w:val="single" w:sz="4" w:space="0" w:color="000000"/>
              <w:right w:val="single" w:sz="4" w:space="0" w:color="000000"/>
            </w:tcBorders>
            <w:shd w:val="clear" w:color="auto" w:fill="auto"/>
            <w:vAlign w:val="bottom"/>
          </w:tcPr>
          <w:p w14:paraId="0085BCAD" w14:textId="77777777" w:rsidR="00126128" w:rsidRDefault="0078150B">
            <w:r>
              <w:t>0</w:t>
            </w:r>
          </w:p>
        </w:tc>
        <w:tc>
          <w:tcPr>
            <w:tcW w:w="1075" w:type="dxa"/>
            <w:tcBorders>
              <w:top w:val="nil"/>
              <w:left w:val="nil"/>
              <w:bottom w:val="single" w:sz="4" w:space="0" w:color="000000"/>
              <w:right w:val="single" w:sz="4" w:space="0" w:color="000000"/>
            </w:tcBorders>
            <w:shd w:val="clear" w:color="auto" w:fill="auto"/>
            <w:vAlign w:val="bottom"/>
          </w:tcPr>
          <w:p w14:paraId="25A3EB77" w14:textId="77777777" w:rsidR="00126128" w:rsidRDefault="0078150B">
            <w:r>
              <w:t>0</w:t>
            </w:r>
          </w:p>
        </w:tc>
        <w:tc>
          <w:tcPr>
            <w:tcW w:w="805" w:type="dxa"/>
            <w:tcBorders>
              <w:top w:val="nil"/>
              <w:left w:val="nil"/>
              <w:bottom w:val="single" w:sz="4" w:space="0" w:color="000000"/>
              <w:right w:val="single" w:sz="4" w:space="0" w:color="000000"/>
            </w:tcBorders>
            <w:shd w:val="clear" w:color="auto" w:fill="auto"/>
            <w:vAlign w:val="bottom"/>
          </w:tcPr>
          <w:p w14:paraId="1C8CEF51" w14:textId="77777777" w:rsidR="00126128" w:rsidRDefault="0078150B">
            <w:r>
              <w:t>0</w:t>
            </w:r>
          </w:p>
        </w:tc>
        <w:tc>
          <w:tcPr>
            <w:tcW w:w="1075" w:type="dxa"/>
            <w:tcBorders>
              <w:top w:val="nil"/>
              <w:left w:val="nil"/>
              <w:bottom w:val="single" w:sz="4" w:space="0" w:color="000000"/>
              <w:right w:val="single" w:sz="4" w:space="0" w:color="000000"/>
            </w:tcBorders>
            <w:shd w:val="clear" w:color="auto" w:fill="auto"/>
            <w:vAlign w:val="bottom"/>
          </w:tcPr>
          <w:p w14:paraId="65C5AACC" w14:textId="77777777" w:rsidR="00126128" w:rsidRDefault="0078150B">
            <w:r>
              <w:t>0</w:t>
            </w:r>
          </w:p>
        </w:tc>
        <w:tc>
          <w:tcPr>
            <w:tcW w:w="805" w:type="dxa"/>
            <w:tcBorders>
              <w:top w:val="nil"/>
              <w:left w:val="nil"/>
              <w:bottom w:val="single" w:sz="4" w:space="0" w:color="000000"/>
              <w:right w:val="single" w:sz="4" w:space="0" w:color="000000"/>
            </w:tcBorders>
            <w:shd w:val="clear" w:color="auto" w:fill="auto"/>
            <w:vAlign w:val="bottom"/>
          </w:tcPr>
          <w:p w14:paraId="6B365309" w14:textId="77777777" w:rsidR="00126128" w:rsidRDefault="0078150B">
            <w:r>
              <w:t>0</w:t>
            </w:r>
          </w:p>
        </w:tc>
        <w:tc>
          <w:tcPr>
            <w:tcW w:w="1075" w:type="dxa"/>
            <w:tcBorders>
              <w:top w:val="nil"/>
              <w:left w:val="nil"/>
              <w:bottom w:val="single" w:sz="4" w:space="0" w:color="000000"/>
              <w:right w:val="single" w:sz="4" w:space="0" w:color="000000"/>
            </w:tcBorders>
            <w:shd w:val="clear" w:color="auto" w:fill="auto"/>
            <w:vAlign w:val="bottom"/>
          </w:tcPr>
          <w:p w14:paraId="1E1C74EF" w14:textId="77777777" w:rsidR="00126128" w:rsidRDefault="0078150B">
            <w:r>
              <w:t>0</w:t>
            </w:r>
          </w:p>
        </w:tc>
      </w:tr>
      <w:tr w:rsidR="00126128" w14:paraId="2567CC58" w14:textId="77777777">
        <w:trPr>
          <w:trHeight w:val="300"/>
        </w:trPr>
        <w:tc>
          <w:tcPr>
            <w:tcW w:w="1268" w:type="dxa"/>
            <w:tcBorders>
              <w:top w:val="nil"/>
              <w:left w:val="single" w:sz="4" w:space="0" w:color="000000"/>
              <w:bottom w:val="single" w:sz="4" w:space="0" w:color="000000"/>
              <w:right w:val="single" w:sz="4" w:space="0" w:color="000000"/>
            </w:tcBorders>
            <w:shd w:val="clear" w:color="auto" w:fill="auto"/>
            <w:vAlign w:val="bottom"/>
          </w:tcPr>
          <w:p w14:paraId="65FCED96" w14:textId="77777777" w:rsidR="00126128" w:rsidRDefault="0078150B">
            <w:pPr>
              <w:rPr>
                <w:b/>
              </w:rPr>
            </w:pPr>
            <w:r>
              <w:rPr>
                <w:b/>
              </w:rPr>
              <w:t>B (6-24)</w:t>
            </w:r>
          </w:p>
        </w:tc>
        <w:tc>
          <w:tcPr>
            <w:tcW w:w="805" w:type="dxa"/>
            <w:tcBorders>
              <w:top w:val="nil"/>
              <w:left w:val="nil"/>
              <w:bottom w:val="single" w:sz="4" w:space="0" w:color="000000"/>
              <w:right w:val="single" w:sz="4" w:space="0" w:color="000000"/>
            </w:tcBorders>
            <w:shd w:val="clear" w:color="auto" w:fill="auto"/>
            <w:vAlign w:val="bottom"/>
          </w:tcPr>
          <w:p w14:paraId="333370A1" w14:textId="77777777" w:rsidR="00126128" w:rsidRDefault="0078150B">
            <w:r>
              <w:t>1</w:t>
            </w:r>
          </w:p>
        </w:tc>
        <w:tc>
          <w:tcPr>
            <w:tcW w:w="1075" w:type="dxa"/>
            <w:tcBorders>
              <w:top w:val="nil"/>
              <w:left w:val="nil"/>
              <w:bottom w:val="single" w:sz="4" w:space="0" w:color="000000"/>
              <w:right w:val="single" w:sz="4" w:space="0" w:color="000000"/>
            </w:tcBorders>
            <w:shd w:val="clear" w:color="auto" w:fill="auto"/>
            <w:vAlign w:val="bottom"/>
          </w:tcPr>
          <w:p w14:paraId="5774A1DC" w14:textId="77777777" w:rsidR="00126128" w:rsidRDefault="0078150B">
            <w:r>
              <w:t>2</w:t>
            </w:r>
          </w:p>
        </w:tc>
        <w:tc>
          <w:tcPr>
            <w:tcW w:w="805" w:type="dxa"/>
            <w:tcBorders>
              <w:top w:val="nil"/>
              <w:left w:val="nil"/>
              <w:bottom w:val="single" w:sz="4" w:space="0" w:color="000000"/>
              <w:right w:val="single" w:sz="4" w:space="0" w:color="000000"/>
            </w:tcBorders>
            <w:shd w:val="clear" w:color="auto" w:fill="auto"/>
            <w:vAlign w:val="bottom"/>
          </w:tcPr>
          <w:p w14:paraId="307258CD" w14:textId="77777777" w:rsidR="00126128" w:rsidRDefault="0078150B">
            <w:r>
              <w:t>0</w:t>
            </w:r>
          </w:p>
        </w:tc>
        <w:tc>
          <w:tcPr>
            <w:tcW w:w="1075" w:type="dxa"/>
            <w:tcBorders>
              <w:top w:val="nil"/>
              <w:left w:val="nil"/>
              <w:bottom w:val="single" w:sz="4" w:space="0" w:color="000000"/>
              <w:right w:val="single" w:sz="4" w:space="0" w:color="000000"/>
            </w:tcBorders>
            <w:shd w:val="clear" w:color="auto" w:fill="auto"/>
            <w:vAlign w:val="bottom"/>
          </w:tcPr>
          <w:p w14:paraId="2DC58F2F" w14:textId="77777777" w:rsidR="00126128" w:rsidRDefault="0078150B">
            <w:r>
              <w:t>0</w:t>
            </w:r>
          </w:p>
        </w:tc>
        <w:tc>
          <w:tcPr>
            <w:tcW w:w="805" w:type="dxa"/>
            <w:tcBorders>
              <w:top w:val="nil"/>
              <w:left w:val="nil"/>
              <w:bottom w:val="single" w:sz="4" w:space="0" w:color="000000"/>
              <w:right w:val="single" w:sz="4" w:space="0" w:color="000000"/>
            </w:tcBorders>
            <w:shd w:val="clear" w:color="auto" w:fill="auto"/>
            <w:vAlign w:val="bottom"/>
          </w:tcPr>
          <w:p w14:paraId="0F12C855" w14:textId="77777777" w:rsidR="00126128" w:rsidRDefault="0078150B">
            <w:r>
              <w:t>1</w:t>
            </w:r>
          </w:p>
        </w:tc>
        <w:tc>
          <w:tcPr>
            <w:tcW w:w="1075" w:type="dxa"/>
            <w:tcBorders>
              <w:top w:val="nil"/>
              <w:left w:val="nil"/>
              <w:bottom w:val="single" w:sz="4" w:space="0" w:color="000000"/>
              <w:right w:val="single" w:sz="4" w:space="0" w:color="000000"/>
            </w:tcBorders>
            <w:shd w:val="clear" w:color="auto" w:fill="auto"/>
            <w:vAlign w:val="bottom"/>
          </w:tcPr>
          <w:p w14:paraId="5E9C1894" w14:textId="77777777" w:rsidR="00126128" w:rsidRDefault="0078150B">
            <w:r>
              <w:t>3</w:t>
            </w:r>
          </w:p>
        </w:tc>
      </w:tr>
      <w:tr w:rsidR="00126128" w14:paraId="7B894A7D" w14:textId="77777777">
        <w:trPr>
          <w:trHeight w:val="300"/>
        </w:trPr>
        <w:tc>
          <w:tcPr>
            <w:tcW w:w="1268" w:type="dxa"/>
            <w:tcBorders>
              <w:top w:val="nil"/>
              <w:left w:val="single" w:sz="4" w:space="0" w:color="000000"/>
              <w:bottom w:val="single" w:sz="4" w:space="0" w:color="000000"/>
              <w:right w:val="single" w:sz="4" w:space="0" w:color="000000"/>
            </w:tcBorders>
            <w:shd w:val="clear" w:color="auto" w:fill="auto"/>
            <w:vAlign w:val="bottom"/>
          </w:tcPr>
          <w:p w14:paraId="1A1718FF" w14:textId="77777777" w:rsidR="00126128" w:rsidRDefault="0078150B">
            <w:pPr>
              <w:rPr>
                <w:b/>
              </w:rPr>
            </w:pPr>
            <w:r>
              <w:rPr>
                <w:b/>
              </w:rPr>
              <w:t>C (6-36)</w:t>
            </w:r>
          </w:p>
        </w:tc>
        <w:tc>
          <w:tcPr>
            <w:tcW w:w="805" w:type="dxa"/>
            <w:tcBorders>
              <w:top w:val="nil"/>
              <w:left w:val="nil"/>
              <w:bottom w:val="single" w:sz="4" w:space="0" w:color="000000"/>
              <w:right w:val="single" w:sz="4" w:space="0" w:color="000000"/>
            </w:tcBorders>
            <w:shd w:val="clear" w:color="auto" w:fill="auto"/>
            <w:vAlign w:val="bottom"/>
          </w:tcPr>
          <w:p w14:paraId="0326BDFD" w14:textId="77777777" w:rsidR="00126128" w:rsidRDefault="0078150B">
            <w:r>
              <w:t>7</w:t>
            </w:r>
          </w:p>
        </w:tc>
        <w:tc>
          <w:tcPr>
            <w:tcW w:w="1075" w:type="dxa"/>
            <w:tcBorders>
              <w:top w:val="nil"/>
              <w:left w:val="nil"/>
              <w:bottom w:val="single" w:sz="4" w:space="0" w:color="000000"/>
              <w:right w:val="single" w:sz="4" w:space="0" w:color="000000"/>
            </w:tcBorders>
            <w:shd w:val="clear" w:color="auto" w:fill="auto"/>
            <w:vAlign w:val="bottom"/>
          </w:tcPr>
          <w:p w14:paraId="0053541A" w14:textId="77777777" w:rsidR="00126128" w:rsidRDefault="0078150B">
            <w:r>
              <w:t>16</w:t>
            </w:r>
          </w:p>
        </w:tc>
        <w:tc>
          <w:tcPr>
            <w:tcW w:w="805" w:type="dxa"/>
            <w:tcBorders>
              <w:top w:val="nil"/>
              <w:left w:val="nil"/>
              <w:bottom w:val="single" w:sz="4" w:space="0" w:color="000000"/>
              <w:right w:val="single" w:sz="4" w:space="0" w:color="000000"/>
            </w:tcBorders>
            <w:shd w:val="clear" w:color="auto" w:fill="auto"/>
            <w:vAlign w:val="bottom"/>
          </w:tcPr>
          <w:p w14:paraId="17CE1DFA" w14:textId="77777777" w:rsidR="00126128" w:rsidRDefault="0078150B">
            <w:r>
              <w:t>0</w:t>
            </w:r>
          </w:p>
        </w:tc>
        <w:tc>
          <w:tcPr>
            <w:tcW w:w="1075" w:type="dxa"/>
            <w:tcBorders>
              <w:top w:val="nil"/>
              <w:left w:val="nil"/>
              <w:bottom w:val="single" w:sz="4" w:space="0" w:color="000000"/>
              <w:right w:val="single" w:sz="4" w:space="0" w:color="000000"/>
            </w:tcBorders>
            <w:shd w:val="clear" w:color="auto" w:fill="auto"/>
            <w:vAlign w:val="bottom"/>
          </w:tcPr>
          <w:p w14:paraId="5960B098" w14:textId="77777777" w:rsidR="00126128" w:rsidRDefault="0078150B">
            <w:r>
              <w:t>0</w:t>
            </w:r>
          </w:p>
        </w:tc>
        <w:tc>
          <w:tcPr>
            <w:tcW w:w="805" w:type="dxa"/>
            <w:tcBorders>
              <w:top w:val="nil"/>
              <w:left w:val="nil"/>
              <w:bottom w:val="single" w:sz="4" w:space="0" w:color="000000"/>
              <w:right w:val="single" w:sz="4" w:space="0" w:color="000000"/>
            </w:tcBorders>
            <w:shd w:val="clear" w:color="auto" w:fill="auto"/>
            <w:vAlign w:val="bottom"/>
          </w:tcPr>
          <w:p w14:paraId="6D638A50" w14:textId="77777777" w:rsidR="00126128" w:rsidRDefault="0078150B">
            <w:r>
              <w:t>7</w:t>
            </w:r>
          </w:p>
        </w:tc>
        <w:tc>
          <w:tcPr>
            <w:tcW w:w="1075" w:type="dxa"/>
            <w:tcBorders>
              <w:top w:val="nil"/>
              <w:left w:val="nil"/>
              <w:bottom w:val="single" w:sz="4" w:space="0" w:color="000000"/>
              <w:right w:val="single" w:sz="4" w:space="0" w:color="000000"/>
            </w:tcBorders>
            <w:shd w:val="clear" w:color="auto" w:fill="auto"/>
            <w:vAlign w:val="bottom"/>
          </w:tcPr>
          <w:p w14:paraId="1EBE09C3" w14:textId="77777777" w:rsidR="00126128" w:rsidRDefault="0078150B">
            <w:r>
              <w:t>22</w:t>
            </w:r>
          </w:p>
        </w:tc>
      </w:tr>
      <w:tr w:rsidR="00126128" w14:paraId="452F3CE5" w14:textId="77777777">
        <w:trPr>
          <w:trHeight w:val="300"/>
        </w:trPr>
        <w:tc>
          <w:tcPr>
            <w:tcW w:w="1268" w:type="dxa"/>
            <w:tcBorders>
              <w:top w:val="nil"/>
              <w:left w:val="single" w:sz="4" w:space="0" w:color="000000"/>
              <w:bottom w:val="single" w:sz="4" w:space="0" w:color="000000"/>
              <w:right w:val="single" w:sz="4" w:space="0" w:color="000000"/>
            </w:tcBorders>
            <w:shd w:val="clear" w:color="auto" w:fill="auto"/>
            <w:vAlign w:val="bottom"/>
          </w:tcPr>
          <w:p w14:paraId="5CFB96A5" w14:textId="77777777" w:rsidR="00126128" w:rsidRDefault="0078150B">
            <w:pPr>
              <w:rPr>
                <w:b/>
              </w:rPr>
            </w:pPr>
            <w:r>
              <w:rPr>
                <w:b/>
              </w:rPr>
              <w:t>D (15-36)</w:t>
            </w:r>
          </w:p>
        </w:tc>
        <w:tc>
          <w:tcPr>
            <w:tcW w:w="805" w:type="dxa"/>
            <w:tcBorders>
              <w:top w:val="nil"/>
              <w:left w:val="nil"/>
              <w:bottom w:val="single" w:sz="4" w:space="0" w:color="000000"/>
              <w:right w:val="single" w:sz="4" w:space="0" w:color="000000"/>
            </w:tcBorders>
            <w:shd w:val="clear" w:color="auto" w:fill="auto"/>
            <w:vAlign w:val="bottom"/>
          </w:tcPr>
          <w:p w14:paraId="3ACF0DE3" w14:textId="77777777" w:rsidR="00126128" w:rsidRDefault="0078150B">
            <w:r>
              <w:t>7</w:t>
            </w:r>
          </w:p>
        </w:tc>
        <w:tc>
          <w:tcPr>
            <w:tcW w:w="1075" w:type="dxa"/>
            <w:tcBorders>
              <w:top w:val="nil"/>
              <w:left w:val="nil"/>
              <w:bottom w:val="single" w:sz="4" w:space="0" w:color="000000"/>
              <w:right w:val="single" w:sz="4" w:space="0" w:color="000000"/>
            </w:tcBorders>
            <w:shd w:val="clear" w:color="auto" w:fill="auto"/>
            <w:vAlign w:val="bottom"/>
          </w:tcPr>
          <w:p w14:paraId="34547E0E" w14:textId="77777777" w:rsidR="00126128" w:rsidRDefault="0078150B">
            <w:r>
              <w:t>16</w:t>
            </w:r>
          </w:p>
        </w:tc>
        <w:tc>
          <w:tcPr>
            <w:tcW w:w="805" w:type="dxa"/>
            <w:tcBorders>
              <w:top w:val="nil"/>
              <w:left w:val="nil"/>
              <w:bottom w:val="single" w:sz="4" w:space="0" w:color="000000"/>
              <w:right w:val="single" w:sz="4" w:space="0" w:color="000000"/>
            </w:tcBorders>
            <w:shd w:val="clear" w:color="auto" w:fill="auto"/>
            <w:vAlign w:val="bottom"/>
          </w:tcPr>
          <w:p w14:paraId="2874A898" w14:textId="77777777" w:rsidR="00126128" w:rsidRDefault="0078150B">
            <w:r>
              <w:t>3</w:t>
            </w:r>
          </w:p>
        </w:tc>
        <w:tc>
          <w:tcPr>
            <w:tcW w:w="1075" w:type="dxa"/>
            <w:tcBorders>
              <w:top w:val="nil"/>
              <w:left w:val="nil"/>
              <w:bottom w:val="single" w:sz="4" w:space="0" w:color="000000"/>
              <w:right w:val="single" w:sz="4" w:space="0" w:color="000000"/>
            </w:tcBorders>
            <w:shd w:val="clear" w:color="auto" w:fill="auto"/>
            <w:vAlign w:val="bottom"/>
          </w:tcPr>
          <w:p w14:paraId="1E7489F7" w14:textId="77777777" w:rsidR="00126128" w:rsidRDefault="0078150B">
            <w:r>
              <w:t>23</w:t>
            </w:r>
          </w:p>
        </w:tc>
        <w:tc>
          <w:tcPr>
            <w:tcW w:w="805" w:type="dxa"/>
            <w:tcBorders>
              <w:top w:val="nil"/>
              <w:left w:val="nil"/>
              <w:bottom w:val="single" w:sz="4" w:space="0" w:color="000000"/>
              <w:right w:val="single" w:sz="4" w:space="0" w:color="000000"/>
            </w:tcBorders>
            <w:shd w:val="clear" w:color="auto" w:fill="auto"/>
            <w:vAlign w:val="bottom"/>
          </w:tcPr>
          <w:p w14:paraId="77DD8BCA" w14:textId="77777777" w:rsidR="00126128" w:rsidRDefault="0078150B">
            <w:r>
              <w:t>4</w:t>
            </w:r>
          </w:p>
        </w:tc>
        <w:tc>
          <w:tcPr>
            <w:tcW w:w="1075" w:type="dxa"/>
            <w:tcBorders>
              <w:top w:val="nil"/>
              <w:left w:val="nil"/>
              <w:bottom w:val="single" w:sz="4" w:space="0" w:color="000000"/>
              <w:right w:val="single" w:sz="4" w:space="0" w:color="000000"/>
            </w:tcBorders>
            <w:shd w:val="clear" w:color="auto" w:fill="auto"/>
            <w:vAlign w:val="bottom"/>
          </w:tcPr>
          <w:p w14:paraId="0948B408" w14:textId="77777777" w:rsidR="00126128" w:rsidRDefault="0078150B">
            <w:r>
              <w:t>13</w:t>
            </w:r>
          </w:p>
        </w:tc>
      </w:tr>
      <w:tr w:rsidR="00126128" w14:paraId="704BA872" w14:textId="77777777">
        <w:trPr>
          <w:trHeight w:val="300"/>
        </w:trPr>
        <w:tc>
          <w:tcPr>
            <w:tcW w:w="1268" w:type="dxa"/>
            <w:tcBorders>
              <w:top w:val="nil"/>
              <w:left w:val="single" w:sz="4" w:space="0" w:color="000000"/>
              <w:bottom w:val="single" w:sz="4" w:space="0" w:color="000000"/>
              <w:right w:val="single" w:sz="4" w:space="0" w:color="000000"/>
            </w:tcBorders>
            <w:shd w:val="clear" w:color="auto" w:fill="auto"/>
            <w:vAlign w:val="bottom"/>
          </w:tcPr>
          <w:p w14:paraId="403FFA8D" w14:textId="77777777" w:rsidR="00126128" w:rsidRDefault="0078150B">
            <w:pPr>
              <w:rPr>
                <w:b/>
              </w:rPr>
            </w:pPr>
            <w:r>
              <w:rPr>
                <w:b/>
              </w:rPr>
              <w:t>E (24-36)</w:t>
            </w:r>
          </w:p>
        </w:tc>
        <w:tc>
          <w:tcPr>
            <w:tcW w:w="805" w:type="dxa"/>
            <w:tcBorders>
              <w:top w:val="nil"/>
              <w:left w:val="nil"/>
              <w:bottom w:val="single" w:sz="4" w:space="0" w:color="000000"/>
              <w:right w:val="single" w:sz="4" w:space="0" w:color="000000"/>
            </w:tcBorders>
            <w:shd w:val="clear" w:color="auto" w:fill="auto"/>
            <w:vAlign w:val="bottom"/>
          </w:tcPr>
          <w:p w14:paraId="717BD97F" w14:textId="77777777" w:rsidR="00126128" w:rsidRDefault="0078150B">
            <w:r>
              <w:t>25</w:t>
            </w:r>
          </w:p>
        </w:tc>
        <w:tc>
          <w:tcPr>
            <w:tcW w:w="1075" w:type="dxa"/>
            <w:tcBorders>
              <w:top w:val="nil"/>
              <w:left w:val="nil"/>
              <w:bottom w:val="single" w:sz="4" w:space="0" w:color="000000"/>
              <w:right w:val="single" w:sz="4" w:space="0" w:color="000000"/>
            </w:tcBorders>
            <w:shd w:val="clear" w:color="auto" w:fill="auto"/>
            <w:vAlign w:val="bottom"/>
          </w:tcPr>
          <w:p w14:paraId="3753DB04" w14:textId="77777777" w:rsidR="00126128" w:rsidRDefault="0078150B">
            <w:r>
              <w:t>56</w:t>
            </w:r>
          </w:p>
        </w:tc>
        <w:tc>
          <w:tcPr>
            <w:tcW w:w="805" w:type="dxa"/>
            <w:tcBorders>
              <w:top w:val="nil"/>
              <w:left w:val="nil"/>
              <w:bottom w:val="single" w:sz="4" w:space="0" w:color="000000"/>
              <w:right w:val="single" w:sz="4" w:space="0" w:color="000000"/>
            </w:tcBorders>
            <w:shd w:val="clear" w:color="auto" w:fill="auto"/>
            <w:vAlign w:val="bottom"/>
          </w:tcPr>
          <w:p w14:paraId="2706084A" w14:textId="77777777" w:rsidR="00126128" w:rsidRDefault="0078150B">
            <w:r>
              <w:t>8</w:t>
            </w:r>
          </w:p>
        </w:tc>
        <w:tc>
          <w:tcPr>
            <w:tcW w:w="1075" w:type="dxa"/>
            <w:tcBorders>
              <w:top w:val="nil"/>
              <w:left w:val="nil"/>
              <w:bottom w:val="single" w:sz="4" w:space="0" w:color="000000"/>
              <w:right w:val="single" w:sz="4" w:space="0" w:color="000000"/>
            </w:tcBorders>
            <w:shd w:val="clear" w:color="auto" w:fill="auto"/>
            <w:vAlign w:val="bottom"/>
          </w:tcPr>
          <w:p w14:paraId="2D78BE93" w14:textId="77777777" w:rsidR="00126128" w:rsidRDefault="0078150B">
            <w:r>
              <w:t>62</w:t>
            </w:r>
          </w:p>
        </w:tc>
        <w:tc>
          <w:tcPr>
            <w:tcW w:w="805" w:type="dxa"/>
            <w:tcBorders>
              <w:top w:val="nil"/>
              <w:left w:val="nil"/>
              <w:bottom w:val="single" w:sz="4" w:space="0" w:color="000000"/>
              <w:right w:val="single" w:sz="4" w:space="0" w:color="000000"/>
            </w:tcBorders>
            <w:shd w:val="clear" w:color="auto" w:fill="auto"/>
            <w:vAlign w:val="bottom"/>
          </w:tcPr>
          <w:p w14:paraId="0C33D004" w14:textId="77777777" w:rsidR="00126128" w:rsidRDefault="0078150B">
            <w:r>
              <w:t>17</w:t>
            </w:r>
          </w:p>
        </w:tc>
        <w:tc>
          <w:tcPr>
            <w:tcW w:w="1075" w:type="dxa"/>
            <w:tcBorders>
              <w:top w:val="nil"/>
              <w:left w:val="nil"/>
              <w:bottom w:val="single" w:sz="4" w:space="0" w:color="000000"/>
              <w:right w:val="single" w:sz="4" w:space="0" w:color="000000"/>
            </w:tcBorders>
            <w:shd w:val="clear" w:color="auto" w:fill="auto"/>
            <w:vAlign w:val="bottom"/>
          </w:tcPr>
          <w:p w14:paraId="3ABFEF49" w14:textId="77777777" w:rsidR="00126128" w:rsidRDefault="0078150B">
            <w:r>
              <w:t>53</w:t>
            </w:r>
          </w:p>
        </w:tc>
      </w:tr>
      <w:tr w:rsidR="00126128" w14:paraId="3F38B5AC" w14:textId="77777777">
        <w:trPr>
          <w:trHeight w:val="300"/>
        </w:trPr>
        <w:tc>
          <w:tcPr>
            <w:tcW w:w="1268" w:type="dxa"/>
            <w:tcBorders>
              <w:top w:val="nil"/>
              <w:left w:val="single" w:sz="4" w:space="0" w:color="000000"/>
              <w:bottom w:val="single" w:sz="4" w:space="0" w:color="000000"/>
              <w:right w:val="single" w:sz="4" w:space="0" w:color="000000"/>
            </w:tcBorders>
            <w:shd w:val="clear" w:color="auto" w:fill="auto"/>
            <w:vAlign w:val="bottom"/>
          </w:tcPr>
          <w:p w14:paraId="218A10F5" w14:textId="77777777" w:rsidR="00126128" w:rsidRDefault="0078150B">
            <w:pPr>
              <w:rPr>
                <w:b/>
              </w:rPr>
            </w:pPr>
            <w:r>
              <w:rPr>
                <w:b/>
              </w:rPr>
              <w:t>F (36-48)</w:t>
            </w:r>
          </w:p>
        </w:tc>
        <w:tc>
          <w:tcPr>
            <w:tcW w:w="805" w:type="dxa"/>
            <w:tcBorders>
              <w:top w:val="nil"/>
              <w:left w:val="nil"/>
              <w:bottom w:val="single" w:sz="4" w:space="0" w:color="000000"/>
              <w:right w:val="single" w:sz="4" w:space="0" w:color="000000"/>
            </w:tcBorders>
            <w:shd w:val="clear" w:color="auto" w:fill="auto"/>
            <w:vAlign w:val="bottom"/>
          </w:tcPr>
          <w:p w14:paraId="48B93E13" w14:textId="77777777" w:rsidR="00126128" w:rsidRDefault="0078150B">
            <w:r>
              <w:t>2</w:t>
            </w:r>
          </w:p>
        </w:tc>
        <w:tc>
          <w:tcPr>
            <w:tcW w:w="1075" w:type="dxa"/>
            <w:tcBorders>
              <w:top w:val="nil"/>
              <w:left w:val="nil"/>
              <w:bottom w:val="single" w:sz="4" w:space="0" w:color="000000"/>
              <w:right w:val="single" w:sz="4" w:space="0" w:color="000000"/>
            </w:tcBorders>
            <w:shd w:val="clear" w:color="auto" w:fill="auto"/>
            <w:vAlign w:val="bottom"/>
          </w:tcPr>
          <w:p w14:paraId="058F4C27" w14:textId="77777777" w:rsidR="00126128" w:rsidRDefault="0078150B">
            <w:r>
              <w:t>4</w:t>
            </w:r>
          </w:p>
        </w:tc>
        <w:tc>
          <w:tcPr>
            <w:tcW w:w="805" w:type="dxa"/>
            <w:tcBorders>
              <w:top w:val="nil"/>
              <w:left w:val="nil"/>
              <w:bottom w:val="single" w:sz="4" w:space="0" w:color="000000"/>
              <w:right w:val="single" w:sz="4" w:space="0" w:color="000000"/>
            </w:tcBorders>
            <w:shd w:val="clear" w:color="auto" w:fill="auto"/>
            <w:vAlign w:val="bottom"/>
          </w:tcPr>
          <w:p w14:paraId="65692133" w14:textId="77777777" w:rsidR="00126128" w:rsidRDefault="0078150B">
            <w:r>
              <w:t>2</w:t>
            </w:r>
          </w:p>
        </w:tc>
        <w:tc>
          <w:tcPr>
            <w:tcW w:w="1075" w:type="dxa"/>
            <w:tcBorders>
              <w:top w:val="nil"/>
              <w:left w:val="nil"/>
              <w:bottom w:val="single" w:sz="4" w:space="0" w:color="000000"/>
              <w:right w:val="single" w:sz="4" w:space="0" w:color="000000"/>
            </w:tcBorders>
            <w:shd w:val="clear" w:color="auto" w:fill="auto"/>
            <w:vAlign w:val="bottom"/>
          </w:tcPr>
          <w:p w14:paraId="0D2B81BD" w14:textId="77777777" w:rsidR="00126128" w:rsidRDefault="0078150B">
            <w:r>
              <w:t>15</w:t>
            </w:r>
          </w:p>
        </w:tc>
        <w:tc>
          <w:tcPr>
            <w:tcW w:w="805" w:type="dxa"/>
            <w:tcBorders>
              <w:top w:val="nil"/>
              <w:left w:val="nil"/>
              <w:bottom w:val="single" w:sz="4" w:space="0" w:color="000000"/>
              <w:right w:val="single" w:sz="4" w:space="0" w:color="000000"/>
            </w:tcBorders>
            <w:shd w:val="clear" w:color="auto" w:fill="auto"/>
            <w:vAlign w:val="bottom"/>
          </w:tcPr>
          <w:p w14:paraId="591CEBD4" w14:textId="77777777" w:rsidR="00126128" w:rsidRDefault="0078150B">
            <w:r>
              <w:t>0</w:t>
            </w:r>
          </w:p>
        </w:tc>
        <w:tc>
          <w:tcPr>
            <w:tcW w:w="1075" w:type="dxa"/>
            <w:tcBorders>
              <w:top w:val="nil"/>
              <w:left w:val="nil"/>
              <w:bottom w:val="single" w:sz="4" w:space="0" w:color="000000"/>
              <w:right w:val="single" w:sz="4" w:space="0" w:color="000000"/>
            </w:tcBorders>
            <w:shd w:val="clear" w:color="auto" w:fill="auto"/>
            <w:vAlign w:val="bottom"/>
          </w:tcPr>
          <w:p w14:paraId="458FF863" w14:textId="77777777" w:rsidR="00126128" w:rsidRDefault="0078150B">
            <w:r>
              <w:t>0</w:t>
            </w:r>
          </w:p>
        </w:tc>
      </w:tr>
      <w:tr w:rsidR="00126128" w14:paraId="45FBBD1C" w14:textId="77777777">
        <w:trPr>
          <w:trHeight w:val="300"/>
        </w:trPr>
        <w:tc>
          <w:tcPr>
            <w:tcW w:w="1268" w:type="dxa"/>
            <w:tcBorders>
              <w:top w:val="nil"/>
              <w:left w:val="single" w:sz="4" w:space="0" w:color="000000"/>
              <w:bottom w:val="single" w:sz="4" w:space="0" w:color="000000"/>
              <w:right w:val="single" w:sz="4" w:space="0" w:color="000000"/>
            </w:tcBorders>
            <w:shd w:val="clear" w:color="auto" w:fill="auto"/>
            <w:vAlign w:val="bottom"/>
          </w:tcPr>
          <w:p w14:paraId="7D9E5ACD" w14:textId="77777777" w:rsidR="00126128" w:rsidRDefault="0078150B">
            <w:pPr>
              <w:rPr>
                <w:b/>
              </w:rPr>
            </w:pPr>
            <w:r>
              <w:rPr>
                <w:b/>
              </w:rPr>
              <w:t>G (48+)</w:t>
            </w:r>
          </w:p>
        </w:tc>
        <w:tc>
          <w:tcPr>
            <w:tcW w:w="805" w:type="dxa"/>
            <w:tcBorders>
              <w:top w:val="nil"/>
              <w:left w:val="nil"/>
              <w:bottom w:val="single" w:sz="4" w:space="0" w:color="000000"/>
              <w:right w:val="single" w:sz="4" w:space="0" w:color="000000"/>
            </w:tcBorders>
            <w:shd w:val="clear" w:color="auto" w:fill="auto"/>
            <w:vAlign w:val="bottom"/>
          </w:tcPr>
          <w:p w14:paraId="3F0E6A13" w14:textId="77777777" w:rsidR="00126128" w:rsidRDefault="0078150B">
            <w:r>
              <w:t>3</w:t>
            </w:r>
          </w:p>
        </w:tc>
        <w:tc>
          <w:tcPr>
            <w:tcW w:w="1075" w:type="dxa"/>
            <w:tcBorders>
              <w:top w:val="nil"/>
              <w:left w:val="nil"/>
              <w:bottom w:val="single" w:sz="4" w:space="0" w:color="000000"/>
              <w:right w:val="single" w:sz="4" w:space="0" w:color="000000"/>
            </w:tcBorders>
            <w:shd w:val="clear" w:color="auto" w:fill="auto"/>
            <w:vAlign w:val="bottom"/>
          </w:tcPr>
          <w:p w14:paraId="270841A2" w14:textId="77777777" w:rsidR="00126128" w:rsidRDefault="0078150B">
            <w:r>
              <w:t>7</w:t>
            </w:r>
          </w:p>
        </w:tc>
        <w:tc>
          <w:tcPr>
            <w:tcW w:w="805" w:type="dxa"/>
            <w:tcBorders>
              <w:top w:val="nil"/>
              <w:left w:val="nil"/>
              <w:bottom w:val="single" w:sz="4" w:space="0" w:color="000000"/>
              <w:right w:val="single" w:sz="4" w:space="0" w:color="000000"/>
            </w:tcBorders>
            <w:shd w:val="clear" w:color="auto" w:fill="auto"/>
            <w:vAlign w:val="bottom"/>
          </w:tcPr>
          <w:p w14:paraId="02CA9875" w14:textId="77777777" w:rsidR="00126128" w:rsidRDefault="0078150B">
            <w:r>
              <w:t>0</w:t>
            </w:r>
          </w:p>
        </w:tc>
        <w:tc>
          <w:tcPr>
            <w:tcW w:w="1075" w:type="dxa"/>
            <w:tcBorders>
              <w:top w:val="nil"/>
              <w:left w:val="nil"/>
              <w:bottom w:val="single" w:sz="4" w:space="0" w:color="000000"/>
              <w:right w:val="single" w:sz="4" w:space="0" w:color="000000"/>
            </w:tcBorders>
            <w:shd w:val="clear" w:color="auto" w:fill="auto"/>
            <w:vAlign w:val="bottom"/>
          </w:tcPr>
          <w:p w14:paraId="31476140" w14:textId="77777777" w:rsidR="00126128" w:rsidRDefault="0078150B">
            <w:r>
              <w:t>0</w:t>
            </w:r>
          </w:p>
        </w:tc>
        <w:tc>
          <w:tcPr>
            <w:tcW w:w="805" w:type="dxa"/>
            <w:tcBorders>
              <w:top w:val="nil"/>
              <w:left w:val="nil"/>
              <w:bottom w:val="single" w:sz="4" w:space="0" w:color="000000"/>
              <w:right w:val="single" w:sz="4" w:space="0" w:color="000000"/>
            </w:tcBorders>
            <w:shd w:val="clear" w:color="auto" w:fill="auto"/>
            <w:vAlign w:val="bottom"/>
          </w:tcPr>
          <w:p w14:paraId="1A6A9631" w14:textId="77777777" w:rsidR="00126128" w:rsidRDefault="0078150B">
            <w:r>
              <w:t>3</w:t>
            </w:r>
          </w:p>
        </w:tc>
        <w:tc>
          <w:tcPr>
            <w:tcW w:w="1075" w:type="dxa"/>
            <w:tcBorders>
              <w:top w:val="nil"/>
              <w:left w:val="nil"/>
              <w:bottom w:val="single" w:sz="4" w:space="0" w:color="000000"/>
              <w:right w:val="single" w:sz="4" w:space="0" w:color="000000"/>
            </w:tcBorders>
            <w:shd w:val="clear" w:color="auto" w:fill="auto"/>
            <w:vAlign w:val="bottom"/>
          </w:tcPr>
          <w:p w14:paraId="06109A4A" w14:textId="77777777" w:rsidR="00126128" w:rsidRDefault="0078150B">
            <w:r>
              <w:t>9</w:t>
            </w:r>
          </w:p>
        </w:tc>
      </w:tr>
      <w:tr w:rsidR="00126128" w14:paraId="6BE6D442" w14:textId="77777777">
        <w:trPr>
          <w:trHeight w:val="300"/>
        </w:trPr>
        <w:tc>
          <w:tcPr>
            <w:tcW w:w="1268" w:type="dxa"/>
            <w:tcBorders>
              <w:top w:val="nil"/>
              <w:left w:val="single" w:sz="4" w:space="0" w:color="000000"/>
              <w:bottom w:val="single" w:sz="4" w:space="0" w:color="000000"/>
              <w:right w:val="single" w:sz="4" w:space="0" w:color="000000"/>
            </w:tcBorders>
            <w:shd w:val="clear" w:color="auto" w:fill="auto"/>
            <w:vAlign w:val="bottom"/>
          </w:tcPr>
          <w:p w14:paraId="6592A5CC" w14:textId="77777777" w:rsidR="00126128" w:rsidRDefault="0078150B">
            <w:pPr>
              <w:rPr>
                <w:b/>
              </w:rPr>
            </w:pPr>
            <w:r>
              <w:rPr>
                <w:b/>
              </w:rPr>
              <w:t>Total</w:t>
            </w:r>
          </w:p>
        </w:tc>
        <w:tc>
          <w:tcPr>
            <w:tcW w:w="805" w:type="dxa"/>
            <w:tcBorders>
              <w:top w:val="nil"/>
              <w:left w:val="nil"/>
              <w:bottom w:val="single" w:sz="4" w:space="0" w:color="000000"/>
              <w:right w:val="single" w:sz="4" w:space="0" w:color="000000"/>
            </w:tcBorders>
            <w:shd w:val="clear" w:color="auto" w:fill="auto"/>
            <w:vAlign w:val="bottom"/>
          </w:tcPr>
          <w:p w14:paraId="45EF8004" w14:textId="77777777" w:rsidR="00126128" w:rsidRDefault="0078150B">
            <w:pPr>
              <w:rPr>
                <w:b/>
              </w:rPr>
            </w:pPr>
            <w:r>
              <w:rPr>
                <w:b/>
              </w:rPr>
              <w:t>45</w:t>
            </w:r>
          </w:p>
        </w:tc>
        <w:tc>
          <w:tcPr>
            <w:tcW w:w="1075" w:type="dxa"/>
            <w:tcBorders>
              <w:top w:val="nil"/>
              <w:left w:val="nil"/>
              <w:bottom w:val="single" w:sz="4" w:space="0" w:color="000000"/>
              <w:right w:val="single" w:sz="4" w:space="0" w:color="000000"/>
            </w:tcBorders>
            <w:shd w:val="clear" w:color="auto" w:fill="auto"/>
            <w:vAlign w:val="bottom"/>
          </w:tcPr>
          <w:p w14:paraId="100EEB6E" w14:textId="77777777" w:rsidR="00126128" w:rsidRDefault="0078150B">
            <w:pPr>
              <w:rPr>
                <w:b/>
              </w:rPr>
            </w:pPr>
            <w:r>
              <w:rPr>
                <w:b/>
              </w:rPr>
              <w:t>100</w:t>
            </w:r>
          </w:p>
        </w:tc>
        <w:tc>
          <w:tcPr>
            <w:tcW w:w="805" w:type="dxa"/>
            <w:tcBorders>
              <w:top w:val="nil"/>
              <w:left w:val="nil"/>
              <w:bottom w:val="single" w:sz="4" w:space="0" w:color="000000"/>
              <w:right w:val="single" w:sz="4" w:space="0" w:color="000000"/>
            </w:tcBorders>
            <w:shd w:val="clear" w:color="auto" w:fill="auto"/>
            <w:vAlign w:val="bottom"/>
          </w:tcPr>
          <w:p w14:paraId="276A8380" w14:textId="77777777" w:rsidR="00126128" w:rsidRDefault="0078150B">
            <w:pPr>
              <w:rPr>
                <w:b/>
              </w:rPr>
            </w:pPr>
            <w:r>
              <w:rPr>
                <w:b/>
              </w:rPr>
              <w:t>13</w:t>
            </w:r>
          </w:p>
        </w:tc>
        <w:tc>
          <w:tcPr>
            <w:tcW w:w="1075" w:type="dxa"/>
            <w:tcBorders>
              <w:top w:val="nil"/>
              <w:left w:val="nil"/>
              <w:bottom w:val="single" w:sz="4" w:space="0" w:color="000000"/>
              <w:right w:val="single" w:sz="4" w:space="0" w:color="000000"/>
            </w:tcBorders>
            <w:shd w:val="clear" w:color="auto" w:fill="auto"/>
            <w:vAlign w:val="bottom"/>
          </w:tcPr>
          <w:p w14:paraId="3C43833E" w14:textId="77777777" w:rsidR="00126128" w:rsidRDefault="0078150B">
            <w:pPr>
              <w:rPr>
                <w:b/>
              </w:rPr>
            </w:pPr>
            <w:r>
              <w:rPr>
                <w:b/>
              </w:rPr>
              <w:t>100</w:t>
            </w:r>
          </w:p>
        </w:tc>
        <w:tc>
          <w:tcPr>
            <w:tcW w:w="805" w:type="dxa"/>
            <w:tcBorders>
              <w:top w:val="nil"/>
              <w:left w:val="nil"/>
              <w:bottom w:val="single" w:sz="4" w:space="0" w:color="000000"/>
              <w:right w:val="single" w:sz="4" w:space="0" w:color="000000"/>
            </w:tcBorders>
            <w:shd w:val="clear" w:color="auto" w:fill="auto"/>
            <w:vAlign w:val="bottom"/>
          </w:tcPr>
          <w:p w14:paraId="050EAEC7" w14:textId="77777777" w:rsidR="00126128" w:rsidRDefault="0078150B">
            <w:pPr>
              <w:rPr>
                <w:b/>
              </w:rPr>
            </w:pPr>
            <w:r>
              <w:rPr>
                <w:b/>
              </w:rPr>
              <w:t>32</w:t>
            </w:r>
          </w:p>
        </w:tc>
        <w:tc>
          <w:tcPr>
            <w:tcW w:w="1075" w:type="dxa"/>
            <w:tcBorders>
              <w:top w:val="nil"/>
              <w:left w:val="nil"/>
              <w:bottom w:val="single" w:sz="4" w:space="0" w:color="000000"/>
              <w:right w:val="single" w:sz="4" w:space="0" w:color="000000"/>
            </w:tcBorders>
            <w:shd w:val="clear" w:color="auto" w:fill="auto"/>
            <w:vAlign w:val="bottom"/>
          </w:tcPr>
          <w:p w14:paraId="1F53C630" w14:textId="77777777" w:rsidR="00126128" w:rsidRDefault="0078150B">
            <w:pPr>
              <w:rPr>
                <w:b/>
              </w:rPr>
            </w:pPr>
            <w:r>
              <w:rPr>
                <w:b/>
              </w:rPr>
              <w:t>100</w:t>
            </w:r>
          </w:p>
        </w:tc>
      </w:tr>
      <w:tr w:rsidR="00126128" w14:paraId="212DC3F5" w14:textId="77777777">
        <w:trPr>
          <w:trHeight w:val="300"/>
        </w:trPr>
        <w:tc>
          <w:tcPr>
            <w:tcW w:w="1268" w:type="dxa"/>
            <w:vMerge w:val="restart"/>
            <w:tcBorders>
              <w:top w:val="nil"/>
              <w:left w:val="single" w:sz="4" w:space="0" w:color="000000"/>
              <w:bottom w:val="single" w:sz="4" w:space="0" w:color="000000"/>
              <w:right w:val="single" w:sz="4" w:space="0" w:color="000000"/>
            </w:tcBorders>
            <w:shd w:val="clear" w:color="auto" w:fill="E7E6E6"/>
            <w:vAlign w:val="center"/>
          </w:tcPr>
          <w:p w14:paraId="1169EA5B" w14:textId="77777777" w:rsidR="00126128" w:rsidRDefault="0078150B">
            <w:pPr>
              <w:rPr>
                <w:b/>
              </w:rPr>
            </w:pPr>
            <w:r>
              <w:rPr>
                <w:b/>
              </w:rPr>
              <w:t>MNI</w:t>
            </w:r>
          </w:p>
        </w:tc>
        <w:tc>
          <w:tcPr>
            <w:tcW w:w="1880" w:type="dxa"/>
            <w:gridSpan w:val="2"/>
            <w:tcBorders>
              <w:top w:val="single" w:sz="4" w:space="0" w:color="000000"/>
              <w:left w:val="nil"/>
              <w:bottom w:val="single" w:sz="4" w:space="0" w:color="000000"/>
              <w:right w:val="single" w:sz="4" w:space="0" w:color="000000"/>
            </w:tcBorders>
            <w:shd w:val="clear" w:color="auto" w:fill="E7E6E6"/>
            <w:vAlign w:val="center"/>
          </w:tcPr>
          <w:p w14:paraId="27505AA2" w14:textId="77777777" w:rsidR="00126128" w:rsidRDefault="0078150B">
            <w:pPr>
              <w:rPr>
                <w:b/>
              </w:rPr>
            </w:pPr>
            <w:r>
              <w:rPr>
                <w:b/>
              </w:rPr>
              <w:t>ALL BANKSIDE</w:t>
            </w:r>
          </w:p>
        </w:tc>
        <w:tc>
          <w:tcPr>
            <w:tcW w:w="1880" w:type="dxa"/>
            <w:gridSpan w:val="2"/>
            <w:tcBorders>
              <w:top w:val="single" w:sz="4" w:space="0" w:color="000000"/>
              <w:left w:val="nil"/>
              <w:bottom w:val="single" w:sz="4" w:space="0" w:color="000000"/>
              <w:right w:val="single" w:sz="4" w:space="0" w:color="000000"/>
            </w:tcBorders>
            <w:shd w:val="clear" w:color="auto" w:fill="E7E6E6"/>
            <w:vAlign w:val="bottom"/>
          </w:tcPr>
          <w:p w14:paraId="50B1CDD2" w14:textId="77777777" w:rsidR="00126128" w:rsidRDefault="0078150B">
            <w:pPr>
              <w:rPr>
                <w:b/>
              </w:rPr>
            </w:pPr>
            <w:r>
              <w:rPr>
                <w:b/>
              </w:rPr>
              <w:t>PLAYHOUSES</w:t>
            </w:r>
          </w:p>
        </w:tc>
        <w:tc>
          <w:tcPr>
            <w:tcW w:w="1880" w:type="dxa"/>
            <w:gridSpan w:val="2"/>
            <w:tcBorders>
              <w:top w:val="single" w:sz="4" w:space="0" w:color="000000"/>
              <w:left w:val="nil"/>
              <w:bottom w:val="single" w:sz="4" w:space="0" w:color="000000"/>
              <w:right w:val="single" w:sz="4" w:space="0" w:color="000000"/>
            </w:tcBorders>
            <w:shd w:val="clear" w:color="auto" w:fill="E7E6E6"/>
            <w:vAlign w:val="bottom"/>
          </w:tcPr>
          <w:p w14:paraId="5031CA61" w14:textId="77777777" w:rsidR="00126128" w:rsidRDefault="0078150B">
            <w:pPr>
              <w:rPr>
                <w:b/>
              </w:rPr>
            </w:pPr>
            <w:r>
              <w:rPr>
                <w:b/>
              </w:rPr>
              <w:t>BEAR GARDENS</w:t>
            </w:r>
          </w:p>
        </w:tc>
      </w:tr>
      <w:tr w:rsidR="00126128" w14:paraId="04044542" w14:textId="77777777">
        <w:trPr>
          <w:trHeight w:val="300"/>
        </w:trPr>
        <w:tc>
          <w:tcPr>
            <w:tcW w:w="1268" w:type="dxa"/>
            <w:vMerge/>
            <w:tcBorders>
              <w:top w:val="nil"/>
              <w:left w:val="single" w:sz="4" w:space="0" w:color="000000"/>
              <w:bottom w:val="single" w:sz="4" w:space="0" w:color="000000"/>
              <w:right w:val="single" w:sz="4" w:space="0" w:color="000000"/>
            </w:tcBorders>
            <w:shd w:val="clear" w:color="auto" w:fill="E7E6E6"/>
            <w:vAlign w:val="center"/>
          </w:tcPr>
          <w:p w14:paraId="73C343E0" w14:textId="77777777" w:rsidR="00126128" w:rsidRDefault="00126128">
            <w:pPr>
              <w:widowControl w:val="0"/>
              <w:pBdr>
                <w:top w:val="nil"/>
                <w:left w:val="nil"/>
                <w:bottom w:val="nil"/>
                <w:right w:val="nil"/>
                <w:between w:val="nil"/>
              </w:pBdr>
              <w:rPr>
                <w:b/>
              </w:rPr>
            </w:pPr>
          </w:p>
        </w:tc>
        <w:tc>
          <w:tcPr>
            <w:tcW w:w="805" w:type="dxa"/>
            <w:tcBorders>
              <w:top w:val="nil"/>
              <w:left w:val="nil"/>
              <w:bottom w:val="single" w:sz="4" w:space="0" w:color="000000"/>
              <w:right w:val="single" w:sz="4" w:space="0" w:color="000000"/>
            </w:tcBorders>
            <w:shd w:val="clear" w:color="auto" w:fill="E7E6E6"/>
            <w:vAlign w:val="bottom"/>
          </w:tcPr>
          <w:p w14:paraId="250FD938" w14:textId="77777777" w:rsidR="00126128" w:rsidRDefault="0078150B">
            <w:pPr>
              <w:rPr>
                <w:b/>
              </w:rPr>
            </w:pPr>
            <w:r>
              <w:rPr>
                <w:b/>
              </w:rPr>
              <w:t>MNI</w:t>
            </w:r>
          </w:p>
        </w:tc>
        <w:tc>
          <w:tcPr>
            <w:tcW w:w="1075" w:type="dxa"/>
            <w:tcBorders>
              <w:top w:val="nil"/>
              <w:left w:val="nil"/>
              <w:bottom w:val="single" w:sz="4" w:space="0" w:color="000000"/>
              <w:right w:val="single" w:sz="4" w:space="0" w:color="000000"/>
            </w:tcBorders>
            <w:shd w:val="clear" w:color="auto" w:fill="E7E6E6"/>
            <w:vAlign w:val="bottom"/>
          </w:tcPr>
          <w:p w14:paraId="6C0D0219" w14:textId="77777777" w:rsidR="00126128" w:rsidRDefault="0078150B">
            <w:pPr>
              <w:rPr>
                <w:b/>
              </w:rPr>
            </w:pPr>
            <w:r>
              <w:rPr>
                <w:b/>
              </w:rPr>
              <w:t>%MNI</w:t>
            </w:r>
          </w:p>
        </w:tc>
        <w:tc>
          <w:tcPr>
            <w:tcW w:w="805" w:type="dxa"/>
            <w:tcBorders>
              <w:top w:val="nil"/>
              <w:left w:val="nil"/>
              <w:bottom w:val="single" w:sz="4" w:space="0" w:color="000000"/>
              <w:right w:val="single" w:sz="4" w:space="0" w:color="000000"/>
            </w:tcBorders>
            <w:shd w:val="clear" w:color="auto" w:fill="E7E6E6"/>
            <w:vAlign w:val="bottom"/>
          </w:tcPr>
          <w:p w14:paraId="4A16613B" w14:textId="77777777" w:rsidR="00126128" w:rsidRDefault="0078150B">
            <w:pPr>
              <w:rPr>
                <w:b/>
              </w:rPr>
            </w:pPr>
            <w:r>
              <w:rPr>
                <w:b/>
              </w:rPr>
              <w:t>MNI</w:t>
            </w:r>
          </w:p>
        </w:tc>
        <w:tc>
          <w:tcPr>
            <w:tcW w:w="1075" w:type="dxa"/>
            <w:tcBorders>
              <w:top w:val="nil"/>
              <w:left w:val="nil"/>
              <w:bottom w:val="single" w:sz="4" w:space="0" w:color="000000"/>
              <w:right w:val="single" w:sz="4" w:space="0" w:color="000000"/>
            </w:tcBorders>
            <w:shd w:val="clear" w:color="auto" w:fill="E7E6E6"/>
            <w:vAlign w:val="bottom"/>
          </w:tcPr>
          <w:p w14:paraId="579D00DB" w14:textId="77777777" w:rsidR="00126128" w:rsidRDefault="0078150B">
            <w:pPr>
              <w:rPr>
                <w:b/>
              </w:rPr>
            </w:pPr>
            <w:r>
              <w:rPr>
                <w:b/>
              </w:rPr>
              <w:t>%MNI</w:t>
            </w:r>
          </w:p>
        </w:tc>
        <w:tc>
          <w:tcPr>
            <w:tcW w:w="805" w:type="dxa"/>
            <w:tcBorders>
              <w:top w:val="nil"/>
              <w:left w:val="nil"/>
              <w:bottom w:val="single" w:sz="4" w:space="0" w:color="000000"/>
              <w:right w:val="single" w:sz="4" w:space="0" w:color="000000"/>
            </w:tcBorders>
            <w:shd w:val="clear" w:color="auto" w:fill="E7E6E6"/>
            <w:vAlign w:val="bottom"/>
          </w:tcPr>
          <w:p w14:paraId="3D36A507" w14:textId="77777777" w:rsidR="00126128" w:rsidRDefault="0078150B">
            <w:pPr>
              <w:rPr>
                <w:b/>
              </w:rPr>
            </w:pPr>
            <w:r>
              <w:rPr>
                <w:b/>
              </w:rPr>
              <w:t>MNI</w:t>
            </w:r>
          </w:p>
        </w:tc>
        <w:tc>
          <w:tcPr>
            <w:tcW w:w="1075" w:type="dxa"/>
            <w:tcBorders>
              <w:top w:val="nil"/>
              <w:left w:val="nil"/>
              <w:bottom w:val="single" w:sz="4" w:space="0" w:color="000000"/>
              <w:right w:val="single" w:sz="4" w:space="0" w:color="000000"/>
            </w:tcBorders>
            <w:shd w:val="clear" w:color="auto" w:fill="E7E6E6"/>
            <w:vAlign w:val="bottom"/>
          </w:tcPr>
          <w:p w14:paraId="7465E4B7" w14:textId="77777777" w:rsidR="00126128" w:rsidRDefault="0078150B">
            <w:pPr>
              <w:rPr>
                <w:b/>
              </w:rPr>
            </w:pPr>
            <w:r>
              <w:rPr>
                <w:b/>
              </w:rPr>
              <w:t>%MNI</w:t>
            </w:r>
          </w:p>
        </w:tc>
      </w:tr>
      <w:tr w:rsidR="00126128" w14:paraId="0744DC27" w14:textId="77777777">
        <w:trPr>
          <w:trHeight w:val="300"/>
        </w:trPr>
        <w:tc>
          <w:tcPr>
            <w:tcW w:w="1268" w:type="dxa"/>
            <w:tcBorders>
              <w:top w:val="nil"/>
              <w:left w:val="single" w:sz="4" w:space="0" w:color="000000"/>
              <w:bottom w:val="single" w:sz="4" w:space="0" w:color="000000"/>
              <w:right w:val="single" w:sz="4" w:space="0" w:color="000000"/>
            </w:tcBorders>
            <w:shd w:val="clear" w:color="auto" w:fill="auto"/>
            <w:vAlign w:val="bottom"/>
          </w:tcPr>
          <w:p w14:paraId="32E1A35C" w14:textId="77777777" w:rsidR="00126128" w:rsidRDefault="0078150B">
            <w:pPr>
              <w:rPr>
                <w:b/>
              </w:rPr>
            </w:pPr>
            <w:r>
              <w:rPr>
                <w:b/>
              </w:rPr>
              <w:t>A (6-24)</w:t>
            </w:r>
          </w:p>
        </w:tc>
        <w:tc>
          <w:tcPr>
            <w:tcW w:w="805" w:type="dxa"/>
            <w:tcBorders>
              <w:top w:val="nil"/>
              <w:left w:val="nil"/>
              <w:bottom w:val="single" w:sz="4" w:space="0" w:color="000000"/>
              <w:right w:val="single" w:sz="4" w:space="0" w:color="000000"/>
            </w:tcBorders>
            <w:shd w:val="clear" w:color="auto" w:fill="auto"/>
            <w:vAlign w:val="bottom"/>
          </w:tcPr>
          <w:p w14:paraId="1544C49C" w14:textId="77777777" w:rsidR="00126128" w:rsidRDefault="0078150B">
            <w:r>
              <w:t> </w:t>
            </w:r>
          </w:p>
        </w:tc>
        <w:tc>
          <w:tcPr>
            <w:tcW w:w="1075" w:type="dxa"/>
            <w:tcBorders>
              <w:top w:val="nil"/>
              <w:left w:val="nil"/>
              <w:bottom w:val="single" w:sz="4" w:space="0" w:color="000000"/>
              <w:right w:val="single" w:sz="4" w:space="0" w:color="000000"/>
            </w:tcBorders>
            <w:shd w:val="clear" w:color="auto" w:fill="auto"/>
            <w:vAlign w:val="bottom"/>
          </w:tcPr>
          <w:p w14:paraId="0A375364" w14:textId="77777777" w:rsidR="00126128" w:rsidRDefault="0078150B">
            <w:r>
              <w:t>0</w:t>
            </w:r>
          </w:p>
        </w:tc>
        <w:tc>
          <w:tcPr>
            <w:tcW w:w="805" w:type="dxa"/>
            <w:tcBorders>
              <w:top w:val="nil"/>
              <w:left w:val="nil"/>
              <w:bottom w:val="single" w:sz="4" w:space="0" w:color="000000"/>
              <w:right w:val="single" w:sz="4" w:space="0" w:color="000000"/>
            </w:tcBorders>
            <w:shd w:val="clear" w:color="auto" w:fill="auto"/>
            <w:vAlign w:val="bottom"/>
          </w:tcPr>
          <w:p w14:paraId="0786D815" w14:textId="77777777" w:rsidR="00126128" w:rsidRDefault="0078150B">
            <w:r>
              <w:t>0</w:t>
            </w:r>
          </w:p>
        </w:tc>
        <w:tc>
          <w:tcPr>
            <w:tcW w:w="1075" w:type="dxa"/>
            <w:tcBorders>
              <w:top w:val="nil"/>
              <w:left w:val="nil"/>
              <w:bottom w:val="single" w:sz="4" w:space="0" w:color="000000"/>
              <w:right w:val="single" w:sz="4" w:space="0" w:color="000000"/>
            </w:tcBorders>
            <w:shd w:val="clear" w:color="auto" w:fill="auto"/>
            <w:vAlign w:val="bottom"/>
          </w:tcPr>
          <w:p w14:paraId="5B1C4C4F" w14:textId="77777777" w:rsidR="00126128" w:rsidRDefault="0078150B">
            <w:r>
              <w:t>0</w:t>
            </w:r>
          </w:p>
        </w:tc>
        <w:tc>
          <w:tcPr>
            <w:tcW w:w="805" w:type="dxa"/>
            <w:tcBorders>
              <w:top w:val="nil"/>
              <w:left w:val="nil"/>
              <w:bottom w:val="single" w:sz="4" w:space="0" w:color="000000"/>
              <w:right w:val="single" w:sz="4" w:space="0" w:color="000000"/>
            </w:tcBorders>
            <w:shd w:val="clear" w:color="auto" w:fill="auto"/>
            <w:vAlign w:val="bottom"/>
          </w:tcPr>
          <w:p w14:paraId="67A852C1" w14:textId="77777777" w:rsidR="00126128" w:rsidRDefault="0078150B">
            <w:r>
              <w:t>0</w:t>
            </w:r>
          </w:p>
        </w:tc>
        <w:tc>
          <w:tcPr>
            <w:tcW w:w="1075" w:type="dxa"/>
            <w:tcBorders>
              <w:top w:val="nil"/>
              <w:left w:val="nil"/>
              <w:bottom w:val="single" w:sz="4" w:space="0" w:color="000000"/>
              <w:right w:val="single" w:sz="4" w:space="0" w:color="000000"/>
            </w:tcBorders>
            <w:shd w:val="clear" w:color="auto" w:fill="auto"/>
            <w:vAlign w:val="bottom"/>
          </w:tcPr>
          <w:p w14:paraId="3F7BB112" w14:textId="77777777" w:rsidR="00126128" w:rsidRDefault="0078150B">
            <w:r>
              <w:t>0</w:t>
            </w:r>
          </w:p>
        </w:tc>
      </w:tr>
      <w:tr w:rsidR="00126128" w14:paraId="064CAF2C" w14:textId="77777777">
        <w:trPr>
          <w:trHeight w:val="300"/>
        </w:trPr>
        <w:tc>
          <w:tcPr>
            <w:tcW w:w="1268" w:type="dxa"/>
            <w:tcBorders>
              <w:top w:val="nil"/>
              <w:left w:val="single" w:sz="4" w:space="0" w:color="000000"/>
              <w:bottom w:val="single" w:sz="4" w:space="0" w:color="000000"/>
              <w:right w:val="single" w:sz="4" w:space="0" w:color="000000"/>
            </w:tcBorders>
            <w:shd w:val="clear" w:color="auto" w:fill="auto"/>
            <w:vAlign w:val="bottom"/>
          </w:tcPr>
          <w:p w14:paraId="77BE8B1F" w14:textId="77777777" w:rsidR="00126128" w:rsidRDefault="0078150B">
            <w:pPr>
              <w:rPr>
                <w:b/>
              </w:rPr>
            </w:pPr>
            <w:r>
              <w:rPr>
                <w:b/>
              </w:rPr>
              <w:t>B (6-24)</w:t>
            </w:r>
          </w:p>
        </w:tc>
        <w:tc>
          <w:tcPr>
            <w:tcW w:w="805" w:type="dxa"/>
            <w:tcBorders>
              <w:top w:val="nil"/>
              <w:left w:val="nil"/>
              <w:bottom w:val="single" w:sz="4" w:space="0" w:color="000000"/>
              <w:right w:val="single" w:sz="4" w:space="0" w:color="000000"/>
            </w:tcBorders>
            <w:shd w:val="clear" w:color="auto" w:fill="auto"/>
            <w:vAlign w:val="bottom"/>
          </w:tcPr>
          <w:p w14:paraId="63EC24FD" w14:textId="77777777" w:rsidR="00126128" w:rsidRDefault="0078150B">
            <w:r>
              <w:t>1</w:t>
            </w:r>
          </w:p>
        </w:tc>
        <w:tc>
          <w:tcPr>
            <w:tcW w:w="1075" w:type="dxa"/>
            <w:tcBorders>
              <w:top w:val="nil"/>
              <w:left w:val="nil"/>
              <w:bottom w:val="single" w:sz="4" w:space="0" w:color="000000"/>
              <w:right w:val="single" w:sz="4" w:space="0" w:color="000000"/>
            </w:tcBorders>
            <w:shd w:val="clear" w:color="auto" w:fill="auto"/>
            <w:vAlign w:val="bottom"/>
          </w:tcPr>
          <w:p w14:paraId="7553DA25" w14:textId="77777777" w:rsidR="00126128" w:rsidRDefault="0078150B">
            <w:r>
              <w:t>3</w:t>
            </w:r>
          </w:p>
        </w:tc>
        <w:tc>
          <w:tcPr>
            <w:tcW w:w="805" w:type="dxa"/>
            <w:tcBorders>
              <w:top w:val="nil"/>
              <w:left w:val="nil"/>
              <w:bottom w:val="single" w:sz="4" w:space="0" w:color="000000"/>
              <w:right w:val="single" w:sz="4" w:space="0" w:color="000000"/>
            </w:tcBorders>
            <w:shd w:val="clear" w:color="auto" w:fill="auto"/>
            <w:vAlign w:val="bottom"/>
          </w:tcPr>
          <w:p w14:paraId="2CE4AE49" w14:textId="77777777" w:rsidR="00126128" w:rsidRDefault="0078150B">
            <w:r>
              <w:t>0</w:t>
            </w:r>
          </w:p>
        </w:tc>
        <w:tc>
          <w:tcPr>
            <w:tcW w:w="1075" w:type="dxa"/>
            <w:tcBorders>
              <w:top w:val="nil"/>
              <w:left w:val="nil"/>
              <w:bottom w:val="single" w:sz="4" w:space="0" w:color="000000"/>
              <w:right w:val="single" w:sz="4" w:space="0" w:color="000000"/>
            </w:tcBorders>
            <w:shd w:val="clear" w:color="auto" w:fill="auto"/>
            <w:vAlign w:val="bottom"/>
          </w:tcPr>
          <w:p w14:paraId="5BFEEF46" w14:textId="77777777" w:rsidR="00126128" w:rsidRDefault="0078150B">
            <w:r>
              <w:t>0</w:t>
            </w:r>
          </w:p>
        </w:tc>
        <w:tc>
          <w:tcPr>
            <w:tcW w:w="805" w:type="dxa"/>
            <w:tcBorders>
              <w:top w:val="nil"/>
              <w:left w:val="nil"/>
              <w:bottom w:val="single" w:sz="4" w:space="0" w:color="000000"/>
              <w:right w:val="single" w:sz="4" w:space="0" w:color="000000"/>
            </w:tcBorders>
            <w:shd w:val="clear" w:color="auto" w:fill="auto"/>
            <w:vAlign w:val="bottom"/>
          </w:tcPr>
          <w:p w14:paraId="5E2E3894" w14:textId="77777777" w:rsidR="00126128" w:rsidRDefault="0078150B">
            <w:r>
              <w:t>1</w:t>
            </w:r>
          </w:p>
        </w:tc>
        <w:tc>
          <w:tcPr>
            <w:tcW w:w="1075" w:type="dxa"/>
            <w:tcBorders>
              <w:top w:val="nil"/>
              <w:left w:val="nil"/>
              <w:bottom w:val="single" w:sz="4" w:space="0" w:color="000000"/>
              <w:right w:val="single" w:sz="4" w:space="0" w:color="000000"/>
            </w:tcBorders>
            <w:shd w:val="clear" w:color="auto" w:fill="auto"/>
            <w:vAlign w:val="bottom"/>
          </w:tcPr>
          <w:p w14:paraId="2E3D720A" w14:textId="77777777" w:rsidR="00126128" w:rsidRDefault="0078150B">
            <w:r>
              <w:t>5</w:t>
            </w:r>
          </w:p>
        </w:tc>
      </w:tr>
      <w:tr w:rsidR="00126128" w14:paraId="019A76B0" w14:textId="77777777">
        <w:trPr>
          <w:trHeight w:val="300"/>
        </w:trPr>
        <w:tc>
          <w:tcPr>
            <w:tcW w:w="1268" w:type="dxa"/>
            <w:tcBorders>
              <w:top w:val="nil"/>
              <w:left w:val="single" w:sz="4" w:space="0" w:color="000000"/>
              <w:bottom w:val="single" w:sz="4" w:space="0" w:color="000000"/>
              <w:right w:val="single" w:sz="4" w:space="0" w:color="000000"/>
            </w:tcBorders>
            <w:shd w:val="clear" w:color="auto" w:fill="auto"/>
            <w:vAlign w:val="bottom"/>
          </w:tcPr>
          <w:p w14:paraId="46E8CDAD" w14:textId="77777777" w:rsidR="00126128" w:rsidRDefault="0078150B">
            <w:pPr>
              <w:rPr>
                <w:b/>
              </w:rPr>
            </w:pPr>
            <w:r>
              <w:rPr>
                <w:b/>
              </w:rPr>
              <w:t>C (6-36)</w:t>
            </w:r>
          </w:p>
        </w:tc>
        <w:tc>
          <w:tcPr>
            <w:tcW w:w="805" w:type="dxa"/>
            <w:tcBorders>
              <w:top w:val="nil"/>
              <w:left w:val="nil"/>
              <w:bottom w:val="single" w:sz="4" w:space="0" w:color="000000"/>
              <w:right w:val="single" w:sz="4" w:space="0" w:color="000000"/>
            </w:tcBorders>
            <w:shd w:val="clear" w:color="auto" w:fill="auto"/>
            <w:vAlign w:val="bottom"/>
          </w:tcPr>
          <w:p w14:paraId="6C274381" w14:textId="77777777" w:rsidR="00126128" w:rsidRDefault="0078150B">
            <w:r>
              <w:t>4</w:t>
            </w:r>
          </w:p>
        </w:tc>
        <w:tc>
          <w:tcPr>
            <w:tcW w:w="1075" w:type="dxa"/>
            <w:tcBorders>
              <w:top w:val="nil"/>
              <w:left w:val="nil"/>
              <w:bottom w:val="single" w:sz="4" w:space="0" w:color="000000"/>
              <w:right w:val="single" w:sz="4" w:space="0" w:color="000000"/>
            </w:tcBorders>
            <w:shd w:val="clear" w:color="auto" w:fill="auto"/>
            <w:vAlign w:val="bottom"/>
          </w:tcPr>
          <w:p w14:paraId="3955AE04" w14:textId="77777777" w:rsidR="00126128" w:rsidRDefault="0078150B">
            <w:r>
              <w:t>14</w:t>
            </w:r>
          </w:p>
        </w:tc>
        <w:tc>
          <w:tcPr>
            <w:tcW w:w="805" w:type="dxa"/>
            <w:tcBorders>
              <w:top w:val="nil"/>
              <w:left w:val="nil"/>
              <w:bottom w:val="single" w:sz="4" w:space="0" w:color="000000"/>
              <w:right w:val="single" w:sz="4" w:space="0" w:color="000000"/>
            </w:tcBorders>
            <w:shd w:val="clear" w:color="auto" w:fill="auto"/>
            <w:vAlign w:val="bottom"/>
          </w:tcPr>
          <w:p w14:paraId="27019690" w14:textId="77777777" w:rsidR="00126128" w:rsidRDefault="0078150B">
            <w:r>
              <w:t>0</w:t>
            </w:r>
          </w:p>
        </w:tc>
        <w:tc>
          <w:tcPr>
            <w:tcW w:w="1075" w:type="dxa"/>
            <w:tcBorders>
              <w:top w:val="nil"/>
              <w:left w:val="nil"/>
              <w:bottom w:val="single" w:sz="4" w:space="0" w:color="000000"/>
              <w:right w:val="single" w:sz="4" w:space="0" w:color="000000"/>
            </w:tcBorders>
            <w:shd w:val="clear" w:color="auto" w:fill="auto"/>
            <w:vAlign w:val="bottom"/>
          </w:tcPr>
          <w:p w14:paraId="02F9D441" w14:textId="77777777" w:rsidR="00126128" w:rsidRDefault="0078150B">
            <w:r>
              <w:t>0</w:t>
            </w:r>
          </w:p>
        </w:tc>
        <w:tc>
          <w:tcPr>
            <w:tcW w:w="805" w:type="dxa"/>
            <w:tcBorders>
              <w:top w:val="nil"/>
              <w:left w:val="nil"/>
              <w:bottom w:val="single" w:sz="4" w:space="0" w:color="000000"/>
              <w:right w:val="single" w:sz="4" w:space="0" w:color="000000"/>
            </w:tcBorders>
            <w:shd w:val="clear" w:color="auto" w:fill="auto"/>
            <w:vAlign w:val="bottom"/>
          </w:tcPr>
          <w:p w14:paraId="45506F18" w14:textId="77777777" w:rsidR="00126128" w:rsidRDefault="0078150B">
            <w:r>
              <w:t>4</w:t>
            </w:r>
          </w:p>
        </w:tc>
        <w:tc>
          <w:tcPr>
            <w:tcW w:w="1075" w:type="dxa"/>
            <w:tcBorders>
              <w:top w:val="nil"/>
              <w:left w:val="nil"/>
              <w:bottom w:val="single" w:sz="4" w:space="0" w:color="000000"/>
              <w:right w:val="single" w:sz="4" w:space="0" w:color="000000"/>
            </w:tcBorders>
            <w:shd w:val="clear" w:color="auto" w:fill="auto"/>
            <w:vAlign w:val="bottom"/>
          </w:tcPr>
          <w:p w14:paraId="39C2CF60" w14:textId="77777777" w:rsidR="00126128" w:rsidRDefault="0078150B">
            <w:r>
              <w:t>19</w:t>
            </w:r>
          </w:p>
        </w:tc>
      </w:tr>
      <w:tr w:rsidR="00126128" w14:paraId="3F76DFC0" w14:textId="77777777">
        <w:trPr>
          <w:trHeight w:val="300"/>
        </w:trPr>
        <w:tc>
          <w:tcPr>
            <w:tcW w:w="1268" w:type="dxa"/>
            <w:tcBorders>
              <w:top w:val="nil"/>
              <w:left w:val="single" w:sz="4" w:space="0" w:color="000000"/>
              <w:bottom w:val="single" w:sz="4" w:space="0" w:color="000000"/>
              <w:right w:val="single" w:sz="4" w:space="0" w:color="000000"/>
            </w:tcBorders>
            <w:shd w:val="clear" w:color="auto" w:fill="auto"/>
            <w:vAlign w:val="bottom"/>
          </w:tcPr>
          <w:p w14:paraId="1DC7E521" w14:textId="77777777" w:rsidR="00126128" w:rsidRDefault="0078150B">
            <w:pPr>
              <w:rPr>
                <w:b/>
              </w:rPr>
            </w:pPr>
            <w:r>
              <w:rPr>
                <w:b/>
              </w:rPr>
              <w:t>D (15-36)</w:t>
            </w:r>
          </w:p>
        </w:tc>
        <w:tc>
          <w:tcPr>
            <w:tcW w:w="805" w:type="dxa"/>
            <w:tcBorders>
              <w:top w:val="nil"/>
              <w:left w:val="nil"/>
              <w:bottom w:val="single" w:sz="4" w:space="0" w:color="000000"/>
              <w:right w:val="single" w:sz="4" w:space="0" w:color="000000"/>
            </w:tcBorders>
            <w:shd w:val="clear" w:color="auto" w:fill="auto"/>
            <w:vAlign w:val="bottom"/>
          </w:tcPr>
          <w:p w14:paraId="18ADD665" w14:textId="77777777" w:rsidR="00126128" w:rsidRDefault="0078150B">
            <w:r>
              <w:t>4</w:t>
            </w:r>
          </w:p>
        </w:tc>
        <w:tc>
          <w:tcPr>
            <w:tcW w:w="1075" w:type="dxa"/>
            <w:tcBorders>
              <w:top w:val="nil"/>
              <w:left w:val="nil"/>
              <w:bottom w:val="single" w:sz="4" w:space="0" w:color="000000"/>
              <w:right w:val="single" w:sz="4" w:space="0" w:color="000000"/>
            </w:tcBorders>
            <w:shd w:val="clear" w:color="auto" w:fill="auto"/>
            <w:vAlign w:val="bottom"/>
          </w:tcPr>
          <w:p w14:paraId="60069088" w14:textId="77777777" w:rsidR="00126128" w:rsidRDefault="0078150B">
            <w:r>
              <w:t>14</w:t>
            </w:r>
          </w:p>
        </w:tc>
        <w:tc>
          <w:tcPr>
            <w:tcW w:w="805" w:type="dxa"/>
            <w:tcBorders>
              <w:top w:val="nil"/>
              <w:left w:val="nil"/>
              <w:bottom w:val="single" w:sz="4" w:space="0" w:color="000000"/>
              <w:right w:val="single" w:sz="4" w:space="0" w:color="000000"/>
            </w:tcBorders>
            <w:shd w:val="clear" w:color="auto" w:fill="auto"/>
            <w:vAlign w:val="bottom"/>
          </w:tcPr>
          <w:p w14:paraId="76E39D90" w14:textId="77777777" w:rsidR="00126128" w:rsidRDefault="0078150B">
            <w:r>
              <w:t>3</w:t>
            </w:r>
          </w:p>
        </w:tc>
        <w:tc>
          <w:tcPr>
            <w:tcW w:w="1075" w:type="dxa"/>
            <w:tcBorders>
              <w:top w:val="nil"/>
              <w:left w:val="nil"/>
              <w:bottom w:val="single" w:sz="4" w:space="0" w:color="000000"/>
              <w:right w:val="single" w:sz="4" w:space="0" w:color="000000"/>
            </w:tcBorders>
            <w:shd w:val="clear" w:color="auto" w:fill="auto"/>
            <w:vAlign w:val="bottom"/>
          </w:tcPr>
          <w:p w14:paraId="152091E7" w14:textId="77777777" w:rsidR="00126128" w:rsidRDefault="0078150B">
            <w:r>
              <w:t>30</w:t>
            </w:r>
          </w:p>
        </w:tc>
        <w:tc>
          <w:tcPr>
            <w:tcW w:w="805" w:type="dxa"/>
            <w:tcBorders>
              <w:top w:val="nil"/>
              <w:left w:val="nil"/>
              <w:bottom w:val="single" w:sz="4" w:space="0" w:color="000000"/>
              <w:right w:val="single" w:sz="4" w:space="0" w:color="000000"/>
            </w:tcBorders>
            <w:shd w:val="clear" w:color="auto" w:fill="auto"/>
            <w:vAlign w:val="bottom"/>
          </w:tcPr>
          <w:p w14:paraId="1D8A16AC" w14:textId="77777777" w:rsidR="00126128" w:rsidRDefault="0078150B">
            <w:r>
              <w:t>3</w:t>
            </w:r>
          </w:p>
        </w:tc>
        <w:tc>
          <w:tcPr>
            <w:tcW w:w="1075" w:type="dxa"/>
            <w:tcBorders>
              <w:top w:val="nil"/>
              <w:left w:val="nil"/>
              <w:bottom w:val="single" w:sz="4" w:space="0" w:color="000000"/>
              <w:right w:val="single" w:sz="4" w:space="0" w:color="000000"/>
            </w:tcBorders>
            <w:shd w:val="clear" w:color="auto" w:fill="auto"/>
            <w:vAlign w:val="bottom"/>
          </w:tcPr>
          <w:p w14:paraId="55949076" w14:textId="77777777" w:rsidR="00126128" w:rsidRDefault="0078150B">
            <w:r>
              <w:t>14</w:t>
            </w:r>
          </w:p>
        </w:tc>
      </w:tr>
      <w:tr w:rsidR="00126128" w14:paraId="52AB2767" w14:textId="77777777">
        <w:trPr>
          <w:trHeight w:val="300"/>
        </w:trPr>
        <w:tc>
          <w:tcPr>
            <w:tcW w:w="1268" w:type="dxa"/>
            <w:tcBorders>
              <w:top w:val="nil"/>
              <w:left w:val="single" w:sz="4" w:space="0" w:color="000000"/>
              <w:bottom w:val="single" w:sz="4" w:space="0" w:color="000000"/>
              <w:right w:val="single" w:sz="4" w:space="0" w:color="000000"/>
            </w:tcBorders>
            <w:shd w:val="clear" w:color="auto" w:fill="auto"/>
            <w:vAlign w:val="bottom"/>
          </w:tcPr>
          <w:p w14:paraId="4E729D45" w14:textId="77777777" w:rsidR="00126128" w:rsidRDefault="0078150B">
            <w:pPr>
              <w:rPr>
                <w:b/>
              </w:rPr>
            </w:pPr>
            <w:r>
              <w:rPr>
                <w:b/>
              </w:rPr>
              <w:t>E (24-36)</w:t>
            </w:r>
          </w:p>
        </w:tc>
        <w:tc>
          <w:tcPr>
            <w:tcW w:w="805" w:type="dxa"/>
            <w:tcBorders>
              <w:top w:val="nil"/>
              <w:left w:val="nil"/>
              <w:bottom w:val="single" w:sz="4" w:space="0" w:color="000000"/>
              <w:right w:val="single" w:sz="4" w:space="0" w:color="000000"/>
            </w:tcBorders>
            <w:shd w:val="clear" w:color="auto" w:fill="auto"/>
            <w:vAlign w:val="bottom"/>
          </w:tcPr>
          <w:p w14:paraId="1E0835B6" w14:textId="77777777" w:rsidR="00126128" w:rsidRDefault="0078150B">
            <w:r>
              <w:t>15</w:t>
            </w:r>
          </w:p>
        </w:tc>
        <w:tc>
          <w:tcPr>
            <w:tcW w:w="1075" w:type="dxa"/>
            <w:tcBorders>
              <w:top w:val="nil"/>
              <w:left w:val="nil"/>
              <w:bottom w:val="single" w:sz="4" w:space="0" w:color="000000"/>
              <w:right w:val="single" w:sz="4" w:space="0" w:color="000000"/>
            </w:tcBorders>
            <w:shd w:val="clear" w:color="auto" w:fill="auto"/>
            <w:vAlign w:val="bottom"/>
          </w:tcPr>
          <w:p w14:paraId="3C015232" w14:textId="77777777" w:rsidR="00126128" w:rsidRDefault="0078150B">
            <w:r>
              <w:t>52</w:t>
            </w:r>
          </w:p>
        </w:tc>
        <w:tc>
          <w:tcPr>
            <w:tcW w:w="805" w:type="dxa"/>
            <w:tcBorders>
              <w:top w:val="nil"/>
              <w:left w:val="nil"/>
              <w:bottom w:val="single" w:sz="4" w:space="0" w:color="000000"/>
              <w:right w:val="single" w:sz="4" w:space="0" w:color="000000"/>
            </w:tcBorders>
            <w:shd w:val="clear" w:color="auto" w:fill="auto"/>
            <w:vAlign w:val="bottom"/>
          </w:tcPr>
          <w:p w14:paraId="19BB2228" w14:textId="77777777" w:rsidR="00126128" w:rsidRDefault="0078150B">
            <w:r>
              <w:t>5</w:t>
            </w:r>
          </w:p>
        </w:tc>
        <w:tc>
          <w:tcPr>
            <w:tcW w:w="1075" w:type="dxa"/>
            <w:tcBorders>
              <w:top w:val="nil"/>
              <w:left w:val="nil"/>
              <w:bottom w:val="single" w:sz="4" w:space="0" w:color="000000"/>
              <w:right w:val="single" w:sz="4" w:space="0" w:color="000000"/>
            </w:tcBorders>
            <w:shd w:val="clear" w:color="auto" w:fill="auto"/>
            <w:vAlign w:val="bottom"/>
          </w:tcPr>
          <w:p w14:paraId="3B1A11C7" w14:textId="77777777" w:rsidR="00126128" w:rsidRDefault="0078150B">
            <w:r>
              <w:t>50</w:t>
            </w:r>
          </w:p>
        </w:tc>
        <w:tc>
          <w:tcPr>
            <w:tcW w:w="805" w:type="dxa"/>
            <w:tcBorders>
              <w:top w:val="nil"/>
              <w:left w:val="nil"/>
              <w:bottom w:val="single" w:sz="4" w:space="0" w:color="000000"/>
              <w:right w:val="single" w:sz="4" w:space="0" w:color="000000"/>
            </w:tcBorders>
            <w:shd w:val="clear" w:color="auto" w:fill="auto"/>
            <w:vAlign w:val="bottom"/>
          </w:tcPr>
          <w:p w14:paraId="7228D070" w14:textId="77777777" w:rsidR="00126128" w:rsidRDefault="0078150B">
            <w:r>
              <w:t>10</w:t>
            </w:r>
          </w:p>
        </w:tc>
        <w:tc>
          <w:tcPr>
            <w:tcW w:w="1075" w:type="dxa"/>
            <w:tcBorders>
              <w:top w:val="nil"/>
              <w:left w:val="nil"/>
              <w:bottom w:val="single" w:sz="4" w:space="0" w:color="000000"/>
              <w:right w:val="single" w:sz="4" w:space="0" w:color="000000"/>
            </w:tcBorders>
            <w:shd w:val="clear" w:color="auto" w:fill="auto"/>
            <w:vAlign w:val="bottom"/>
          </w:tcPr>
          <w:p w14:paraId="22D14E07" w14:textId="77777777" w:rsidR="00126128" w:rsidRDefault="0078150B">
            <w:r>
              <w:t>48</w:t>
            </w:r>
          </w:p>
        </w:tc>
      </w:tr>
      <w:tr w:rsidR="00126128" w14:paraId="207166DF" w14:textId="77777777">
        <w:trPr>
          <w:trHeight w:val="300"/>
        </w:trPr>
        <w:tc>
          <w:tcPr>
            <w:tcW w:w="1268" w:type="dxa"/>
            <w:tcBorders>
              <w:top w:val="nil"/>
              <w:left w:val="single" w:sz="4" w:space="0" w:color="000000"/>
              <w:bottom w:val="single" w:sz="4" w:space="0" w:color="000000"/>
              <w:right w:val="single" w:sz="4" w:space="0" w:color="000000"/>
            </w:tcBorders>
            <w:shd w:val="clear" w:color="auto" w:fill="auto"/>
            <w:vAlign w:val="bottom"/>
          </w:tcPr>
          <w:p w14:paraId="0B13717D" w14:textId="77777777" w:rsidR="00126128" w:rsidRDefault="0078150B">
            <w:pPr>
              <w:rPr>
                <w:b/>
              </w:rPr>
            </w:pPr>
            <w:r>
              <w:rPr>
                <w:b/>
              </w:rPr>
              <w:t>F (36-48)</w:t>
            </w:r>
          </w:p>
        </w:tc>
        <w:tc>
          <w:tcPr>
            <w:tcW w:w="805" w:type="dxa"/>
            <w:tcBorders>
              <w:top w:val="nil"/>
              <w:left w:val="nil"/>
              <w:bottom w:val="single" w:sz="4" w:space="0" w:color="000000"/>
              <w:right w:val="single" w:sz="4" w:space="0" w:color="000000"/>
            </w:tcBorders>
            <w:shd w:val="clear" w:color="auto" w:fill="auto"/>
            <w:vAlign w:val="bottom"/>
          </w:tcPr>
          <w:p w14:paraId="03F57E70" w14:textId="77777777" w:rsidR="00126128" w:rsidRDefault="0078150B">
            <w:r>
              <w:t>2</w:t>
            </w:r>
          </w:p>
        </w:tc>
        <w:tc>
          <w:tcPr>
            <w:tcW w:w="1075" w:type="dxa"/>
            <w:tcBorders>
              <w:top w:val="nil"/>
              <w:left w:val="nil"/>
              <w:bottom w:val="single" w:sz="4" w:space="0" w:color="000000"/>
              <w:right w:val="single" w:sz="4" w:space="0" w:color="000000"/>
            </w:tcBorders>
            <w:shd w:val="clear" w:color="auto" w:fill="auto"/>
            <w:vAlign w:val="bottom"/>
          </w:tcPr>
          <w:p w14:paraId="7C0040BC" w14:textId="77777777" w:rsidR="00126128" w:rsidRDefault="0078150B">
            <w:r>
              <w:t>7</w:t>
            </w:r>
          </w:p>
        </w:tc>
        <w:tc>
          <w:tcPr>
            <w:tcW w:w="805" w:type="dxa"/>
            <w:tcBorders>
              <w:top w:val="nil"/>
              <w:left w:val="nil"/>
              <w:bottom w:val="single" w:sz="4" w:space="0" w:color="000000"/>
              <w:right w:val="single" w:sz="4" w:space="0" w:color="000000"/>
            </w:tcBorders>
            <w:shd w:val="clear" w:color="auto" w:fill="auto"/>
            <w:vAlign w:val="bottom"/>
          </w:tcPr>
          <w:p w14:paraId="30C07963" w14:textId="77777777" w:rsidR="00126128" w:rsidRDefault="0078150B">
            <w:r>
              <w:t>2</w:t>
            </w:r>
          </w:p>
        </w:tc>
        <w:tc>
          <w:tcPr>
            <w:tcW w:w="1075" w:type="dxa"/>
            <w:tcBorders>
              <w:top w:val="nil"/>
              <w:left w:val="nil"/>
              <w:bottom w:val="single" w:sz="4" w:space="0" w:color="000000"/>
              <w:right w:val="single" w:sz="4" w:space="0" w:color="000000"/>
            </w:tcBorders>
            <w:shd w:val="clear" w:color="auto" w:fill="auto"/>
            <w:vAlign w:val="bottom"/>
          </w:tcPr>
          <w:p w14:paraId="62FDA600" w14:textId="77777777" w:rsidR="00126128" w:rsidRDefault="0078150B">
            <w:r>
              <w:t>20</w:t>
            </w:r>
          </w:p>
        </w:tc>
        <w:tc>
          <w:tcPr>
            <w:tcW w:w="805" w:type="dxa"/>
            <w:tcBorders>
              <w:top w:val="nil"/>
              <w:left w:val="nil"/>
              <w:bottom w:val="single" w:sz="4" w:space="0" w:color="000000"/>
              <w:right w:val="single" w:sz="4" w:space="0" w:color="000000"/>
            </w:tcBorders>
            <w:shd w:val="clear" w:color="auto" w:fill="auto"/>
            <w:vAlign w:val="bottom"/>
          </w:tcPr>
          <w:p w14:paraId="37D64270" w14:textId="77777777" w:rsidR="00126128" w:rsidRDefault="0078150B">
            <w:r>
              <w:t>0</w:t>
            </w:r>
          </w:p>
        </w:tc>
        <w:tc>
          <w:tcPr>
            <w:tcW w:w="1075" w:type="dxa"/>
            <w:tcBorders>
              <w:top w:val="nil"/>
              <w:left w:val="nil"/>
              <w:bottom w:val="single" w:sz="4" w:space="0" w:color="000000"/>
              <w:right w:val="single" w:sz="4" w:space="0" w:color="000000"/>
            </w:tcBorders>
            <w:shd w:val="clear" w:color="auto" w:fill="auto"/>
            <w:vAlign w:val="bottom"/>
          </w:tcPr>
          <w:p w14:paraId="31BFA6DE" w14:textId="77777777" w:rsidR="00126128" w:rsidRDefault="0078150B">
            <w:r>
              <w:t>0</w:t>
            </w:r>
          </w:p>
        </w:tc>
      </w:tr>
      <w:tr w:rsidR="00126128" w14:paraId="402CE3F1" w14:textId="77777777">
        <w:trPr>
          <w:trHeight w:val="300"/>
        </w:trPr>
        <w:tc>
          <w:tcPr>
            <w:tcW w:w="1268" w:type="dxa"/>
            <w:tcBorders>
              <w:top w:val="nil"/>
              <w:left w:val="single" w:sz="4" w:space="0" w:color="000000"/>
              <w:bottom w:val="single" w:sz="4" w:space="0" w:color="000000"/>
              <w:right w:val="single" w:sz="4" w:space="0" w:color="000000"/>
            </w:tcBorders>
            <w:shd w:val="clear" w:color="auto" w:fill="auto"/>
            <w:vAlign w:val="bottom"/>
          </w:tcPr>
          <w:p w14:paraId="398432C8" w14:textId="77777777" w:rsidR="00126128" w:rsidRDefault="0078150B">
            <w:pPr>
              <w:rPr>
                <w:b/>
              </w:rPr>
            </w:pPr>
            <w:r>
              <w:rPr>
                <w:b/>
              </w:rPr>
              <w:t>G (48+)</w:t>
            </w:r>
          </w:p>
        </w:tc>
        <w:tc>
          <w:tcPr>
            <w:tcW w:w="805" w:type="dxa"/>
            <w:tcBorders>
              <w:top w:val="nil"/>
              <w:left w:val="nil"/>
              <w:bottom w:val="single" w:sz="4" w:space="0" w:color="000000"/>
              <w:right w:val="single" w:sz="4" w:space="0" w:color="000000"/>
            </w:tcBorders>
            <w:shd w:val="clear" w:color="auto" w:fill="auto"/>
            <w:vAlign w:val="bottom"/>
          </w:tcPr>
          <w:p w14:paraId="1F9CFE39" w14:textId="77777777" w:rsidR="00126128" w:rsidRDefault="0078150B">
            <w:r>
              <w:t>3</w:t>
            </w:r>
          </w:p>
        </w:tc>
        <w:tc>
          <w:tcPr>
            <w:tcW w:w="1075" w:type="dxa"/>
            <w:tcBorders>
              <w:top w:val="nil"/>
              <w:left w:val="nil"/>
              <w:bottom w:val="single" w:sz="4" w:space="0" w:color="000000"/>
              <w:right w:val="single" w:sz="4" w:space="0" w:color="000000"/>
            </w:tcBorders>
            <w:shd w:val="clear" w:color="auto" w:fill="auto"/>
            <w:vAlign w:val="bottom"/>
          </w:tcPr>
          <w:p w14:paraId="64D182D5" w14:textId="77777777" w:rsidR="00126128" w:rsidRDefault="0078150B">
            <w:r>
              <w:t>10</w:t>
            </w:r>
          </w:p>
        </w:tc>
        <w:tc>
          <w:tcPr>
            <w:tcW w:w="805" w:type="dxa"/>
            <w:tcBorders>
              <w:top w:val="nil"/>
              <w:left w:val="nil"/>
              <w:bottom w:val="single" w:sz="4" w:space="0" w:color="000000"/>
              <w:right w:val="single" w:sz="4" w:space="0" w:color="000000"/>
            </w:tcBorders>
            <w:shd w:val="clear" w:color="auto" w:fill="auto"/>
            <w:vAlign w:val="bottom"/>
          </w:tcPr>
          <w:p w14:paraId="54951313" w14:textId="77777777" w:rsidR="00126128" w:rsidRDefault="0078150B">
            <w:r>
              <w:t>0</w:t>
            </w:r>
          </w:p>
        </w:tc>
        <w:tc>
          <w:tcPr>
            <w:tcW w:w="1075" w:type="dxa"/>
            <w:tcBorders>
              <w:top w:val="nil"/>
              <w:left w:val="nil"/>
              <w:bottom w:val="single" w:sz="4" w:space="0" w:color="000000"/>
              <w:right w:val="single" w:sz="4" w:space="0" w:color="000000"/>
            </w:tcBorders>
            <w:shd w:val="clear" w:color="auto" w:fill="auto"/>
            <w:vAlign w:val="bottom"/>
          </w:tcPr>
          <w:p w14:paraId="760996BE" w14:textId="77777777" w:rsidR="00126128" w:rsidRDefault="0078150B">
            <w:r>
              <w:t>0</w:t>
            </w:r>
          </w:p>
        </w:tc>
        <w:tc>
          <w:tcPr>
            <w:tcW w:w="805" w:type="dxa"/>
            <w:tcBorders>
              <w:top w:val="nil"/>
              <w:left w:val="nil"/>
              <w:bottom w:val="single" w:sz="4" w:space="0" w:color="000000"/>
              <w:right w:val="single" w:sz="4" w:space="0" w:color="000000"/>
            </w:tcBorders>
            <w:shd w:val="clear" w:color="auto" w:fill="auto"/>
            <w:vAlign w:val="bottom"/>
          </w:tcPr>
          <w:p w14:paraId="68E8E4DE" w14:textId="77777777" w:rsidR="00126128" w:rsidRDefault="0078150B">
            <w:r>
              <w:t>3</w:t>
            </w:r>
          </w:p>
        </w:tc>
        <w:tc>
          <w:tcPr>
            <w:tcW w:w="1075" w:type="dxa"/>
            <w:tcBorders>
              <w:top w:val="nil"/>
              <w:left w:val="nil"/>
              <w:bottom w:val="single" w:sz="4" w:space="0" w:color="000000"/>
              <w:right w:val="single" w:sz="4" w:space="0" w:color="000000"/>
            </w:tcBorders>
            <w:shd w:val="clear" w:color="auto" w:fill="auto"/>
            <w:vAlign w:val="bottom"/>
          </w:tcPr>
          <w:p w14:paraId="49A0FD94" w14:textId="77777777" w:rsidR="00126128" w:rsidRDefault="0078150B">
            <w:r>
              <w:t>14</w:t>
            </w:r>
          </w:p>
        </w:tc>
      </w:tr>
      <w:tr w:rsidR="00126128" w14:paraId="0AE02A13" w14:textId="77777777">
        <w:trPr>
          <w:trHeight w:val="300"/>
        </w:trPr>
        <w:tc>
          <w:tcPr>
            <w:tcW w:w="1268" w:type="dxa"/>
            <w:tcBorders>
              <w:top w:val="nil"/>
              <w:left w:val="single" w:sz="4" w:space="0" w:color="000000"/>
              <w:bottom w:val="single" w:sz="4" w:space="0" w:color="000000"/>
              <w:right w:val="single" w:sz="4" w:space="0" w:color="000000"/>
            </w:tcBorders>
            <w:shd w:val="clear" w:color="auto" w:fill="auto"/>
            <w:vAlign w:val="bottom"/>
          </w:tcPr>
          <w:p w14:paraId="153171D7" w14:textId="77777777" w:rsidR="00126128" w:rsidRDefault="0078150B">
            <w:pPr>
              <w:rPr>
                <w:b/>
              </w:rPr>
            </w:pPr>
            <w:r>
              <w:rPr>
                <w:b/>
              </w:rPr>
              <w:t>Total</w:t>
            </w:r>
          </w:p>
        </w:tc>
        <w:tc>
          <w:tcPr>
            <w:tcW w:w="805" w:type="dxa"/>
            <w:tcBorders>
              <w:top w:val="nil"/>
              <w:left w:val="nil"/>
              <w:bottom w:val="single" w:sz="4" w:space="0" w:color="000000"/>
              <w:right w:val="single" w:sz="4" w:space="0" w:color="000000"/>
            </w:tcBorders>
            <w:shd w:val="clear" w:color="auto" w:fill="auto"/>
            <w:vAlign w:val="bottom"/>
          </w:tcPr>
          <w:p w14:paraId="24E8FE0E" w14:textId="77777777" w:rsidR="00126128" w:rsidRDefault="0078150B">
            <w:pPr>
              <w:rPr>
                <w:b/>
              </w:rPr>
            </w:pPr>
            <w:r>
              <w:rPr>
                <w:b/>
              </w:rPr>
              <w:t>29</w:t>
            </w:r>
          </w:p>
        </w:tc>
        <w:tc>
          <w:tcPr>
            <w:tcW w:w="1075" w:type="dxa"/>
            <w:tcBorders>
              <w:top w:val="nil"/>
              <w:left w:val="nil"/>
              <w:bottom w:val="single" w:sz="4" w:space="0" w:color="000000"/>
              <w:right w:val="single" w:sz="4" w:space="0" w:color="000000"/>
            </w:tcBorders>
            <w:shd w:val="clear" w:color="auto" w:fill="auto"/>
            <w:vAlign w:val="bottom"/>
          </w:tcPr>
          <w:p w14:paraId="1967145D" w14:textId="77777777" w:rsidR="00126128" w:rsidRDefault="0078150B">
            <w:pPr>
              <w:rPr>
                <w:b/>
              </w:rPr>
            </w:pPr>
            <w:r>
              <w:rPr>
                <w:b/>
              </w:rPr>
              <w:t>100</w:t>
            </w:r>
          </w:p>
        </w:tc>
        <w:tc>
          <w:tcPr>
            <w:tcW w:w="805" w:type="dxa"/>
            <w:tcBorders>
              <w:top w:val="nil"/>
              <w:left w:val="nil"/>
              <w:bottom w:val="single" w:sz="4" w:space="0" w:color="000000"/>
              <w:right w:val="single" w:sz="4" w:space="0" w:color="000000"/>
            </w:tcBorders>
            <w:shd w:val="clear" w:color="auto" w:fill="auto"/>
            <w:vAlign w:val="bottom"/>
          </w:tcPr>
          <w:p w14:paraId="2284ECE2" w14:textId="77777777" w:rsidR="00126128" w:rsidRDefault="0078150B">
            <w:pPr>
              <w:rPr>
                <w:b/>
              </w:rPr>
            </w:pPr>
            <w:r>
              <w:rPr>
                <w:b/>
              </w:rPr>
              <w:t>10</w:t>
            </w:r>
          </w:p>
        </w:tc>
        <w:tc>
          <w:tcPr>
            <w:tcW w:w="1075" w:type="dxa"/>
            <w:tcBorders>
              <w:top w:val="nil"/>
              <w:left w:val="nil"/>
              <w:bottom w:val="single" w:sz="4" w:space="0" w:color="000000"/>
              <w:right w:val="single" w:sz="4" w:space="0" w:color="000000"/>
            </w:tcBorders>
            <w:shd w:val="clear" w:color="auto" w:fill="auto"/>
            <w:vAlign w:val="bottom"/>
          </w:tcPr>
          <w:p w14:paraId="60805D50" w14:textId="77777777" w:rsidR="00126128" w:rsidRDefault="0078150B">
            <w:pPr>
              <w:rPr>
                <w:b/>
              </w:rPr>
            </w:pPr>
            <w:r>
              <w:rPr>
                <w:b/>
              </w:rPr>
              <w:t>100</w:t>
            </w:r>
          </w:p>
        </w:tc>
        <w:tc>
          <w:tcPr>
            <w:tcW w:w="805" w:type="dxa"/>
            <w:tcBorders>
              <w:top w:val="nil"/>
              <w:left w:val="nil"/>
              <w:bottom w:val="single" w:sz="4" w:space="0" w:color="000000"/>
              <w:right w:val="single" w:sz="4" w:space="0" w:color="000000"/>
            </w:tcBorders>
            <w:shd w:val="clear" w:color="auto" w:fill="auto"/>
            <w:vAlign w:val="bottom"/>
          </w:tcPr>
          <w:p w14:paraId="37889D48" w14:textId="77777777" w:rsidR="00126128" w:rsidRDefault="0078150B">
            <w:pPr>
              <w:rPr>
                <w:b/>
              </w:rPr>
            </w:pPr>
            <w:r>
              <w:rPr>
                <w:b/>
              </w:rPr>
              <w:t>21</w:t>
            </w:r>
          </w:p>
        </w:tc>
        <w:tc>
          <w:tcPr>
            <w:tcW w:w="1075" w:type="dxa"/>
            <w:tcBorders>
              <w:top w:val="nil"/>
              <w:left w:val="nil"/>
              <w:bottom w:val="single" w:sz="4" w:space="0" w:color="000000"/>
              <w:right w:val="single" w:sz="4" w:space="0" w:color="000000"/>
            </w:tcBorders>
            <w:shd w:val="clear" w:color="auto" w:fill="auto"/>
            <w:vAlign w:val="bottom"/>
          </w:tcPr>
          <w:p w14:paraId="0F06971F" w14:textId="77777777" w:rsidR="00126128" w:rsidRDefault="0078150B">
            <w:pPr>
              <w:rPr>
                <w:b/>
              </w:rPr>
            </w:pPr>
            <w:r>
              <w:rPr>
                <w:b/>
              </w:rPr>
              <w:t>100</w:t>
            </w:r>
          </w:p>
        </w:tc>
      </w:tr>
    </w:tbl>
    <w:p w14:paraId="54BADC04" w14:textId="77777777" w:rsidR="00126128" w:rsidRDefault="00126128">
      <w:pPr>
        <w:rPr>
          <w:b/>
        </w:rPr>
      </w:pPr>
    </w:p>
    <w:p w14:paraId="1F975960" w14:textId="77777777" w:rsidR="00126128" w:rsidRDefault="0078150B">
      <w:pPr>
        <w:rPr>
          <w:b/>
        </w:rPr>
      </w:pPr>
      <w:r>
        <w:br w:type="page"/>
      </w:r>
    </w:p>
    <w:p w14:paraId="0C4C7C23" w14:textId="77777777" w:rsidR="00126128" w:rsidRDefault="00126128">
      <w:pPr>
        <w:rPr>
          <w:b/>
        </w:rPr>
      </w:pPr>
    </w:p>
    <w:p w14:paraId="6D431065" w14:textId="77777777" w:rsidR="00126128" w:rsidRDefault="0078150B">
      <w:r>
        <w:rPr>
          <w:noProof/>
        </w:rPr>
        <w:drawing>
          <wp:inline distT="114300" distB="114300" distL="114300" distR="114300" wp14:anchorId="6096A6BF" wp14:editId="0E87C85A">
            <wp:extent cx="5424488" cy="2730265"/>
            <wp:effectExtent l="0" t="0" r="0" b="0"/>
            <wp:docPr id="89797120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5"/>
                    <a:srcRect/>
                    <a:stretch>
                      <a:fillRect/>
                    </a:stretch>
                  </pic:blipFill>
                  <pic:spPr>
                    <a:xfrm>
                      <a:off x="0" y="0"/>
                      <a:ext cx="5424488" cy="2730265"/>
                    </a:xfrm>
                    <a:prstGeom prst="rect">
                      <a:avLst/>
                    </a:prstGeom>
                    <a:ln/>
                  </pic:spPr>
                </pic:pic>
              </a:graphicData>
            </a:graphic>
          </wp:inline>
        </w:drawing>
      </w:r>
    </w:p>
    <w:p w14:paraId="40D8F00C" w14:textId="77777777" w:rsidR="00126128" w:rsidRDefault="0078150B">
      <w:r>
        <w:rPr>
          <w:noProof/>
        </w:rPr>
        <w:drawing>
          <wp:inline distT="114300" distB="114300" distL="114300" distR="114300" wp14:anchorId="0A1DEBCE" wp14:editId="38EBFFC6">
            <wp:extent cx="5414963" cy="2707481"/>
            <wp:effectExtent l="0" t="0" r="0" b="0"/>
            <wp:docPr id="89797120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6"/>
                    <a:srcRect/>
                    <a:stretch>
                      <a:fillRect/>
                    </a:stretch>
                  </pic:blipFill>
                  <pic:spPr>
                    <a:xfrm>
                      <a:off x="0" y="0"/>
                      <a:ext cx="5414963" cy="2707481"/>
                    </a:xfrm>
                    <a:prstGeom prst="rect">
                      <a:avLst/>
                    </a:prstGeom>
                    <a:ln/>
                  </pic:spPr>
                </pic:pic>
              </a:graphicData>
            </a:graphic>
          </wp:inline>
        </w:drawing>
      </w:r>
    </w:p>
    <w:p w14:paraId="5D7DD1DA" w14:textId="77777777" w:rsidR="00126128" w:rsidRDefault="00126128">
      <w:pPr>
        <w:rPr>
          <w:b/>
        </w:rPr>
      </w:pPr>
    </w:p>
    <w:p w14:paraId="3EE87BB3" w14:textId="325E716C" w:rsidR="00126128" w:rsidRDefault="0078150B">
      <w:r>
        <w:rPr>
          <w:b/>
        </w:rPr>
        <w:t>Figure S6</w:t>
      </w:r>
      <w:r w:rsidR="00842C73">
        <w:rPr>
          <w:b/>
        </w:rPr>
        <w:t>.</w:t>
      </w:r>
      <w:r>
        <w:rPr>
          <w:b/>
        </w:rPr>
        <w:t xml:space="preserve"> Dog tooth wear data according to %MNI. </w:t>
      </w:r>
      <w:r>
        <w:t>Categories after Horard-Herbin (2000).</w:t>
      </w:r>
    </w:p>
    <w:p w14:paraId="77DE6441" w14:textId="77777777" w:rsidR="00126128" w:rsidRDefault="00126128">
      <w:pPr>
        <w:rPr>
          <w:b/>
        </w:rPr>
      </w:pPr>
    </w:p>
    <w:p w14:paraId="4CF67348" w14:textId="77777777" w:rsidR="004C1331" w:rsidRDefault="004C1331">
      <w:pPr>
        <w:rPr>
          <w:b/>
        </w:rPr>
      </w:pPr>
      <w:r>
        <w:rPr>
          <w:b/>
        </w:rPr>
        <w:br w:type="page"/>
      </w:r>
    </w:p>
    <w:p w14:paraId="29B916D6" w14:textId="337C91E9" w:rsidR="00126128" w:rsidRDefault="0078150B">
      <w:pPr>
        <w:rPr>
          <w:b/>
        </w:rPr>
      </w:pPr>
      <w:r>
        <w:rPr>
          <w:b/>
        </w:rPr>
        <w:lastRenderedPageBreak/>
        <w:t>2.4.2. Bear age</w:t>
      </w:r>
    </w:p>
    <w:p w14:paraId="3CADE815" w14:textId="77777777" w:rsidR="00126128" w:rsidRDefault="00126128">
      <w:pPr>
        <w:rPr>
          <w:b/>
        </w:rPr>
      </w:pPr>
    </w:p>
    <w:p w14:paraId="76AD4D62" w14:textId="4B2BE830" w:rsidR="00126128" w:rsidRDefault="0078150B">
      <w:r>
        <w:rPr>
          <w:b/>
        </w:rPr>
        <w:t>Table S</w:t>
      </w:r>
      <w:r w:rsidR="00842C73">
        <w:rPr>
          <w:b/>
        </w:rPr>
        <w:t>9.</w:t>
      </w:r>
      <w:r>
        <w:rPr>
          <w:b/>
        </w:rPr>
        <w:t xml:space="preserve"> Summary bear epiphyseal fusion data. </w:t>
      </w:r>
      <w:r>
        <w:t>Fusion ages after Weinstock (2009)</w:t>
      </w:r>
    </w:p>
    <w:p w14:paraId="717EAE0C" w14:textId="77777777" w:rsidR="00126128" w:rsidRDefault="00126128">
      <w:pPr>
        <w:rPr>
          <w:b/>
        </w:rPr>
      </w:pPr>
    </w:p>
    <w:tbl>
      <w:tblPr>
        <w:tblStyle w:val="aff0"/>
        <w:tblW w:w="7392" w:type="dxa"/>
        <w:tblLayout w:type="fixed"/>
        <w:tblLook w:val="0400" w:firstRow="0" w:lastRow="0" w:firstColumn="0" w:lastColumn="0" w:noHBand="0" w:noVBand="1"/>
      </w:tblPr>
      <w:tblGrid>
        <w:gridCol w:w="1365"/>
        <w:gridCol w:w="1427"/>
        <w:gridCol w:w="1400"/>
        <w:gridCol w:w="1300"/>
        <w:gridCol w:w="940"/>
        <w:gridCol w:w="960"/>
      </w:tblGrid>
      <w:tr w:rsidR="00126128" w14:paraId="6E2FE3FB" w14:textId="77777777">
        <w:trPr>
          <w:trHeight w:val="300"/>
        </w:trPr>
        <w:tc>
          <w:tcPr>
            <w:tcW w:w="13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E7EF88" w14:textId="77777777" w:rsidR="00126128" w:rsidRDefault="0078150B">
            <w:pPr>
              <w:rPr>
                <w:b/>
              </w:rPr>
            </w:pPr>
            <w:r>
              <w:rPr>
                <w:b/>
              </w:rPr>
              <w:t> </w:t>
            </w:r>
          </w:p>
        </w:tc>
        <w:tc>
          <w:tcPr>
            <w:tcW w:w="1427" w:type="dxa"/>
            <w:tcBorders>
              <w:top w:val="single" w:sz="4" w:space="0" w:color="000000"/>
              <w:left w:val="nil"/>
              <w:bottom w:val="single" w:sz="4" w:space="0" w:color="000000"/>
              <w:right w:val="single" w:sz="4" w:space="0" w:color="000000"/>
            </w:tcBorders>
            <w:shd w:val="clear" w:color="auto" w:fill="auto"/>
            <w:vAlign w:val="bottom"/>
          </w:tcPr>
          <w:p w14:paraId="13DD00E9" w14:textId="77777777" w:rsidR="00126128" w:rsidRDefault="0078150B">
            <w:pPr>
              <w:rPr>
                <w:b/>
              </w:rPr>
            </w:pPr>
            <w:r>
              <w:rPr>
                <w:b/>
              </w:rPr>
              <w:t>FUSION STAGE</w:t>
            </w:r>
          </w:p>
        </w:tc>
        <w:tc>
          <w:tcPr>
            <w:tcW w:w="1400" w:type="dxa"/>
            <w:tcBorders>
              <w:top w:val="single" w:sz="4" w:space="0" w:color="000000"/>
              <w:left w:val="nil"/>
              <w:bottom w:val="single" w:sz="4" w:space="0" w:color="000000"/>
              <w:right w:val="single" w:sz="4" w:space="0" w:color="000000"/>
            </w:tcBorders>
            <w:shd w:val="clear" w:color="auto" w:fill="auto"/>
            <w:vAlign w:val="bottom"/>
          </w:tcPr>
          <w:p w14:paraId="2078AF95" w14:textId="77777777" w:rsidR="00126128" w:rsidRDefault="0078150B">
            <w:pPr>
              <w:rPr>
                <w:b/>
              </w:rPr>
            </w:pPr>
            <w:r>
              <w:rPr>
                <w:b/>
              </w:rPr>
              <w:t>GRAND TOTAL</w:t>
            </w:r>
          </w:p>
        </w:tc>
        <w:tc>
          <w:tcPr>
            <w:tcW w:w="1300" w:type="dxa"/>
            <w:tcBorders>
              <w:top w:val="single" w:sz="4" w:space="0" w:color="000000"/>
              <w:left w:val="nil"/>
              <w:bottom w:val="single" w:sz="4" w:space="0" w:color="000000"/>
              <w:right w:val="single" w:sz="4" w:space="0" w:color="000000"/>
            </w:tcBorders>
            <w:shd w:val="clear" w:color="auto" w:fill="auto"/>
            <w:vAlign w:val="bottom"/>
          </w:tcPr>
          <w:p w14:paraId="50F49ECD" w14:textId="77777777" w:rsidR="00126128" w:rsidRDefault="0078150B">
            <w:pPr>
              <w:rPr>
                <w:b/>
              </w:rPr>
            </w:pPr>
            <w:r>
              <w:rPr>
                <w:b/>
              </w:rPr>
              <w:t>TOTAL F+G+H</w:t>
            </w:r>
          </w:p>
        </w:tc>
        <w:tc>
          <w:tcPr>
            <w:tcW w:w="940" w:type="dxa"/>
            <w:tcBorders>
              <w:top w:val="single" w:sz="4" w:space="0" w:color="000000"/>
              <w:left w:val="nil"/>
              <w:bottom w:val="single" w:sz="4" w:space="0" w:color="000000"/>
              <w:right w:val="single" w:sz="4" w:space="0" w:color="000000"/>
            </w:tcBorders>
            <w:shd w:val="clear" w:color="auto" w:fill="auto"/>
            <w:vAlign w:val="bottom"/>
          </w:tcPr>
          <w:p w14:paraId="537CF6BD" w14:textId="77777777" w:rsidR="00126128" w:rsidRDefault="0078150B">
            <w:pPr>
              <w:rPr>
                <w:b/>
              </w:rPr>
            </w:pPr>
            <w:r>
              <w:rPr>
                <w:b/>
              </w:rPr>
              <w:t>%</w:t>
            </w:r>
          </w:p>
        </w:tc>
        <w:tc>
          <w:tcPr>
            <w:tcW w:w="960" w:type="dxa"/>
            <w:tcBorders>
              <w:top w:val="single" w:sz="4" w:space="0" w:color="000000"/>
              <w:left w:val="nil"/>
              <w:bottom w:val="single" w:sz="4" w:space="0" w:color="000000"/>
              <w:right w:val="single" w:sz="4" w:space="0" w:color="000000"/>
            </w:tcBorders>
            <w:shd w:val="clear" w:color="auto" w:fill="auto"/>
            <w:vAlign w:val="bottom"/>
          </w:tcPr>
          <w:p w14:paraId="7C128972" w14:textId="77777777" w:rsidR="00126128" w:rsidRDefault="0078150B">
            <w:pPr>
              <w:rPr>
                <w:b/>
              </w:rPr>
            </w:pPr>
            <w:r>
              <w:rPr>
                <w:b/>
              </w:rPr>
              <w:t>ud+ux</w:t>
            </w:r>
          </w:p>
        </w:tc>
      </w:tr>
      <w:tr w:rsidR="00126128" w14:paraId="346190AA" w14:textId="77777777">
        <w:trPr>
          <w:trHeight w:val="300"/>
        </w:trPr>
        <w:tc>
          <w:tcPr>
            <w:tcW w:w="1365" w:type="dxa"/>
            <w:vMerge w:val="restart"/>
            <w:tcBorders>
              <w:top w:val="nil"/>
              <w:left w:val="single" w:sz="4" w:space="0" w:color="000000"/>
              <w:bottom w:val="single" w:sz="4" w:space="0" w:color="000000"/>
              <w:right w:val="single" w:sz="4" w:space="0" w:color="000000"/>
            </w:tcBorders>
            <w:shd w:val="clear" w:color="auto" w:fill="auto"/>
            <w:vAlign w:val="center"/>
          </w:tcPr>
          <w:p w14:paraId="3E4A00E8" w14:textId="77777777" w:rsidR="00126128" w:rsidRDefault="0078150B">
            <w:pPr>
              <w:rPr>
                <w:b/>
              </w:rPr>
            </w:pPr>
            <w:r>
              <w:rPr>
                <w:b/>
              </w:rPr>
              <w:t>ALL BANKSIDE</w:t>
            </w:r>
          </w:p>
        </w:tc>
        <w:tc>
          <w:tcPr>
            <w:tcW w:w="1427" w:type="dxa"/>
            <w:tcBorders>
              <w:top w:val="nil"/>
              <w:left w:val="nil"/>
              <w:bottom w:val="single" w:sz="4" w:space="0" w:color="000000"/>
              <w:right w:val="single" w:sz="4" w:space="0" w:color="000000"/>
            </w:tcBorders>
            <w:shd w:val="clear" w:color="auto" w:fill="auto"/>
            <w:vAlign w:val="bottom"/>
          </w:tcPr>
          <w:p w14:paraId="38118D56" w14:textId="77777777" w:rsidR="00126128" w:rsidRDefault="0078150B">
            <w:r>
              <w:t>earliest</w:t>
            </w:r>
          </w:p>
        </w:tc>
        <w:tc>
          <w:tcPr>
            <w:tcW w:w="1400" w:type="dxa"/>
            <w:tcBorders>
              <w:top w:val="nil"/>
              <w:left w:val="nil"/>
              <w:bottom w:val="single" w:sz="4" w:space="0" w:color="000000"/>
              <w:right w:val="single" w:sz="4" w:space="0" w:color="000000"/>
            </w:tcBorders>
            <w:shd w:val="clear" w:color="auto" w:fill="auto"/>
            <w:vAlign w:val="bottom"/>
          </w:tcPr>
          <w:p w14:paraId="1467F9E8" w14:textId="77777777" w:rsidR="00126128" w:rsidRDefault="0078150B">
            <w:r>
              <w:t>14</w:t>
            </w:r>
          </w:p>
        </w:tc>
        <w:tc>
          <w:tcPr>
            <w:tcW w:w="1300" w:type="dxa"/>
            <w:tcBorders>
              <w:top w:val="nil"/>
              <w:left w:val="nil"/>
              <w:bottom w:val="single" w:sz="4" w:space="0" w:color="000000"/>
              <w:right w:val="single" w:sz="4" w:space="0" w:color="000000"/>
            </w:tcBorders>
            <w:shd w:val="clear" w:color="auto" w:fill="auto"/>
            <w:vAlign w:val="bottom"/>
          </w:tcPr>
          <w:p w14:paraId="73EAEEB4" w14:textId="77777777" w:rsidR="00126128" w:rsidRDefault="0078150B">
            <w:r>
              <w:t>14</w:t>
            </w:r>
          </w:p>
        </w:tc>
        <w:tc>
          <w:tcPr>
            <w:tcW w:w="940" w:type="dxa"/>
            <w:tcBorders>
              <w:top w:val="nil"/>
              <w:left w:val="nil"/>
              <w:bottom w:val="single" w:sz="4" w:space="0" w:color="000000"/>
              <w:right w:val="single" w:sz="4" w:space="0" w:color="000000"/>
            </w:tcBorders>
            <w:shd w:val="clear" w:color="auto" w:fill="auto"/>
            <w:vAlign w:val="bottom"/>
          </w:tcPr>
          <w:p w14:paraId="16D45CCA" w14:textId="77777777" w:rsidR="00126128" w:rsidRDefault="0078150B">
            <w:r>
              <w:t>100</w:t>
            </w:r>
          </w:p>
        </w:tc>
        <w:tc>
          <w:tcPr>
            <w:tcW w:w="960" w:type="dxa"/>
            <w:tcBorders>
              <w:top w:val="nil"/>
              <w:left w:val="nil"/>
              <w:bottom w:val="single" w:sz="4" w:space="0" w:color="000000"/>
              <w:right w:val="single" w:sz="4" w:space="0" w:color="000000"/>
            </w:tcBorders>
            <w:shd w:val="clear" w:color="auto" w:fill="auto"/>
            <w:vAlign w:val="bottom"/>
          </w:tcPr>
          <w:p w14:paraId="6BF86C59" w14:textId="77777777" w:rsidR="00126128" w:rsidRDefault="0078150B">
            <w:r>
              <w:t>0</w:t>
            </w:r>
          </w:p>
        </w:tc>
      </w:tr>
      <w:tr w:rsidR="00126128" w14:paraId="194DF6C0" w14:textId="77777777">
        <w:trPr>
          <w:trHeight w:val="300"/>
        </w:trPr>
        <w:tc>
          <w:tcPr>
            <w:tcW w:w="1365" w:type="dxa"/>
            <w:vMerge/>
            <w:tcBorders>
              <w:top w:val="nil"/>
              <w:left w:val="single" w:sz="4" w:space="0" w:color="000000"/>
              <w:bottom w:val="single" w:sz="4" w:space="0" w:color="000000"/>
              <w:right w:val="single" w:sz="4" w:space="0" w:color="000000"/>
            </w:tcBorders>
            <w:shd w:val="clear" w:color="auto" w:fill="auto"/>
            <w:vAlign w:val="center"/>
          </w:tcPr>
          <w:p w14:paraId="1DF786D4" w14:textId="77777777" w:rsidR="00126128" w:rsidRDefault="00126128">
            <w:pPr>
              <w:widowControl w:val="0"/>
              <w:pBdr>
                <w:top w:val="nil"/>
                <w:left w:val="nil"/>
                <w:bottom w:val="nil"/>
                <w:right w:val="nil"/>
                <w:between w:val="nil"/>
              </w:pBdr>
            </w:pPr>
          </w:p>
        </w:tc>
        <w:tc>
          <w:tcPr>
            <w:tcW w:w="1427" w:type="dxa"/>
            <w:tcBorders>
              <w:top w:val="nil"/>
              <w:left w:val="nil"/>
              <w:bottom w:val="single" w:sz="4" w:space="0" w:color="000000"/>
              <w:right w:val="single" w:sz="4" w:space="0" w:color="000000"/>
            </w:tcBorders>
            <w:shd w:val="clear" w:color="auto" w:fill="auto"/>
            <w:vAlign w:val="bottom"/>
          </w:tcPr>
          <w:p w14:paraId="3BFC27EA" w14:textId="77777777" w:rsidR="00126128" w:rsidRDefault="0078150B">
            <w:r>
              <w:t>early</w:t>
            </w:r>
          </w:p>
        </w:tc>
        <w:tc>
          <w:tcPr>
            <w:tcW w:w="1400" w:type="dxa"/>
            <w:tcBorders>
              <w:top w:val="nil"/>
              <w:left w:val="nil"/>
              <w:bottom w:val="single" w:sz="4" w:space="0" w:color="000000"/>
              <w:right w:val="single" w:sz="4" w:space="0" w:color="000000"/>
            </w:tcBorders>
            <w:shd w:val="clear" w:color="auto" w:fill="auto"/>
            <w:vAlign w:val="bottom"/>
          </w:tcPr>
          <w:p w14:paraId="53941EFD" w14:textId="77777777" w:rsidR="00126128" w:rsidRDefault="0078150B">
            <w:r>
              <w:t>10</w:t>
            </w:r>
          </w:p>
        </w:tc>
        <w:tc>
          <w:tcPr>
            <w:tcW w:w="1300" w:type="dxa"/>
            <w:tcBorders>
              <w:top w:val="nil"/>
              <w:left w:val="nil"/>
              <w:bottom w:val="single" w:sz="4" w:space="0" w:color="000000"/>
              <w:right w:val="single" w:sz="4" w:space="0" w:color="000000"/>
            </w:tcBorders>
            <w:shd w:val="clear" w:color="auto" w:fill="auto"/>
            <w:vAlign w:val="bottom"/>
          </w:tcPr>
          <w:p w14:paraId="7475A7B9" w14:textId="77777777" w:rsidR="00126128" w:rsidRDefault="0078150B">
            <w:r>
              <w:t>9</w:t>
            </w:r>
          </w:p>
        </w:tc>
        <w:tc>
          <w:tcPr>
            <w:tcW w:w="940" w:type="dxa"/>
            <w:tcBorders>
              <w:top w:val="nil"/>
              <w:left w:val="nil"/>
              <w:bottom w:val="single" w:sz="4" w:space="0" w:color="000000"/>
              <w:right w:val="single" w:sz="4" w:space="0" w:color="000000"/>
            </w:tcBorders>
            <w:shd w:val="clear" w:color="auto" w:fill="auto"/>
            <w:vAlign w:val="bottom"/>
          </w:tcPr>
          <w:p w14:paraId="60B05FE9" w14:textId="77777777" w:rsidR="00126128" w:rsidRDefault="0078150B">
            <w:r>
              <w:t>90</w:t>
            </w:r>
          </w:p>
        </w:tc>
        <w:tc>
          <w:tcPr>
            <w:tcW w:w="960" w:type="dxa"/>
            <w:tcBorders>
              <w:top w:val="nil"/>
              <w:left w:val="nil"/>
              <w:bottom w:val="single" w:sz="4" w:space="0" w:color="000000"/>
              <w:right w:val="single" w:sz="4" w:space="0" w:color="000000"/>
            </w:tcBorders>
            <w:shd w:val="clear" w:color="auto" w:fill="auto"/>
            <w:vAlign w:val="bottom"/>
          </w:tcPr>
          <w:p w14:paraId="695C69A6" w14:textId="77777777" w:rsidR="00126128" w:rsidRDefault="0078150B">
            <w:r>
              <w:t>1</w:t>
            </w:r>
          </w:p>
        </w:tc>
      </w:tr>
      <w:tr w:rsidR="00126128" w14:paraId="50F9AD38" w14:textId="77777777">
        <w:trPr>
          <w:trHeight w:val="300"/>
        </w:trPr>
        <w:tc>
          <w:tcPr>
            <w:tcW w:w="1365" w:type="dxa"/>
            <w:vMerge/>
            <w:tcBorders>
              <w:top w:val="nil"/>
              <w:left w:val="single" w:sz="4" w:space="0" w:color="000000"/>
              <w:bottom w:val="single" w:sz="4" w:space="0" w:color="000000"/>
              <w:right w:val="single" w:sz="4" w:space="0" w:color="000000"/>
            </w:tcBorders>
            <w:shd w:val="clear" w:color="auto" w:fill="auto"/>
            <w:vAlign w:val="center"/>
          </w:tcPr>
          <w:p w14:paraId="5EFFD760" w14:textId="77777777" w:rsidR="00126128" w:rsidRDefault="00126128">
            <w:pPr>
              <w:widowControl w:val="0"/>
              <w:pBdr>
                <w:top w:val="nil"/>
                <w:left w:val="nil"/>
                <w:bottom w:val="nil"/>
                <w:right w:val="nil"/>
                <w:between w:val="nil"/>
              </w:pBdr>
            </w:pPr>
          </w:p>
        </w:tc>
        <w:tc>
          <w:tcPr>
            <w:tcW w:w="1427" w:type="dxa"/>
            <w:tcBorders>
              <w:top w:val="nil"/>
              <w:left w:val="nil"/>
              <w:bottom w:val="single" w:sz="4" w:space="0" w:color="000000"/>
              <w:right w:val="single" w:sz="4" w:space="0" w:color="000000"/>
            </w:tcBorders>
            <w:shd w:val="clear" w:color="auto" w:fill="auto"/>
            <w:vAlign w:val="bottom"/>
          </w:tcPr>
          <w:p w14:paraId="17F65D7C" w14:textId="77777777" w:rsidR="00126128" w:rsidRDefault="0078150B">
            <w:r>
              <w:t>intermediate</w:t>
            </w:r>
          </w:p>
        </w:tc>
        <w:tc>
          <w:tcPr>
            <w:tcW w:w="1400" w:type="dxa"/>
            <w:tcBorders>
              <w:top w:val="nil"/>
              <w:left w:val="nil"/>
              <w:bottom w:val="single" w:sz="4" w:space="0" w:color="000000"/>
              <w:right w:val="single" w:sz="4" w:space="0" w:color="000000"/>
            </w:tcBorders>
            <w:shd w:val="clear" w:color="auto" w:fill="auto"/>
            <w:vAlign w:val="bottom"/>
          </w:tcPr>
          <w:p w14:paraId="616D2F31" w14:textId="77777777" w:rsidR="00126128" w:rsidRDefault="0078150B">
            <w:r>
              <w:t>7</w:t>
            </w:r>
          </w:p>
        </w:tc>
        <w:tc>
          <w:tcPr>
            <w:tcW w:w="1300" w:type="dxa"/>
            <w:tcBorders>
              <w:top w:val="nil"/>
              <w:left w:val="nil"/>
              <w:bottom w:val="single" w:sz="4" w:space="0" w:color="000000"/>
              <w:right w:val="single" w:sz="4" w:space="0" w:color="000000"/>
            </w:tcBorders>
            <w:shd w:val="clear" w:color="auto" w:fill="auto"/>
            <w:vAlign w:val="bottom"/>
          </w:tcPr>
          <w:p w14:paraId="34B86024" w14:textId="77777777" w:rsidR="00126128" w:rsidRDefault="0078150B">
            <w:r>
              <w:t>4</w:t>
            </w:r>
          </w:p>
        </w:tc>
        <w:tc>
          <w:tcPr>
            <w:tcW w:w="940" w:type="dxa"/>
            <w:tcBorders>
              <w:top w:val="nil"/>
              <w:left w:val="nil"/>
              <w:bottom w:val="single" w:sz="4" w:space="0" w:color="000000"/>
              <w:right w:val="single" w:sz="4" w:space="0" w:color="000000"/>
            </w:tcBorders>
            <w:shd w:val="clear" w:color="auto" w:fill="auto"/>
            <w:vAlign w:val="bottom"/>
          </w:tcPr>
          <w:p w14:paraId="204D09CA" w14:textId="77777777" w:rsidR="00126128" w:rsidRDefault="0078150B">
            <w:r>
              <w:t>57</w:t>
            </w:r>
          </w:p>
        </w:tc>
        <w:tc>
          <w:tcPr>
            <w:tcW w:w="960" w:type="dxa"/>
            <w:tcBorders>
              <w:top w:val="nil"/>
              <w:left w:val="nil"/>
              <w:bottom w:val="single" w:sz="4" w:space="0" w:color="000000"/>
              <w:right w:val="single" w:sz="4" w:space="0" w:color="000000"/>
            </w:tcBorders>
            <w:shd w:val="clear" w:color="auto" w:fill="auto"/>
            <w:vAlign w:val="bottom"/>
          </w:tcPr>
          <w:p w14:paraId="467D5383" w14:textId="77777777" w:rsidR="00126128" w:rsidRDefault="0078150B">
            <w:r>
              <w:t>3</w:t>
            </w:r>
          </w:p>
        </w:tc>
      </w:tr>
      <w:tr w:rsidR="00126128" w14:paraId="155BB75C" w14:textId="77777777">
        <w:trPr>
          <w:trHeight w:val="300"/>
        </w:trPr>
        <w:tc>
          <w:tcPr>
            <w:tcW w:w="1365" w:type="dxa"/>
            <w:vMerge/>
            <w:tcBorders>
              <w:top w:val="nil"/>
              <w:left w:val="single" w:sz="4" w:space="0" w:color="000000"/>
              <w:bottom w:val="single" w:sz="4" w:space="0" w:color="000000"/>
              <w:right w:val="single" w:sz="4" w:space="0" w:color="000000"/>
            </w:tcBorders>
            <w:shd w:val="clear" w:color="auto" w:fill="auto"/>
            <w:vAlign w:val="center"/>
          </w:tcPr>
          <w:p w14:paraId="15771503" w14:textId="77777777" w:rsidR="00126128" w:rsidRDefault="00126128">
            <w:pPr>
              <w:widowControl w:val="0"/>
              <w:pBdr>
                <w:top w:val="nil"/>
                <w:left w:val="nil"/>
                <w:bottom w:val="nil"/>
                <w:right w:val="nil"/>
                <w:between w:val="nil"/>
              </w:pBdr>
            </w:pPr>
          </w:p>
        </w:tc>
        <w:tc>
          <w:tcPr>
            <w:tcW w:w="1427" w:type="dxa"/>
            <w:tcBorders>
              <w:top w:val="nil"/>
              <w:left w:val="nil"/>
              <w:bottom w:val="single" w:sz="4" w:space="0" w:color="000000"/>
              <w:right w:val="single" w:sz="4" w:space="0" w:color="000000"/>
            </w:tcBorders>
            <w:shd w:val="clear" w:color="auto" w:fill="auto"/>
            <w:vAlign w:val="bottom"/>
          </w:tcPr>
          <w:p w14:paraId="146DDB80" w14:textId="77777777" w:rsidR="00126128" w:rsidRDefault="0078150B">
            <w:r>
              <w:t>late</w:t>
            </w:r>
          </w:p>
        </w:tc>
        <w:tc>
          <w:tcPr>
            <w:tcW w:w="1400" w:type="dxa"/>
            <w:tcBorders>
              <w:top w:val="nil"/>
              <w:left w:val="nil"/>
              <w:bottom w:val="single" w:sz="4" w:space="0" w:color="000000"/>
              <w:right w:val="single" w:sz="4" w:space="0" w:color="000000"/>
            </w:tcBorders>
            <w:shd w:val="clear" w:color="auto" w:fill="auto"/>
            <w:vAlign w:val="bottom"/>
          </w:tcPr>
          <w:p w14:paraId="558A74F2" w14:textId="77777777" w:rsidR="00126128" w:rsidRDefault="0078150B">
            <w:r>
              <w:t>10</w:t>
            </w:r>
          </w:p>
        </w:tc>
        <w:tc>
          <w:tcPr>
            <w:tcW w:w="1300" w:type="dxa"/>
            <w:tcBorders>
              <w:top w:val="nil"/>
              <w:left w:val="nil"/>
              <w:bottom w:val="single" w:sz="4" w:space="0" w:color="000000"/>
              <w:right w:val="single" w:sz="4" w:space="0" w:color="000000"/>
            </w:tcBorders>
            <w:shd w:val="clear" w:color="auto" w:fill="auto"/>
            <w:vAlign w:val="bottom"/>
          </w:tcPr>
          <w:p w14:paraId="3BB551A3" w14:textId="77777777" w:rsidR="00126128" w:rsidRDefault="0078150B">
            <w:r>
              <w:t>5</w:t>
            </w:r>
          </w:p>
        </w:tc>
        <w:tc>
          <w:tcPr>
            <w:tcW w:w="940" w:type="dxa"/>
            <w:tcBorders>
              <w:top w:val="nil"/>
              <w:left w:val="nil"/>
              <w:bottom w:val="single" w:sz="4" w:space="0" w:color="000000"/>
              <w:right w:val="single" w:sz="4" w:space="0" w:color="000000"/>
            </w:tcBorders>
            <w:shd w:val="clear" w:color="auto" w:fill="auto"/>
            <w:vAlign w:val="bottom"/>
          </w:tcPr>
          <w:p w14:paraId="3609BF5E" w14:textId="77777777" w:rsidR="00126128" w:rsidRDefault="0078150B">
            <w:r>
              <w:t>50</w:t>
            </w:r>
          </w:p>
        </w:tc>
        <w:tc>
          <w:tcPr>
            <w:tcW w:w="960" w:type="dxa"/>
            <w:tcBorders>
              <w:top w:val="nil"/>
              <w:left w:val="nil"/>
              <w:bottom w:val="single" w:sz="4" w:space="0" w:color="000000"/>
              <w:right w:val="single" w:sz="4" w:space="0" w:color="000000"/>
            </w:tcBorders>
            <w:shd w:val="clear" w:color="auto" w:fill="auto"/>
            <w:vAlign w:val="bottom"/>
          </w:tcPr>
          <w:p w14:paraId="2EFF5B3B" w14:textId="77777777" w:rsidR="00126128" w:rsidRDefault="0078150B">
            <w:r>
              <w:t>5</w:t>
            </w:r>
          </w:p>
        </w:tc>
      </w:tr>
    </w:tbl>
    <w:p w14:paraId="7A95FE7D" w14:textId="77777777" w:rsidR="00126128" w:rsidRDefault="00126128">
      <w:pPr>
        <w:rPr>
          <w:b/>
        </w:rPr>
      </w:pPr>
    </w:p>
    <w:p w14:paraId="6750F8D8" w14:textId="77777777" w:rsidR="00126128" w:rsidRDefault="00126128"/>
    <w:p w14:paraId="286764FD" w14:textId="77777777" w:rsidR="00126128" w:rsidRDefault="00126128">
      <w:pPr>
        <w:rPr>
          <w:b/>
        </w:rPr>
      </w:pPr>
    </w:p>
    <w:p w14:paraId="233A209C" w14:textId="77777777" w:rsidR="004C1331" w:rsidRDefault="004C1331">
      <w:pPr>
        <w:rPr>
          <w:b/>
        </w:rPr>
      </w:pPr>
      <w:r>
        <w:rPr>
          <w:b/>
        </w:rPr>
        <w:br w:type="page"/>
      </w:r>
    </w:p>
    <w:p w14:paraId="219A14AE" w14:textId="25B1709E" w:rsidR="00126128" w:rsidRDefault="0078150B">
      <w:pPr>
        <w:rPr>
          <w:b/>
        </w:rPr>
      </w:pPr>
      <w:r>
        <w:rPr>
          <w:b/>
        </w:rPr>
        <w:lastRenderedPageBreak/>
        <w:t>2.5. Trauma</w:t>
      </w:r>
    </w:p>
    <w:p w14:paraId="6CC4DA09" w14:textId="5237C629" w:rsidR="00126128" w:rsidRDefault="0078150B">
      <w:pPr>
        <w:rPr>
          <w:highlight w:val="white"/>
        </w:rPr>
      </w:pPr>
      <w:r w:rsidRPr="002A3A4F">
        <w:rPr>
          <w:b/>
        </w:rPr>
        <w:t>Table S</w:t>
      </w:r>
      <w:r w:rsidR="00842C73">
        <w:rPr>
          <w:b/>
        </w:rPr>
        <w:t>10.</w:t>
      </w:r>
      <w:r w:rsidRPr="002A3A4F">
        <w:rPr>
          <w:b/>
        </w:rPr>
        <w:t xml:space="preserve"> Description</w:t>
      </w:r>
      <w:r>
        <w:rPr>
          <w:b/>
        </w:rPr>
        <w:t xml:space="preserve"> </w:t>
      </w:r>
      <w:r>
        <w:rPr>
          <w:b/>
          <w:highlight w:val="white"/>
        </w:rPr>
        <w:t xml:space="preserve">of trauma on dog remains from Bankside. </w:t>
      </w:r>
      <w:r>
        <w:rPr>
          <w:highlight w:val="white"/>
        </w:rPr>
        <w:t>n.b.</w:t>
      </w:r>
      <w:r>
        <w:rPr>
          <w:b/>
          <w:highlight w:val="white"/>
        </w:rPr>
        <w:t xml:space="preserve"> </w:t>
      </w:r>
      <w:r>
        <w:rPr>
          <w:highlight w:val="white"/>
        </w:rPr>
        <w:t>A number of these remains displayed multiple instances of trauma (see “Pathology” column).</w:t>
      </w:r>
    </w:p>
    <w:tbl>
      <w:tblPr>
        <w:tblStyle w:val="aff1"/>
        <w:tblW w:w="86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5"/>
        <w:gridCol w:w="1110"/>
        <w:gridCol w:w="1110"/>
        <w:gridCol w:w="1095"/>
        <w:gridCol w:w="2055"/>
        <w:gridCol w:w="1800"/>
      </w:tblGrid>
      <w:tr w:rsidR="00126128" w14:paraId="138E2D8E" w14:textId="77777777">
        <w:trPr>
          <w:trHeight w:val="485"/>
        </w:trPr>
        <w:tc>
          <w:tcPr>
            <w:tcW w:w="1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ED7451" w14:textId="77777777" w:rsidR="00126128" w:rsidRDefault="0078150B">
            <w:pPr>
              <w:widowControl w:val="0"/>
              <w:rPr>
                <w:b/>
                <w:highlight w:val="white"/>
              </w:rPr>
            </w:pPr>
            <w:r>
              <w:rPr>
                <w:b/>
                <w:highlight w:val="white"/>
              </w:rPr>
              <w:t>Database ID</w:t>
            </w: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943ABD" w14:textId="77777777" w:rsidR="00126128" w:rsidRDefault="0078150B">
            <w:pPr>
              <w:widowControl w:val="0"/>
              <w:rPr>
                <w:b/>
                <w:highlight w:val="white"/>
              </w:rPr>
            </w:pPr>
            <w:r>
              <w:rPr>
                <w:b/>
                <w:highlight w:val="white"/>
              </w:rPr>
              <w:t>Site Code</w:t>
            </w: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9E5367" w14:textId="77777777" w:rsidR="00126128" w:rsidRDefault="0078150B">
            <w:pPr>
              <w:widowControl w:val="0"/>
              <w:rPr>
                <w:b/>
                <w:highlight w:val="white"/>
              </w:rPr>
            </w:pPr>
            <w:r>
              <w:rPr>
                <w:b/>
                <w:highlight w:val="white"/>
              </w:rPr>
              <w:t>Context</w:t>
            </w: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F2823E" w14:textId="77777777" w:rsidR="00126128" w:rsidRDefault="0078150B">
            <w:pPr>
              <w:widowControl w:val="0"/>
              <w:rPr>
                <w:b/>
                <w:highlight w:val="white"/>
              </w:rPr>
            </w:pPr>
            <w:r>
              <w:rPr>
                <w:b/>
                <w:highlight w:val="white"/>
              </w:rPr>
              <w:t>Element</w:t>
            </w:r>
          </w:p>
        </w:tc>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7B469C" w14:textId="77777777" w:rsidR="00126128" w:rsidRDefault="0078150B">
            <w:pPr>
              <w:widowControl w:val="0"/>
              <w:rPr>
                <w:b/>
                <w:highlight w:val="white"/>
              </w:rPr>
            </w:pPr>
            <w:r>
              <w:rPr>
                <w:b/>
                <w:highlight w:val="white"/>
              </w:rPr>
              <w:t>Pathology</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50B074" w14:textId="77777777" w:rsidR="00126128" w:rsidRDefault="0078150B">
            <w:pPr>
              <w:widowControl w:val="0"/>
              <w:rPr>
                <w:b/>
                <w:highlight w:val="white"/>
              </w:rPr>
            </w:pPr>
            <w:r>
              <w:rPr>
                <w:b/>
                <w:highlight w:val="white"/>
              </w:rPr>
              <w:t>Comments</w:t>
            </w:r>
          </w:p>
        </w:tc>
      </w:tr>
      <w:tr w:rsidR="00126128" w14:paraId="2CF56D88" w14:textId="77777777">
        <w:trPr>
          <w:trHeight w:val="485"/>
        </w:trPr>
        <w:tc>
          <w:tcPr>
            <w:tcW w:w="1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766B24" w14:textId="77777777" w:rsidR="00126128" w:rsidRDefault="0078150B">
            <w:pPr>
              <w:widowControl w:val="0"/>
              <w:rPr>
                <w:highlight w:val="white"/>
              </w:rPr>
            </w:pPr>
            <w:r>
              <w:rPr>
                <w:highlight w:val="white"/>
              </w:rPr>
              <w:t>B72</w:t>
            </w: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F913A6" w14:textId="77777777" w:rsidR="00126128" w:rsidRDefault="0078150B">
            <w:pPr>
              <w:widowControl w:val="0"/>
              <w:rPr>
                <w:highlight w:val="white"/>
              </w:rPr>
            </w:pPr>
            <w:r>
              <w:rPr>
                <w:highlight w:val="white"/>
              </w:rPr>
              <w:t>NGW00</w:t>
            </w: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73C3C3" w14:textId="77777777" w:rsidR="00126128" w:rsidRDefault="0078150B">
            <w:pPr>
              <w:widowControl w:val="0"/>
              <w:rPr>
                <w:highlight w:val="white"/>
              </w:rPr>
            </w:pPr>
            <w:r>
              <w:rPr>
                <w:highlight w:val="white"/>
              </w:rPr>
              <w:t>45</w:t>
            </w: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29DE5D" w14:textId="77777777" w:rsidR="00126128" w:rsidRDefault="0078150B">
            <w:pPr>
              <w:widowControl w:val="0"/>
              <w:rPr>
                <w:highlight w:val="white"/>
              </w:rPr>
            </w:pPr>
            <w:r>
              <w:rPr>
                <w:highlight w:val="white"/>
              </w:rPr>
              <w:t>Rib</w:t>
            </w:r>
          </w:p>
        </w:tc>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447D69" w14:textId="77777777" w:rsidR="00126128" w:rsidRDefault="0078150B">
            <w:pPr>
              <w:widowControl w:val="0"/>
              <w:rPr>
                <w:highlight w:val="white"/>
              </w:rPr>
            </w:pPr>
            <w:r>
              <w:rPr>
                <w:highlight w:val="white"/>
              </w:rPr>
              <w:t>rib with rehealed fracture</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8C0701" w14:textId="77777777" w:rsidR="00126128" w:rsidRDefault="00126128">
            <w:pPr>
              <w:widowControl w:val="0"/>
              <w:rPr>
                <w:highlight w:val="white"/>
              </w:rPr>
            </w:pPr>
          </w:p>
        </w:tc>
      </w:tr>
      <w:tr w:rsidR="00126128" w14:paraId="21CA2720" w14:textId="77777777">
        <w:trPr>
          <w:trHeight w:val="485"/>
        </w:trPr>
        <w:tc>
          <w:tcPr>
            <w:tcW w:w="1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77CEC6" w14:textId="77777777" w:rsidR="00126128" w:rsidRDefault="0078150B">
            <w:pPr>
              <w:widowControl w:val="0"/>
              <w:rPr>
                <w:highlight w:val="white"/>
              </w:rPr>
            </w:pPr>
            <w:r>
              <w:rPr>
                <w:highlight w:val="white"/>
              </w:rPr>
              <w:t>B112</w:t>
            </w: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447000" w14:textId="77777777" w:rsidR="00126128" w:rsidRDefault="0078150B">
            <w:pPr>
              <w:widowControl w:val="0"/>
              <w:rPr>
                <w:highlight w:val="white"/>
              </w:rPr>
            </w:pPr>
            <w:r>
              <w:rPr>
                <w:highlight w:val="white"/>
              </w:rPr>
              <w:t>NGW00</w:t>
            </w: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898353" w14:textId="77777777" w:rsidR="00126128" w:rsidRDefault="0078150B">
            <w:pPr>
              <w:widowControl w:val="0"/>
              <w:rPr>
                <w:highlight w:val="white"/>
              </w:rPr>
            </w:pPr>
            <w:r>
              <w:rPr>
                <w:highlight w:val="white"/>
              </w:rPr>
              <w:t>63</w:t>
            </w: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7FBA07" w14:textId="77777777" w:rsidR="00126128" w:rsidRDefault="0078150B">
            <w:pPr>
              <w:widowControl w:val="0"/>
              <w:rPr>
                <w:highlight w:val="white"/>
              </w:rPr>
            </w:pPr>
            <w:r>
              <w:rPr>
                <w:highlight w:val="white"/>
              </w:rPr>
              <w:t>Rib</w:t>
            </w:r>
          </w:p>
        </w:tc>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108532" w14:textId="77777777" w:rsidR="00126128" w:rsidRDefault="0078150B">
            <w:pPr>
              <w:widowControl w:val="0"/>
              <w:rPr>
                <w:highlight w:val="white"/>
              </w:rPr>
            </w:pPr>
            <w:r>
              <w:rPr>
                <w:highlight w:val="white"/>
              </w:rPr>
              <w:t>rib with rehealed fracture</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D2A328" w14:textId="0DA01CFD" w:rsidR="00126128" w:rsidRDefault="0078150B">
            <w:pPr>
              <w:widowControl w:val="0"/>
              <w:rPr>
                <w:highlight w:val="white"/>
              </w:rPr>
            </w:pPr>
            <w:r>
              <w:rPr>
                <w:highlight w:val="white"/>
              </w:rPr>
              <w:t>Photo included in Fig</w:t>
            </w:r>
            <w:r w:rsidR="009E1237">
              <w:rPr>
                <w:highlight w:val="white"/>
              </w:rPr>
              <w:t>ure</w:t>
            </w:r>
            <w:r>
              <w:rPr>
                <w:highlight w:val="white"/>
              </w:rPr>
              <w:t xml:space="preserve"> 7</w:t>
            </w:r>
          </w:p>
        </w:tc>
      </w:tr>
      <w:tr w:rsidR="00126128" w14:paraId="56773206" w14:textId="77777777">
        <w:trPr>
          <w:trHeight w:val="485"/>
        </w:trPr>
        <w:tc>
          <w:tcPr>
            <w:tcW w:w="1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4BB82F" w14:textId="77777777" w:rsidR="00126128" w:rsidRDefault="0078150B">
            <w:pPr>
              <w:widowControl w:val="0"/>
              <w:rPr>
                <w:highlight w:val="white"/>
              </w:rPr>
            </w:pPr>
            <w:r>
              <w:rPr>
                <w:highlight w:val="white"/>
              </w:rPr>
              <w:t>B113</w:t>
            </w: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E5E0CD" w14:textId="77777777" w:rsidR="00126128" w:rsidRDefault="0078150B">
            <w:pPr>
              <w:widowControl w:val="0"/>
              <w:rPr>
                <w:highlight w:val="white"/>
              </w:rPr>
            </w:pPr>
            <w:r>
              <w:rPr>
                <w:highlight w:val="white"/>
              </w:rPr>
              <w:t>NGW00</w:t>
            </w: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EE10BC" w14:textId="77777777" w:rsidR="00126128" w:rsidRDefault="0078150B">
            <w:pPr>
              <w:widowControl w:val="0"/>
              <w:rPr>
                <w:highlight w:val="white"/>
              </w:rPr>
            </w:pPr>
            <w:r>
              <w:rPr>
                <w:highlight w:val="white"/>
              </w:rPr>
              <w:t>63</w:t>
            </w: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04C44E" w14:textId="77777777" w:rsidR="00126128" w:rsidRDefault="0078150B">
            <w:pPr>
              <w:widowControl w:val="0"/>
              <w:rPr>
                <w:highlight w:val="white"/>
              </w:rPr>
            </w:pPr>
            <w:r>
              <w:rPr>
                <w:highlight w:val="white"/>
              </w:rPr>
              <w:t>Rib</w:t>
            </w:r>
          </w:p>
        </w:tc>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EBAD2B" w14:textId="77777777" w:rsidR="00126128" w:rsidRDefault="0078150B">
            <w:pPr>
              <w:widowControl w:val="0"/>
              <w:rPr>
                <w:highlight w:val="white"/>
              </w:rPr>
            </w:pPr>
            <w:r>
              <w:rPr>
                <w:highlight w:val="white"/>
              </w:rPr>
              <w:t>rib with rehealed fracture</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5F1361" w14:textId="77777777" w:rsidR="00126128" w:rsidRDefault="0078150B">
            <w:pPr>
              <w:widowControl w:val="0"/>
              <w:rPr>
                <w:highlight w:val="white"/>
              </w:rPr>
            </w:pPr>
            <w:r>
              <w:rPr>
                <w:highlight w:val="white"/>
              </w:rPr>
              <w:t xml:space="preserve"> </w:t>
            </w:r>
          </w:p>
        </w:tc>
      </w:tr>
      <w:tr w:rsidR="00126128" w14:paraId="60ED98BB" w14:textId="77777777">
        <w:trPr>
          <w:trHeight w:val="485"/>
        </w:trPr>
        <w:tc>
          <w:tcPr>
            <w:tcW w:w="1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C6FC74" w14:textId="77777777" w:rsidR="00126128" w:rsidRDefault="0078150B">
            <w:pPr>
              <w:widowControl w:val="0"/>
              <w:rPr>
                <w:highlight w:val="white"/>
              </w:rPr>
            </w:pPr>
            <w:r>
              <w:rPr>
                <w:highlight w:val="white"/>
              </w:rPr>
              <w:t>B161</w:t>
            </w: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CFB3AD" w14:textId="77777777" w:rsidR="00126128" w:rsidRDefault="0078150B">
            <w:pPr>
              <w:widowControl w:val="0"/>
              <w:rPr>
                <w:highlight w:val="white"/>
              </w:rPr>
            </w:pPr>
            <w:r>
              <w:rPr>
                <w:highlight w:val="white"/>
              </w:rPr>
              <w:t>NGW00</w:t>
            </w: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2CBCE8" w14:textId="77777777" w:rsidR="00126128" w:rsidRDefault="0078150B">
            <w:pPr>
              <w:widowControl w:val="0"/>
              <w:rPr>
                <w:highlight w:val="white"/>
              </w:rPr>
            </w:pPr>
            <w:r>
              <w:rPr>
                <w:highlight w:val="white"/>
              </w:rPr>
              <w:t>63</w:t>
            </w: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57C795" w14:textId="77777777" w:rsidR="00126128" w:rsidRDefault="0078150B">
            <w:pPr>
              <w:widowControl w:val="0"/>
              <w:rPr>
                <w:highlight w:val="white"/>
              </w:rPr>
            </w:pPr>
            <w:r>
              <w:rPr>
                <w:highlight w:val="white"/>
              </w:rPr>
              <w:t>Fibula</w:t>
            </w:r>
          </w:p>
        </w:tc>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90548E" w14:textId="77777777" w:rsidR="00126128" w:rsidRDefault="0078150B">
            <w:pPr>
              <w:widowControl w:val="0"/>
              <w:rPr>
                <w:highlight w:val="white"/>
              </w:rPr>
            </w:pPr>
            <w:r>
              <w:rPr>
                <w:highlight w:val="white"/>
              </w:rPr>
              <w:t>fibula with rehealed fracture</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08929F" w14:textId="23750047" w:rsidR="00126128" w:rsidRDefault="0078150B">
            <w:pPr>
              <w:widowControl w:val="0"/>
              <w:rPr>
                <w:highlight w:val="white"/>
              </w:rPr>
            </w:pPr>
            <w:r>
              <w:rPr>
                <w:highlight w:val="white"/>
              </w:rPr>
              <w:t>Photo included in Fig</w:t>
            </w:r>
            <w:r w:rsidR="009E1237">
              <w:rPr>
                <w:highlight w:val="white"/>
              </w:rPr>
              <w:t>ure</w:t>
            </w:r>
            <w:r>
              <w:rPr>
                <w:highlight w:val="white"/>
              </w:rPr>
              <w:t xml:space="preserve"> 7</w:t>
            </w:r>
          </w:p>
        </w:tc>
      </w:tr>
      <w:tr w:rsidR="00126128" w14:paraId="52E43676" w14:textId="77777777">
        <w:trPr>
          <w:trHeight w:val="485"/>
        </w:trPr>
        <w:tc>
          <w:tcPr>
            <w:tcW w:w="1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0915E7" w14:textId="77777777" w:rsidR="00126128" w:rsidRDefault="0078150B">
            <w:pPr>
              <w:widowControl w:val="0"/>
              <w:rPr>
                <w:highlight w:val="white"/>
              </w:rPr>
            </w:pPr>
            <w:r>
              <w:rPr>
                <w:highlight w:val="white"/>
              </w:rPr>
              <w:t>B567</w:t>
            </w: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99FBD5" w14:textId="77777777" w:rsidR="00126128" w:rsidRDefault="0078150B">
            <w:pPr>
              <w:widowControl w:val="0"/>
              <w:rPr>
                <w:highlight w:val="white"/>
              </w:rPr>
            </w:pPr>
            <w:r>
              <w:rPr>
                <w:highlight w:val="white"/>
              </w:rPr>
              <w:t>BGU08</w:t>
            </w: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5F0E12" w14:textId="77777777" w:rsidR="00126128" w:rsidRDefault="0078150B">
            <w:pPr>
              <w:widowControl w:val="0"/>
              <w:rPr>
                <w:highlight w:val="white"/>
              </w:rPr>
            </w:pPr>
            <w:r>
              <w:rPr>
                <w:highlight w:val="white"/>
              </w:rPr>
              <w:t>48</w:t>
            </w: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AB8D65" w14:textId="77777777" w:rsidR="00126128" w:rsidRDefault="0078150B">
            <w:pPr>
              <w:widowControl w:val="0"/>
              <w:rPr>
                <w:highlight w:val="white"/>
              </w:rPr>
            </w:pPr>
            <w:r>
              <w:rPr>
                <w:highlight w:val="white"/>
              </w:rPr>
              <w:t>Cranium</w:t>
            </w:r>
          </w:p>
        </w:tc>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5C5920" w14:textId="77777777" w:rsidR="00126128" w:rsidRDefault="0078150B">
            <w:pPr>
              <w:widowControl w:val="0"/>
              <w:rPr>
                <w:highlight w:val="white"/>
              </w:rPr>
            </w:pPr>
            <w:r>
              <w:rPr>
                <w:highlight w:val="white"/>
              </w:rPr>
              <w:t xml:space="preserve">almost complete skull; looks like may have received blow to the head on right side - no sign of rehealing. </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D3D6CC" w14:textId="77777777" w:rsidR="00126128" w:rsidRDefault="00126128">
            <w:pPr>
              <w:widowControl w:val="0"/>
              <w:rPr>
                <w:highlight w:val="white"/>
              </w:rPr>
            </w:pPr>
          </w:p>
        </w:tc>
      </w:tr>
      <w:tr w:rsidR="00126128" w14:paraId="6B56495E" w14:textId="77777777">
        <w:trPr>
          <w:trHeight w:val="485"/>
        </w:trPr>
        <w:tc>
          <w:tcPr>
            <w:tcW w:w="1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0A2B5B" w14:textId="77777777" w:rsidR="00126128" w:rsidRDefault="0078150B">
            <w:pPr>
              <w:widowControl w:val="0"/>
              <w:rPr>
                <w:highlight w:val="white"/>
              </w:rPr>
            </w:pPr>
            <w:r>
              <w:rPr>
                <w:highlight w:val="white"/>
              </w:rPr>
              <w:t>B651/652</w:t>
            </w: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2DF768" w14:textId="77777777" w:rsidR="00126128" w:rsidRDefault="0078150B">
            <w:pPr>
              <w:widowControl w:val="0"/>
              <w:rPr>
                <w:highlight w:val="white"/>
              </w:rPr>
            </w:pPr>
            <w:r>
              <w:rPr>
                <w:highlight w:val="white"/>
              </w:rPr>
              <w:t>SBH88</w:t>
            </w: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793735" w14:textId="77777777" w:rsidR="00126128" w:rsidRDefault="0078150B">
            <w:pPr>
              <w:widowControl w:val="0"/>
              <w:rPr>
                <w:highlight w:val="white"/>
              </w:rPr>
            </w:pPr>
            <w:r>
              <w:rPr>
                <w:highlight w:val="white"/>
              </w:rPr>
              <w:t>347</w:t>
            </w: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47D1B4" w14:textId="77777777" w:rsidR="00126128" w:rsidRDefault="0078150B">
            <w:pPr>
              <w:widowControl w:val="0"/>
              <w:rPr>
                <w:highlight w:val="white"/>
              </w:rPr>
            </w:pPr>
            <w:r>
              <w:rPr>
                <w:highlight w:val="white"/>
              </w:rPr>
              <w:t>Cranium</w:t>
            </w:r>
          </w:p>
        </w:tc>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44E459" w14:textId="77777777" w:rsidR="00126128" w:rsidRDefault="0078150B">
            <w:pPr>
              <w:widowControl w:val="0"/>
              <w:rPr>
                <w:highlight w:val="white"/>
              </w:rPr>
            </w:pPr>
            <w:r>
              <w:rPr>
                <w:highlight w:val="white"/>
              </w:rPr>
              <w:t>trauma and rehealing above left and right eye sockets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F8EAD8" w14:textId="77777777" w:rsidR="00126128" w:rsidRDefault="00126128">
            <w:pPr>
              <w:widowControl w:val="0"/>
              <w:rPr>
                <w:highlight w:val="white"/>
              </w:rPr>
            </w:pPr>
          </w:p>
        </w:tc>
      </w:tr>
      <w:tr w:rsidR="00126128" w14:paraId="4A365F56" w14:textId="77777777">
        <w:trPr>
          <w:trHeight w:val="485"/>
        </w:trPr>
        <w:tc>
          <w:tcPr>
            <w:tcW w:w="1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498060" w14:textId="77777777" w:rsidR="00126128" w:rsidRDefault="0078150B">
            <w:pPr>
              <w:widowControl w:val="0"/>
              <w:rPr>
                <w:highlight w:val="white"/>
              </w:rPr>
            </w:pPr>
            <w:r>
              <w:rPr>
                <w:highlight w:val="white"/>
              </w:rPr>
              <w:t>B846</w:t>
            </w: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CECBFF" w14:textId="77777777" w:rsidR="00126128" w:rsidRDefault="0078150B">
            <w:pPr>
              <w:widowControl w:val="0"/>
              <w:rPr>
                <w:highlight w:val="white"/>
              </w:rPr>
            </w:pPr>
            <w:r>
              <w:rPr>
                <w:highlight w:val="white"/>
              </w:rPr>
              <w:t>EMH12</w:t>
            </w: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74EFC6" w14:textId="77777777" w:rsidR="00126128" w:rsidRDefault="0078150B">
            <w:pPr>
              <w:widowControl w:val="0"/>
              <w:rPr>
                <w:highlight w:val="white"/>
              </w:rPr>
            </w:pPr>
            <w:r>
              <w:rPr>
                <w:highlight w:val="white"/>
              </w:rPr>
              <w:t>403</w:t>
            </w: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1F3540" w14:textId="77777777" w:rsidR="00126128" w:rsidRDefault="0078150B">
            <w:pPr>
              <w:widowControl w:val="0"/>
              <w:rPr>
                <w:highlight w:val="white"/>
              </w:rPr>
            </w:pPr>
            <w:r>
              <w:rPr>
                <w:highlight w:val="white"/>
              </w:rPr>
              <w:t>Rib</w:t>
            </w:r>
          </w:p>
        </w:tc>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4ACC8B" w14:textId="77777777" w:rsidR="00126128" w:rsidRDefault="0078150B">
            <w:pPr>
              <w:widowControl w:val="0"/>
              <w:rPr>
                <w:highlight w:val="white"/>
              </w:rPr>
            </w:pPr>
            <w:r>
              <w:rPr>
                <w:highlight w:val="white"/>
              </w:rPr>
              <w:t>rib with rehealed fracture</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95A061" w14:textId="77777777" w:rsidR="00126128" w:rsidRDefault="00126128">
            <w:pPr>
              <w:widowControl w:val="0"/>
              <w:rPr>
                <w:highlight w:val="white"/>
              </w:rPr>
            </w:pPr>
          </w:p>
        </w:tc>
      </w:tr>
      <w:tr w:rsidR="00126128" w14:paraId="24A6E5BA" w14:textId="77777777">
        <w:trPr>
          <w:trHeight w:val="1025"/>
        </w:trPr>
        <w:tc>
          <w:tcPr>
            <w:tcW w:w="1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F445A1" w14:textId="77777777" w:rsidR="00126128" w:rsidRDefault="0078150B">
            <w:pPr>
              <w:widowControl w:val="0"/>
              <w:rPr>
                <w:highlight w:val="white"/>
              </w:rPr>
            </w:pPr>
            <w:r>
              <w:rPr>
                <w:highlight w:val="white"/>
              </w:rPr>
              <w:t>B861/862</w:t>
            </w: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1FEDBC" w14:textId="77777777" w:rsidR="00126128" w:rsidRDefault="0078150B">
            <w:pPr>
              <w:widowControl w:val="0"/>
              <w:rPr>
                <w:highlight w:val="white"/>
              </w:rPr>
            </w:pPr>
            <w:r>
              <w:rPr>
                <w:highlight w:val="white"/>
              </w:rPr>
              <w:t>EMH12</w:t>
            </w: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EFFA46" w14:textId="77777777" w:rsidR="00126128" w:rsidRDefault="0078150B">
            <w:pPr>
              <w:widowControl w:val="0"/>
              <w:rPr>
                <w:highlight w:val="white"/>
              </w:rPr>
            </w:pPr>
            <w:r>
              <w:rPr>
                <w:highlight w:val="white"/>
              </w:rPr>
              <w:t>403</w:t>
            </w: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611305" w14:textId="77777777" w:rsidR="00126128" w:rsidRDefault="0078150B">
            <w:pPr>
              <w:widowControl w:val="0"/>
              <w:rPr>
                <w:highlight w:val="white"/>
              </w:rPr>
            </w:pPr>
            <w:r>
              <w:rPr>
                <w:highlight w:val="white"/>
              </w:rPr>
              <w:t>Cranium</w:t>
            </w:r>
          </w:p>
        </w:tc>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235425" w14:textId="77777777" w:rsidR="00126128" w:rsidRDefault="0078150B">
            <w:pPr>
              <w:widowControl w:val="0"/>
              <w:rPr>
                <w:highlight w:val="white"/>
              </w:rPr>
            </w:pPr>
            <w:r>
              <w:rPr>
                <w:highlight w:val="white"/>
              </w:rPr>
              <w:t>Skull marked BN26332 and "photo"; depressed fracture on left frontal; fracture lines on nasal</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600B85" w14:textId="33894F4A" w:rsidR="00126128" w:rsidRDefault="0078150B">
            <w:pPr>
              <w:widowControl w:val="0"/>
              <w:rPr>
                <w:color w:val="FF0000"/>
                <w:highlight w:val="white"/>
              </w:rPr>
            </w:pPr>
            <w:r>
              <w:rPr>
                <w:highlight w:val="white"/>
              </w:rPr>
              <w:t>Photo included in Fig</w:t>
            </w:r>
            <w:r w:rsidR="008A7E75">
              <w:rPr>
                <w:highlight w:val="white"/>
              </w:rPr>
              <w:t>ure</w:t>
            </w:r>
            <w:r>
              <w:rPr>
                <w:highlight w:val="white"/>
              </w:rPr>
              <w:t xml:space="preserve"> 7</w:t>
            </w:r>
          </w:p>
        </w:tc>
      </w:tr>
      <w:tr w:rsidR="00126128" w14:paraId="7015340D" w14:textId="77777777">
        <w:trPr>
          <w:trHeight w:val="770"/>
        </w:trPr>
        <w:tc>
          <w:tcPr>
            <w:tcW w:w="1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C7E670" w14:textId="77777777" w:rsidR="00126128" w:rsidRDefault="0078150B">
            <w:pPr>
              <w:widowControl w:val="0"/>
              <w:rPr>
                <w:highlight w:val="white"/>
              </w:rPr>
            </w:pPr>
            <w:r>
              <w:rPr>
                <w:highlight w:val="white"/>
              </w:rPr>
              <w:t>B896/897/T225</w:t>
            </w: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E036AB" w14:textId="77777777" w:rsidR="00126128" w:rsidRDefault="0078150B">
            <w:pPr>
              <w:widowControl w:val="0"/>
              <w:rPr>
                <w:highlight w:val="white"/>
              </w:rPr>
            </w:pPr>
            <w:r>
              <w:rPr>
                <w:highlight w:val="white"/>
              </w:rPr>
              <w:t>EMH12</w:t>
            </w: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9E321D" w14:textId="77777777" w:rsidR="00126128" w:rsidRDefault="0078150B">
            <w:pPr>
              <w:widowControl w:val="0"/>
              <w:rPr>
                <w:highlight w:val="white"/>
              </w:rPr>
            </w:pPr>
            <w:r>
              <w:rPr>
                <w:highlight w:val="white"/>
              </w:rPr>
              <w:t>605</w:t>
            </w: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F53CE7" w14:textId="77777777" w:rsidR="00126128" w:rsidRDefault="0078150B">
            <w:pPr>
              <w:widowControl w:val="0"/>
              <w:rPr>
                <w:highlight w:val="white"/>
              </w:rPr>
            </w:pPr>
            <w:r>
              <w:rPr>
                <w:highlight w:val="white"/>
              </w:rPr>
              <w:t>Cranium</w:t>
            </w:r>
          </w:p>
        </w:tc>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2E56DD" w14:textId="77777777" w:rsidR="00126128" w:rsidRDefault="0078150B">
            <w:pPr>
              <w:widowControl w:val="0"/>
              <w:rPr>
                <w:highlight w:val="white"/>
              </w:rPr>
            </w:pPr>
            <w:r>
              <w:rPr>
                <w:highlight w:val="white"/>
              </w:rPr>
              <w:t>depressed fracture with rehealing on frontal (both left and right), broken right canine (M3 is also missing in this mandible)</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73A52" w14:textId="22D33C19" w:rsidR="00126128" w:rsidRDefault="0078150B">
            <w:pPr>
              <w:widowControl w:val="0"/>
              <w:rPr>
                <w:color w:val="FF0000"/>
                <w:highlight w:val="white"/>
              </w:rPr>
            </w:pPr>
            <w:r>
              <w:rPr>
                <w:highlight w:val="white"/>
              </w:rPr>
              <w:t>Photo included in Fig</w:t>
            </w:r>
            <w:r w:rsidR="008A7E75">
              <w:rPr>
                <w:highlight w:val="white"/>
              </w:rPr>
              <w:t>ure</w:t>
            </w:r>
            <w:r>
              <w:rPr>
                <w:highlight w:val="white"/>
              </w:rPr>
              <w:t xml:space="preserve"> 7</w:t>
            </w:r>
          </w:p>
        </w:tc>
      </w:tr>
    </w:tbl>
    <w:p w14:paraId="787AD5DF" w14:textId="77777777" w:rsidR="00126128" w:rsidRDefault="00126128">
      <w:pPr>
        <w:rPr>
          <w:b/>
        </w:rPr>
      </w:pPr>
    </w:p>
    <w:p w14:paraId="1B6BD5A8" w14:textId="3578A7A6" w:rsidR="00126128" w:rsidRPr="002A3A4F" w:rsidRDefault="0078150B">
      <w:pPr>
        <w:rPr>
          <w:b/>
        </w:rPr>
      </w:pPr>
      <w:r w:rsidRPr="002A3A4F">
        <w:rPr>
          <w:b/>
        </w:rPr>
        <w:lastRenderedPageBreak/>
        <w:t>Table S</w:t>
      </w:r>
      <w:r w:rsidR="00842C73">
        <w:rPr>
          <w:b/>
        </w:rPr>
        <w:t>11.</w:t>
      </w:r>
      <w:r w:rsidRPr="002A3A4F">
        <w:rPr>
          <w:b/>
        </w:rPr>
        <w:t xml:space="preserve"> Summary trauma data for dogs from sites on Bankside according to NISP (top table) and MNI (bottom table)</w:t>
      </w:r>
      <w:r w:rsidR="006A19FA">
        <w:rPr>
          <w:b/>
        </w:rPr>
        <w:t>.</w:t>
      </w:r>
    </w:p>
    <w:p w14:paraId="12F05B6F" w14:textId="77777777" w:rsidR="00126128" w:rsidRDefault="0078150B">
      <w:pPr>
        <w:rPr>
          <w:color w:val="FF0000"/>
          <w:highlight w:val="white"/>
        </w:rPr>
      </w:pPr>
      <w:r>
        <w:rPr>
          <w:noProof/>
          <w:color w:val="FF0000"/>
          <w:highlight w:val="white"/>
        </w:rPr>
        <w:drawing>
          <wp:inline distT="114300" distB="114300" distL="114300" distR="114300" wp14:anchorId="50C022C6" wp14:editId="7602E995">
            <wp:extent cx="5731200" cy="2501900"/>
            <wp:effectExtent l="0" t="0" r="0" b="0"/>
            <wp:docPr id="89797120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7"/>
                    <a:srcRect/>
                    <a:stretch>
                      <a:fillRect/>
                    </a:stretch>
                  </pic:blipFill>
                  <pic:spPr>
                    <a:xfrm>
                      <a:off x="0" y="0"/>
                      <a:ext cx="5731200" cy="2501900"/>
                    </a:xfrm>
                    <a:prstGeom prst="rect">
                      <a:avLst/>
                    </a:prstGeom>
                    <a:ln/>
                  </pic:spPr>
                </pic:pic>
              </a:graphicData>
            </a:graphic>
          </wp:inline>
        </w:drawing>
      </w:r>
    </w:p>
    <w:p w14:paraId="29F07D27" w14:textId="77777777" w:rsidR="00126128" w:rsidRDefault="00126128">
      <w:pPr>
        <w:rPr>
          <w:b/>
        </w:rPr>
      </w:pPr>
    </w:p>
    <w:p w14:paraId="7356794B" w14:textId="77777777" w:rsidR="00126128" w:rsidRDefault="0078150B">
      <w:pPr>
        <w:rPr>
          <w:b/>
        </w:rPr>
      </w:pPr>
      <w:r>
        <w:rPr>
          <w:b/>
        </w:rPr>
        <w:t>2.6. Diet</w:t>
      </w:r>
    </w:p>
    <w:p w14:paraId="57782D81" w14:textId="77777777" w:rsidR="00126128" w:rsidRDefault="00126128">
      <w:pPr>
        <w:rPr>
          <w:b/>
        </w:rPr>
      </w:pPr>
    </w:p>
    <w:p w14:paraId="3876800F" w14:textId="77777777" w:rsidR="00126128" w:rsidRDefault="0078150B">
      <w:pPr>
        <w:rPr>
          <w:b/>
        </w:rPr>
      </w:pPr>
      <w:r>
        <w:rPr>
          <w:b/>
        </w:rPr>
        <w:t>2.6.1. δ</w:t>
      </w:r>
      <w:r>
        <w:rPr>
          <w:b/>
          <w:vertAlign w:val="superscript"/>
        </w:rPr>
        <w:t>13</w:t>
      </w:r>
      <w:r>
        <w:rPr>
          <w:b/>
        </w:rPr>
        <w:t>C and δ</w:t>
      </w:r>
      <w:r>
        <w:rPr>
          <w:b/>
          <w:vertAlign w:val="superscript"/>
        </w:rPr>
        <w:t>15</w:t>
      </w:r>
      <w:r>
        <w:rPr>
          <w:b/>
        </w:rPr>
        <w:t xml:space="preserve">N stable isotope data. </w:t>
      </w:r>
    </w:p>
    <w:p w14:paraId="351BA341" w14:textId="7FDCDEE2" w:rsidR="00126128" w:rsidRDefault="0078150B">
      <w:r>
        <w:t xml:space="preserve">All stable isotope data can be found in </w:t>
      </w:r>
      <w:r w:rsidR="00842C73">
        <w:t>OSM2</w:t>
      </w:r>
      <w:r>
        <w:t xml:space="preserve">. </w:t>
      </w:r>
    </w:p>
    <w:p w14:paraId="0052CC5C" w14:textId="77777777" w:rsidR="00126128" w:rsidRDefault="00126128"/>
    <w:p w14:paraId="03768D70" w14:textId="77777777" w:rsidR="00126128" w:rsidRDefault="0078150B">
      <w:r>
        <w:rPr>
          <w:noProof/>
        </w:rPr>
        <w:drawing>
          <wp:inline distT="114300" distB="114300" distL="114300" distR="114300" wp14:anchorId="68C7E94B" wp14:editId="5C7C76CA">
            <wp:extent cx="4943475" cy="3724123"/>
            <wp:effectExtent l="0" t="0" r="0" b="0"/>
            <wp:docPr id="89797120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8"/>
                    <a:srcRect/>
                    <a:stretch>
                      <a:fillRect/>
                    </a:stretch>
                  </pic:blipFill>
                  <pic:spPr>
                    <a:xfrm>
                      <a:off x="0" y="0"/>
                      <a:ext cx="4959591" cy="3736264"/>
                    </a:xfrm>
                    <a:prstGeom prst="rect">
                      <a:avLst/>
                    </a:prstGeom>
                    <a:ln/>
                  </pic:spPr>
                </pic:pic>
              </a:graphicData>
            </a:graphic>
          </wp:inline>
        </w:drawing>
      </w:r>
    </w:p>
    <w:p w14:paraId="761CB503" w14:textId="77777777" w:rsidR="00126128" w:rsidRDefault="00126128">
      <w:pPr>
        <w:ind w:firstLine="1133"/>
      </w:pPr>
    </w:p>
    <w:p w14:paraId="46592C8F" w14:textId="6716DCC9" w:rsidR="00126128" w:rsidRDefault="0078150B">
      <w:r>
        <w:rPr>
          <w:b/>
        </w:rPr>
        <w:t>Figure S7</w:t>
      </w:r>
      <w:r w:rsidR="00842C73">
        <w:rPr>
          <w:b/>
        </w:rPr>
        <w:t>.</w:t>
      </w:r>
      <w:r>
        <w:rPr>
          <w:b/>
        </w:rPr>
        <w:t xml:space="preserve"> δ</w:t>
      </w:r>
      <w:r>
        <w:rPr>
          <w:b/>
          <w:vertAlign w:val="superscript"/>
        </w:rPr>
        <w:t>13</w:t>
      </w:r>
      <w:r>
        <w:rPr>
          <w:b/>
        </w:rPr>
        <w:t>C and δ</w:t>
      </w:r>
      <w:r>
        <w:rPr>
          <w:b/>
          <w:vertAlign w:val="superscript"/>
        </w:rPr>
        <w:t>15</w:t>
      </w:r>
      <w:r>
        <w:rPr>
          <w:b/>
        </w:rPr>
        <w:t xml:space="preserve">N values from bone collagen of faunal remains recovered from early modern sites on Bankside. </w:t>
      </w:r>
      <w:r w:rsidR="004E7B47" w:rsidRPr="004E7B47">
        <w:rPr>
          <w:bCs/>
        </w:rPr>
        <w:t>They are</w:t>
      </w:r>
      <w:r w:rsidR="004E7B47">
        <w:rPr>
          <w:b/>
        </w:rPr>
        <w:t xml:space="preserve"> </w:t>
      </w:r>
      <w:r w:rsidR="004E7B47" w:rsidRPr="004E7B47">
        <w:rPr>
          <w:bCs/>
        </w:rPr>
        <w:t>s</w:t>
      </w:r>
      <w:r>
        <w:t xml:space="preserve">plit according to our dramatic playhouse (Rose and Globe) and bear garden (all other sites) definitions. These data also include two </w:t>
      </w:r>
      <w:r>
        <w:rPr>
          <w:i/>
        </w:rPr>
        <w:t>Ursus</w:t>
      </w:r>
      <w:r>
        <w:t xml:space="preserve"> dentine samples, identified in </w:t>
      </w:r>
      <w:r w:rsidR="00842C73">
        <w:t>OSM2</w:t>
      </w:r>
      <w:r>
        <w:t>.</w:t>
      </w:r>
    </w:p>
    <w:p w14:paraId="660F565E" w14:textId="77777777" w:rsidR="00126128" w:rsidRDefault="00126128"/>
    <w:p w14:paraId="75714DFB" w14:textId="77777777" w:rsidR="00126128" w:rsidRDefault="00126128">
      <w:pPr>
        <w:rPr>
          <w:b/>
        </w:rPr>
      </w:pPr>
    </w:p>
    <w:p w14:paraId="16C97D5D" w14:textId="77777777" w:rsidR="00126128" w:rsidRDefault="0078150B">
      <w:pPr>
        <w:rPr>
          <w:b/>
        </w:rPr>
      </w:pPr>
      <w:r>
        <w:rPr>
          <w:b/>
        </w:rPr>
        <w:t>2.6.2 Sulfur results and discussion</w:t>
      </w:r>
    </w:p>
    <w:p w14:paraId="4ADB10E8" w14:textId="3B60B4E8" w:rsidR="00126128" w:rsidRDefault="0078150B">
      <w:r>
        <w:t>δ</w:t>
      </w:r>
      <w:r>
        <w:rPr>
          <w:vertAlign w:val="superscript"/>
        </w:rPr>
        <w:t>34</w:t>
      </w:r>
      <w:r>
        <w:t xml:space="preserve">S stable isotope analysis was also undertaken on the same taxa (horse, cattle, dog, bear) from Bankside. The results are provided in </w:t>
      </w:r>
      <w:r w:rsidR="008A7E75">
        <w:t>OSM2</w:t>
      </w:r>
      <w:r>
        <w:t xml:space="preserve"> but have not been presented beyond this as the majority of the samples had a very high sulfur concentration, and only 37 passed the C/S and N/S collagen checks (</w:t>
      </w:r>
      <w:r w:rsidR="002F1A46">
        <w:t>s</w:t>
      </w:r>
      <w:r>
        <w:t xml:space="preserve">ee </w:t>
      </w:r>
      <w:r w:rsidR="008A7E75">
        <w:t xml:space="preserve">section </w:t>
      </w:r>
      <w:r>
        <w:t xml:space="preserve">1.2.2). For these animals only the results were: cattle (n=8) 1.6 ± 8.2 ‰; equid (n = 11) -0.5 ± 6.9 ‰; dog (n = 17) 0.3 ± 5.9 ‰; bear (n = 1) = 1.6. It is likely that the very high sulfur concentrations in the other bones relate to the location of the sites on the bank of the Thames and the fact that the bones were from predominantly waterlogged contexts. The potential for exogenous contamination from sulfur in bone from </w:t>
      </w:r>
      <w:r w:rsidR="004E7B47">
        <w:t>riverbank</w:t>
      </w:r>
      <w:r>
        <w:t xml:space="preserve"> contexts is discussed by Bocherens </w:t>
      </w:r>
      <w:r w:rsidRPr="004E7B47">
        <w:rPr>
          <w:i/>
          <w:iCs/>
        </w:rPr>
        <w:t>et al</w:t>
      </w:r>
      <w:r>
        <w:t xml:space="preserve">. (2011). Mackinder </w:t>
      </w:r>
      <w:r w:rsidRPr="004E7B47">
        <w:rPr>
          <w:i/>
          <w:iCs/>
        </w:rPr>
        <w:t>et al</w:t>
      </w:r>
      <w:r>
        <w:t xml:space="preserve">. (2013) describe the sites as probably being located in the mouth of a substantial channel (The “Bankside Channel”) which emptied into the Thames. This channel was not reached during excavations of New Globe Walk or Riverside House, but it was underlying the sediments from which the animal bone assemblages were recovered. The Thames was highly polluted during the early modern period and after, with organic matter (e.g. sewage and industrial waste) leading to extensive anoxic conditions (Chapra 2011). Waterlogged sediments are well-known for releasing large amounts of hydrogen sulfide as a result of microbial putrefaction of organic sulfur (Fenchel </w:t>
      </w:r>
      <w:r w:rsidRPr="008A7E75">
        <w:rPr>
          <w:i/>
          <w:iCs/>
        </w:rPr>
        <w:t>et al</w:t>
      </w:r>
      <w:r>
        <w:t>. 1998). The combination of highly polluted Thames water and waterlogging may at least in part account for our unusual results.</w:t>
      </w:r>
    </w:p>
    <w:p w14:paraId="51246FFE" w14:textId="77777777" w:rsidR="00126128" w:rsidRDefault="00126128"/>
    <w:p w14:paraId="7DE949B2" w14:textId="77777777" w:rsidR="00126128" w:rsidRDefault="00126128"/>
    <w:p w14:paraId="79BD3D7A" w14:textId="77777777" w:rsidR="00126128" w:rsidRDefault="0078150B">
      <w:pPr>
        <w:rPr>
          <w:b/>
        </w:rPr>
      </w:pPr>
      <w:r>
        <w:rPr>
          <w:b/>
        </w:rPr>
        <w:t>2.6.3 Butchery and Gnawing</w:t>
      </w:r>
    </w:p>
    <w:p w14:paraId="6BEC6F6C" w14:textId="77777777" w:rsidR="00126128" w:rsidRDefault="00126128">
      <w:pPr>
        <w:rPr>
          <w:b/>
        </w:rPr>
      </w:pPr>
    </w:p>
    <w:p w14:paraId="687B770C" w14:textId="77777777" w:rsidR="00126128" w:rsidRDefault="0078150B">
      <w:r>
        <w:t>It is only possible to present full butchery and gnawing data for dogs and bears, as these were the only species that were fully recorded across all sites (see methods for explanation).</w:t>
      </w:r>
    </w:p>
    <w:p w14:paraId="6392E817" w14:textId="77777777" w:rsidR="00126128" w:rsidRDefault="00126128"/>
    <w:p w14:paraId="15DEA74E" w14:textId="12BD4B8B" w:rsidR="00126128" w:rsidRDefault="0078150B">
      <w:r>
        <w:t xml:space="preserve">Cattle, sheep/goat, pig and equid data were only fully recorded at selected sites (BAK99, BAN95, BGU08, NGW00 and ACT89), so it is only possible to present the data from these sites in full. </w:t>
      </w:r>
    </w:p>
    <w:p w14:paraId="19C512DC" w14:textId="77777777" w:rsidR="00126128" w:rsidRDefault="00126128">
      <w:pPr>
        <w:rPr>
          <w:b/>
        </w:rPr>
      </w:pPr>
    </w:p>
    <w:p w14:paraId="5D3AE6B0" w14:textId="77777777" w:rsidR="004E7B47" w:rsidRDefault="004E7B47">
      <w:pPr>
        <w:rPr>
          <w:b/>
        </w:rPr>
      </w:pPr>
      <w:r>
        <w:rPr>
          <w:b/>
        </w:rPr>
        <w:br w:type="page"/>
      </w:r>
    </w:p>
    <w:p w14:paraId="38714C40" w14:textId="7A78DC77" w:rsidR="00126128" w:rsidRPr="002A3A4F" w:rsidRDefault="0078150B">
      <w:pPr>
        <w:rPr>
          <w:b/>
        </w:rPr>
      </w:pPr>
      <w:r w:rsidRPr="002A3A4F">
        <w:rPr>
          <w:b/>
        </w:rPr>
        <w:lastRenderedPageBreak/>
        <w:t>Table S</w:t>
      </w:r>
      <w:r w:rsidR="00842C73">
        <w:rPr>
          <w:b/>
        </w:rPr>
        <w:t>12.</w:t>
      </w:r>
      <w:r w:rsidRPr="002A3A4F">
        <w:rPr>
          <w:b/>
        </w:rPr>
        <w:t xml:space="preserve"> Summary butchery data from animal bone assemblages on Bankside</w:t>
      </w:r>
      <w:r w:rsidR="004C478D">
        <w:rPr>
          <w:b/>
        </w:rPr>
        <w:t xml:space="preserve">. </w:t>
      </w:r>
      <w:r w:rsidR="004C478D">
        <w:t>Sites that were not fully re-recorded are highlighted in orange.</w:t>
      </w:r>
    </w:p>
    <w:p w14:paraId="6D871448" w14:textId="77777777" w:rsidR="00126128" w:rsidRDefault="0078150B">
      <w:pPr>
        <w:rPr>
          <w:b/>
        </w:rPr>
      </w:pPr>
      <w:r>
        <w:rPr>
          <w:b/>
          <w:noProof/>
        </w:rPr>
        <w:drawing>
          <wp:inline distT="114300" distB="114300" distL="114300" distR="114300" wp14:anchorId="3E7C6CE2" wp14:editId="4669E0C2">
            <wp:extent cx="5731200" cy="4419600"/>
            <wp:effectExtent l="0" t="0" r="0" b="0"/>
            <wp:docPr id="89797120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9"/>
                    <a:srcRect/>
                    <a:stretch>
                      <a:fillRect/>
                    </a:stretch>
                  </pic:blipFill>
                  <pic:spPr>
                    <a:xfrm>
                      <a:off x="0" y="0"/>
                      <a:ext cx="5731200" cy="4419600"/>
                    </a:xfrm>
                    <a:prstGeom prst="rect">
                      <a:avLst/>
                    </a:prstGeom>
                    <a:ln/>
                  </pic:spPr>
                </pic:pic>
              </a:graphicData>
            </a:graphic>
          </wp:inline>
        </w:drawing>
      </w:r>
    </w:p>
    <w:p w14:paraId="7221F09C" w14:textId="77777777" w:rsidR="00126128" w:rsidRDefault="00126128">
      <w:pPr>
        <w:rPr>
          <w:b/>
        </w:rPr>
      </w:pPr>
    </w:p>
    <w:p w14:paraId="1B188497" w14:textId="77777777" w:rsidR="00126128" w:rsidRDefault="00126128">
      <w:pPr>
        <w:rPr>
          <w:b/>
        </w:rPr>
      </w:pPr>
    </w:p>
    <w:p w14:paraId="16A34856" w14:textId="136CC74A" w:rsidR="00126128" w:rsidRPr="004C478D" w:rsidRDefault="0078150B">
      <w:pPr>
        <w:rPr>
          <w:bCs/>
        </w:rPr>
      </w:pPr>
      <w:r w:rsidRPr="002A3A4F">
        <w:rPr>
          <w:b/>
        </w:rPr>
        <w:t>Table S</w:t>
      </w:r>
      <w:r w:rsidR="00842C73">
        <w:rPr>
          <w:b/>
        </w:rPr>
        <w:t>13.</w:t>
      </w:r>
      <w:r w:rsidRPr="002A3A4F">
        <w:rPr>
          <w:b/>
        </w:rPr>
        <w:t xml:space="preserve"> Summary gnawing data from animal bone assemblages on Bankside</w:t>
      </w:r>
      <w:r w:rsidR="004C478D">
        <w:rPr>
          <w:b/>
        </w:rPr>
        <w:t xml:space="preserve">. </w:t>
      </w:r>
      <w:r w:rsidR="004C478D">
        <w:t>Sites that were not fully re-recorded are highlighted in orange.</w:t>
      </w:r>
    </w:p>
    <w:p w14:paraId="111AB68E" w14:textId="77777777" w:rsidR="00126128" w:rsidRDefault="0078150B">
      <w:pPr>
        <w:rPr>
          <w:b/>
        </w:rPr>
      </w:pPr>
      <w:r>
        <w:rPr>
          <w:b/>
          <w:noProof/>
        </w:rPr>
        <w:drawing>
          <wp:inline distT="114300" distB="114300" distL="114300" distR="114300" wp14:anchorId="66E05754" wp14:editId="47831E16">
            <wp:extent cx="5731200" cy="2400300"/>
            <wp:effectExtent l="0" t="0" r="0" b="0"/>
            <wp:docPr id="8979712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0"/>
                    <a:srcRect/>
                    <a:stretch>
                      <a:fillRect/>
                    </a:stretch>
                  </pic:blipFill>
                  <pic:spPr>
                    <a:xfrm>
                      <a:off x="0" y="0"/>
                      <a:ext cx="5731200" cy="2400300"/>
                    </a:xfrm>
                    <a:prstGeom prst="rect">
                      <a:avLst/>
                    </a:prstGeom>
                    <a:ln/>
                  </pic:spPr>
                </pic:pic>
              </a:graphicData>
            </a:graphic>
          </wp:inline>
        </w:drawing>
      </w:r>
    </w:p>
    <w:p w14:paraId="48DA189D" w14:textId="77777777" w:rsidR="00126128" w:rsidRDefault="00126128">
      <w:pPr>
        <w:rPr>
          <w:b/>
        </w:rPr>
      </w:pPr>
    </w:p>
    <w:p w14:paraId="71EF0D42" w14:textId="77777777" w:rsidR="00126128" w:rsidRDefault="00126128">
      <w:pPr>
        <w:rPr>
          <w:b/>
        </w:rPr>
      </w:pPr>
    </w:p>
    <w:p w14:paraId="7ADC8F17" w14:textId="77777777" w:rsidR="00126128" w:rsidRDefault="0078150B">
      <w:r>
        <w:rPr>
          <w:noProof/>
        </w:rPr>
        <w:lastRenderedPageBreak/>
        <w:drawing>
          <wp:inline distT="114300" distB="114300" distL="114300" distR="114300" wp14:anchorId="0C261367" wp14:editId="2BC30EFE">
            <wp:extent cx="5731200" cy="3416300"/>
            <wp:effectExtent l="0" t="0" r="0" b="0"/>
            <wp:docPr id="897971211"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31"/>
                    <a:srcRect/>
                    <a:stretch>
                      <a:fillRect/>
                    </a:stretch>
                  </pic:blipFill>
                  <pic:spPr>
                    <a:xfrm>
                      <a:off x="0" y="0"/>
                      <a:ext cx="5731200" cy="3416300"/>
                    </a:xfrm>
                    <a:prstGeom prst="rect">
                      <a:avLst/>
                    </a:prstGeom>
                    <a:ln/>
                  </pic:spPr>
                </pic:pic>
              </a:graphicData>
            </a:graphic>
          </wp:inline>
        </w:drawing>
      </w:r>
    </w:p>
    <w:p w14:paraId="7A6A57C5" w14:textId="6F8FB0EE" w:rsidR="00126128" w:rsidRDefault="0078150B">
      <w:pPr>
        <w:rPr>
          <w:b/>
        </w:rPr>
      </w:pPr>
      <w:r>
        <w:rPr>
          <w:b/>
        </w:rPr>
        <w:t>Figure S8</w:t>
      </w:r>
      <w:r w:rsidR="00842C73">
        <w:rPr>
          <w:b/>
        </w:rPr>
        <w:t>.</w:t>
      </w:r>
      <w:r>
        <w:rPr>
          <w:b/>
        </w:rPr>
        <w:t xml:space="preserve"> Examples of carnivore gnawing on an equid tibia and distal metapodial (NGW00, context 43).</w:t>
      </w:r>
    </w:p>
    <w:p w14:paraId="5CB6087E" w14:textId="77777777" w:rsidR="00126128" w:rsidRDefault="00126128">
      <w:pPr>
        <w:rPr>
          <w:b/>
        </w:rPr>
      </w:pPr>
    </w:p>
    <w:p w14:paraId="4E70A137" w14:textId="77777777" w:rsidR="00126128" w:rsidRDefault="00126128">
      <w:pPr>
        <w:rPr>
          <w:b/>
        </w:rPr>
      </w:pPr>
    </w:p>
    <w:p w14:paraId="51E593D8" w14:textId="77777777" w:rsidR="00126128" w:rsidRDefault="00126128">
      <w:pPr>
        <w:rPr>
          <w:b/>
        </w:rPr>
      </w:pPr>
    </w:p>
    <w:p w14:paraId="6F65AFA4" w14:textId="77777777" w:rsidR="00126128" w:rsidRDefault="0078150B">
      <w:pPr>
        <w:rPr>
          <w:b/>
        </w:rPr>
      </w:pPr>
      <w:r>
        <w:br w:type="page"/>
      </w:r>
    </w:p>
    <w:p w14:paraId="2B100F2E" w14:textId="77777777" w:rsidR="00126128" w:rsidRDefault="0078150B">
      <w:pPr>
        <w:rPr>
          <w:b/>
        </w:rPr>
      </w:pPr>
      <w:r>
        <w:rPr>
          <w:b/>
        </w:rPr>
        <w:lastRenderedPageBreak/>
        <w:t>Archival sources and detail</w:t>
      </w:r>
    </w:p>
    <w:p w14:paraId="22232111" w14:textId="77777777" w:rsidR="00126128" w:rsidRDefault="0078150B">
      <w:pPr>
        <w:spacing w:before="240" w:after="240"/>
        <w:rPr>
          <w:b/>
        </w:rPr>
      </w:pPr>
      <w:r>
        <w:rPr>
          <w:b/>
        </w:rPr>
        <w:t>3.1 Records referring to bear age</w:t>
      </w:r>
    </w:p>
    <w:p w14:paraId="38B85C59" w14:textId="669434FB" w:rsidR="00126128" w:rsidRDefault="0078150B">
      <w:pPr>
        <w:spacing w:before="240" w:after="240"/>
      </w:pPr>
      <w:r>
        <w:t xml:space="preserve">Ravelhofer’s (2002) work on two polar bear cubs presented to James I in 1609 demonstrates that cubs were imported, and it has been suggested that the ‘white bear’ which was baited before the Spanish Ambassador in 1623 may have been one of these two animals, which would imply survival for 14 years. It was also in bearwards’ interests for the bears to survive, as they had to be imported and were expensive to procure: in 1607, masters of the game Edward Alleyn and Philip Henslowe petitioned the King for more fees, given the prior “smallness of the fee,” recent restrictions on the game (including plague), and the costly loss of “a goodly bear called George Stone” alongside “4 of our best bears” at the last baiting (their costs being estimated at £300) (Dulwich Archives MSS002, 009). Bears were routinely distinguished in correspondence and notes by their age and stature, but only in vague terms indicating youth, adulthood, or old age. The famous bear Tom Hunks is mentioned </w:t>
      </w:r>
      <w:r w:rsidR="002F1A46">
        <w:t xml:space="preserve">in </w:t>
      </w:r>
      <w:r>
        <w:t xml:space="preserve">a list of animals at the Bear Garden dated to 1590 (The National Archives C146/8581), and Thomas Dekker (1609) makes a topical reference to likely the same </w:t>
      </w:r>
      <w:r w:rsidR="002F1A46">
        <w:t>‘</w:t>
      </w:r>
      <w:r>
        <w:t>celebrity</w:t>
      </w:r>
      <w:r w:rsidR="002F1A46">
        <w:t>’</w:t>
      </w:r>
      <w:r>
        <w:t xml:space="preserve"> bear, indicating a near 20-year career as a known name. Prolific Cheshire bearward John Seckerston sold a bear cub in Bristol in 1564, suggesting that (like dogs, as above) bears were transported and exchanged at different ages throughout the country and were understood to have youthful potential as well as established prowess (Baldwin 1998). For instance, Sir William Faunt asks Edward Alleyn (in an undated letter) “to send me a couple of he bear cubs [...] let me have them black ones and such as you think will make great bears” (Dulwich Archives MSS002, 039). This fascinating insight suggests that owners and wards considered bear development (alongside sex) from an early age.</w:t>
      </w:r>
    </w:p>
    <w:p w14:paraId="13BB8DA3" w14:textId="77777777" w:rsidR="00126128" w:rsidRDefault="00126128"/>
    <w:p w14:paraId="1D356EBF" w14:textId="77777777" w:rsidR="00126128" w:rsidRDefault="0078150B">
      <w:pPr>
        <w:rPr>
          <w:b/>
        </w:rPr>
      </w:pPr>
      <w:r>
        <w:rPr>
          <w:b/>
        </w:rPr>
        <w:t>3.2 Records referring to animal injury</w:t>
      </w:r>
    </w:p>
    <w:p w14:paraId="25E668A2" w14:textId="77777777" w:rsidR="00126128" w:rsidRDefault="00126128"/>
    <w:p w14:paraId="1348E120" w14:textId="108CC5EA" w:rsidR="00126128" w:rsidRDefault="0078150B">
      <w:r>
        <w:t>The Dulwich College Archives hold the papers of the college’s founder, Edward Alleyn, who was joint lessee of the Bear Garden on Bankside and the Master of the Game. These archives suggest that baiting resulted not only in harm to the animals but widespread damage to surroundings as well as fatalities. One bearward’s memorandum book expends money “for the harme wich the bares the did” (MSS 002, 010, 3r), while a spectator describes the bear Little Bess of Bromley being particularly aggressive with dogs: “some she killed out righte &amp; the moste parte shee sent halting awaie” (MSS 002, Article 013). Alleyn and Henslowe lamented in 1607, after several games shown before royal guests and “the house” (i</w:t>
      </w:r>
      <w:r w:rsidR="00D47E80">
        <w:t>.</w:t>
      </w:r>
      <w:r>
        <w:t>e</w:t>
      </w:r>
      <w:r w:rsidR="00D47E80">
        <w:t>.</w:t>
      </w:r>
      <w:r>
        <w:t xml:space="preserve"> the Bankside arena), that “our whole store of dogges are wasted and spent” (</w:t>
      </w:r>
      <w:r w:rsidR="00D47E80">
        <w:t xml:space="preserve">MSS </w:t>
      </w:r>
      <w:r>
        <w:t xml:space="preserve">002, Article 008). Such loss of animal life and destruction is accordingly bound up with the physical and cultural history of Bankside (and other locations where baiting regularly took place). Here, then, we might have one articulation of what a </w:t>
      </w:r>
      <w:r w:rsidR="002F1A46">
        <w:t>‘</w:t>
      </w:r>
      <w:r>
        <w:t>baiting assemblage</w:t>
      </w:r>
      <w:r w:rsidR="002F1A46">
        <w:t>’</w:t>
      </w:r>
      <w:r>
        <w:t xml:space="preserve"> might represent for early modern individuals involved in the sport.</w:t>
      </w:r>
    </w:p>
    <w:p w14:paraId="6DF14D08" w14:textId="77777777" w:rsidR="00126128" w:rsidRDefault="00126128"/>
    <w:p w14:paraId="5D2525E3" w14:textId="51C4C8F4" w:rsidR="00126128" w:rsidRDefault="00D47E80">
      <w:r>
        <w:t>The presence of large numbers of dogs south of the Thames, which we can connect with the zooarchaeological evidence, is not only confirmed by correspondence among Alleyn’s papers but by visual depictions of Bankside in maps from the sixteenth and seventeenth centuries. Here we can see precisely where dogs were situated (e.g. Fig</w:t>
      </w:r>
      <w:r w:rsidR="008A7E75">
        <w:t>ure</w:t>
      </w:r>
      <w:r>
        <w:t xml:space="preserve"> 1).</w:t>
      </w:r>
    </w:p>
    <w:p w14:paraId="752B6A93" w14:textId="77777777" w:rsidR="00126128" w:rsidRDefault="00126128"/>
    <w:p w14:paraId="1DA485F0" w14:textId="77777777" w:rsidR="00126128" w:rsidRDefault="0078150B">
      <w:pPr>
        <w:rPr>
          <w:b/>
        </w:rPr>
      </w:pPr>
      <w:r>
        <w:rPr>
          <w:b/>
        </w:rPr>
        <w:lastRenderedPageBreak/>
        <w:t>3.3 Records referring to animal diet</w:t>
      </w:r>
    </w:p>
    <w:p w14:paraId="4BB2F778" w14:textId="77777777" w:rsidR="00126128" w:rsidRDefault="00126128"/>
    <w:p w14:paraId="2BCC81AC" w14:textId="6761D170" w:rsidR="00126128" w:rsidRDefault="0078150B">
      <w:r>
        <w:rPr>
          <w:highlight w:val="white"/>
        </w:rPr>
        <w:t xml:space="preserve">Archival sources hint at some of the other dietary components for the animals involved in baiting, but there is often a lack of specific information due to the vagueness of some of the terms used in writing at this time. For example both “bread” and “meat” are referred to </w:t>
      </w:r>
      <w:r>
        <w:t xml:space="preserve">(Dulwich Archives MSS002-010; Baldwin </w:t>
      </w:r>
      <w:r w:rsidRPr="00D47E80">
        <w:rPr>
          <w:i/>
          <w:iCs/>
        </w:rPr>
        <w:t>et al.</w:t>
      </w:r>
      <w:r>
        <w:t xml:space="preserve"> 2007: 725</w:t>
      </w:r>
      <w:r w:rsidR="008A7E75">
        <w:t>–</w:t>
      </w:r>
      <w:r>
        <w:t>6), b</w:t>
      </w:r>
      <w:r>
        <w:rPr>
          <w:highlight w:val="white"/>
        </w:rPr>
        <w:t xml:space="preserve">ut these are umbrella terms typically used to denote </w:t>
      </w:r>
      <w:r w:rsidR="009A085E">
        <w:rPr>
          <w:highlight w:val="white"/>
        </w:rPr>
        <w:t>‘</w:t>
      </w:r>
      <w:r>
        <w:rPr>
          <w:highlight w:val="white"/>
        </w:rPr>
        <w:t>food</w:t>
      </w:r>
      <w:r w:rsidR="009A085E">
        <w:rPr>
          <w:highlight w:val="white"/>
        </w:rPr>
        <w:t>’</w:t>
      </w:r>
      <w:r>
        <w:rPr>
          <w:highlight w:val="white"/>
        </w:rPr>
        <w:t xml:space="preserve"> and so do not take us very far. Meat is more specifically mentioned in the wider baiting literature where, for example, there is mention of bearward Peter Broome upsetting the neighbours </w:t>
      </w:r>
      <w:r w:rsidR="00F97AEF">
        <w:rPr>
          <w:highlight w:val="white"/>
        </w:rPr>
        <w:t>“</w:t>
      </w:r>
      <w:r>
        <w:rPr>
          <w:highlight w:val="white"/>
        </w:rPr>
        <w:t xml:space="preserve">by the stench of Carrion, hee provides for his beares" (Baldwin </w:t>
      </w:r>
      <w:r w:rsidRPr="00D47E80">
        <w:rPr>
          <w:i/>
          <w:iCs/>
          <w:highlight w:val="white"/>
        </w:rPr>
        <w:t>et al</w:t>
      </w:r>
      <w:r>
        <w:rPr>
          <w:highlight w:val="white"/>
        </w:rPr>
        <w:t xml:space="preserve">. 2007: 724). One of the other more specific references to food type is the mention of “apples for the bears” </w:t>
      </w:r>
      <w:r>
        <w:t xml:space="preserve">(Jonson </w:t>
      </w:r>
      <w:r w:rsidR="008A7E75">
        <w:t>2002 [</w:t>
      </w:r>
      <w:r>
        <w:t>1641</w:t>
      </w:r>
      <w:r w:rsidR="008A7E75">
        <w:t>]</w:t>
      </w:r>
      <w:r>
        <w:t>).</w:t>
      </w:r>
    </w:p>
    <w:p w14:paraId="5F977D79" w14:textId="77777777" w:rsidR="00126128" w:rsidRDefault="00126128"/>
    <w:p w14:paraId="51B56A91" w14:textId="77777777" w:rsidR="00126128" w:rsidRDefault="0078150B">
      <w:pPr>
        <w:rPr>
          <w:b/>
          <w:color w:val="FF0000"/>
        </w:rPr>
      </w:pPr>
      <w:r>
        <w:rPr>
          <w:b/>
        </w:rPr>
        <w:t>3.4 Contemporary understanding and use of ‘mastiff’</w:t>
      </w:r>
    </w:p>
    <w:p w14:paraId="37C60DD3" w14:textId="51F0308C" w:rsidR="00126128" w:rsidRDefault="0078150B">
      <w:pPr>
        <w:spacing w:before="240" w:after="240"/>
        <w:rPr>
          <w:color w:val="FF0000"/>
        </w:rPr>
      </w:pPr>
      <w:r>
        <w:t xml:space="preserve">Early modern individuals understood specific types or species of dogs. Proto-taxonomic texts from the period (Caius 1576) foregrounded mastiffs’ size and particular uses (including, prominently, baiting). One of the most reprinted texts about animals from the period emphasised their stature and temperament, observing them to be </w:t>
      </w:r>
      <w:r w:rsidR="009A085E">
        <w:t>“</w:t>
      </w:r>
      <w:r>
        <w:t>vast, huge, stubborn, ugly, and eager</w:t>
      </w:r>
      <w:r w:rsidR="009A085E">
        <w:t>”</w:t>
      </w:r>
      <w:r>
        <w:t xml:space="preserve"> (Topsell 1607). Individuals in daily life around the country presumably took these distinctions and descriptions into account when describing their own dogs: not only was ‘mastiff’ frequently used in legislative and civic or municipal documentation (conferring on it a defined and presumably widely agreed status), but people described and registered their own dogs by describing them as ‘mastiffs’ (as opposed to spaniels, greyhounds, and so forth) (Book of Note, Kent Archives, NR/JBr1, fos. 135r-v).</w:t>
      </w:r>
    </w:p>
    <w:p w14:paraId="440D26A0" w14:textId="77777777" w:rsidR="00126128" w:rsidRDefault="00126128">
      <w:pPr>
        <w:widowControl w:val="0"/>
        <w:spacing w:before="240" w:after="120"/>
      </w:pPr>
    </w:p>
    <w:p w14:paraId="478FB333" w14:textId="77777777" w:rsidR="00126128" w:rsidRDefault="0078150B">
      <w:pPr>
        <w:widowControl w:val="0"/>
        <w:spacing w:before="240" w:after="120"/>
        <w:rPr>
          <w:b/>
          <w:highlight w:val="white"/>
        </w:rPr>
      </w:pPr>
      <w:r>
        <w:rPr>
          <w:b/>
          <w:highlight w:val="white"/>
        </w:rPr>
        <w:t>Primary Archival Sources</w:t>
      </w:r>
    </w:p>
    <w:p w14:paraId="6EDA74A8" w14:textId="77777777" w:rsidR="00126128" w:rsidRDefault="0078150B">
      <w:pPr>
        <w:widowControl w:val="0"/>
        <w:spacing w:before="240" w:after="120"/>
        <w:rPr>
          <w:highlight w:val="white"/>
        </w:rPr>
      </w:pPr>
      <w:r>
        <w:rPr>
          <w:highlight w:val="white"/>
        </w:rPr>
        <w:t>Dulwich College Archives, MSS002</w:t>
      </w:r>
    </w:p>
    <w:p w14:paraId="4DBA35A9" w14:textId="77777777" w:rsidR="00126128" w:rsidRDefault="0078150B">
      <w:pPr>
        <w:widowControl w:val="0"/>
        <w:spacing w:before="240" w:after="120"/>
        <w:rPr>
          <w:highlight w:val="white"/>
        </w:rPr>
      </w:pPr>
      <w:r>
        <w:rPr>
          <w:highlight w:val="white"/>
        </w:rPr>
        <w:t xml:space="preserve">Kent Archives, </w:t>
      </w:r>
      <w:r>
        <w:t>NR/JBr1</w:t>
      </w:r>
    </w:p>
    <w:p w14:paraId="7BA96C22" w14:textId="77777777" w:rsidR="00126128" w:rsidRDefault="0078150B">
      <w:pPr>
        <w:widowControl w:val="0"/>
        <w:spacing w:before="240" w:after="120"/>
        <w:rPr>
          <w:highlight w:val="white"/>
        </w:rPr>
      </w:pPr>
      <w:r>
        <w:rPr>
          <w:highlight w:val="white"/>
        </w:rPr>
        <w:t xml:space="preserve">The National Archives, </w:t>
      </w:r>
      <w:r>
        <w:t>C146/8581</w:t>
      </w:r>
    </w:p>
    <w:p w14:paraId="2DA64917" w14:textId="77777777" w:rsidR="00126128" w:rsidRDefault="00126128">
      <w:pPr>
        <w:rPr>
          <w:b/>
        </w:rPr>
      </w:pPr>
    </w:p>
    <w:p w14:paraId="5F4ED131" w14:textId="77777777" w:rsidR="00126128" w:rsidRDefault="00126128">
      <w:pPr>
        <w:rPr>
          <w:b/>
        </w:rPr>
      </w:pPr>
    </w:p>
    <w:p w14:paraId="6DBC3CD5" w14:textId="77777777" w:rsidR="00126128" w:rsidRDefault="0078150B">
      <w:pPr>
        <w:rPr>
          <w:b/>
        </w:rPr>
      </w:pPr>
      <w:r>
        <w:br w:type="page"/>
      </w:r>
    </w:p>
    <w:p w14:paraId="6976B721" w14:textId="77777777" w:rsidR="00126128" w:rsidRDefault="0078150B">
      <w:pPr>
        <w:rPr>
          <w:b/>
        </w:rPr>
      </w:pPr>
      <w:r>
        <w:rPr>
          <w:b/>
        </w:rPr>
        <w:lastRenderedPageBreak/>
        <w:t>References</w:t>
      </w:r>
    </w:p>
    <w:p w14:paraId="0A5C61A8" w14:textId="2B647526" w:rsidR="00126128" w:rsidRPr="00372C43" w:rsidRDefault="0078150B" w:rsidP="00372C43">
      <w:pPr>
        <w:widowControl w:val="0"/>
        <w:spacing w:after="240"/>
      </w:pPr>
      <w:r w:rsidRPr="00372C43">
        <w:rPr>
          <w:smallCaps/>
        </w:rPr>
        <w:t>Baldwin, E.</w:t>
      </w:r>
      <w:r w:rsidRPr="00372C43">
        <w:t xml:space="preserve"> 1998</w:t>
      </w:r>
      <w:r w:rsidR="00842C73">
        <w:t>.</w:t>
      </w:r>
      <w:r w:rsidRPr="00372C43">
        <w:t xml:space="preserve"> John Seckerston: </w:t>
      </w:r>
      <w:r w:rsidR="00842C73">
        <w:t>t</w:t>
      </w:r>
      <w:r w:rsidRPr="00372C43">
        <w:t xml:space="preserve">he Earl of Derby’s </w:t>
      </w:r>
      <w:r w:rsidR="00842C73">
        <w:t>b</w:t>
      </w:r>
      <w:r w:rsidRPr="00372C43">
        <w:t xml:space="preserve">earward. </w:t>
      </w:r>
      <w:r w:rsidRPr="00372C43">
        <w:rPr>
          <w:i/>
          <w:iCs/>
        </w:rPr>
        <w:t>Medieval English Theatre</w:t>
      </w:r>
      <w:r w:rsidRPr="00372C43">
        <w:t xml:space="preserve"> 20: 95</w:t>
      </w:r>
      <w:r w:rsidR="00842C73">
        <w:t>–</w:t>
      </w:r>
      <w:r w:rsidRPr="00372C43">
        <w:t>103.</w:t>
      </w:r>
    </w:p>
    <w:p w14:paraId="151B1664" w14:textId="7E9B5DA4" w:rsidR="00126128" w:rsidRPr="00372C43" w:rsidRDefault="0078150B" w:rsidP="00372C43">
      <w:pPr>
        <w:widowControl w:val="0"/>
        <w:spacing w:after="240"/>
      </w:pPr>
      <w:r w:rsidRPr="00372C43">
        <w:rPr>
          <w:smallCaps/>
        </w:rPr>
        <w:t>Baldwin, E.,</w:t>
      </w:r>
      <w:r w:rsidR="00372C43" w:rsidRPr="00372C43">
        <w:rPr>
          <w:smallCaps/>
        </w:rPr>
        <w:t xml:space="preserve"> L.M.</w:t>
      </w:r>
      <w:r w:rsidRPr="00372C43">
        <w:rPr>
          <w:smallCaps/>
        </w:rPr>
        <w:t xml:space="preserve"> Klopper</w:t>
      </w:r>
      <w:r w:rsidR="00372C43" w:rsidRPr="00372C43">
        <w:rPr>
          <w:smallCaps/>
        </w:rPr>
        <w:t xml:space="preserve"> &amp; D.</w:t>
      </w:r>
      <w:r w:rsidRPr="00372C43">
        <w:rPr>
          <w:smallCaps/>
        </w:rPr>
        <w:t xml:space="preserve"> Mills</w:t>
      </w:r>
      <w:r w:rsidRPr="00372C43">
        <w:t xml:space="preserve">. 2007. </w:t>
      </w:r>
      <w:r w:rsidRPr="00372C43">
        <w:rPr>
          <w:i/>
        </w:rPr>
        <w:t xml:space="preserve">Cheshire including Chester </w:t>
      </w:r>
      <w:r w:rsidR="00842C73" w:rsidRPr="00842C73">
        <w:rPr>
          <w:iCs/>
        </w:rPr>
        <w:t>(</w:t>
      </w:r>
      <w:r w:rsidRPr="00842C73">
        <w:rPr>
          <w:iCs/>
        </w:rPr>
        <w:t>Records of Early English Drama</w:t>
      </w:r>
      <w:r w:rsidR="00842C73" w:rsidRPr="00842C73">
        <w:rPr>
          <w:iCs/>
        </w:rPr>
        <w:t>)</w:t>
      </w:r>
      <w:r w:rsidRPr="00842C73">
        <w:rPr>
          <w:iCs/>
        </w:rPr>
        <w:t xml:space="preserve">. </w:t>
      </w:r>
      <w:r w:rsidR="00842C73">
        <w:t xml:space="preserve">Toronto: </w:t>
      </w:r>
      <w:r w:rsidRPr="00372C43">
        <w:t xml:space="preserve">University of Toronto Press. </w:t>
      </w:r>
    </w:p>
    <w:p w14:paraId="4B36C22F" w14:textId="06F4EC7C" w:rsidR="00126128" w:rsidRPr="00372C43" w:rsidRDefault="00E4788F" w:rsidP="00372C43">
      <w:pPr>
        <w:spacing w:after="240"/>
        <w:rPr>
          <w:highlight w:val="white"/>
        </w:rPr>
      </w:pPr>
      <w:hyperlink r:id="rId32">
        <w:r w:rsidR="0078150B" w:rsidRPr="00372C43">
          <w:rPr>
            <w:smallCaps/>
            <w:highlight w:val="white"/>
          </w:rPr>
          <w:t>Bertini Vacca, B.</w:t>
        </w:r>
        <w:r w:rsidR="0078150B" w:rsidRPr="00372C43">
          <w:rPr>
            <w:highlight w:val="white"/>
          </w:rPr>
          <w:t xml:space="preserve"> 2012</w:t>
        </w:r>
        <w:r w:rsidR="00372C43" w:rsidRPr="00372C43">
          <w:rPr>
            <w:highlight w:val="white"/>
          </w:rPr>
          <w:t xml:space="preserve">. </w:t>
        </w:r>
        <w:r w:rsidR="0078150B" w:rsidRPr="00372C43">
          <w:rPr>
            <w:highlight w:val="white"/>
          </w:rPr>
          <w:t xml:space="preserve">The hunting of large mammals in the </w:t>
        </w:r>
        <w:r w:rsidR="00842C73">
          <w:rPr>
            <w:highlight w:val="white"/>
          </w:rPr>
          <w:t>U</w:t>
        </w:r>
        <w:r w:rsidR="0078150B" w:rsidRPr="00372C43">
          <w:rPr>
            <w:highlight w:val="white"/>
          </w:rPr>
          <w:t xml:space="preserve">pper Palaeolithic of southern Italy: </w:t>
        </w:r>
        <w:r w:rsidR="00842C73">
          <w:rPr>
            <w:highlight w:val="white"/>
          </w:rPr>
          <w:t>a</w:t>
        </w:r>
        <w:r w:rsidR="0078150B" w:rsidRPr="00372C43">
          <w:rPr>
            <w:highlight w:val="white"/>
          </w:rPr>
          <w:t xml:space="preserve"> diachronic case study from Grotta del Romito</w:t>
        </w:r>
        <w:r w:rsidR="00372C43" w:rsidRPr="00372C43">
          <w:rPr>
            <w:highlight w:val="white"/>
          </w:rPr>
          <w:t xml:space="preserve">. </w:t>
        </w:r>
      </w:hyperlink>
      <w:hyperlink r:id="rId33">
        <w:r w:rsidR="0078150B" w:rsidRPr="00372C43">
          <w:rPr>
            <w:i/>
            <w:highlight w:val="white"/>
          </w:rPr>
          <w:t xml:space="preserve">Quaternary </w:t>
        </w:r>
        <w:r w:rsidR="00842C73">
          <w:rPr>
            <w:i/>
            <w:highlight w:val="white"/>
          </w:rPr>
          <w:t>I</w:t>
        </w:r>
        <w:r w:rsidR="0078150B" w:rsidRPr="00372C43">
          <w:rPr>
            <w:i/>
            <w:highlight w:val="white"/>
          </w:rPr>
          <w:t>nternational</w:t>
        </w:r>
      </w:hyperlink>
      <w:hyperlink r:id="rId34">
        <w:r w:rsidR="00372C43" w:rsidRPr="00372C43">
          <w:rPr>
            <w:highlight w:val="white"/>
          </w:rPr>
          <w:t xml:space="preserve"> </w:t>
        </w:r>
        <w:r w:rsidR="0078150B" w:rsidRPr="00372C43">
          <w:rPr>
            <w:highlight w:val="white"/>
          </w:rPr>
          <w:t>252</w:t>
        </w:r>
        <w:r w:rsidR="00372C43" w:rsidRPr="00372C43">
          <w:rPr>
            <w:highlight w:val="white"/>
          </w:rPr>
          <w:t xml:space="preserve">: </w:t>
        </w:r>
        <w:r w:rsidR="0078150B" w:rsidRPr="00372C43">
          <w:rPr>
            <w:highlight w:val="white"/>
          </w:rPr>
          <w:t>155–64.</w:t>
        </w:r>
      </w:hyperlink>
      <w:r w:rsidR="00842C73">
        <w:rPr>
          <w:highlight w:val="white"/>
        </w:rPr>
        <w:t xml:space="preserve"> </w:t>
      </w:r>
      <w:r w:rsidR="00842C73" w:rsidRPr="00842C73">
        <w:t>https://doi.org/10.1016/j.quaint.2011.06.054</w:t>
      </w:r>
    </w:p>
    <w:p w14:paraId="1F969BE1" w14:textId="0D5267D3" w:rsidR="00126128" w:rsidRPr="00372C43" w:rsidRDefault="0078150B" w:rsidP="00372C43">
      <w:pPr>
        <w:spacing w:after="240"/>
        <w:rPr>
          <w:highlight w:val="white"/>
        </w:rPr>
      </w:pPr>
      <w:r w:rsidRPr="00372C43">
        <w:rPr>
          <w:smallCaps/>
          <w:highlight w:val="white"/>
        </w:rPr>
        <w:t>Binford, L.R</w:t>
      </w:r>
      <w:r w:rsidRPr="00372C43">
        <w:rPr>
          <w:highlight w:val="white"/>
        </w:rPr>
        <w:t xml:space="preserve">. 1984. </w:t>
      </w:r>
      <w:r w:rsidRPr="00372C43">
        <w:rPr>
          <w:i/>
          <w:iCs/>
          <w:highlight w:val="white"/>
        </w:rPr>
        <w:t xml:space="preserve">Faunal </w:t>
      </w:r>
      <w:r w:rsidR="00842C73">
        <w:rPr>
          <w:i/>
          <w:iCs/>
          <w:highlight w:val="white"/>
        </w:rPr>
        <w:t>r</w:t>
      </w:r>
      <w:r w:rsidRPr="00372C43">
        <w:rPr>
          <w:i/>
          <w:iCs/>
          <w:highlight w:val="white"/>
        </w:rPr>
        <w:t>emains from Klasies River Mouth</w:t>
      </w:r>
      <w:r w:rsidRPr="00372C43">
        <w:rPr>
          <w:highlight w:val="white"/>
        </w:rPr>
        <w:t xml:space="preserve">. </w:t>
      </w:r>
      <w:r w:rsidR="00372C43" w:rsidRPr="00372C43">
        <w:rPr>
          <w:highlight w:val="white"/>
        </w:rPr>
        <w:t>New York</w:t>
      </w:r>
      <w:r w:rsidR="00372C43">
        <w:rPr>
          <w:highlight w:val="white"/>
        </w:rPr>
        <w:t xml:space="preserve">: </w:t>
      </w:r>
      <w:r w:rsidRPr="00372C43">
        <w:rPr>
          <w:highlight w:val="white"/>
        </w:rPr>
        <w:t>Academic</w:t>
      </w:r>
      <w:r w:rsidR="00372C43">
        <w:rPr>
          <w:highlight w:val="white"/>
        </w:rPr>
        <w:t>.</w:t>
      </w:r>
    </w:p>
    <w:p w14:paraId="038AEA40" w14:textId="53B941D1" w:rsidR="00126128" w:rsidRPr="00AD3D41" w:rsidRDefault="0078150B" w:rsidP="00372C43">
      <w:pPr>
        <w:spacing w:after="240"/>
      </w:pPr>
      <w:r w:rsidRPr="00AD3D41">
        <w:rPr>
          <w:smallCaps/>
          <w:lang w:val="de-DE"/>
        </w:rPr>
        <w:t xml:space="preserve">Bocherens, H., </w:t>
      </w:r>
      <w:r w:rsidR="00372C43" w:rsidRPr="00AD3D41">
        <w:rPr>
          <w:smallCaps/>
          <w:lang w:val="de-DE"/>
        </w:rPr>
        <w:t xml:space="preserve">D.G. </w:t>
      </w:r>
      <w:r w:rsidRPr="00AD3D41">
        <w:rPr>
          <w:smallCaps/>
          <w:lang w:val="de-DE"/>
        </w:rPr>
        <w:t>Drucer</w:t>
      </w:r>
      <w:r w:rsidR="00372C43" w:rsidRPr="00AD3D41">
        <w:rPr>
          <w:smallCaps/>
          <w:lang w:val="de-DE"/>
        </w:rPr>
        <w:t xml:space="preserve"> &amp; H. </w:t>
      </w:r>
      <w:r w:rsidRPr="00AD3D41">
        <w:rPr>
          <w:smallCaps/>
          <w:lang w:val="de-DE"/>
        </w:rPr>
        <w:t>Taubals.</w:t>
      </w:r>
      <w:r w:rsidRPr="00AD3D41">
        <w:rPr>
          <w:lang w:val="de-DE"/>
        </w:rPr>
        <w:t xml:space="preserve"> </w:t>
      </w:r>
      <w:r w:rsidRPr="00372C43">
        <w:t>2011</w:t>
      </w:r>
      <w:r w:rsidR="00372C43">
        <w:t>.</w:t>
      </w:r>
      <w:r w:rsidRPr="00372C43">
        <w:t xml:space="preserve"> Preservation of bone collagen sulphur isotopic compositions in an </w:t>
      </w:r>
      <w:r w:rsidR="00842C73">
        <w:t>E</w:t>
      </w:r>
      <w:r w:rsidRPr="00372C43">
        <w:t xml:space="preserve">arly Holocene river-bank archaeological site. </w:t>
      </w:r>
      <w:r w:rsidRPr="00AD3D41">
        <w:rPr>
          <w:i/>
          <w:iCs/>
        </w:rPr>
        <w:t>Palaeogeography, Palaeoclimatology, Palaeoecology</w:t>
      </w:r>
      <w:r w:rsidRPr="00AD3D41">
        <w:t xml:space="preserve"> 310: 32</w:t>
      </w:r>
      <w:r w:rsidR="00842C73" w:rsidRPr="00AD3D41">
        <w:t>–</w:t>
      </w:r>
      <w:r w:rsidRPr="00AD3D41">
        <w:t xml:space="preserve">38. </w:t>
      </w:r>
      <w:r w:rsidR="00842C73" w:rsidRPr="00AD3D41">
        <w:t>https://doi.org/10.1016/j.palaeo.2011.05.016</w:t>
      </w:r>
    </w:p>
    <w:p w14:paraId="03493B59" w14:textId="0908D8E1" w:rsidR="00126128" w:rsidRPr="00372C43" w:rsidRDefault="0078150B" w:rsidP="00372C43">
      <w:pPr>
        <w:widowControl w:val="0"/>
        <w:spacing w:after="240"/>
      </w:pPr>
      <w:r w:rsidRPr="00AD3D41">
        <w:rPr>
          <w:smallCaps/>
        </w:rPr>
        <w:t>Bowsher, J.</w:t>
      </w:r>
      <w:r w:rsidRPr="00AD3D41">
        <w:t xml:space="preserve"> 2012</w:t>
      </w:r>
      <w:r w:rsidR="00372C43" w:rsidRPr="00AD3D41">
        <w:t>.</w:t>
      </w:r>
      <w:r w:rsidRPr="00AD3D41">
        <w:t xml:space="preserve"> </w:t>
      </w:r>
      <w:r w:rsidRPr="00372C43">
        <w:rPr>
          <w:i/>
          <w:iCs/>
        </w:rPr>
        <w:t xml:space="preserve">Shakespeare’s London </w:t>
      </w:r>
      <w:r w:rsidR="00842C73" w:rsidRPr="00372C43">
        <w:rPr>
          <w:i/>
          <w:iCs/>
        </w:rPr>
        <w:t>theatreland: archaeology</w:t>
      </w:r>
      <w:r w:rsidRPr="00372C43">
        <w:rPr>
          <w:i/>
          <w:iCs/>
        </w:rPr>
        <w:t>, history, drama</w:t>
      </w:r>
      <w:r w:rsidRPr="00372C43">
        <w:t>. London</w:t>
      </w:r>
      <w:r w:rsidR="00372C43">
        <w:t xml:space="preserve">: </w:t>
      </w:r>
      <w:r w:rsidR="00372C43" w:rsidRPr="00372C43">
        <w:t>Museum of London Archaeology</w:t>
      </w:r>
      <w:r w:rsidR="00372C43">
        <w:t>.</w:t>
      </w:r>
    </w:p>
    <w:p w14:paraId="2B766B3F" w14:textId="1A6F7B50" w:rsidR="00126128" w:rsidRPr="00372C43" w:rsidRDefault="0078150B" w:rsidP="00372C43">
      <w:pPr>
        <w:widowControl w:val="0"/>
        <w:spacing w:after="240"/>
      </w:pPr>
      <w:r w:rsidRPr="00842C73">
        <w:rPr>
          <w:smallCaps/>
        </w:rPr>
        <w:t>Bowsher, J.</w:t>
      </w:r>
      <w:r w:rsidR="00372C43" w:rsidRPr="00842C73">
        <w:rPr>
          <w:smallCaps/>
        </w:rPr>
        <w:t xml:space="preserve"> &amp; P. </w:t>
      </w:r>
      <w:r w:rsidRPr="00842C73">
        <w:rPr>
          <w:smallCaps/>
        </w:rPr>
        <w:t>Miller</w:t>
      </w:r>
      <w:r w:rsidRPr="00372C43">
        <w:t xml:space="preserve"> (</w:t>
      </w:r>
      <w:r w:rsidR="00372C43">
        <w:t>e</w:t>
      </w:r>
      <w:r w:rsidRPr="00372C43">
        <w:t>d.)</w:t>
      </w:r>
      <w:r w:rsidR="00372C43">
        <w:t>.</w:t>
      </w:r>
      <w:r w:rsidRPr="00372C43">
        <w:t xml:space="preserve"> 2009. </w:t>
      </w:r>
      <w:r w:rsidRPr="00372C43">
        <w:rPr>
          <w:i/>
        </w:rPr>
        <w:t xml:space="preserve">The Rose and </w:t>
      </w:r>
      <w:r w:rsidR="00842C73">
        <w:rPr>
          <w:i/>
        </w:rPr>
        <w:t>t</w:t>
      </w:r>
      <w:r w:rsidRPr="00372C43">
        <w:rPr>
          <w:i/>
        </w:rPr>
        <w:t xml:space="preserve">he Globe: </w:t>
      </w:r>
      <w:r w:rsidR="00842C73">
        <w:rPr>
          <w:i/>
        </w:rPr>
        <w:t>p</w:t>
      </w:r>
      <w:r w:rsidRPr="00372C43">
        <w:rPr>
          <w:i/>
        </w:rPr>
        <w:t>layhouses of Tudor Bankside, Southwark. Excavations 1988</w:t>
      </w:r>
      <w:r w:rsidR="00842C73">
        <w:rPr>
          <w:i/>
        </w:rPr>
        <w:t>–</w:t>
      </w:r>
      <w:r w:rsidRPr="00372C43">
        <w:rPr>
          <w:i/>
        </w:rPr>
        <w:t>91</w:t>
      </w:r>
      <w:r w:rsidR="00863739">
        <w:t xml:space="preserve">. </w:t>
      </w:r>
      <w:r w:rsidR="00842C73" w:rsidRPr="00842C73">
        <w:t>(Museum of London Archaeology Monograph Series 48). London: Museum of London Archaeology.</w:t>
      </w:r>
    </w:p>
    <w:p w14:paraId="22B27332" w14:textId="41DA798A" w:rsidR="00126128" w:rsidRPr="00372C43" w:rsidRDefault="0078150B" w:rsidP="00372C43">
      <w:pPr>
        <w:widowControl w:val="0"/>
        <w:spacing w:after="240"/>
      </w:pPr>
      <w:r w:rsidRPr="00863739">
        <w:rPr>
          <w:smallCaps/>
        </w:rPr>
        <w:t>Braines, W.W.</w:t>
      </w:r>
      <w:r w:rsidRPr="00372C43">
        <w:t xml:space="preserve"> 1924</w:t>
      </w:r>
      <w:r w:rsidR="00863739">
        <w:t>.</w:t>
      </w:r>
      <w:r w:rsidRPr="00372C43">
        <w:t xml:space="preserve"> </w:t>
      </w:r>
      <w:r w:rsidRPr="00372C43">
        <w:rPr>
          <w:i/>
        </w:rPr>
        <w:t>The site of the Globe Playhouse, Southwark</w:t>
      </w:r>
      <w:r w:rsidRPr="00372C43">
        <w:t xml:space="preserve">. </w:t>
      </w:r>
      <w:r w:rsidR="00863739">
        <w:t xml:space="preserve">London: </w:t>
      </w:r>
      <w:r w:rsidRPr="00372C43">
        <w:t xml:space="preserve">Hodder &amp; Stoughton. </w:t>
      </w:r>
    </w:p>
    <w:p w14:paraId="3EC3CF36" w14:textId="7F0117DF" w:rsidR="00126128" w:rsidRPr="00372C43" w:rsidRDefault="0078150B" w:rsidP="00372C43">
      <w:pPr>
        <w:spacing w:after="240"/>
        <w:rPr>
          <w:highlight w:val="white"/>
        </w:rPr>
      </w:pPr>
      <w:r w:rsidRPr="00863739">
        <w:rPr>
          <w:smallCaps/>
          <w:highlight w:val="white"/>
        </w:rPr>
        <w:t>Brown, T.A.,</w:t>
      </w:r>
      <w:r w:rsidR="00863739" w:rsidRPr="00863739">
        <w:rPr>
          <w:smallCaps/>
          <w:highlight w:val="white"/>
        </w:rPr>
        <w:t xml:space="preserve"> D.E. </w:t>
      </w:r>
      <w:r w:rsidRPr="00863739">
        <w:rPr>
          <w:smallCaps/>
          <w:highlight w:val="white"/>
        </w:rPr>
        <w:t xml:space="preserve">Nelson, </w:t>
      </w:r>
      <w:r w:rsidR="00863739" w:rsidRPr="00863739">
        <w:rPr>
          <w:smallCaps/>
          <w:highlight w:val="white"/>
        </w:rPr>
        <w:t xml:space="preserve">J.S. </w:t>
      </w:r>
      <w:r w:rsidRPr="00863739">
        <w:rPr>
          <w:smallCaps/>
          <w:highlight w:val="white"/>
        </w:rPr>
        <w:t>Vogel</w:t>
      </w:r>
      <w:r w:rsidR="00863739" w:rsidRPr="00863739">
        <w:rPr>
          <w:smallCaps/>
          <w:highlight w:val="white"/>
        </w:rPr>
        <w:t xml:space="preserve"> &amp; J.R. </w:t>
      </w:r>
      <w:r w:rsidRPr="00863739">
        <w:rPr>
          <w:smallCaps/>
          <w:highlight w:val="white"/>
        </w:rPr>
        <w:t>Southon</w:t>
      </w:r>
      <w:r w:rsidR="00863739">
        <w:rPr>
          <w:highlight w:val="white"/>
        </w:rPr>
        <w:t>.</w:t>
      </w:r>
      <w:r w:rsidRPr="00372C43">
        <w:rPr>
          <w:highlight w:val="white"/>
        </w:rPr>
        <w:t xml:space="preserve"> 1988</w:t>
      </w:r>
      <w:r w:rsidR="00863739">
        <w:rPr>
          <w:highlight w:val="white"/>
        </w:rPr>
        <w:t>.</w:t>
      </w:r>
      <w:r w:rsidRPr="00372C43">
        <w:rPr>
          <w:highlight w:val="white"/>
        </w:rPr>
        <w:t xml:space="preserve"> Improved collagen extraction by modified Longin method. </w:t>
      </w:r>
      <w:r w:rsidRPr="00863739">
        <w:rPr>
          <w:i/>
          <w:iCs/>
          <w:highlight w:val="white"/>
        </w:rPr>
        <w:t xml:space="preserve">Radiocarbon </w:t>
      </w:r>
      <w:r w:rsidRPr="00372C43">
        <w:rPr>
          <w:highlight w:val="white"/>
        </w:rPr>
        <w:t>30: 171</w:t>
      </w:r>
      <w:r w:rsidR="00842C73">
        <w:rPr>
          <w:highlight w:val="white"/>
        </w:rPr>
        <w:t>–</w:t>
      </w:r>
      <w:r w:rsidRPr="00372C43">
        <w:rPr>
          <w:highlight w:val="white"/>
        </w:rPr>
        <w:t xml:space="preserve">77. </w:t>
      </w:r>
      <w:r w:rsidR="00842C73" w:rsidRPr="00842C73">
        <w:t>https://doi.org/10.1017/S0033822200044118</w:t>
      </w:r>
    </w:p>
    <w:p w14:paraId="549ABEFD" w14:textId="49921EA0" w:rsidR="00126128" w:rsidRPr="00372C43" w:rsidRDefault="0078150B" w:rsidP="00372C43">
      <w:pPr>
        <w:spacing w:after="240"/>
      </w:pPr>
      <w:r w:rsidRPr="00863739">
        <w:rPr>
          <w:smallCaps/>
        </w:rPr>
        <w:t>Brownstein, O</w:t>
      </w:r>
      <w:r w:rsidRPr="00372C43">
        <w:t>. 1969</w:t>
      </w:r>
      <w:r w:rsidR="00863739">
        <w:t>.</w:t>
      </w:r>
      <w:r w:rsidRPr="00372C43">
        <w:t xml:space="preserve"> The </w:t>
      </w:r>
      <w:r w:rsidR="00842C73" w:rsidRPr="00372C43">
        <w:t xml:space="preserve">popularity of baiting </w:t>
      </w:r>
      <w:r w:rsidRPr="00372C43">
        <w:t xml:space="preserve">in England before 1600: </w:t>
      </w:r>
      <w:r w:rsidR="00842C73" w:rsidRPr="00372C43">
        <w:t>a study in social and theatrical history</w:t>
      </w:r>
      <w:r w:rsidRPr="00372C43">
        <w:t xml:space="preserve">. </w:t>
      </w:r>
      <w:r w:rsidRPr="00863739">
        <w:rPr>
          <w:i/>
          <w:iCs/>
        </w:rPr>
        <w:t>Educational Theatre Journal</w:t>
      </w:r>
      <w:r w:rsidRPr="00372C43">
        <w:t xml:space="preserve"> 21: 237</w:t>
      </w:r>
      <w:r w:rsidR="00842C73">
        <w:t>–</w:t>
      </w:r>
      <w:r w:rsidRPr="00372C43">
        <w:t>50.</w:t>
      </w:r>
      <w:r w:rsidR="00842C73">
        <w:t xml:space="preserve"> </w:t>
      </w:r>
      <w:r w:rsidR="00842C73" w:rsidRPr="00842C73">
        <w:t>https://doi.org/10.2307/3205465</w:t>
      </w:r>
    </w:p>
    <w:p w14:paraId="4F9DC7F3" w14:textId="72F0E222" w:rsidR="00126128" w:rsidRPr="00372C43" w:rsidRDefault="0078150B" w:rsidP="00372C43">
      <w:pPr>
        <w:widowControl w:val="0"/>
        <w:spacing w:after="240"/>
        <w:rPr>
          <w:highlight w:val="white"/>
        </w:rPr>
      </w:pPr>
      <w:r w:rsidRPr="00863739">
        <w:rPr>
          <w:smallCaps/>
        </w:rPr>
        <w:t>C</w:t>
      </w:r>
      <w:r w:rsidRPr="00863739">
        <w:rPr>
          <w:smallCaps/>
          <w:highlight w:val="white"/>
        </w:rPr>
        <w:t>aius, J.</w:t>
      </w:r>
      <w:r w:rsidRPr="00372C43">
        <w:rPr>
          <w:highlight w:val="white"/>
        </w:rPr>
        <w:t xml:space="preserve"> 1576</w:t>
      </w:r>
      <w:r w:rsidR="00842C73">
        <w:rPr>
          <w:highlight w:val="white"/>
        </w:rPr>
        <w:t>.</w:t>
      </w:r>
      <w:r w:rsidRPr="00372C43">
        <w:rPr>
          <w:highlight w:val="white"/>
        </w:rPr>
        <w:t xml:space="preserve"> </w:t>
      </w:r>
      <w:r w:rsidRPr="00372C43">
        <w:rPr>
          <w:i/>
          <w:highlight w:val="white"/>
        </w:rPr>
        <w:t xml:space="preserve">Of Englishe </w:t>
      </w:r>
      <w:r w:rsidR="00842C73" w:rsidRPr="00372C43">
        <w:rPr>
          <w:i/>
          <w:highlight w:val="white"/>
        </w:rPr>
        <w:t>dogges, the diversities</w:t>
      </w:r>
      <w:r w:rsidRPr="00372C43">
        <w:rPr>
          <w:i/>
          <w:highlight w:val="white"/>
        </w:rPr>
        <w:t xml:space="preserve">, the names, the natures and the properties. </w:t>
      </w:r>
      <w:r w:rsidR="00842C73" w:rsidRPr="00842C73">
        <w:rPr>
          <w:iCs/>
        </w:rPr>
        <w:t>John Charlewood</w:t>
      </w:r>
      <w:r w:rsidR="00842C73">
        <w:rPr>
          <w:iCs/>
        </w:rPr>
        <w:t>:</w:t>
      </w:r>
      <w:r w:rsidR="00842C73" w:rsidRPr="00842C73">
        <w:rPr>
          <w:iCs/>
          <w:highlight w:val="white"/>
        </w:rPr>
        <w:t xml:space="preserve"> </w:t>
      </w:r>
      <w:r w:rsidRPr="00842C73">
        <w:rPr>
          <w:iCs/>
          <w:highlight w:val="white"/>
        </w:rPr>
        <w:t>London</w:t>
      </w:r>
      <w:r w:rsidRPr="00372C43">
        <w:rPr>
          <w:highlight w:val="white"/>
        </w:rPr>
        <w:t>.</w:t>
      </w:r>
    </w:p>
    <w:p w14:paraId="730C9F86" w14:textId="1909AD97" w:rsidR="00126128" w:rsidRPr="00372C43" w:rsidRDefault="0078150B" w:rsidP="00372C43">
      <w:pPr>
        <w:spacing w:after="240"/>
      </w:pPr>
      <w:r w:rsidRPr="00863739">
        <w:rPr>
          <w:smallCaps/>
        </w:rPr>
        <w:t>Capon, L</w:t>
      </w:r>
      <w:r w:rsidR="00863739">
        <w:rPr>
          <w:smallCaps/>
        </w:rPr>
        <w:t>. &amp; K.</w:t>
      </w:r>
      <w:r w:rsidRPr="00863739">
        <w:rPr>
          <w:smallCaps/>
        </w:rPr>
        <w:t xml:space="preserve"> Rielly</w:t>
      </w:r>
      <w:r w:rsidRPr="00372C43">
        <w:t>. 2020</w:t>
      </w:r>
      <w:r w:rsidR="00863739">
        <w:t>.</w:t>
      </w:r>
      <w:r w:rsidRPr="00372C43">
        <w:t xml:space="preserve"> Excavations at Empire Warehouse, Bankside: new evidence for bear-baiting in Southwark, 1522</w:t>
      </w:r>
      <w:r w:rsidR="00842C73">
        <w:t>–</w:t>
      </w:r>
      <w:r w:rsidRPr="00372C43">
        <w:t xml:space="preserve">1682. </w:t>
      </w:r>
      <w:r w:rsidRPr="00863739">
        <w:rPr>
          <w:i/>
          <w:iCs/>
        </w:rPr>
        <w:t>London Archaeologist</w:t>
      </w:r>
      <w:r w:rsidR="00842C73">
        <w:t xml:space="preserve"> 15</w:t>
      </w:r>
      <w:r w:rsidRPr="00372C43">
        <w:t>: 312</w:t>
      </w:r>
      <w:r w:rsidR="00842C73">
        <w:t>–</w:t>
      </w:r>
      <w:r w:rsidRPr="00372C43">
        <w:t>20.</w:t>
      </w:r>
      <w:r w:rsidR="00842C73">
        <w:t xml:space="preserve"> </w:t>
      </w:r>
      <w:r w:rsidR="00842C73" w:rsidRPr="00842C73">
        <w:t>https://doi.org/10.5284/1081335</w:t>
      </w:r>
    </w:p>
    <w:p w14:paraId="23F8A790" w14:textId="56B28B5D" w:rsidR="00126128" w:rsidRPr="00372C43" w:rsidRDefault="0078150B" w:rsidP="00372C43">
      <w:pPr>
        <w:spacing w:after="240"/>
      </w:pPr>
      <w:r w:rsidRPr="00863739">
        <w:rPr>
          <w:smallCaps/>
        </w:rPr>
        <w:t>Cerasano, S.</w:t>
      </w:r>
      <w:r w:rsidRPr="00372C43">
        <w:t xml:space="preserve"> 1991</w:t>
      </w:r>
      <w:r w:rsidR="00863739">
        <w:t>.</w:t>
      </w:r>
      <w:r w:rsidRPr="00372C43">
        <w:t xml:space="preserve"> Master of the </w:t>
      </w:r>
      <w:r w:rsidR="00842C73" w:rsidRPr="00372C43">
        <w:t>bears in art and enterprise</w:t>
      </w:r>
      <w:r w:rsidRPr="00372C43">
        <w:t xml:space="preserve">. </w:t>
      </w:r>
      <w:r w:rsidRPr="00863739">
        <w:rPr>
          <w:i/>
          <w:iCs/>
        </w:rPr>
        <w:t xml:space="preserve">Medieval and Renaissance Drama in England </w:t>
      </w:r>
      <w:r w:rsidRPr="00372C43">
        <w:t>5: 95</w:t>
      </w:r>
      <w:r w:rsidR="00842C73">
        <w:t>–</w:t>
      </w:r>
      <w:r w:rsidRPr="00372C43">
        <w:t>209.</w:t>
      </w:r>
    </w:p>
    <w:p w14:paraId="77C8DFE3" w14:textId="5A19D4E6" w:rsidR="00126128" w:rsidRPr="00372C43" w:rsidRDefault="0078150B" w:rsidP="00372C43">
      <w:pPr>
        <w:spacing w:after="240"/>
      </w:pPr>
      <w:r w:rsidRPr="00863739">
        <w:rPr>
          <w:smallCaps/>
        </w:rPr>
        <w:t>Chambers, E.K.</w:t>
      </w:r>
      <w:r w:rsidRPr="00372C43">
        <w:t xml:space="preserve"> 1923</w:t>
      </w:r>
      <w:r w:rsidR="00863739">
        <w:t>.</w:t>
      </w:r>
      <w:r w:rsidRPr="00372C43">
        <w:t xml:space="preserve"> </w:t>
      </w:r>
      <w:r w:rsidRPr="00863739">
        <w:rPr>
          <w:i/>
          <w:iCs/>
        </w:rPr>
        <w:t xml:space="preserve">The Elizabethan </w:t>
      </w:r>
      <w:r w:rsidR="00842C73" w:rsidRPr="00863739">
        <w:rPr>
          <w:i/>
          <w:iCs/>
        </w:rPr>
        <w:t>stage, vol</w:t>
      </w:r>
      <w:r w:rsidRPr="00863739">
        <w:rPr>
          <w:i/>
          <w:iCs/>
        </w:rPr>
        <w:t>. 4</w:t>
      </w:r>
      <w:r w:rsidRPr="00372C43">
        <w:t>. Oxford: Clarendon.</w:t>
      </w:r>
    </w:p>
    <w:p w14:paraId="304C9B86" w14:textId="45A8266C" w:rsidR="00126128" w:rsidRPr="00372C43" w:rsidRDefault="0078150B" w:rsidP="00372C43">
      <w:pPr>
        <w:spacing w:after="240"/>
      </w:pPr>
      <w:r w:rsidRPr="00863739">
        <w:rPr>
          <w:smallCaps/>
        </w:rPr>
        <w:t>Chapra, S.C</w:t>
      </w:r>
      <w:r w:rsidRPr="00372C43">
        <w:t>. 2011</w:t>
      </w:r>
      <w:r w:rsidR="00863739">
        <w:t>.</w:t>
      </w:r>
      <w:r w:rsidRPr="00372C43">
        <w:t xml:space="preserve"> Rubbish</w:t>
      </w:r>
      <w:r w:rsidR="00842C73" w:rsidRPr="00372C43">
        <w:t xml:space="preserve">, stink, and death: the historical </w:t>
      </w:r>
      <w:r w:rsidRPr="00372C43">
        <w:t xml:space="preserve">evolution, present state and future direction of water quality management and modelling. </w:t>
      </w:r>
      <w:r w:rsidRPr="00863739">
        <w:rPr>
          <w:i/>
          <w:iCs/>
        </w:rPr>
        <w:t>Environmental Engineering Research</w:t>
      </w:r>
      <w:r w:rsidRPr="00372C43">
        <w:t xml:space="preserve"> 16: 113</w:t>
      </w:r>
      <w:r w:rsidR="00842C73">
        <w:t>–</w:t>
      </w:r>
      <w:r w:rsidRPr="00372C43">
        <w:t xml:space="preserve">19. </w:t>
      </w:r>
      <w:r w:rsidR="00295872" w:rsidRPr="00295872">
        <w:t>https://doi.org/10.4491/eer.2011.16.3.113</w:t>
      </w:r>
    </w:p>
    <w:p w14:paraId="743D1FD2" w14:textId="74A113A9" w:rsidR="00126128" w:rsidRPr="00372C43" w:rsidRDefault="0078150B" w:rsidP="00372C43">
      <w:pPr>
        <w:spacing w:after="240"/>
      </w:pPr>
      <w:r w:rsidRPr="00863739">
        <w:rPr>
          <w:smallCaps/>
        </w:rPr>
        <w:lastRenderedPageBreak/>
        <w:t>Cowie, H.</w:t>
      </w:r>
      <w:r w:rsidRPr="00372C43">
        <w:t xml:space="preserve"> 2017</w:t>
      </w:r>
      <w:r w:rsidR="00863739">
        <w:t>. “</w:t>
      </w:r>
      <w:r w:rsidRPr="00372C43">
        <w:t xml:space="preserve">A disgusting exhibition of brutality”: animals, the law and the Warwick lion fight of 1825, </w:t>
      </w:r>
      <w:r w:rsidR="00863739">
        <w:t>i</w:t>
      </w:r>
      <w:r w:rsidRPr="00372C43">
        <w:t>n</w:t>
      </w:r>
      <w:r w:rsidR="00295872">
        <w:t xml:space="preserve"> S.</w:t>
      </w:r>
      <w:r w:rsidRPr="00372C43">
        <w:t xml:space="preserve"> Cockram</w:t>
      </w:r>
      <w:r w:rsidR="00863739">
        <w:t xml:space="preserve"> &amp; A.</w:t>
      </w:r>
      <w:r w:rsidRPr="00372C43">
        <w:t xml:space="preserve"> Wells (ed</w:t>
      </w:r>
      <w:r w:rsidR="00611C98">
        <w:t>.</w:t>
      </w:r>
      <w:r w:rsidRPr="00372C43">
        <w:t xml:space="preserve">) </w:t>
      </w:r>
      <w:r w:rsidRPr="00295872">
        <w:rPr>
          <w:i/>
          <w:iCs/>
        </w:rPr>
        <w:t xml:space="preserve">Interspecies interactions: </w:t>
      </w:r>
      <w:r w:rsidR="00295872" w:rsidRPr="00295872">
        <w:rPr>
          <w:i/>
          <w:iCs/>
        </w:rPr>
        <w:t>a</w:t>
      </w:r>
      <w:r w:rsidRPr="00295872">
        <w:rPr>
          <w:i/>
          <w:iCs/>
        </w:rPr>
        <w:t xml:space="preserve">nimals and humans between the Middle Ages and </w:t>
      </w:r>
      <w:r w:rsidR="00295872" w:rsidRPr="00295872">
        <w:rPr>
          <w:i/>
          <w:iCs/>
        </w:rPr>
        <w:t>m</w:t>
      </w:r>
      <w:r w:rsidRPr="00295872">
        <w:rPr>
          <w:i/>
          <w:iCs/>
        </w:rPr>
        <w:t>odernity</w:t>
      </w:r>
      <w:r w:rsidR="00611C98">
        <w:t xml:space="preserve">: </w:t>
      </w:r>
      <w:r w:rsidR="00863739" w:rsidRPr="00372C43">
        <w:t>149</w:t>
      </w:r>
      <w:r w:rsidR="00295872">
        <w:t>–</w:t>
      </w:r>
      <w:r w:rsidR="00863739" w:rsidRPr="00372C43">
        <w:t xml:space="preserve">68. </w:t>
      </w:r>
      <w:r w:rsidR="00863739">
        <w:t xml:space="preserve">Abingdon: </w:t>
      </w:r>
      <w:r w:rsidRPr="00372C43">
        <w:t xml:space="preserve">Routledge. </w:t>
      </w:r>
    </w:p>
    <w:p w14:paraId="164B814D" w14:textId="3903A62A" w:rsidR="00126128" w:rsidRPr="00372C43" w:rsidRDefault="0078150B" w:rsidP="00372C43">
      <w:pPr>
        <w:spacing w:after="240" w:line="324" w:lineRule="auto"/>
        <w:rPr>
          <w:color w:val="FF0000"/>
        </w:rPr>
      </w:pPr>
      <w:r w:rsidRPr="00863739">
        <w:rPr>
          <w:smallCaps/>
        </w:rPr>
        <w:t xml:space="preserve">Cowie, R., </w:t>
      </w:r>
      <w:r w:rsidR="00863739">
        <w:rPr>
          <w:smallCaps/>
        </w:rPr>
        <w:t xml:space="preserve">A. </w:t>
      </w:r>
      <w:r w:rsidRPr="00863739">
        <w:rPr>
          <w:smallCaps/>
        </w:rPr>
        <w:t>Pipe,</w:t>
      </w:r>
      <w:r w:rsidR="00863739">
        <w:rPr>
          <w:smallCaps/>
        </w:rPr>
        <w:t xml:space="preserve"> J.</w:t>
      </w:r>
      <w:r w:rsidRPr="00863739">
        <w:rPr>
          <w:smallCaps/>
        </w:rPr>
        <w:t xml:space="preserve"> Clark</w:t>
      </w:r>
      <w:r w:rsidR="00863739">
        <w:rPr>
          <w:smallCaps/>
        </w:rPr>
        <w:t xml:space="preserve"> &amp; J.</w:t>
      </w:r>
      <w:r w:rsidRPr="00863739">
        <w:rPr>
          <w:smallCaps/>
        </w:rPr>
        <w:t xml:space="preserve"> Pearce</w:t>
      </w:r>
      <w:r w:rsidR="00863739">
        <w:rPr>
          <w:smallCaps/>
        </w:rPr>
        <w:t>.</w:t>
      </w:r>
      <w:r w:rsidRPr="00372C43">
        <w:t xml:space="preserve"> 1998. A </w:t>
      </w:r>
      <w:r w:rsidR="00295872" w:rsidRPr="00372C43">
        <w:t xml:space="preserve">late medieval and </w:t>
      </w:r>
      <w:r w:rsidRPr="00372C43">
        <w:t xml:space="preserve">Tudor </w:t>
      </w:r>
      <w:r w:rsidR="00295872" w:rsidRPr="00372C43">
        <w:t>horse burial ground: excavation</w:t>
      </w:r>
      <w:r w:rsidRPr="00372C43">
        <w:t xml:space="preserve">s at Elverton Street, Westminster. </w:t>
      </w:r>
      <w:r w:rsidRPr="00863739">
        <w:rPr>
          <w:i/>
          <w:iCs/>
        </w:rPr>
        <w:t>Archaeological Journal</w:t>
      </w:r>
      <w:r w:rsidRPr="00372C43">
        <w:t xml:space="preserve"> 155</w:t>
      </w:r>
      <w:r w:rsidR="00863739">
        <w:t>:</w:t>
      </w:r>
      <w:r w:rsidRPr="00372C43">
        <w:t xml:space="preserve"> 226–51.</w:t>
      </w:r>
      <w:hyperlink r:id="rId35">
        <w:r w:rsidRPr="00372C43">
          <w:t xml:space="preserve"> </w:t>
        </w:r>
      </w:hyperlink>
      <w:r w:rsidR="00295872" w:rsidRPr="00295872">
        <w:t xml:space="preserve"> https://doi.org/10.1080/00665983.1998.11078850</w:t>
      </w:r>
    </w:p>
    <w:p w14:paraId="081279C6" w14:textId="1C9A6F10" w:rsidR="00295872" w:rsidRPr="00372C43" w:rsidRDefault="00295872" w:rsidP="00295872">
      <w:pPr>
        <w:widowControl w:val="0"/>
        <w:spacing w:after="240"/>
      </w:pPr>
      <w:r w:rsidRPr="00863739">
        <w:rPr>
          <w:smallCaps/>
        </w:rPr>
        <w:t>Davies, C.</w:t>
      </w:r>
      <w:r w:rsidRPr="00372C43">
        <w:t xml:space="preserve"> 2023</w:t>
      </w:r>
      <w:r>
        <w:t>.</w:t>
      </w:r>
      <w:r w:rsidRPr="00372C43">
        <w:t xml:space="preserve"> </w:t>
      </w:r>
      <w:r w:rsidRPr="00372C43">
        <w:rPr>
          <w:i/>
        </w:rPr>
        <w:t xml:space="preserve">What is a </w:t>
      </w:r>
      <w:r>
        <w:rPr>
          <w:i/>
        </w:rPr>
        <w:t>p</w:t>
      </w:r>
      <w:r w:rsidRPr="00372C43">
        <w:rPr>
          <w:i/>
        </w:rPr>
        <w:t xml:space="preserve">layhouse? England at </w:t>
      </w:r>
      <w:r>
        <w:rPr>
          <w:i/>
        </w:rPr>
        <w:t>p</w:t>
      </w:r>
      <w:r w:rsidRPr="00372C43">
        <w:rPr>
          <w:i/>
        </w:rPr>
        <w:t>lay, 1520</w:t>
      </w:r>
      <w:r>
        <w:rPr>
          <w:i/>
        </w:rPr>
        <w:t>–</w:t>
      </w:r>
      <w:r w:rsidRPr="00372C43">
        <w:rPr>
          <w:i/>
        </w:rPr>
        <w:t>1620</w:t>
      </w:r>
      <w:r w:rsidRPr="00372C43">
        <w:t>. London: Routledge.</w:t>
      </w:r>
    </w:p>
    <w:p w14:paraId="373755B2" w14:textId="3E648AA0" w:rsidR="00126128" w:rsidRPr="00372C43" w:rsidRDefault="0078150B" w:rsidP="00372C43">
      <w:pPr>
        <w:widowControl w:val="0"/>
        <w:spacing w:after="240"/>
      </w:pPr>
      <w:r w:rsidRPr="00863739">
        <w:rPr>
          <w:smallCaps/>
          <w:highlight w:val="white"/>
        </w:rPr>
        <w:t>Dekker, T</w:t>
      </w:r>
      <w:r w:rsidR="00863739">
        <w:rPr>
          <w:smallCaps/>
          <w:highlight w:val="white"/>
        </w:rPr>
        <w:t>.</w:t>
      </w:r>
      <w:r w:rsidRPr="00372C43">
        <w:rPr>
          <w:highlight w:val="white"/>
        </w:rPr>
        <w:t xml:space="preserve"> 1609</w:t>
      </w:r>
      <w:r w:rsidR="00295872">
        <w:rPr>
          <w:highlight w:val="white"/>
        </w:rPr>
        <w:t>.</w:t>
      </w:r>
      <w:r w:rsidRPr="00372C43">
        <w:rPr>
          <w:highlight w:val="white"/>
        </w:rPr>
        <w:t xml:space="preserve"> </w:t>
      </w:r>
      <w:r w:rsidRPr="00372C43">
        <w:rPr>
          <w:i/>
          <w:highlight w:val="white"/>
        </w:rPr>
        <w:t>Worke for Armorers</w:t>
      </w:r>
      <w:r w:rsidRPr="00372C43">
        <w:rPr>
          <w:highlight w:val="white"/>
        </w:rPr>
        <w:t>. London</w:t>
      </w:r>
      <w:r w:rsidR="00295872">
        <w:rPr>
          <w:highlight w:val="white"/>
        </w:rPr>
        <w:t xml:space="preserve">: </w:t>
      </w:r>
      <w:r w:rsidR="00295872" w:rsidRPr="00295872">
        <w:t>Nathaniel Butter</w:t>
      </w:r>
      <w:r w:rsidRPr="00372C43">
        <w:rPr>
          <w:highlight w:val="white"/>
        </w:rPr>
        <w:t>.</w:t>
      </w:r>
    </w:p>
    <w:p w14:paraId="60DF6D32" w14:textId="18E662F4" w:rsidR="00126128" w:rsidRPr="00372C43" w:rsidRDefault="0078150B" w:rsidP="00372C43">
      <w:pPr>
        <w:widowControl w:val="0"/>
        <w:spacing w:after="240"/>
      </w:pPr>
      <w:r w:rsidRPr="00863739">
        <w:rPr>
          <w:smallCaps/>
        </w:rPr>
        <w:t>DeNiro M</w:t>
      </w:r>
      <w:r w:rsidR="00863739">
        <w:rPr>
          <w:smallCaps/>
        </w:rPr>
        <w:t>.</w:t>
      </w:r>
      <w:r w:rsidRPr="00863739">
        <w:rPr>
          <w:smallCaps/>
        </w:rPr>
        <w:t>J.</w:t>
      </w:r>
      <w:r w:rsidRPr="00372C43">
        <w:t xml:space="preserve"> 1985</w:t>
      </w:r>
      <w:r w:rsidR="00863739">
        <w:t>.</w:t>
      </w:r>
      <w:r w:rsidRPr="00372C43">
        <w:t xml:space="preserve"> Postmortem preservation and alteration of in vivo bone collagen isotope ratios in relation to palaeodietary reconstruction. </w:t>
      </w:r>
      <w:r w:rsidRPr="00863739">
        <w:rPr>
          <w:i/>
          <w:iCs/>
        </w:rPr>
        <w:t xml:space="preserve">Nature </w:t>
      </w:r>
      <w:r w:rsidRPr="00372C43">
        <w:t xml:space="preserve">317: 806–9. </w:t>
      </w:r>
      <w:r w:rsidR="00295872" w:rsidRPr="00295872">
        <w:t>https://doi.org/10.1038/317806a0</w:t>
      </w:r>
    </w:p>
    <w:p w14:paraId="4FCD7DD9" w14:textId="28D3F2A4" w:rsidR="00126128" w:rsidRPr="00372C43" w:rsidRDefault="0078150B" w:rsidP="00372C43">
      <w:pPr>
        <w:widowControl w:val="0"/>
        <w:spacing w:after="240"/>
      </w:pPr>
      <w:r w:rsidRPr="00863739">
        <w:rPr>
          <w:smallCaps/>
        </w:rPr>
        <w:t>Dionne, C.</w:t>
      </w:r>
      <w:r w:rsidRPr="00372C43">
        <w:t xml:space="preserve"> 2004</w:t>
      </w:r>
      <w:r w:rsidR="00611C98">
        <w:t>.</w:t>
      </w:r>
      <w:r w:rsidRPr="00372C43">
        <w:t xml:space="preserve"> Fashioning outlaws: the early modern rogue and urban culture</w:t>
      </w:r>
      <w:r w:rsidR="00863739">
        <w:t>, in</w:t>
      </w:r>
      <w:r w:rsidR="00295872">
        <w:t xml:space="preserve"> C.</w:t>
      </w:r>
      <w:r w:rsidRPr="00372C43">
        <w:t xml:space="preserve"> Dionne</w:t>
      </w:r>
      <w:r w:rsidR="00863739">
        <w:t xml:space="preserve"> &amp; S. </w:t>
      </w:r>
      <w:r w:rsidRPr="00372C43">
        <w:t>Mentz (ed</w:t>
      </w:r>
      <w:r w:rsidR="00863739">
        <w:t>.</w:t>
      </w:r>
      <w:r w:rsidRPr="00372C43">
        <w:t xml:space="preserve">) </w:t>
      </w:r>
      <w:r w:rsidRPr="00863739">
        <w:rPr>
          <w:i/>
          <w:iCs/>
        </w:rPr>
        <w:t>Rogues and early modern English culture</w:t>
      </w:r>
      <w:r w:rsidR="00863739">
        <w:t xml:space="preserve">: </w:t>
      </w:r>
      <w:r w:rsidR="00863739" w:rsidRPr="00372C43">
        <w:t>33–61</w:t>
      </w:r>
      <w:r w:rsidRPr="00372C43">
        <w:t xml:space="preserve">. </w:t>
      </w:r>
      <w:r w:rsidR="00863739" w:rsidRPr="00372C43">
        <w:t>Ann Arbor</w:t>
      </w:r>
      <w:r w:rsidR="00863739">
        <w:t xml:space="preserve">: </w:t>
      </w:r>
      <w:r w:rsidRPr="00372C43">
        <w:t>University of Michigan Press</w:t>
      </w:r>
      <w:r w:rsidR="00863739">
        <w:t>.</w:t>
      </w:r>
    </w:p>
    <w:p w14:paraId="59BF85ED" w14:textId="71C8826F" w:rsidR="00126128" w:rsidRPr="00372C43" w:rsidRDefault="00E4788F" w:rsidP="00372C43">
      <w:pPr>
        <w:spacing w:after="240"/>
        <w:rPr>
          <w:highlight w:val="white"/>
        </w:rPr>
      </w:pPr>
      <w:hyperlink r:id="rId36">
        <w:r w:rsidR="0078150B" w:rsidRPr="00611C98">
          <w:rPr>
            <w:smallCaps/>
            <w:highlight w:val="white"/>
          </w:rPr>
          <w:t>Driesch von den, A.</w:t>
        </w:r>
        <w:r w:rsidR="0078150B" w:rsidRPr="00372C43">
          <w:rPr>
            <w:highlight w:val="white"/>
          </w:rPr>
          <w:t xml:space="preserve"> 1976</w:t>
        </w:r>
        <w:r w:rsidR="00611C98">
          <w:rPr>
            <w:highlight w:val="white"/>
          </w:rPr>
          <w:t>.</w:t>
        </w:r>
        <w:r w:rsidR="0078150B" w:rsidRPr="00372C43">
          <w:rPr>
            <w:highlight w:val="white"/>
          </w:rPr>
          <w:t xml:space="preserve"> </w:t>
        </w:r>
      </w:hyperlink>
      <w:hyperlink r:id="rId37">
        <w:r w:rsidR="0078150B" w:rsidRPr="00372C43">
          <w:rPr>
            <w:i/>
            <w:highlight w:val="white"/>
          </w:rPr>
          <w:t>A guide to the measurement of animal bones from archaeological sites</w:t>
        </w:r>
      </w:hyperlink>
      <w:hyperlink r:id="rId38">
        <w:r w:rsidR="00611C98">
          <w:rPr>
            <w:highlight w:val="white"/>
          </w:rPr>
          <w:t>.</w:t>
        </w:r>
      </w:hyperlink>
      <w:r w:rsidR="00611C98">
        <w:rPr>
          <w:highlight w:val="white"/>
        </w:rPr>
        <w:t xml:space="preserve"> Harvard: Peabody Museum of Archaeology and Ethnography.</w:t>
      </w:r>
    </w:p>
    <w:p w14:paraId="45374FC9" w14:textId="0D48E212" w:rsidR="00126128" w:rsidRPr="006E0E10" w:rsidRDefault="0078150B" w:rsidP="00372C43">
      <w:pPr>
        <w:widowControl w:val="0"/>
        <w:spacing w:after="240"/>
        <w:rPr>
          <w:lang w:val="it-IT"/>
        </w:rPr>
      </w:pPr>
      <w:r w:rsidRPr="00611C98">
        <w:rPr>
          <w:smallCaps/>
        </w:rPr>
        <w:t>Fenchel, T.,</w:t>
      </w:r>
      <w:r w:rsidR="00611C98">
        <w:rPr>
          <w:smallCaps/>
        </w:rPr>
        <w:t xml:space="preserve"> G.M.</w:t>
      </w:r>
      <w:r w:rsidRPr="00611C98">
        <w:rPr>
          <w:smallCaps/>
        </w:rPr>
        <w:t xml:space="preserve"> King</w:t>
      </w:r>
      <w:r w:rsidR="00611C98">
        <w:rPr>
          <w:smallCaps/>
        </w:rPr>
        <w:t xml:space="preserve"> &amp; T.H.</w:t>
      </w:r>
      <w:r w:rsidRPr="00611C98">
        <w:rPr>
          <w:smallCaps/>
        </w:rPr>
        <w:t xml:space="preserve"> Blackburn</w:t>
      </w:r>
      <w:r w:rsidR="00611C98">
        <w:rPr>
          <w:smallCaps/>
        </w:rPr>
        <w:t>.</w:t>
      </w:r>
      <w:r w:rsidRPr="00372C43">
        <w:t xml:space="preserve"> 1998</w:t>
      </w:r>
      <w:r w:rsidR="00611C98">
        <w:t>.</w:t>
      </w:r>
      <w:r w:rsidRPr="00372C43">
        <w:t xml:space="preserve"> </w:t>
      </w:r>
      <w:r w:rsidRPr="00611C98">
        <w:rPr>
          <w:i/>
          <w:iCs/>
        </w:rPr>
        <w:t xml:space="preserve">Bacterial </w:t>
      </w:r>
      <w:r w:rsidR="00295872">
        <w:rPr>
          <w:i/>
          <w:iCs/>
        </w:rPr>
        <w:t>b</w:t>
      </w:r>
      <w:r w:rsidRPr="00611C98">
        <w:rPr>
          <w:i/>
          <w:iCs/>
        </w:rPr>
        <w:t>iogeochemistry: the ecophysiology of mineral cycling</w:t>
      </w:r>
      <w:r w:rsidRPr="00372C43">
        <w:t xml:space="preserve">. </w:t>
      </w:r>
      <w:r w:rsidR="00611C98" w:rsidRPr="006E0E10">
        <w:rPr>
          <w:lang w:val="it-IT"/>
        </w:rPr>
        <w:t xml:space="preserve">London: </w:t>
      </w:r>
      <w:r w:rsidRPr="006E0E10">
        <w:rPr>
          <w:lang w:val="it-IT"/>
        </w:rPr>
        <w:t xml:space="preserve">Academic. </w:t>
      </w:r>
    </w:p>
    <w:p w14:paraId="416A4B36" w14:textId="7A36C355" w:rsidR="00126128" w:rsidRPr="00372C43" w:rsidRDefault="0078150B" w:rsidP="00372C43">
      <w:pPr>
        <w:widowControl w:val="0"/>
        <w:spacing w:after="240"/>
      </w:pPr>
      <w:r w:rsidRPr="00611C98">
        <w:rPr>
          <w:smallCaps/>
        </w:rPr>
        <w:t>Greenfield, J.</w:t>
      </w:r>
      <w:r w:rsidRPr="00372C43">
        <w:t xml:space="preserve"> 2007</w:t>
      </w:r>
      <w:r w:rsidR="0086601A">
        <w:t>.</w:t>
      </w:r>
      <w:r w:rsidRPr="00372C43">
        <w:t xml:space="preserve"> Reconstructing the Rose:</w:t>
      </w:r>
      <w:r w:rsidR="0086601A">
        <w:t xml:space="preserve"> </w:t>
      </w:r>
      <w:r w:rsidR="00295872" w:rsidRPr="00372C43">
        <w:t xml:space="preserve">development of the playhouse </w:t>
      </w:r>
      <w:r w:rsidRPr="00372C43">
        <w:t>building between 1587 and 1592</w:t>
      </w:r>
      <w:r w:rsidR="00295872">
        <w:t xml:space="preserve">, </w:t>
      </w:r>
      <w:r w:rsidR="00295872" w:rsidRPr="00295872">
        <w:t xml:space="preserve">in P. Holland (ed.) </w:t>
      </w:r>
      <w:r w:rsidR="00295872" w:rsidRPr="00295872">
        <w:rPr>
          <w:i/>
          <w:iCs/>
        </w:rPr>
        <w:t>Shakespeare survey, volume 60: theatres for Shakespeare</w:t>
      </w:r>
      <w:r w:rsidR="00295872" w:rsidRPr="00295872">
        <w:t>: 23–35. Cambridge: Cambridge University Press. https://doi.org/10.1017/CCOL052187839X.002</w:t>
      </w:r>
    </w:p>
    <w:p w14:paraId="591FE0FE" w14:textId="596EF4AB" w:rsidR="00126128" w:rsidRPr="00372C43" w:rsidRDefault="0078150B" w:rsidP="00372C43">
      <w:pPr>
        <w:widowControl w:val="0"/>
        <w:spacing w:after="240"/>
        <w:rPr>
          <w:color w:val="FF0000"/>
        </w:rPr>
      </w:pPr>
      <w:r w:rsidRPr="0086601A">
        <w:rPr>
          <w:smallCaps/>
        </w:rPr>
        <w:t>Harcourt, R.A.</w:t>
      </w:r>
      <w:r w:rsidRPr="00372C43">
        <w:t xml:space="preserve"> 1974</w:t>
      </w:r>
      <w:r w:rsidR="0086601A">
        <w:t>.</w:t>
      </w:r>
      <w:r w:rsidRPr="00372C43">
        <w:t xml:space="preserve"> The dog in prehistoric and early historic Britain. </w:t>
      </w:r>
      <w:r w:rsidRPr="00372C43">
        <w:rPr>
          <w:i/>
        </w:rPr>
        <w:t>Journal of Archaeological Science</w:t>
      </w:r>
      <w:r w:rsidRPr="00372C43">
        <w:t xml:space="preserve"> 1:</w:t>
      </w:r>
      <w:r w:rsidR="007A4AFD">
        <w:t xml:space="preserve"> </w:t>
      </w:r>
      <w:r w:rsidRPr="00372C43">
        <w:t>151</w:t>
      </w:r>
      <w:r w:rsidR="00295872">
        <w:t>-</w:t>
      </w:r>
      <w:r w:rsidRPr="00372C43">
        <w:t>75</w:t>
      </w:r>
      <w:r w:rsidR="00295872">
        <w:t xml:space="preserve">. </w:t>
      </w:r>
      <w:r w:rsidR="00295872" w:rsidRPr="00295872">
        <w:t>https://doi.org/10.1016/0305-4403(74)90040-5</w:t>
      </w:r>
    </w:p>
    <w:p w14:paraId="2FC6D448" w14:textId="2B034A7E" w:rsidR="00126128" w:rsidRPr="00372C43" w:rsidRDefault="0078150B" w:rsidP="00372C43">
      <w:pPr>
        <w:spacing w:after="240"/>
      </w:pPr>
      <w:r w:rsidRPr="0086601A">
        <w:rPr>
          <w:smallCaps/>
          <w:highlight w:val="white"/>
        </w:rPr>
        <w:t>Horard-Herbin, M.</w:t>
      </w:r>
      <w:r w:rsidRPr="00372C43">
        <w:rPr>
          <w:highlight w:val="white"/>
        </w:rPr>
        <w:t xml:space="preserve"> 2000</w:t>
      </w:r>
      <w:r w:rsidR="0086601A">
        <w:rPr>
          <w:highlight w:val="white"/>
        </w:rPr>
        <w:t xml:space="preserve">. </w:t>
      </w:r>
      <w:r w:rsidRPr="00372C43">
        <w:rPr>
          <w:highlight w:val="white"/>
        </w:rPr>
        <w:t xml:space="preserve">Dog </w:t>
      </w:r>
      <w:r w:rsidR="00295872" w:rsidRPr="00372C43">
        <w:rPr>
          <w:highlight w:val="white"/>
        </w:rPr>
        <w:t xml:space="preserve">management and use </w:t>
      </w:r>
      <w:r w:rsidRPr="00372C43">
        <w:rPr>
          <w:highlight w:val="white"/>
        </w:rPr>
        <w:t xml:space="preserve">in the Late Iron Age: </w:t>
      </w:r>
      <w:r w:rsidR="00295872" w:rsidRPr="00372C43">
        <w:rPr>
          <w:highlight w:val="white"/>
        </w:rPr>
        <w:t>the evid</w:t>
      </w:r>
      <w:r w:rsidRPr="00372C43">
        <w:rPr>
          <w:highlight w:val="white"/>
        </w:rPr>
        <w:t xml:space="preserve">ence from the </w:t>
      </w:r>
      <w:r w:rsidR="00295872">
        <w:rPr>
          <w:highlight w:val="white"/>
        </w:rPr>
        <w:t>G</w:t>
      </w:r>
      <w:r w:rsidRPr="00372C43">
        <w:rPr>
          <w:highlight w:val="white"/>
        </w:rPr>
        <w:t>allic site of Levroux (France), in</w:t>
      </w:r>
      <w:r w:rsidR="00295872">
        <w:rPr>
          <w:highlight w:val="white"/>
        </w:rPr>
        <w:t xml:space="preserve"> S.J.</w:t>
      </w:r>
      <w:r w:rsidRPr="00372C43">
        <w:rPr>
          <w:highlight w:val="white"/>
        </w:rPr>
        <w:t xml:space="preserve"> Crockford</w:t>
      </w:r>
      <w:r w:rsidR="009F55B3" w:rsidRPr="00372C43">
        <w:rPr>
          <w:highlight w:val="white"/>
        </w:rPr>
        <w:t xml:space="preserve"> </w:t>
      </w:r>
      <w:r w:rsidRPr="00372C43">
        <w:rPr>
          <w:highlight w:val="white"/>
        </w:rPr>
        <w:t xml:space="preserve">(ed.) </w:t>
      </w:r>
      <w:r w:rsidRPr="0086601A">
        <w:rPr>
          <w:i/>
          <w:iCs/>
          <w:highlight w:val="white"/>
        </w:rPr>
        <w:t xml:space="preserve">Dogs </w:t>
      </w:r>
      <w:r w:rsidR="00295872" w:rsidRPr="0086601A">
        <w:rPr>
          <w:i/>
          <w:iCs/>
          <w:highlight w:val="white"/>
        </w:rPr>
        <w:t>through time: an archaeological perspective</w:t>
      </w:r>
      <w:r w:rsidR="00295872" w:rsidRPr="00295872">
        <w:rPr>
          <w:highlight w:val="white"/>
        </w:rPr>
        <w:t xml:space="preserve"> </w:t>
      </w:r>
      <w:r w:rsidR="00295872">
        <w:rPr>
          <w:highlight w:val="white"/>
        </w:rPr>
        <w:t>(</w:t>
      </w:r>
      <w:r w:rsidR="00295872" w:rsidRPr="00372C43">
        <w:rPr>
          <w:highlight w:val="white"/>
        </w:rPr>
        <w:t>B</w:t>
      </w:r>
      <w:r w:rsidR="00295872">
        <w:rPr>
          <w:highlight w:val="white"/>
        </w:rPr>
        <w:t>ritish Archaeological Reports</w:t>
      </w:r>
      <w:r w:rsidR="00295872" w:rsidRPr="00372C43">
        <w:rPr>
          <w:highlight w:val="white"/>
        </w:rPr>
        <w:t xml:space="preserve"> International Series 889</w:t>
      </w:r>
      <w:r w:rsidR="00295872">
        <w:rPr>
          <w:highlight w:val="white"/>
        </w:rPr>
        <w:t>)</w:t>
      </w:r>
      <w:r w:rsidR="00295872" w:rsidRPr="00295872">
        <w:rPr>
          <w:highlight w:val="white"/>
        </w:rPr>
        <w:t>:</w:t>
      </w:r>
      <w:r w:rsidR="0086601A" w:rsidRPr="00295872">
        <w:rPr>
          <w:highlight w:val="white"/>
        </w:rPr>
        <w:t xml:space="preserve"> </w:t>
      </w:r>
      <w:r w:rsidR="0086601A" w:rsidRPr="00372C43">
        <w:rPr>
          <w:highlight w:val="white"/>
        </w:rPr>
        <w:t>115–21</w:t>
      </w:r>
      <w:r w:rsidRPr="0086601A">
        <w:rPr>
          <w:i/>
          <w:iCs/>
          <w:highlight w:val="white"/>
        </w:rPr>
        <w:t>.</w:t>
      </w:r>
      <w:r w:rsidR="009E03A2">
        <w:t xml:space="preserve"> Oxford: Archaeopress. </w:t>
      </w:r>
    </w:p>
    <w:p w14:paraId="6F454BAD" w14:textId="7A2110C7" w:rsidR="00126128" w:rsidRPr="00372C43" w:rsidRDefault="0078150B" w:rsidP="00372C43">
      <w:pPr>
        <w:spacing w:after="240"/>
      </w:pPr>
      <w:r w:rsidRPr="009E03A2">
        <w:rPr>
          <w:smallCaps/>
        </w:rPr>
        <w:t>Hotson, J.L.</w:t>
      </w:r>
      <w:r w:rsidRPr="00372C43">
        <w:t xml:space="preserve"> 1925</w:t>
      </w:r>
      <w:r w:rsidR="009E03A2">
        <w:t>.</w:t>
      </w:r>
      <w:r w:rsidRPr="00372C43">
        <w:t xml:space="preserve"> Bear </w:t>
      </w:r>
      <w:r w:rsidR="00295872" w:rsidRPr="00372C43">
        <w:t xml:space="preserve">gardens and bear-baiting </w:t>
      </w:r>
      <w:r w:rsidRPr="00372C43">
        <w:t>during the Commonwealth</w:t>
      </w:r>
      <w:r w:rsidR="009E03A2">
        <w:t xml:space="preserve">. </w:t>
      </w:r>
      <w:r w:rsidR="00295872" w:rsidRPr="00295872">
        <w:rPr>
          <w:i/>
          <w:iCs/>
        </w:rPr>
        <w:t>Proceedings of the Modern Language Association</w:t>
      </w:r>
      <w:r w:rsidRPr="00372C43">
        <w:t xml:space="preserve"> 40: 276</w:t>
      </w:r>
      <w:r w:rsidR="00295872">
        <w:t>–</w:t>
      </w:r>
      <w:r w:rsidRPr="00372C43">
        <w:t>88.</w:t>
      </w:r>
      <w:r w:rsidR="00295872">
        <w:t xml:space="preserve"> </w:t>
      </w:r>
      <w:r w:rsidR="00295872" w:rsidRPr="00295872">
        <w:t>https://doi.org/10.2307/457224</w:t>
      </w:r>
    </w:p>
    <w:p w14:paraId="71233F02" w14:textId="23589295" w:rsidR="008A7E75" w:rsidRPr="00E9325E" w:rsidRDefault="008A7E75" w:rsidP="008A7E75">
      <w:pPr>
        <w:spacing w:after="240"/>
        <w:rPr>
          <w:highlight w:val="white"/>
        </w:rPr>
      </w:pPr>
      <w:r w:rsidRPr="00E9325E">
        <w:rPr>
          <w:smallCaps/>
        </w:rPr>
        <w:t xml:space="preserve">Johnston, A.F. </w:t>
      </w:r>
      <w:r>
        <w:rPr>
          <w:smallCaps/>
        </w:rPr>
        <w:t>(</w:t>
      </w:r>
      <w:r w:rsidRPr="00E9325E">
        <w:t>ed</w:t>
      </w:r>
      <w:r>
        <w:rPr>
          <w:smallCaps/>
        </w:rPr>
        <w:t xml:space="preserve">.) </w:t>
      </w:r>
      <w:r w:rsidRPr="008A7E75">
        <w:t>n.d</w:t>
      </w:r>
      <w:r>
        <w:rPr>
          <w:smallCaps/>
        </w:rPr>
        <w:t xml:space="preserve">. </w:t>
      </w:r>
      <w:r w:rsidRPr="004C478D">
        <w:rPr>
          <w:i/>
          <w:iCs/>
        </w:rPr>
        <w:t>Berkshire</w:t>
      </w:r>
      <w:r w:rsidRPr="004C478D">
        <w:t>. Records of Early English Drama Online</w:t>
      </w:r>
      <w:r>
        <w:t>. Available at:</w:t>
      </w:r>
      <w:r w:rsidRPr="00372C43">
        <w:t xml:space="preserve"> </w:t>
      </w:r>
      <w:r w:rsidRPr="00E9325E">
        <w:t>https://ereed.library.utoronto.ca/collections/berks/</w:t>
      </w:r>
      <w:r>
        <w:t xml:space="preserve"> (accessed </w:t>
      </w:r>
      <w:r w:rsidR="00B85155">
        <w:t>January 2024</w:t>
      </w:r>
      <w:r>
        <w:t>).</w:t>
      </w:r>
    </w:p>
    <w:p w14:paraId="3828177D" w14:textId="263B205A" w:rsidR="00126128" w:rsidRPr="00372C43" w:rsidRDefault="0078150B" w:rsidP="00372C43">
      <w:pPr>
        <w:spacing w:after="240"/>
      </w:pPr>
      <w:r w:rsidRPr="00AD3D41">
        <w:rPr>
          <w:smallCaps/>
        </w:rPr>
        <w:t>Jonson, B.</w:t>
      </w:r>
      <w:r w:rsidRPr="00AD3D41">
        <w:t xml:space="preserve"> </w:t>
      </w:r>
      <w:r w:rsidR="00F1499A" w:rsidRPr="00AD3D41">
        <w:t>2002 [</w:t>
      </w:r>
      <w:r w:rsidRPr="00AD3D41">
        <w:t>1641</w:t>
      </w:r>
      <w:r w:rsidR="00F1499A" w:rsidRPr="00AD3D41">
        <w:t>]</w:t>
      </w:r>
      <w:r w:rsidR="00295872" w:rsidRPr="00AD3D41">
        <w:t>.</w:t>
      </w:r>
      <w:r w:rsidRPr="00AD3D41">
        <w:t xml:space="preserve"> </w:t>
      </w:r>
      <w:r w:rsidRPr="00295872">
        <w:rPr>
          <w:i/>
          <w:lang w:val="de-DE"/>
        </w:rPr>
        <w:t>Bartholomew Fair</w:t>
      </w:r>
      <w:r w:rsidR="00295872" w:rsidRPr="00295872">
        <w:rPr>
          <w:iCs/>
          <w:lang w:val="de-DE"/>
        </w:rPr>
        <w:t xml:space="preserve">, </w:t>
      </w:r>
      <w:r w:rsidR="00295872">
        <w:rPr>
          <w:iCs/>
          <w:lang w:val="de-DE"/>
        </w:rPr>
        <w:t>i</w:t>
      </w:r>
      <w:r w:rsidR="009E03A2" w:rsidRPr="00295872">
        <w:rPr>
          <w:lang w:val="de-DE"/>
        </w:rPr>
        <w:t xml:space="preserve">n </w:t>
      </w:r>
      <w:r w:rsidR="00295872">
        <w:rPr>
          <w:lang w:val="de-DE"/>
        </w:rPr>
        <w:t xml:space="preserve">D. </w:t>
      </w:r>
      <w:r w:rsidR="009E03A2" w:rsidRPr="00295872">
        <w:rPr>
          <w:lang w:val="de-DE"/>
        </w:rPr>
        <w:t>Bevington</w:t>
      </w:r>
      <w:r w:rsidR="009F55B3" w:rsidRPr="00295872">
        <w:rPr>
          <w:lang w:val="de-DE"/>
        </w:rPr>
        <w:t xml:space="preserve">, </w:t>
      </w:r>
      <w:r w:rsidR="009E03A2" w:rsidRPr="00295872">
        <w:rPr>
          <w:lang w:val="de-DE"/>
        </w:rPr>
        <w:t xml:space="preserve">L. Engle, K. Eisaman Maus </w:t>
      </w:r>
      <w:r w:rsidR="009F55B3" w:rsidRPr="00295872">
        <w:rPr>
          <w:lang w:val="de-DE"/>
        </w:rPr>
        <w:t>&amp;</w:t>
      </w:r>
      <w:r w:rsidR="009E03A2" w:rsidRPr="00295872">
        <w:rPr>
          <w:lang w:val="de-DE"/>
        </w:rPr>
        <w:t xml:space="preserve"> E. Rasmussen (ed.) </w:t>
      </w:r>
      <w:r w:rsidRPr="00372C43">
        <w:rPr>
          <w:i/>
        </w:rPr>
        <w:t xml:space="preserve">English Renaissance </w:t>
      </w:r>
      <w:r w:rsidR="00F1499A" w:rsidRPr="00372C43">
        <w:rPr>
          <w:i/>
        </w:rPr>
        <w:t xml:space="preserve">drama: a </w:t>
      </w:r>
      <w:r w:rsidRPr="00372C43">
        <w:rPr>
          <w:i/>
        </w:rPr>
        <w:t xml:space="preserve">Norton </w:t>
      </w:r>
      <w:r w:rsidR="00F1499A">
        <w:rPr>
          <w:i/>
        </w:rPr>
        <w:t>a</w:t>
      </w:r>
      <w:r w:rsidRPr="00372C43">
        <w:rPr>
          <w:i/>
        </w:rPr>
        <w:t>nthology</w:t>
      </w:r>
      <w:r w:rsidR="009E03A2">
        <w:rPr>
          <w:i/>
        </w:rPr>
        <w:t xml:space="preserve">: </w:t>
      </w:r>
      <w:r w:rsidR="009E03A2">
        <w:rPr>
          <w:iCs/>
        </w:rPr>
        <w:t>961</w:t>
      </w:r>
      <w:r w:rsidR="00F1499A">
        <w:rPr>
          <w:iCs/>
        </w:rPr>
        <w:t>–</w:t>
      </w:r>
      <w:r w:rsidR="009E03A2">
        <w:rPr>
          <w:iCs/>
        </w:rPr>
        <w:t>1066</w:t>
      </w:r>
      <w:r w:rsidRPr="00372C43">
        <w:t xml:space="preserve">. </w:t>
      </w:r>
      <w:r w:rsidR="009F55B3">
        <w:t xml:space="preserve">New York: </w:t>
      </w:r>
      <w:r w:rsidR="009E03A2">
        <w:t>W.W. Norton.</w:t>
      </w:r>
    </w:p>
    <w:p w14:paraId="3AE1B4D1" w14:textId="77777777" w:rsidR="0078150B" w:rsidRPr="00372C43" w:rsidRDefault="0078150B" w:rsidP="0078150B">
      <w:pPr>
        <w:widowControl w:val="0"/>
        <w:spacing w:after="240"/>
      </w:pPr>
      <w:r w:rsidRPr="0072734B">
        <w:rPr>
          <w:smallCaps/>
        </w:rPr>
        <w:t>Mackinder, A. &amp; S. Blatherwick.</w:t>
      </w:r>
      <w:r>
        <w:t xml:space="preserve"> </w:t>
      </w:r>
      <w:r w:rsidRPr="00372C43">
        <w:t xml:space="preserve">2000. </w:t>
      </w:r>
      <w:r w:rsidRPr="00372C43">
        <w:rPr>
          <w:i/>
        </w:rPr>
        <w:t xml:space="preserve">Bankside: </w:t>
      </w:r>
      <w:r>
        <w:rPr>
          <w:i/>
        </w:rPr>
        <w:t>e</w:t>
      </w:r>
      <w:r w:rsidRPr="00372C43">
        <w:rPr>
          <w:i/>
        </w:rPr>
        <w:t xml:space="preserve">xcavations at Benbow House </w:t>
      </w:r>
      <w:r w:rsidRPr="00372C43">
        <w:rPr>
          <w:i/>
        </w:rPr>
        <w:lastRenderedPageBreak/>
        <w:t>Southwark, London SE1</w:t>
      </w:r>
      <w:r w:rsidRPr="00372C43">
        <w:t xml:space="preserve"> </w:t>
      </w:r>
      <w:r>
        <w:t>(</w:t>
      </w:r>
      <w:r w:rsidRPr="00372C43">
        <w:t>Archaeology Studies Series 111</w:t>
      </w:r>
      <w:r>
        <w:t>)</w:t>
      </w:r>
      <w:r w:rsidRPr="00372C43">
        <w:t xml:space="preserve">. </w:t>
      </w:r>
      <w:r>
        <w:t xml:space="preserve">London: </w:t>
      </w:r>
      <w:r w:rsidRPr="00372C43">
        <w:t>Museum of London Archaeology Service.</w:t>
      </w:r>
    </w:p>
    <w:p w14:paraId="00CEE5A8" w14:textId="44E5FC01" w:rsidR="00126128" w:rsidRPr="00372C43" w:rsidRDefault="0078150B" w:rsidP="00372C43">
      <w:pPr>
        <w:widowControl w:val="0"/>
        <w:spacing w:after="240"/>
      </w:pPr>
      <w:r w:rsidRPr="009F55B3">
        <w:rPr>
          <w:smallCaps/>
        </w:rPr>
        <w:t xml:space="preserve">Mackinder, A., </w:t>
      </w:r>
      <w:r w:rsidR="009F55B3">
        <w:rPr>
          <w:smallCaps/>
        </w:rPr>
        <w:t xml:space="preserve">L. </w:t>
      </w:r>
      <w:r w:rsidRPr="009F55B3">
        <w:rPr>
          <w:smallCaps/>
        </w:rPr>
        <w:t xml:space="preserve">Blackmore, </w:t>
      </w:r>
      <w:r w:rsidR="009F55B3">
        <w:rPr>
          <w:smallCaps/>
        </w:rPr>
        <w:t>J.</w:t>
      </w:r>
      <w:r w:rsidRPr="009F55B3">
        <w:rPr>
          <w:smallCaps/>
        </w:rPr>
        <w:t xml:space="preserve"> Bowsher</w:t>
      </w:r>
      <w:r w:rsidR="00F1499A">
        <w:rPr>
          <w:smallCaps/>
        </w:rPr>
        <w:t xml:space="preserve"> &amp;</w:t>
      </w:r>
      <w:r w:rsidRPr="009F55B3">
        <w:rPr>
          <w:smallCaps/>
        </w:rPr>
        <w:t xml:space="preserve"> </w:t>
      </w:r>
      <w:r w:rsidR="009F55B3">
        <w:rPr>
          <w:smallCaps/>
        </w:rPr>
        <w:t>C.</w:t>
      </w:r>
      <w:r w:rsidRPr="009F55B3">
        <w:rPr>
          <w:smallCaps/>
        </w:rPr>
        <w:t xml:space="preserve"> Phillpotts</w:t>
      </w:r>
      <w:r w:rsidR="009F55B3">
        <w:rPr>
          <w:smallCaps/>
        </w:rPr>
        <w:t xml:space="preserve">. </w:t>
      </w:r>
      <w:r w:rsidRPr="00372C43">
        <w:t xml:space="preserve">2013. </w:t>
      </w:r>
      <w:r w:rsidRPr="00372C43">
        <w:rPr>
          <w:i/>
        </w:rPr>
        <w:t xml:space="preserve">The Hope Playhouse, animal baiting and later industrial activity at </w:t>
      </w:r>
      <w:r w:rsidR="00F1499A">
        <w:rPr>
          <w:i/>
        </w:rPr>
        <w:t>b</w:t>
      </w:r>
      <w:r w:rsidRPr="00372C43">
        <w:rPr>
          <w:i/>
        </w:rPr>
        <w:t xml:space="preserve">ear gardens on Bankside: </w:t>
      </w:r>
      <w:r w:rsidR="00F1499A">
        <w:rPr>
          <w:i/>
        </w:rPr>
        <w:t>e</w:t>
      </w:r>
      <w:r w:rsidRPr="00372C43">
        <w:rPr>
          <w:i/>
        </w:rPr>
        <w:t>xcavations at Riverside House and New Globe Walk, Southwark</w:t>
      </w:r>
      <w:r w:rsidRPr="00F1499A">
        <w:rPr>
          <w:i/>
          <w:iCs/>
        </w:rPr>
        <w:t>, 1999</w:t>
      </w:r>
      <w:r w:rsidR="00F1499A" w:rsidRPr="00F1499A">
        <w:rPr>
          <w:i/>
          <w:iCs/>
        </w:rPr>
        <w:t>–</w:t>
      </w:r>
      <w:r w:rsidRPr="00F1499A">
        <w:rPr>
          <w:i/>
          <w:iCs/>
        </w:rPr>
        <w:t>2000</w:t>
      </w:r>
      <w:r w:rsidR="00F1499A">
        <w:t xml:space="preserve"> (</w:t>
      </w:r>
      <w:r w:rsidRPr="00372C43">
        <w:t>Archaeology Studies Series 25</w:t>
      </w:r>
      <w:r w:rsidR="00F1499A">
        <w:t>)</w:t>
      </w:r>
      <w:r w:rsidRPr="00372C43">
        <w:t xml:space="preserve">. </w:t>
      </w:r>
      <w:r w:rsidR="009F55B3">
        <w:t xml:space="preserve">London: </w:t>
      </w:r>
      <w:r w:rsidRPr="00372C43">
        <w:t>Museum of London Archaeology.</w:t>
      </w:r>
    </w:p>
    <w:p w14:paraId="06D8DDB5" w14:textId="7BCD703D" w:rsidR="00126128" w:rsidRPr="00372C43" w:rsidRDefault="0078150B" w:rsidP="00372C43">
      <w:pPr>
        <w:spacing w:after="240"/>
        <w:rPr>
          <w:highlight w:val="white"/>
        </w:rPr>
      </w:pPr>
      <w:r w:rsidRPr="0072734B">
        <w:rPr>
          <w:smallCaps/>
          <w:highlight w:val="white"/>
        </w:rPr>
        <w:t>Meadow, R.</w:t>
      </w:r>
      <w:r w:rsidRPr="00372C43">
        <w:rPr>
          <w:highlight w:val="white"/>
        </w:rPr>
        <w:t xml:space="preserve"> 1999. The use of size index scaling techniques for research on archaeological collections from the Middle East, in</w:t>
      </w:r>
      <w:r w:rsidR="00F1499A">
        <w:rPr>
          <w:highlight w:val="white"/>
        </w:rPr>
        <w:t xml:space="preserve"> </w:t>
      </w:r>
      <w:r w:rsidR="00F1499A" w:rsidRPr="00F1499A">
        <w:rPr>
          <w:highlight w:val="white"/>
        </w:rPr>
        <w:t>C.</w:t>
      </w:r>
      <w:r w:rsidRPr="00F1499A">
        <w:rPr>
          <w:highlight w:val="white"/>
        </w:rPr>
        <w:t xml:space="preserve"> Becker,</w:t>
      </w:r>
      <w:r w:rsidR="0072734B" w:rsidRPr="00F1499A">
        <w:rPr>
          <w:highlight w:val="white"/>
        </w:rPr>
        <w:t xml:space="preserve"> H.</w:t>
      </w:r>
      <w:r w:rsidRPr="00F1499A">
        <w:rPr>
          <w:highlight w:val="white"/>
        </w:rPr>
        <w:t xml:space="preserve"> Manhart</w:t>
      </w:r>
      <w:r w:rsidR="0072734B" w:rsidRPr="00F1499A">
        <w:rPr>
          <w:highlight w:val="white"/>
        </w:rPr>
        <w:t>, J.</w:t>
      </w:r>
      <w:r w:rsidRPr="00F1499A">
        <w:rPr>
          <w:highlight w:val="white"/>
        </w:rPr>
        <w:t xml:space="preserve"> Peters</w:t>
      </w:r>
      <w:r w:rsidR="0072734B" w:rsidRPr="00F1499A">
        <w:rPr>
          <w:highlight w:val="white"/>
        </w:rPr>
        <w:t xml:space="preserve"> &amp;</w:t>
      </w:r>
      <w:r w:rsidRPr="00F1499A">
        <w:rPr>
          <w:highlight w:val="white"/>
        </w:rPr>
        <w:t xml:space="preserve"> J.</w:t>
      </w:r>
      <w:r w:rsidR="0072734B" w:rsidRPr="00F1499A">
        <w:rPr>
          <w:highlight w:val="white"/>
        </w:rPr>
        <w:t xml:space="preserve"> </w:t>
      </w:r>
      <w:r w:rsidRPr="00F1499A">
        <w:rPr>
          <w:highlight w:val="white"/>
        </w:rPr>
        <w:t>Schribler</w:t>
      </w:r>
      <w:r w:rsidRPr="0072734B">
        <w:rPr>
          <w:smallCaps/>
          <w:highlight w:val="white"/>
        </w:rPr>
        <w:t xml:space="preserve"> </w:t>
      </w:r>
      <w:r w:rsidRPr="00372C43">
        <w:rPr>
          <w:highlight w:val="white"/>
        </w:rPr>
        <w:t>(</w:t>
      </w:r>
      <w:r w:rsidR="00F1499A">
        <w:rPr>
          <w:highlight w:val="white"/>
        </w:rPr>
        <w:t>e</w:t>
      </w:r>
      <w:r w:rsidRPr="00372C43">
        <w:rPr>
          <w:highlight w:val="white"/>
        </w:rPr>
        <w:t xml:space="preserve">d.) </w:t>
      </w:r>
      <w:r w:rsidRPr="00F1499A">
        <w:rPr>
          <w:i/>
          <w:iCs/>
          <w:highlight w:val="white"/>
          <w:lang w:val="de-DE"/>
        </w:rPr>
        <w:t>Historia Animalium Ex Ossibus: Festschrift Fur Angela von Den Driesch</w:t>
      </w:r>
      <w:r w:rsidR="006D690D" w:rsidRPr="00F1499A">
        <w:rPr>
          <w:highlight w:val="white"/>
          <w:lang w:val="de-DE"/>
        </w:rPr>
        <w:t>: 285</w:t>
      </w:r>
      <w:r w:rsidR="00F1499A" w:rsidRPr="00F1499A">
        <w:rPr>
          <w:highlight w:val="white"/>
          <w:lang w:val="de-DE"/>
        </w:rPr>
        <w:t>–</w:t>
      </w:r>
      <w:r w:rsidR="006D690D" w:rsidRPr="00F1499A">
        <w:rPr>
          <w:highlight w:val="white"/>
          <w:lang w:val="de-DE"/>
        </w:rPr>
        <w:t xml:space="preserve">300. </w:t>
      </w:r>
      <w:r w:rsidR="0072734B" w:rsidRPr="00372C43">
        <w:rPr>
          <w:highlight w:val="white"/>
        </w:rPr>
        <w:t>Rahden/Westf</w:t>
      </w:r>
      <w:r w:rsidR="0072734B">
        <w:rPr>
          <w:highlight w:val="white"/>
        </w:rPr>
        <w:t xml:space="preserve">alen: </w:t>
      </w:r>
      <w:r w:rsidRPr="00372C43">
        <w:rPr>
          <w:highlight w:val="white"/>
        </w:rPr>
        <w:t>Marie Leidorf</w:t>
      </w:r>
      <w:r w:rsidR="0072734B">
        <w:rPr>
          <w:highlight w:val="white"/>
        </w:rPr>
        <w:t xml:space="preserve">. </w:t>
      </w:r>
    </w:p>
    <w:p w14:paraId="401FD72D" w14:textId="00E7EA41" w:rsidR="00126128" w:rsidRPr="00372C43" w:rsidRDefault="0078150B" w:rsidP="00372C43">
      <w:pPr>
        <w:spacing w:after="240"/>
      </w:pPr>
      <w:r w:rsidRPr="006D690D">
        <w:rPr>
          <w:smallCaps/>
        </w:rPr>
        <w:t>Murphy, E.M.</w:t>
      </w:r>
      <w:r w:rsidRPr="00372C43">
        <w:t xml:space="preserve"> 2001</w:t>
      </w:r>
      <w:r w:rsidR="006D690D">
        <w:t>.</w:t>
      </w:r>
      <w:r w:rsidRPr="00372C43">
        <w:t xml:space="preserve"> Medieval and post-medieval butchered dogs from Carrickfergus, Co. Antrim, Northern Ireland. </w:t>
      </w:r>
      <w:r w:rsidRPr="00372C43">
        <w:rPr>
          <w:i/>
        </w:rPr>
        <w:t>Environmental Archaeology</w:t>
      </w:r>
      <w:r w:rsidRPr="00372C43">
        <w:t xml:space="preserve"> 6:</w:t>
      </w:r>
      <w:r w:rsidR="00F1499A">
        <w:t xml:space="preserve"> </w:t>
      </w:r>
      <w:r w:rsidRPr="00372C43">
        <w:t>13</w:t>
      </w:r>
      <w:r w:rsidR="00F1499A">
        <w:t>–</w:t>
      </w:r>
      <w:r w:rsidRPr="00372C43">
        <w:t>22.</w:t>
      </w:r>
      <w:r w:rsidR="00F1499A">
        <w:t xml:space="preserve"> </w:t>
      </w:r>
      <w:r w:rsidR="00F1499A" w:rsidRPr="00F1499A">
        <w:t>https://doi.org/10.1179/env.2001.6.1.13</w:t>
      </w:r>
    </w:p>
    <w:p w14:paraId="208EA7F3" w14:textId="04F460A2" w:rsidR="00126128" w:rsidRPr="00372C43" w:rsidRDefault="0078150B" w:rsidP="00372C43">
      <w:pPr>
        <w:widowControl w:val="0"/>
        <w:spacing w:after="240"/>
      </w:pPr>
      <w:r w:rsidRPr="006D690D">
        <w:rPr>
          <w:smallCaps/>
        </w:rPr>
        <w:t>Nehlich</w:t>
      </w:r>
      <w:r w:rsidR="006D690D">
        <w:rPr>
          <w:smallCaps/>
        </w:rPr>
        <w:t>,</w:t>
      </w:r>
      <w:r w:rsidRPr="006D690D">
        <w:rPr>
          <w:smallCaps/>
        </w:rPr>
        <w:t xml:space="preserve"> O</w:t>
      </w:r>
      <w:r w:rsidR="006D690D">
        <w:rPr>
          <w:smallCaps/>
        </w:rPr>
        <w:t>. &amp; M.P.</w:t>
      </w:r>
      <w:r w:rsidRPr="006D690D">
        <w:rPr>
          <w:smallCaps/>
        </w:rPr>
        <w:t xml:space="preserve"> Richards</w:t>
      </w:r>
      <w:r w:rsidR="006D690D">
        <w:rPr>
          <w:smallCaps/>
        </w:rPr>
        <w:t>.</w:t>
      </w:r>
      <w:r w:rsidRPr="00372C43">
        <w:t xml:space="preserve"> 2009. Establishing collagen quality criteria for sulphur isotope analysis of archaeological bone collagen. </w:t>
      </w:r>
      <w:r w:rsidRPr="006D690D">
        <w:rPr>
          <w:i/>
          <w:iCs/>
        </w:rPr>
        <w:t>Archaeological and Anthropological Sciences</w:t>
      </w:r>
      <w:r w:rsidRPr="00372C43">
        <w:t xml:space="preserve"> 1: 59–75.</w:t>
      </w:r>
      <w:r w:rsidR="00F1499A">
        <w:t xml:space="preserve"> </w:t>
      </w:r>
      <w:r w:rsidR="00F1499A" w:rsidRPr="00F1499A">
        <w:t>https://doi.org/10.1007/s12520-009-0003-6</w:t>
      </w:r>
    </w:p>
    <w:p w14:paraId="1BCDDD83" w14:textId="1C65A5E5" w:rsidR="00126128" w:rsidRPr="00372C43" w:rsidRDefault="0078150B" w:rsidP="00372C43">
      <w:pPr>
        <w:spacing w:after="240"/>
        <w:rPr>
          <w:highlight w:val="white"/>
        </w:rPr>
      </w:pPr>
      <w:r w:rsidRPr="006D690D">
        <w:rPr>
          <w:smallCaps/>
          <w:highlight w:val="white"/>
        </w:rPr>
        <w:t>Payne, S.</w:t>
      </w:r>
      <w:r w:rsidR="006D690D">
        <w:rPr>
          <w:smallCaps/>
          <w:highlight w:val="white"/>
        </w:rPr>
        <w:t xml:space="preserve"> &amp; G. </w:t>
      </w:r>
      <w:r w:rsidRPr="006D690D">
        <w:rPr>
          <w:smallCaps/>
          <w:highlight w:val="white"/>
        </w:rPr>
        <w:t>Bull</w:t>
      </w:r>
      <w:r w:rsidR="006D690D">
        <w:rPr>
          <w:smallCaps/>
          <w:highlight w:val="white"/>
        </w:rPr>
        <w:t>.</w:t>
      </w:r>
      <w:r w:rsidRPr="00372C43">
        <w:rPr>
          <w:highlight w:val="white"/>
        </w:rPr>
        <w:t xml:space="preserve"> 1988</w:t>
      </w:r>
      <w:r w:rsidR="006D690D">
        <w:rPr>
          <w:highlight w:val="white"/>
        </w:rPr>
        <w:t>.</w:t>
      </w:r>
      <w:r w:rsidRPr="00372C43">
        <w:rPr>
          <w:highlight w:val="white"/>
        </w:rPr>
        <w:t xml:space="preserve"> Components of variation in measurements of pig bones and teeth, and the use of measurements to distinguish wild from domestic pig remains</w:t>
      </w:r>
      <w:r w:rsidR="00F1499A">
        <w:rPr>
          <w:highlight w:val="white"/>
        </w:rPr>
        <w:t>.</w:t>
      </w:r>
      <w:r w:rsidRPr="00372C43">
        <w:rPr>
          <w:highlight w:val="white"/>
        </w:rPr>
        <w:t xml:space="preserve"> </w:t>
      </w:r>
      <w:r w:rsidRPr="00372C43">
        <w:rPr>
          <w:i/>
          <w:highlight w:val="white"/>
        </w:rPr>
        <w:t>Archaeozoologia</w:t>
      </w:r>
      <w:r w:rsidRPr="00372C43">
        <w:rPr>
          <w:highlight w:val="white"/>
        </w:rPr>
        <w:t xml:space="preserve"> 2: 27–66.</w:t>
      </w:r>
    </w:p>
    <w:p w14:paraId="76CD3D1F" w14:textId="21B50CA5" w:rsidR="00126128" w:rsidRPr="00372C43" w:rsidRDefault="0078150B" w:rsidP="00372C43">
      <w:pPr>
        <w:spacing w:after="240"/>
        <w:rPr>
          <w:highlight w:val="white"/>
        </w:rPr>
      </w:pPr>
      <w:r w:rsidRPr="006D690D">
        <w:rPr>
          <w:smallCaps/>
        </w:rPr>
        <w:t>Pipe, A</w:t>
      </w:r>
      <w:r w:rsidR="006D690D">
        <w:t>.</w:t>
      </w:r>
      <w:r w:rsidRPr="00372C43">
        <w:t xml:space="preserve"> 2009a</w:t>
      </w:r>
      <w:r w:rsidR="006D690D">
        <w:t>.</w:t>
      </w:r>
      <w:r w:rsidRPr="00372C43">
        <w:t xml:space="preserve"> </w:t>
      </w:r>
      <w:r w:rsidRPr="00372C43">
        <w:rPr>
          <w:i/>
        </w:rPr>
        <w:t xml:space="preserve">Assessment of the </w:t>
      </w:r>
      <w:r w:rsidR="00F1499A" w:rsidRPr="00372C43">
        <w:rPr>
          <w:i/>
        </w:rPr>
        <w:t>hand-collected animal bone fro</w:t>
      </w:r>
      <w:r w:rsidRPr="00372C43">
        <w:rPr>
          <w:i/>
        </w:rPr>
        <w:t>m 58 Park Street, London SE1, London Borough of Southwark (PRU05)</w:t>
      </w:r>
      <w:r w:rsidR="00F1499A">
        <w:rPr>
          <w:iCs/>
        </w:rPr>
        <w:t xml:space="preserve"> (</w:t>
      </w:r>
      <w:r w:rsidR="00F1499A" w:rsidRPr="00372C43">
        <w:t>BON/ASS/27/2009</w:t>
      </w:r>
      <w:r w:rsidR="00F1499A">
        <w:rPr>
          <w:iCs/>
        </w:rPr>
        <w:t>)</w:t>
      </w:r>
      <w:r w:rsidRPr="00372C43">
        <w:t xml:space="preserve">. </w:t>
      </w:r>
      <w:r w:rsidR="00F1499A">
        <w:t xml:space="preserve">London: </w:t>
      </w:r>
      <w:r w:rsidRPr="00372C43">
        <w:t>Museum of London Archaeology</w:t>
      </w:r>
      <w:r w:rsidR="00F1499A">
        <w:t>.</w:t>
      </w:r>
    </w:p>
    <w:p w14:paraId="5BC3E48D" w14:textId="30AADFEF" w:rsidR="00126128" w:rsidRPr="00372C43" w:rsidRDefault="00F1499A" w:rsidP="00372C43">
      <w:pPr>
        <w:spacing w:after="240"/>
      </w:pPr>
      <w:r>
        <w:t>–</w:t>
      </w:r>
      <w:r w:rsidR="0078150B" w:rsidRPr="00372C43">
        <w:t xml:space="preserve"> 2009b</w:t>
      </w:r>
      <w:r w:rsidR="006D690D">
        <w:t>.</w:t>
      </w:r>
      <w:r w:rsidR="0078150B" w:rsidRPr="00372C43">
        <w:t xml:space="preserve"> </w:t>
      </w:r>
      <w:r w:rsidR="0078150B" w:rsidRPr="00372C43">
        <w:rPr>
          <w:i/>
        </w:rPr>
        <w:t xml:space="preserve">Hand-collected and wet-sieved animal bone from Bishopsgate Goods Yard </w:t>
      </w:r>
      <w:r>
        <w:rPr>
          <w:i/>
        </w:rPr>
        <w:t>p</w:t>
      </w:r>
      <w:r w:rsidR="0078150B" w:rsidRPr="00372C43">
        <w:rPr>
          <w:i/>
        </w:rPr>
        <w:t>eriods 11 and 12 (BGX05)</w:t>
      </w:r>
      <w:r>
        <w:rPr>
          <w:iCs/>
        </w:rPr>
        <w:t xml:space="preserve"> (</w:t>
      </w:r>
      <w:r w:rsidRPr="00372C43">
        <w:t>BON/REP/17/2009</w:t>
      </w:r>
      <w:r>
        <w:rPr>
          <w:iCs/>
        </w:rPr>
        <w:t>)</w:t>
      </w:r>
      <w:r w:rsidR="0078150B" w:rsidRPr="00372C43">
        <w:t xml:space="preserve">. </w:t>
      </w:r>
      <w:r>
        <w:t xml:space="preserve">London: </w:t>
      </w:r>
      <w:r w:rsidR="0078150B" w:rsidRPr="00372C43">
        <w:t>Museum of London Archaeology.</w:t>
      </w:r>
    </w:p>
    <w:p w14:paraId="4A07C7C5" w14:textId="614A2900" w:rsidR="00126128" w:rsidRPr="00372C43" w:rsidRDefault="00F1499A" w:rsidP="00372C43">
      <w:pPr>
        <w:spacing w:after="240"/>
      </w:pPr>
      <w:r>
        <w:t>–</w:t>
      </w:r>
      <w:r w:rsidR="0078150B" w:rsidRPr="00372C43">
        <w:t xml:space="preserve"> </w:t>
      </w:r>
      <w:r>
        <w:t>n.d.</w:t>
      </w:r>
      <w:r w:rsidR="0078150B" w:rsidRPr="00372C43">
        <w:t xml:space="preserve"> </w:t>
      </w:r>
      <w:r w:rsidR="0078150B" w:rsidRPr="00372C43">
        <w:rPr>
          <w:i/>
        </w:rPr>
        <w:t>Summary of animal remains from Elverton Street</w:t>
      </w:r>
      <w:r w:rsidR="0078150B" w:rsidRPr="00372C43">
        <w:t>. Unpublished</w:t>
      </w:r>
      <w:r w:rsidR="006D690D">
        <w:t xml:space="preserve"> report</w:t>
      </w:r>
      <w:r w:rsidR="00AD3D41">
        <w:t>, MOLA</w:t>
      </w:r>
      <w:r w:rsidR="006D690D">
        <w:t xml:space="preserve">. </w:t>
      </w:r>
    </w:p>
    <w:p w14:paraId="2787A024" w14:textId="471ABC96" w:rsidR="00126128" w:rsidRPr="00372C43" w:rsidRDefault="0078150B" w:rsidP="00372C43">
      <w:pPr>
        <w:widowControl w:val="0"/>
        <w:spacing w:after="240"/>
      </w:pPr>
      <w:r w:rsidRPr="006D690D">
        <w:rPr>
          <w:smallCaps/>
        </w:rPr>
        <w:t>Ravelhofer, B</w:t>
      </w:r>
      <w:r w:rsidRPr="00372C43">
        <w:t>. 2002</w:t>
      </w:r>
      <w:r w:rsidR="006D690D">
        <w:t>.</w:t>
      </w:r>
      <w:r w:rsidRPr="00372C43">
        <w:t xml:space="preserve"> “Beasts of Recreacion”: Henslowe’s </w:t>
      </w:r>
      <w:r w:rsidR="00F1499A" w:rsidRPr="00372C43">
        <w:t>white bears</w:t>
      </w:r>
      <w:r w:rsidRPr="00372C43">
        <w:t xml:space="preserve">. </w:t>
      </w:r>
      <w:r w:rsidRPr="00372C43">
        <w:rPr>
          <w:i/>
        </w:rPr>
        <w:t>English Literary Renaissance</w:t>
      </w:r>
      <w:r w:rsidRPr="00372C43">
        <w:t xml:space="preserve"> 32: 287</w:t>
      </w:r>
      <w:r w:rsidR="00F1499A">
        <w:t>–</w:t>
      </w:r>
      <w:r w:rsidRPr="00372C43">
        <w:t>323.</w:t>
      </w:r>
      <w:r w:rsidR="00F1499A">
        <w:t xml:space="preserve"> </w:t>
      </w:r>
      <w:r w:rsidR="00F1499A" w:rsidRPr="00F1499A">
        <w:t>https://doi.org/10.1111/1475-6757.00012</w:t>
      </w:r>
    </w:p>
    <w:p w14:paraId="3093040E" w14:textId="3DF8B593" w:rsidR="00126128" w:rsidRPr="00372C43" w:rsidRDefault="0078150B" w:rsidP="00372C43">
      <w:pPr>
        <w:spacing w:after="240"/>
        <w:rPr>
          <w:highlight w:val="white"/>
        </w:rPr>
      </w:pPr>
      <w:r w:rsidRPr="006D690D">
        <w:rPr>
          <w:smallCaps/>
          <w:highlight w:val="white"/>
        </w:rPr>
        <w:t>Rielly, K</w:t>
      </w:r>
      <w:r w:rsidR="006D690D">
        <w:rPr>
          <w:smallCaps/>
          <w:highlight w:val="white"/>
        </w:rPr>
        <w:t>.</w:t>
      </w:r>
      <w:r w:rsidRPr="00372C43">
        <w:rPr>
          <w:highlight w:val="white"/>
        </w:rPr>
        <w:t xml:space="preserve"> 2004</w:t>
      </w:r>
      <w:r w:rsidR="006D690D">
        <w:rPr>
          <w:highlight w:val="white"/>
        </w:rPr>
        <w:t>.</w:t>
      </w:r>
      <w:r w:rsidRPr="00372C43">
        <w:rPr>
          <w:highlight w:val="white"/>
        </w:rPr>
        <w:t xml:space="preserve"> </w:t>
      </w:r>
      <w:r w:rsidRPr="00372C43">
        <w:rPr>
          <w:i/>
          <w:highlight w:val="white"/>
        </w:rPr>
        <w:t xml:space="preserve">Assessment of the </w:t>
      </w:r>
      <w:r w:rsidR="00E9325E" w:rsidRPr="00372C43">
        <w:rPr>
          <w:i/>
          <w:highlight w:val="white"/>
        </w:rPr>
        <w:t xml:space="preserve">faunal remains </w:t>
      </w:r>
      <w:r w:rsidRPr="00372C43">
        <w:rPr>
          <w:i/>
          <w:highlight w:val="white"/>
        </w:rPr>
        <w:t>from Union Works, 60 Park Street, London SE1 (PSE02)</w:t>
      </w:r>
      <w:r w:rsidR="00E9325E">
        <w:rPr>
          <w:iCs/>
          <w:highlight w:val="white"/>
        </w:rPr>
        <w:t xml:space="preserve"> (</w:t>
      </w:r>
      <w:r w:rsidR="00E9325E" w:rsidRPr="00372C43">
        <w:rPr>
          <w:highlight w:val="white"/>
        </w:rPr>
        <w:t>BON/ASS/26/2004</w:t>
      </w:r>
      <w:r w:rsidR="00E9325E">
        <w:rPr>
          <w:iCs/>
          <w:highlight w:val="white"/>
        </w:rPr>
        <w:t>)</w:t>
      </w:r>
      <w:r w:rsidRPr="00372C43">
        <w:rPr>
          <w:i/>
          <w:highlight w:val="white"/>
        </w:rPr>
        <w:t xml:space="preserve">. </w:t>
      </w:r>
      <w:r w:rsidR="00E9325E">
        <w:rPr>
          <w:iCs/>
          <w:highlight w:val="white"/>
        </w:rPr>
        <w:t xml:space="preserve">London: </w:t>
      </w:r>
      <w:r w:rsidRPr="00E9325E">
        <w:rPr>
          <w:iCs/>
          <w:highlight w:val="white"/>
        </w:rPr>
        <w:t>Museum of London Archaeology</w:t>
      </w:r>
      <w:r w:rsidRPr="00372C43">
        <w:rPr>
          <w:highlight w:val="white"/>
        </w:rPr>
        <w:t xml:space="preserve">. </w:t>
      </w:r>
    </w:p>
    <w:p w14:paraId="4C74573E" w14:textId="04A935F1" w:rsidR="00126128" w:rsidRPr="00372C43" w:rsidRDefault="00E9325E" w:rsidP="00372C43">
      <w:pPr>
        <w:spacing w:after="240"/>
      </w:pPr>
      <w:r>
        <w:rPr>
          <w:smallCaps/>
        </w:rPr>
        <w:t>–</w:t>
      </w:r>
      <w:r w:rsidR="0078150B" w:rsidRPr="00372C43">
        <w:t xml:space="preserve"> 2015</w:t>
      </w:r>
      <w:r w:rsidR="006D690D">
        <w:t>.</w:t>
      </w:r>
      <w:r w:rsidR="0078150B" w:rsidRPr="00372C43">
        <w:t xml:space="preserve"> </w:t>
      </w:r>
      <w:r w:rsidR="0078150B" w:rsidRPr="00E9325E">
        <w:rPr>
          <w:iCs/>
        </w:rPr>
        <w:t>The animal bone recovered from the British Museum North-West Development, Bloomsbury, London, WC1 (MPB09).</w:t>
      </w:r>
      <w:r w:rsidR="0078150B" w:rsidRPr="00372C43">
        <w:t xml:space="preserve"> Unpublished </w:t>
      </w:r>
      <w:r>
        <w:t>r</w:t>
      </w:r>
      <w:r w:rsidR="0078150B" w:rsidRPr="00372C43">
        <w:t>eport</w:t>
      </w:r>
      <w:r w:rsidR="00AD3D41">
        <w:t>, Pre-Construct Archaeology Ltd</w:t>
      </w:r>
      <w:r w:rsidR="0078150B" w:rsidRPr="00372C43">
        <w:t xml:space="preserve">. </w:t>
      </w:r>
    </w:p>
    <w:p w14:paraId="0E95B588" w14:textId="2CCBEA55" w:rsidR="00126128" w:rsidRPr="00372C43" w:rsidRDefault="00E4788F" w:rsidP="00372C43">
      <w:pPr>
        <w:spacing w:after="240"/>
        <w:rPr>
          <w:color w:val="FF0000"/>
        </w:rPr>
      </w:pPr>
      <w:hyperlink r:id="rId39">
        <w:r w:rsidR="0078150B" w:rsidRPr="006D690D">
          <w:rPr>
            <w:smallCaps/>
            <w:highlight w:val="white"/>
          </w:rPr>
          <w:t xml:space="preserve">Silver, I.A. </w:t>
        </w:r>
        <w:r w:rsidR="0078150B" w:rsidRPr="00372C43">
          <w:rPr>
            <w:highlight w:val="white"/>
          </w:rPr>
          <w:t>1969</w:t>
        </w:r>
        <w:r w:rsidR="006D690D">
          <w:rPr>
            <w:highlight w:val="white"/>
          </w:rPr>
          <w:t xml:space="preserve">. </w:t>
        </w:r>
        <w:r w:rsidR="0078150B" w:rsidRPr="00372C43">
          <w:rPr>
            <w:highlight w:val="white"/>
          </w:rPr>
          <w:t>The ageing of domestic animals, in</w:t>
        </w:r>
        <w:r w:rsidR="00E9325E">
          <w:rPr>
            <w:highlight w:val="white"/>
          </w:rPr>
          <w:t xml:space="preserve"> D.R.</w:t>
        </w:r>
        <w:r w:rsidR="0078150B" w:rsidRPr="00372C43">
          <w:rPr>
            <w:highlight w:val="white"/>
          </w:rPr>
          <w:t xml:space="preserve"> Brothwell</w:t>
        </w:r>
        <w:r w:rsidR="006D690D">
          <w:rPr>
            <w:highlight w:val="white"/>
          </w:rPr>
          <w:t xml:space="preserve"> &amp;</w:t>
        </w:r>
        <w:r w:rsidR="0078150B" w:rsidRPr="00372C43">
          <w:rPr>
            <w:highlight w:val="white"/>
          </w:rPr>
          <w:t xml:space="preserve"> E.S. Higgs (ed</w:t>
        </w:r>
        <w:r w:rsidR="006D690D">
          <w:rPr>
            <w:highlight w:val="white"/>
          </w:rPr>
          <w:t>.</w:t>
        </w:r>
        <w:r w:rsidR="0078150B" w:rsidRPr="00372C43">
          <w:rPr>
            <w:highlight w:val="white"/>
          </w:rPr>
          <w:t xml:space="preserve">) </w:t>
        </w:r>
      </w:hyperlink>
      <w:hyperlink r:id="rId40">
        <w:r w:rsidR="0078150B" w:rsidRPr="00372C43">
          <w:rPr>
            <w:i/>
            <w:highlight w:val="white"/>
          </w:rPr>
          <w:t xml:space="preserve">Science in </w:t>
        </w:r>
        <w:r w:rsidR="00E9325E" w:rsidRPr="00372C43">
          <w:rPr>
            <w:i/>
            <w:highlight w:val="white"/>
          </w:rPr>
          <w:t>archaeology: a survey of progress and resear</w:t>
        </w:r>
        <w:r w:rsidR="0078150B" w:rsidRPr="00372C43">
          <w:rPr>
            <w:i/>
            <w:highlight w:val="white"/>
          </w:rPr>
          <w:t>ch</w:t>
        </w:r>
      </w:hyperlink>
      <w:hyperlink r:id="rId41">
        <w:r w:rsidR="006D690D">
          <w:rPr>
            <w:highlight w:val="white"/>
          </w:rPr>
          <w:t>: 282</w:t>
        </w:r>
        <w:r w:rsidR="00E9325E">
          <w:rPr>
            <w:highlight w:val="white"/>
          </w:rPr>
          <w:t>–</w:t>
        </w:r>
        <w:r w:rsidR="006D690D">
          <w:rPr>
            <w:highlight w:val="white"/>
          </w:rPr>
          <w:t xml:space="preserve">302. </w:t>
        </w:r>
        <w:r w:rsidR="0078150B" w:rsidRPr="00372C43">
          <w:rPr>
            <w:highlight w:val="white"/>
          </w:rPr>
          <w:t xml:space="preserve">London: Thames </w:t>
        </w:r>
        <w:r w:rsidR="006D690D">
          <w:rPr>
            <w:highlight w:val="white"/>
          </w:rPr>
          <w:t>&amp;</w:t>
        </w:r>
        <w:r w:rsidR="0078150B" w:rsidRPr="00372C43">
          <w:rPr>
            <w:highlight w:val="white"/>
          </w:rPr>
          <w:t xml:space="preserve"> Hudson.</w:t>
        </w:r>
      </w:hyperlink>
    </w:p>
    <w:p w14:paraId="654E45A6" w14:textId="7F72D594" w:rsidR="00126128" w:rsidRPr="00372C43" w:rsidRDefault="0078150B" w:rsidP="00372C43">
      <w:pPr>
        <w:spacing w:after="240"/>
        <w:rPr>
          <w:highlight w:val="white"/>
        </w:rPr>
      </w:pPr>
      <w:r w:rsidRPr="006D690D">
        <w:rPr>
          <w:smallCaps/>
          <w:highlight w:val="white"/>
        </w:rPr>
        <w:t xml:space="preserve">Simpson, G., </w:t>
      </w:r>
      <w:r w:rsidR="006D690D" w:rsidRPr="006D690D">
        <w:rPr>
          <w:smallCaps/>
          <w:highlight w:val="white"/>
        </w:rPr>
        <w:t xml:space="preserve">A. </w:t>
      </w:r>
      <w:r w:rsidRPr="006D690D">
        <w:rPr>
          <w:smallCaps/>
          <w:highlight w:val="white"/>
        </w:rPr>
        <w:t>Roe</w:t>
      </w:r>
      <w:r w:rsidR="006D690D" w:rsidRPr="006D690D">
        <w:rPr>
          <w:smallCaps/>
          <w:highlight w:val="white"/>
        </w:rPr>
        <w:t xml:space="preserve"> &amp; R.</w:t>
      </w:r>
      <w:r w:rsidRPr="006D690D">
        <w:rPr>
          <w:smallCaps/>
          <w:highlight w:val="white"/>
        </w:rPr>
        <w:t xml:space="preserve"> Lewontin</w:t>
      </w:r>
      <w:r w:rsidR="006D690D" w:rsidRPr="006D690D">
        <w:rPr>
          <w:smallCaps/>
          <w:highlight w:val="white"/>
        </w:rPr>
        <w:t>.</w:t>
      </w:r>
      <w:r w:rsidRPr="00372C43">
        <w:rPr>
          <w:highlight w:val="white"/>
        </w:rPr>
        <w:t xml:space="preserve"> 1960. </w:t>
      </w:r>
      <w:r w:rsidRPr="006D690D">
        <w:rPr>
          <w:i/>
          <w:iCs/>
          <w:highlight w:val="white"/>
        </w:rPr>
        <w:t xml:space="preserve">Quantitative </w:t>
      </w:r>
      <w:r w:rsidR="00E9325E">
        <w:rPr>
          <w:i/>
          <w:iCs/>
          <w:highlight w:val="white"/>
        </w:rPr>
        <w:t>z</w:t>
      </w:r>
      <w:r w:rsidRPr="006D690D">
        <w:rPr>
          <w:i/>
          <w:iCs/>
          <w:highlight w:val="white"/>
        </w:rPr>
        <w:t>oology</w:t>
      </w:r>
      <w:r w:rsidRPr="00372C43">
        <w:rPr>
          <w:highlight w:val="white"/>
        </w:rPr>
        <w:t xml:space="preserve">. </w:t>
      </w:r>
      <w:r w:rsidR="006D690D">
        <w:rPr>
          <w:highlight w:val="white"/>
        </w:rPr>
        <w:t xml:space="preserve">New York: </w:t>
      </w:r>
      <w:r w:rsidRPr="00372C43">
        <w:rPr>
          <w:highlight w:val="white"/>
        </w:rPr>
        <w:t>Harcourt, Brace, and World</w:t>
      </w:r>
      <w:r w:rsidR="006D690D">
        <w:rPr>
          <w:highlight w:val="white"/>
        </w:rPr>
        <w:t>.</w:t>
      </w:r>
    </w:p>
    <w:p w14:paraId="6417EA73" w14:textId="46DFAB79" w:rsidR="00126128" w:rsidRPr="00372C43" w:rsidRDefault="0078150B" w:rsidP="00372C43">
      <w:pPr>
        <w:spacing w:after="240"/>
      </w:pPr>
      <w:r w:rsidRPr="006D690D">
        <w:rPr>
          <w:smallCaps/>
        </w:rPr>
        <w:lastRenderedPageBreak/>
        <w:t>Stokes, J.</w:t>
      </w:r>
      <w:r w:rsidRPr="00372C43">
        <w:t xml:space="preserve"> 1996</w:t>
      </w:r>
      <w:r w:rsidR="006D690D">
        <w:t>.</w:t>
      </w:r>
      <w:r w:rsidRPr="00372C43">
        <w:t xml:space="preserve"> Bull and bear baiting, the Gentles’ sport</w:t>
      </w:r>
      <w:r w:rsidR="006D690D">
        <w:t>, i</w:t>
      </w:r>
      <w:r w:rsidRPr="00372C43">
        <w:t>n</w:t>
      </w:r>
      <w:r w:rsidR="00E9325E">
        <w:t xml:space="preserve"> A.F.</w:t>
      </w:r>
      <w:r w:rsidR="00E4788F">
        <w:t xml:space="preserve"> </w:t>
      </w:r>
      <w:r w:rsidRPr="00372C43">
        <w:t xml:space="preserve">Johnston </w:t>
      </w:r>
      <w:r w:rsidR="006D690D">
        <w:t xml:space="preserve">&amp; W.N.M. </w:t>
      </w:r>
      <w:r w:rsidRPr="00372C43">
        <w:t>Hüsken (ed</w:t>
      </w:r>
      <w:r w:rsidR="006D690D">
        <w:t>.</w:t>
      </w:r>
      <w:r w:rsidRPr="00372C43">
        <w:t xml:space="preserve">) </w:t>
      </w:r>
      <w:r w:rsidRPr="006D690D">
        <w:rPr>
          <w:i/>
          <w:iCs/>
        </w:rPr>
        <w:t xml:space="preserve">English </w:t>
      </w:r>
      <w:r w:rsidR="00E9325E" w:rsidRPr="006D690D">
        <w:rPr>
          <w:i/>
          <w:iCs/>
        </w:rPr>
        <w:t>parish dr</w:t>
      </w:r>
      <w:r w:rsidRPr="006D690D">
        <w:rPr>
          <w:i/>
          <w:iCs/>
        </w:rPr>
        <w:t>ama</w:t>
      </w:r>
      <w:r w:rsidR="006D690D">
        <w:t xml:space="preserve">: </w:t>
      </w:r>
      <w:r w:rsidR="006D690D" w:rsidRPr="00372C43">
        <w:t>65</w:t>
      </w:r>
      <w:r w:rsidR="00E9325E">
        <w:t>–</w:t>
      </w:r>
      <w:r w:rsidR="006D690D" w:rsidRPr="00372C43">
        <w:t>80</w:t>
      </w:r>
      <w:r w:rsidRPr="00372C43">
        <w:t xml:space="preserve">. </w:t>
      </w:r>
      <w:r w:rsidR="006D690D">
        <w:t>Amsterdam:</w:t>
      </w:r>
      <w:r w:rsidR="006D690D" w:rsidRPr="006D690D">
        <w:t xml:space="preserve"> </w:t>
      </w:r>
      <w:r w:rsidR="006D690D" w:rsidRPr="00372C43">
        <w:t>Rodopi.</w:t>
      </w:r>
    </w:p>
    <w:p w14:paraId="048A33F1" w14:textId="4DFF13E4" w:rsidR="00126128" w:rsidRDefault="0078150B" w:rsidP="00372C43">
      <w:pPr>
        <w:widowControl w:val="0"/>
        <w:spacing w:after="240"/>
      </w:pPr>
      <w:r w:rsidRPr="006D690D">
        <w:rPr>
          <w:smallCaps/>
        </w:rPr>
        <w:t>Topsell, E</w:t>
      </w:r>
      <w:r w:rsidR="006D690D" w:rsidRPr="006D690D">
        <w:rPr>
          <w:smallCaps/>
        </w:rPr>
        <w:t>.</w:t>
      </w:r>
      <w:r w:rsidRPr="00372C43">
        <w:t xml:space="preserve"> 1607</w:t>
      </w:r>
      <w:r w:rsidR="006D690D">
        <w:t>.</w:t>
      </w:r>
      <w:r w:rsidRPr="00372C43">
        <w:t xml:space="preserve"> </w:t>
      </w:r>
      <w:r w:rsidRPr="006D690D">
        <w:rPr>
          <w:i/>
          <w:iCs/>
        </w:rPr>
        <w:t xml:space="preserve">A </w:t>
      </w:r>
      <w:r w:rsidR="00E9325E" w:rsidRPr="006D690D">
        <w:rPr>
          <w:i/>
          <w:iCs/>
        </w:rPr>
        <w:t>history of four footed beasts</w:t>
      </w:r>
      <w:r w:rsidRPr="00372C43">
        <w:t xml:space="preserve">. </w:t>
      </w:r>
      <w:r w:rsidR="006D690D">
        <w:t xml:space="preserve">London: </w:t>
      </w:r>
      <w:r w:rsidRPr="00372C43">
        <w:t>William Iaggard.</w:t>
      </w:r>
    </w:p>
    <w:p w14:paraId="7E38973C" w14:textId="477A36C0" w:rsidR="00D22E09" w:rsidRPr="00372C43" w:rsidRDefault="00D22E09" w:rsidP="00D22E09">
      <w:pPr>
        <w:widowControl w:val="0"/>
        <w:spacing w:after="240"/>
      </w:pPr>
      <w:r>
        <w:rPr>
          <w:smallCaps/>
        </w:rPr>
        <w:t xml:space="preserve">Wedel, Lupold von, 1895. </w:t>
      </w:r>
      <w:r>
        <w:rPr>
          <w:i/>
        </w:rPr>
        <w:t>Transactions of the Royal History Society</w:t>
      </w:r>
      <w:r>
        <w:t xml:space="preserve"> n.s. 9 (1895): 223–70.</w:t>
      </w:r>
    </w:p>
    <w:p w14:paraId="628B1899" w14:textId="03981D88" w:rsidR="00126128" w:rsidRPr="00372C43" w:rsidRDefault="0078150B" w:rsidP="00372C43">
      <w:pPr>
        <w:spacing w:after="240"/>
      </w:pPr>
      <w:r w:rsidRPr="006D690D">
        <w:rPr>
          <w:smallCaps/>
        </w:rPr>
        <w:t>Weinstock, J.</w:t>
      </w:r>
      <w:r w:rsidRPr="00372C43">
        <w:t xml:space="preserve"> 2009. Epiphyseal fusion in brown bears: a population study of grizzlies (</w:t>
      </w:r>
      <w:r w:rsidRPr="00372C43">
        <w:rPr>
          <w:i/>
        </w:rPr>
        <w:t>Ursus arctos horribilis</w:t>
      </w:r>
      <w:r w:rsidRPr="00372C43">
        <w:t xml:space="preserve">) from Montana and Wyoming. </w:t>
      </w:r>
      <w:r w:rsidRPr="00372C43">
        <w:rPr>
          <w:i/>
        </w:rPr>
        <w:t>International Journal of Osteoarchaeology</w:t>
      </w:r>
      <w:r w:rsidRPr="00372C43">
        <w:t xml:space="preserve"> 19:</w:t>
      </w:r>
      <w:r w:rsidR="00E9325E">
        <w:t xml:space="preserve"> </w:t>
      </w:r>
      <w:r w:rsidRPr="00372C43">
        <w:t>416–23.</w:t>
      </w:r>
      <w:r w:rsidR="00E9325E">
        <w:t xml:space="preserve"> </w:t>
      </w:r>
      <w:r w:rsidR="00E9325E" w:rsidRPr="00E9325E">
        <w:t>https://doi.org/10.1002/oa.980</w:t>
      </w:r>
    </w:p>
    <w:p w14:paraId="40D02A2C" w14:textId="657C4B14" w:rsidR="00126128" w:rsidRPr="00372C43" w:rsidRDefault="0078150B" w:rsidP="00372C43">
      <w:pPr>
        <w:spacing w:after="240" w:line="324" w:lineRule="auto"/>
        <w:rPr>
          <w:color w:val="1155CC"/>
          <w:u w:val="single"/>
        </w:rPr>
      </w:pPr>
      <w:r w:rsidRPr="006D690D">
        <w:rPr>
          <w:smallCaps/>
        </w:rPr>
        <w:t>Welker, M.H.</w:t>
      </w:r>
      <w:r w:rsidR="006D690D" w:rsidRPr="006D690D">
        <w:rPr>
          <w:smallCaps/>
        </w:rPr>
        <w:t xml:space="preserve"> &amp; R. </w:t>
      </w:r>
      <w:r w:rsidRPr="006D690D">
        <w:rPr>
          <w:smallCaps/>
        </w:rPr>
        <w:t>Dunham</w:t>
      </w:r>
      <w:r w:rsidR="006D690D" w:rsidRPr="006D690D">
        <w:rPr>
          <w:smallCaps/>
        </w:rPr>
        <w:t>.</w:t>
      </w:r>
      <w:r w:rsidRPr="00372C43">
        <w:t xml:space="preserve"> 2019. Exploring the introduction of European dogs to North America through shoulder height. </w:t>
      </w:r>
      <w:r w:rsidRPr="00372C43">
        <w:rPr>
          <w:i/>
        </w:rPr>
        <w:t xml:space="preserve">International Journal of Osteoarchaeology </w:t>
      </w:r>
      <w:r w:rsidRPr="00372C43">
        <w:t>29:</w:t>
      </w:r>
      <w:r w:rsidR="00E9325E">
        <w:t xml:space="preserve"> </w:t>
      </w:r>
      <w:r w:rsidRPr="00372C43">
        <w:t>325–34.</w:t>
      </w:r>
      <w:hyperlink r:id="rId42">
        <w:r w:rsidRPr="00372C43">
          <w:t xml:space="preserve"> </w:t>
        </w:r>
      </w:hyperlink>
      <w:r w:rsidR="00E9325E" w:rsidRPr="00E9325E">
        <w:t xml:space="preserve"> https://doi.org/10.1002/oa.2744</w:t>
      </w:r>
    </w:p>
    <w:p w14:paraId="3A397110" w14:textId="0E534F39" w:rsidR="00126128" w:rsidRPr="00372C43" w:rsidRDefault="0078150B" w:rsidP="00372C43">
      <w:pPr>
        <w:spacing w:after="240"/>
      </w:pPr>
      <w:r w:rsidRPr="00AD3D41">
        <w:rPr>
          <w:smallCaps/>
        </w:rPr>
        <w:t xml:space="preserve">Wickham, G., </w:t>
      </w:r>
      <w:r w:rsidR="006D690D" w:rsidRPr="00AD3D41">
        <w:rPr>
          <w:smallCaps/>
        </w:rPr>
        <w:t xml:space="preserve">H. </w:t>
      </w:r>
      <w:r w:rsidRPr="00AD3D41">
        <w:rPr>
          <w:smallCaps/>
        </w:rPr>
        <w:t>Berry</w:t>
      </w:r>
      <w:r w:rsidR="006D690D" w:rsidRPr="00AD3D41">
        <w:rPr>
          <w:smallCaps/>
        </w:rPr>
        <w:t xml:space="preserve"> &amp; W.</w:t>
      </w:r>
      <w:r w:rsidRPr="00AD3D41">
        <w:rPr>
          <w:smallCaps/>
        </w:rPr>
        <w:t xml:space="preserve"> Ingram</w:t>
      </w:r>
      <w:r w:rsidRPr="00AD3D41">
        <w:t xml:space="preserve"> (ed</w:t>
      </w:r>
      <w:r w:rsidR="006D690D" w:rsidRPr="00AD3D41">
        <w:t>.</w:t>
      </w:r>
      <w:r w:rsidRPr="00AD3D41">
        <w:t>)</w:t>
      </w:r>
      <w:r w:rsidR="00E9325E" w:rsidRPr="00AD3D41">
        <w:t>.</w:t>
      </w:r>
      <w:r w:rsidRPr="00AD3D41">
        <w:t xml:space="preserve"> </w:t>
      </w:r>
      <w:r w:rsidRPr="00372C43">
        <w:t>2000</w:t>
      </w:r>
      <w:r w:rsidR="006D690D">
        <w:t>.</w:t>
      </w:r>
      <w:r w:rsidRPr="00372C43">
        <w:t xml:space="preserve"> </w:t>
      </w:r>
      <w:r w:rsidRPr="006D690D">
        <w:rPr>
          <w:i/>
          <w:iCs/>
        </w:rPr>
        <w:t xml:space="preserve">English </w:t>
      </w:r>
      <w:r w:rsidR="00E9325E" w:rsidRPr="006D690D">
        <w:rPr>
          <w:i/>
          <w:iCs/>
        </w:rPr>
        <w:t>professional theatre</w:t>
      </w:r>
      <w:r w:rsidR="006D690D" w:rsidRPr="006D690D">
        <w:t>: 206.</w:t>
      </w:r>
      <w:r w:rsidR="007A4AFD">
        <w:t xml:space="preserve"> </w:t>
      </w:r>
      <w:r w:rsidRPr="00372C43">
        <w:t>Cambridge</w:t>
      </w:r>
      <w:r w:rsidR="006D690D">
        <w:t>:</w:t>
      </w:r>
      <w:r w:rsidRPr="00372C43">
        <w:t xml:space="preserve"> Cambridge University Press</w:t>
      </w:r>
      <w:r w:rsidR="006D690D">
        <w:t>.</w:t>
      </w:r>
      <w:r w:rsidRPr="00372C43">
        <w:t xml:space="preserve"> </w:t>
      </w:r>
    </w:p>
    <w:sectPr w:rsidR="00126128" w:rsidRPr="00372C43" w:rsidSect="002F70F6">
      <w:pgSz w:w="11909" w:h="16834"/>
      <w:pgMar w:top="1440" w:right="1440" w:bottom="1440" w:left="1440" w:header="720" w:footer="720" w:gutter="0"/>
      <w:pgNumType w:start="1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D077C" w14:textId="77777777" w:rsidR="00875F97" w:rsidRDefault="00875F97">
      <w:pPr>
        <w:spacing w:line="240" w:lineRule="auto"/>
      </w:pPr>
      <w:r>
        <w:separator/>
      </w:r>
    </w:p>
  </w:endnote>
  <w:endnote w:type="continuationSeparator" w:id="0">
    <w:p w14:paraId="5B160BCC" w14:textId="77777777" w:rsidR="00875F97" w:rsidRDefault="00875F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20A2E" w14:textId="77777777" w:rsidR="00126128" w:rsidRDefault="0078150B">
    <w:pPr>
      <w:pBdr>
        <w:top w:val="nil"/>
        <w:left w:val="nil"/>
        <w:bottom w:val="nil"/>
        <w:right w:val="nil"/>
        <w:between w:val="nil"/>
      </w:pBdr>
      <w:tabs>
        <w:tab w:val="center" w:pos="4513"/>
        <w:tab w:val="right" w:pos="9026"/>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2A3A4F">
      <w:rPr>
        <w:noProof/>
        <w:color w:val="000000"/>
      </w:rPr>
      <w:t>1</w:t>
    </w:r>
    <w:r>
      <w:rPr>
        <w:color w:val="000000"/>
      </w:rPr>
      <w:fldChar w:fldCharType="end"/>
    </w:r>
  </w:p>
  <w:p w14:paraId="7E3D4FB0" w14:textId="77777777" w:rsidR="00126128" w:rsidRDefault="00126128">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3FA6D" w14:textId="77777777" w:rsidR="00875F97" w:rsidRDefault="00875F97">
      <w:pPr>
        <w:spacing w:line="240" w:lineRule="auto"/>
      </w:pPr>
      <w:r>
        <w:separator/>
      </w:r>
    </w:p>
  </w:footnote>
  <w:footnote w:type="continuationSeparator" w:id="0">
    <w:p w14:paraId="686491ED" w14:textId="77777777" w:rsidR="00875F97" w:rsidRDefault="00875F9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128"/>
    <w:rsid w:val="000A3023"/>
    <w:rsid w:val="000D671B"/>
    <w:rsid w:val="001214B0"/>
    <w:rsid w:val="00126128"/>
    <w:rsid w:val="001612C4"/>
    <w:rsid w:val="00187543"/>
    <w:rsid w:val="001F7889"/>
    <w:rsid w:val="00250EAD"/>
    <w:rsid w:val="00295872"/>
    <w:rsid w:val="002A3A4F"/>
    <w:rsid w:val="002C1BE4"/>
    <w:rsid w:val="002F1A46"/>
    <w:rsid w:val="002F70F6"/>
    <w:rsid w:val="00372C43"/>
    <w:rsid w:val="003C42A7"/>
    <w:rsid w:val="0045172E"/>
    <w:rsid w:val="00470DD9"/>
    <w:rsid w:val="00484B5D"/>
    <w:rsid w:val="00490A6E"/>
    <w:rsid w:val="004A7973"/>
    <w:rsid w:val="004C1331"/>
    <w:rsid w:val="004C478D"/>
    <w:rsid w:val="004E7B47"/>
    <w:rsid w:val="005806F4"/>
    <w:rsid w:val="0058729A"/>
    <w:rsid w:val="005E65B1"/>
    <w:rsid w:val="00611C98"/>
    <w:rsid w:val="006A19FA"/>
    <w:rsid w:val="006A1C3A"/>
    <w:rsid w:val="006B2410"/>
    <w:rsid w:val="006D690D"/>
    <w:rsid w:val="006E0E10"/>
    <w:rsid w:val="0072734B"/>
    <w:rsid w:val="00747FCD"/>
    <w:rsid w:val="0078150B"/>
    <w:rsid w:val="007A4AFD"/>
    <w:rsid w:val="007C29EE"/>
    <w:rsid w:val="00842C73"/>
    <w:rsid w:val="00856DCE"/>
    <w:rsid w:val="00863739"/>
    <w:rsid w:val="0086601A"/>
    <w:rsid w:val="00875F97"/>
    <w:rsid w:val="008A7E75"/>
    <w:rsid w:val="00915C65"/>
    <w:rsid w:val="009329E7"/>
    <w:rsid w:val="00957DB5"/>
    <w:rsid w:val="00962C79"/>
    <w:rsid w:val="009A085E"/>
    <w:rsid w:val="009B05E9"/>
    <w:rsid w:val="009E03A2"/>
    <w:rsid w:val="009E1237"/>
    <w:rsid w:val="009F55B3"/>
    <w:rsid w:val="00A2538D"/>
    <w:rsid w:val="00A30854"/>
    <w:rsid w:val="00A54967"/>
    <w:rsid w:val="00AD3D41"/>
    <w:rsid w:val="00B11CF5"/>
    <w:rsid w:val="00B85155"/>
    <w:rsid w:val="00C315CE"/>
    <w:rsid w:val="00C75457"/>
    <w:rsid w:val="00CC6A15"/>
    <w:rsid w:val="00D012EA"/>
    <w:rsid w:val="00D22E09"/>
    <w:rsid w:val="00D47E80"/>
    <w:rsid w:val="00E32049"/>
    <w:rsid w:val="00E4788F"/>
    <w:rsid w:val="00E9325E"/>
    <w:rsid w:val="00F1499A"/>
    <w:rsid w:val="00F9575E"/>
    <w:rsid w:val="00F97AE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1FCAE"/>
  <w15:docId w15:val="{A0B607E0-139C-4EE8-83FA-13CB3FAD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17C6E"/>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62D05"/>
    <w:rPr>
      <w:b/>
      <w:bCs/>
    </w:rPr>
  </w:style>
  <w:style w:type="character" w:customStyle="1" w:styleId="CommentSubjectChar">
    <w:name w:val="Comment Subject Char"/>
    <w:basedOn w:val="CommentTextChar"/>
    <w:link w:val="CommentSubject"/>
    <w:uiPriority w:val="99"/>
    <w:semiHidden/>
    <w:rsid w:val="00862D05"/>
    <w:rPr>
      <w:b/>
      <w:bCs/>
      <w:sz w:val="20"/>
      <w:szCs w:val="20"/>
    </w:rPr>
  </w:style>
  <w:style w:type="paragraph" w:styleId="Header">
    <w:name w:val="header"/>
    <w:basedOn w:val="Normal"/>
    <w:link w:val="HeaderChar"/>
    <w:uiPriority w:val="99"/>
    <w:unhideWhenUsed/>
    <w:rsid w:val="00841FC6"/>
    <w:pPr>
      <w:tabs>
        <w:tab w:val="center" w:pos="4513"/>
        <w:tab w:val="right" w:pos="9026"/>
      </w:tabs>
      <w:spacing w:line="240" w:lineRule="auto"/>
    </w:pPr>
  </w:style>
  <w:style w:type="character" w:customStyle="1" w:styleId="HeaderChar">
    <w:name w:val="Header Char"/>
    <w:basedOn w:val="DefaultParagraphFont"/>
    <w:link w:val="Header"/>
    <w:uiPriority w:val="99"/>
    <w:rsid w:val="00841FC6"/>
  </w:style>
  <w:style w:type="paragraph" w:styleId="Footer">
    <w:name w:val="footer"/>
    <w:basedOn w:val="Normal"/>
    <w:link w:val="FooterChar"/>
    <w:uiPriority w:val="99"/>
    <w:unhideWhenUsed/>
    <w:rsid w:val="00841FC6"/>
    <w:pPr>
      <w:tabs>
        <w:tab w:val="center" w:pos="4513"/>
        <w:tab w:val="right" w:pos="9026"/>
      </w:tabs>
      <w:spacing w:line="240" w:lineRule="auto"/>
    </w:pPr>
  </w:style>
  <w:style w:type="character" w:customStyle="1" w:styleId="FooterChar">
    <w:name w:val="Footer Char"/>
    <w:basedOn w:val="DefaultParagraphFont"/>
    <w:link w:val="Footer"/>
    <w:uiPriority w:val="99"/>
    <w:rsid w:val="00841FC6"/>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TableGrid1">
    <w:name w:val="Table Grid1"/>
    <w:basedOn w:val="TableNormal"/>
    <w:next w:val="TableGrid"/>
    <w:uiPriority w:val="39"/>
    <w:rsid w:val="006E0E10"/>
    <w:pPr>
      <w:spacing w:line="240" w:lineRule="auto"/>
    </w:pPr>
    <w:rPr>
      <w:rFonts w:ascii="Calibri" w:eastAsia="Times New Roman" w:hAnsi="Calibri"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E0E1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325E"/>
    <w:pPr>
      <w:spacing w:line="240" w:lineRule="auto"/>
    </w:pPr>
  </w:style>
  <w:style w:type="character" w:styleId="Hyperlink">
    <w:name w:val="Hyperlink"/>
    <w:basedOn w:val="DefaultParagraphFont"/>
    <w:uiPriority w:val="99"/>
    <w:unhideWhenUsed/>
    <w:rsid w:val="00E9325E"/>
    <w:rPr>
      <w:color w:val="0000FF" w:themeColor="hyperlink"/>
      <w:u w:val="single"/>
    </w:rPr>
  </w:style>
  <w:style w:type="character" w:styleId="UnresolvedMention">
    <w:name w:val="Unresolved Mention"/>
    <w:basedOn w:val="DefaultParagraphFont"/>
    <w:uiPriority w:val="99"/>
    <w:semiHidden/>
    <w:unhideWhenUsed/>
    <w:rsid w:val="00E93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paperpile.com/c/PFUAsP/KVFT" TargetMode="Externa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hyperlink" Target="http://paperpile.com/b/PFUAsP/KVFT" TargetMode="External"/><Relationship Id="rId21" Type="http://schemas.openxmlformats.org/officeDocument/2006/relationships/image" Target="media/image5.png"/><Relationship Id="rId34" Type="http://schemas.openxmlformats.org/officeDocument/2006/relationships/hyperlink" Target="http://paperpile.com/b/PFUAsP/idfr" TargetMode="External"/><Relationship Id="rId42" Type="http://schemas.openxmlformats.org/officeDocument/2006/relationships/hyperlink" Target="https://doi.org/10.1002/oa.2744"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aperpile.com/c/PFUAsP/kbze" TargetMode="External"/><Relationship Id="rId20" Type="http://schemas.openxmlformats.org/officeDocument/2006/relationships/image" Target="media/image4.jpg"/><Relationship Id="rId29" Type="http://schemas.openxmlformats.org/officeDocument/2006/relationships/image" Target="media/image13.png"/><Relationship Id="rId41" Type="http://schemas.openxmlformats.org/officeDocument/2006/relationships/hyperlink" Target="http://paperpile.com/b/PFUAsP/KVF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hyperlink" Target="http://paperpile.com/b/PFUAsP/idfr" TargetMode="External"/><Relationship Id="rId37" Type="http://schemas.openxmlformats.org/officeDocument/2006/relationships/hyperlink" Target="http://paperpile.com/b/PFUAsP/kbze" TargetMode="External"/><Relationship Id="rId40" Type="http://schemas.openxmlformats.org/officeDocument/2006/relationships/hyperlink" Target="http://paperpile.com/b/PFUAsP/KVFT" TargetMode="External"/><Relationship Id="rId5" Type="http://schemas.openxmlformats.org/officeDocument/2006/relationships/customXml" Target="../customXml/item5.xml"/><Relationship Id="rId15" Type="http://schemas.openxmlformats.org/officeDocument/2006/relationships/hyperlink" Target="https://paperpile.com/c/PFUAsP/XW4X"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hyperlink" Target="http://paperpile.com/b/PFUAsP/kbze"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image" Target="media/image15.jp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perpile.com/c/PFUAsP/ty5t" TargetMode="External"/><Relationship Id="rId22" Type="http://schemas.openxmlformats.org/officeDocument/2006/relationships/image" Target="media/image6.jp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hyperlink" Target="https://doi.org/10.1080/00665983.1998.11078850"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aperpile.com/c/PFUAsP/idfr" TargetMode="External"/><Relationship Id="rId17" Type="http://schemas.openxmlformats.org/officeDocument/2006/relationships/footer" Target="footer1.xml"/><Relationship Id="rId25" Type="http://schemas.openxmlformats.org/officeDocument/2006/relationships/image" Target="media/image9.png"/><Relationship Id="rId33" Type="http://schemas.openxmlformats.org/officeDocument/2006/relationships/hyperlink" Target="http://paperpile.com/b/PFUAsP/idfr" TargetMode="External"/><Relationship Id="rId38" Type="http://schemas.openxmlformats.org/officeDocument/2006/relationships/hyperlink" Target="http://paperpile.com/b/PFUAsP/kb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1C8D92B6DDF049A548D48126A7763F" ma:contentTypeVersion="16" ma:contentTypeDescription="Create a new document." ma:contentTypeScope="" ma:versionID="4d7d0adf79065ef05f5e78b0485f1685">
  <xsd:schema xmlns:xsd="http://www.w3.org/2001/XMLSchema" xmlns:xs="http://www.w3.org/2001/XMLSchema" xmlns:p="http://schemas.microsoft.com/office/2006/metadata/properties" xmlns:ns2="da70c3ce-dc9a-4ee3-aecc-93f224539e5c" xmlns:ns3="d2eba423-b50c-447e-9023-c6afef29b892" targetNamespace="http://schemas.microsoft.com/office/2006/metadata/properties" ma:root="true" ma:fieldsID="dfbe40b6f74f3bc5c07086d4396bf126" ns2:_="" ns3:_="">
    <xsd:import namespace="da70c3ce-dc9a-4ee3-aecc-93f224539e5c"/>
    <xsd:import namespace="d2eba423-b50c-447e-9023-c6afef29b8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NameofEditor0" minOccurs="0"/>
                <xsd:element ref="ns2:Readyforproduction" minOccurs="0"/>
                <xsd:element ref="ns3:SharedWithUsers" minOccurs="0"/>
                <xsd:element ref="ns3:SharedWithDetails" minOccurs="0"/>
                <xsd:element ref="ns2:Priority" minOccurs="0"/>
                <xsd:element ref="ns2:Prioritynumber" minOccurs="0"/>
                <xsd:element ref="ns2:Date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0c3ce-dc9a-4ee3-aecc-93f224539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NameofEditor0" ma:index="12" nillable="true" ma:displayName="Name of Editor" ma:format="RadioButtons" ma:internalName="NameofEditor0">
      <xsd:simpleType>
        <xsd:restriction base="dms:Choice">
          <xsd:enumeration value="Robin"/>
          <xsd:enumeration value="Rob"/>
        </xsd:restriction>
      </xsd:simpleType>
    </xsd:element>
    <xsd:element name="Readyforproduction" ma:index="13" nillable="true" ma:displayName="Ready for production" ma:default="0" ma:description="Select 'Yes' when editing is finished." ma:format="Dropdown" ma:internalName="Readyforproduction">
      <xsd:simpleType>
        <xsd:restriction base="dms:Boolean"/>
      </xsd:simpleType>
    </xsd:element>
    <xsd:element name="Priority" ma:index="16" nillable="true" ma:displayName="Priority" ma:format="Dropdown" ma:internalName="Priority" ma:percentage="FALSE">
      <xsd:simpleType>
        <xsd:restriction base="dms:Number"/>
      </xsd:simpleType>
    </xsd:element>
    <xsd:element name="Prioritynumber" ma:index="17" nillable="true" ma:displayName="Priority  " ma:format="RadioButtons" ma:internalName="Prioritynumber">
      <xsd:simpleType>
        <xsd:union memberTypes="dms:Text">
          <xsd:simpleType>
            <xsd:restriction base="dms:Choice">
              <xsd:enumeration value="High"/>
              <xsd:enumeration value="Medium"/>
              <xsd:enumeration value="Low"/>
            </xsd:restriction>
          </xsd:simpleType>
        </xsd:union>
      </xsd:simpleType>
    </xsd:element>
    <xsd:element name="Dateuploaded" ma:index="18" nillable="true" ma:displayName="Date uploaded" ma:format="DateOnly" ma:internalName="Dateupload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2eba423-b50c-447e-9023-c6afef29b89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4ruQmyDomWf7rhk40lLyj2bnQQ==">CgMxLjAyCGguZ2pkZ3hzOAByITFqR3dLX01rZkpGejI2R29kX1JTT0NTMXV6N1Z2ZEFxNg==</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iority xmlns="da70c3ce-dc9a-4ee3-aecc-93f224539e5c" xsi:nil="true"/>
    <Prioritynumber xmlns="da70c3ce-dc9a-4ee3-aecc-93f224539e5c" xsi:nil="true"/>
    <Readyforproduction xmlns="da70c3ce-dc9a-4ee3-aecc-93f224539e5c">false</Readyforproduction>
    <NameofEditor0 xmlns="da70c3ce-dc9a-4ee3-aecc-93f224539e5c" xsi:nil="true"/>
    <Dateuploaded xmlns="da70c3ce-dc9a-4ee3-aecc-93f224539e5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CEBF3-62BA-4250-94CE-7E20CD13D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0c3ce-dc9a-4ee3-aecc-93f224539e5c"/>
    <ds:schemaRef ds:uri="d2eba423-b50c-447e-9023-c6afef29b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BF48136-085F-4D3F-B266-086000F06E6C}">
  <ds:schemaRefs>
    <ds:schemaRef ds:uri="http://schemas.microsoft.com/sharepoint/v3/contenttype/forms"/>
  </ds:schemaRefs>
</ds:datastoreItem>
</file>

<file path=customXml/itemProps4.xml><?xml version="1.0" encoding="utf-8"?>
<ds:datastoreItem xmlns:ds="http://schemas.openxmlformats.org/officeDocument/2006/customXml" ds:itemID="{1FF6F9FC-0D01-403D-BDE3-4F08468C5539}">
  <ds:schemaRefs>
    <ds:schemaRef ds:uri="http://schemas.microsoft.com/office/2006/metadata/properties"/>
    <ds:schemaRef ds:uri="http://schemas.microsoft.com/office/infopath/2007/PartnerControls"/>
    <ds:schemaRef ds:uri="da70c3ce-dc9a-4ee3-aecc-93f224539e5c"/>
  </ds:schemaRefs>
</ds:datastoreItem>
</file>

<file path=customXml/itemProps5.xml><?xml version="1.0" encoding="utf-8"?>
<ds:datastoreItem xmlns:ds="http://schemas.openxmlformats.org/officeDocument/2006/customXml" ds:itemID="{09E149A7-05A2-473E-9604-031670421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34</Pages>
  <Words>7736</Words>
  <Characters>44096</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TEASDALE, ABIGAIL L.</dc:creator>
  <cp:lastModifiedBy>gpsg24</cp:lastModifiedBy>
  <cp:revision>3</cp:revision>
  <cp:lastPrinted>2024-11-01T10:47:00Z</cp:lastPrinted>
  <dcterms:created xsi:type="dcterms:W3CDTF">2024-12-04T10:12:00Z</dcterms:created>
  <dcterms:modified xsi:type="dcterms:W3CDTF">2024-12-04T10:25:00Z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0x010100791C8D92B6DDF049A548D48126A7763F</vt:lpwstr>
  </property>
</Properties>
</file>