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Look w:val="04A0" w:firstRow="1" w:lastRow="0" w:firstColumn="1" w:lastColumn="0" w:noHBand="0" w:noVBand="1"/>
      </w:tblPr>
      <w:tblGrid>
        <w:gridCol w:w="1626"/>
        <w:gridCol w:w="7400"/>
      </w:tblGrid>
      <w:tr w:rsidR="004005C9" w:rsidRPr="004005C9" w14:paraId="1905BA4B" w14:textId="77777777" w:rsidTr="00600E61">
        <w:trPr>
          <w:trHeight w:val="1134"/>
        </w:trPr>
        <w:tc>
          <w:tcPr>
            <w:tcW w:w="844" w:type="pct"/>
            <w:tcBorders>
              <w:top w:val="single" w:sz="12" w:space="0" w:color="C00000"/>
              <w:left w:val="nil"/>
              <w:bottom w:val="single" w:sz="12" w:space="0" w:color="C00000"/>
              <w:right w:val="nil"/>
            </w:tcBorders>
            <w:vAlign w:val="center"/>
          </w:tcPr>
          <w:p w14:paraId="56D2ADA5" w14:textId="77777777" w:rsidR="004005C9" w:rsidRPr="004005C9" w:rsidRDefault="004005C9" w:rsidP="004005C9">
            <w:pPr>
              <w:spacing w:before="0" w:after="0" w:line="240" w:lineRule="auto"/>
              <w:jc w:val="center"/>
              <w:rPr>
                <w:kern w:val="2"/>
                <w:sz w:val="28"/>
                <w:szCs w:val="28"/>
                <w:lang w:eastAsia="en-GB"/>
              </w:rPr>
            </w:pPr>
            <w:r w:rsidRPr="004005C9">
              <w:rPr>
                <w:noProof/>
                <w:kern w:val="2"/>
                <w:lang w:eastAsia="en-GB"/>
              </w:rPr>
              <w:drawing>
                <wp:inline distT="0" distB="0" distL="0" distR="0" wp14:anchorId="0BC889C5" wp14:editId="2759F8B9">
                  <wp:extent cx="885825" cy="885825"/>
                  <wp:effectExtent l="0" t="0" r="9525" b="9525"/>
                  <wp:docPr id="1262923420" name="Picture 1" descr="A red circle with a white let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white letter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156" w:type="pct"/>
            <w:tcBorders>
              <w:top w:val="single" w:sz="12" w:space="0" w:color="C00000"/>
              <w:left w:val="nil"/>
              <w:bottom w:val="single" w:sz="12" w:space="0" w:color="C00000"/>
              <w:right w:val="nil"/>
            </w:tcBorders>
            <w:vAlign w:val="center"/>
          </w:tcPr>
          <w:p w14:paraId="6B5C6C54" w14:textId="77777777" w:rsidR="004005C9" w:rsidRPr="004005C9" w:rsidRDefault="004005C9" w:rsidP="004005C9">
            <w:pPr>
              <w:spacing w:before="0" w:after="0" w:line="360" w:lineRule="auto"/>
              <w:rPr>
                <w:kern w:val="2"/>
                <w:lang w:eastAsia="en-GB"/>
              </w:rPr>
            </w:pPr>
            <w:r w:rsidRPr="004005C9">
              <w:rPr>
                <w:kern w:val="2"/>
                <w:lang w:eastAsia="en-GB"/>
              </w:rPr>
              <w:t xml:space="preserve">Supplementary material for </w:t>
            </w:r>
          </w:p>
          <w:p w14:paraId="53B4C71A" w14:textId="077066D1" w:rsidR="004005C9" w:rsidRPr="004005C9" w:rsidRDefault="0080211A" w:rsidP="00FA5FD1">
            <w:pPr>
              <w:spacing w:before="0" w:after="0" w:line="360" w:lineRule="auto"/>
              <w:jc w:val="left"/>
              <w:rPr>
                <w:kern w:val="2"/>
                <w:lang w:eastAsia="en-GB"/>
              </w:rPr>
            </w:pPr>
            <w:r>
              <w:rPr>
                <w:smallCaps/>
                <w:kern w:val="2"/>
                <w:lang w:eastAsia="en-GB"/>
              </w:rPr>
              <w:t>Connor, K.G</w:t>
            </w:r>
            <w:r w:rsidR="004005C9" w:rsidRPr="004005C9">
              <w:rPr>
                <w:kern w:val="2"/>
                <w:lang w:eastAsia="en-GB"/>
              </w:rPr>
              <w:t>. 2025.</w:t>
            </w:r>
            <w:r w:rsidR="004005C9" w:rsidRPr="004005C9">
              <w:rPr>
                <w:b/>
                <w:bCs/>
                <w:kern w:val="2"/>
                <w:lang w:eastAsia="en-GB"/>
              </w:rPr>
              <w:t xml:space="preserve"> </w:t>
            </w:r>
            <w:r w:rsidRPr="0080211A">
              <w:rPr>
                <w:b/>
                <w:bCs/>
                <w:color w:val="000000"/>
                <w:kern w:val="2"/>
                <w:lang w:eastAsia="en-GB"/>
              </w:rPr>
              <w:t>Eating in colonial institutions: desiccated plant remains from nineteenth-century Sydney</w:t>
            </w:r>
            <w:r w:rsidR="004005C9" w:rsidRPr="004005C9">
              <w:rPr>
                <w:b/>
                <w:bCs/>
                <w:kern w:val="2"/>
                <w:lang w:eastAsia="en-GB"/>
              </w:rPr>
              <w:t xml:space="preserve">. </w:t>
            </w:r>
            <w:r w:rsidR="004005C9" w:rsidRPr="004005C9">
              <w:rPr>
                <w:i/>
                <w:iCs/>
                <w:kern w:val="2"/>
                <w:lang w:eastAsia="en-GB"/>
              </w:rPr>
              <w:t>Antiquity</w:t>
            </w:r>
            <w:r w:rsidR="004005C9" w:rsidRPr="004005C9">
              <w:rPr>
                <w:kern w:val="2"/>
                <w:lang w:eastAsia="en-GB"/>
              </w:rPr>
              <w:t xml:space="preserve"> 99.</w:t>
            </w:r>
          </w:p>
          <w:p w14:paraId="5947228F" w14:textId="38266D8D" w:rsidR="004005C9" w:rsidRPr="004005C9" w:rsidRDefault="004005C9" w:rsidP="00FA5FD1">
            <w:pPr>
              <w:spacing w:before="0" w:after="0" w:line="360" w:lineRule="auto"/>
              <w:jc w:val="left"/>
              <w:rPr>
                <w:b/>
                <w:bCs/>
                <w:kern w:val="2"/>
                <w:lang w:eastAsia="en-GB"/>
              </w:rPr>
            </w:pPr>
            <w:r w:rsidRPr="004005C9">
              <w:rPr>
                <w:lang w:eastAsia="en-GB"/>
              </w:rPr>
              <w:t xml:space="preserve">Author for correspondence </w:t>
            </w:r>
            <w:r w:rsidRPr="004005C9">
              <w:rPr>
                <w:rFonts w:ascii="Segoe UI Symbol" w:eastAsia="Arial Unicode MS" w:hAnsi="Segoe UI Symbol" w:cs="Segoe UI Symbol"/>
                <w:color w:val="000000"/>
                <w:bdr w:val="nil"/>
                <w:lang w:eastAsia="en-GB"/>
              </w:rPr>
              <w:t>✉</w:t>
            </w:r>
            <w:r w:rsidRPr="004005C9">
              <w:rPr>
                <w:rFonts w:eastAsia="Arial Unicode MS"/>
                <w:color w:val="000000"/>
                <w:bdr w:val="nil"/>
                <w:lang w:eastAsia="en-GB"/>
              </w:rPr>
              <w:t xml:space="preserve"> </w:t>
            </w:r>
            <w:r w:rsidR="00F41A8F" w:rsidRPr="002B2CDB">
              <w:t>kconnor@stanford.edu</w:t>
            </w:r>
          </w:p>
        </w:tc>
      </w:tr>
    </w:tbl>
    <w:p w14:paraId="476F2FFF" w14:textId="77777777" w:rsidR="00FA5FD1" w:rsidRDefault="00FA5FD1" w:rsidP="001525C3">
      <w:pPr>
        <w:pStyle w:val="DissertationSectionHeading"/>
        <w:rPr>
          <w:lang w:val="en-GB"/>
        </w:rPr>
      </w:pPr>
    </w:p>
    <w:p w14:paraId="274F9EDC" w14:textId="1755A537" w:rsidR="00FA5FD1" w:rsidRPr="00FA5FD1" w:rsidRDefault="00FA5FD1" w:rsidP="00FA5FD1">
      <w:pPr>
        <w:spacing w:before="0" w:afterLines="100" w:after="240" w:line="360" w:lineRule="auto"/>
        <w:jc w:val="left"/>
        <w:rPr>
          <w:b/>
          <w:bCs/>
          <w:lang w:val="en-GB"/>
        </w:rPr>
      </w:pPr>
      <w:r w:rsidRPr="00FA5FD1">
        <w:rPr>
          <w:b/>
          <w:bCs/>
          <w:lang w:val="en-GB"/>
        </w:rPr>
        <w:t>Methods</w:t>
      </w:r>
    </w:p>
    <w:p w14:paraId="4C9E452E" w14:textId="10629843" w:rsidR="001525C3" w:rsidRPr="00D85FD5" w:rsidRDefault="001525C3" w:rsidP="00FA5FD1">
      <w:pPr>
        <w:spacing w:before="0" w:afterLines="100" w:after="240" w:line="360" w:lineRule="auto"/>
        <w:jc w:val="left"/>
        <w:rPr>
          <w:lang w:val="en-GB"/>
        </w:rPr>
      </w:pPr>
      <w:r w:rsidRPr="00D85FD5">
        <w:rPr>
          <w:lang w:val="en-GB"/>
        </w:rPr>
        <w:t>During excavation of the underfloor deposits on Level 2 and Level 3 of Hyde Park Barracks, individual items were removed by hand before the matrix was vacuumed out of each space and sieved, sorted and recorded (Burritt 1981: 29–30). Vacuuming did not occur in the hallways which appeared to have been disturbed so there is less material available from these areas and a bias towards larger, hand-recovered items (Mider 1996: 5). The smallest sieve used for the underfloor deposits was 2mm (Mider 1996: 5) and flo</w:t>
      </w:r>
      <w:r w:rsidR="00FA5FD1">
        <w:rPr>
          <w:lang w:val="en-GB"/>
        </w:rPr>
        <w:t>a</w:t>
      </w:r>
      <w:r w:rsidRPr="00D85FD5">
        <w:rPr>
          <w:lang w:val="en-GB"/>
        </w:rPr>
        <w:t>tation does not appear to have taken place</w:t>
      </w:r>
      <w:r w:rsidR="00392D3E">
        <w:rPr>
          <w:lang w:val="en-GB"/>
        </w:rPr>
        <w:t>,</w:t>
      </w:r>
      <w:r w:rsidRPr="00D85FD5">
        <w:rPr>
          <w:lang w:val="en-GB"/>
        </w:rPr>
        <w:t xml:space="preserve"> so the macrobotanical collection is biased towards large fruit stones and nutshells which would have been visible to those sieving the material. The absence of species with smaller seeds such as figs and berries probably reflects the context of recovery and the techniques used rather than patterns of consumption. </w:t>
      </w:r>
    </w:p>
    <w:p w14:paraId="6ED0D983" w14:textId="2C50F495" w:rsidR="001525C3" w:rsidRDefault="001525C3" w:rsidP="00FA5FD1">
      <w:pPr>
        <w:spacing w:before="0" w:afterLines="100" w:after="240" w:line="360" w:lineRule="auto"/>
        <w:jc w:val="left"/>
        <w:rPr>
          <w:lang w:val="en-GB"/>
        </w:rPr>
      </w:pPr>
      <w:r w:rsidRPr="00D85FD5">
        <w:rPr>
          <w:lang w:val="en-GB"/>
        </w:rPr>
        <w:t xml:space="preserve">Following initial sorting and some field identifications, botanists from the University of Sydney were engaged to identify some of the macrobotanical remains from Hyde Park Barracks and the neighbouring site of the Royal Mint. </w:t>
      </w:r>
      <w:r>
        <w:rPr>
          <w:lang w:val="en-GB"/>
        </w:rPr>
        <w:t>They produced a t</w:t>
      </w:r>
      <w:r w:rsidRPr="00D85FD5">
        <w:rPr>
          <w:lang w:val="en-GB"/>
        </w:rPr>
        <w:t>wo-page report,</w:t>
      </w:r>
      <w:r>
        <w:rPr>
          <w:lang w:val="en-GB"/>
        </w:rPr>
        <w:t xml:space="preserve"> identifying the following: </w:t>
      </w:r>
      <w:r w:rsidRPr="00D85FD5">
        <w:rPr>
          <w:lang w:val="en-GB"/>
        </w:rPr>
        <w:t xml:space="preserve">nuts (hazelnut, peanut, walnut, macadamia, almond, </w:t>
      </w:r>
      <w:r w:rsidR="00FA5FD1">
        <w:rPr>
          <w:lang w:val="en-GB"/>
        </w:rPr>
        <w:t>B</w:t>
      </w:r>
      <w:r w:rsidRPr="00D85FD5">
        <w:rPr>
          <w:lang w:val="en-GB"/>
        </w:rPr>
        <w:t>razil nut and coconut); grains (wheat, barley and oats); fruit skin (orange, banana and passionfruit); fruit stones (peach, cherry, apricot, plum, date and woody pear); fruit seeds (orange, grape and loquat); vegetable seeds (pumpkin; bean with pod); other vegetable remains (onion skin and corn cob); plant remains (</w:t>
      </w:r>
      <w:r w:rsidRPr="00D85FD5">
        <w:rPr>
          <w:i/>
          <w:iCs/>
          <w:lang w:val="en-GB"/>
        </w:rPr>
        <w:t>Leptospermum flavescens</w:t>
      </w:r>
      <w:r w:rsidRPr="00D85FD5">
        <w:rPr>
          <w:lang w:val="en-GB"/>
        </w:rPr>
        <w:t xml:space="preserve"> capsules and sprigs, Macrozamia sp. fronds, </w:t>
      </w:r>
      <w:r w:rsidRPr="00D85FD5">
        <w:rPr>
          <w:i/>
          <w:iCs/>
          <w:lang w:val="en-GB"/>
        </w:rPr>
        <w:t xml:space="preserve">Selaginella </w:t>
      </w:r>
      <w:proofErr w:type="spellStart"/>
      <w:r w:rsidRPr="00D85FD5">
        <w:rPr>
          <w:i/>
          <w:iCs/>
          <w:lang w:val="en-GB"/>
        </w:rPr>
        <w:t>uliginosa</w:t>
      </w:r>
      <w:proofErr w:type="spellEnd"/>
      <w:r w:rsidRPr="00D85FD5">
        <w:rPr>
          <w:lang w:val="en-GB"/>
        </w:rPr>
        <w:t xml:space="preserve"> sprigs, Melaleuca spp. sprigs, Santalum sp. </w:t>
      </w:r>
      <w:r w:rsidR="00392D3E">
        <w:rPr>
          <w:lang w:val="en-GB"/>
        </w:rPr>
        <w:t>s</w:t>
      </w:r>
      <w:r w:rsidRPr="00D85FD5">
        <w:rPr>
          <w:lang w:val="en-GB"/>
        </w:rPr>
        <w:t xml:space="preserve">prigs, </w:t>
      </w:r>
      <w:proofErr w:type="spellStart"/>
      <w:r w:rsidRPr="00D85FD5">
        <w:rPr>
          <w:i/>
          <w:iCs/>
          <w:lang w:val="en-GB"/>
        </w:rPr>
        <w:t>Livistona</w:t>
      </w:r>
      <w:proofErr w:type="spellEnd"/>
      <w:r w:rsidRPr="00D85FD5">
        <w:rPr>
          <w:i/>
          <w:iCs/>
          <w:lang w:val="en-GB"/>
        </w:rPr>
        <w:t xml:space="preserve"> australis</w:t>
      </w:r>
      <w:r w:rsidRPr="00D85FD5">
        <w:rPr>
          <w:lang w:val="en-GB"/>
        </w:rPr>
        <w:t xml:space="preserve"> fronds, </w:t>
      </w:r>
      <w:proofErr w:type="spellStart"/>
      <w:r w:rsidRPr="00D85FD5">
        <w:rPr>
          <w:lang w:val="en-GB"/>
        </w:rPr>
        <w:t>Platysace</w:t>
      </w:r>
      <w:proofErr w:type="spellEnd"/>
      <w:r w:rsidRPr="00D85FD5">
        <w:rPr>
          <w:lang w:val="en-GB"/>
        </w:rPr>
        <w:t xml:space="preserve"> sp. sprigs, Pteridium sp. fronds, bay leaves (Auld </w:t>
      </w:r>
      <w:r w:rsidRPr="00D85FD5">
        <w:rPr>
          <w:i/>
          <w:iCs/>
          <w:lang w:val="en-GB"/>
        </w:rPr>
        <w:t xml:space="preserve">et al. </w:t>
      </w:r>
      <w:r w:rsidRPr="00D85FD5">
        <w:rPr>
          <w:lang w:val="en-GB"/>
        </w:rPr>
        <w:t xml:space="preserve">1981). </w:t>
      </w:r>
      <w:r>
        <w:rPr>
          <w:lang w:val="en-GB"/>
        </w:rPr>
        <w:t xml:space="preserve">However, the report does not distinguish between the two sites or provide any quantification of the remains. The preliminary nature of the analysis and the multiple iterations of the database system meant that at the time of this project, much of the material remained un-described or incorrectly identified. </w:t>
      </w:r>
    </w:p>
    <w:p w14:paraId="5D3574B1" w14:textId="2A61A024" w:rsidR="001525C3" w:rsidRPr="00D85FD5" w:rsidRDefault="001525C3" w:rsidP="00FA5FD1">
      <w:pPr>
        <w:spacing w:before="0" w:afterLines="100" w:after="240" w:line="360" w:lineRule="auto"/>
        <w:jc w:val="left"/>
        <w:rPr>
          <w:lang w:val="en-GB"/>
        </w:rPr>
      </w:pPr>
      <w:r w:rsidRPr="00D85FD5">
        <w:rPr>
          <w:lang w:val="en-GB"/>
        </w:rPr>
        <w:lastRenderedPageBreak/>
        <w:t xml:space="preserve">My goal, therefore, was to assess the macrobotanical material as part of the larger study of food and dining-related material. </w:t>
      </w:r>
      <w:r>
        <w:rPr>
          <w:lang w:val="en-GB"/>
        </w:rPr>
        <w:t>As a result, t</w:t>
      </w:r>
      <w:r w:rsidRPr="00D85FD5">
        <w:rPr>
          <w:lang w:val="en-GB"/>
        </w:rPr>
        <w:t>he primary focus was the identification of edible species</w:t>
      </w:r>
      <w:r w:rsidR="00392D3E">
        <w:rPr>
          <w:lang w:val="en-GB"/>
        </w:rPr>
        <w:t>,</w:t>
      </w:r>
      <w:r w:rsidRPr="00D85FD5">
        <w:rPr>
          <w:lang w:val="en-GB"/>
        </w:rPr>
        <w:t xml:space="preserve"> although some landscape species are included. While preserved in small quantities, woo</w:t>
      </w:r>
      <w:r>
        <w:rPr>
          <w:lang w:val="en-GB"/>
        </w:rPr>
        <w:t>d</w:t>
      </w:r>
      <w:r w:rsidRPr="00D85FD5">
        <w:rPr>
          <w:lang w:val="en-GB"/>
        </w:rPr>
        <w:t xml:space="preserve"> and charcoal were not included as they were considered of minimal relevance to dietary practice. There is extensive evidence </w:t>
      </w:r>
      <w:r w:rsidR="00392D3E">
        <w:rPr>
          <w:lang w:val="en-GB"/>
        </w:rPr>
        <w:t xml:space="preserve">of </w:t>
      </w:r>
      <w:r w:rsidRPr="00D85FD5">
        <w:rPr>
          <w:lang w:val="en-GB"/>
        </w:rPr>
        <w:t xml:space="preserve">hat-making at the site, so palm fronds (primarily </w:t>
      </w:r>
      <w:r w:rsidRPr="00D85FD5">
        <w:rPr>
          <w:i/>
          <w:iCs/>
          <w:lang w:val="en-GB"/>
        </w:rPr>
        <w:t>Livistona australis)</w:t>
      </w:r>
      <w:r w:rsidRPr="00D85FD5">
        <w:rPr>
          <w:lang w:val="en-GB"/>
        </w:rPr>
        <w:t xml:space="preserve"> have also been excluded from this study, as has straw which was used as stuffing for bedding.  </w:t>
      </w:r>
    </w:p>
    <w:p w14:paraId="66CA9F1D" w14:textId="77777777" w:rsidR="001525C3" w:rsidRPr="00D85FD5" w:rsidRDefault="001525C3" w:rsidP="00FA5FD1">
      <w:pPr>
        <w:spacing w:before="0" w:afterLines="100" w:after="240" w:line="360" w:lineRule="auto"/>
        <w:jc w:val="left"/>
        <w:rPr>
          <w:lang w:val="en-GB"/>
        </w:rPr>
      </w:pPr>
      <w:r>
        <w:rPr>
          <w:lang w:val="en-GB"/>
        </w:rPr>
        <w:t>I performed s</w:t>
      </w:r>
      <w:r w:rsidRPr="00D85FD5">
        <w:rPr>
          <w:lang w:val="en-GB"/>
        </w:rPr>
        <w:t>earches of the existing catalogue using terms such as ‘seed’, ‘pit’, ‘nut’, ‘unidentified seed’ and ‘organic’</w:t>
      </w:r>
      <w:r>
        <w:rPr>
          <w:lang w:val="en-GB"/>
        </w:rPr>
        <w:t xml:space="preserve"> to locate relevant artefacts.</w:t>
      </w:r>
      <w:r w:rsidRPr="00D85FD5">
        <w:rPr>
          <w:lang w:val="en-GB"/>
        </w:rPr>
        <w:t xml:space="preserve"> Since storage boxes are</w:t>
      </w:r>
      <w:r>
        <w:rPr>
          <w:lang w:val="en-GB"/>
        </w:rPr>
        <w:t xml:space="preserve"> broadly</w:t>
      </w:r>
      <w:r w:rsidRPr="00D85FD5">
        <w:rPr>
          <w:lang w:val="en-GB"/>
        </w:rPr>
        <w:t xml:space="preserve"> organized by material, looking for one item in a box often revealed additional material which had been catalogued differently. </w:t>
      </w:r>
      <w:r>
        <w:rPr>
          <w:lang w:val="en-GB"/>
        </w:rPr>
        <w:t xml:space="preserve">I also visually inspected all </w:t>
      </w:r>
      <w:r w:rsidRPr="00D85FD5">
        <w:rPr>
          <w:lang w:val="en-GB"/>
        </w:rPr>
        <w:t>the object bags in boxes labelled ‘mixed media’ or ‘organic non-food’ to identify plant remains.</w:t>
      </w:r>
    </w:p>
    <w:p w14:paraId="0646FC32" w14:textId="24C38CDD" w:rsidR="001525C3" w:rsidRDefault="001525C3" w:rsidP="00FA5FD1">
      <w:pPr>
        <w:spacing w:before="0" w:afterLines="100" w:after="240" w:line="360" w:lineRule="auto"/>
        <w:jc w:val="left"/>
        <w:rPr>
          <w:i/>
          <w:iCs/>
          <w:lang w:val="en-GB"/>
        </w:rPr>
      </w:pPr>
      <w:r w:rsidRPr="00D85FD5">
        <w:rPr>
          <w:lang w:val="en-GB"/>
        </w:rPr>
        <w:t xml:space="preserve">Once identified as plant material, items were hand-sorted </w:t>
      </w:r>
      <w:r>
        <w:rPr>
          <w:lang w:val="en-GB"/>
        </w:rPr>
        <w:t xml:space="preserve">without magnification for identification, weighing and </w:t>
      </w:r>
      <w:r w:rsidRPr="00D85FD5">
        <w:rPr>
          <w:lang w:val="en-GB"/>
        </w:rPr>
        <w:t>record</w:t>
      </w:r>
      <w:r>
        <w:rPr>
          <w:lang w:val="en-GB"/>
        </w:rPr>
        <w:t>ing</w:t>
      </w:r>
      <w:r w:rsidRPr="00D85FD5">
        <w:rPr>
          <w:lang w:val="en-GB"/>
        </w:rPr>
        <w:t xml:space="preserve"> in a Microsoft Access database. Identifications were made with reference to manuals and databases (e.g. </w:t>
      </w:r>
      <w:proofErr w:type="spellStart"/>
      <w:r w:rsidR="007406A6" w:rsidRPr="00D85FD5">
        <w:rPr>
          <w:lang w:val="en-GB"/>
        </w:rPr>
        <w:t>Sweedman</w:t>
      </w:r>
      <w:proofErr w:type="spellEnd"/>
      <w:r w:rsidR="007406A6" w:rsidRPr="00D85FD5">
        <w:rPr>
          <w:lang w:val="en-GB"/>
        </w:rPr>
        <w:t xml:space="preserve"> &amp;</w:t>
      </w:r>
      <w:r w:rsidR="007406A6">
        <w:rPr>
          <w:lang w:val="en-GB"/>
        </w:rPr>
        <w:t xml:space="preserve"> </w:t>
      </w:r>
      <w:r w:rsidR="007406A6" w:rsidRPr="00D85FD5">
        <w:rPr>
          <w:lang w:val="en-GB"/>
        </w:rPr>
        <w:t xml:space="preserve">Merritt 2006; </w:t>
      </w:r>
      <w:r w:rsidRPr="00D85FD5">
        <w:rPr>
          <w:lang w:val="en-GB"/>
        </w:rPr>
        <w:t xml:space="preserve">Bonner &amp; </w:t>
      </w:r>
      <w:proofErr w:type="spellStart"/>
      <w:r w:rsidRPr="00D85FD5">
        <w:rPr>
          <w:lang w:val="en-GB"/>
        </w:rPr>
        <w:t>Karrfalt</w:t>
      </w:r>
      <w:proofErr w:type="spellEnd"/>
      <w:r w:rsidRPr="00D85FD5">
        <w:rPr>
          <w:lang w:val="en-GB"/>
        </w:rPr>
        <w:t xml:space="preserve"> 2008</w:t>
      </w:r>
      <w:r w:rsidR="007406A6" w:rsidRPr="00D85FD5">
        <w:rPr>
          <w:lang w:val="en-GB"/>
        </w:rPr>
        <w:t xml:space="preserve">; </w:t>
      </w:r>
      <w:proofErr w:type="spellStart"/>
      <w:r w:rsidR="007406A6" w:rsidRPr="00D85FD5">
        <w:rPr>
          <w:lang w:val="en-GB"/>
        </w:rPr>
        <w:t>Woldring</w:t>
      </w:r>
      <w:proofErr w:type="spellEnd"/>
      <w:r w:rsidR="007406A6" w:rsidRPr="00D85FD5">
        <w:rPr>
          <w:lang w:val="en-GB"/>
        </w:rPr>
        <w:t xml:space="preserve"> 2011</w:t>
      </w:r>
      <w:r w:rsidRPr="00D85FD5">
        <w:rPr>
          <w:lang w:val="en-GB"/>
        </w:rPr>
        <w:t xml:space="preserve">; Neef </w:t>
      </w:r>
      <w:r w:rsidRPr="00D85FD5">
        <w:rPr>
          <w:i/>
          <w:iCs/>
          <w:lang w:val="en-GB"/>
        </w:rPr>
        <w:t xml:space="preserve">et al. </w:t>
      </w:r>
      <w:r w:rsidRPr="00D85FD5">
        <w:rPr>
          <w:lang w:val="en-GB"/>
        </w:rPr>
        <w:t xml:space="preserve">2012; South Australian Seed Conservation Centre 2018), modern comparative material specimens, and in consultation with colleagues, especially Professor Andrew Fairbairn (University of Queensland) and Merit </w:t>
      </w:r>
      <w:proofErr w:type="spellStart"/>
      <w:r w:rsidRPr="00D85FD5">
        <w:rPr>
          <w:lang w:val="en-GB"/>
        </w:rPr>
        <w:t>Hondelink</w:t>
      </w:r>
      <w:proofErr w:type="spellEnd"/>
      <w:r w:rsidRPr="00D85FD5">
        <w:rPr>
          <w:lang w:val="en-GB"/>
        </w:rPr>
        <w:t xml:space="preserve"> (University of Groningen). Where identification to species level was not possible, items were identified to genus or family. Tentative identifications are indicated by ‘cf.’ (compare) at the genus or species level. No attempt was made to differentiate between apple (</w:t>
      </w:r>
      <w:r w:rsidRPr="00D85FD5">
        <w:rPr>
          <w:i/>
          <w:iCs/>
          <w:lang w:val="en-GB"/>
        </w:rPr>
        <w:t xml:space="preserve">Malus domestica) </w:t>
      </w:r>
      <w:r w:rsidRPr="00D85FD5">
        <w:rPr>
          <w:lang w:val="en-GB"/>
        </w:rPr>
        <w:t>and pear (</w:t>
      </w:r>
      <w:r w:rsidRPr="00D85FD5">
        <w:rPr>
          <w:i/>
          <w:iCs/>
          <w:lang w:val="en-GB"/>
        </w:rPr>
        <w:t xml:space="preserve">Pyrus domestica). </w:t>
      </w:r>
    </w:p>
    <w:p w14:paraId="601C46D6" w14:textId="09D9A335" w:rsidR="00FA5FD1" w:rsidRPr="00FA5FD1" w:rsidRDefault="00FA5FD1" w:rsidP="00FA5FD1">
      <w:pPr>
        <w:spacing w:before="0" w:afterLines="100" w:after="240" w:line="360" w:lineRule="auto"/>
        <w:jc w:val="left"/>
        <w:rPr>
          <w:b/>
          <w:bCs/>
          <w:lang w:val="en-GB"/>
        </w:rPr>
      </w:pPr>
      <w:r w:rsidRPr="00FA5FD1">
        <w:rPr>
          <w:b/>
          <w:bCs/>
          <w:lang w:val="en-GB"/>
        </w:rPr>
        <w:t>References</w:t>
      </w:r>
    </w:p>
    <w:p w14:paraId="4C5AB94C" w14:textId="677CA912" w:rsidR="001525C3" w:rsidRPr="0037639E" w:rsidRDefault="001525C3" w:rsidP="00FA5FD1">
      <w:pPr>
        <w:spacing w:before="0" w:after="0" w:line="360" w:lineRule="auto"/>
        <w:jc w:val="left"/>
        <w:rPr>
          <w:rFonts w:eastAsia="Times New Roman"/>
          <w:lang w:val="en-GB" w:eastAsia="en-AU"/>
        </w:rPr>
      </w:pPr>
      <w:r w:rsidRPr="0037639E">
        <w:rPr>
          <w:rFonts w:eastAsia="Times New Roman"/>
          <w:smallCaps/>
          <w:lang w:val="en-GB" w:eastAsia="en-AU"/>
        </w:rPr>
        <w:t>Auld</w:t>
      </w:r>
      <w:r w:rsidRPr="0037639E">
        <w:rPr>
          <w:rFonts w:eastAsia="Times New Roman"/>
          <w:lang w:val="en-GB" w:eastAsia="en-AU"/>
        </w:rPr>
        <w:t xml:space="preserve">, T., D. </w:t>
      </w:r>
      <w:r w:rsidRPr="0037639E">
        <w:rPr>
          <w:rFonts w:eastAsia="Times New Roman"/>
          <w:smallCaps/>
          <w:lang w:val="en-GB" w:eastAsia="en-AU"/>
        </w:rPr>
        <w:t>Morrison</w:t>
      </w:r>
      <w:r w:rsidRPr="0037639E">
        <w:rPr>
          <w:rFonts w:eastAsia="Times New Roman"/>
          <w:lang w:val="en-GB" w:eastAsia="en-AU"/>
        </w:rPr>
        <w:t xml:space="preserve"> &amp; P. </w:t>
      </w:r>
      <w:r w:rsidRPr="0037639E">
        <w:rPr>
          <w:rFonts w:eastAsia="Times New Roman"/>
          <w:smallCaps/>
          <w:lang w:val="en-GB" w:eastAsia="en-AU"/>
        </w:rPr>
        <w:t>Weston</w:t>
      </w:r>
      <w:r w:rsidRPr="0037639E">
        <w:rPr>
          <w:rFonts w:eastAsia="Times New Roman"/>
          <w:lang w:val="en-GB" w:eastAsia="en-AU"/>
        </w:rPr>
        <w:t xml:space="preserve">. 1981. Identification of the </w:t>
      </w:r>
      <w:r w:rsidR="00407EAD" w:rsidRPr="0037639E">
        <w:rPr>
          <w:rFonts w:eastAsia="Times New Roman"/>
          <w:lang w:val="en-GB" w:eastAsia="en-AU"/>
        </w:rPr>
        <w:t xml:space="preserve">botanical remains from the stage 2 archaeological investigation </w:t>
      </w:r>
      <w:r w:rsidRPr="0037639E">
        <w:rPr>
          <w:rFonts w:eastAsia="Times New Roman"/>
          <w:lang w:val="en-GB" w:eastAsia="en-AU"/>
        </w:rPr>
        <w:t xml:space="preserve">at </w:t>
      </w:r>
      <w:r w:rsidR="00C57ACC" w:rsidRPr="0037639E">
        <w:rPr>
          <w:rFonts w:eastAsia="Times New Roman"/>
          <w:lang w:val="en-GB" w:eastAsia="en-AU"/>
        </w:rPr>
        <w:t>t</w:t>
      </w:r>
      <w:r w:rsidRPr="0037639E">
        <w:rPr>
          <w:rFonts w:eastAsia="Times New Roman"/>
          <w:lang w:val="en-GB" w:eastAsia="en-AU"/>
        </w:rPr>
        <w:t>he Royal Mint and Hyde Park Barracks. Unpublished report held by Museums of History N</w:t>
      </w:r>
      <w:r w:rsidR="00407EAD" w:rsidRPr="0037639E">
        <w:rPr>
          <w:rFonts w:eastAsia="Times New Roman"/>
          <w:lang w:val="en-GB" w:eastAsia="en-AU"/>
        </w:rPr>
        <w:t xml:space="preserve">ew </w:t>
      </w:r>
      <w:r w:rsidRPr="0037639E">
        <w:rPr>
          <w:rFonts w:eastAsia="Times New Roman"/>
          <w:lang w:val="en-GB" w:eastAsia="en-AU"/>
        </w:rPr>
        <w:t>S</w:t>
      </w:r>
      <w:r w:rsidR="00407EAD" w:rsidRPr="0037639E">
        <w:rPr>
          <w:rFonts w:eastAsia="Times New Roman"/>
          <w:lang w:val="en-GB" w:eastAsia="en-AU"/>
        </w:rPr>
        <w:t xml:space="preserve">outh </w:t>
      </w:r>
      <w:r w:rsidRPr="0037639E">
        <w:rPr>
          <w:rFonts w:eastAsia="Times New Roman"/>
          <w:lang w:val="en-GB" w:eastAsia="en-AU"/>
        </w:rPr>
        <w:t>W</w:t>
      </w:r>
      <w:r w:rsidR="00407EAD" w:rsidRPr="0037639E">
        <w:rPr>
          <w:rFonts w:eastAsia="Times New Roman"/>
          <w:lang w:val="en-GB" w:eastAsia="en-AU"/>
        </w:rPr>
        <w:t>ales</w:t>
      </w:r>
      <w:r w:rsidRPr="0037639E">
        <w:rPr>
          <w:rFonts w:eastAsia="Times New Roman"/>
          <w:lang w:val="en-GB" w:eastAsia="en-AU"/>
        </w:rPr>
        <w:t>.</w:t>
      </w:r>
    </w:p>
    <w:p w14:paraId="4F8388ED" w14:textId="40F8B573" w:rsidR="001525C3" w:rsidRPr="0037639E" w:rsidRDefault="001525C3" w:rsidP="00FA5FD1">
      <w:pPr>
        <w:spacing w:before="0" w:after="0" w:line="360" w:lineRule="auto"/>
        <w:jc w:val="left"/>
        <w:rPr>
          <w:rFonts w:eastAsia="Times New Roman"/>
          <w:lang w:val="en-GB" w:eastAsia="en-AU"/>
        </w:rPr>
      </w:pPr>
      <w:r w:rsidRPr="0037639E">
        <w:rPr>
          <w:rFonts w:eastAsia="Times New Roman"/>
          <w:smallCaps/>
          <w:lang w:val="en-GB" w:eastAsia="en-AU"/>
        </w:rPr>
        <w:t>Bonner</w:t>
      </w:r>
      <w:r w:rsidRPr="0037639E">
        <w:rPr>
          <w:rFonts w:eastAsia="Times New Roman"/>
          <w:lang w:val="en-GB" w:eastAsia="en-AU"/>
        </w:rPr>
        <w:t xml:space="preserve">, F.T. &amp; R.P. </w:t>
      </w:r>
      <w:proofErr w:type="spellStart"/>
      <w:r w:rsidRPr="0037639E">
        <w:rPr>
          <w:rFonts w:eastAsia="Times New Roman"/>
          <w:smallCaps/>
          <w:lang w:val="en-GB" w:eastAsia="en-AU"/>
        </w:rPr>
        <w:t>Karrfalt</w:t>
      </w:r>
      <w:proofErr w:type="spellEnd"/>
      <w:r w:rsidRPr="0037639E">
        <w:rPr>
          <w:rFonts w:eastAsia="Times New Roman"/>
          <w:lang w:val="en-GB" w:eastAsia="en-AU"/>
        </w:rPr>
        <w:t xml:space="preserve">. 2008. </w:t>
      </w:r>
      <w:r w:rsidRPr="0037639E">
        <w:rPr>
          <w:rFonts w:eastAsia="Times New Roman"/>
          <w:i/>
          <w:iCs/>
          <w:lang w:val="en-GB" w:eastAsia="en-AU"/>
        </w:rPr>
        <w:t xml:space="preserve">The </w:t>
      </w:r>
      <w:r w:rsidR="00407EAD" w:rsidRPr="0037639E">
        <w:rPr>
          <w:rFonts w:eastAsia="Times New Roman"/>
          <w:i/>
          <w:iCs/>
          <w:lang w:val="en-GB" w:eastAsia="en-AU"/>
        </w:rPr>
        <w:t>woody plant seed manual</w:t>
      </w:r>
      <w:r w:rsidRPr="0037639E">
        <w:rPr>
          <w:rFonts w:eastAsia="Times New Roman"/>
          <w:lang w:val="en-GB" w:eastAsia="en-AU"/>
        </w:rPr>
        <w:t xml:space="preserve"> </w:t>
      </w:r>
      <w:r w:rsidR="00407EAD" w:rsidRPr="0037639E">
        <w:rPr>
          <w:rFonts w:eastAsia="Times New Roman"/>
          <w:lang w:val="en-GB" w:eastAsia="en-AU"/>
        </w:rPr>
        <w:t>(</w:t>
      </w:r>
      <w:r w:rsidRPr="0037639E">
        <w:rPr>
          <w:rFonts w:eastAsia="Times New Roman"/>
          <w:lang w:val="en-GB" w:eastAsia="en-AU"/>
        </w:rPr>
        <w:t>Agricultural Handbook 727</w:t>
      </w:r>
      <w:r w:rsidR="00407EAD" w:rsidRPr="0037639E">
        <w:rPr>
          <w:rFonts w:eastAsia="Times New Roman"/>
          <w:lang w:val="en-GB" w:eastAsia="en-AU"/>
        </w:rPr>
        <w:t>)</w:t>
      </w:r>
      <w:r w:rsidRPr="0037639E">
        <w:rPr>
          <w:rFonts w:eastAsia="Times New Roman"/>
          <w:lang w:val="en-GB" w:eastAsia="en-AU"/>
        </w:rPr>
        <w:t xml:space="preserve">. </w:t>
      </w:r>
      <w:r w:rsidR="009E5836" w:rsidRPr="0037639E">
        <w:rPr>
          <w:rFonts w:eastAsia="Times New Roman"/>
          <w:lang w:val="en-GB" w:eastAsia="en-AU"/>
        </w:rPr>
        <w:t xml:space="preserve">Washington, D.C.: </w:t>
      </w:r>
      <w:r w:rsidRPr="0037639E">
        <w:rPr>
          <w:rFonts w:eastAsia="Times New Roman"/>
          <w:lang w:val="en-GB" w:eastAsia="en-AU"/>
        </w:rPr>
        <w:t>United States Department of Agriculture.</w:t>
      </w:r>
    </w:p>
    <w:p w14:paraId="0428D0A8" w14:textId="237616A4" w:rsidR="001525C3" w:rsidRPr="0037639E" w:rsidRDefault="001525C3" w:rsidP="00FA5FD1">
      <w:pPr>
        <w:spacing w:before="0" w:after="0" w:line="360" w:lineRule="auto"/>
        <w:jc w:val="left"/>
        <w:rPr>
          <w:lang w:val="en-GB"/>
        </w:rPr>
      </w:pPr>
      <w:r w:rsidRPr="0037639E">
        <w:rPr>
          <w:smallCaps/>
          <w:lang w:val="en-GB"/>
        </w:rPr>
        <w:t>Burritt</w:t>
      </w:r>
      <w:r w:rsidRPr="0037639E">
        <w:rPr>
          <w:lang w:val="en-GB"/>
        </w:rPr>
        <w:t xml:space="preserve">, P.E. 1981. Historical </w:t>
      </w:r>
      <w:r w:rsidR="00A138BC" w:rsidRPr="0037639E">
        <w:rPr>
          <w:lang w:val="en-GB"/>
        </w:rPr>
        <w:t>a</w:t>
      </w:r>
      <w:r w:rsidRPr="0037639E">
        <w:rPr>
          <w:lang w:val="en-GB"/>
        </w:rPr>
        <w:t xml:space="preserve">rchaeology at </w:t>
      </w:r>
      <w:r w:rsidR="00C57ACC" w:rsidRPr="0037639E">
        <w:rPr>
          <w:lang w:val="en-GB"/>
        </w:rPr>
        <w:t>t</w:t>
      </w:r>
      <w:r w:rsidRPr="0037639E">
        <w:rPr>
          <w:lang w:val="en-GB"/>
        </w:rPr>
        <w:t xml:space="preserve">he Royal Mint and Hyde Park Barracks. Unpublished </w:t>
      </w:r>
      <w:r w:rsidR="00A138BC" w:rsidRPr="0037639E">
        <w:rPr>
          <w:lang w:val="en-GB"/>
        </w:rPr>
        <w:t>r</w:t>
      </w:r>
      <w:r w:rsidRPr="0037639E">
        <w:rPr>
          <w:lang w:val="en-GB"/>
        </w:rPr>
        <w:t xml:space="preserve">eport </w:t>
      </w:r>
      <w:r w:rsidR="00A138BC" w:rsidRPr="0037639E">
        <w:rPr>
          <w:lang w:val="en-GB"/>
        </w:rPr>
        <w:t>for</w:t>
      </w:r>
      <w:r w:rsidRPr="0037639E">
        <w:rPr>
          <w:lang w:val="en-GB"/>
        </w:rPr>
        <w:t xml:space="preserve"> the Department of Environment and Planning and the Department of Public Works. http://dx.doi.org/10.4227/11/5045857F7EA38</w:t>
      </w:r>
    </w:p>
    <w:p w14:paraId="2CD9675E" w14:textId="4EE7560C" w:rsidR="001525C3" w:rsidRPr="0037639E" w:rsidRDefault="001525C3" w:rsidP="00FA5FD1">
      <w:pPr>
        <w:spacing w:before="0" w:after="0" w:line="360" w:lineRule="auto"/>
        <w:jc w:val="left"/>
        <w:rPr>
          <w:rFonts w:eastAsia="Times New Roman"/>
          <w:lang w:val="en-GB" w:eastAsia="en-AU"/>
        </w:rPr>
      </w:pPr>
      <w:r w:rsidRPr="0037639E">
        <w:rPr>
          <w:rFonts w:eastAsia="Times New Roman"/>
          <w:smallCaps/>
          <w:lang w:val="en-GB" w:eastAsia="en-AU"/>
        </w:rPr>
        <w:lastRenderedPageBreak/>
        <w:t>Mider</w:t>
      </w:r>
      <w:r w:rsidRPr="0037639E">
        <w:rPr>
          <w:rFonts w:eastAsia="Times New Roman"/>
          <w:lang w:val="en-GB" w:eastAsia="en-AU"/>
        </w:rPr>
        <w:t xml:space="preserve">, D. 1996. Archaeological </w:t>
      </w:r>
      <w:r w:rsidR="008975D6" w:rsidRPr="0037639E">
        <w:rPr>
          <w:rFonts w:eastAsia="Times New Roman"/>
          <w:lang w:val="en-GB" w:eastAsia="en-AU"/>
        </w:rPr>
        <w:t>i</w:t>
      </w:r>
      <w:r w:rsidRPr="0037639E">
        <w:rPr>
          <w:rFonts w:eastAsia="Times New Roman"/>
          <w:lang w:val="en-GB" w:eastAsia="en-AU"/>
        </w:rPr>
        <w:t xml:space="preserve">nvestigations at Hyde Park Barracks, Sydney. Inventory of </w:t>
      </w:r>
      <w:r w:rsidR="008975D6" w:rsidRPr="0037639E">
        <w:rPr>
          <w:rFonts w:eastAsia="Times New Roman"/>
          <w:lang w:val="en-GB" w:eastAsia="en-AU"/>
        </w:rPr>
        <w:t>underfloor deposits volume 1: background, user guide addenda to inventory</w:t>
      </w:r>
      <w:r w:rsidRPr="0037639E">
        <w:rPr>
          <w:rFonts w:eastAsia="Times New Roman"/>
          <w:lang w:val="en-GB" w:eastAsia="en-AU"/>
        </w:rPr>
        <w:t>. Unpublished report held by Museums of History N</w:t>
      </w:r>
      <w:r w:rsidR="008975D6" w:rsidRPr="0037639E">
        <w:rPr>
          <w:rFonts w:eastAsia="Times New Roman"/>
          <w:lang w:val="en-GB" w:eastAsia="en-AU"/>
        </w:rPr>
        <w:t xml:space="preserve">ew </w:t>
      </w:r>
      <w:r w:rsidRPr="0037639E">
        <w:rPr>
          <w:rFonts w:eastAsia="Times New Roman"/>
          <w:lang w:val="en-GB" w:eastAsia="en-AU"/>
        </w:rPr>
        <w:t>S</w:t>
      </w:r>
      <w:r w:rsidR="008975D6" w:rsidRPr="0037639E">
        <w:rPr>
          <w:rFonts w:eastAsia="Times New Roman"/>
          <w:lang w:val="en-GB" w:eastAsia="en-AU"/>
        </w:rPr>
        <w:t xml:space="preserve">outh </w:t>
      </w:r>
      <w:r w:rsidRPr="0037639E">
        <w:rPr>
          <w:rFonts w:eastAsia="Times New Roman"/>
          <w:lang w:val="en-GB" w:eastAsia="en-AU"/>
        </w:rPr>
        <w:t>W</w:t>
      </w:r>
      <w:r w:rsidR="008975D6" w:rsidRPr="0037639E">
        <w:rPr>
          <w:rFonts w:eastAsia="Times New Roman"/>
          <w:lang w:val="en-GB" w:eastAsia="en-AU"/>
        </w:rPr>
        <w:t>ales</w:t>
      </w:r>
      <w:r w:rsidRPr="0037639E">
        <w:rPr>
          <w:rFonts w:eastAsia="Times New Roman"/>
          <w:lang w:val="en-GB" w:eastAsia="en-AU"/>
        </w:rPr>
        <w:t>.</w:t>
      </w:r>
    </w:p>
    <w:p w14:paraId="2B5F4CAE" w14:textId="1E02E08A" w:rsidR="001525C3" w:rsidRPr="00D85FD5" w:rsidRDefault="001525C3" w:rsidP="00FA5FD1">
      <w:pPr>
        <w:spacing w:before="0" w:after="0" w:line="360" w:lineRule="auto"/>
        <w:jc w:val="left"/>
        <w:rPr>
          <w:lang w:val="en-GB"/>
        </w:rPr>
      </w:pPr>
      <w:r w:rsidRPr="00D85FD5">
        <w:rPr>
          <w:smallCaps/>
          <w:lang w:val="en-GB"/>
        </w:rPr>
        <w:t>Neef</w:t>
      </w:r>
      <w:r w:rsidRPr="00D85FD5">
        <w:rPr>
          <w:lang w:val="en-GB"/>
        </w:rPr>
        <w:t xml:space="preserve">, R., R.T.J. </w:t>
      </w:r>
      <w:r w:rsidRPr="00D85FD5">
        <w:rPr>
          <w:smallCaps/>
          <w:lang w:val="en-GB"/>
        </w:rPr>
        <w:t>Cappers</w:t>
      </w:r>
      <w:r w:rsidRPr="00D85FD5">
        <w:rPr>
          <w:lang w:val="en-GB"/>
        </w:rPr>
        <w:t xml:space="preserve"> &amp; R.M. </w:t>
      </w:r>
      <w:r w:rsidRPr="00D85FD5">
        <w:rPr>
          <w:smallCaps/>
          <w:lang w:val="en-GB"/>
        </w:rPr>
        <w:t>Bekker</w:t>
      </w:r>
      <w:r w:rsidRPr="00D85FD5">
        <w:rPr>
          <w:lang w:val="en-GB"/>
        </w:rPr>
        <w:t xml:space="preserve">. 2012. </w:t>
      </w:r>
      <w:r w:rsidRPr="00D85FD5">
        <w:rPr>
          <w:i/>
          <w:iCs/>
          <w:lang w:val="en-GB"/>
        </w:rPr>
        <w:t xml:space="preserve">Digital </w:t>
      </w:r>
      <w:r w:rsidR="008975D6" w:rsidRPr="00D85FD5">
        <w:rPr>
          <w:i/>
          <w:iCs/>
          <w:lang w:val="en-GB"/>
        </w:rPr>
        <w:t>atlas of economic plants in archa</w:t>
      </w:r>
      <w:r w:rsidRPr="00D85FD5">
        <w:rPr>
          <w:i/>
          <w:iCs/>
          <w:lang w:val="en-GB"/>
        </w:rPr>
        <w:t>eology</w:t>
      </w:r>
      <w:r w:rsidRPr="00D85FD5">
        <w:rPr>
          <w:lang w:val="en-GB"/>
        </w:rPr>
        <w:t xml:space="preserve"> (Groningen Archaeological Studies</w:t>
      </w:r>
      <w:r w:rsidR="00820136">
        <w:rPr>
          <w:lang w:val="en-GB"/>
        </w:rPr>
        <w:t xml:space="preserve"> 17</w:t>
      </w:r>
      <w:r w:rsidRPr="00D85FD5">
        <w:rPr>
          <w:lang w:val="en-GB"/>
        </w:rPr>
        <w:t xml:space="preserve">). </w:t>
      </w:r>
      <w:proofErr w:type="spellStart"/>
      <w:r w:rsidRPr="00D85FD5">
        <w:rPr>
          <w:lang w:val="en-GB"/>
        </w:rPr>
        <w:t>Eelde</w:t>
      </w:r>
      <w:proofErr w:type="spellEnd"/>
      <w:r w:rsidRPr="00D85FD5">
        <w:rPr>
          <w:lang w:val="en-GB"/>
        </w:rPr>
        <w:t xml:space="preserve">: </w:t>
      </w:r>
      <w:proofErr w:type="spellStart"/>
      <w:r w:rsidRPr="00D85FD5">
        <w:rPr>
          <w:lang w:val="en-GB"/>
        </w:rPr>
        <w:t>Barkhuis</w:t>
      </w:r>
      <w:proofErr w:type="spellEnd"/>
      <w:r w:rsidRPr="00D85FD5">
        <w:rPr>
          <w:lang w:val="en-GB"/>
        </w:rPr>
        <w:t>.</w:t>
      </w:r>
    </w:p>
    <w:p w14:paraId="020D664A" w14:textId="1BDFF1A7" w:rsidR="001525C3" w:rsidRPr="00D85FD5" w:rsidRDefault="00820136" w:rsidP="00FA5FD1">
      <w:pPr>
        <w:spacing w:before="0" w:after="0" w:line="360" w:lineRule="auto"/>
        <w:jc w:val="left"/>
        <w:rPr>
          <w:lang w:val="en-GB"/>
        </w:rPr>
      </w:pPr>
      <w:r w:rsidRPr="00820136">
        <w:rPr>
          <w:lang w:val="en-GB"/>
        </w:rPr>
        <w:t>South Australian Seed Conservation Centre</w:t>
      </w:r>
      <w:r w:rsidR="001525C3" w:rsidRPr="00D85FD5">
        <w:rPr>
          <w:lang w:val="en-GB"/>
        </w:rPr>
        <w:t xml:space="preserve">. 2018 </w:t>
      </w:r>
      <w:r w:rsidR="001525C3" w:rsidRPr="00D85FD5">
        <w:rPr>
          <w:i/>
          <w:iCs/>
          <w:lang w:val="en-GB"/>
        </w:rPr>
        <w:t xml:space="preserve">Seeds of </w:t>
      </w:r>
      <w:r>
        <w:rPr>
          <w:i/>
          <w:iCs/>
          <w:lang w:val="en-GB"/>
        </w:rPr>
        <w:t>s</w:t>
      </w:r>
      <w:r w:rsidR="001525C3" w:rsidRPr="00D85FD5">
        <w:rPr>
          <w:i/>
          <w:iCs/>
          <w:lang w:val="en-GB"/>
        </w:rPr>
        <w:t>outh Australia</w:t>
      </w:r>
      <w:r w:rsidR="001525C3" w:rsidRPr="00D85FD5">
        <w:rPr>
          <w:lang w:val="en-GB"/>
        </w:rPr>
        <w:t xml:space="preserve">. Available at: </w:t>
      </w:r>
      <w:r w:rsidR="001525C3" w:rsidRPr="00820136">
        <w:rPr>
          <w:lang w:val="en-GB"/>
        </w:rPr>
        <w:t>https://spapps.environment.sa.gov.au/SeedsOfSA/home.html</w:t>
      </w:r>
      <w:r w:rsidR="001525C3" w:rsidRPr="00D85FD5">
        <w:rPr>
          <w:lang w:val="en-GB"/>
        </w:rPr>
        <w:t xml:space="preserve"> (accessed 23 March 2024).</w:t>
      </w:r>
    </w:p>
    <w:p w14:paraId="5719C567" w14:textId="6D97EC34" w:rsidR="001525C3" w:rsidRPr="00D85FD5" w:rsidRDefault="001525C3" w:rsidP="00FA5FD1">
      <w:pPr>
        <w:spacing w:before="0" w:after="0" w:line="360" w:lineRule="auto"/>
        <w:jc w:val="left"/>
        <w:rPr>
          <w:lang w:val="en-GB"/>
        </w:rPr>
      </w:pPr>
      <w:proofErr w:type="spellStart"/>
      <w:r w:rsidRPr="00D85FD5">
        <w:rPr>
          <w:smallCaps/>
          <w:lang w:val="en-GB"/>
        </w:rPr>
        <w:t>Sweedman</w:t>
      </w:r>
      <w:proofErr w:type="spellEnd"/>
      <w:r w:rsidRPr="00D85FD5">
        <w:rPr>
          <w:lang w:val="en-GB"/>
        </w:rPr>
        <w:t xml:space="preserve">, L. &amp; D. </w:t>
      </w:r>
      <w:r w:rsidRPr="00D85FD5">
        <w:rPr>
          <w:smallCaps/>
          <w:lang w:val="en-GB"/>
        </w:rPr>
        <w:t>Merritt</w:t>
      </w:r>
      <w:r w:rsidRPr="00D85FD5">
        <w:rPr>
          <w:lang w:val="en-GB"/>
        </w:rPr>
        <w:t xml:space="preserve">. 2006. </w:t>
      </w:r>
      <w:r w:rsidRPr="00D85FD5">
        <w:rPr>
          <w:i/>
          <w:iCs/>
          <w:lang w:val="en-GB"/>
        </w:rPr>
        <w:t xml:space="preserve">Australian </w:t>
      </w:r>
      <w:r w:rsidR="006F1F4D" w:rsidRPr="00D85FD5">
        <w:rPr>
          <w:i/>
          <w:iCs/>
          <w:lang w:val="en-GB"/>
        </w:rPr>
        <w:t>seeds: a guide to their collection, identification and biology</w:t>
      </w:r>
      <w:r w:rsidRPr="00D85FD5">
        <w:rPr>
          <w:lang w:val="en-GB"/>
        </w:rPr>
        <w:t xml:space="preserve">. Collingwood: </w:t>
      </w:r>
      <w:r w:rsidR="00355351" w:rsidRPr="00355351">
        <w:rPr>
          <w:lang w:val="en-GB"/>
        </w:rPr>
        <w:t>Commonwealth Scientific and Industrial Research Organisation</w:t>
      </w:r>
      <w:r w:rsidRPr="00D85FD5">
        <w:rPr>
          <w:lang w:val="en-GB"/>
        </w:rPr>
        <w:t xml:space="preserve">. </w:t>
      </w:r>
    </w:p>
    <w:p w14:paraId="1F918A65" w14:textId="7ADF8350" w:rsidR="001525C3" w:rsidRPr="00FA5FD1" w:rsidRDefault="001525C3" w:rsidP="00FA5FD1">
      <w:pPr>
        <w:spacing w:before="0" w:afterLines="100" w:after="240" w:line="360" w:lineRule="auto"/>
        <w:jc w:val="left"/>
        <w:rPr>
          <w:rFonts w:eastAsia="Times New Roman"/>
          <w:lang w:val="en-GB" w:eastAsia="en-AU"/>
        </w:rPr>
      </w:pPr>
      <w:proofErr w:type="spellStart"/>
      <w:r w:rsidRPr="00135709">
        <w:rPr>
          <w:rFonts w:eastAsia="Times New Roman"/>
          <w:smallCaps/>
          <w:lang w:val="en-GB" w:eastAsia="en-AU"/>
        </w:rPr>
        <w:t>Woldring</w:t>
      </w:r>
      <w:proofErr w:type="spellEnd"/>
      <w:r w:rsidRPr="00135709">
        <w:rPr>
          <w:rFonts w:eastAsia="Times New Roman"/>
          <w:lang w:val="en-GB" w:eastAsia="en-AU"/>
        </w:rPr>
        <w:t xml:space="preserve">, H. 2011. Traditional </w:t>
      </w:r>
      <w:r w:rsidR="00355351" w:rsidRPr="00135709">
        <w:rPr>
          <w:rFonts w:eastAsia="Times New Roman"/>
          <w:lang w:val="en-GB" w:eastAsia="en-AU"/>
        </w:rPr>
        <w:t xml:space="preserve">plum varieties in the northern </w:t>
      </w:r>
      <w:r w:rsidRPr="00135709">
        <w:rPr>
          <w:rFonts w:eastAsia="Times New Roman"/>
          <w:lang w:val="en-GB" w:eastAsia="en-AU"/>
        </w:rPr>
        <w:t xml:space="preserve">Netherlands: </w:t>
      </w:r>
      <w:r w:rsidR="00355351" w:rsidRPr="00135709">
        <w:rPr>
          <w:rFonts w:eastAsia="Times New Roman"/>
          <w:lang w:val="en-GB" w:eastAsia="en-AU"/>
        </w:rPr>
        <w:t>modern occurrences and archaeological evidence.</w:t>
      </w:r>
      <w:r w:rsidRPr="00135709">
        <w:rPr>
          <w:rFonts w:eastAsia="Times New Roman"/>
          <w:lang w:val="en-GB" w:eastAsia="en-AU"/>
        </w:rPr>
        <w:t xml:space="preserve"> </w:t>
      </w:r>
      <w:proofErr w:type="spellStart"/>
      <w:r w:rsidRPr="00135709">
        <w:rPr>
          <w:rFonts w:eastAsia="Times New Roman"/>
          <w:i/>
          <w:iCs/>
          <w:lang w:val="en-GB" w:eastAsia="en-AU"/>
        </w:rPr>
        <w:t>Palaeohistoria</w:t>
      </w:r>
      <w:proofErr w:type="spellEnd"/>
      <w:r w:rsidRPr="00135709">
        <w:rPr>
          <w:rFonts w:eastAsia="Times New Roman"/>
          <w:lang w:val="en-GB" w:eastAsia="en-AU"/>
        </w:rPr>
        <w:t xml:space="preserve"> 53/54: 393–423.</w:t>
      </w:r>
    </w:p>
    <w:p w14:paraId="62F53105" w14:textId="77777777" w:rsidR="0074398A" w:rsidRDefault="0074398A" w:rsidP="00FA5FD1">
      <w:pPr>
        <w:jc w:val="left"/>
      </w:pPr>
    </w:p>
    <w:sectPr w:rsidR="0074398A" w:rsidSect="00152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C3"/>
    <w:rsid w:val="00055273"/>
    <w:rsid w:val="000725C5"/>
    <w:rsid w:val="000A58FA"/>
    <w:rsid w:val="001525C3"/>
    <w:rsid w:val="00195CF7"/>
    <w:rsid w:val="001C4C74"/>
    <w:rsid w:val="001D4E63"/>
    <w:rsid w:val="001F0E9A"/>
    <w:rsid w:val="0023536E"/>
    <w:rsid w:val="00355351"/>
    <w:rsid w:val="0037639E"/>
    <w:rsid w:val="00392D3E"/>
    <w:rsid w:val="004005C9"/>
    <w:rsid w:val="00407EAD"/>
    <w:rsid w:val="004F5446"/>
    <w:rsid w:val="0061213A"/>
    <w:rsid w:val="006F1F4D"/>
    <w:rsid w:val="0071174A"/>
    <w:rsid w:val="007406A6"/>
    <w:rsid w:val="0074398A"/>
    <w:rsid w:val="0080211A"/>
    <w:rsid w:val="00820136"/>
    <w:rsid w:val="00881291"/>
    <w:rsid w:val="00895D66"/>
    <w:rsid w:val="008975D6"/>
    <w:rsid w:val="009154D1"/>
    <w:rsid w:val="009E3E7A"/>
    <w:rsid w:val="009E5836"/>
    <w:rsid w:val="00A00C20"/>
    <w:rsid w:val="00A138BC"/>
    <w:rsid w:val="00B11F55"/>
    <w:rsid w:val="00B70978"/>
    <w:rsid w:val="00BE2436"/>
    <w:rsid w:val="00C57ACC"/>
    <w:rsid w:val="00DB1CE4"/>
    <w:rsid w:val="00DB5DDC"/>
    <w:rsid w:val="00DE163F"/>
    <w:rsid w:val="00E80162"/>
    <w:rsid w:val="00F41A8F"/>
    <w:rsid w:val="00FA5FD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861F"/>
  <w15:chartTrackingRefBased/>
  <w15:docId w15:val="{C06C932D-F51F-4BFF-8355-2D06A538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C3"/>
    <w:pPr>
      <w:spacing w:before="120" w:after="280" w:line="480" w:lineRule="auto"/>
      <w:jc w:val="both"/>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52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5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5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525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525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25C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25C3"/>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25C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sertationChapterHeading">
    <w:name w:val="Dissertation Chapter Heading"/>
    <w:basedOn w:val="Normal"/>
    <w:next w:val="Normal"/>
    <w:link w:val="DissertationChapterHeadingChar"/>
    <w:qFormat/>
    <w:rsid w:val="00895D66"/>
    <w:pPr>
      <w:jc w:val="center"/>
    </w:pPr>
    <w:rPr>
      <w:sz w:val="44"/>
      <w:szCs w:val="44"/>
      <w:u w:val="single"/>
    </w:rPr>
  </w:style>
  <w:style w:type="character" w:customStyle="1" w:styleId="DissertationChapterHeadingChar">
    <w:name w:val="Dissertation Chapter Heading Char"/>
    <w:basedOn w:val="DefaultParagraphFont"/>
    <w:link w:val="DissertationChapterHeading"/>
    <w:rsid w:val="00895D66"/>
    <w:rPr>
      <w:rFonts w:ascii="Times New Roman" w:hAnsi="Times New Roman" w:cs="Times New Roman"/>
      <w:sz w:val="44"/>
      <w:szCs w:val="44"/>
      <w:u w:val="single"/>
    </w:rPr>
  </w:style>
  <w:style w:type="paragraph" w:customStyle="1" w:styleId="DissertationSectionHeading">
    <w:name w:val="Dissertation Section Heading"/>
    <w:basedOn w:val="Normal"/>
    <w:link w:val="DissertationSectionHeadingChar"/>
    <w:qFormat/>
    <w:rsid w:val="00895D66"/>
    <w:pPr>
      <w:spacing w:line="360" w:lineRule="auto"/>
    </w:pPr>
    <w:rPr>
      <w:b/>
      <w:bCs/>
    </w:rPr>
  </w:style>
  <w:style w:type="character" w:customStyle="1" w:styleId="DissertationSectionHeadingChar">
    <w:name w:val="Dissertation Section Heading Char"/>
    <w:basedOn w:val="DefaultParagraphFont"/>
    <w:link w:val="DissertationSectionHeading"/>
    <w:rsid w:val="00895D66"/>
    <w:rPr>
      <w:rFonts w:ascii="Times New Roman" w:hAnsi="Times New Roman" w:cs="Times New Roman"/>
      <w:b/>
      <w:bCs/>
      <w:sz w:val="24"/>
      <w:szCs w:val="24"/>
    </w:rPr>
  </w:style>
  <w:style w:type="paragraph" w:customStyle="1" w:styleId="SubsectionHeading">
    <w:name w:val="Subsection Heading"/>
    <w:basedOn w:val="Normal"/>
    <w:link w:val="SubsectionHeadingChar"/>
    <w:qFormat/>
    <w:rsid w:val="00895D66"/>
    <w:pPr>
      <w:spacing w:line="360" w:lineRule="auto"/>
    </w:pPr>
    <w:rPr>
      <w:i/>
      <w:iCs/>
    </w:rPr>
  </w:style>
  <w:style w:type="character" w:customStyle="1" w:styleId="SubsectionHeadingChar">
    <w:name w:val="Subsection Heading Char"/>
    <w:basedOn w:val="DefaultParagraphFont"/>
    <w:link w:val="SubsectionHeading"/>
    <w:rsid w:val="00895D66"/>
    <w:rPr>
      <w:rFonts w:ascii="Times New Roman" w:hAnsi="Times New Roman" w:cs="Times New Roman"/>
      <w:i/>
      <w:iCs/>
      <w:sz w:val="24"/>
      <w:szCs w:val="24"/>
    </w:rPr>
  </w:style>
  <w:style w:type="character" w:customStyle="1" w:styleId="Heading1Char">
    <w:name w:val="Heading 1 Char"/>
    <w:basedOn w:val="DefaultParagraphFont"/>
    <w:link w:val="Heading1"/>
    <w:uiPriority w:val="9"/>
    <w:rsid w:val="001525C3"/>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1525C3"/>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1525C3"/>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525C3"/>
    <w:rPr>
      <w:rFonts w:eastAsiaTheme="majorEastAsia" w:cstheme="majorBidi"/>
      <w:i/>
      <w:iCs/>
      <w:color w:val="0F4761"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1525C3"/>
    <w:rPr>
      <w:rFonts w:eastAsiaTheme="majorEastAsia" w:cstheme="majorBidi"/>
      <w:color w:val="0F4761"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1525C3"/>
    <w:rPr>
      <w:rFonts w:eastAsiaTheme="majorEastAsia"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1525C3"/>
    <w:rPr>
      <w:rFonts w:eastAsiaTheme="majorEastAsia"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1525C3"/>
    <w:rPr>
      <w:rFonts w:eastAsiaTheme="majorEastAsia"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1525C3"/>
    <w:rPr>
      <w:rFonts w:eastAsiaTheme="majorEastAsia"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1525C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5C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525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5C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525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5C3"/>
    <w:rPr>
      <w:rFonts w:ascii="Times New Roman" w:hAnsi="Times New Roman" w:cs="Times New Roman"/>
      <w:i/>
      <w:iCs/>
      <w:color w:val="404040" w:themeColor="text1" w:themeTint="BF"/>
      <w:kern w:val="0"/>
      <w:sz w:val="24"/>
      <w:szCs w:val="24"/>
      <w14:ligatures w14:val="none"/>
    </w:rPr>
  </w:style>
  <w:style w:type="paragraph" w:styleId="ListParagraph">
    <w:name w:val="List Paragraph"/>
    <w:basedOn w:val="Normal"/>
    <w:uiPriority w:val="34"/>
    <w:qFormat/>
    <w:rsid w:val="001525C3"/>
    <w:pPr>
      <w:ind w:left="720"/>
      <w:contextualSpacing/>
    </w:pPr>
  </w:style>
  <w:style w:type="character" w:styleId="IntenseEmphasis">
    <w:name w:val="Intense Emphasis"/>
    <w:basedOn w:val="DefaultParagraphFont"/>
    <w:uiPriority w:val="21"/>
    <w:qFormat/>
    <w:rsid w:val="001525C3"/>
    <w:rPr>
      <w:i/>
      <w:iCs/>
      <w:color w:val="0F4761" w:themeColor="accent1" w:themeShade="BF"/>
    </w:rPr>
  </w:style>
  <w:style w:type="paragraph" w:styleId="IntenseQuote">
    <w:name w:val="Intense Quote"/>
    <w:basedOn w:val="Normal"/>
    <w:next w:val="Normal"/>
    <w:link w:val="IntenseQuoteChar"/>
    <w:uiPriority w:val="30"/>
    <w:qFormat/>
    <w:rsid w:val="00152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5C3"/>
    <w:rPr>
      <w:rFonts w:ascii="Times New Roman" w:hAnsi="Times New Roman" w:cs="Times New Roman"/>
      <w:i/>
      <w:iCs/>
      <w:color w:val="0F4761" w:themeColor="accent1" w:themeShade="BF"/>
      <w:kern w:val="0"/>
      <w:sz w:val="24"/>
      <w:szCs w:val="24"/>
      <w14:ligatures w14:val="none"/>
    </w:rPr>
  </w:style>
  <w:style w:type="character" w:styleId="IntenseReference">
    <w:name w:val="Intense Reference"/>
    <w:basedOn w:val="DefaultParagraphFont"/>
    <w:uiPriority w:val="32"/>
    <w:qFormat/>
    <w:rsid w:val="001525C3"/>
    <w:rPr>
      <w:b/>
      <w:bCs/>
      <w:smallCaps/>
      <w:color w:val="0F4761" w:themeColor="accent1" w:themeShade="BF"/>
      <w:spacing w:val="5"/>
    </w:rPr>
  </w:style>
  <w:style w:type="character" w:styleId="Hyperlink">
    <w:name w:val="Hyperlink"/>
    <w:basedOn w:val="DefaultParagraphFont"/>
    <w:uiPriority w:val="99"/>
    <w:unhideWhenUsed/>
    <w:rsid w:val="001525C3"/>
    <w:rPr>
      <w:color w:val="467886" w:themeColor="hyperlink"/>
      <w:u w:val="single"/>
    </w:rPr>
  </w:style>
  <w:style w:type="table" w:customStyle="1" w:styleId="TableGrid1">
    <w:name w:val="Table Grid1"/>
    <w:basedOn w:val="TableNormal"/>
    <w:next w:val="TableGrid"/>
    <w:uiPriority w:val="39"/>
    <w:rsid w:val="004005C9"/>
    <w:pPr>
      <w:spacing w:after="0" w:line="240" w:lineRule="auto"/>
    </w:pPr>
    <w:rPr>
      <w:rFonts w:eastAsia="Times New Roman" w:cs="Times New Roman"/>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2D3E"/>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iority xmlns="da70c3ce-dc9a-4ee3-aecc-93f224539e5c" xsi:nil="true"/>
    <Prioritynumber xmlns="da70c3ce-dc9a-4ee3-aecc-93f224539e5c" xsi:nil="true"/>
    <Readyforproduction xmlns="da70c3ce-dc9a-4ee3-aecc-93f224539e5c">false</Readyforproduction>
    <NameofEditor0 xmlns="da70c3ce-dc9a-4ee3-aecc-93f224539e5c" xsi:nil="true"/>
    <Dateuploaded xmlns="da70c3ce-dc9a-4ee3-aecc-93f224539e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1C8D92B6DDF049A548D48126A7763F" ma:contentTypeVersion="16" ma:contentTypeDescription="Create a new document." ma:contentTypeScope="" ma:versionID="4d7d0adf79065ef05f5e78b0485f1685">
  <xsd:schema xmlns:xsd="http://www.w3.org/2001/XMLSchema" xmlns:xs="http://www.w3.org/2001/XMLSchema" xmlns:p="http://schemas.microsoft.com/office/2006/metadata/properties" xmlns:ns2="da70c3ce-dc9a-4ee3-aecc-93f224539e5c" xmlns:ns3="d2eba423-b50c-447e-9023-c6afef29b892" targetNamespace="http://schemas.microsoft.com/office/2006/metadata/properties" ma:root="true" ma:fieldsID="dfbe40b6f74f3bc5c07086d4396bf126" ns2:_="" ns3:_="">
    <xsd:import namespace="da70c3ce-dc9a-4ee3-aecc-93f224539e5c"/>
    <xsd:import namespace="d2eba423-b50c-447e-9023-c6afef29b8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NameofEditor0" minOccurs="0"/>
                <xsd:element ref="ns2:Readyforproduction" minOccurs="0"/>
                <xsd:element ref="ns3:SharedWithUsers" minOccurs="0"/>
                <xsd:element ref="ns3:SharedWithDetails" minOccurs="0"/>
                <xsd:element ref="ns2:Priority" minOccurs="0"/>
                <xsd:element ref="ns2:Prioritynumber" minOccurs="0"/>
                <xsd:element ref="ns2:Date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c3ce-dc9a-4ee3-aecc-93f224539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ameofEditor0" ma:index="12" nillable="true" ma:displayName="Name of Editor" ma:format="RadioButtons" ma:internalName="NameofEditor0">
      <xsd:simpleType>
        <xsd:restriction base="dms:Choice">
          <xsd:enumeration value="Robin"/>
          <xsd:enumeration value="Rob"/>
        </xsd:restriction>
      </xsd:simpleType>
    </xsd:element>
    <xsd:element name="Readyforproduction" ma:index="13" nillable="true" ma:displayName="Ready for production" ma:default="0" ma:description="Select 'Yes' when editing is finished." ma:format="Dropdown" ma:internalName="Readyforproduction">
      <xsd:simpleType>
        <xsd:restriction base="dms:Boolean"/>
      </xsd:simpleType>
    </xsd:element>
    <xsd:element name="Priority" ma:index="16" nillable="true" ma:displayName="Priority" ma:format="Dropdown" ma:internalName="Priority" ma:percentage="FALSE">
      <xsd:simpleType>
        <xsd:restriction base="dms:Number"/>
      </xsd:simpleType>
    </xsd:element>
    <xsd:element name="Prioritynumber" ma:index="17" nillable="true" ma:displayName="Priority  " ma:format="RadioButtons" ma:internalName="Prioritynumber">
      <xsd:simpleType>
        <xsd:union memberTypes="dms:Text">
          <xsd:simpleType>
            <xsd:restriction base="dms:Choice">
              <xsd:enumeration value="High"/>
              <xsd:enumeration value="Medium"/>
              <xsd:enumeration value="Low"/>
            </xsd:restriction>
          </xsd:simpleType>
        </xsd:union>
      </xsd:simpleType>
    </xsd:element>
    <xsd:element name="Dateuploaded" ma:index="18" nillable="true" ma:displayName="Date uploaded" ma:format="DateOnly" ma:internalName="Dateuploa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eba423-b50c-447e-9023-c6afef29b8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A1AAC-975A-4768-AB4C-2AC2144612AA}">
  <ds:schemaRefs>
    <ds:schemaRef ds:uri="http://schemas.microsoft.com/office/2006/metadata/properties"/>
    <ds:schemaRef ds:uri="http://schemas.microsoft.com/office/infopath/2007/PartnerControls"/>
    <ds:schemaRef ds:uri="da70c3ce-dc9a-4ee3-aecc-93f224539e5c"/>
  </ds:schemaRefs>
</ds:datastoreItem>
</file>

<file path=customXml/itemProps2.xml><?xml version="1.0" encoding="utf-8"?>
<ds:datastoreItem xmlns:ds="http://schemas.openxmlformats.org/officeDocument/2006/customXml" ds:itemID="{6EDD6EA1-4285-4432-9CED-C8866959B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c3ce-dc9a-4ee3-aecc-93f224539e5c"/>
    <ds:schemaRef ds:uri="d2eba423-b50c-447e-9023-c6afef29b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1B75A-68B2-4E2C-96D0-5A9297826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Connor</dc:creator>
  <cp:keywords/>
  <dc:description/>
  <cp:lastModifiedBy>gpsg24</cp:lastModifiedBy>
  <cp:revision>3</cp:revision>
  <cp:lastPrinted>2024-10-18T15:16:00Z</cp:lastPrinted>
  <dcterms:created xsi:type="dcterms:W3CDTF">2024-11-15T10:40:00Z</dcterms:created>
  <dcterms:modified xsi:type="dcterms:W3CDTF">2024-11-15T10:40:00Z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0x010100791C8D92B6DDF049A548D48126A7763F</vt:lpwstr>
  </property>
</Properties>
</file>