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7734"/>
      </w:tblGrid>
      <w:tr w:rsidR="0074223A" w:rsidRPr="0074223A" w14:paraId="7C8FB2F7" w14:textId="77777777" w:rsidTr="00090889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14994E07" w14:textId="77777777" w:rsidR="0074223A" w:rsidRPr="0074223A" w:rsidRDefault="0074223A" w:rsidP="0074223A">
            <w:pPr>
              <w:jc w:val="center"/>
              <w:rPr>
                <w:rFonts w:asciiTheme="majorBidi" w:eastAsia="Times New Roman" w:hAnsiTheme="majorBidi"/>
                <w:kern w:val="2"/>
                <w:sz w:val="28"/>
                <w:szCs w:val="28"/>
                <w:lang w:val="en-GB" w:eastAsia="en-GB"/>
              </w:rPr>
            </w:pPr>
            <w:r w:rsidRPr="0074223A">
              <w:rPr>
                <w:rFonts w:eastAsia="Times New Roman"/>
                <w:noProof/>
                <w:kern w:val="2"/>
                <w:sz w:val="22"/>
                <w:szCs w:val="22"/>
                <w:lang w:val="en-GB" w:eastAsia="en-GB"/>
              </w:rPr>
              <w:drawing>
                <wp:inline distT="0" distB="0" distL="0" distR="0" wp14:anchorId="2FD1BA72" wp14:editId="1BEA860D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5853283A" w14:textId="77777777" w:rsidR="0074223A" w:rsidRPr="0074223A" w:rsidRDefault="0074223A" w:rsidP="0074223A">
            <w:pPr>
              <w:spacing w:line="360" w:lineRule="auto"/>
              <w:jc w:val="both"/>
              <w:rPr>
                <w:rFonts w:eastAsia="Times New Roman"/>
                <w:kern w:val="2"/>
                <w:lang w:val="en-GB" w:eastAsia="en-GB"/>
              </w:rPr>
            </w:pPr>
            <w:r w:rsidRPr="0074223A">
              <w:rPr>
                <w:rFonts w:eastAsia="Times New Roman"/>
                <w:kern w:val="2"/>
                <w:lang w:val="en-GB" w:eastAsia="en-GB"/>
              </w:rPr>
              <w:t xml:space="preserve">Supplementary material for </w:t>
            </w:r>
          </w:p>
          <w:p w14:paraId="093B1011" w14:textId="75EC3B1E" w:rsidR="0074223A" w:rsidRPr="0074223A" w:rsidRDefault="00414A5B" w:rsidP="00C47AC4">
            <w:pPr>
              <w:spacing w:line="360" w:lineRule="auto"/>
              <w:rPr>
                <w:rFonts w:eastAsia="Times New Roman"/>
                <w:kern w:val="2"/>
                <w:lang w:val="en-GB" w:eastAsia="en-GB"/>
              </w:rPr>
            </w:pPr>
            <w:r>
              <w:rPr>
                <w:rFonts w:eastAsia="Times New Roman"/>
                <w:smallCaps/>
                <w:kern w:val="2"/>
                <w:lang w:val="en-GB" w:eastAsia="en-GB"/>
              </w:rPr>
              <w:t>Hunter, R.A</w:t>
            </w:r>
            <w:r w:rsidR="0074223A" w:rsidRPr="0074223A">
              <w:rPr>
                <w:rFonts w:eastAsia="Times New Roman"/>
                <w:kern w:val="2"/>
                <w:lang w:val="en-GB" w:eastAsia="en-GB"/>
              </w:rPr>
              <w:t>. 2025.</w:t>
            </w:r>
            <w:r w:rsidR="0074223A" w:rsidRPr="0074223A">
              <w:rPr>
                <w:rFonts w:eastAsia="Times New Roman"/>
                <w:b/>
                <w:bCs/>
                <w:kern w:val="2"/>
                <w:lang w:val="en-GB" w:eastAsia="en-GB"/>
              </w:rPr>
              <w:t xml:space="preserve"> </w:t>
            </w:r>
            <w:r w:rsidRPr="00025C09">
              <w:rPr>
                <w:rFonts w:eastAsia="Arial"/>
                <w:b/>
                <w:bCs/>
                <w:lang w:val="en-GB"/>
              </w:rPr>
              <w:t xml:space="preserve">The </w:t>
            </w:r>
            <w:r w:rsidRPr="00025C09">
              <w:rPr>
                <w:rFonts w:eastAsia="Arial"/>
                <w:b/>
                <w:bCs/>
              </w:rPr>
              <w:t>structural tr</w:t>
            </w:r>
            <w:proofErr w:type="spellStart"/>
            <w:r w:rsidRPr="00025C09">
              <w:rPr>
                <w:rFonts w:eastAsia="Arial"/>
                <w:b/>
                <w:bCs/>
                <w:lang w:val="en-GB"/>
              </w:rPr>
              <w:t>ansformation</w:t>
            </w:r>
            <w:proofErr w:type="spellEnd"/>
            <w:r w:rsidRPr="00025C09">
              <w:rPr>
                <w:rFonts w:eastAsia="Arial"/>
                <w:b/>
                <w:bCs/>
                <w:lang w:val="en-GB"/>
              </w:rPr>
              <w:t xml:space="preserve"> of </w:t>
            </w:r>
            <w:proofErr w:type="spellStart"/>
            <w:r w:rsidRPr="00025C09">
              <w:rPr>
                <w:rFonts w:eastAsia="Arial"/>
                <w:b/>
                <w:bCs/>
                <w:lang w:val="en-GB"/>
              </w:rPr>
              <w:t>Ollantaytambo’s</w:t>
            </w:r>
            <w:proofErr w:type="spellEnd"/>
            <w:r w:rsidRPr="00025C09">
              <w:rPr>
                <w:rFonts w:eastAsia="Arial"/>
                <w:b/>
                <w:bCs/>
                <w:lang w:val="en-GB"/>
              </w:rPr>
              <w:t xml:space="preserve"> Inka </w:t>
            </w:r>
            <w:r w:rsidRPr="00025C09">
              <w:rPr>
                <w:rFonts w:eastAsia="Arial"/>
                <w:b/>
                <w:bCs/>
              </w:rPr>
              <w:t xml:space="preserve">ecology under </w:t>
            </w:r>
            <w:r w:rsidRPr="00025C09">
              <w:rPr>
                <w:rFonts w:eastAsia="Arial"/>
                <w:b/>
                <w:bCs/>
                <w:lang w:val="en-GB"/>
              </w:rPr>
              <w:t xml:space="preserve">Spanish </w:t>
            </w:r>
            <w:r>
              <w:rPr>
                <w:rFonts w:eastAsia="Arial"/>
                <w:b/>
                <w:bCs/>
              </w:rPr>
              <w:t>r</w:t>
            </w:r>
            <w:r w:rsidRPr="00025C09">
              <w:rPr>
                <w:rFonts w:eastAsia="Arial"/>
                <w:b/>
                <w:bCs/>
                <w:lang w:val="en-GB"/>
              </w:rPr>
              <w:t>ule</w:t>
            </w:r>
            <w:r w:rsidR="0074223A" w:rsidRPr="0074223A">
              <w:rPr>
                <w:rFonts w:eastAsia="Times New Roman"/>
                <w:b/>
                <w:bCs/>
                <w:kern w:val="2"/>
                <w:lang w:val="en-GB" w:eastAsia="en-GB"/>
              </w:rPr>
              <w:t xml:space="preserve">. </w:t>
            </w:r>
            <w:r w:rsidR="0074223A" w:rsidRPr="0074223A">
              <w:rPr>
                <w:rFonts w:eastAsia="Times New Roman"/>
                <w:i/>
                <w:iCs/>
                <w:kern w:val="2"/>
                <w:lang w:val="en-GB" w:eastAsia="en-GB"/>
              </w:rPr>
              <w:t>Antiquity</w:t>
            </w:r>
            <w:r w:rsidR="0074223A" w:rsidRPr="0074223A">
              <w:rPr>
                <w:rFonts w:eastAsia="Times New Roman"/>
                <w:kern w:val="2"/>
                <w:lang w:val="en-GB" w:eastAsia="en-GB"/>
              </w:rPr>
              <w:t xml:space="preserve"> 99.</w:t>
            </w:r>
          </w:p>
          <w:p w14:paraId="39E40B3B" w14:textId="491EAF36" w:rsidR="0074223A" w:rsidRPr="0074223A" w:rsidRDefault="0074223A" w:rsidP="00C47AC4">
            <w:pPr>
              <w:spacing w:line="360" w:lineRule="auto"/>
              <w:rPr>
                <w:rFonts w:eastAsia="Times New Roman"/>
                <w:b/>
                <w:bCs/>
                <w:kern w:val="2"/>
                <w:sz w:val="22"/>
                <w:szCs w:val="22"/>
                <w:lang w:val="en-GB" w:eastAsia="en-GB"/>
              </w:rPr>
            </w:pPr>
            <w:r w:rsidRPr="0074223A">
              <w:rPr>
                <w:rFonts w:eastAsia="Times New Roman"/>
                <w:lang w:val="en-GB" w:eastAsia="en-GB"/>
              </w:rPr>
              <w:t xml:space="preserve">Author for correspondence </w:t>
            </w:r>
            <w:r w:rsidRPr="0074223A">
              <w:rPr>
                <w:rFonts w:ascii="Segoe UI Symbol" w:eastAsia="Arial Unicode MS" w:hAnsi="Segoe UI Symbol" w:cs="Segoe UI Symbol"/>
                <w:color w:val="000000"/>
                <w:bdr w:val="nil"/>
                <w:lang w:val="en-GB" w:eastAsia="en-GB"/>
              </w:rPr>
              <w:t>✉</w:t>
            </w:r>
            <w:r w:rsidRPr="0074223A">
              <w:rPr>
                <w:rFonts w:eastAsia="Arial Unicode MS"/>
                <w:color w:val="000000"/>
                <w:bdr w:val="nil"/>
                <w:lang w:val="en-GB" w:eastAsia="en-GB"/>
              </w:rPr>
              <w:t xml:space="preserve"> </w:t>
            </w:r>
            <w:r w:rsidR="00C47AC4">
              <w:rPr>
                <w:rFonts w:eastAsia="Arial Unicode MS"/>
                <w:color w:val="000000"/>
                <w:bdr w:val="nil"/>
                <w:lang w:eastAsia="en-GB"/>
              </w:rPr>
              <w:t>r</w:t>
            </w:r>
            <w:r w:rsidR="001967AB" w:rsidRPr="0056306D">
              <w:rPr>
                <w:rFonts w:eastAsia="Times New Roman"/>
                <w:lang w:eastAsia="zh-CN"/>
              </w:rPr>
              <w:t>aymond_hunter@brown.edu</w:t>
            </w:r>
          </w:p>
        </w:tc>
      </w:tr>
    </w:tbl>
    <w:p w14:paraId="3ABA8E75" w14:textId="77777777" w:rsidR="0074223A" w:rsidRDefault="0074223A" w:rsidP="00142737">
      <w:pPr>
        <w:rPr>
          <w:b/>
          <w:bCs/>
          <w:lang w:val="en-GB"/>
        </w:rPr>
      </w:pPr>
    </w:p>
    <w:p w14:paraId="1E924B34" w14:textId="42B3A991" w:rsidR="00142737" w:rsidRDefault="00142737" w:rsidP="00142737">
      <w:pPr>
        <w:rPr>
          <w:b/>
          <w:bCs/>
          <w:lang w:val="en-GB"/>
        </w:rPr>
      </w:pPr>
    </w:p>
    <w:p w14:paraId="6D5BCFF2" w14:textId="77777777" w:rsidR="00142737" w:rsidRDefault="00142737" w:rsidP="00142737">
      <w:pPr>
        <w:rPr>
          <w:b/>
          <w:bCs/>
          <w:lang w:val="en-GB"/>
        </w:rPr>
      </w:pPr>
    </w:p>
    <w:p w14:paraId="764570BF" w14:textId="77777777" w:rsidR="00142737" w:rsidRDefault="00142737" w:rsidP="00142737">
      <w:pPr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OxCal</w:t>
      </w:r>
      <w:proofErr w:type="spellEnd"/>
      <w:r>
        <w:rPr>
          <w:u w:val="single"/>
          <w:lang w:val="en-GB"/>
        </w:rPr>
        <w:t xml:space="preserve"> Radiocarbon Code </w:t>
      </w:r>
    </w:p>
    <w:p w14:paraId="610336B6" w14:textId="77777777" w:rsidR="00142737" w:rsidRDefault="00142737" w:rsidP="00142737">
      <w:pPr>
        <w:rPr>
          <w:u w:val="single"/>
          <w:lang w:val="en-GB"/>
        </w:rPr>
      </w:pPr>
    </w:p>
    <w:p w14:paraId="5356D08A" w14:textId="77777777" w:rsidR="00142737" w:rsidRDefault="00142737" w:rsidP="00142737">
      <w:pPr>
        <w:rPr>
          <w:lang w:val="en-GB"/>
        </w:rPr>
      </w:pPr>
      <w:r>
        <w:rPr>
          <w:lang w:val="en-GB"/>
        </w:rPr>
        <w:t xml:space="preserve">Highlighted portion is from Lane and Marsh (2023) </w:t>
      </w:r>
    </w:p>
    <w:p w14:paraId="448B119A" w14:textId="77777777" w:rsidR="00142737" w:rsidRDefault="00142737" w:rsidP="00142737">
      <w:pPr>
        <w:rPr>
          <w:lang w:val="en-GB"/>
        </w:rPr>
      </w:pPr>
    </w:p>
    <w:p w14:paraId="262F2820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>Sequence()</w:t>
      </w:r>
    </w:p>
    <w:p w14:paraId="7A230BAB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{</w:t>
      </w:r>
    </w:p>
    <w:p w14:paraId="2D839A3B" w14:textId="77777777" w:rsidR="00142737" w:rsidRPr="00876510" w:rsidRDefault="00142737" w:rsidP="00142737">
      <w:pPr>
        <w:rPr>
          <w:color w:val="000000" w:themeColor="text1"/>
          <w:highlight w:val="yellow"/>
          <w:lang w:val="en-GB"/>
        </w:rPr>
      </w:pPr>
      <w:r w:rsidRPr="00876510">
        <w:rPr>
          <w:lang w:val="en-GB"/>
        </w:rPr>
        <w:t xml:space="preserve">  </w:t>
      </w:r>
      <w:r w:rsidRPr="00876510">
        <w:rPr>
          <w:color w:val="000000" w:themeColor="text1"/>
          <w:highlight w:val="yellow"/>
          <w:lang w:val="en-GB"/>
        </w:rPr>
        <w:t>Curve("IntCal20","IntCal20.14c");</w:t>
      </w:r>
    </w:p>
    <w:p w14:paraId="2CC08DB2" w14:textId="77777777" w:rsidR="00142737" w:rsidRPr="00876510" w:rsidRDefault="00142737" w:rsidP="00142737">
      <w:pPr>
        <w:rPr>
          <w:color w:val="000000" w:themeColor="text1"/>
          <w:highlight w:val="yellow"/>
          <w:lang w:val="en-GB"/>
        </w:rPr>
      </w:pPr>
      <w:r w:rsidRPr="00876510">
        <w:rPr>
          <w:color w:val="000000" w:themeColor="text1"/>
          <w:highlight w:val="yellow"/>
          <w:lang w:val="en-GB"/>
        </w:rPr>
        <w:t xml:space="preserve">  Curve("SHCal20","SHCal20.14c");</w:t>
      </w:r>
    </w:p>
    <w:p w14:paraId="7208AB58" w14:textId="77777777" w:rsidR="00142737" w:rsidRPr="00876510" w:rsidRDefault="00142737" w:rsidP="00142737">
      <w:pPr>
        <w:rPr>
          <w:color w:val="000000" w:themeColor="text1"/>
          <w:lang w:val="en-GB"/>
        </w:rPr>
      </w:pPr>
      <w:r w:rsidRPr="00876510">
        <w:rPr>
          <w:color w:val="000000" w:themeColor="text1"/>
          <w:highlight w:val="yellow"/>
          <w:lang w:val="en-GB"/>
        </w:rPr>
        <w:t xml:space="preserve">  </w:t>
      </w:r>
      <w:proofErr w:type="spellStart"/>
      <w:r w:rsidRPr="00876510">
        <w:rPr>
          <w:color w:val="000000" w:themeColor="text1"/>
          <w:highlight w:val="yellow"/>
          <w:lang w:val="en-GB"/>
        </w:rPr>
        <w:t>Mix_Curves</w:t>
      </w:r>
      <w:proofErr w:type="spellEnd"/>
      <w:r w:rsidRPr="00876510">
        <w:rPr>
          <w:color w:val="000000" w:themeColor="text1"/>
          <w:highlight w:val="yellow"/>
          <w:lang w:val="en-GB"/>
        </w:rPr>
        <w:t>("Machu Picchu mix","SHCal20","IntCal20",P(-1,101,[0,3,3,3,3,3,3,3,3,3,3,6,6,6,6,6,6,6,6,6,6,8,8,8,8,8,8,8,8,8,8,7,7,7,7,7,7,7,7,7,7,7,7,7,7,7,7,7,7,7,7,12,12,12,12,12,12,12,12,12,12,11,11,11,11,11,11,11,11,11,11,9,9,9,9,9,9,9,9,9,9,7,7,7,7,7,7,7,7,7,7,1,1,1,1,1,1,1,1,1,1,0]));</w:t>
      </w:r>
    </w:p>
    <w:p w14:paraId="51A24C53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After("Colonial",1532);</w:t>
      </w:r>
    </w:p>
    <w:p w14:paraId="5A56E1A5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Boundary("S");</w:t>
      </w:r>
    </w:p>
    <w:p w14:paraId="521B5A72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Sequence ()</w:t>
      </w:r>
    </w:p>
    <w:p w14:paraId="7E69A9A4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{</w:t>
      </w:r>
    </w:p>
    <w:p w14:paraId="369DFDCD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 Phase()</w:t>
      </w:r>
    </w:p>
    <w:p w14:paraId="661E79D0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 {</w:t>
      </w:r>
    </w:p>
    <w:p w14:paraId="3A340052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  </w:t>
      </w:r>
      <w:proofErr w:type="spellStart"/>
      <w:r w:rsidRPr="00876510">
        <w:rPr>
          <w:lang w:val="en-GB"/>
        </w:rPr>
        <w:t>R_Date</w:t>
      </w:r>
      <w:proofErr w:type="spellEnd"/>
      <w:r w:rsidRPr="00876510">
        <w:rPr>
          <w:lang w:val="en-GB"/>
        </w:rPr>
        <w:t>("D-AMS 040194",405,33);</w:t>
      </w:r>
    </w:p>
    <w:p w14:paraId="77FD28DF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  </w:t>
      </w:r>
      <w:proofErr w:type="spellStart"/>
      <w:r w:rsidRPr="00876510">
        <w:rPr>
          <w:lang w:val="en-GB"/>
        </w:rPr>
        <w:t>R_Date</w:t>
      </w:r>
      <w:proofErr w:type="spellEnd"/>
      <w:r w:rsidRPr="00876510">
        <w:rPr>
          <w:lang w:val="en-GB"/>
        </w:rPr>
        <w:t>("D-AMS 038322",431,32);</w:t>
      </w:r>
    </w:p>
    <w:p w14:paraId="4615E01B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 };</w:t>
      </w:r>
    </w:p>
    <w:p w14:paraId="504357A1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 };</w:t>
      </w:r>
    </w:p>
    <w:p w14:paraId="4285A3F0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};</w:t>
      </w:r>
    </w:p>
    <w:p w14:paraId="1BEF0FF9" w14:textId="77777777" w:rsidR="00142737" w:rsidRPr="00876510" w:rsidRDefault="00142737" w:rsidP="00142737">
      <w:pPr>
        <w:rPr>
          <w:lang w:val="en-GB"/>
        </w:rPr>
      </w:pPr>
      <w:r w:rsidRPr="00876510">
        <w:rPr>
          <w:lang w:val="en-GB"/>
        </w:rPr>
        <w:t xml:space="preserve"> Boundary("E");</w:t>
      </w:r>
    </w:p>
    <w:p w14:paraId="26988007" w14:textId="77777777" w:rsidR="00C56CE8" w:rsidRDefault="00C56CE8"/>
    <w:p w14:paraId="56130965" w14:textId="77777777" w:rsidR="00C97464" w:rsidRDefault="00C97464"/>
    <w:p w14:paraId="784A4D8C" w14:textId="77777777" w:rsidR="00C97464" w:rsidRDefault="00C97464"/>
    <w:p w14:paraId="79E29BC6" w14:textId="1DA73543" w:rsidR="00C97464" w:rsidRPr="00C97464" w:rsidRDefault="00C97464" w:rsidP="00C97464">
      <w:pPr>
        <w:spacing w:line="360" w:lineRule="auto"/>
        <w:rPr>
          <w:lang w:val="en-GB"/>
        </w:rPr>
      </w:pPr>
      <w:r w:rsidRPr="00C97464">
        <w:rPr>
          <w:smallCaps/>
          <w:lang w:val="en-GB"/>
        </w:rPr>
        <w:t>Lane, K</w:t>
      </w:r>
      <w:r>
        <w:rPr>
          <w:smallCaps/>
          <w:lang w:val="en-GB"/>
        </w:rPr>
        <w:t>. &amp;</w:t>
      </w:r>
      <w:r w:rsidRPr="00C97464">
        <w:rPr>
          <w:smallCaps/>
          <w:lang w:val="en-GB"/>
        </w:rPr>
        <w:t xml:space="preserve"> E</w:t>
      </w:r>
      <w:r>
        <w:rPr>
          <w:smallCaps/>
          <w:lang w:val="en-GB"/>
        </w:rPr>
        <w:t>.</w:t>
      </w:r>
      <w:r w:rsidRPr="00C97464">
        <w:rPr>
          <w:smallCaps/>
          <w:lang w:val="en-GB"/>
        </w:rPr>
        <w:t>J. Marsh.</w:t>
      </w:r>
      <w:r w:rsidRPr="00C97464">
        <w:rPr>
          <w:lang w:val="en-GB"/>
        </w:rPr>
        <w:t xml:space="preserve"> 2023. Absolute chronology revisited: integrating precise Bayesian </w:t>
      </w:r>
      <w:r>
        <w:rPr>
          <w:lang w:val="en-GB"/>
        </w:rPr>
        <w:t>m</w:t>
      </w:r>
      <w:r w:rsidRPr="00C97464">
        <w:rPr>
          <w:lang w:val="en-GB"/>
        </w:rPr>
        <w:t xml:space="preserve">odels from Machu Picchu with Inca ethnohistoric praise narratives. </w:t>
      </w:r>
      <w:r w:rsidRPr="00C97464">
        <w:rPr>
          <w:i/>
          <w:iCs/>
          <w:lang w:val="en-GB"/>
        </w:rPr>
        <w:t>Quaternary International</w:t>
      </w:r>
      <w:r>
        <w:rPr>
          <w:lang w:val="en-GB"/>
        </w:rPr>
        <w:t xml:space="preserve"> </w:t>
      </w:r>
      <w:r w:rsidR="00313E0E">
        <w:rPr>
          <w:lang w:val="en-GB"/>
        </w:rPr>
        <w:t>corrected proof</w:t>
      </w:r>
      <w:r w:rsidRPr="00C97464">
        <w:rPr>
          <w:lang w:val="en-GB"/>
        </w:rPr>
        <w:t>. https://doi.org/10.1016/j.quaint.2023.11.006</w:t>
      </w:r>
    </w:p>
    <w:p w14:paraId="3DDC6965" w14:textId="77777777" w:rsidR="00C97464" w:rsidRDefault="00C97464"/>
    <w:sectPr w:rsidR="00C97464" w:rsidSect="0014273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8A9A" w14:textId="77777777" w:rsidR="004D0490" w:rsidRDefault="004D0490">
      <w:r>
        <w:separator/>
      </w:r>
    </w:p>
  </w:endnote>
  <w:endnote w:type="continuationSeparator" w:id="0">
    <w:p w14:paraId="2C0255CA" w14:textId="77777777" w:rsidR="004D0490" w:rsidRDefault="004D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3571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447882" w14:textId="77777777" w:rsidR="006D4456" w:rsidRDefault="004D0490" w:rsidP="000A6D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FDDC9" w14:textId="77777777" w:rsidR="006D4456" w:rsidRDefault="006D4456" w:rsidP="00187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3BA4" w14:textId="77777777" w:rsidR="006D4456" w:rsidRDefault="006D4456" w:rsidP="00187D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0E0A" w14:textId="77777777" w:rsidR="004D0490" w:rsidRDefault="004D0490">
      <w:r>
        <w:separator/>
      </w:r>
    </w:p>
  </w:footnote>
  <w:footnote w:type="continuationSeparator" w:id="0">
    <w:p w14:paraId="7FCD6DAE" w14:textId="77777777" w:rsidR="004D0490" w:rsidRDefault="004D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37"/>
    <w:rsid w:val="00142737"/>
    <w:rsid w:val="001967AB"/>
    <w:rsid w:val="00313E0E"/>
    <w:rsid w:val="00414A5B"/>
    <w:rsid w:val="004D0490"/>
    <w:rsid w:val="00591232"/>
    <w:rsid w:val="006D4456"/>
    <w:rsid w:val="0074223A"/>
    <w:rsid w:val="008D4DD5"/>
    <w:rsid w:val="009A3F37"/>
    <w:rsid w:val="00B63DC1"/>
    <w:rsid w:val="00C47AC4"/>
    <w:rsid w:val="00C56CE8"/>
    <w:rsid w:val="00C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62AC"/>
  <w15:chartTrackingRefBased/>
  <w15:docId w15:val="{F01485F1-84D1-449F-93E7-73CFBC0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2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37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42737"/>
  </w:style>
  <w:style w:type="table" w:styleId="TableGrid">
    <w:name w:val="Table Grid"/>
    <w:basedOn w:val="TableNormal"/>
    <w:uiPriority w:val="39"/>
    <w:rsid w:val="0074223A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C9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Durham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ABIGAIL L.</dc:creator>
  <cp:keywords/>
  <dc:description/>
  <cp:lastModifiedBy>DEVONSHIRE, HELEN</cp:lastModifiedBy>
  <cp:revision>2</cp:revision>
  <dcterms:created xsi:type="dcterms:W3CDTF">2024-10-31T10:37:00Z</dcterms:created>
  <dcterms:modified xsi:type="dcterms:W3CDTF">2024-10-31T10:37:00Z</dcterms:modified>
</cp:coreProperties>
</file>