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Look w:val="04A0" w:firstRow="1" w:lastRow="0" w:firstColumn="1" w:lastColumn="0" w:noHBand="0" w:noVBand="1"/>
      </w:tblPr>
      <w:tblGrid>
        <w:gridCol w:w="1626"/>
        <w:gridCol w:w="7400"/>
      </w:tblGrid>
      <w:tr w:rsidR="00FF0D18" w:rsidRPr="00FF0D18" w14:paraId="303F806C" w14:textId="77777777" w:rsidTr="00AE2144">
        <w:trPr>
          <w:trHeight w:val="1134"/>
        </w:trPr>
        <w:tc>
          <w:tcPr>
            <w:tcW w:w="844" w:type="pct"/>
            <w:tcBorders>
              <w:top w:val="single" w:sz="12" w:space="0" w:color="C00000"/>
              <w:left w:val="nil"/>
              <w:bottom w:val="single" w:sz="12" w:space="0" w:color="C00000"/>
              <w:right w:val="nil"/>
            </w:tcBorders>
            <w:vAlign w:val="center"/>
          </w:tcPr>
          <w:p w14:paraId="26108CC6" w14:textId="55692006" w:rsidR="00FF0D18" w:rsidRPr="00FF0D18" w:rsidRDefault="00FF0D18" w:rsidP="00FF0D18">
            <w:pPr>
              <w:jc w:val="center"/>
              <w:rPr>
                <w:rFonts w:asciiTheme="majorBidi" w:hAnsiTheme="majorBidi"/>
                <w:kern w:val="2"/>
                <w:sz w:val="28"/>
                <w:szCs w:val="28"/>
              </w:rPr>
            </w:pPr>
            <w:r w:rsidRPr="00FF0D18">
              <w:rPr>
                <w:noProof/>
                <w:kern w:val="2"/>
                <w:sz w:val="22"/>
                <w:szCs w:val="22"/>
              </w:rPr>
              <w:drawing>
                <wp:inline distT="0" distB="0" distL="0" distR="0" wp14:anchorId="47A52887" wp14:editId="328C8F7B">
                  <wp:extent cx="885825" cy="885825"/>
                  <wp:effectExtent l="0" t="0" r="9525" b="9525"/>
                  <wp:docPr id="1262923420" name="Picture 1" descr="A red circle with a white lett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circle with a white letter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4156" w:type="pct"/>
            <w:tcBorders>
              <w:top w:val="single" w:sz="12" w:space="0" w:color="C00000"/>
              <w:left w:val="nil"/>
              <w:bottom w:val="single" w:sz="12" w:space="0" w:color="C00000"/>
              <w:right w:val="nil"/>
            </w:tcBorders>
            <w:vAlign w:val="center"/>
          </w:tcPr>
          <w:p w14:paraId="63F55794" w14:textId="77777777" w:rsidR="00FF0D18" w:rsidRPr="00FF0D18" w:rsidRDefault="00FF0D18" w:rsidP="00FF0D18">
            <w:pPr>
              <w:spacing w:line="360" w:lineRule="auto"/>
              <w:jc w:val="both"/>
              <w:rPr>
                <w:kern w:val="2"/>
              </w:rPr>
            </w:pPr>
            <w:r w:rsidRPr="00FF0D18">
              <w:rPr>
                <w:kern w:val="2"/>
              </w:rPr>
              <w:t xml:space="preserve">Supplementary material for </w:t>
            </w:r>
          </w:p>
          <w:p w14:paraId="4191D9D5" w14:textId="77777777" w:rsidR="00FF0D18" w:rsidRDefault="00FF0D18" w:rsidP="00FF0D18">
            <w:pPr>
              <w:spacing w:line="360" w:lineRule="auto"/>
              <w:jc w:val="both"/>
              <w:rPr>
                <w:kern w:val="2"/>
              </w:rPr>
            </w:pPr>
            <w:r w:rsidRPr="00FF0D18">
              <w:rPr>
                <w:smallCaps/>
                <w:kern w:val="2"/>
              </w:rPr>
              <w:t>Veselka</w:t>
            </w:r>
            <w:r>
              <w:rPr>
                <w:smallCaps/>
                <w:kern w:val="2"/>
              </w:rPr>
              <w:t>, B.</w:t>
            </w:r>
            <w:r w:rsidRPr="00FF0D18">
              <w:rPr>
                <w:smallCaps/>
                <w:kern w:val="2"/>
              </w:rPr>
              <w:t>, D</w:t>
            </w:r>
            <w:r>
              <w:rPr>
                <w:smallCaps/>
                <w:kern w:val="2"/>
              </w:rPr>
              <w:t>.</w:t>
            </w:r>
            <w:r w:rsidRPr="00FF0D18">
              <w:rPr>
                <w:smallCaps/>
                <w:kern w:val="2"/>
              </w:rPr>
              <w:t xml:space="preserve"> Reich, G</w:t>
            </w:r>
            <w:r>
              <w:rPr>
                <w:smallCaps/>
                <w:kern w:val="2"/>
              </w:rPr>
              <w:t>.</w:t>
            </w:r>
            <w:r w:rsidRPr="00FF0D18">
              <w:rPr>
                <w:smallCaps/>
                <w:kern w:val="2"/>
              </w:rPr>
              <w:t xml:space="preserve"> Capuzzo, I</w:t>
            </w:r>
            <w:r>
              <w:rPr>
                <w:smallCaps/>
                <w:kern w:val="2"/>
              </w:rPr>
              <w:t>.</w:t>
            </w:r>
            <w:r w:rsidRPr="00FF0D18">
              <w:rPr>
                <w:smallCaps/>
                <w:kern w:val="2"/>
              </w:rPr>
              <w:t xml:space="preserve"> Olalde, K</w:t>
            </w:r>
            <w:r>
              <w:rPr>
                <w:smallCaps/>
                <w:kern w:val="2"/>
              </w:rPr>
              <w:t>.</w:t>
            </w:r>
            <w:r w:rsidRPr="00FF0D18">
              <w:rPr>
                <w:smallCaps/>
                <w:kern w:val="2"/>
              </w:rPr>
              <w:t xml:space="preserve"> Callan</w:t>
            </w:r>
            <w:r>
              <w:rPr>
                <w:smallCaps/>
                <w:kern w:val="2"/>
              </w:rPr>
              <w:t>,</w:t>
            </w:r>
            <w:r w:rsidRPr="00FF0D18">
              <w:rPr>
                <w:smallCaps/>
                <w:kern w:val="2"/>
              </w:rPr>
              <w:t xml:space="preserve"> F</w:t>
            </w:r>
            <w:r>
              <w:rPr>
                <w:smallCaps/>
                <w:kern w:val="2"/>
              </w:rPr>
              <w:t>.</w:t>
            </w:r>
            <w:r w:rsidRPr="00FF0D18">
              <w:rPr>
                <w:smallCaps/>
                <w:kern w:val="2"/>
              </w:rPr>
              <w:t xml:space="preserve"> Zalzala, E</w:t>
            </w:r>
            <w:r>
              <w:rPr>
                <w:smallCaps/>
                <w:kern w:val="2"/>
              </w:rPr>
              <w:t>.</w:t>
            </w:r>
            <w:r w:rsidRPr="00FF0D18">
              <w:rPr>
                <w:smallCaps/>
                <w:kern w:val="2"/>
              </w:rPr>
              <w:t xml:space="preserve"> Altena, Q</w:t>
            </w:r>
            <w:r>
              <w:rPr>
                <w:smallCaps/>
                <w:kern w:val="2"/>
              </w:rPr>
              <w:t>.</w:t>
            </w:r>
            <w:r w:rsidRPr="00FF0D18">
              <w:rPr>
                <w:smallCaps/>
                <w:kern w:val="2"/>
              </w:rPr>
              <w:t xml:space="preserve"> Goffette, H</w:t>
            </w:r>
            <w:r>
              <w:rPr>
                <w:smallCaps/>
                <w:kern w:val="2"/>
              </w:rPr>
              <w:t>.</w:t>
            </w:r>
            <w:r w:rsidRPr="00FF0D18">
              <w:rPr>
                <w:smallCaps/>
                <w:kern w:val="2"/>
              </w:rPr>
              <w:t xml:space="preserve"> Ringbauer, H</w:t>
            </w:r>
            <w:r>
              <w:rPr>
                <w:smallCaps/>
                <w:kern w:val="2"/>
              </w:rPr>
              <w:t>.</w:t>
            </w:r>
            <w:r w:rsidRPr="00FF0D18">
              <w:rPr>
                <w:smallCaps/>
                <w:kern w:val="2"/>
              </w:rPr>
              <w:t xml:space="preserve"> van der Velde, C</w:t>
            </w:r>
            <w:r>
              <w:rPr>
                <w:smallCaps/>
                <w:kern w:val="2"/>
              </w:rPr>
              <w:t>.</w:t>
            </w:r>
            <w:r w:rsidRPr="00FF0D18">
              <w:rPr>
                <w:smallCaps/>
                <w:kern w:val="2"/>
              </w:rPr>
              <w:t xml:space="preserve"> Polet, M</w:t>
            </w:r>
            <w:r>
              <w:rPr>
                <w:smallCaps/>
                <w:kern w:val="2"/>
              </w:rPr>
              <w:t>.</w:t>
            </w:r>
            <w:r w:rsidRPr="00FF0D18">
              <w:rPr>
                <w:smallCaps/>
                <w:kern w:val="2"/>
              </w:rPr>
              <w:t xml:space="preserve"> Toussaint, C</w:t>
            </w:r>
            <w:r>
              <w:rPr>
                <w:smallCaps/>
                <w:kern w:val="2"/>
              </w:rPr>
              <w:t>.</w:t>
            </w:r>
            <w:r w:rsidRPr="00FF0D18">
              <w:rPr>
                <w:smallCaps/>
                <w:kern w:val="2"/>
              </w:rPr>
              <w:t xml:space="preserve"> Snoeck &amp; L</w:t>
            </w:r>
            <w:r>
              <w:rPr>
                <w:smallCaps/>
                <w:kern w:val="2"/>
              </w:rPr>
              <w:t>.</w:t>
            </w:r>
            <w:r w:rsidRPr="00FF0D18">
              <w:rPr>
                <w:smallCaps/>
                <w:kern w:val="2"/>
              </w:rPr>
              <w:t xml:space="preserve"> Cattelain</w:t>
            </w:r>
            <w:r w:rsidRPr="00FF0D18">
              <w:rPr>
                <w:kern w:val="2"/>
              </w:rPr>
              <w:t>. 2024.</w:t>
            </w:r>
            <w:r w:rsidRPr="00FF0D18">
              <w:rPr>
                <w:b/>
                <w:bCs/>
                <w:kern w:val="2"/>
              </w:rPr>
              <w:t xml:space="preserve"> </w:t>
            </w:r>
            <w:r w:rsidRPr="00FF0D18">
              <w:rPr>
                <w:b/>
                <w:bCs/>
                <w:color w:val="000000"/>
                <w:kern w:val="2"/>
              </w:rPr>
              <w:t>Assembling  ancestors: the manipulation of Neolithic and Gallo-Roman skeletal remains from Pommerœul, Belgium</w:t>
            </w:r>
            <w:r w:rsidRPr="00FF0D18">
              <w:rPr>
                <w:b/>
                <w:bCs/>
                <w:kern w:val="2"/>
              </w:rPr>
              <w:t xml:space="preserve">. </w:t>
            </w:r>
            <w:r w:rsidRPr="00FF0D18">
              <w:rPr>
                <w:i/>
                <w:iCs/>
                <w:kern w:val="2"/>
              </w:rPr>
              <w:t>Antiquity</w:t>
            </w:r>
            <w:r w:rsidRPr="00FF0D18">
              <w:rPr>
                <w:kern w:val="2"/>
              </w:rPr>
              <w:t xml:space="preserve"> 98.</w:t>
            </w:r>
          </w:p>
          <w:p w14:paraId="562DA5D3" w14:textId="135EA529" w:rsidR="00AC4A6D" w:rsidRPr="00FF0D18" w:rsidRDefault="00AC4A6D" w:rsidP="00FF0D18">
            <w:pPr>
              <w:spacing w:line="360" w:lineRule="auto"/>
              <w:jc w:val="both"/>
              <w:rPr>
                <w:b/>
                <w:bCs/>
                <w:kern w:val="2"/>
                <w:sz w:val="22"/>
                <w:szCs w:val="22"/>
              </w:rPr>
            </w:pPr>
            <w:r w:rsidRPr="00304282">
              <w:t xml:space="preserve">Author for correspondence </w:t>
            </w:r>
            <w:r w:rsidRPr="00304282">
              <w:rPr>
                <w:rFonts w:ascii="Segoe UI Symbol" w:eastAsia="Arial Unicode MS" w:hAnsi="Segoe UI Symbol" w:cs="Segoe UI Symbol"/>
                <w:color w:val="000000"/>
                <w:bdr w:val="nil"/>
              </w:rPr>
              <w:t>✉</w:t>
            </w:r>
            <w:r w:rsidRPr="00304282">
              <w:rPr>
                <w:rFonts w:eastAsia="Arial Unicode MS"/>
                <w:color w:val="000000"/>
                <w:bdr w:val="nil"/>
              </w:rPr>
              <w:t xml:space="preserve"> barbara.veselka@vub.be</w:t>
            </w:r>
          </w:p>
        </w:tc>
      </w:tr>
    </w:tbl>
    <w:p w14:paraId="5A5B13B4" w14:textId="77777777" w:rsidR="00FF0D18" w:rsidRDefault="00FF0D18" w:rsidP="00B1095D">
      <w:pPr>
        <w:pBdr>
          <w:top w:val="nil"/>
          <w:left w:val="nil"/>
          <w:bottom w:val="nil"/>
          <w:right w:val="nil"/>
          <w:between w:val="nil"/>
        </w:pBdr>
        <w:spacing w:before="245" w:after="58"/>
        <w:contextualSpacing/>
        <w:rPr>
          <w:b/>
          <w:color w:val="000000"/>
        </w:rPr>
      </w:pPr>
    </w:p>
    <w:p w14:paraId="40C0D491" w14:textId="77777777" w:rsidR="00FF0D18" w:rsidRDefault="00FF0D18" w:rsidP="00B1095D">
      <w:pPr>
        <w:pBdr>
          <w:top w:val="nil"/>
          <w:left w:val="nil"/>
          <w:bottom w:val="nil"/>
          <w:right w:val="nil"/>
          <w:between w:val="nil"/>
        </w:pBdr>
        <w:spacing w:before="245" w:after="58"/>
        <w:contextualSpacing/>
        <w:rPr>
          <w:b/>
          <w:color w:val="000000"/>
        </w:rPr>
      </w:pPr>
    </w:p>
    <w:p w14:paraId="580A07F8" w14:textId="66C6EBD1" w:rsidR="00B1095D" w:rsidRPr="00AF7FB1" w:rsidRDefault="003F73ED" w:rsidP="00B1095D">
      <w:pPr>
        <w:pBdr>
          <w:top w:val="nil"/>
          <w:left w:val="nil"/>
          <w:bottom w:val="nil"/>
          <w:right w:val="nil"/>
          <w:between w:val="nil"/>
        </w:pBdr>
        <w:spacing w:before="245" w:after="58"/>
        <w:contextualSpacing/>
        <w:rPr>
          <w:color w:val="000000"/>
        </w:rPr>
      </w:pPr>
      <w:r>
        <w:rPr>
          <w:b/>
          <w:color w:val="000000"/>
        </w:rPr>
        <w:t xml:space="preserve">OSM1: </w:t>
      </w:r>
      <w:r w:rsidR="00B1095D" w:rsidRPr="00AF7FB1">
        <w:rPr>
          <w:b/>
          <w:color w:val="000000"/>
        </w:rPr>
        <w:t xml:space="preserve">Materials and </w:t>
      </w:r>
      <w:r w:rsidR="00FF0D18">
        <w:rPr>
          <w:b/>
          <w:color w:val="000000"/>
        </w:rPr>
        <w:t>m</w:t>
      </w:r>
      <w:r w:rsidR="00B1095D" w:rsidRPr="00AF7FB1">
        <w:rPr>
          <w:b/>
          <w:color w:val="000000"/>
        </w:rPr>
        <w:t>ethods</w:t>
      </w:r>
    </w:p>
    <w:p w14:paraId="2903568F" w14:textId="680D1C42" w:rsidR="00B1095D" w:rsidRDefault="00B1095D" w:rsidP="00B1095D">
      <w:pPr>
        <w:spacing w:before="245" w:after="58"/>
      </w:pPr>
      <w:r w:rsidRPr="00AF7FB1">
        <w:t xml:space="preserve">Grave 26 was discovered in the </w:t>
      </w:r>
      <w:r w:rsidRPr="00AF7FB1">
        <w:rPr>
          <w:lang w:val="en-US"/>
        </w:rPr>
        <w:t>19</w:t>
      </w:r>
      <w:r w:rsidRPr="00AF7FB1">
        <w:t xml:space="preserve">70s as part of the excavation of the Gallo-Roman settlement of Pommerœul, Belgium, </w:t>
      </w:r>
      <w:r w:rsidRPr="00AF7FB1">
        <w:rPr>
          <w:lang w:val="en-US"/>
        </w:rPr>
        <w:t xml:space="preserve">in the course of using </w:t>
      </w:r>
      <w:r w:rsidRPr="00AF7FB1">
        <w:t>a soil-drill to investigate the deeper layers of the necropolis (pers. comm. M. Paumen, J. Wargnies, and A. Demory, the original excavators</w:t>
      </w:r>
      <w:r w:rsidR="00576FA8">
        <w:rPr>
          <w:lang w:val="en-US"/>
        </w:rPr>
        <w:t>; Figure 1</w:t>
      </w:r>
      <w:r w:rsidRPr="00AF7FB1">
        <w:t>). The individual was buried in a flexed position on the right side, with the lower legs and feet scattered around the individual on about the same level (pers. comm. Paumen, Wargnies and Demory). At the back of the cranium, a bone pin, circular in cross-section, was retrieved, typologically dated to the 3</w:t>
      </w:r>
      <w:r w:rsidRPr="00AF7FB1">
        <w:rPr>
          <w:vertAlign w:val="superscript"/>
        </w:rPr>
        <w:t>rd</w:t>
      </w:r>
      <w:r w:rsidRPr="00AF7FB1">
        <w:t xml:space="preserve"> century AD</w:t>
      </w:r>
      <w:r w:rsidR="00EF5CF4">
        <w:rPr>
          <w:lang w:val="en-US"/>
        </w:rPr>
        <w:t xml:space="preserve"> (Riha 1990)</w:t>
      </w:r>
      <w:r w:rsidRPr="00AF7FB1">
        <w:t xml:space="preserve">. The excavators suggested the remains to be female and to be accompanied by the remains of a nonadult. The ‘nonadult’ bones were later identified as badger remains, including one skull fragment, one first phalanx from an adult, and one humerus with unfused epiphyses from an immature individual. The badger phalanx </w:t>
      </w:r>
      <w:r w:rsidRPr="00AF7FB1">
        <w:rPr>
          <w:lang w:val="en-US"/>
        </w:rPr>
        <w:t>was</w:t>
      </w:r>
      <w:r w:rsidRPr="00AF7FB1">
        <w:t xml:space="preserve"> burnt.</w:t>
      </w:r>
    </w:p>
    <w:p w14:paraId="585DC74B" w14:textId="195834EC" w:rsidR="00AF7E08" w:rsidRPr="00AF7FB1" w:rsidRDefault="00AF7E08" w:rsidP="00B1095D">
      <w:pPr>
        <w:spacing w:before="245" w:after="58"/>
      </w:pPr>
      <w:r>
        <w:rPr>
          <w:noProof/>
        </w:rPr>
        <w:drawing>
          <wp:inline distT="0" distB="0" distL="0" distR="0" wp14:anchorId="67F3016C" wp14:editId="708A7535">
            <wp:extent cx="2522483" cy="3788119"/>
            <wp:effectExtent l="0" t="0" r="5080" b="0"/>
            <wp:docPr id="6" name="Picture 6" descr="A picture containing rock,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rock, outdoor, mountain, nature&#10;&#10;Description automatically generated"/>
                    <pic:cNvPicPr/>
                  </pic:nvPicPr>
                  <pic:blipFill>
                    <a:blip r:embed="rId5" cstate="print">
                      <a:extLst>
                        <a:ext uri="{BEBA8EAE-BF5A-486C-A8C5-ECC9F3942E4B}">
                          <a14:imgProps xmlns:a14="http://schemas.microsoft.com/office/drawing/2010/main">
                            <a14:imgLayer r:embed="rId6">
                              <a14:imgEffect>
                                <a14:sharpenSoften amount="59000"/>
                              </a14:imgEffect>
                              <a14:imgEffect>
                                <a14:brightnessContrast bright="48000" contrast="-1000"/>
                              </a14:imgEffect>
                            </a14:imgLayer>
                          </a14:imgProps>
                        </a:ext>
                        <a:ext uri="{28A0092B-C50C-407E-A947-70E740481C1C}">
                          <a14:useLocalDpi xmlns:a14="http://schemas.microsoft.com/office/drawing/2010/main" val="0"/>
                        </a:ext>
                      </a:extLst>
                    </a:blip>
                    <a:stretch>
                      <a:fillRect/>
                    </a:stretch>
                  </pic:blipFill>
                  <pic:spPr>
                    <a:xfrm>
                      <a:off x="0" y="0"/>
                      <a:ext cx="2543655" cy="3819914"/>
                    </a:xfrm>
                    <a:prstGeom prst="rect">
                      <a:avLst/>
                    </a:prstGeom>
                  </pic:spPr>
                </pic:pic>
              </a:graphicData>
            </a:graphic>
          </wp:inline>
        </w:drawing>
      </w:r>
    </w:p>
    <w:p w14:paraId="001C6DE4" w14:textId="3C651E4B" w:rsidR="00B1095D" w:rsidRPr="00AF7FB1" w:rsidRDefault="00B1095D" w:rsidP="00B1095D">
      <w:pPr>
        <w:spacing w:before="245" w:after="58"/>
      </w:pPr>
      <w:r w:rsidRPr="00AF7FB1">
        <w:t xml:space="preserve">Figure </w:t>
      </w:r>
      <w:r w:rsidR="00BF518E">
        <w:t>S</w:t>
      </w:r>
      <w:r w:rsidR="00BF5236">
        <w:rPr>
          <w:lang w:val="en-US"/>
        </w:rPr>
        <w:t>1</w:t>
      </w:r>
      <w:r w:rsidRPr="00AF7FB1">
        <w:t>. Photograph of grave 26 by the excavators.</w:t>
      </w:r>
    </w:p>
    <w:p w14:paraId="5DB0714F" w14:textId="76D2B773" w:rsidR="00B1095D" w:rsidRPr="00EF5CF4" w:rsidRDefault="00B1095D" w:rsidP="00B1095D">
      <w:pPr>
        <w:spacing w:before="245" w:after="58"/>
        <w:rPr>
          <w:vertAlign w:val="superscript"/>
          <w:lang w:val="en-US"/>
        </w:rPr>
      </w:pPr>
      <w:r w:rsidRPr="00AF7FB1">
        <w:lastRenderedPageBreak/>
        <w:t>An osteological sex determination was carried out using methods outlined in the Workshop of European Anthropologist</w:t>
      </w:r>
      <w:r w:rsidR="00EF5CF4">
        <w:rPr>
          <w:lang w:val="en-US"/>
        </w:rPr>
        <w:t xml:space="preserve">s (Ferembach </w:t>
      </w:r>
      <w:r w:rsidR="00EF5CF4" w:rsidRPr="00EF5CF4">
        <w:rPr>
          <w:i/>
          <w:iCs/>
          <w:lang w:val="en-US"/>
        </w:rPr>
        <w:t>et al.</w:t>
      </w:r>
      <w:r w:rsidR="00EF5CF4">
        <w:rPr>
          <w:lang w:val="en-US"/>
        </w:rPr>
        <w:t xml:space="preserve"> 1980)</w:t>
      </w:r>
      <w:r w:rsidRPr="00AF7FB1">
        <w:t>, evaluating the Phenice traits</w:t>
      </w:r>
      <w:r w:rsidR="00EF5CF4">
        <w:rPr>
          <w:lang w:val="en-US"/>
        </w:rPr>
        <w:t xml:space="preserve"> (Phenice 1969)</w:t>
      </w:r>
      <w:r w:rsidRPr="00AF7FB1">
        <w:t>, and measurements of the humerus, clavicles, and femur</w:t>
      </w:r>
      <w:r w:rsidR="00EF5CF4">
        <w:rPr>
          <w:lang w:val="en-US"/>
        </w:rPr>
        <w:t xml:space="preserve"> (</w:t>
      </w:r>
      <w:r w:rsidR="00005EE4">
        <w:rPr>
          <w:lang w:val="en-US"/>
        </w:rPr>
        <w:t xml:space="preserve">Stewart 1979; </w:t>
      </w:r>
      <w:r w:rsidR="00EF5CF4">
        <w:rPr>
          <w:lang w:val="en-US"/>
        </w:rPr>
        <w:t xml:space="preserve">McCormick </w:t>
      </w:r>
      <w:r w:rsidR="00EF5CF4" w:rsidRPr="00EF5CF4">
        <w:rPr>
          <w:i/>
          <w:iCs/>
          <w:lang w:val="en-US"/>
        </w:rPr>
        <w:t>et al.</w:t>
      </w:r>
      <w:r w:rsidR="00EF5CF4">
        <w:rPr>
          <w:lang w:val="en-US"/>
        </w:rPr>
        <w:t xml:space="preserve"> 1991; Steijn &amp; Isçan 1999)</w:t>
      </w:r>
      <w:r w:rsidRPr="00AF7FB1">
        <w:t>. Age-at-death was estimated via changes to the pubic symphysis</w:t>
      </w:r>
      <w:r w:rsidR="00EF5CF4">
        <w:rPr>
          <w:lang w:val="en-US"/>
        </w:rPr>
        <w:t xml:space="preserve"> (Brooks &amp; Suchey 1990)</w:t>
      </w:r>
      <w:r w:rsidRPr="00AF7FB1">
        <w:t xml:space="preserve"> and auricular surfac</w:t>
      </w:r>
      <w:r w:rsidR="00EF5CF4">
        <w:rPr>
          <w:lang w:val="en-US"/>
        </w:rPr>
        <w:t>e (Buckberry &amp; Chamberlain 2002)</w:t>
      </w:r>
      <w:r w:rsidRPr="00AF7FB1">
        <w:t xml:space="preserve"> and evaluating the degree of cranial suture closure</w:t>
      </w:r>
      <w:r w:rsidR="00EF5CF4">
        <w:rPr>
          <w:lang w:val="en-US"/>
        </w:rPr>
        <w:t xml:space="preserve"> (Meindl &amp; Lovejoy 1985)</w:t>
      </w:r>
      <w:r w:rsidRPr="00AF7FB1">
        <w:t xml:space="preserve">. The bones were macroscopically assessed for traces of human modification, using the classification as described by Bello </w:t>
      </w:r>
      <w:r w:rsidRPr="00EF5CF4">
        <w:rPr>
          <w:i/>
          <w:iCs/>
        </w:rPr>
        <w:t>et al</w:t>
      </w:r>
      <w:r w:rsidRPr="00AF7FB1">
        <w:t>. (</w:t>
      </w:r>
      <w:r w:rsidR="00EF5CF4">
        <w:rPr>
          <w:lang w:val="en-US"/>
        </w:rPr>
        <w:t xml:space="preserve">2016; </w:t>
      </w:r>
      <w:r w:rsidRPr="00AF7FB1">
        <w:t xml:space="preserve">and the references therein), thereby distinguishing slicing cut marks, scrape-marks, chop marks, percussion damage, and tooth marks. </w:t>
      </w:r>
    </w:p>
    <w:p w14:paraId="54F7C75B" w14:textId="7EB455BB" w:rsidR="00B1095D" w:rsidRPr="00AF7FB1" w:rsidRDefault="00B1095D" w:rsidP="00B1095D">
      <w:pPr>
        <w:pStyle w:val="NormalWeb"/>
        <w:spacing w:before="245" w:after="58"/>
        <w:rPr>
          <w:color w:val="000000"/>
        </w:rPr>
      </w:pPr>
      <w:r w:rsidRPr="00AF7FB1">
        <w:t xml:space="preserve">To assess whether all the skeletal remains are contemporaneous, the humerus (left and right), femur (left and right), tibia (left and right), fibula (right) and five metatarsals, were sampled for radiocarbon dating, resulting in a total of 12 samples. Additionally, samples from the two different badger skeletal elements and the bone pin were taken. </w:t>
      </w:r>
      <w:r w:rsidRPr="00AF7FB1">
        <w:rPr>
          <w:color w:val="000000"/>
        </w:rPr>
        <w:t>Radiocarbon dating was carried out at the Royal Institute for Cultural Heritage, Brussels (KIK-IRPA) and followed the KIK-IRPA protocol</w:t>
      </w:r>
      <w:r w:rsidR="00EF5CF4">
        <w:rPr>
          <w:color w:val="000000"/>
        </w:rPr>
        <w:t xml:space="preserve"> (Wojcieszak </w:t>
      </w:r>
      <w:r w:rsidR="00EF5CF4" w:rsidRPr="00005EE4">
        <w:rPr>
          <w:i/>
          <w:iCs/>
          <w:color w:val="000000"/>
        </w:rPr>
        <w:t>et al</w:t>
      </w:r>
      <w:r w:rsidR="00EF5CF4">
        <w:rPr>
          <w:color w:val="000000"/>
        </w:rPr>
        <w:t>. 2020)</w:t>
      </w:r>
      <w:r w:rsidRPr="00AF7FB1">
        <w:rPr>
          <w:color w:val="000000"/>
        </w:rPr>
        <w:t>. All the measurements were obtained with the AMS type MICADAS, mini carbon dating system, at the KIK-IRPA (Lab-code: RICH</w:t>
      </w:r>
      <w:r w:rsidR="00EF5CF4">
        <w:rPr>
          <w:color w:val="000000"/>
        </w:rPr>
        <w:t xml:space="preserve">; Boudin </w:t>
      </w:r>
      <w:r w:rsidR="00EF5CF4" w:rsidRPr="00EF5CF4">
        <w:rPr>
          <w:i/>
          <w:iCs/>
          <w:color w:val="000000"/>
        </w:rPr>
        <w:t>et al.</w:t>
      </w:r>
      <w:r w:rsidR="00EF5CF4">
        <w:rPr>
          <w:color w:val="000000"/>
        </w:rPr>
        <w:t xml:space="preserve"> 2015</w:t>
      </w:r>
      <w:r w:rsidRPr="00AF7FB1">
        <w:rPr>
          <w:color w:val="000000"/>
        </w:rPr>
        <w:t>). Calibration of the radiocarbon ages (BP) into calendar years (BC/AD) was performed using the software OxCal 4.4</w:t>
      </w:r>
      <w:r w:rsidR="00EF5CF4">
        <w:rPr>
          <w:color w:val="000000"/>
        </w:rPr>
        <w:t xml:space="preserve"> (Bronk Ramsey 2009)</w:t>
      </w:r>
      <w:r w:rsidRPr="00AF7FB1">
        <w:rPr>
          <w:color w:val="000000"/>
        </w:rPr>
        <w:t xml:space="preserve"> and the atmospheric calibration curve IntCal20</w:t>
      </w:r>
      <w:r w:rsidR="00EF5CF4">
        <w:rPr>
          <w:color w:val="000000"/>
        </w:rPr>
        <w:t xml:space="preserve"> (Reimer </w:t>
      </w:r>
      <w:r w:rsidR="00EF5CF4" w:rsidRPr="00EF5CF4">
        <w:rPr>
          <w:i/>
          <w:iCs/>
          <w:color w:val="000000"/>
        </w:rPr>
        <w:t>et al.</w:t>
      </w:r>
      <w:r w:rsidR="00EF5CF4">
        <w:rPr>
          <w:color w:val="000000"/>
        </w:rPr>
        <w:t xml:space="preserve"> 2020)</w:t>
      </w:r>
      <w:r w:rsidRPr="00AF7FB1">
        <w:rPr>
          <w:color w:val="000000"/>
        </w:rPr>
        <w:t xml:space="preserve">. </w:t>
      </w:r>
      <w:r w:rsidRPr="00AF7FB1">
        <w:t>The consistency of the time series for the human bones was tested via a χ</w:t>
      </w:r>
      <w:r w:rsidRPr="00AF7FB1">
        <w:rPr>
          <w:vertAlign w:val="superscript"/>
        </w:rPr>
        <w:t>2</w:t>
      </w:r>
      <w:r w:rsidRPr="00AF7FB1">
        <w:t>-test</w:t>
      </w:r>
      <w:r w:rsidR="00EF5CF4">
        <w:t xml:space="preserve"> (Ward &amp; Wilson 1987)</w:t>
      </w:r>
      <w:r w:rsidRPr="00AF7FB1">
        <w:t xml:space="preserve"> using the R_Combine tool in OxCal 4.4.</w:t>
      </w:r>
    </w:p>
    <w:p w14:paraId="40A7C640" w14:textId="77777777" w:rsidR="00B1095D" w:rsidRPr="00AF7FB1" w:rsidRDefault="00B1095D" w:rsidP="00B1095D">
      <w:pPr>
        <w:spacing w:before="245" w:after="58"/>
      </w:pPr>
      <w:r w:rsidRPr="00AF7FB1">
        <w:t xml:space="preserve">The radiocarbon dates were combined with aDNA analysis to not only evaluate if the bones belonged to contemporaneous individuals, but also to determine the Minimum Number of Individuals (MNI) that contributed to the interred individual and so assess possible kinship between the individuals. For this purpose, all major </w:t>
      </w:r>
      <w:r w:rsidRPr="00AF7FB1">
        <w:rPr>
          <w:lang w:val="en-US"/>
        </w:rPr>
        <w:t>skeletal elements</w:t>
      </w:r>
      <w:r w:rsidRPr="00AF7FB1">
        <w:t xml:space="preserve"> were sampled by cutting a wedge midshaft of each long bone and sampling the whole pars petrosa from the cranium. </w:t>
      </w:r>
    </w:p>
    <w:p w14:paraId="7F6D5711" w14:textId="10587B2B" w:rsidR="00B1095D" w:rsidRPr="00AF7FB1" w:rsidRDefault="00B1095D" w:rsidP="00B1095D">
      <w:pPr>
        <w:spacing w:before="245" w:after="58"/>
        <w:rPr>
          <w:color w:val="000000" w:themeColor="text1"/>
        </w:rPr>
      </w:pPr>
      <w:r w:rsidRPr="00AF7FB1">
        <w:t>In clean room conditions at Harvard Medical School, a sterile dentistry drill was used to obtain powder from 15 skeletal samples</w:t>
      </w:r>
      <w:r w:rsidRPr="00AF7FB1">
        <w:rPr>
          <w:lang w:val="en-US"/>
        </w:rPr>
        <w:t xml:space="preserve"> from </w:t>
      </w:r>
      <w:r w:rsidRPr="00AF7FB1">
        <w:t>Pommerœul. DNA was extracted from approximately 37.5 mg of powder from each sample</w:t>
      </w:r>
      <w:r w:rsidR="00EF5CF4">
        <w:rPr>
          <w:lang w:val="en-US"/>
        </w:rPr>
        <w:t xml:space="preserve"> (Dabney </w:t>
      </w:r>
      <w:r w:rsidR="00EF5CF4" w:rsidRPr="00EF5CF4">
        <w:rPr>
          <w:i/>
          <w:iCs/>
          <w:lang w:val="en-US"/>
        </w:rPr>
        <w:t>et al.</w:t>
      </w:r>
      <w:r w:rsidR="00EF5CF4">
        <w:rPr>
          <w:lang w:val="en-US"/>
        </w:rPr>
        <w:t xml:space="preserve"> 2013</w:t>
      </w:r>
      <w:r w:rsidR="00005EE4">
        <w:rPr>
          <w:lang w:val="en-US"/>
        </w:rPr>
        <w:t xml:space="preserve">; Korlević </w:t>
      </w:r>
      <w:r w:rsidR="00005EE4" w:rsidRPr="00EF5CF4">
        <w:rPr>
          <w:i/>
          <w:iCs/>
          <w:lang w:val="en-US"/>
        </w:rPr>
        <w:t>et al.</w:t>
      </w:r>
      <w:r w:rsidR="00005EE4">
        <w:rPr>
          <w:lang w:val="en-US"/>
        </w:rPr>
        <w:t xml:space="preserve"> 2015</w:t>
      </w:r>
      <w:r w:rsidR="00EF5CF4">
        <w:rPr>
          <w:lang w:val="en-US"/>
        </w:rPr>
        <w:t xml:space="preserve">; Rohland </w:t>
      </w:r>
      <w:r w:rsidR="00EF5CF4" w:rsidRPr="00EF5CF4">
        <w:rPr>
          <w:i/>
          <w:iCs/>
          <w:lang w:val="en-US"/>
        </w:rPr>
        <w:t>et al.</w:t>
      </w:r>
      <w:r w:rsidR="00EF5CF4">
        <w:rPr>
          <w:lang w:val="en-US"/>
        </w:rPr>
        <w:t xml:space="preserve"> 2018)</w:t>
      </w:r>
      <w:r w:rsidRPr="00AF7FB1">
        <w:t>.</w:t>
      </w:r>
      <w:r w:rsidRPr="00AF7FB1">
        <w:rPr>
          <w:color w:val="000000" w:themeColor="text1"/>
        </w:rPr>
        <w:t xml:space="preserve"> The extracted DNA from the 15 samples was built into 16 double-stranded libraries, which were treated with the enzyme Uracil-DNA Glycosylase</w:t>
      </w:r>
      <w:r w:rsidRPr="00AF7FB1">
        <w:rPr>
          <w:color w:val="000000" w:themeColor="text1"/>
          <w:lang w:val="en-US"/>
        </w:rPr>
        <w:t xml:space="preserve"> to remove characteristic error patterns associated with ancient DNA</w:t>
      </w:r>
      <w:r w:rsidR="00EF5CF4">
        <w:rPr>
          <w:color w:val="000000" w:themeColor="text1"/>
          <w:lang w:val="en-US"/>
        </w:rPr>
        <w:t xml:space="preserve"> (Rohland </w:t>
      </w:r>
      <w:r w:rsidR="00EF5CF4" w:rsidRPr="00EF5CF4">
        <w:rPr>
          <w:i/>
          <w:iCs/>
          <w:color w:val="000000" w:themeColor="text1"/>
          <w:lang w:val="en-US"/>
        </w:rPr>
        <w:t>et al.</w:t>
      </w:r>
      <w:r w:rsidR="00EF5CF4">
        <w:rPr>
          <w:color w:val="000000" w:themeColor="text1"/>
          <w:lang w:val="en-US"/>
        </w:rPr>
        <w:t xml:space="preserve"> 2015)</w:t>
      </w:r>
      <w:r w:rsidRPr="00AF7FB1">
        <w:rPr>
          <w:color w:val="000000" w:themeColor="text1"/>
          <w:lang w:val="en-US"/>
        </w:rPr>
        <w:t>.</w:t>
      </w:r>
      <w:r w:rsidRPr="00AF7FB1">
        <w:rPr>
          <w:color w:val="000000" w:themeColor="text1"/>
        </w:rPr>
        <w:t xml:space="preserve"> The libraries were enriched in solution for sequences overlapping about 1.2 million single nucleotide polymorphisms (SNPs</w:t>
      </w:r>
      <w:r w:rsidR="00EF5CF4">
        <w:rPr>
          <w:color w:val="000000" w:themeColor="text1"/>
          <w:lang w:val="en-US"/>
        </w:rPr>
        <w:t xml:space="preserve">; Fu </w:t>
      </w:r>
      <w:r w:rsidR="00EF5CF4" w:rsidRPr="00EF5CF4">
        <w:rPr>
          <w:i/>
          <w:iCs/>
          <w:color w:val="000000" w:themeColor="text1"/>
          <w:lang w:val="en-US"/>
        </w:rPr>
        <w:t>et al</w:t>
      </w:r>
      <w:r w:rsidR="00EF5CF4">
        <w:rPr>
          <w:color w:val="000000" w:themeColor="text1"/>
          <w:lang w:val="en-US"/>
        </w:rPr>
        <w:t>. 2015</w:t>
      </w:r>
      <w:r w:rsidRPr="00AF7FB1">
        <w:rPr>
          <w:color w:val="000000" w:themeColor="text1"/>
        </w:rPr>
        <w:t>) as well as the mitochondrial genome</w:t>
      </w:r>
      <w:r w:rsidR="00EF5CF4">
        <w:rPr>
          <w:color w:val="000000" w:themeColor="text1"/>
          <w:lang w:val="en-US"/>
        </w:rPr>
        <w:t xml:space="preserve"> (Fu </w:t>
      </w:r>
      <w:r w:rsidR="00EF5CF4" w:rsidRPr="00EF5CF4">
        <w:rPr>
          <w:i/>
          <w:iCs/>
          <w:color w:val="000000" w:themeColor="text1"/>
          <w:lang w:val="en-US"/>
        </w:rPr>
        <w:t>et al.</w:t>
      </w:r>
      <w:r w:rsidR="00EF5CF4">
        <w:rPr>
          <w:color w:val="000000" w:themeColor="text1"/>
          <w:lang w:val="en-US"/>
        </w:rPr>
        <w:t xml:space="preserve"> 2013; Rohland </w:t>
      </w:r>
      <w:r w:rsidR="00EF5CF4" w:rsidRPr="00EF5CF4">
        <w:rPr>
          <w:i/>
          <w:iCs/>
          <w:color w:val="000000" w:themeColor="text1"/>
          <w:lang w:val="en-US"/>
        </w:rPr>
        <w:t>et al.</w:t>
      </w:r>
      <w:r w:rsidR="00EF5CF4">
        <w:rPr>
          <w:color w:val="000000" w:themeColor="text1"/>
          <w:lang w:val="en-US"/>
        </w:rPr>
        <w:t xml:space="preserve"> 2015; Mathieson </w:t>
      </w:r>
      <w:r w:rsidR="00EF5CF4" w:rsidRPr="00EF5CF4">
        <w:rPr>
          <w:i/>
          <w:iCs/>
          <w:color w:val="000000" w:themeColor="text1"/>
          <w:lang w:val="en-US"/>
        </w:rPr>
        <w:t>et al.</w:t>
      </w:r>
      <w:r w:rsidR="00EF5CF4">
        <w:rPr>
          <w:color w:val="000000" w:themeColor="text1"/>
          <w:lang w:val="en-US"/>
        </w:rPr>
        <w:t xml:space="preserve"> 2015; Rohland </w:t>
      </w:r>
      <w:r w:rsidR="00EF5CF4" w:rsidRPr="00EF5CF4">
        <w:rPr>
          <w:i/>
          <w:iCs/>
          <w:color w:val="000000" w:themeColor="text1"/>
          <w:lang w:val="en-US"/>
        </w:rPr>
        <w:t>et al.</w:t>
      </w:r>
      <w:r w:rsidR="00EF5CF4">
        <w:rPr>
          <w:color w:val="000000" w:themeColor="text1"/>
          <w:lang w:val="en-US"/>
        </w:rPr>
        <w:t xml:space="preserve"> 2022).</w:t>
      </w:r>
      <w:r w:rsidRPr="00AF7FB1">
        <w:rPr>
          <w:color w:val="000000" w:themeColor="text1"/>
        </w:rPr>
        <w:t xml:space="preserve"> The libraries were sequenced on the Illumina NextSeq500 instruments for 2 x 76 cycles or on Illumina HiSeqX10 instruments for 2 x 101 cycles, reading out the indices with 2 x 7 cycles in each case. Computational processing of the data and assessment of ancient DNA authenticity was performed as described in previous publications</w:t>
      </w:r>
      <w:r w:rsidR="00EF5CF4">
        <w:rPr>
          <w:color w:val="000000" w:themeColor="text1"/>
          <w:lang w:val="en-US"/>
        </w:rPr>
        <w:t xml:space="preserve"> (Rohland </w:t>
      </w:r>
      <w:r w:rsidR="00EF5CF4" w:rsidRPr="00EF5CF4">
        <w:rPr>
          <w:i/>
          <w:iCs/>
          <w:color w:val="000000" w:themeColor="text1"/>
          <w:lang w:val="en-US"/>
        </w:rPr>
        <w:t>et al</w:t>
      </w:r>
      <w:r w:rsidR="00EF5CF4">
        <w:rPr>
          <w:color w:val="000000" w:themeColor="text1"/>
          <w:lang w:val="en-US"/>
        </w:rPr>
        <w:t>. 2022)</w:t>
      </w:r>
      <w:r w:rsidRPr="00AF7FB1">
        <w:rPr>
          <w:color w:val="000000" w:themeColor="text1"/>
        </w:rPr>
        <w:t>. The results of this screening are presented in</w:t>
      </w:r>
      <w:r w:rsidR="00F73E7A">
        <w:rPr>
          <w:color w:val="000000" w:themeColor="text1"/>
        </w:rPr>
        <w:t xml:space="preserve"> Tables S1–S3</w:t>
      </w:r>
      <w:r w:rsidRPr="00AF7FB1">
        <w:rPr>
          <w:color w:val="000000" w:themeColor="text1"/>
        </w:rPr>
        <w:t xml:space="preserve">. The libraries were marked as failing quality control if they produced &lt; 3000 SNPs covering the targeted positions. This left data for six individuals from </w:t>
      </w:r>
      <w:r w:rsidRPr="00AF7FB1">
        <w:t>Pommerœul</w:t>
      </w:r>
      <w:r w:rsidRPr="00AF7FB1">
        <w:rPr>
          <w:color w:val="000000" w:themeColor="text1"/>
        </w:rPr>
        <w:t xml:space="preserve"> that are published here. Three individuals had good quality data: I18605 with data from 616,997 targeted autosomal SNPs, I21570 with 159,871 SNPs, and I18068 with 84,775 SNPs. Data from three individuals with more marginal results are also reported: I18067 with 16,795 SNPs, I21568 with 4345 SNPs, and I21565 with 2981 SNPs. Finally, data from the two individuals from the Gallo-Roman cemetery of Tongeren </w:t>
      </w:r>
      <w:r w:rsidRPr="00AF7FB1">
        <w:rPr>
          <w:color w:val="000000" w:themeColor="text1"/>
        </w:rPr>
        <w:lastRenderedPageBreak/>
        <w:t>(Belgium) were added, with genome-wide data at 751,084 SNPs (sample I21059) and 667,842 SNPs (sample I21058) was produced using the same methodology.</w:t>
      </w:r>
    </w:p>
    <w:p w14:paraId="20B234DE" w14:textId="03E2E7DB" w:rsidR="00B1095D" w:rsidRPr="00AF7FB1" w:rsidRDefault="00B1095D" w:rsidP="00B1095D">
      <w:pPr>
        <w:spacing w:before="245" w:after="58"/>
        <w:rPr>
          <w:color w:val="000000" w:themeColor="text1"/>
        </w:rPr>
      </w:pPr>
      <w:r w:rsidRPr="00AF7FB1">
        <w:rPr>
          <w:color w:val="000000" w:themeColor="text1"/>
          <w:lang w:val="en-US"/>
        </w:rPr>
        <w:t>The genetic data was</w:t>
      </w:r>
      <w:r w:rsidRPr="00AF7FB1">
        <w:rPr>
          <w:color w:val="000000" w:themeColor="text1"/>
        </w:rPr>
        <w:t xml:space="preserve"> tested to determine whether the</w:t>
      </w:r>
      <w:r w:rsidRPr="00AF7FB1">
        <w:rPr>
          <w:color w:val="000000" w:themeColor="text1"/>
          <w:lang w:val="en-US"/>
        </w:rPr>
        <w:t xml:space="preserve"> samples</w:t>
      </w:r>
      <w:r w:rsidRPr="00AF7FB1">
        <w:rPr>
          <w:color w:val="000000" w:themeColor="text1"/>
        </w:rPr>
        <w:t xml:space="preserve"> were consistent with being from the same person using the same algorithm as employed by the READ software</w:t>
      </w:r>
      <w:r w:rsidR="00EF5CF4">
        <w:rPr>
          <w:color w:val="000000" w:themeColor="text1"/>
          <w:lang w:val="en-US"/>
        </w:rPr>
        <w:t xml:space="preserve"> (Monroy </w:t>
      </w:r>
      <w:r w:rsidR="00005EE4">
        <w:rPr>
          <w:color w:val="000000" w:themeColor="text1"/>
          <w:lang w:val="en-US"/>
        </w:rPr>
        <w:t xml:space="preserve">Kuhn </w:t>
      </w:r>
      <w:r w:rsidR="00EF5CF4" w:rsidRPr="00EF5CF4">
        <w:rPr>
          <w:i/>
          <w:iCs/>
          <w:color w:val="000000" w:themeColor="text1"/>
          <w:lang w:val="en-US"/>
        </w:rPr>
        <w:t>et al.</w:t>
      </w:r>
      <w:r w:rsidR="00EF5CF4">
        <w:rPr>
          <w:color w:val="000000" w:themeColor="text1"/>
          <w:lang w:val="en-US"/>
        </w:rPr>
        <w:t xml:space="preserve"> 2018)</w:t>
      </w:r>
      <w:r w:rsidRPr="00AF7FB1">
        <w:rPr>
          <w:color w:val="000000" w:themeColor="text1"/>
        </w:rPr>
        <w:t xml:space="preserve">. The first measurement for this analysis is the rate </w:t>
      </w:r>
      <w:r w:rsidRPr="00AF7FB1">
        <w:rPr>
          <w:i/>
          <w:iCs/>
          <w:color w:val="000000" w:themeColor="text1"/>
        </w:rPr>
        <w:t>Q</w:t>
      </w:r>
      <w:r w:rsidRPr="00AF7FB1">
        <w:rPr>
          <w:i/>
          <w:iCs/>
          <w:color w:val="000000" w:themeColor="text1"/>
          <w:vertAlign w:val="subscript"/>
        </w:rPr>
        <w:t>ij</w:t>
      </w:r>
      <w:r w:rsidRPr="00AF7FB1">
        <w:rPr>
          <w:i/>
          <w:iCs/>
          <w:color w:val="000000" w:themeColor="text1"/>
        </w:rPr>
        <w:t xml:space="preserve"> </w:t>
      </w:r>
      <w:r w:rsidRPr="00AF7FB1">
        <w:rPr>
          <w:color w:val="000000" w:themeColor="text1"/>
        </w:rPr>
        <w:t xml:space="preserve">at which two samples </w:t>
      </w:r>
      <w:r w:rsidRPr="00AF7FB1">
        <w:rPr>
          <w:i/>
          <w:iCs/>
          <w:color w:val="000000" w:themeColor="text1"/>
        </w:rPr>
        <w:t>i</w:t>
      </w:r>
      <w:r w:rsidRPr="00AF7FB1">
        <w:rPr>
          <w:color w:val="000000" w:themeColor="text1"/>
        </w:rPr>
        <w:t xml:space="preserve"> and </w:t>
      </w:r>
      <w:r w:rsidRPr="00AF7FB1">
        <w:rPr>
          <w:i/>
          <w:iCs/>
          <w:color w:val="000000" w:themeColor="text1"/>
        </w:rPr>
        <w:t>j</w:t>
      </w:r>
      <w:r w:rsidRPr="00AF7FB1">
        <w:rPr>
          <w:color w:val="000000" w:themeColor="text1"/>
        </w:rPr>
        <w:t xml:space="preserve"> mismatch each other at analyzed SNPs, at positions where they both have data from at least one sequence. The second measurement is the average rate </w:t>
      </w:r>
      <w:r w:rsidRPr="00AF7FB1">
        <w:rPr>
          <w:i/>
          <w:iCs/>
          <w:color w:val="000000" w:themeColor="text1"/>
        </w:rPr>
        <w:t>R</w:t>
      </w:r>
      <w:r w:rsidRPr="00AF7FB1">
        <w:rPr>
          <w:color w:val="000000" w:themeColor="text1"/>
        </w:rPr>
        <w:t xml:space="preserve"> of mismatch of two randomly chosen sequences within the same individuals whose parent we assume are not closely related. Since two randomly chosen sequences from the same individual have a 50% chance of coming from the same parent, 2</w:t>
      </w:r>
      <w:r w:rsidRPr="00AF7FB1">
        <w:rPr>
          <w:i/>
          <w:iCs/>
          <w:color w:val="000000" w:themeColor="text1"/>
        </w:rPr>
        <w:t>R</w:t>
      </w:r>
      <w:r w:rsidRPr="00AF7FB1">
        <w:rPr>
          <w:color w:val="000000" w:themeColor="text1"/>
        </w:rPr>
        <w:t xml:space="preserve"> is the mismatch rate expected for unrelated pairs of individuals and </w:t>
      </w:r>
      <w:r w:rsidRPr="00AF7FB1">
        <w:rPr>
          <w:i/>
          <w:iCs/>
          <w:color w:val="000000" w:themeColor="text1"/>
        </w:rPr>
        <w:t>R</w:t>
      </w:r>
      <w:r w:rsidRPr="00AF7FB1">
        <w:rPr>
          <w:color w:val="000000" w:themeColor="text1"/>
        </w:rPr>
        <w:t xml:space="preserve"> is the mismatch rate expected for the same individual, and the degree of relatedness is quantified as </w:t>
      </w:r>
      <w:r w:rsidRPr="00AF7FB1">
        <w:rPr>
          <w:i/>
          <w:iCs/>
          <w:color w:val="000000" w:themeColor="text1"/>
        </w:rPr>
        <w:t>S</w:t>
      </w:r>
      <w:r w:rsidRPr="00AF7FB1">
        <w:rPr>
          <w:i/>
          <w:iCs/>
          <w:color w:val="000000" w:themeColor="text1"/>
          <w:vertAlign w:val="subscript"/>
        </w:rPr>
        <w:t>ij</w:t>
      </w:r>
      <w:r w:rsidRPr="00AF7FB1">
        <w:rPr>
          <w:color w:val="000000" w:themeColor="text1"/>
        </w:rPr>
        <w:t xml:space="preserve"> = 1-((</w:t>
      </w:r>
      <w:r w:rsidRPr="00AF7FB1">
        <w:rPr>
          <w:i/>
          <w:iCs/>
          <w:color w:val="000000" w:themeColor="text1"/>
        </w:rPr>
        <w:t>Q</w:t>
      </w:r>
      <w:r w:rsidRPr="00AF7FB1">
        <w:rPr>
          <w:i/>
          <w:iCs/>
          <w:color w:val="000000" w:themeColor="text1"/>
          <w:vertAlign w:val="subscript"/>
        </w:rPr>
        <w:t>ij</w:t>
      </w:r>
      <w:r w:rsidRPr="00AF7FB1">
        <w:rPr>
          <w:color w:val="000000" w:themeColor="text1"/>
        </w:rPr>
        <w:t>-</w:t>
      </w:r>
      <w:r w:rsidRPr="00AF7FB1">
        <w:rPr>
          <w:i/>
          <w:iCs/>
          <w:color w:val="000000" w:themeColor="text1"/>
        </w:rPr>
        <w:t>R</w:t>
      </w:r>
      <w:r w:rsidRPr="00AF7FB1">
        <w:rPr>
          <w:color w:val="000000" w:themeColor="text1"/>
        </w:rPr>
        <w:t>)/</w:t>
      </w:r>
      <w:r w:rsidRPr="00AF7FB1">
        <w:rPr>
          <w:i/>
          <w:iCs/>
          <w:color w:val="000000" w:themeColor="text1"/>
        </w:rPr>
        <w:t>R</w:t>
      </w:r>
      <w:r w:rsidRPr="00AF7FB1">
        <w:rPr>
          <w:color w:val="000000" w:themeColor="text1"/>
        </w:rPr>
        <w:t xml:space="preserve">), a quantity that will range from 0 for unrelated to 1 for DNA from the same individual. A standard error can also be computed with a Block Jackknife. If </w:t>
      </w:r>
      <w:r w:rsidRPr="00AF7FB1">
        <w:rPr>
          <w:i/>
          <w:iCs/>
          <w:color w:val="000000" w:themeColor="text1"/>
        </w:rPr>
        <w:t>S</w:t>
      </w:r>
      <w:r w:rsidRPr="00AF7FB1">
        <w:rPr>
          <w:i/>
          <w:iCs/>
          <w:color w:val="000000" w:themeColor="text1"/>
          <w:vertAlign w:val="subscript"/>
        </w:rPr>
        <w:t>ij</w:t>
      </w:r>
      <w:r w:rsidRPr="00AF7FB1">
        <w:rPr>
          <w:color w:val="000000" w:themeColor="text1"/>
        </w:rPr>
        <w:t xml:space="preserve"> is confidently less than 1, the possibility that samples </w:t>
      </w:r>
      <w:r w:rsidRPr="00AF7FB1">
        <w:rPr>
          <w:i/>
          <w:iCs/>
          <w:color w:val="000000" w:themeColor="text1"/>
        </w:rPr>
        <w:t>i</w:t>
      </w:r>
      <w:r w:rsidRPr="00AF7FB1">
        <w:rPr>
          <w:color w:val="000000" w:themeColor="text1"/>
        </w:rPr>
        <w:t xml:space="preserve"> and </w:t>
      </w:r>
      <w:r w:rsidRPr="00AF7FB1">
        <w:rPr>
          <w:i/>
          <w:iCs/>
          <w:color w:val="000000" w:themeColor="text1"/>
        </w:rPr>
        <w:t xml:space="preserve">j </w:t>
      </w:r>
      <w:r w:rsidRPr="00AF7FB1">
        <w:rPr>
          <w:color w:val="000000" w:themeColor="text1"/>
        </w:rPr>
        <w:t xml:space="preserve">can be excluded as being from the same person. For comparison between individuals without steppe ancestry, </w:t>
      </w:r>
      <w:r w:rsidRPr="00AF7FB1">
        <w:rPr>
          <w:i/>
          <w:iCs/>
          <w:color w:val="000000" w:themeColor="text1"/>
        </w:rPr>
        <w:t>R</w:t>
      </w:r>
      <w:r w:rsidRPr="00AF7FB1">
        <w:rPr>
          <w:color w:val="000000" w:themeColor="text1"/>
        </w:rPr>
        <w:t xml:space="preserve"> = 0.120 is used, and for comparisons including the individual with steppe ancestry I19605, </w:t>
      </w:r>
      <w:r w:rsidRPr="00AF7FB1">
        <w:rPr>
          <w:i/>
          <w:iCs/>
          <w:color w:val="000000" w:themeColor="text1"/>
        </w:rPr>
        <w:t>R</w:t>
      </w:r>
      <w:r w:rsidRPr="00AF7FB1">
        <w:rPr>
          <w:color w:val="000000" w:themeColor="text1"/>
        </w:rPr>
        <w:t xml:space="preserve"> = 0.131 is used.</w:t>
      </w:r>
    </w:p>
    <w:p w14:paraId="6FA2EEB4" w14:textId="1DA235E6" w:rsidR="00B1095D" w:rsidRPr="00AF7FB1" w:rsidRDefault="00B1095D" w:rsidP="00B1095D">
      <w:pPr>
        <w:spacing w:before="245" w:after="58"/>
        <w:rPr>
          <w:color w:val="000000" w:themeColor="text1"/>
        </w:rPr>
      </w:pPr>
      <w:r w:rsidRPr="00AF7FB1">
        <w:rPr>
          <w:color w:val="000000" w:themeColor="text1"/>
        </w:rPr>
        <w:t xml:space="preserve">A Principal Component Analysis (PCA) on 999 previously published present-day West-Eurasian individuals genotyped on the Affymetrix Human Origins SNP array was carried out using the </w:t>
      </w:r>
      <w:r w:rsidRPr="00AF7FB1">
        <w:rPr>
          <w:i/>
          <w:iCs/>
          <w:color w:val="000000" w:themeColor="text1"/>
        </w:rPr>
        <w:t>smartpca</w:t>
      </w:r>
      <w:r w:rsidRPr="00AF7FB1">
        <w:rPr>
          <w:color w:val="000000" w:themeColor="text1"/>
        </w:rPr>
        <w:t xml:space="preserve"> module of the EIGENSOFT software (version 7.2.1.</w:t>
      </w:r>
      <w:r w:rsidR="00EF5CF4">
        <w:rPr>
          <w:color w:val="000000" w:themeColor="text1"/>
          <w:lang w:val="en-US"/>
        </w:rPr>
        <w:t xml:space="preserve">; Patterson </w:t>
      </w:r>
      <w:r w:rsidR="00EF5CF4" w:rsidRPr="00EF5CF4">
        <w:rPr>
          <w:i/>
          <w:iCs/>
          <w:color w:val="000000" w:themeColor="text1"/>
          <w:lang w:val="en-US"/>
        </w:rPr>
        <w:t>et al.</w:t>
      </w:r>
      <w:r w:rsidR="00EF5CF4">
        <w:rPr>
          <w:color w:val="000000" w:themeColor="text1"/>
          <w:lang w:val="en-US"/>
        </w:rPr>
        <w:t xml:space="preserve"> 2006</w:t>
      </w:r>
      <w:r w:rsidRPr="00AF7FB1">
        <w:rPr>
          <w:color w:val="000000" w:themeColor="text1"/>
        </w:rPr>
        <w:t xml:space="preserve">). Details of the modern individuals and the individual papers in which their data were published are reported in </w:t>
      </w:r>
      <w:r w:rsidR="00F73E7A">
        <w:rPr>
          <w:color w:val="000000" w:themeColor="text1"/>
        </w:rPr>
        <w:t>Table S2</w:t>
      </w:r>
      <w:r w:rsidRPr="00AF7FB1">
        <w:rPr>
          <w:color w:val="000000" w:themeColor="text1"/>
        </w:rPr>
        <w:t>. The newly analysed ancient individuals were projected onto the modern genetic variation using the options lsqproject: YES and shrinkmode: YES.</w:t>
      </w:r>
    </w:p>
    <w:p w14:paraId="58AC6939" w14:textId="0D6F8146" w:rsidR="00B1095D" w:rsidRPr="00AF7FB1" w:rsidRDefault="00B1095D" w:rsidP="00B1095D">
      <w:pPr>
        <w:spacing w:before="245" w:after="58"/>
      </w:pPr>
      <w:r w:rsidRPr="00AF7FB1">
        <w:rPr>
          <w:color w:val="000000"/>
          <w:lang w:val="en-US"/>
        </w:rPr>
        <w:t xml:space="preserve">To </w:t>
      </w:r>
      <w:r w:rsidRPr="00AF7FB1">
        <w:rPr>
          <w:color w:val="000000"/>
        </w:rPr>
        <w:t xml:space="preserve">obtain 95% confidence intervals on the date </w:t>
      </w:r>
      <w:r w:rsidRPr="00AF7FB1">
        <w:rPr>
          <w:color w:val="000000"/>
          <w:lang w:val="en-US"/>
        </w:rPr>
        <w:t xml:space="preserve">separation </w:t>
      </w:r>
      <w:r w:rsidRPr="00AF7FB1">
        <w:rPr>
          <w:color w:val="000000"/>
        </w:rPr>
        <w:t xml:space="preserve">Δt </w:t>
      </w:r>
      <w:r w:rsidRPr="00AF7FB1">
        <w:rPr>
          <w:color w:val="000000"/>
          <w:lang w:val="en-US"/>
        </w:rPr>
        <w:t xml:space="preserve">in generations between two individuals sharing a single segment of long </w:t>
      </w:r>
      <w:r w:rsidRPr="00AF7FB1">
        <w:rPr>
          <w:color w:val="000000"/>
        </w:rPr>
        <w:t xml:space="preserve">IBD </w:t>
      </w:r>
      <w:r w:rsidRPr="00AF7FB1">
        <w:rPr>
          <w:color w:val="000000"/>
          <w:lang w:val="en-US"/>
        </w:rPr>
        <w:t>(</w:t>
      </w:r>
      <w:r w:rsidR="009124D1">
        <w:rPr>
          <w:color w:val="000000"/>
          <w:lang w:val="en-US"/>
        </w:rPr>
        <w:t xml:space="preserve">Identical-by-Descent, </w:t>
      </w:r>
      <w:r w:rsidRPr="00AF7FB1">
        <w:rPr>
          <w:color w:val="000000"/>
          <w:lang w:val="en-US"/>
        </w:rPr>
        <w:t>quantified by genetic length “</w:t>
      </w:r>
      <w:r w:rsidRPr="00AF7FB1">
        <w:rPr>
          <w:color w:val="000000"/>
        </w:rPr>
        <w:t>l</w:t>
      </w:r>
      <w:r w:rsidRPr="00AF7FB1">
        <w:rPr>
          <w:color w:val="000000"/>
          <w:lang w:val="en-US"/>
        </w:rPr>
        <w:t xml:space="preserve">” in units of </w:t>
      </w:r>
      <w:r w:rsidRPr="00AF7FB1">
        <w:rPr>
          <w:color w:val="000000"/>
        </w:rPr>
        <w:t>Morgan</w:t>
      </w:r>
      <w:r w:rsidRPr="00AF7FB1">
        <w:rPr>
          <w:color w:val="000000"/>
          <w:lang w:val="en-US"/>
        </w:rPr>
        <w:t>s), a</w:t>
      </w:r>
      <w:r w:rsidRPr="00AF7FB1">
        <w:rPr>
          <w:color w:val="000000"/>
        </w:rPr>
        <w:t xml:space="preserve"> likelihood-based framework</w:t>
      </w:r>
      <w:r w:rsidRPr="00AF7FB1">
        <w:rPr>
          <w:color w:val="000000"/>
          <w:lang w:val="en-US"/>
        </w:rPr>
        <w:t xml:space="preserve"> was used. Specifically, the probability of observing that </w:t>
      </w:r>
      <w:r w:rsidRPr="00AF7FB1">
        <w:rPr>
          <w:color w:val="000000"/>
        </w:rPr>
        <w:t>two individuals share an IBD of length</w:t>
      </w:r>
      <w:r w:rsidRPr="00AF7FB1">
        <w:rPr>
          <w:i/>
          <w:iCs/>
          <w:color w:val="000000"/>
        </w:rPr>
        <w:t xml:space="preserve"> </w:t>
      </w:r>
      <w:r w:rsidRPr="00AF7FB1">
        <w:rPr>
          <w:color w:val="000000"/>
        </w:rPr>
        <w:t>given a date difference of Δt</w:t>
      </w:r>
      <w:r w:rsidRPr="00AF7FB1">
        <w:rPr>
          <w:i/>
          <w:iCs/>
          <w:color w:val="000000"/>
        </w:rPr>
        <w:t xml:space="preserve"> </w:t>
      </w:r>
      <w:r w:rsidRPr="00AF7FB1">
        <w:rPr>
          <w:color w:val="000000"/>
        </w:rPr>
        <w:t>between the pair of individuals</w:t>
      </w:r>
      <w:r w:rsidRPr="00AF7FB1">
        <w:rPr>
          <w:color w:val="000000"/>
          <w:lang w:val="en-US"/>
        </w:rPr>
        <w:t xml:space="preserve">, </w:t>
      </w:r>
      <w:r w:rsidRPr="00AF7FB1">
        <w:rPr>
          <w:color w:val="000000"/>
        </w:rPr>
        <w:t xml:space="preserve">Pr(IBD of length </w:t>
      </w:r>
      <w:r w:rsidRPr="00AF7FB1">
        <w:rPr>
          <w:i/>
          <w:iCs/>
          <w:color w:val="000000"/>
        </w:rPr>
        <w:t>l</w:t>
      </w:r>
      <w:r w:rsidRPr="00AF7FB1">
        <w:rPr>
          <w:color w:val="000000"/>
        </w:rPr>
        <w:t xml:space="preserve"> | Δt), </w:t>
      </w:r>
      <w:r w:rsidRPr="00AF7FB1">
        <w:rPr>
          <w:color w:val="000000"/>
          <w:lang w:val="en-US"/>
        </w:rPr>
        <w:t>following t</w:t>
      </w:r>
      <w:r w:rsidRPr="00AF7FB1">
        <w:rPr>
          <w:color w:val="000000"/>
        </w:rPr>
        <w:t xml:space="preserve">he framework of Ringbauer </w:t>
      </w:r>
      <w:r w:rsidRPr="00EF5CF4">
        <w:rPr>
          <w:i/>
          <w:iCs/>
          <w:color w:val="000000"/>
        </w:rPr>
        <w:t>et al</w:t>
      </w:r>
      <w:r w:rsidRPr="00EF5CF4">
        <w:rPr>
          <w:i/>
          <w:iCs/>
          <w:color w:val="000000"/>
          <w:lang w:val="en-US"/>
        </w:rPr>
        <w:t>.</w:t>
      </w:r>
      <w:r w:rsidR="00EF5CF4">
        <w:rPr>
          <w:color w:val="000000"/>
          <w:lang w:val="en-US"/>
        </w:rPr>
        <w:t xml:space="preserve"> (2021)</w:t>
      </w:r>
      <w:r w:rsidRPr="00AF7FB1">
        <w:rPr>
          <w:color w:val="000000"/>
        </w:rPr>
        <w:t xml:space="preserve"> to obtain the expected number of IBD of length l. This framework </w:t>
      </w:r>
      <w:r w:rsidRPr="00AF7FB1">
        <w:rPr>
          <w:color w:val="000000"/>
          <w:lang w:val="en-US"/>
        </w:rPr>
        <w:t>computes</w:t>
      </w:r>
      <w:r w:rsidRPr="00AF7FB1">
        <w:rPr>
          <w:color w:val="000000"/>
        </w:rPr>
        <w:t xml:space="preserve"> the density of the expected number of IBD of length l (</w:t>
      </w:r>
      <w:r w:rsidRPr="00F73E7A">
        <w:rPr>
          <w:color w:val="000000"/>
        </w:rPr>
        <w:t>see Supplement Information, Equ. 7</w:t>
      </w:r>
      <w:r w:rsidRPr="00AF7FB1">
        <w:rPr>
          <w:color w:val="000000"/>
        </w:rPr>
        <w:t>) as:</w:t>
      </w:r>
    </w:p>
    <w:p w14:paraId="694D9708" w14:textId="77777777" w:rsidR="00B1095D" w:rsidRPr="00AF7FB1" w:rsidRDefault="00B1095D" w:rsidP="00B1095D">
      <w:pPr>
        <w:spacing w:before="245" w:after="58"/>
        <w:rPr>
          <w:lang w:val="nl-NL"/>
        </w:rPr>
      </w:pPr>
      <m:oMathPara>
        <m:oMath>
          <m:r>
            <w:rPr>
              <w:rFonts w:ascii="Cambria Math" w:hAnsi="Cambria Math"/>
              <w:lang w:val="nl-NL"/>
            </w:rPr>
            <m:t>ƒ</m:t>
          </m:r>
          <m:d>
            <m:dPr>
              <m:ctrlPr>
                <w:rPr>
                  <w:rFonts w:ascii="Cambria Math" w:hAnsi="Cambria Math"/>
                  <w:i/>
                  <w:lang w:val="nl-NL"/>
                </w:rPr>
              </m:ctrlPr>
            </m:dPr>
            <m:e>
              <m:r>
                <w:rPr>
                  <w:rFonts w:ascii="Cambria Math" w:hAnsi="Cambria Math"/>
                  <w:lang w:val="nl-NL"/>
                </w:rPr>
                <m:t>l</m:t>
              </m:r>
            </m:e>
          </m:d>
          <m:r>
            <w:rPr>
              <w:rFonts w:ascii="Cambria Math" w:hAnsi="Cambria Math"/>
              <w:lang w:val="nl-NL"/>
            </w:rPr>
            <m:t>dl</m:t>
          </m:r>
          <m:nary>
            <m:naryPr>
              <m:limLoc m:val="undOvr"/>
              <m:ctrlPr>
                <w:rPr>
                  <w:rFonts w:ascii="Cambria Math" w:hAnsi="Cambria Math"/>
                  <w:i/>
                  <w:lang w:val="nl-NL"/>
                </w:rPr>
              </m:ctrlPr>
            </m:naryPr>
            <m:sub>
              <m:r>
                <w:rPr>
                  <w:rFonts w:ascii="Cambria Math" w:hAnsi="Cambria Math"/>
                  <w:lang w:val="nl-NL"/>
                </w:rPr>
                <m:t>0</m:t>
              </m:r>
            </m:sub>
            <m:sup>
              <m:r>
                <w:rPr>
                  <w:rFonts w:ascii="Cambria Math" w:hAnsi="Cambria Math"/>
                  <w:lang w:val="nl-NL"/>
                </w:rPr>
                <m:t>∞</m:t>
              </m:r>
            </m:sup>
            <m:e>
              <m:r>
                <w:rPr>
                  <w:rFonts w:ascii="Cambria Math" w:hAnsi="Cambria Math"/>
                  <w:lang w:val="nl-NL"/>
                </w:rPr>
                <m:t>dt b</m:t>
              </m:r>
              <m:d>
                <m:dPr>
                  <m:ctrlPr>
                    <w:rPr>
                      <w:rFonts w:ascii="Cambria Math" w:hAnsi="Cambria Math"/>
                      <w:i/>
                      <w:lang w:val="nl-NL"/>
                    </w:rPr>
                  </m:ctrlPr>
                </m:dPr>
                <m:e>
                  <m:r>
                    <w:rPr>
                      <w:rFonts w:ascii="Cambria Math" w:hAnsi="Cambria Math"/>
                      <w:lang w:val="nl-NL"/>
                    </w:rPr>
                    <m:t>l</m:t>
                  </m:r>
                </m:e>
                <m:e>
                  <m:r>
                    <w:rPr>
                      <w:rFonts w:ascii="Cambria Math" w:hAnsi="Cambria Math"/>
                      <w:lang w:val="nl-NL"/>
                    </w:rPr>
                    <m:t>t</m:t>
                  </m:r>
                </m:e>
              </m:d>
            </m:e>
          </m:nary>
          <m:r>
            <w:rPr>
              <w:rFonts w:ascii="Cambria Math" w:hAnsi="Cambria Math"/>
              <w:lang w:val="nl-NL"/>
            </w:rPr>
            <m:t>ψ</m:t>
          </m:r>
          <m:d>
            <m:dPr>
              <m:ctrlPr>
                <w:rPr>
                  <w:rFonts w:ascii="Cambria Math" w:hAnsi="Cambria Math"/>
                  <w:i/>
                  <w:lang w:val="nl-NL"/>
                </w:rPr>
              </m:ctrlPr>
            </m:dPr>
            <m:e>
              <m:r>
                <w:rPr>
                  <w:rFonts w:ascii="Cambria Math" w:hAnsi="Cambria Math"/>
                  <w:lang w:val="nl-NL"/>
                </w:rPr>
                <m:t>t</m:t>
              </m:r>
            </m:e>
          </m:d>
          <m:r>
            <w:rPr>
              <w:rFonts w:ascii="Cambria Math" w:hAnsi="Cambria Math"/>
              <w:lang w:val="nl-NL"/>
            </w:rPr>
            <m:t>dl</m:t>
          </m:r>
        </m:oMath>
      </m:oMathPara>
    </w:p>
    <w:p w14:paraId="60A7FA40" w14:textId="2464BF43" w:rsidR="00B1095D" w:rsidRPr="00AF7FB1" w:rsidRDefault="00B1095D" w:rsidP="00B1095D">
      <w:pPr>
        <w:spacing w:before="245" w:after="58"/>
        <w:rPr>
          <w:color w:val="000000"/>
        </w:rPr>
      </w:pPr>
      <w:r w:rsidRPr="00AF7FB1">
        <w:rPr>
          <w:color w:val="000000"/>
        </w:rPr>
        <w:t xml:space="preserve">where </w:t>
      </w:r>
      <m:oMath>
        <m:r>
          <w:rPr>
            <w:rFonts w:ascii="Cambria Math" w:hAnsi="Cambria Math"/>
            <w:lang w:val="nl-NL"/>
          </w:rPr>
          <m:t>ψ</m:t>
        </m:r>
        <m:d>
          <m:dPr>
            <m:ctrlPr>
              <w:rPr>
                <w:rFonts w:ascii="Cambria Math" w:hAnsi="Cambria Math"/>
                <w:i/>
                <w:lang w:val="nl-NL"/>
              </w:rPr>
            </m:ctrlPr>
          </m:dPr>
          <m:e>
            <m:r>
              <w:rPr>
                <w:rFonts w:ascii="Cambria Math" w:hAnsi="Cambria Math"/>
                <w:lang w:val="nl-NL"/>
              </w:rPr>
              <m:t>t</m:t>
            </m:r>
          </m:e>
        </m:d>
      </m:oMath>
      <w:r w:rsidRPr="00AF7FB1">
        <w:rPr>
          <w:color w:val="000000"/>
        </w:rPr>
        <w:t xml:space="preserve"> denotes the single locus coalescent probability, and </w:t>
      </w:r>
      <m:oMath>
        <m:r>
          <w:rPr>
            <w:rFonts w:ascii="Cambria Math" w:hAnsi="Cambria Math"/>
            <w:lang w:val="nl-NL"/>
          </w:rPr>
          <m:t>b</m:t>
        </m:r>
        <m:d>
          <m:dPr>
            <m:ctrlPr>
              <w:rPr>
                <w:rFonts w:ascii="Cambria Math" w:hAnsi="Cambria Math"/>
                <w:i/>
                <w:lang w:val="nl-NL"/>
              </w:rPr>
            </m:ctrlPr>
          </m:dPr>
          <m:e>
            <m:r>
              <w:rPr>
                <w:rFonts w:ascii="Cambria Math" w:hAnsi="Cambria Math"/>
                <w:lang w:val="nl-NL"/>
              </w:rPr>
              <m:t>l</m:t>
            </m:r>
          </m:e>
          <m:e>
            <m:r>
              <w:rPr>
                <w:rFonts w:ascii="Cambria Math" w:hAnsi="Cambria Math"/>
                <w:lang w:val="nl-NL"/>
              </w:rPr>
              <m:t>t</m:t>
            </m:r>
          </m:e>
        </m:d>
      </m:oMath>
      <w:r w:rsidRPr="00AF7FB1">
        <w:rPr>
          <w:color w:val="000000"/>
        </w:rPr>
        <w:t xml:space="preserve"> is the expected number of overlapping of blocks of length  </w:t>
      </w:r>
      <w:r w:rsidRPr="00AF7FB1">
        <w:rPr>
          <w:i/>
          <w:iCs/>
          <w:color w:val="000000"/>
        </w:rPr>
        <w:t xml:space="preserve">l </w:t>
      </w:r>
      <w:r w:rsidRPr="00AF7FB1">
        <w:rPr>
          <w:color w:val="000000"/>
        </w:rPr>
        <w:t> caused by recombination</w:t>
      </w:r>
      <w:r w:rsidRPr="00AF7FB1">
        <w:rPr>
          <w:i/>
          <w:iCs/>
          <w:color w:val="000000"/>
        </w:rPr>
        <w:t xml:space="preserve"> t </w:t>
      </w:r>
      <w:r w:rsidRPr="00AF7FB1">
        <w:rPr>
          <w:color w:val="000000"/>
        </w:rPr>
        <w:t xml:space="preserve">generations ago. The latter, </w:t>
      </w:r>
      <m:oMath>
        <m:r>
          <w:rPr>
            <w:rFonts w:ascii="Cambria Math" w:hAnsi="Cambria Math"/>
            <w:lang w:val="nl-NL"/>
          </w:rPr>
          <m:t>b</m:t>
        </m:r>
        <m:d>
          <m:dPr>
            <m:ctrlPr>
              <w:rPr>
                <w:rFonts w:ascii="Cambria Math" w:hAnsi="Cambria Math"/>
                <w:i/>
                <w:lang w:val="nl-NL"/>
              </w:rPr>
            </m:ctrlPr>
          </m:dPr>
          <m:e>
            <m:r>
              <w:rPr>
                <w:rFonts w:ascii="Cambria Math" w:hAnsi="Cambria Math"/>
                <w:lang w:val="nl-NL"/>
              </w:rPr>
              <m:t>l</m:t>
            </m:r>
          </m:e>
          <m:e>
            <m:r>
              <w:rPr>
                <w:rFonts w:ascii="Cambria Math" w:hAnsi="Cambria Math"/>
                <w:lang w:val="nl-NL"/>
              </w:rPr>
              <m:t>t</m:t>
            </m:r>
          </m:e>
        </m:d>
      </m:oMath>
      <w:r w:rsidRPr="00AF7FB1">
        <w:rPr>
          <w:color w:val="000000"/>
        </w:rPr>
        <w:t xml:space="preserve">, is a simple analytic expression, given explicitly by Ringbauer </w:t>
      </w:r>
      <w:r w:rsidRPr="00EF5CF4">
        <w:rPr>
          <w:i/>
          <w:iCs/>
          <w:color w:val="000000"/>
        </w:rPr>
        <w:t>et al</w:t>
      </w:r>
      <w:r w:rsidRPr="00EF5CF4">
        <w:rPr>
          <w:i/>
          <w:iCs/>
          <w:color w:val="000000"/>
          <w:lang w:val="en-US"/>
        </w:rPr>
        <w:t>.</w:t>
      </w:r>
      <w:r w:rsidR="00EF5CF4">
        <w:rPr>
          <w:color w:val="000000"/>
          <w:lang w:val="en-US"/>
        </w:rPr>
        <w:t xml:space="preserve"> (2021)</w:t>
      </w:r>
    </w:p>
    <w:p w14:paraId="27385C1E" w14:textId="77777777" w:rsidR="00B1095D" w:rsidRPr="00AF7FB1" w:rsidRDefault="00B1095D" w:rsidP="00B1095D">
      <w:pPr>
        <w:spacing w:before="245" w:after="58"/>
      </w:pPr>
      <m:oMath>
        <m:r>
          <w:rPr>
            <w:rFonts w:ascii="Cambria Math" w:hAnsi="Cambria Math"/>
            <w:lang w:val="nl-NL"/>
          </w:rPr>
          <m:t>ψ</m:t>
        </m:r>
        <m:d>
          <m:dPr>
            <m:ctrlPr>
              <w:rPr>
                <w:rFonts w:ascii="Cambria Math" w:hAnsi="Cambria Math"/>
                <w:i/>
                <w:lang w:val="nl-NL"/>
              </w:rPr>
            </m:ctrlPr>
          </m:dPr>
          <m:e>
            <m:r>
              <w:rPr>
                <w:rFonts w:ascii="Cambria Math" w:hAnsi="Cambria Math"/>
                <w:lang w:val="nl-NL"/>
              </w:rPr>
              <m:t>t</m:t>
            </m:r>
          </m:e>
        </m:d>
      </m:oMath>
      <w:r w:rsidRPr="00AF7FB1">
        <w:rPr>
          <w:lang w:val="en-US"/>
        </w:rPr>
        <w:t xml:space="preserve"> is approximated by </w:t>
      </w:r>
      <w:r w:rsidRPr="00AF7FB1">
        <w:rPr>
          <w:color w:val="000000"/>
        </w:rPr>
        <w:t>assum</w:t>
      </w:r>
      <w:r w:rsidRPr="00AF7FB1">
        <w:rPr>
          <w:color w:val="000000"/>
          <w:lang w:val="en-US"/>
        </w:rPr>
        <w:t>ing</w:t>
      </w:r>
      <w:r w:rsidRPr="00AF7FB1">
        <w:rPr>
          <w:color w:val="000000"/>
        </w:rPr>
        <w:t xml:space="preserve"> that both samples are part of a population of size N</w:t>
      </w:r>
      <w:r w:rsidRPr="00AF7FB1">
        <w:rPr>
          <w:color w:val="000000"/>
          <w:vertAlign w:val="subscript"/>
        </w:rPr>
        <w:t>e</w:t>
      </w:r>
      <w:r w:rsidRPr="00AF7FB1">
        <w:rPr>
          <w:color w:val="000000"/>
        </w:rPr>
        <w:t>. If the two samples are separated by Δt generations, coalescence becomes possible at the generation of the earlier sample, and the single locus coalescence probability then becomes the single locus probability of a panmictic population:</w:t>
      </w:r>
      <w:r w:rsidRPr="00AF7FB1">
        <w:rPr>
          <w:color w:val="000000"/>
        </w:rPr>
        <w:br/>
      </w:r>
      <w:r w:rsidRPr="00AF7FB1">
        <w:rPr>
          <w:color w:val="000000"/>
        </w:rPr>
        <w:br/>
      </w:r>
    </w:p>
    <w:p w14:paraId="3832AFD5" w14:textId="77777777" w:rsidR="00B1095D" w:rsidRPr="00AF7FB1" w:rsidRDefault="00B1095D" w:rsidP="00B1095D">
      <w:pPr>
        <w:spacing w:before="245" w:after="58"/>
      </w:pPr>
      <m:oMathPara>
        <m:oMath>
          <m:r>
            <w:rPr>
              <w:rFonts w:ascii="Cambria Math" w:hAnsi="Cambria Math"/>
            </w:rPr>
            <w:lastRenderedPageBreak/>
            <m:t>ψ</m:t>
          </m:r>
          <m:d>
            <m:dPr>
              <m:ctrlPr>
                <w:rPr>
                  <w:rFonts w:ascii="Cambria Math" w:hAnsi="Cambria Math"/>
                  <w:i/>
                </w:rPr>
              </m:ctrlPr>
            </m:dPr>
            <m:e>
              <m:r>
                <w:rPr>
                  <w:rFonts w:ascii="Cambria Math" w:hAnsi="Cambria Math"/>
                </w:rPr>
                <m:t>t</m:t>
              </m:r>
            </m:e>
          </m:d>
          <m:r>
            <w:rPr>
              <w:rFonts w:ascii="Cambria Math" w:hAnsi="Cambria Math"/>
            </w:rPr>
            <m:t>=</m:t>
          </m:r>
          <m:r>
            <m:rPr>
              <m:sty m:val="p"/>
            </m:rPr>
            <w:rPr>
              <w:rFonts w:ascii="Cambria Math" w:hAnsi="Cambria Math"/>
            </w:rPr>
            <m:t>exp⁡</m:t>
          </m:r>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Ne</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2Ne</m:t>
              </m:r>
            </m:den>
          </m:f>
        </m:oMath>
      </m:oMathPara>
    </w:p>
    <w:p w14:paraId="0B905C6B" w14:textId="77777777" w:rsidR="00B1095D" w:rsidRPr="00AF7FB1" w:rsidRDefault="00B1095D" w:rsidP="00B1095D">
      <w:pPr>
        <w:spacing w:before="245" w:after="58"/>
      </w:pPr>
    </w:p>
    <w:p w14:paraId="3C3626C6" w14:textId="424346B1" w:rsidR="00B1095D" w:rsidRPr="00AF7FB1" w:rsidRDefault="00B1095D" w:rsidP="00B1095D">
      <w:pPr>
        <w:spacing w:before="245" w:after="58"/>
      </w:pPr>
      <w:r w:rsidRPr="00AF7FB1">
        <w:rPr>
          <w:color w:val="000000"/>
        </w:rPr>
        <w:t xml:space="preserve">when time t is measured in generations before the earlier sample. Plugging that </w:t>
      </w:r>
      <m:oMath>
        <m:r>
          <w:rPr>
            <w:rFonts w:ascii="Cambria Math" w:hAnsi="Cambria Math"/>
            <w:lang w:val="nl-NL"/>
          </w:rPr>
          <m:t>ψ</m:t>
        </m:r>
        <m:d>
          <m:dPr>
            <m:ctrlPr>
              <w:rPr>
                <w:rFonts w:ascii="Cambria Math" w:hAnsi="Cambria Math"/>
                <w:i/>
                <w:lang w:val="nl-NL"/>
              </w:rPr>
            </m:ctrlPr>
          </m:dPr>
          <m:e>
            <m:r>
              <w:rPr>
                <w:rFonts w:ascii="Cambria Math" w:hAnsi="Cambria Math"/>
                <w:lang w:val="nl-NL"/>
              </w:rPr>
              <m:t>t</m:t>
            </m:r>
          </m:e>
        </m:d>
      </m:oMath>
      <w:r w:rsidRPr="00AF7FB1">
        <w:rPr>
          <w:color w:val="000000"/>
        </w:rPr>
        <w:t xml:space="preserve">into the above integral </w:t>
      </w:r>
      <w:r w:rsidRPr="00AF7FB1">
        <w:rPr>
          <w:color w:val="000000"/>
          <w:lang w:val="en-US"/>
        </w:rPr>
        <w:t xml:space="preserve">makes it possible </w:t>
      </w:r>
      <w:r w:rsidRPr="00AF7FB1">
        <w:rPr>
          <w:color w:val="000000"/>
        </w:rPr>
        <w:t xml:space="preserve">to calculate </w:t>
      </w:r>
      <m:oMath>
        <m:r>
          <w:rPr>
            <w:rFonts w:ascii="Cambria Math" w:hAnsi="Cambria Math"/>
            <w:lang w:val="en-US"/>
          </w:rPr>
          <m:t>ƒ</m:t>
        </m:r>
        <m:d>
          <m:dPr>
            <m:ctrlPr>
              <w:rPr>
                <w:rFonts w:ascii="Cambria Math" w:hAnsi="Cambria Math"/>
                <w:i/>
                <w:lang w:val="nl-NL"/>
              </w:rPr>
            </m:ctrlPr>
          </m:dPr>
          <m:e>
            <m:r>
              <w:rPr>
                <w:rFonts w:ascii="Cambria Math" w:hAnsi="Cambria Math"/>
                <w:lang w:val="nl-NL"/>
              </w:rPr>
              <m:t>l</m:t>
            </m:r>
          </m:e>
        </m:d>
      </m:oMath>
      <w:r w:rsidRPr="00AF7FB1">
        <w:rPr>
          <w:color w:val="000000"/>
        </w:rPr>
        <w:t xml:space="preserve">. The probability of observing an IBD of length l, Pr(IBD of length l | Δt), can be approximated </w:t>
      </w:r>
      <w:r w:rsidRPr="00AF7FB1">
        <w:rPr>
          <w:color w:val="000000"/>
          <w:lang w:val="en-US"/>
        </w:rPr>
        <w:t xml:space="preserve">as </w:t>
      </w:r>
      <w:r w:rsidRPr="00AF7FB1">
        <w:rPr>
          <w:color w:val="000000"/>
        </w:rPr>
        <w:t xml:space="preserve">proportional to this quantity </w:t>
      </w:r>
      <m:oMath>
        <m:r>
          <w:rPr>
            <w:rFonts w:ascii="Cambria Math" w:hAnsi="Cambria Math"/>
            <w:lang w:val="en-US"/>
          </w:rPr>
          <m:t>ƒ</m:t>
        </m:r>
        <m:d>
          <m:dPr>
            <m:ctrlPr>
              <w:rPr>
                <w:rFonts w:ascii="Cambria Math" w:hAnsi="Cambria Math"/>
                <w:i/>
                <w:lang w:val="nl-NL"/>
              </w:rPr>
            </m:ctrlPr>
          </m:dPr>
          <m:e>
            <m:r>
              <w:rPr>
                <w:rFonts w:ascii="Cambria Math" w:hAnsi="Cambria Math"/>
                <w:lang w:val="nl-NL"/>
              </w:rPr>
              <m:t>l</m:t>
            </m:r>
          </m:e>
        </m:d>
        <m:r>
          <w:rPr>
            <w:rFonts w:ascii="Cambria Math" w:hAnsi="Cambria Math"/>
            <w:lang w:val="en-US"/>
          </w:rPr>
          <m:t xml:space="preserve"> </m:t>
        </m:r>
      </m:oMath>
      <w:r w:rsidRPr="00AF7FB1">
        <w:rPr>
          <w:color w:val="000000"/>
        </w:rPr>
        <w:t>because, in the limit of small IBD length bins, the probability of observing an IBD in a length bin converges to a Bernoulli distribution with the chance of success equaling the expected value. Here, the constant of proportionality</w:t>
      </w:r>
      <w:r w:rsidRPr="00AF7FB1">
        <w:rPr>
          <w:color w:val="000000"/>
          <w:lang w:val="en-US"/>
        </w:rPr>
        <w:t xml:space="preserve"> is ignored</w:t>
      </w:r>
      <w:r w:rsidRPr="00AF7FB1">
        <w:rPr>
          <w:color w:val="000000"/>
        </w:rPr>
        <w:t>, as log-likelihood-based inference schemes remain invariant to such constant terms.</w:t>
      </w:r>
      <w:r w:rsidRPr="00AF7FB1">
        <w:rPr>
          <w:lang w:val="en-US"/>
        </w:rPr>
        <w:t xml:space="preserve"> </w:t>
      </w:r>
      <w:r w:rsidRPr="00AF7FB1">
        <w:rPr>
          <w:color w:val="000000"/>
        </w:rPr>
        <w:t xml:space="preserve">These approximations allow to calculate Pr(IBD of length l | Δt) for various Δt, </w:t>
      </w:r>
      <w:r w:rsidRPr="00AF7FB1">
        <w:rPr>
          <w:color w:val="000000"/>
          <w:lang w:val="en-US"/>
        </w:rPr>
        <w:t>that is,</w:t>
      </w:r>
      <w:r w:rsidRPr="00AF7FB1">
        <w:rPr>
          <w:color w:val="000000"/>
        </w:rPr>
        <w:t xml:space="preserve"> the likelihood. To now obtain 95 percent confidence intervals for Δt, we use the standard 1.92 rule for log-likelihoods</w:t>
      </w:r>
      <w:r w:rsidRPr="00AF7FB1">
        <w:rPr>
          <w:color w:val="000000"/>
          <w:lang w:val="en-US"/>
        </w:rPr>
        <w:t>,</w:t>
      </w:r>
      <w:r w:rsidRPr="00AF7FB1">
        <w:rPr>
          <w:color w:val="000000"/>
        </w:rPr>
        <w:t xml:space="preserve"> </w:t>
      </w:r>
      <w:r w:rsidRPr="00AF7FB1">
        <w:rPr>
          <w:color w:val="000000"/>
          <w:lang w:val="en-US"/>
        </w:rPr>
        <w:t>estimating</w:t>
      </w:r>
      <w:r w:rsidRPr="00AF7FB1">
        <w:rPr>
          <w:color w:val="000000"/>
        </w:rPr>
        <w:t xml:space="preserve"> that the 95% confidence interval of a single parameter is approximately equal to the interval where the log-likelihood remains within 1.92 units of the maximum log-likelihood</w:t>
      </w:r>
      <w:r w:rsidR="00EF5CF4">
        <w:rPr>
          <w:color w:val="000000"/>
          <w:lang w:val="en-US"/>
        </w:rPr>
        <w:t xml:space="preserve"> (Rossi 2018)</w:t>
      </w:r>
      <w:r w:rsidRPr="00AF7FB1">
        <w:rPr>
          <w:color w:val="000000"/>
          <w:lang w:val="en-US"/>
        </w:rPr>
        <w:t>.</w:t>
      </w:r>
      <w:r w:rsidRPr="00AF7FB1">
        <w:rPr>
          <w:color w:val="000000"/>
        </w:rPr>
        <w:t xml:space="preserve"> </w:t>
      </w:r>
    </w:p>
    <w:p w14:paraId="047A52B9" w14:textId="77777777" w:rsidR="00B1095D" w:rsidRPr="00AF7FB1" w:rsidRDefault="00B1095D" w:rsidP="00B1095D">
      <w:pPr>
        <w:rPr>
          <w:color w:val="000000"/>
        </w:rPr>
      </w:pPr>
    </w:p>
    <w:p w14:paraId="63C4400C" w14:textId="77777777" w:rsidR="00B1095D" w:rsidRPr="00AF7FB1" w:rsidRDefault="00B1095D" w:rsidP="00B1095D">
      <w:r w:rsidRPr="00AF7FB1">
        <w:rPr>
          <w:color w:val="000000"/>
        </w:rPr>
        <w:t xml:space="preserve">We applied </w:t>
      </w:r>
      <w:r w:rsidRPr="00AF7FB1">
        <w:rPr>
          <w:color w:val="000000"/>
          <w:lang w:val="en-US"/>
        </w:rPr>
        <w:t xml:space="preserve">this approach </w:t>
      </w:r>
      <w:r w:rsidRPr="00AF7FB1">
        <w:rPr>
          <w:color w:val="000000"/>
        </w:rPr>
        <w:t>to estimate confidence intervals on the date difference between the Pommereoul sample (I18605) and the long IBD that it shares with the two Tongeren siblings. We treat the Tongeren full siblings as a single IBD sharing event, as it is the same IBD segment that is shared.</w:t>
      </w:r>
    </w:p>
    <w:p w14:paraId="7AD9F914" w14:textId="0ABF5E74" w:rsidR="00B1095D" w:rsidRDefault="00B1095D" w:rsidP="00B1095D">
      <w:pPr>
        <w:rPr>
          <w:color w:val="000000"/>
        </w:rPr>
      </w:pPr>
      <w:r w:rsidRPr="00AF7FB1">
        <w:br/>
      </w:r>
      <w:r w:rsidRPr="00AF7FB1">
        <w:rPr>
          <w:color w:val="000000"/>
        </w:rPr>
        <w:t>Setting the shared IBD length to the inferred length of 0.160 Morgan, we obtain a 95% confidence interval of separation of up to 28 generations apart (see Fig. SX). We note that we assumed a constant population size of N</w:t>
      </w:r>
      <w:r w:rsidRPr="00AF7FB1">
        <w:rPr>
          <w:color w:val="000000"/>
          <w:vertAlign w:val="subscript"/>
        </w:rPr>
        <w:t>e</w:t>
      </w:r>
      <w:r w:rsidRPr="00AF7FB1">
        <w:rPr>
          <w:color w:val="000000"/>
        </w:rPr>
        <w:t>=10,000. However, setting N</w:t>
      </w:r>
      <w:r w:rsidRPr="00AF7FB1">
        <w:rPr>
          <w:color w:val="000000"/>
          <w:vertAlign w:val="subscript"/>
        </w:rPr>
        <w:t>e</w:t>
      </w:r>
      <w:r w:rsidRPr="00AF7FB1">
        <w:rPr>
          <w:color w:val="000000"/>
        </w:rPr>
        <w:t>=1,000 or 100,000 gives the same confidence interval, likely because of the fact that on the timeframe relevant for sharing long IBD all but extremely small N</w:t>
      </w:r>
      <w:r w:rsidRPr="00AF7FB1">
        <w:rPr>
          <w:color w:val="000000"/>
          <w:vertAlign w:val="subscript"/>
        </w:rPr>
        <w:t>e</w:t>
      </w:r>
      <w:r w:rsidRPr="00AF7FB1">
        <w:rPr>
          <w:color w:val="000000"/>
        </w:rPr>
        <w:t xml:space="preserve"> produce effectively constant coalescent probabilities across generations.</w:t>
      </w:r>
    </w:p>
    <w:p w14:paraId="6A9746B4" w14:textId="77777777" w:rsidR="00AF7E08" w:rsidRPr="00AF7FB1" w:rsidRDefault="00AF7E08" w:rsidP="00B1095D">
      <w:pPr>
        <w:rPr>
          <w:color w:val="000000"/>
        </w:rPr>
      </w:pPr>
    </w:p>
    <w:p w14:paraId="1735639D" w14:textId="7F2D39BE" w:rsidR="00B1095D" w:rsidRPr="00AF7FB1" w:rsidRDefault="00AF7E08" w:rsidP="00B1095D">
      <w:pPr>
        <w:rPr>
          <w:bdr w:val="none" w:sz="0" w:space="0" w:color="auto" w:frame="1"/>
        </w:rPr>
      </w:pPr>
      <w:r>
        <w:rPr>
          <w:noProof/>
          <w:bdr w:val="none" w:sz="0" w:space="0" w:color="auto" w:frame="1"/>
        </w:rPr>
        <w:lastRenderedPageBreak/>
        <w:drawing>
          <wp:inline distT="0" distB="0" distL="0" distR="0" wp14:anchorId="050D33B3" wp14:editId="45CDCBFC">
            <wp:extent cx="4152900" cy="4025900"/>
            <wp:effectExtent l="0" t="0" r="0" b="0"/>
            <wp:docPr id="1" name="Picture 1" descr="A graph of a lin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line with a red li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152900" cy="4025900"/>
                    </a:xfrm>
                    <a:prstGeom prst="rect">
                      <a:avLst/>
                    </a:prstGeom>
                  </pic:spPr>
                </pic:pic>
              </a:graphicData>
            </a:graphic>
          </wp:inline>
        </w:drawing>
      </w:r>
    </w:p>
    <w:p w14:paraId="763B2E83" w14:textId="0E47F84B" w:rsidR="00B1095D" w:rsidRDefault="00B1095D" w:rsidP="00B1095D">
      <w:pPr>
        <w:rPr>
          <w:color w:val="000000"/>
        </w:rPr>
      </w:pPr>
      <w:r w:rsidRPr="00AF7FB1">
        <w:rPr>
          <w:bdr w:val="none" w:sz="0" w:space="0" w:color="auto" w:frame="1"/>
          <w:lang w:val="en-US"/>
        </w:rPr>
        <w:t xml:space="preserve">Figure </w:t>
      </w:r>
      <w:r w:rsidR="00BF518E">
        <w:rPr>
          <w:bdr w:val="none" w:sz="0" w:space="0" w:color="auto" w:frame="1"/>
          <w:lang w:val="en-US"/>
        </w:rPr>
        <w:t>S</w:t>
      </w:r>
      <w:r w:rsidR="00BF5236">
        <w:rPr>
          <w:bdr w:val="none" w:sz="0" w:space="0" w:color="auto" w:frame="1"/>
          <w:lang w:val="en-US"/>
        </w:rPr>
        <w:t>2</w:t>
      </w:r>
      <w:r w:rsidRPr="00AF7FB1">
        <w:rPr>
          <w:bdr w:val="none" w:sz="0" w:space="0" w:color="auto" w:frame="1"/>
          <w:lang w:val="en-US"/>
        </w:rPr>
        <w:t xml:space="preserve">. </w:t>
      </w:r>
      <w:r w:rsidRPr="00AF7FB1">
        <w:rPr>
          <w:color w:val="000000"/>
        </w:rPr>
        <w:t>SX: Log-likelihood curve of date difference between Pommereoul and the two Tongeren full siblings.</w:t>
      </w:r>
    </w:p>
    <w:p w14:paraId="1231E1F7" w14:textId="1EB682E5" w:rsidR="00BF5236" w:rsidRDefault="00BF5236" w:rsidP="00B1095D">
      <w:pPr>
        <w:rPr>
          <w:color w:val="000000"/>
        </w:rPr>
      </w:pPr>
    </w:p>
    <w:p w14:paraId="5AC84D94" w14:textId="77777777" w:rsidR="00BF5236" w:rsidRDefault="00BF5236" w:rsidP="00B1095D">
      <w:pPr>
        <w:rPr>
          <w:color w:val="000000"/>
        </w:rPr>
      </w:pPr>
    </w:p>
    <w:p w14:paraId="3F6E49FD" w14:textId="0519448F" w:rsidR="00AF7FB1" w:rsidRDefault="00AF7FB1" w:rsidP="00B1095D">
      <w:pPr>
        <w:rPr>
          <w:color w:val="000000"/>
        </w:rPr>
      </w:pPr>
    </w:p>
    <w:p w14:paraId="3567C6AA" w14:textId="0503FEA6" w:rsidR="00AF7FB1" w:rsidRPr="00EF5CF4" w:rsidRDefault="00AF7FB1" w:rsidP="00B1095D">
      <w:pPr>
        <w:rPr>
          <w:b/>
          <w:bCs/>
          <w:color w:val="000000"/>
          <w:lang w:val="nl-NL"/>
        </w:rPr>
      </w:pPr>
      <w:r w:rsidRPr="00EF5CF4">
        <w:rPr>
          <w:b/>
          <w:bCs/>
          <w:color w:val="000000"/>
          <w:lang w:val="nl-NL"/>
        </w:rPr>
        <w:t>References</w:t>
      </w:r>
    </w:p>
    <w:p w14:paraId="59A3A513" w14:textId="35256EF1" w:rsidR="00AF7FB1" w:rsidRDefault="00AF7FB1" w:rsidP="00B1095D">
      <w:pPr>
        <w:rPr>
          <w:color w:val="000000"/>
        </w:rPr>
      </w:pPr>
    </w:p>
    <w:p w14:paraId="0A907B3E" w14:textId="77777777" w:rsidR="00005EE4" w:rsidRPr="00C1771C" w:rsidRDefault="00005EE4" w:rsidP="00005EE4">
      <w:pPr>
        <w:spacing w:after="58"/>
      </w:pPr>
      <w:r w:rsidRPr="00C1771C">
        <w:rPr>
          <w:smallCaps/>
        </w:rPr>
        <w:t xml:space="preserve">Bello, S.M., R. Wallduck, V. Dimitrijević, I. Živaljević &amp; C.B. Stringer. </w:t>
      </w:r>
      <w:r w:rsidRPr="00C1771C">
        <w:t xml:space="preserve">2016. Cannibalism versus funerary defleshing and disarticulation after a period of decay: comparisons, of bone modifications from four prehistoric sites. </w:t>
      </w:r>
      <w:r w:rsidRPr="00C1771C">
        <w:rPr>
          <w:i/>
          <w:iCs/>
        </w:rPr>
        <w:t>Am</w:t>
      </w:r>
      <w:r w:rsidRPr="00C1771C">
        <w:rPr>
          <w:i/>
          <w:iCs/>
          <w:lang w:val="en-US"/>
        </w:rPr>
        <w:t>erican</w:t>
      </w:r>
      <w:r w:rsidRPr="00C1771C">
        <w:rPr>
          <w:i/>
          <w:iCs/>
        </w:rPr>
        <w:t xml:space="preserve"> J</w:t>
      </w:r>
      <w:r w:rsidRPr="00C1771C">
        <w:rPr>
          <w:i/>
          <w:iCs/>
          <w:lang w:val="en-US"/>
        </w:rPr>
        <w:t>ournal of</w:t>
      </w:r>
      <w:r w:rsidRPr="00C1771C">
        <w:rPr>
          <w:i/>
          <w:iCs/>
        </w:rPr>
        <w:t xml:space="preserve"> Biol</w:t>
      </w:r>
      <w:r w:rsidRPr="00C1771C">
        <w:rPr>
          <w:i/>
          <w:iCs/>
          <w:lang w:val="en-US"/>
        </w:rPr>
        <w:t>ogical</w:t>
      </w:r>
      <w:r w:rsidRPr="00C1771C">
        <w:rPr>
          <w:i/>
          <w:iCs/>
        </w:rPr>
        <w:t xml:space="preserve"> Anthropol</w:t>
      </w:r>
      <w:r w:rsidRPr="00C1771C">
        <w:rPr>
          <w:i/>
          <w:iCs/>
          <w:lang w:val="en-US"/>
        </w:rPr>
        <w:t>ogy</w:t>
      </w:r>
      <w:r w:rsidRPr="00C1771C">
        <w:t xml:space="preserve"> 161</w:t>
      </w:r>
      <w:r w:rsidRPr="00C1771C">
        <w:rPr>
          <w:lang w:val="en-US"/>
        </w:rPr>
        <w:t xml:space="preserve">: </w:t>
      </w:r>
      <w:r w:rsidRPr="00C1771C">
        <w:t>722–43.  https://doi.org/10.1002/ajpa.23079</w:t>
      </w:r>
    </w:p>
    <w:p w14:paraId="63D4A8E0" w14:textId="77777777" w:rsidR="00005EE4" w:rsidRPr="00C1771C" w:rsidRDefault="00005EE4" w:rsidP="00005EE4">
      <w:pPr>
        <w:spacing w:after="58"/>
      </w:pPr>
      <w:r w:rsidRPr="00C1771C">
        <w:rPr>
          <w:smallCaps/>
          <w:lang w:val="nl-NL"/>
        </w:rPr>
        <w:t>Boudin</w:t>
      </w:r>
      <w:r w:rsidRPr="00C1771C">
        <w:rPr>
          <w:lang w:val="nl-NL"/>
        </w:rPr>
        <w:t xml:space="preserve">, M., M. </w:t>
      </w:r>
      <w:r w:rsidRPr="00C1771C">
        <w:rPr>
          <w:smallCaps/>
          <w:lang w:val="nl-NL"/>
        </w:rPr>
        <w:t>Van Strydonck</w:t>
      </w:r>
      <w:r w:rsidRPr="00C1771C">
        <w:rPr>
          <w:lang w:val="nl-NL"/>
        </w:rPr>
        <w:t xml:space="preserve">, T. </w:t>
      </w:r>
      <w:r w:rsidRPr="00C1771C">
        <w:rPr>
          <w:smallCaps/>
          <w:lang w:val="nl-NL"/>
        </w:rPr>
        <w:t>Van den Brande</w:t>
      </w:r>
      <w:r w:rsidRPr="00C1771C">
        <w:rPr>
          <w:lang w:val="nl-NL"/>
        </w:rPr>
        <w:t xml:space="preserve">, H.A. </w:t>
      </w:r>
      <w:r w:rsidRPr="00C1771C">
        <w:rPr>
          <w:smallCaps/>
          <w:lang w:val="nl-NL"/>
        </w:rPr>
        <w:t>Synal &amp;</w:t>
      </w:r>
      <w:r w:rsidRPr="00C1771C">
        <w:rPr>
          <w:lang w:val="nl-NL"/>
        </w:rPr>
        <w:t xml:space="preserve"> L. </w:t>
      </w:r>
      <w:r w:rsidRPr="00C1771C">
        <w:rPr>
          <w:smallCaps/>
          <w:lang w:val="nl-NL"/>
        </w:rPr>
        <w:t>Wacker</w:t>
      </w:r>
      <w:r w:rsidRPr="00C1771C">
        <w:rPr>
          <w:lang w:val="nl-NL"/>
        </w:rPr>
        <w:t xml:space="preserve">. </w:t>
      </w:r>
      <w:r w:rsidRPr="00C1771C">
        <w:rPr>
          <w:lang w:val="en-US"/>
        </w:rPr>
        <w:t xml:space="preserve">2015. RICH – a new AMS facility at the Royal Institute for Cultural Heritage, Brussels, Belgium. </w:t>
      </w:r>
      <w:r w:rsidRPr="00C1771C">
        <w:rPr>
          <w:i/>
          <w:iCs/>
          <w:lang w:val="en-US"/>
        </w:rPr>
        <w:t xml:space="preserve">Nuclear Instruments Methods in Physics Research Section B </w:t>
      </w:r>
      <w:r w:rsidRPr="00C1771C">
        <w:rPr>
          <w:lang w:val="en-US"/>
        </w:rPr>
        <w:t>361: 120–23. https://doi.org/10.1016/j.nimb.2015.04.006</w:t>
      </w:r>
    </w:p>
    <w:p w14:paraId="705F91C8" w14:textId="77777777" w:rsidR="00005EE4" w:rsidRPr="00C1771C" w:rsidRDefault="00005EE4" w:rsidP="00005EE4">
      <w:pPr>
        <w:spacing w:after="58"/>
        <w:rPr>
          <w:lang w:val="en-US"/>
        </w:rPr>
      </w:pPr>
      <w:r w:rsidRPr="00C1771C">
        <w:rPr>
          <w:smallCaps/>
          <w:lang w:val="en-US"/>
        </w:rPr>
        <w:t>Brooks</w:t>
      </w:r>
      <w:r w:rsidRPr="00C1771C">
        <w:rPr>
          <w:lang w:val="en-US"/>
        </w:rPr>
        <w:t xml:space="preserve">, S. &amp; B. </w:t>
      </w:r>
      <w:r w:rsidRPr="00C1771C">
        <w:rPr>
          <w:smallCaps/>
          <w:lang w:val="en-US"/>
        </w:rPr>
        <w:t>Suchey</w:t>
      </w:r>
      <w:r w:rsidRPr="00C1771C">
        <w:rPr>
          <w:lang w:val="en-US"/>
        </w:rPr>
        <w:t xml:space="preserve">. 1990. Skeletal age determination based on the os pubis: a comparison of the Ascádi-Nemeskéri and Suchey-Brooks methods. </w:t>
      </w:r>
      <w:r w:rsidRPr="00C1771C">
        <w:rPr>
          <w:i/>
          <w:iCs/>
          <w:lang w:val="en-US"/>
        </w:rPr>
        <w:t>Human Evolution</w:t>
      </w:r>
      <w:r w:rsidRPr="00C1771C">
        <w:rPr>
          <w:lang w:val="en-US"/>
        </w:rPr>
        <w:t xml:space="preserve"> 5: 227–38. https://doi.org/10.1007/BF02437238</w:t>
      </w:r>
    </w:p>
    <w:p w14:paraId="1D68A1E4" w14:textId="77777777" w:rsidR="00005EE4" w:rsidRPr="00C1771C" w:rsidRDefault="00005EE4" w:rsidP="00005EE4">
      <w:pPr>
        <w:spacing w:after="58"/>
        <w:rPr>
          <w:lang w:val="en-US"/>
        </w:rPr>
      </w:pPr>
      <w:r w:rsidRPr="00C1771C">
        <w:rPr>
          <w:smallCaps/>
          <w:lang w:val="en-US"/>
        </w:rPr>
        <w:t>Buckberry</w:t>
      </w:r>
      <w:r w:rsidRPr="00C1771C">
        <w:rPr>
          <w:lang w:val="en-US"/>
        </w:rPr>
        <w:t xml:space="preserve">, J.L. &amp; A.T. </w:t>
      </w:r>
      <w:r w:rsidRPr="00C1771C">
        <w:rPr>
          <w:smallCaps/>
          <w:lang w:val="en-US"/>
        </w:rPr>
        <w:t>Chamberlain</w:t>
      </w:r>
      <w:r w:rsidRPr="00C1771C">
        <w:rPr>
          <w:lang w:val="en-US"/>
        </w:rPr>
        <w:t xml:space="preserve">. 2002. Age estimation from the auricular surface of the ilium: a revised method. </w:t>
      </w:r>
      <w:r w:rsidRPr="00C1771C">
        <w:rPr>
          <w:i/>
          <w:iCs/>
          <w:lang w:val="en-US"/>
        </w:rPr>
        <w:t>American</w:t>
      </w:r>
      <w:r w:rsidRPr="00C1771C">
        <w:rPr>
          <w:i/>
          <w:iCs/>
        </w:rPr>
        <w:t xml:space="preserve"> </w:t>
      </w:r>
      <w:r w:rsidRPr="00C1771C">
        <w:rPr>
          <w:i/>
          <w:iCs/>
          <w:lang w:val="en-US"/>
        </w:rPr>
        <w:t>Journal of Biological Anthropology</w:t>
      </w:r>
      <w:r w:rsidRPr="00C1771C">
        <w:rPr>
          <w:lang w:val="en-US"/>
        </w:rPr>
        <w:t xml:space="preserve"> 119: 231–39. https://doi.org/10.1002/ajpa.10130</w:t>
      </w:r>
    </w:p>
    <w:p w14:paraId="52176199" w14:textId="77777777" w:rsidR="00005EE4" w:rsidRPr="00C1771C" w:rsidRDefault="00005EE4" w:rsidP="00005EE4">
      <w:pPr>
        <w:spacing w:after="58"/>
      </w:pPr>
      <w:r w:rsidRPr="00C1771C">
        <w:rPr>
          <w:smallCaps/>
          <w:lang w:val="en-US"/>
        </w:rPr>
        <w:t>Bronk Ramsey</w:t>
      </w:r>
      <w:r w:rsidRPr="00C1771C">
        <w:rPr>
          <w:lang w:val="en-US"/>
        </w:rPr>
        <w:t xml:space="preserve">, C. 2009. Bayesian analysis of radiocarbon dates. </w:t>
      </w:r>
      <w:r w:rsidRPr="00C1771C">
        <w:rPr>
          <w:i/>
          <w:iCs/>
          <w:lang w:val="en-US"/>
        </w:rPr>
        <w:t>Radiocarbon</w:t>
      </w:r>
      <w:r w:rsidRPr="00C1771C">
        <w:rPr>
          <w:lang w:val="en-US"/>
        </w:rPr>
        <w:t xml:space="preserve"> 51: 337–60. https://doi.org/10.1017/S0033822200033865</w:t>
      </w:r>
    </w:p>
    <w:p w14:paraId="66080624" w14:textId="77777777" w:rsidR="00005EE4" w:rsidRPr="00C1771C" w:rsidRDefault="00005EE4" w:rsidP="00005EE4">
      <w:pPr>
        <w:spacing w:after="58"/>
      </w:pPr>
      <w:r w:rsidRPr="00C1771C">
        <w:rPr>
          <w:smallCaps/>
        </w:rPr>
        <w:t>Dabney</w:t>
      </w:r>
      <w:r w:rsidRPr="00C1771C">
        <w:t xml:space="preserve">, </w:t>
      </w:r>
      <w:r w:rsidRPr="00C1771C">
        <w:rPr>
          <w:lang w:val="en-US"/>
        </w:rPr>
        <w:t xml:space="preserve">J. </w:t>
      </w:r>
      <w:r w:rsidRPr="00C1771C">
        <w:rPr>
          <w:i/>
          <w:iCs/>
          <w:lang w:val="en-US"/>
        </w:rPr>
        <w:t>et al.</w:t>
      </w:r>
      <w:r w:rsidRPr="00C1771C">
        <w:rPr>
          <w:lang w:val="en-US"/>
        </w:rPr>
        <w:t xml:space="preserve"> 2013. </w:t>
      </w:r>
      <w:r w:rsidRPr="00C1771C">
        <w:t xml:space="preserve">Complete mitochondrial genome sequence of a Middle Pleistocene cave bear reconstructed from ultrashort DNA fragments. </w:t>
      </w:r>
      <w:r w:rsidRPr="00C1771C">
        <w:rPr>
          <w:i/>
          <w:iCs/>
        </w:rPr>
        <w:t>Proceedings of the National Academy of Sciences</w:t>
      </w:r>
      <w:r w:rsidRPr="00C1771C">
        <w:t xml:space="preserve"> 110</w:t>
      </w:r>
      <w:r w:rsidRPr="00C1771C">
        <w:rPr>
          <w:lang w:val="en-US"/>
        </w:rPr>
        <w:t>:</w:t>
      </w:r>
      <w:r w:rsidRPr="00C1771C">
        <w:t xml:space="preserve"> 15758–63. https://doi.org/10.1073/pnas.1314445110</w:t>
      </w:r>
    </w:p>
    <w:p w14:paraId="5CE091EE" w14:textId="77777777" w:rsidR="00005EE4" w:rsidRPr="00C1771C" w:rsidRDefault="00005EE4" w:rsidP="00005EE4">
      <w:pPr>
        <w:spacing w:after="58"/>
        <w:rPr>
          <w:lang w:eastAsia="fr-FR"/>
        </w:rPr>
      </w:pPr>
      <w:r w:rsidRPr="00C1771C">
        <w:rPr>
          <w:smallCaps/>
          <w:lang w:val="en-US" w:eastAsia="fr-FR"/>
        </w:rPr>
        <w:lastRenderedPageBreak/>
        <w:t>Ferembach</w:t>
      </w:r>
      <w:r w:rsidRPr="00C1771C">
        <w:rPr>
          <w:lang w:val="en-US" w:eastAsia="fr-FR"/>
        </w:rPr>
        <w:t xml:space="preserve">, D. </w:t>
      </w:r>
      <w:r w:rsidRPr="00C1771C">
        <w:rPr>
          <w:i/>
          <w:iCs/>
          <w:lang w:val="en-US" w:eastAsia="fr-FR"/>
        </w:rPr>
        <w:t>et al</w:t>
      </w:r>
      <w:r w:rsidRPr="00C1771C">
        <w:rPr>
          <w:lang w:val="en-US" w:eastAsia="fr-FR"/>
        </w:rPr>
        <w:t>.</w:t>
      </w:r>
      <w:r w:rsidRPr="00C1771C">
        <w:rPr>
          <w:lang w:eastAsia="fr-FR"/>
        </w:rPr>
        <w:t xml:space="preserve"> </w:t>
      </w:r>
      <w:r w:rsidRPr="00C1771C">
        <w:rPr>
          <w:lang w:val="en-US" w:eastAsia="fr-FR"/>
        </w:rPr>
        <w:t xml:space="preserve">1980. </w:t>
      </w:r>
      <w:r w:rsidRPr="00C1771C">
        <w:rPr>
          <w:lang w:eastAsia="fr-FR"/>
        </w:rPr>
        <w:t xml:space="preserve">Recommendations for age and sex diagnoses of skeletons. </w:t>
      </w:r>
      <w:r w:rsidRPr="00C1771C">
        <w:rPr>
          <w:i/>
          <w:iCs/>
          <w:lang w:eastAsia="fr-FR"/>
        </w:rPr>
        <w:t>J</w:t>
      </w:r>
      <w:r w:rsidRPr="00C1771C">
        <w:rPr>
          <w:i/>
          <w:iCs/>
          <w:lang w:val="en-US" w:eastAsia="fr-FR"/>
        </w:rPr>
        <w:t>ournal of</w:t>
      </w:r>
      <w:r w:rsidRPr="00C1771C">
        <w:rPr>
          <w:i/>
          <w:iCs/>
          <w:lang w:eastAsia="fr-FR"/>
        </w:rPr>
        <w:t xml:space="preserve"> Hum</w:t>
      </w:r>
      <w:r w:rsidRPr="00C1771C">
        <w:rPr>
          <w:i/>
          <w:iCs/>
          <w:lang w:val="en-US" w:eastAsia="fr-FR"/>
        </w:rPr>
        <w:t>an</w:t>
      </w:r>
      <w:r w:rsidRPr="00C1771C">
        <w:rPr>
          <w:i/>
          <w:iCs/>
          <w:lang w:eastAsia="fr-FR"/>
        </w:rPr>
        <w:t xml:space="preserve"> Evol</w:t>
      </w:r>
      <w:r w:rsidRPr="00C1771C">
        <w:rPr>
          <w:i/>
          <w:iCs/>
          <w:lang w:val="en-US" w:eastAsia="fr-FR"/>
        </w:rPr>
        <w:t>ution</w:t>
      </w:r>
      <w:r w:rsidRPr="00C1771C">
        <w:rPr>
          <w:lang w:eastAsia="fr-FR"/>
        </w:rPr>
        <w:t xml:space="preserve"> 9</w:t>
      </w:r>
      <w:r w:rsidRPr="00C1771C">
        <w:rPr>
          <w:lang w:val="en-US" w:eastAsia="fr-FR"/>
        </w:rPr>
        <w:t xml:space="preserve">: </w:t>
      </w:r>
      <w:r w:rsidRPr="00C1771C">
        <w:rPr>
          <w:lang w:eastAsia="fr-FR"/>
        </w:rPr>
        <w:t>517–49. https://doi.org/10.1016/0047-2484(80)90061-5</w:t>
      </w:r>
    </w:p>
    <w:p w14:paraId="2E4B4528" w14:textId="77777777" w:rsidR="00005EE4" w:rsidRPr="00C1771C" w:rsidRDefault="00005EE4" w:rsidP="00005EE4">
      <w:pPr>
        <w:spacing w:after="58"/>
      </w:pPr>
      <w:r w:rsidRPr="00C1771C">
        <w:rPr>
          <w:smallCaps/>
          <w:lang w:val="en-US"/>
        </w:rPr>
        <w:t>Fu</w:t>
      </w:r>
      <w:r w:rsidRPr="00C1771C">
        <w:rPr>
          <w:lang w:val="en-US"/>
        </w:rPr>
        <w:t xml:space="preserve">, Q. </w:t>
      </w:r>
      <w:r w:rsidRPr="00C1771C">
        <w:rPr>
          <w:i/>
          <w:iCs/>
          <w:lang w:val="en-US"/>
        </w:rPr>
        <w:t>et al.</w:t>
      </w:r>
      <w:r w:rsidRPr="00C1771C">
        <w:rPr>
          <w:lang w:val="en-US"/>
        </w:rPr>
        <w:t xml:space="preserve"> 2013. DNA analysis of an early modern human from Tianyuan Cave, China. </w:t>
      </w:r>
      <w:r w:rsidRPr="00C1771C">
        <w:rPr>
          <w:i/>
          <w:iCs/>
          <w:lang w:val="en-US"/>
        </w:rPr>
        <w:t xml:space="preserve">Proceedings of the National Academy of Sciences </w:t>
      </w:r>
      <w:r w:rsidRPr="00C1771C">
        <w:rPr>
          <w:lang w:val="en-US"/>
        </w:rPr>
        <w:t>110: 2223–27. https://doi.org/10.1073/pnas.1221359110</w:t>
      </w:r>
    </w:p>
    <w:p w14:paraId="18A8E660" w14:textId="77777777" w:rsidR="00005EE4" w:rsidRPr="00C1771C" w:rsidRDefault="00005EE4" w:rsidP="00005EE4">
      <w:pPr>
        <w:spacing w:after="58"/>
        <w:rPr>
          <w:lang w:val="en-US"/>
        </w:rPr>
      </w:pPr>
      <w:r w:rsidRPr="00C1771C">
        <w:rPr>
          <w:smallCaps/>
          <w:lang w:val="en-US"/>
        </w:rPr>
        <w:t>Fu</w:t>
      </w:r>
      <w:r w:rsidRPr="00C1771C">
        <w:rPr>
          <w:lang w:val="en-US"/>
        </w:rPr>
        <w:t xml:space="preserve">, Q. </w:t>
      </w:r>
      <w:r w:rsidRPr="00C1771C">
        <w:rPr>
          <w:i/>
          <w:iCs/>
          <w:lang w:val="en-US"/>
        </w:rPr>
        <w:t>et al</w:t>
      </w:r>
      <w:r w:rsidRPr="00C1771C">
        <w:rPr>
          <w:lang w:val="en-US"/>
        </w:rPr>
        <w:t xml:space="preserve">. 2015. An early modern human from Romania with a recent Neanderthal ancestor. </w:t>
      </w:r>
      <w:r w:rsidRPr="00C1771C">
        <w:rPr>
          <w:i/>
          <w:iCs/>
          <w:lang w:val="en-US"/>
        </w:rPr>
        <w:t>Nature</w:t>
      </w:r>
      <w:r w:rsidRPr="00C1771C">
        <w:rPr>
          <w:lang w:val="en-US"/>
        </w:rPr>
        <w:t xml:space="preserve"> 524: 216–219. https://doi.org/10.1038/nature14558</w:t>
      </w:r>
    </w:p>
    <w:p w14:paraId="229AB85C" w14:textId="77777777" w:rsidR="00005EE4" w:rsidRPr="00C1771C" w:rsidRDefault="00005EE4" w:rsidP="00005EE4">
      <w:pPr>
        <w:spacing w:after="58"/>
        <w:rPr>
          <w:lang w:val="en-US"/>
        </w:rPr>
      </w:pPr>
      <w:r w:rsidRPr="00C1771C">
        <w:rPr>
          <w:smallCaps/>
          <w:color w:val="000000" w:themeColor="text1"/>
          <w:lang w:val="en-US"/>
        </w:rPr>
        <w:t>Korlevi</w:t>
      </w:r>
      <w:hyperlink r:id="rId8" w:tooltip="Petra Korlević" w:history="1">
        <w:r w:rsidRPr="00C1771C">
          <w:rPr>
            <w:rStyle w:val="Hyperlink"/>
            <w:smallCaps/>
            <w:color w:val="000000" w:themeColor="text1"/>
            <w:u w:val="none"/>
            <w:shd w:val="clear" w:color="auto" w:fill="FFFFFF"/>
            <w:lang w:val="en-US"/>
          </w:rPr>
          <w:t>ć</w:t>
        </w:r>
      </w:hyperlink>
      <w:r w:rsidRPr="00C1771C">
        <w:rPr>
          <w:color w:val="000000" w:themeColor="text1"/>
          <w:lang w:val="en-US"/>
        </w:rPr>
        <w:t xml:space="preserve">, P. </w:t>
      </w:r>
      <w:r w:rsidRPr="00C1771C">
        <w:rPr>
          <w:i/>
          <w:iCs/>
          <w:color w:val="000000" w:themeColor="text1"/>
          <w:lang w:val="en-US"/>
        </w:rPr>
        <w:t>et al</w:t>
      </w:r>
      <w:r w:rsidRPr="00C1771C">
        <w:rPr>
          <w:color w:val="000000" w:themeColor="text1"/>
          <w:lang w:val="en-US"/>
        </w:rPr>
        <w:t>.</w:t>
      </w:r>
      <w:r w:rsidRPr="00C1771C">
        <w:rPr>
          <w:lang w:val="en-US"/>
        </w:rPr>
        <w:t xml:space="preserve"> 2015. Reducing microbial and human contamination in DNA extractions from ancient bones and teeth. </w:t>
      </w:r>
      <w:r w:rsidRPr="00C1771C">
        <w:rPr>
          <w:i/>
          <w:iCs/>
          <w:lang w:val="en-US"/>
        </w:rPr>
        <w:t>BioTechniques</w:t>
      </w:r>
      <w:r w:rsidRPr="00C1771C">
        <w:rPr>
          <w:lang w:val="en-US"/>
        </w:rPr>
        <w:t xml:space="preserve"> 59: 87–83. https://doi.org/10.2144/000114320</w:t>
      </w:r>
    </w:p>
    <w:p w14:paraId="249F5FD7" w14:textId="77777777" w:rsidR="00005EE4" w:rsidRPr="00C1771C" w:rsidRDefault="00005EE4" w:rsidP="00005EE4">
      <w:pPr>
        <w:spacing w:after="58"/>
      </w:pPr>
      <w:r w:rsidRPr="00C1771C">
        <w:rPr>
          <w:smallCaps/>
        </w:rPr>
        <w:t>Mathieson</w:t>
      </w:r>
      <w:r w:rsidRPr="00C1771C">
        <w:t>, I.</w:t>
      </w:r>
      <w:r w:rsidRPr="00C1771C">
        <w:rPr>
          <w:lang w:val="en-US"/>
        </w:rPr>
        <w:t xml:space="preserve"> </w:t>
      </w:r>
      <w:r w:rsidRPr="00C1771C">
        <w:rPr>
          <w:i/>
          <w:iCs/>
          <w:lang w:val="en-US"/>
        </w:rPr>
        <w:t>et al.</w:t>
      </w:r>
      <w:r w:rsidRPr="00C1771C">
        <w:t xml:space="preserve"> </w:t>
      </w:r>
      <w:r w:rsidRPr="00C1771C">
        <w:rPr>
          <w:lang w:val="en-US"/>
        </w:rPr>
        <w:t xml:space="preserve">2015. </w:t>
      </w:r>
      <w:r w:rsidRPr="00C1771C">
        <w:t xml:space="preserve">Genome-wide patterns of selection in 230 ancient Eurasians. </w:t>
      </w:r>
      <w:r w:rsidRPr="00C1771C">
        <w:rPr>
          <w:i/>
          <w:iCs/>
        </w:rPr>
        <w:t>Nature</w:t>
      </w:r>
      <w:r w:rsidRPr="00C1771C">
        <w:t xml:space="preserve"> 528</w:t>
      </w:r>
      <w:r w:rsidRPr="00C1771C">
        <w:rPr>
          <w:lang w:val="en-US"/>
        </w:rPr>
        <w:t>:</w:t>
      </w:r>
      <w:r w:rsidRPr="00C1771C">
        <w:t xml:space="preserve"> 499–503. https://doi.org/10.1038/nature16152</w:t>
      </w:r>
    </w:p>
    <w:p w14:paraId="112C7A59" w14:textId="77777777" w:rsidR="00005EE4" w:rsidRPr="00C1771C" w:rsidRDefault="00005EE4" w:rsidP="00005EE4">
      <w:pPr>
        <w:spacing w:after="58"/>
      </w:pPr>
      <w:r w:rsidRPr="00C1771C">
        <w:rPr>
          <w:smallCaps/>
        </w:rPr>
        <w:t>McCormick</w:t>
      </w:r>
      <w:r w:rsidRPr="00C1771C">
        <w:t xml:space="preserve">, </w:t>
      </w:r>
      <w:r w:rsidRPr="00C1771C">
        <w:rPr>
          <w:lang w:val="en-US"/>
        </w:rPr>
        <w:t xml:space="preserve">W.F., J.H. </w:t>
      </w:r>
      <w:r w:rsidRPr="00C1771C">
        <w:rPr>
          <w:smallCaps/>
        </w:rPr>
        <w:t xml:space="preserve">Stewart </w:t>
      </w:r>
      <w:r w:rsidRPr="00C1771C">
        <w:t>&amp;</w:t>
      </w:r>
      <w:r w:rsidRPr="00C1771C">
        <w:rPr>
          <w:lang w:val="en-US"/>
        </w:rPr>
        <w:t xml:space="preserve"> F. </w:t>
      </w:r>
      <w:r w:rsidRPr="00C1771C">
        <w:rPr>
          <w:smallCaps/>
        </w:rPr>
        <w:t>Greene</w:t>
      </w:r>
      <w:r w:rsidRPr="00C1771C">
        <w:rPr>
          <w:lang w:val="en-US"/>
        </w:rPr>
        <w:t xml:space="preserve">. 1991. </w:t>
      </w:r>
      <w:r w:rsidRPr="00C1771C">
        <w:t xml:space="preserve">Sexing of human clavicles using length and circumference measurements. </w:t>
      </w:r>
      <w:r w:rsidRPr="00C1771C">
        <w:rPr>
          <w:i/>
          <w:iCs/>
        </w:rPr>
        <w:t>Am</w:t>
      </w:r>
      <w:r w:rsidRPr="00C1771C">
        <w:rPr>
          <w:i/>
          <w:iCs/>
          <w:lang w:val="en-US"/>
        </w:rPr>
        <w:t>erican</w:t>
      </w:r>
      <w:r w:rsidRPr="00C1771C">
        <w:rPr>
          <w:i/>
          <w:iCs/>
        </w:rPr>
        <w:t xml:space="preserve"> J</w:t>
      </w:r>
      <w:r w:rsidRPr="00C1771C">
        <w:rPr>
          <w:i/>
          <w:iCs/>
          <w:lang w:val="en-US"/>
        </w:rPr>
        <w:t>ournal</w:t>
      </w:r>
      <w:r w:rsidRPr="00C1771C">
        <w:rPr>
          <w:i/>
          <w:iCs/>
        </w:rPr>
        <w:t xml:space="preserve"> </w:t>
      </w:r>
      <w:r w:rsidRPr="00C1771C">
        <w:rPr>
          <w:i/>
          <w:iCs/>
          <w:lang w:val="en-US"/>
        </w:rPr>
        <w:t xml:space="preserve">of </w:t>
      </w:r>
      <w:r w:rsidRPr="00C1771C">
        <w:rPr>
          <w:i/>
          <w:iCs/>
        </w:rPr>
        <w:t>For</w:t>
      </w:r>
      <w:r w:rsidRPr="00C1771C">
        <w:rPr>
          <w:i/>
          <w:iCs/>
          <w:lang w:val="en-US"/>
        </w:rPr>
        <w:t>ensic</w:t>
      </w:r>
      <w:r w:rsidRPr="00C1771C">
        <w:rPr>
          <w:i/>
          <w:iCs/>
        </w:rPr>
        <w:t xml:space="preserve"> Med</w:t>
      </w:r>
      <w:r w:rsidRPr="00C1771C">
        <w:rPr>
          <w:i/>
          <w:iCs/>
          <w:lang w:val="en-US"/>
        </w:rPr>
        <w:t>icine and</w:t>
      </w:r>
      <w:r w:rsidRPr="00C1771C">
        <w:rPr>
          <w:i/>
          <w:iCs/>
        </w:rPr>
        <w:t xml:space="preserve"> Pathol</w:t>
      </w:r>
      <w:r w:rsidRPr="00C1771C">
        <w:rPr>
          <w:i/>
          <w:iCs/>
          <w:lang w:val="en-US"/>
        </w:rPr>
        <w:t>ogy</w:t>
      </w:r>
      <w:r w:rsidRPr="00C1771C">
        <w:t xml:space="preserve"> 12</w:t>
      </w:r>
      <w:r w:rsidRPr="00C1771C">
        <w:rPr>
          <w:lang w:val="en-US"/>
        </w:rPr>
        <w:t>:</w:t>
      </w:r>
      <w:r w:rsidRPr="00C1771C">
        <w:t xml:space="preserve"> 175–81. https://doi.org/10.1097/00000433-199106000-00017</w:t>
      </w:r>
    </w:p>
    <w:p w14:paraId="725E677E" w14:textId="77777777" w:rsidR="00005EE4" w:rsidRPr="00C1771C" w:rsidRDefault="00005EE4" w:rsidP="00005EE4">
      <w:pPr>
        <w:spacing w:after="58"/>
      </w:pPr>
      <w:r w:rsidRPr="00C1771C">
        <w:rPr>
          <w:smallCaps/>
          <w:lang w:val="en-US"/>
        </w:rPr>
        <w:t>Meindl</w:t>
      </w:r>
      <w:r w:rsidRPr="00C1771C">
        <w:rPr>
          <w:lang w:val="en-US"/>
        </w:rPr>
        <w:t xml:space="preserve">, S. &amp; O. </w:t>
      </w:r>
      <w:r w:rsidRPr="00C1771C">
        <w:rPr>
          <w:smallCaps/>
          <w:lang w:val="en-US"/>
        </w:rPr>
        <w:t>Lovejoy</w:t>
      </w:r>
      <w:r w:rsidRPr="00C1771C">
        <w:rPr>
          <w:lang w:val="en-US"/>
        </w:rPr>
        <w:t xml:space="preserve">. 1985. </w:t>
      </w:r>
      <w:r w:rsidRPr="00C1771C">
        <w:t xml:space="preserve">Ectocranial suture closure: a revised method for the determination of skeletal age at death based on the lateral-anterior sutures. </w:t>
      </w:r>
      <w:r w:rsidRPr="00C1771C">
        <w:rPr>
          <w:i/>
          <w:iCs/>
        </w:rPr>
        <w:t>Am</w:t>
      </w:r>
      <w:r w:rsidRPr="00C1771C">
        <w:rPr>
          <w:i/>
          <w:iCs/>
          <w:lang w:val="en-US"/>
        </w:rPr>
        <w:t>erican</w:t>
      </w:r>
      <w:r w:rsidRPr="00C1771C">
        <w:rPr>
          <w:i/>
          <w:iCs/>
        </w:rPr>
        <w:t xml:space="preserve"> J</w:t>
      </w:r>
      <w:r w:rsidRPr="00C1771C">
        <w:rPr>
          <w:i/>
          <w:iCs/>
          <w:lang w:val="en-US"/>
        </w:rPr>
        <w:t>ournal</w:t>
      </w:r>
      <w:r w:rsidRPr="00C1771C">
        <w:rPr>
          <w:i/>
          <w:iCs/>
        </w:rPr>
        <w:t xml:space="preserve"> </w:t>
      </w:r>
      <w:r w:rsidRPr="00C1771C">
        <w:rPr>
          <w:i/>
          <w:iCs/>
          <w:lang w:val="en-US"/>
        </w:rPr>
        <w:t xml:space="preserve">of </w:t>
      </w:r>
      <w:r w:rsidRPr="00C1771C">
        <w:rPr>
          <w:i/>
          <w:iCs/>
        </w:rPr>
        <w:t>Biol</w:t>
      </w:r>
      <w:r w:rsidRPr="00C1771C">
        <w:rPr>
          <w:i/>
          <w:iCs/>
          <w:lang w:val="en-US"/>
        </w:rPr>
        <w:t>ogical</w:t>
      </w:r>
      <w:r w:rsidRPr="00C1771C">
        <w:rPr>
          <w:i/>
          <w:iCs/>
        </w:rPr>
        <w:t xml:space="preserve"> Anthropol</w:t>
      </w:r>
      <w:r w:rsidRPr="00C1771C">
        <w:rPr>
          <w:i/>
          <w:iCs/>
          <w:lang w:val="en-US"/>
        </w:rPr>
        <w:t>ogy</w:t>
      </w:r>
      <w:r w:rsidRPr="00C1771C">
        <w:t xml:space="preserve"> 68</w:t>
      </w:r>
      <w:r w:rsidRPr="00C1771C">
        <w:rPr>
          <w:lang w:val="en-US"/>
        </w:rPr>
        <w:t>:</w:t>
      </w:r>
      <w:r w:rsidRPr="00C1771C">
        <w:t xml:space="preserve"> 57–66. https://doi.org/10.1002/ajpa.1330680106</w:t>
      </w:r>
    </w:p>
    <w:p w14:paraId="2AB551B3" w14:textId="77777777" w:rsidR="00005EE4" w:rsidRPr="00C1771C" w:rsidRDefault="00005EE4" w:rsidP="00005EE4">
      <w:pPr>
        <w:spacing w:after="58"/>
      </w:pPr>
      <w:r w:rsidRPr="00C1771C">
        <w:rPr>
          <w:smallCaps/>
        </w:rPr>
        <w:t>Monroy Kuhn</w:t>
      </w:r>
      <w:r w:rsidRPr="00C1771C">
        <w:t xml:space="preserve">, J.M., M. </w:t>
      </w:r>
      <w:r w:rsidRPr="00C1771C">
        <w:rPr>
          <w:smallCaps/>
        </w:rPr>
        <w:t>Jakobsson</w:t>
      </w:r>
      <w:r w:rsidRPr="00C1771C">
        <w:t xml:space="preserve"> &amp; T. </w:t>
      </w:r>
      <w:r w:rsidRPr="00C1771C">
        <w:rPr>
          <w:smallCaps/>
        </w:rPr>
        <w:t>Günther.</w:t>
      </w:r>
      <w:r w:rsidRPr="00C1771C">
        <w:t xml:space="preserve"> 2018. Estimating genetic kin relationships in prehistoric populations. </w:t>
      </w:r>
      <w:r w:rsidRPr="00C1771C">
        <w:rPr>
          <w:i/>
          <w:iCs/>
        </w:rPr>
        <w:t>PLoS ONE</w:t>
      </w:r>
      <w:r w:rsidRPr="00C1771C">
        <w:t xml:space="preserve"> 13</w:t>
      </w:r>
      <w:r w:rsidRPr="00C1771C">
        <w:rPr>
          <w:lang w:val="en-US"/>
        </w:rPr>
        <w:t>:</w:t>
      </w:r>
      <w:r w:rsidRPr="00C1771C">
        <w:t xml:space="preserve"> e0195491. https://doi.org/10.1371/journal.pone.0195491</w:t>
      </w:r>
    </w:p>
    <w:p w14:paraId="090BFC80" w14:textId="77777777" w:rsidR="00005EE4" w:rsidRPr="00C1771C" w:rsidRDefault="00005EE4" w:rsidP="00005EE4">
      <w:pPr>
        <w:spacing w:after="58"/>
      </w:pPr>
      <w:r w:rsidRPr="00C1771C">
        <w:rPr>
          <w:smallCaps/>
        </w:rPr>
        <w:t>Patterson</w:t>
      </w:r>
      <w:r w:rsidRPr="00C1771C">
        <w:t xml:space="preserve">, </w:t>
      </w:r>
      <w:r w:rsidRPr="00C1771C">
        <w:rPr>
          <w:lang w:val="en-US"/>
        </w:rPr>
        <w:t xml:space="preserve">N., A.L. </w:t>
      </w:r>
      <w:r w:rsidRPr="00C1771C">
        <w:rPr>
          <w:smallCaps/>
        </w:rPr>
        <w:t>Price</w:t>
      </w:r>
      <w:r w:rsidRPr="00C1771C">
        <w:rPr>
          <w:lang w:val="en-US"/>
        </w:rPr>
        <w:t xml:space="preserve"> &amp; D. </w:t>
      </w:r>
      <w:r w:rsidRPr="00C1771C">
        <w:rPr>
          <w:smallCaps/>
        </w:rPr>
        <w:t>Reich</w:t>
      </w:r>
      <w:r w:rsidRPr="00C1771C">
        <w:rPr>
          <w:lang w:val="en-US"/>
        </w:rPr>
        <w:t xml:space="preserve">. 2006. </w:t>
      </w:r>
      <w:r w:rsidRPr="00C1771C">
        <w:t xml:space="preserve">Population structure and eigenanalysis. </w:t>
      </w:r>
      <w:r w:rsidRPr="00C1771C">
        <w:rPr>
          <w:i/>
          <w:iCs/>
        </w:rPr>
        <w:t>PLoS Genetics</w:t>
      </w:r>
      <w:r w:rsidRPr="00C1771C">
        <w:t xml:space="preserve"> 2: e190. https://doi.org/10.1371/journal.pgen.0020190</w:t>
      </w:r>
    </w:p>
    <w:p w14:paraId="2BE25E04" w14:textId="77777777" w:rsidR="00005EE4" w:rsidRPr="00C1771C" w:rsidRDefault="00005EE4" w:rsidP="00005EE4">
      <w:pPr>
        <w:spacing w:after="58"/>
      </w:pPr>
      <w:r w:rsidRPr="00C1771C">
        <w:rPr>
          <w:smallCaps/>
        </w:rPr>
        <w:t>Phenice</w:t>
      </w:r>
      <w:r w:rsidRPr="00C1771C">
        <w:t>,</w:t>
      </w:r>
      <w:r w:rsidRPr="00C1771C">
        <w:rPr>
          <w:lang w:val="en-US"/>
        </w:rPr>
        <w:t xml:space="preserve"> T.W. 1969. </w:t>
      </w:r>
      <w:r w:rsidRPr="00C1771C">
        <w:t xml:space="preserve">A newly developed visual method of sexing the os pubis. </w:t>
      </w:r>
      <w:r w:rsidRPr="00C1771C">
        <w:rPr>
          <w:i/>
          <w:iCs/>
        </w:rPr>
        <w:t>Am</w:t>
      </w:r>
      <w:r w:rsidRPr="00C1771C">
        <w:rPr>
          <w:i/>
          <w:iCs/>
          <w:lang w:val="en-US"/>
        </w:rPr>
        <w:t>erican</w:t>
      </w:r>
      <w:r w:rsidRPr="00C1771C">
        <w:rPr>
          <w:i/>
          <w:iCs/>
        </w:rPr>
        <w:t xml:space="preserve"> J</w:t>
      </w:r>
      <w:r w:rsidRPr="00C1771C">
        <w:rPr>
          <w:i/>
          <w:iCs/>
          <w:lang w:val="en-US"/>
        </w:rPr>
        <w:t>ournal of</w:t>
      </w:r>
      <w:r w:rsidRPr="00C1771C">
        <w:rPr>
          <w:i/>
          <w:iCs/>
        </w:rPr>
        <w:t xml:space="preserve"> Biol</w:t>
      </w:r>
      <w:r w:rsidRPr="00C1771C">
        <w:rPr>
          <w:i/>
          <w:iCs/>
          <w:lang w:val="en-US"/>
        </w:rPr>
        <w:t>ogical</w:t>
      </w:r>
      <w:r w:rsidRPr="00C1771C">
        <w:rPr>
          <w:i/>
          <w:iCs/>
        </w:rPr>
        <w:t xml:space="preserve"> Anthropol</w:t>
      </w:r>
      <w:r w:rsidRPr="00C1771C">
        <w:rPr>
          <w:i/>
          <w:iCs/>
          <w:lang w:val="en-US"/>
        </w:rPr>
        <w:t>ogy</w:t>
      </w:r>
      <w:r w:rsidRPr="00C1771C">
        <w:t xml:space="preserve"> 30</w:t>
      </w:r>
      <w:r w:rsidRPr="00C1771C">
        <w:rPr>
          <w:lang w:val="en-US"/>
        </w:rPr>
        <w:t xml:space="preserve">: </w:t>
      </w:r>
      <w:r w:rsidRPr="00C1771C">
        <w:t>297–301. https://doi.org/10.1002/ajpa.1330300214</w:t>
      </w:r>
    </w:p>
    <w:p w14:paraId="263D9D0A" w14:textId="77777777" w:rsidR="00005EE4" w:rsidRPr="00C1771C" w:rsidRDefault="00005EE4" w:rsidP="00005EE4">
      <w:pPr>
        <w:spacing w:after="58"/>
      </w:pPr>
      <w:r w:rsidRPr="00C1771C">
        <w:rPr>
          <w:smallCaps/>
        </w:rPr>
        <w:t>Reimer</w:t>
      </w:r>
      <w:r w:rsidRPr="00C1771C">
        <w:t xml:space="preserve">, </w:t>
      </w:r>
      <w:r w:rsidRPr="00C1771C">
        <w:rPr>
          <w:lang w:val="en-US"/>
        </w:rPr>
        <w:t xml:space="preserve">P.J. </w:t>
      </w:r>
      <w:r w:rsidRPr="00C1771C">
        <w:rPr>
          <w:i/>
          <w:iCs/>
          <w:lang w:val="en-US"/>
        </w:rPr>
        <w:t>et al.</w:t>
      </w:r>
      <w:r w:rsidRPr="00C1771C">
        <w:rPr>
          <w:lang w:val="en-US"/>
        </w:rPr>
        <w:t xml:space="preserve"> 2020. </w:t>
      </w:r>
      <w:r w:rsidRPr="00C1771C">
        <w:t xml:space="preserve">The IntCal20 northern hemisphere radiocarbon age calibration curve (0-55 cal kBP). </w:t>
      </w:r>
      <w:r w:rsidRPr="00C1771C">
        <w:rPr>
          <w:i/>
          <w:iCs/>
        </w:rPr>
        <w:t>Radiocarbon</w:t>
      </w:r>
      <w:r w:rsidRPr="00C1771C">
        <w:t xml:space="preserve"> 62</w:t>
      </w:r>
      <w:r w:rsidRPr="00C1771C">
        <w:rPr>
          <w:lang w:val="en-US"/>
        </w:rPr>
        <w:t>:</w:t>
      </w:r>
      <w:r w:rsidRPr="00C1771C">
        <w:t xml:space="preserve"> 725–57. https://doi.org/10.1017/RDC.2020.41</w:t>
      </w:r>
    </w:p>
    <w:p w14:paraId="24BE5D74" w14:textId="77777777" w:rsidR="00005EE4" w:rsidRPr="00C1771C" w:rsidRDefault="00005EE4" w:rsidP="00005EE4">
      <w:pPr>
        <w:spacing w:after="58"/>
        <w:rPr>
          <w:lang w:val="en-US"/>
        </w:rPr>
      </w:pPr>
      <w:r w:rsidRPr="00C1771C">
        <w:rPr>
          <w:smallCaps/>
          <w:lang w:val="en-US"/>
        </w:rPr>
        <w:t>Riha</w:t>
      </w:r>
      <w:r w:rsidRPr="00C1771C">
        <w:rPr>
          <w:lang w:val="en-US"/>
        </w:rPr>
        <w:t xml:space="preserve">, E. 1990. </w:t>
      </w:r>
      <w:r w:rsidRPr="00C1771C">
        <w:rPr>
          <w:i/>
          <w:iCs/>
          <w:lang w:val="en-US"/>
        </w:rPr>
        <w:t>Der römische Schmuck aus August und Kaiseraugust</w:t>
      </w:r>
      <w:r w:rsidRPr="00C1771C">
        <w:rPr>
          <w:lang w:val="en-US"/>
        </w:rPr>
        <w:t xml:space="preserve"> (Forschungen in Augst 10). Augst: Amt für Museen und Archäologie des Kantons Basel-Landschaft.</w:t>
      </w:r>
    </w:p>
    <w:p w14:paraId="3613F64B" w14:textId="77777777" w:rsidR="00005EE4" w:rsidRPr="00C1771C" w:rsidRDefault="00005EE4" w:rsidP="00005EE4">
      <w:pPr>
        <w:spacing w:after="58"/>
        <w:rPr>
          <w:lang w:val="en-US"/>
        </w:rPr>
      </w:pPr>
      <w:r w:rsidRPr="00C1771C">
        <w:rPr>
          <w:smallCaps/>
          <w:lang w:val="en-US"/>
        </w:rPr>
        <w:t>Ringbauer</w:t>
      </w:r>
      <w:r w:rsidRPr="00C1771C">
        <w:rPr>
          <w:lang w:val="en-US"/>
        </w:rPr>
        <w:t xml:space="preserve">, H., J. </w:t>
      </w:r>
      <w:r w:rsidRPr="00C1771C">
        <w:rPr>
          <w:smallCaps/>
          <w:lang w:val="en-US"/>
        </w:rPr>
        <w:t>Novembre</w:t>
      </w:r>
      <w:r w:rsidRPr="00C1771C">
        <w:rPr>
          <w:lang w:val="en-US"/>
        </w:rPr>
        <w:t xml:space="preserve"> &amp; M.</w:t>
      </w:r>
      <w:r w:rsidRPr="00C1771C">
        <w:rPr>
          <w:smallCaps/>
          <w:lang w:val="en-US"/>
        </w:rPr>
        <w:t xml:space="preserve"> Steinrücken</w:t>
      </w:r>
      <w:r w:rsidRPr="00C1771C">
        <w:rPr>
          <w:lang w:val="en-US"/>
        </w:rPr>
        <w:t xml:space="preserve">. 2021. Parental relatedness through time revealed by runs of homozygosity in ancient DNA. </w:t>
      </w:r>
      <w:r w:rsidRPr="00C1771C">
        <w:rPr>
          <w:i/>
          <w:iCs/>
          <w:lang w:val="en-US"/>
        </w:rPr>
        <w:t>Nature Communications</w:t>
      </w:r>
      <w:r w:rsidRPr="00C1771C">
        <w:rPr>
          <w:lang w:val="en-US"/>
        </w:rPr>
        <w:t xml:space="preserve"> 12: 1–11. https://doi.org/10.1038/s41467-021-25289-w</w:t>
      </w:r>
    </w:p>
    <w:p w14:paraId="36DC7C34" w14:textId="77777777" w:rsidR="00005EE4" w:rsidRPr="00C1771C" w:rsidRDefault="00005EE4" w:rsidP="00005EE4">
      <w:pPr>
        <w:spacing w:after="58"/>
        <w:rPr>
          <w:lang w:val="en-US" w:eastAsia="fr-FR"/>
        </w:rPr>
      </w:pPr>
      <w:r w:rsidRPr="00C1771C">
        <w:rPr>
          <w:smallCaps/>
          <w:lang w:val="en-US" w:eastAsia="fr-FR"/>
        </w:rPr>
        <w:t>Rohland</w:t>
      </w:r>
      <w:r w:rsidRPr="00C1771C">
        <w:rPr>
          <w:lang w:val="en-US" w:eastAsia="fr-FR"/>
        </w:rPr>
        <w:t xml:space="preserve">, N., </w:t>
      </w:r>
      <w:r w:rsidRPr="00C1771C">
        <w:rPr>
          <w:lang w:eastAsia="fr-FR"/>
        </w:rPr>
        <w:t>E.</w:t>
      </w:r>
      <w:r w:rsidRPr="00C1771C">
        <w:rPr>
          <w:lang w:val="en-US" w:eastAsia="fr-FR"/>
        </w:rPr>
        <w:t xml:space="preserve"> </w:t>
      </w:r>
      <w:r w:rsidRPr="00C1771C">
        <w:rPr>
          <w:smallCaps/>
          <w:lang w:val="en-US" w:eastAsia="fr-FR"/>
        </w:rPr>
        <w:t>Harney</w:t>
      </w:r>
      <w:r w:rsidRPr="00C1771C">
        <w:rPr>
          <w:lang w:val="en-US" w:eastAsia="fr-FR"/>
        </w:rPr>
        <w:t xml:space="preserve">, </w:t>
      </w:r>
      <w:r w:rsidRPr="00C1771C">
        <w:rPr>
          <w:lang w:eastAsia="fr-FR"/>
        </w:rPr>
        <w:t>S.</w:t>
      </w:r>
      <w:r w:rsidRPr="00C1771C">
        <w:rPr>
          <w:smallCaps/>
          <w:lang w:eastAsia="fr-FR"/>
        </w:rPr>
        <w:t xml:space="preserve"> </w:t>
      </w:r>
      <w:r w:rsidRPr="00C1771C">
        <w:rPr>
          <w:smallCaps/>
          <w:lang w:val="en-US" w:eastAsia="fr-FR"/>
        </w:rPr>
        <w:t>Mallick</w:t>
      </w:r>
      <w:r w:rsidRPr="00C1771C">
        <w:rPr>
          <w:lang w:val="en-US" w:eastAsia="fr-FR"/>
        </w:rPr>
        <w:t xml:space="preserve">, </w:t>
      </w:r>
      <w:r w:rsidRPr="00C1771C">
        <w:rPr>
          <w:lang w:eastAsia="fr-FR"/>
        </w:rPr>
        <w:t xml:space="preserve">S. </w:t>
      </w:r>
      <w:r w:rsidRPr="00C1771C">
        <w:rPr>
          <w:smallCaps/>
          <w:lang w:val="en-US" w:eastAsia="fr-FR"/>
        </w:rPr>
        <w:t>Nordenfelt</w:t>
      </w:r>
      <w:r w:rsidRPr="00C1771C">
        <w:rPr>
          <w:lang w:val="en-US" w:eastAsia="fr-FR"/>
        </w:rPr>
        <w:t xml:space="preserve"> &amp; </w:t>
      </w:r>
      <w:r w:rsidRPr="00C1771C">
        <w:rPr>
          <w:lang w:eastAsia="fr-FR"/>
        </w:rPr>
        <w:t xml:space="preserve">D. </w:t>
      </w:r>
      <w:r w:rsidRPr="00C1771C">
        <w:rPr>
          <w:smallCaps/>
          <w:lang w:val="en-US" w:eastAsia="fr-FR"/>
        </w:rPr>
        <w:t>Reich</w:t>
      </w:r>
      <w:r w:rsidRPr="00C1771C">
        <w:rPr>
          <w:lang w:val="en-US" w:eastAsia="fr-FR"/>
        </w:rPr>
        <w:t xml:space="preserve">. 2015. Partial uracil-DNA-glycosylase treatment for screening of ancient DNA. </w:t>
      </w:r>
      <w:r w:rsidRPr="00C1771C">
        <w:rPr>
          <w:i/>
          <w:iCs/>
          <w:lang w:val="en-US" w:eastAsia="fr-FR"/>
        </w:rPr>
        <w:t>Phil</w:t>
      </w:r>
      <w:r w:rsidRPr="00C1771C">
        <w:rPr>
          <w:i/>
          <w:iCs/>
          <w:lang w:eastAsia="fr-FR"/>
        </w:rPr>
        <w:t>osophical</w:t>
      </w:r>
      <w:r w:rsidRPr="00C1771C">
        <w:rPr>
          <w:i/>
          <w:iCs/>
          <w:lang w:val="en-US" w:eastAsia="fr-FR"/>
        </w:rPr>
        <w:t xml:space="preserve"> Transactions of the</w:t>
      </w:r>
      <w:r w:rsidRPr="00C1771C">
        <w:rPr>
          <w:i/>
          <w:iCs/>
          <w:lang w:eastAsia="fr-FR"/>
        </w:rPr>
        <w:t xml:space="preserve"> </w:t>
      </w:r>
      <w:r w:rsidRPr="00C1771C">
        <w:rPr>
          <w:i/>
          <w:iCs/>
          <w:lang w:val="en-US" w:eastAsia="fr-FR"/>
        </w:rPr>
        <w:t>Royal Society B Biological</w:t>
      </w:r>
      <w:r w:rsidRPr="00C1771C">
        <w:rPr>
          <w:lang w:val="en-US" w:eastAsia="fr-FR"/>
        </w:rPr>
        <w:t xml:space="preserve"> Science 370: 20130624. https://doi.org/10.1098/rstb.2013.0624</w:t>
      </w:r>
    </w:p>
    <w:p w14:paraId="4395B261" w14:textId="77777777" w:rsidR="00005EE4" w:rsidRPr="00C1771C" w:rsidRDefault="00005EE4" w:rsidP="00005EE4">
      <w:pPr>
        <w:spacing w:after="58"/>
        <w:rPr>
          <w:lang w:val="en-US" w:eastAsia="fr-FR"/>
        </w:rPr>
      </w:pPr>
      <w:r w:rsidRPr="00C1771C">
        <w:rPr>
          <w:smallCaps/>
          <w:lang w:val="en-US" w:eastAsia="fr-FR"/>
        </w:rPr>
        <w:t>Rohland</w:t>
      </w:r>
      <w:r w:rsidRPr="00C1771C">
        <w:rPr>
          <w:lang w:val="en-US" w:eastAsia="fr-FR"/>
        </w:rPr>
        <w:t xml:space="preserve">, N., I. </w:t>
      </w:r>
      <w:r w:rsidRPr="00C1771C">
        <w:rPr>
          <w:smallCaps/>
          <w:lang w:val="en-US" w:eastAsia="fr-FR"/>
        </w:rPr>
        <w:t>Glocke</w:t>
      </w:r>
      <w:r w:rsidRPr="00C1771C">
        <w:rPr>
          <w:lang w:val="en-US" w:eastAsia="fr-FR"/>
        </w:rPr>
        <w:t xml:space="preserve">, A. </w:t>
      </w:r>
      <w:r w:rsidRPr="00C1771C">
        <w:rPr>
          <w:smallCaps/>
          <w:lang w:val="en-US" w:eastAsia="fr-FR"/>
        </w:rPr>
        <w:t>Aximu-Petri</w:t>
      </w:r>
      <w:r w:rsidRPr="00C1771C">
        <w:rPr>
          <w:lang w:val="en-US" w:eastAsia="fr-FR"/>
        </w:rPr>
        <w:t xml:space="preserve"> &amp; M. </w:t>
      </w:r>
      <w:r w:rsidRPr="00C1771C">
        <w:rPr>
          <w:smallCaps/>
          <w:lang w:val="en-US" w:eastAsia="fr-FR"/>
        </w:rPr>
        <w:t>Meyer</w:t>
      </w:r>
      <w:r w:rsidRPr="00C1771C">
        <w:rPr>
          <w:lang w:val="en-US" w:eastAsia="fr-FR"/>
        </w:rPr>
        <w:t xml:space="preserve">. 2018. Extraction of highly degraded DNA from ancient bones, teeth, and sediments for high-throughout sequencing. </w:t>
      </w:r>
      <w:r w:rsidRPr="00C1771C">
        <w:rPr>
          <w:i/>
          <w:iCs/>
          <w:lang w:val="en-US" w:eastAsia="fr-FR"/>
        </w:rPr>
        <w:t>Nature Protocols</w:t>
      </w:r>
      <w:r w:rsidRPr="00C1771C">
        <w:rPr>
          <w:i/>
          <w:iCs/>
          <w:lang w:eastAsia="fr-FR"/>
        </w:rPr>
        <w:t>.</w:t>
      </w:r>
      <w:r w:rsidRPr="00C1771C">
        <w:rPr>
          <w:lang w:val="en-US" w:eastAsia="fr-FR"/>
        </w:rPr>
        <w:t xml:space="preserve"> 13: 2447–61. https://doi.org/10.1038/s41596-018-0050-5</w:t>
      </w:r>
    </w:p>
    <w:p w14:paraId="60E904C2" w14:textId="77777777" w:rsidR="00005EE4" w:rsidRPr="00C1771C" w:rsidRDefault="00005EE4" w:rsidP="00005EE4">
      <w:pPr>
        <w:spacing w:after="58"/>
        <w:rPr>
          <w:lang w:val="en-US" w:eastAsia="fr-FR"/>
        </w:rPr>
      </w:pPr>
      <w:r w:rsidRPr="00C1771C">
        <w:rPr>
          <w:smallCaps/>
          <w:lang w:val="en-US" w:eastAsia="fr-FR"/>
        </w:rPr>
        <w:t>Rohland</w:t>
      </w:r>
      <w:r w:rsidRPr="00C1771C">
        <w:rPr>
          <w:lang w:val="en-US" w:eastAsia="fr-FR"/>
        </w:rPr>
        <w:t xml:space="preserve">, N. </w:t>
      </w:r>
      <w:r w:rsidRPr="00C1771C">
        <w:rPr>
          <w:i/>
          <w:iCs/>
          <w:lang w:val="en-US" w:eastAsia="fr-FR"/>
        </w:rPr>
        <w:t>et al</w:t>
      </w:r>
      <w:r w:rsidRPr="00C1771C">
        <w:rPr>
          <w:lang w:val="en-US" w:eastAsia="fr-FR"/>
        </w:rPr>
        <w:t xml:space="preserve">. 2022. Three assays for in-solution enrichment of ancient human DNA at more than a million SNPs. </w:t>
      </w:r>
      <w:r w:rsidRPr="00C1771C">
        <w:rPr>
          <w:i/>
          <w:iCs/>
          <w:lang w:val="en-US" w:eastAsia="fr-FR"/>
        </w:rPr>
        <w:t>Genome Research</w:t>
      </w:r>
      <w:r w:rsidRPr="00C1771C">
        <w:rPr>
          <w:lang w:val="en-US" w:eastAsia="fr-FR"/>
        </w:rPr>
        <w:t xml:space="preserve"> 32: 11–12. https://doi.org/10.1101/gr.276728.122</w:t>
      </w:r>
    </w:p>
    <w:p w14:paraId="6668784A" w14:textId="77777777" w:rsidR="00005EE4" w:rsidRPr="00C1771C" w:rsidRDefault="00005EE4" w:rsidP="00005EE4">
      <w:pPr>
        <w:spacing w:after="58"/>
        <w:rPr>
          <w:lang w:val="en-US"/>
        </w:rPr>
      </w:pPr>
      <w:r w:rsidRPr="00C1771C">
        <w:rPr>
          <w:smallCaps/>
          <w:lang w:val="en-US"/>
        </w:rPr>
        <w:t>Rossi</w:t>
      </w:r>
      <w:r w:rsidRPr="00C1771C">
        <w:rPr>
          <w:lang w:val="en-US"/>
        </w:rPr>
        <w:t xml:space="preserve">, R.J. 2018. </w:t>
      </w:r>
      <w:r w:rsidRPr="00C1771C">
        <w:rPr>
          <w:i/>
          <w:iCs/>
          <w:lang w:val="en-US"/>
        </w:rPr>
        <w:t>Mathematical statistics: an introduction to likelihood-based inference</w:t>
      </w:r>
      <w:r w:rsidRPr="00C1771C">
        <w:rPr>
          <w:lang w:val="en-US"/>
        </w:rPr>
        <w:t>. Hoboken (NJ): John Wiley &amp; Sons.</w:t>
      </w:r>
    </w:p>
    <w:p w14:paraId="50DBABB6" w14:textId="77777777" w:rsidR="00005EE4" w:rsidRPr="00C1771C" w:rsidRDefault="00005EE4" w:rsidP="00005EE4">
      <w:pPr>
        <w:spacing w:after="58"/>
        <w:rPr>
          <w:lang w:eastAsia="fr-FR"/>
        </w:rPr>
      </w:pPr>
      <w:r w:rsidRPr="00C1771C">
        <w:rPr>
          <w:smallCaps/>
          <w:lang w:val="en-US" w:eastAsia="fr-FR"/>
        </w:rPr>
        <w:t>Steijn</w:t>
      </w:r>
      <w:r w:rsidRPr="00C1771C">
        <w:rPr>
          <w:lang w:val="en-US" w:eastAsia="fr-FR"/>
        </w:rPr>
        <w:t xml:space="preserve">, M. &amp; M.T. </w:t>
      </w:r>
      <w:r w:rsidRPr="00C1771C">
        <w:rPr>
          <w:smallCaps/>
          <w:lang w:val="en-US" w:eastAsia="fr-FR"/>
        </w:rPr>
        <w:t>Isçan</w:t>
      </w:r>
      <w:r w:rsidRPr="00C1771C">
        <w:rPr>
          <w:lang w:val="en-US" w:eastAsia="fr-FR"/>
        </w:rPr>
        <w:t xml:space="preserve">. 1999. Osteometric variation in the humerus: sexual dimorphism in South Africans. </w:t>
      </w:r>
      <w:r w:rsidRPr="00C1771C">
        <w:rPr>
          <w:i/>
          <w:iCs/>
          <w:lang w:val="en-US" w:eastAsia="fr-FR"/>
        </w:rPr>
        <w:t>Fo</w:t>
      </w:r>
      <w:r w:rsidRPr="00C1771C">
        <w:rPr>
          <w:i/>
          <w:iCs/>
          <w:lang w:eastAsia="fr-FR"/>
        </w:rPr>
        <w:t>ren</w:t>
      </w:r>
      <w:r w:rsidRPr="00C1771C">
        <w:rPr>
          <w:i/>
          <w:iCs/>
          <w:lang w:val="en-US" w:eastAsia="fr-FR"/>
        </w:rPr>
        <w:t>sic</w:t>
      </w:r>
      <w:r w:rsidRPr="00C1771C">
        <w:rPr>
          <w:i/>
          <w:iCs/>
          <w:lang w:eastAsia="fr-FR"/>
        </w:rPr>
        <w:t xml:space="preserve"> </w:t>
      </w:r>
      <w:r w:rsidRPr="00C1771C">
        <w:rPr>
          <w:i/>
          <w:iCs/>
          <w:lang w:val="en-US" w:eastAsia="fr-FR"/>
        </w:rPr>
        <w:t>Science</w:t>
      </w:r>
      <w:r w:rsidRPr="00C1771C">
        <w:rPr>
          <w:i/>
          <w:iCs/>
          <w:lang w:eastAsia="fr-FR"/>
        </w:rPr>
        <w:t xml:space="preserve"> </w:t>
      </w:r>
      <w:r w:rsidRPr="00C1771C">
        <w:rPr>
          <w:i/>
          <w:iCs/>
          <w:lang w:val="en-US" w:eastAsia="fr-FR"/>
        </w:rPr>
        <w:t>International</w:t>
      </w:r>
      <w:r w:rsidRPr="00C1771C">
        <w:rPr>
          <w:lang w:val="en-US" w:eastAsia="fr-FR"/>
        </w:rPr>
        <w:t xml:space="preserve"> 106: 77–85. https://doi.org/10.1016/S0379-0738(99)00141-3</w:t>
      </w:r>
    </w:p>
    <w:p w14:paraId="1657567D" w14:textId="77777777" w:rsidR="00005EE4" w:rsidRPr="00C1771C" w:rsidRDefault="00005EE4" w:rsidP="00005EE4">
      <w:pPr>
        <w:spacing w:after="58"/>
        <w:rPr>
          <w:lang w:eastAsia="fr-FR"/>
        </w:rPr>
      </w:pPr>
      <w:r w:rsidRPr="00C1771C">
        <w:rPr>
          <w:smallCaps/>
          <w:lang w:val="en-US" w:eastAsia="fr-FR"/>
        </w:rPr>
        <w:lastRenderedPageBreak/>
        <w:t>Stewart</w:t>
      </w:r>
      <w:r w:rsidRPr="00C1771C">
        <w:rPr>
          <w:lang w:val="en-US" w:eastAsia="fr-FR"/>
        </w:rPr>
        <w:t>,</w:t>
      </w:r>
      <w:r w:rsidRPr="00C1771C">
        <w:rPr>
          <w:lang w:eastAsia="fr-FR"/>
        </w:rPr>
        <w:t xml:space="preserve"> </w:t>
      </w:r>
      <w:r w:rsidRPr="00C1771C">
        <w:rPr>
          <w:lang w:val="en-US" w:eastAsia="fr-FR"/>
        </w:rPr>
        <w:t xml:space="preserve">T.D. 1979. </w:t>
      </w:r>
      <w:r w:rsidRPr="00C1771C">
        <w:rPr>
          <w:i/>
          <w:iCs/>
          <w:lang w:val="en-US" w:eastAsia="fr-FR"/>
        </w:rPr>
        <w:t>Essential of forensic anthropology, especially as developed in the United States</w:t>
      </w:r>
      <w:r w:rsidRPr="00C1771C">
        <w:rPr>
          <w:lang w:val="en-US" w:eastAsia="fr-FR"/>
        </w:rPr>
        <w:t>. Springfield (IL): CC Thomas</w:t>
      </w:r>
      <w:r w:rsidRPr="00C1771C">
        <w:rPr>
          <w:lang w:eastAsia="fr-FR"/>
        </w:rPr>
        <w:t>.</w:t>
      </w:r>
    </w:p>
    <w:p w14:paraId="2F9DA612" w14:textId="77777777" w:rsidR="00005EE4" w:rsidRPr="00C1771C" w:rsidRDefault="00005EE4" w:rsidP="00005EE4">
      <w:pPr>
        <w:spacing w:after="58"/>
      </w:pPr>
      <w:r w:rsidRPr="00C1771C">
        <w:rPr>
          <w:smallCaps/>
        </w:rPr>
        <w:t>Ward</w:t>
      </w:r>
      <w:r w:rsidRPr="00C1771C">
        <w:t xml:space="preserve">, </w:t>
      </w:r>
      <w:r w:rsidRPr="00C1771C">
        <w:rPr>
          <w:lang w:val="en-US"/>
        </w:rPr>
        <w:t xml:space="preserve">G.K. &amp; S.R. </w:t>
      </w:r>
      <w:r w:rsidRPr="00C1771C">
        <w:rPr>
          <w:smallCaps/>
        </w:rPr>
        <w:t>Wilson</w:t>
      </w:r>
      <w:r w:rsidRPr="00C1771C">
        <w:rPr>
          <w:lang w:val="en-US"/>
        </w:rPr>
        <w:t xml:space="preserve">. 1987. </w:t>
      </w:r>
      <w:r w:rsidRPr="00C1771C">
        <w:t xml:space="preserve">Procedures for comparing and combining radiocarbon age determinations: a critique. </w:t>
      </w:r>
      <w:r w:rsidRPr="00C1771C">
        <w:rPr>
          <w:i/>
          <w:iCs/>
        </w:rPr>
        <w:t>Archaeometry</w:t>
      </w:r>
      <w:r w:rsidRPr="00C1771C">
        <w:t xml:space="preserve"> 20</w:t>
      </w:r>
      <w:r w:rsidRPr="00C1771C">
        <w:rPr>
          <w:lang w:val="en-US"/>
        </w:rPr>
        <w:t>:</w:t>
      </w:r>
      <w:r w:rsidRPr="00C1771C">
        <w:t xml:space="preserve"> 19–31. https://doi.org/10.1111/j.1475-4754.1978.tb00208.x</w:t>
      </w:r>
    </w:p>
    <w:p w14:paraId="4DF8BDE8" w14:textId="77777777" w:rsidR="00005EE4" w:rsidRPr="00C1771C" w:rsidRDefault="00005EE4" w:rsidP="00005EE4">
      <w:pPr>
        <w:spacing w:after="58"/>
      </w:pPr>
      <w:r w:rsidRPr="00C1771C">
        <w:rPr>
          <w:smallCaps/>
          <w:lang w:val="nl-NL"/>
        </w:rPr>
        <w:t>Wojcieszak</w:t>
      </w:r>
      <w:r w:rsidRPr="00C1771C">
        <w:rPr>
          <w:lang w:val="nl-NL"/>
        </w:rPr>
        <w:t xml:space="preserve">, M., T. </w:t>
      </w:r>
      <w:r w:rsidRPr="00C1771C">
        <w:rPr>
          <w:smallCaps/>
          <w:lang w:val="nl-NL"/>
        </w:rPr>
        <w:t>Van den Brande</w:t>
      </w:r>
      <w:r w:rsidRPr="00C1771C">
        <w:rPr>
          <w:lang w:val="nl-NL"/>
        </w:rPr>
        <w:t xml:space="preserve">, G. </w:t>
      </w:r>
      <w:r w:rsidRPr="00C1771C">
        <w:rPr>
          <w:smallCaps/>
          <w:lang w:val="en-US"/>
        </w:rPr>
        <w:t>Ligovich</w:t>
      </w:r>
      <w:r w:rsidRPr="00C1771C">
        <w:rPr>
          <w:lang w:val="en-US"/>
        </w:rPr>
        <w:t xml:space="preserve"> &amp; M. </w:t>
      </w:r>
      <w:r w:rsidRPr="00C1771C">
        <w:rPr>
          <w:smallCaps/>
          <w:lang w:val="en-US"/>
        </w:rPr>
        <w:t>Boudin</w:t>
      </w:r>
      <w:r w:rsidRPr="00C1771C">
        <w:rPr>
          <w:lang w:val="en-US"/>
        </w:rPr>
        <w:t xml:space="preserve">. 2020. Pretreatment protocols performed at the Royal Institute for Cultural Heritage (RICH) prior to AMS </w:t>
      </w:r>
      <w:r w:rsidRPr="00C1771C">
        <w:rPr>
          <w:vertAlign w:val="superscript"/>
          <w:lang w:val="en-US"/>
        </w:rPr>
        <w:t>14</w:t>
      </w:r>
      <w:r w:rsidRPr="00C1771C">
        <w:rPr>
          <w:lang w:val="en-US"/>
        </w:rPr>
        <w:t xml:space="preserve">C measurements. </w:t>
      </w:r>
      <w:r w:rsidRPr="00C1771C">
        <w:rPr>
          <w:i/>
          <w:iCs/>
          <w:lang w:val="en-US"/>
        </w:rPr>
        <w:t>Radiocarbon</w:t>
      </w:r>
      <w:r w:rsidRPr="00C1771C">
        <w:rPr>
          <w:lang w:val="en-US"/>
        </w:rPr>
        <w:t xml:space="preserve"> 62: e14-e24. https://doi.org/10.1017/RDC.2020.64</w:t>
      </w:r>
    </w:p>
    <w:p w14:paraId="5A9A3E0D" w14:textId="77777777" w:rsidR="00005EE4" w:rsidRPr="00C1771C" w:rsidRDefault="00005EE4" w:rsidP="00005EE4"/>
    <w:p w14:paraId="6A15D5FE" w14:textId="77777777" w:rsidR="00B1095D" w:rsidRPr="00AF7FB1" w:rsidRDefault="00B1095D"/>
    <w:sectPr w:rsidR="00B1095D" w:rsidRPr="00AF7F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95D"/>
    <w:rsid w:val="00005EE4"/>
    <w:rsid w:val="000323EE"/>
    <w:rsid w:val="002F6B56"/>
    <w:rsid w:val="003F73ED"/>
    <w:rsid w:val="00576FA8"/>
    <w:rsid w:val="005D12BE"/>
    <w:rsid w:val="0077308D"/>
    <w:rsid w:val="007C4588"/>
    <w:rsid w:val="009124D1"/>
    <w:rsid w:val="00916F95"/>
    <w:rsid w:val="00955909"/>
    <w:rsid w:val="00AC4A6D"/>
    <w:rsid w:val="00AF7E08"/>
    <w:rsid w:val="00AF7FB1"/>
    <w:rsid w:val="00B1095D"/>
    <w:rsid w:val="00BF518E"/>
    <w:rsid w:val="00BF5236"/>
    <w:rsid w:val="00D106C5"/>
    <w:rsid w:val="00EF5CF4"/>
    <w:rsid w:val="00F73E7A"/>
    <w:rsid w:val="00FF0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297E0"/>
  <w15:chartTrackingRefBased/>
  <w15:docId w15:val="{F400D06F-7091-9A4A-89DA-7D0BCDD31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95D"/>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1095D"/>
    <w:rPr>
      <w:lang w:val="en-US" w:eastAsia="en-US"/>
    </w:rPr>
  </w:style>
  <w:style w:type="character" w:styleId="Hyperlink">
    <w:name w:val="Hyperlink"/>
    <w:basedOn w:val="DefaultParagraphFont"/>
    <w:uiPriority w:val="99"/>
    <w:unhideWhenUsed/>
    <w:rsid w:val="00AF7FB1"/>
    <w:rPr>
      <w:color w:val="0563C1" w:themeColor="hyperlink"/>
      <w:u w:val="single"/>
    </w:rPr>
  </w:style>
  <w:style w:type="character" w:styleId="Strong">
    <w:name w:val="Strong"/>
    <w:basedOn w:val="DefaultParagraphFont"/>
    <w:uiPriority w:val="22"/>
    <w:qFormat/>
    <w:rsid w:val="00BF5236"/>
    <w:rPr>
      <w:b/>
      <w:bCs/>
    </w:rPr>
  </w:style>
  <w:style w:type="character" w:styleId="Emphasis">
    <w:name w:val="Emphasis"/>
    <w:basedOn w:val="DefaultParagraphFont"/>
    <w:uiPriority w:val="20"/>
    <w:qFormat/>
    <w:rsid w:val="00BF5236"/>
    <w:rPr>
      <w:i/>
      <w:iCs/>
    </w:rPr>
  </w:style>
  <w:style w:type="table" w:styleId="TableGrid">
    <w:name w:val="Table Grid"/>
    <w:basedOn w:val="TableNormal"/>
    <w:uiPriority w:val="39"/>
    <w:rsid w:val="00FF0D18"/>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5EE4"/>
    <w:rPr>
      <w:sz w:val="16"/>
      <w:szCs w:val="16"/>
    </w:rPr>
  </w:style>
  <w:style w:type="paragraph" w:styleId="CommentText">
    <w:name w:val="annotation text"/>
    <w:basedOn w:val="Normal"/>
    <w:link w:val="CommentTextChar"/>
    <w:uiPriority w:val="99"/>
    <w:unhideWhenUsed/>
    <w:rsid w:val="00005EE4"/>
    <w:rPr>
      <w:sz w:val="20"/>
      <w:szCs w:val="20"/>
    </w:rPr>
  </w:style>
  <w:style w:type="character" w:customStyle="1" w:styleId="CommentTextChar">
    <w:name w:val="Comment Text Char"/>
    <w:basedOn w:val="DefaultParagraphFont"/>
    <w:link w:val="CommentText"/>
    <w:uiPriority w:val="99"/>
    <w:rsid w:val="00005EE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05EE4"/>
    <w:rPr>
      <w:b/>
      <w:bCs/>
    </w:rPr>
  </w:style>
  <w:style w:type="character" w:customStyle="1" w:styleId="CommentSubjectChar">
    <w:name w:val="Comment Subject Char"/>
    <w:basedOn w:val="CommentTextChar"/>
    <w:link w:val="CommentSubject"/>
    <w:uiPriority w:val="99"/>
    <w:semiHidden/>
    <w:rsid w:val="00005EE4"/>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ture-science.com/doi/full/10.2144/000114320"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2397</Words>
  <Characters>13663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VESELKA</dc:creator>
  <cp:keywords/>
  <dc:description/>
  <cp:lastModifiedBy>TEASDALE, ABIGAIL L.</cp:lastModifiedBy>
  <cp:revision>7</cp:revision>
  <dcterms:created xsi:type="dcterms:W3CDTF">2024-05-22T16:25:00Z</dcterms:created>
  <dcterms:modified xsi:type="dcterms:W3CDTF">2024-07-05T08:46:00Z</dcterms:modified>
</cp:coreProperties>
</file>