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26"/>
        <w:gridCol w:w="7734"/>
      </w:tblGrid>
      <w:tr w:rsidR="00EE2189" w:rsidRPr="00490EB6" w14:paraId="50D4A1E3" w14:textId="77777777" w:rsidTr="00AF20C6">
        <w:trPr>
          <w:trHeight w:val="1134"/>
        </w:trPr>
        <w:tc>
          <w:tcPr>
            <w:tcW w:w="0" w:type="auto"/>
            <w:tcBorders>
              <w:top w:val="single" w:sz="12" w:space="0" w:color="C00000"/>
              <w:left w:val="nil"/>
              <w:bottom w:val="single" w:sz="12" w:space="0" w:color="C00000"/>
              <w:right w:val="nil"/>
            </w:tcBorders>
            <w:vAlign w:val="center"/>
          </w:tcPr>
          <w:p w14:paraId="16DA957A" w14:textId="77777777" w:rsidR="00EE2189" w:rsidRPr="00490EB6" w:rsidRDefault="00EE2189" w:rsidP="00AF20C6">
            <w:pPr>
              <w:rPr>
                <w:rFonts w:asciiTheme="majorBidi" w:eastAsia="Times New Roman" w:hAnsiTheme="majorBidi" w:cstheme="majorBidi"/>
                <w:sz w:val="28"/>
                <w:szCs w:val="28"/>
              </w:rPr>
            </w:pPr>
            <w:r w:rsidRPr="00490EB6">
              <w:rPr>
                <w:rFonts w:ascii="Times New Roman" w:eastAsia="Times New Roman" w:hAnsi="Times New Roman" w:cs="Times New Roman"/>
                <w:noProof/>
              </w:rPr>
              <w:drawing>
                <wp:inline distT="0" distB="0" distL="0" distR="0" wp14:anchorId="08536FD7" wp14:editId="03F62D94">
                  <wp:extent cx="885825" cy="885825"/>
                  <wp:effectExtent l="0" t="0" r="9525" b="9525"/>
                  <wp:docPr id="1" name="Picture 1" descr="A red circle with a white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circle with a white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0" w:type="auto"/>
            <w:tcBorders>
              <w:top w:val="single" w:sz="12" w:space="0" w:color="C00000"/>
              <w:left w:val="nil"/>
              <w:bottom w:val="single" w:sz="12" w:space="0" w:color="C00000"/>
              <w:right w:val="nil"/>
            </w:tcBorders>
            <w:vAlign w:val="center"/>
          </w:tcPr>
          <w:p w14:paraId="25AD93FF" w14:textId="77777777" w:rsidR="00EE2189" w:rsidRDefault="00EE2189" w:rsidP="00EE2189">
            <w:pPr>
              <w:spacing w:line="360" w:lineRule="auto"/>
              <w:rPr>
                <w:rFonts w:ascii="Times New Roman" w:eastAsia="Times New Roman" w:hAnsi="Times New Roman" w:cs="Times New Roman"/>
              </w:rPr>
            </w:pPr>
            <w:r w:rsidRPr="00201A3D">
              <w:rPr>
                <w:rFonts w:ascii="Times New Roman" w:eastAsia="Times New Roman" w:hAnsi="Times New Roman" w:cs="Times New Roman"/>
              </w:rPr>
              <w:t xml:space="preserve">Supplementary material for </w:t>
            </w:r>
            <w:r>
              <w:rPr>
                <w:rFonts w:ascii="Times New Roman" w:eastAsia="Times New Roman" w:hAnsi="Times New Roman" w:cs="Times New Roman"/>
              </w:rPr>
              <w:br/>
            </w:r>
            <w:r w:rsidRPr="00EE2189">
              <w:rPr>
                <w:rFonts w:ascii="Times New Roman" w:hAnsi="Times New Roman" w:cs="Times New Roman"/>
                <w:smallCaps/>
                <w:sz w:val="24"/>
                <w:szCs w:val="24"/>
              </w:rPr>
              <w:t>Johnson, T., B., Hockett &amp; A. Linderholm</w:t>
            </w:r>
            <w:r w:rsidRPr="00EE2189">
              <w:rPr>
                <w:rFonts w:ascii="Times New Roman" w:hAnsi="Times New Roman" w:cs="Times New Roman"/>
                <w:sz w:val="24"/>
                <w:szCs w:val="24"/>
              </w:rPr>
              <w:t>. 2024.</w:t>
            </w:r>
            <w:r>
              <w:rPr>
                <w:rFonts w:ascii="Times New Roman" w:hAnsi="Times New Roman" w:cs="Times New Roman"/>
                <w:sz w:val="24"/>
                <w:szCs w:val="24"/>
              </w:rPr>
              <w:t xml:space="preserve"> </w:t>
            </w:r>
            <w:r w:rsidRPr="0098681F">
              <w:rPr>
                <w:rFonts w:ascii="Times New Roman" w:hAnsi="Times New Roman" w:cs="Times New Roman"/>
                <w:b/>
                <w:bCs/>
              </w:rPr>
              <w:t>DNA metabarcoding and macroremains from coprolites reveals insights into Middle and Late Holocene inhabitants of Bonneville Estates Rockshelter, Nevada</w:t>
            </w:r>
            <w:r w:rsidRPr="00201A3D">
              <w:rPr>
                <w:rFonts w:ascii="Times New Roman" w:eastAsia="Times New Roman" w:hAnsi="Times New Roman" w:cs="Times New Roman"/>
                <w:b/>
                <w:bCs/>
              </w:rPr>
              <w:t>.</w:t>
            </w:r>
            <w:r>
              <w:rPr>
                <w:rFonts w:ascii="Times New Roman" w:eastAsia="Times New Roman" w:hAnsi="Times New Roman" w:cs="Times New Roman"/>
                <w:b/>
                <w:bCs/>
              </w:rPr>
              <w:t xml:space="preserve"> </w:t>
            </w:r>
            <w:r w:rsidRPr="00490EB6">
              <w:rPr>
                <w:rFonts w:ascii="Times New Roman" w:eastAsia="Times New Roman" w:hAnsi="Times New Roman" w:cs="Times New Roman"/>
                <w:i/>
                <w:iCs/>
              </w:rPr>
              <w:t>Antiquity</w:t>
            </w:r>
            <w:r w:rsidRPr="00490EB6">
              <w:rPr>
                <w:rFonts w:ascii="Times New Roman" w:eastAsia="Times New Roman" w:hAnsi="Times New Roman" w:cs="Times New Roman"/>
              </w:rPr>
              <w:t xml:space="preserve"> 98.</w:t>
            </w:r>
          </w:p>
          <w:p w14:paraId="42304505" w14:textId="74C22431" w:rsidR="00EE2189" w:rsidRPr="00EE2189" w:rsidRDefault="00EE2189" w:rsidP="00AF20C6">
            <w:pPr>
              <w:spacing w:line="360" w:lineRule="auto"/>
              <w:rPr>
                <w:rFonts w:ascii="Times New Roman" w:eastAsia="Times New Roman" w:hAnsi="Times New Roman" w:cs="Times New Roman"/>
                <w:sz w:val="24"/>
                <w:szCs w:val="24"/>
              </w:rPr>
            </w:pPr>
            <w:r w:rsidRPr="00BE4502">
              <w:rPr>
                <w:rFonts w:ascii="Times New Roman" w:eastAsia="Times New Roman" w:hAnsi="Times New Roman" w:cs="Times New Roman"/>
                <w:sz w:val="24"/>
                <w:szCs w:val="24"/>
              </w:rPr>
              <w:t xml:space="preserve">Author for correspondence </w:t>
            </w:r>
            <w:r w:rsidRPr="00BE4502">
              <w:rPr>
                <w:rFonts w:ascii="Segoe UI Symbol" w:eastAsia="Arial Unicode MS" w:hAnsi="Segoe UI Symbol" w:cs="Segoe UI Symbol"/>
                <w:color w:val="000000"/>
                <w:sz w:val="24"/>
                <w:szCs w:val="24"/>
                <w:bdr w:val="nil"/>
                <w:lang w:eastAsia="en-GB"/>
              </w:rPr>
              <w:t>✉</w:t>
            </w:r>
            <w:r w:rsidRPr="00BE4502">
              <w:rPr>
                <w:rFonts w:ascii="Times New Roman" w:eastAsia="Arial Unicode MS" w:hAnsi="Times New Roman" w:cs="Times New Roman"/>
                <w:color w:val="000000"/>
                <w:sz w:val="24"/>
                <w:szCs w:val="24"/>
                <w:bdr w:val="nil"/>
                <w:lang w:eastAsia="en-GB"/>
              </w:rPr>
              <w:t xml:space="preserve"> </w:t>
            </w:r>
            <w:r w:rsidRPr="006B362A">
              <w:rPr>
                <w:rFonts w:ascii="Times New Roman" w:eastAsia="Arial Unicode MS" w:hAnsi="Times New Roman" w:cs="Times New Roman"/>
                <w:color w:val="000000"/>
                <w:sz w:val="24"/>
                <w:szCs w:val="24"/>
                <w:bdr w:val="nil"/>
                <w:lang w:eastAsia="en-GB"/>
              </w:rPr>
              <w:t>archaeobotaryn@gmail.com</w:t>
            </w:r>
          </w:p>
        </w:tc>
      </w:tr>
    </w:tbl>
    <w:p w14:paraId="42147FAD" w14:textId="77777777" w:rsidR="00EE2189" w:rsidRDefault="00EE2189" w:rsidP="00BE4502">
      <w:pPr>
        <w:spacing w:line="360" w:lineRule="auto"/>
        <w:jc w:val="both"/>
        <w:rPr>
          <w:rFonts w:ascii="Times New Roman" w:eastAsia="Times New Roman" w:hAnsi="Times New Roman" w:cs="Times New Roman"/>
        </w:rPr>
      </w:pPr>
    </w:p>
    <w:p w14:paraId="6DDE1562" w14:textId="2E9CC431" w:rsidR="00716203" w:rsidRPr="00BD6FCF" w:rsidRDefault="00716203" w:rsidP="00BD6FCF">
      <w:pPr>
        <w:pStyle w:val="ListParagraph"/>
        <w:numPr>
          <w:ilvl w:val="0"/>
          <w:numId w:val="5"/>
        </w:numPr>
        <w:spacing w:after="0" w:line="360" w:lineRule="auto"/>
        <w:rPr>
          <w:rFonts w:ascii="Times New Roman" w:hAnsi="Times New Roman" w:cs="Times New Roman"/>
          <w:b/>
          <w:bCs/>
          <w:sz w:val="24"/>
          <w:szCs w:val="24"/>
        </w:rPr>
      </w:pPr>
      <w:r w:rsidRPr="00BD6FCF">
        <w:rPr>
          <w:rFonts w:ascii="Times New Roman" w:hAnsi="Times New Roman" w:cs="Times New Roman"/>
          <w:b/>
          <w:bCs/>
          <w:sz w:val="24"/>
          <w:szCs w:val="24"/>
        </w:rPr>
        <w:t xml:space="preserve">Environmental and </w:t>
      </w:r>
      <w:r w:rsidR="00C0786B" w:rsidRPr="00BD6FCF">
        <w:rPr>
          <w:rFonts w:ascii="Times New Roman" w:hAnsi="Times New Roman" w:cs="Times New Roman"/>
          <w:b/>
          <w:bCs/>
          <w:sz w:val="24"/>
          <w:szCs w:val="24"/>
        </w:rPr>
        <w:t xml:space="preserve">cultural background </w:t>
      </w:r>
      <w:r w:rsidRPr="00BD6FCF">
        <w:rPr>
          <w:rFonts w:ascii="Times New Roman" w:hAnsi="Times New Roman" w:cs="Times New Roman"/>
          <w:b/>
          <w:bCs/>
          <w:sz w:val="24"/>
          <w:szCs w:val="24"/>
        </w:rPr>
        <w:t>of Bonneville Estates Rockshelter</w:t>
      </w:r>
    </w:p>
    <w:p w14:paraId="0803D44C" w14:textId="3DAE9283" w:rsidR="00780176" w:rsidRDefault="00780176" w:rsidP="0098681F">
      <w:pPr>
        <w:spacing w:after="0" w:line="360" w:lineRule="auto"/>
        <w:rPr>
          <w:rFonts w:ascii="Times New Roman" w:hAnsi="Times New Roman" w:cs="Times New Roman"/>
          <w:sz w:val="24"/>
          <w:szCs w:val="24"/>
        </w:rPr>
      </w:pPr>
      <w:r w:rsidRPr="0098681F">
        <w:rPr>
          <w:rFonts w:ascii="Times New Roman" w:hAnsi="Times New Roman" w:cs="Times New Roman"/>
          <w:sz w:val="24"/>
          <w:szCs w:val="24"/>
        </w:rPr>
        <w:t xml:space="preserve">Prior to </w:t>
      </w:r>
      <w:r w:rsidR="005A4507" w:rsidRPr="005A4507">
        <w:rPr>
          <w:rFonts w:ascii="Times New Roman" w:hAnsi="Times New Roman" w:cs="Times New Roman"/>
          <w:i/>
          <w:iCs/>
          <w:sz w:val="24"/>
          <w:szCs w:val="24"/>
        </w:rPr>
        <w:t>c</w:t>
      </w:r>
      <w:r w:rsidR="005A4507">
        <w:rPr>
          <w:rFonts w:ascii="Times New Roman" w:hAnsi="Times New Roman" w:cs="Times New Roman"/>
          <w:sz w:val="24"/>
          <w:szCs w:val="24"/>
        </w:rPr>
        <w:t xml:space="preserve">. </w:t>
      </w:r>
      <w:r w:rsidRPr="0098681F">
        <w:rPr>
          <w:rFonts w:ascii="Times New Roman" w:hAnsi="Times New Roman" w:cs="Times New Roman"/>
          <w:sz w:val="24"/>
          <w:szCs w:val="24"/>
        </w:rPr>
        <w:t xml:space="preserve">9500 cal BP, and particularly prior to </w:t>
      </w:r>
      <w:r w:rsidR="005A4507" w:rsidRPr="005A4507">
        <w:rPr>
          <w:rFonts w:ascii="Times New Roman" w:hAnsi="Times New Roman" w:cs="Times New Roman"/>
          <w:i/>
          <w:iCs/>
          <w:sz w:val="24"/>
          <w:szCs w:val="24"/>
        </w:rPr>
        <w:t>c</w:t>
      </w:r>
      <w:r w:rsidR="005A4507">
        <w:rPr>
          <w:rFonts w:ascii="Times New Roman" w:hAnsi="Times New Roman" w:cs="Times New Roman"/>
          <w:sz w:val="24"/>
          <w:szCs w:val="24"/>
        </w:rPr>
        <w:t xml:space="preserve">. </w:t>
      </w:r>
      <w:r w:rsidRPr="0098681F">
        <w:rPr>
          <w:rFonts w:ascii="Times New Roman" w:hAnsi="Times New Roman" w:cs="Times New Roman"/>
          <w:sz w:val="24"/>
          <w:szCs w:val="24"/>
        </w:rPr>
        <w:t>10 500 cal BP, much cooler temperatures and increased effective precipitation prevailed near the shelter. Consequently, sagebrush-obligate animal species including sage-grouse (</w:t>
      </w:r>
      <w:r w:rsidRPr="0098681F">
        <w:rPr>
          <w:rFonts w:ascii="Times New Roman" w:hAnsi="Times New Roman" w:cs="Times New Roman"/>
          <w:i/>
          <w:iCs/>
          <w:sz w:val="24"/>
          <w:szCs w:val="24"/>
        </w:rPr>
        <w:t>Centrocercus urophasianus</w:t>
      </w:r>
      <w:r w:rsidRPr="0098681F">
        <w:rPr>
          <w:rFonts w:ascii="Times New Roman" w:hAnsi="Times New Roman" w:cs="Times New Roman"/>
          <w:sz w:val="24"/>
          <w:szCs w:val="24"/>
        </w:rPr>
        <w:t>) and pygmy rabbit (</w:t>
      </w:r>
      <w:r w:rsidRPr="0098681F">
        <w:rPr>
          <w:rFonts w:ascii="Times New Roman" w:hAnsi="Times New Roman" w:cs="Times New Roman"/>
          <w:i/>
          <w:iCs/>
          <w:sz w:val="24"/>
          <w:szCs w:val="24"/>
        </w:rPr>
        <w:t>Brachylagus idahoensis</w:t>
      </w:r>
      <w:r w:rsidRPr="0098681F">
        <w:rPr>
          <w:rFonts w:ascii="Times New Roman" w:hAnsi="Times New Roman" w:cs="Times New Roman"/>
          <w:sz w:val="24"/>
          <w:szCs w:val="24"/>
        </w:rPr>
        <w:t xml:space="preserve">) were prevalent, and their bones were common inside the shelter </w:t>
      </w:r>
      <w:r w:rsidRPr="0098681F">
        <w:rPr>
          <w:rFonts w:ascii="Times New Roman" w:hAnsi="Times New Roman" w:cs="Times New Roman"/>
          <w:noProof/>
          <w:sz w:val="24"/>
          <w:szCs w:val="24"/>
        </w:rPr>
        <w:t>(Hockett 2007, 2015)</w:t>
      </w:r>
      <w:r w:rsidRPr="0098681F">
        <w:rPr>
          <w:rFonts w:ascii="Times New Roman" w:hAnsi="Times New Roman" w:cs="Times New Roman"/>
          <w:sz w:val="24"/>
          <w:szCs w:val="24"/>
        </w:rPr>
        <w:t>. During the Younger Dryas (</w:t>
      </w:r>
      <w:r w:rsidR="00EA6FDE" w:rsidRPr="00EA6FDE">
        <w:rPr>
          <w:rFonts w:ascii="Times New Roman" w:hAnsi="Times New Roman" w:cs="Times New Roman"/>
          <w:i/>
          <w:iCs/>
          <w:sz w:val="24"/>
          <w:szCs w:val="24"/>
        </w:rPr>
        <w:t>c</w:t>
      </w:r>
      <w:r w:rsidR="00EA6FDE">
        <w:rPr>
          <w:rFonts w:ascii="Times New Roman" w:hAnsi="Times New Roman" w:cs="Times New Roman"/>
          <w:sz w:val="24"/>
          <w:szCs w:val="24"/>
        </w:rPr>
        <w:t xml:space="preserve">. </w:t>
      </w:r>
      <w:r w:rsidRPr="0098681F">
        <w:rPr>
          <w:rFonts w:ascii="Times New Roman" w:hAnsi="Times New Roman" w:cs="Times New Roman"/>
          <w:sz w:val="24"/>
          <w:szCs w:val="24"/>
        </w:rPr>
        <w:t>12 900 to 11 650 cal BP) limber pines</w:t>
      </w:r>
      <w:r w:rsidR="009A7E45" w:rsidRPr="0098681F">
        <w:rPr>
          <w:rFonts w:ascii="Times New Roman" w:hAnsi="Times New Roman" w:cs="Times New Roman"/>
          <w:sz w:val="24"/>
          <w:szCs w:val="24"/>
        </w:rPr>
        <w:t xml:space="preserve"> (</w:t>
      </w:r>
      <w:r w:rsidR="009A7E45" w:rsidRPr="0098681F">
        <w:rPr>
          <w:rFonts w:ascii="Times New Roman" w:hAnsi="Times New Roman" w:cs="Times New Roman"/>
          <w:i/>
          <w:iCs/>
          <w:sz w:val="24"/>
          <w:szCs w:val="24"/>
        </w:rPr>
        <w:t>Pinus flexilis</w:t>
      </w:r>
      <w:r w:rsidR="009A7E45" w:rsidRPr="0098681F">
        <w:rPr>
          <w:rFonts w:ascii="Times New Roman" w:hAnsi="Times New Roman" w:cs="Times New Roman"/>
          <w:sz w:val="24"/>
          <w:szCs w:val="24"/>
        </w:rPr>
        <w:t>)</w:t>
      </w:r>
      <w:r w:rsidRPr="0098681F">
        <w:rPr>
          <w:rFonts w:ascii="Times New Roman" w:hAnsi="Times New Roman" w:cs="Times New Roman"/>
          <w:sz w:val="24"/>
          <w:szCs w:val="24"/>
        </w:rPr>
        <w:t xml:space="preserve"> grew directly outside the shelter entrance, but during the earliest Holocene they quickly retreated upslope to alpine settings of the nearby Goshute Mountains </w:t>
      </w:r>
      <w:r w:rsidRPr="0098681F">
        <w:rPr>
          <w:rFonts w:ascii="Times New Roman" w:hAnsi="Times New Roman" w:cs="Times New Roman"/>
          <w:noProof/>
          <w:sz w:val="24"/>
          <w:szCs w:val="24"/>
        </w:rPr>
        <w:t>(Rhode &amp; Madsen 1995)</w:t>
      </w:r>
      <w:r w:rsidRPr="0098681F">
        <w:rPr>
          <w:rFonts w:ascii="Times New Roman" w:hAnsi="Times New Roman" w:cs="Times New Roman"/>
          <w:sz w:val="24"/>
          <w:szCs w:val="24"/>
        </w:rPr>
        <w:t xml:space="preserve">. The region around Bonneville Estates became increasingly dry and hot in the </w:t>
      </w:r>
      <w:r w:rsidR="00A47ED8">
        <w:rPr>
          <w:rFonts w:ascii="Times New Roman" w:hAnsi="Times New Roman" w:cs="Times New Roman"/>
          <w:sz w:val="24"/>
          <w:szCs w:val="24"/>
        </w:rPr>
        <w:t>E</w:t>
      </w:r>
      <w:r w:rsidRPr="0098681F">
        <w:rPr>
          <w:rFonts w:ascii="Times New Roman" w:hAnsi="Times New Roman" w:cs="Times New Roman"/>
          <w:sz w:val="24"/>
          <w:szCs w:val="24"/>
        </w:rPr>
        <w:t>arly-</w:t>
      </w:r>
      <w:r w:rsidR="00A47ED8">
        <w:rPr>
          <w:rFonts w:ascii="Times New Roman" w:hAnsi="Times New Roman" w:cs="Times New Roman"/>
          <w:sz w:val="24"/>
          <w:szCs w:val="24"/>
        </w:rPr>
        <w:t>M</w:t>
      </w:r>
      <w:r w:rsidRPr="0098681F">
        <w:rPr>
          <w:rFonts w:ascii="Times New Roman" w:hAnsi="Times New Roman" w:cs="Times New Roman"/>
          <w:sz w:val="24"/>
          <w:szCs w:val="24"/>
        </w:rPr>
        <w:t>id-Holocene (</w:t>
      </w:r>
      <w:r w:rsidR="00A47ED8" w:rsidRPr="00A47ED8">
        <w:rPr>
          <w:rFonts w:ascii="Times New Roman" w:hAnsi="Times New Roman" w:cs="Times New Roman"/>
          <w:i/>
          <w:iCs/>
          <w:sz w:val="24"/>
          <w:szCs w:val="24"/>
        </w:rPr>
        <w:t>c</w:t>
      </w:r>
      <w:r w:rsidR="00A47ED8">
        <w:rPr>
          <w:rFonts w:ascii="Times New Roman" w:hAnsi="Times New Roman" w:cs="Times New Roman"/>
          <w:sz w:val="24"/>
          <w:szCs w:val="24"/>
        </w:rPr>
        <w:t xml:space="preserve">. </w:t>
      </w:r>
      <w:r w:rsidRPr="0098681F">
        <w:rPr>
          <w:rFonts w:ascii="Times New Roman" w:hAnsi="Times New Roman" w:cs="Times New Roman"/>
          <w:sz w:val="24"/>
          <w:szCs w:val="24"/>
        </w:rPr>
        <w:t xml:space="preserve">10 500 to 8000 cal BP) with little evidence of human occupation </w:t>
      </w:r>
      <w:r w:rsidRPr="0098681F">
        <w:rPr>
          <w:rFonts w:ascii="Times New Roman" w:hAnsi="Times New Roman" w:cs="Times New Roman"/>
          <w:noProof/>
          <w:sz w:val="24"/>
          <w:szCs w:val="24"/>
        </w:rPr>
        <w:t xml:space="preserve">(Louderback &amp; Rhode 2009; Schmitt &amp; Lupo 2016; Thompson </w:t>
      </w:r>
      <w:r w:rsidRPr="0098681F">
        <w:rPr>
          <w:rFonts w:ascii="Times New Roman" w:hAnsi="Times New Roman" w:cs="Times New Roman"/>
          <w:i/>
          <w:noProof/>
          <w:sz w:val="24"/>
          <w:szCs w:val="24"/>
        </w:rPr>
        <w:t>et al.</w:t>
      </w:r>
      <w:r w:rsidRPr="0098681F">
        <w:rPr>
          <w:rFonts w:ascii="Times New Roman" w:hAnsi="Times New Roman" w:cs="Times New Roman"/>
          <w:noProof/>
          <w:sz w:val="24"/>
          <w:szCs w:val="24"/>
        </w:rPr>
        <w:t xml:space="preserve"> 2016</w:t>
      </w:r>
      <w:r w:rsidR="00E60AEF">
        <w:rPr>
          <w:rFonts w:ascii="Times New Roman" w:hAnsi="Times New Roman" w:cs="Times New Roman"/>
          <w:noProof/>
          <w:sz w:val="24"/>
          <w:szCs w:val="24"/>
        </w:rPr>
        <w:t>;</w:t>
      </w:r>
      <w:r w:rsidR="00E60AEF" w:rsidRPr="00E60AEF">
        <w:rPr>
          <w:rFonts w:ascii="Times New Roman" w:hAnsi="Times New Roman" w:cs="Times New Roman"/>
          <w:noProof/>
          <w:sz w:val="24"/>
          <w:szCs w:val="24"/>
        </w:rPr>
        <w:t xml:space="preserve"> </w:t>
      </w:r>
      <w:r w:rsidR="00E60AEF" w:rsidRPr="0098681F">
        <w:rPr>
          <w:rFonts w:ascii="Times New Roman" w:hAnsi="Times New Roman" w:cs="Times New Roman"/>
          <w:noProof/>
          <w:sz w:val="24"/>
          <w:szCs w:val="24"/>
        </w:rPr>
        <w:t xml:space="preserve">Goebel </w:t>
      </w:r>
      <w:r w:rsidR="00E60AEF" w:rsidRPr="0098681F">
        <w:rPr>
          <w:rFonts w:ascii="Times New Roman" w:hAnsi="Times New Roman" w:cs="Times New Roman"/>
          <w:i/>
          <w:noProof/>
          <w:sz w:val="24"/>
          <w:szCs w:val="24"/>
        </w:rPr>
        <w:t>et al.</w:t>
      </w:r>
      <w:r w:rsidR="00E60AEF" w:rsidRPr="0098681F">
        <w:rPr>
          <w:rFonts w:ascii="Times New Roman" w:hAnsi="Times New Roman" w:cs="Times New Roman"/>
          <w:noProof/>
          <w:sz w:val="24"/>
          <w:szCs w:val="24"/>
        </w:rPr>
        <w:t xml:space="preserve"> 2021</w:t>
      </w:r>
      <w:r w:rsidRPr="0098681F">
        <w:rPr>
          <w:rFonts w:ascii="Times New Roman" w:hAnsi="Times New Roman" w:cs="Times New Roman"/>
          <w:noProof/>
          <w:sz w:val="24"/>
          <w:szCs w:val="24"/>
        </w:rPr>
        <w:t>)</w:t>
      </w:r>
      <w:r w:rsidRPr="0098681F">
        <w:rPr>
          <w:rFonts w:ascii="Times New Roman" w:hAnsi="Times New Roman" w:cs="Times New Roman"/>
          <w:sz w:val="24"/>
          <w:szCs w:val="24"/>
        </w:rPr>
        <w:t>. Evidence of pinyon pine</w:t>
      </w:r>
      <w:r w:rsidR="009A7E45" w:rsidRPr="0098681F">
        <w:rPr>
          <w:rFonts w:ascii="Times New Roman" w:hAnsi="Times New Roman" w:cs="Times New Roman"/>
          <w:sz w:val="24"/>
          <w:szCs w:val="24"/>
        </w:rPr>
        <w:t xml:space="preserve"> (</w:t>
      </w:r>
      <w:r w:rsidR="009A7E45" w:rsidRPr="00BD5E01">
        <w:rPr>
          <w:rFonts w:ascii="Times New Roman" w:hAnsi="Times New Roman" w:cs="Times New Roman"/>
          <w:i/>
          <w:iCs/>
          <w:sz w:val="24"/>
          <w:szCs w:val="24"/>
        </w:rPr>
        <w:t>Pinus monophylla</w:t>
      </w:r>
      <w:r w:rsidR="009A7E45" w:rsidRPr="0098681F">
        <w:rPr>
          <w:rFonts w:ascii="Times New Roman" w:hAnsi="Times New Roman" w:cs="Times New Roman"/>
          <w:sz w:val="24"/>
          <w:szCs w:val="24"/>
        </w:rPr>
        <w:t>)</w:t>
      </w:r>
      <w:r w:rsidRPr="0098681F">
        <w:rPr>
          <w:rFonts w:ascii="Times New Roman" w:hAnsi="Times New Roman" w:cs="Times New Roman"/>
          <w:sz w:val="24"/>
          <w:szCs w:val="24"/>
        </w:rPr>
        <w:t xml:space="preserve"> did not appear in the Goshute Mountains until </w:t>
      </w:r>
      <w:r w:rsidR="00BD5E01" w:rsidRPr="00BD5E01">
        <w:rPr>
          <w:rFonts w:ascii="Times New Roman" w:hAnsi="Times New Roman" w:cs="Times New Roman"/>
          <w:i/>
          <w:iCs/>
          <w:sz w:val="24"/>
          <w:szCs w:val="24"/>
        </w:rPr>
        <w:t>c</w:t>
      </w:r>
      <w:r w:rsidR="00BD5E01">
        <w:rPr>
          <w:rFonts w:ascii="Times New Roman" w:hAnsi="Times New Roman" w:cs="Times New Roman"/>
          <w:sz w:val="24"/>
          <w:szCs w:val="24"/>
        </w:rPr>
        <w:t xml:space="preserve">. </w:t>
      </w:r>
      <w:r w:rsidRPr="0098681F">
        <w:rPr>
          <w:rFonts w:ascii="Times New Roman" w:hAnsi="Times New Roman" w:cs="Times New Roman"/>
          <w:sz w:val="24"/>
          <w:szCs w:val="24"/>
        </w:rPr>
        <w:t xml:space="preserve">8000 cal BP </w:t>
      </w:r>
      <w:r w:rsidRPr="0098681F">
        <w:rPr>
          <w:rFonts w:ascii="Times New Roman" w:hAnsi="Times New Roman" w:cs="Times New Roman"/>
          <w:noProof/>
          <w:sz w:val="24"/>
          <w:szCs w:val="24"/>
        </w:rPr>
        <w:t>(Madsen &amp; Rhode 1990; Rhode &amp; Madsen 1998)</w:t>
      </w:r>
      <w:r w:rsidRPr="0098681F">
        <w:rPr>
          <w:rFonts w:ascii="Times New Roman" w:hAnsi="Times New Roman" w:cs="Times New Roman"/>
          <w:sz w:val="24"/>
          <w:szCs w:val="24"/>
        </w:rPr>
        <w:t xml:space="preserve">, and after 6000 cal BP the climate oscillated between moister, cooler conditions and drier, hotter ones </w:t>
      </w:r>
      <w:r w:rsidRPr="0098681F">
        <w:rPr>
          <w:rFonts w:ascii="Times New Roman" w:hAnsi="Times New Roman" w:cs="Times New Roman"/>
          <w:noProof/>
          <w:sz w:val="24"/>
          <w:szCs w:val="24"/>
        </w:rPr>
        <w:t xml:space="preserve">(Louderback &amp; Rhode 2009; Thompson </w:t>
      </w:r>
      <w:r w:rsidRPr="0098681F">
        <w:rPr>
          <w:rFonts w:ascii="Times New Roman" w:hAnsi="Times New Roman" w:cs="Times New Roman"/>
          <w:i/>
          <w:noProof/>
          <w:sz w:val="24"/>
          <w:szCs w:val="24"/>
        </w:rPr>
        <w:t>et al.</w:t>
      </w:r>
      <w:r w:rsidRPr="0098681F">
        <w:rPr>
          <w:rFonts w:ascii="Times New Roman" w:hAnsi="Times New Roman" w:cs="Times New Roman"/>
          <w:noProof/>
          <w:sz w:val="24"/>
          <w:szCs w:val="24"/>
        </w:rPr>
        <w:t xml:space="preserve"> 2016</w:t>
      </w:r>
      <w:r w:rsidR="00B63306">
        <w:rPr>
          <w:rFonts w:ascii="Times New Roman" w:hAnsi="Times New Roman" w:cs="Times New Roman"/>
          <w:noProof/>
          <w:sz w:val="24"/>
          <w:szCs w:val="24"/>
        </w:rPr>
        <w:t>;</w:t>
      </w:r>
      <w:r w:rsidR="002B3D0C" w:rsidRPr="002B3D0C">
        <w:rPr>
          <w:rFonts w:ascii="Times New Roman" w:hAnsi="Times New Roman" w:cs="Times New Roman"/>
          <w:noProof/>
          <w:sz w:val="24"/>
          <w:szCs w:val="24"/>
        </w:rPr>
        <w:t xml:space="preserve"> </w:t>
      </w:r>
      <w:r w:rsidR="002B3D0C" w:rsidRPr="0098681F">
        <w:rPr>
          <w:rFonts w:ascii="Times New Roman" w:hAnsi="Times New Roman" w:cs="Times New Roman"/>
          <w:noProof/>
          <w:sz w:val="24"/>
          <w:szCs w:val="24"/>
        </w:rPr>
        <w:t xml:space="preserve">Goebel </w:t>
      </w:r>
      <w:r w:rsidR="002B3D0C" w:rsidRPr="0098681F">
        <w:rPr>
          <w:rFonts w:ascii="Times New Roman" w:hAnsi="Times New Roman" w:cs="Times New Roman"/>
          <w:i/>
          <w:noProof/>
          <w:sz w:val="24"/>
          <w:szCs w:val="24"/>
        </w:rPr>
        <w:t>et al.</w:t>
      </w:r>
      <w:r w:rsidR="002B3D0C" w:rsidRPr="0098681F">
        <w:rPr>
          <w:rFonts w:ascii="Times New Roman" w:hAnsi="Times New Roman" w:cs="Times New Roman"/>
          <w:noProof/>
          <w:sz w:val="24"/>
          <w:szCs w:val="24"/>
        </w:rPr>
        <w:t xml:space="preserve"> 2021</w:t>
      </w:r>
      <w:r w:rsidRPr="0098681F">
        <w:rPr>
          <w:rFonts w:ascii="Times New Roman" w:hAnsi="Times New Roman" w:cs="Times New Roman"/>
          <w:noProof/>
          <w:sz w:val="24"/>
          <w:szCs w:val="24"/>
        </w:rPr>
        <w:t>)</w:t>
      </w:r>
      <w:r w:rsidRPr="0098681F">
        <w:rPr>
          <w:rFonts w:ascii="Times New Roman" w:hAnsi="Times New Roman" w:cs="Times New Roman"/>
          <w:sz w:val="24"/>
          <w:szCs w:val="24"/>
        </w:rPr>
        <w:t>. Inhabitants of the rockshelter would have had nearby access to artiodactyls, including pronghorn (</w:t>
      </w:r>
      <w:r w:rsidRPr="0098681F">
        <w:rPr>
          <w:rFonts w:ascii="Times New Roman" w:hAnsi="Times New Roman" w:cs="Times New Roman"/>
          <w:i/>
          <w:iCs/>
          <w:sz w:val="24"/>
          <w:szCs w:val="24"/>
        </w:rPr>
        <w:t>Antilocapra americana</w:t>
      </w:r>
      <w:r w:rsidRPr="0098681F">
        <w:rPr>
          <w:rFonts w:ascii="Times New Roman" w:hAnsi="Times New Roman" w:cs="Times New Roman"/>
          <w:sz w:val="24"/>
          <w:szCs w:val="24"/>
        </w:rPr>
        <w:t>), mule deer (</w:t>
      </w:r>
      <w:r w:rsidRPr="0098681F">
        <w:rPr>
          <w:rFonts w:ascii="Times New Roman" w:hAnsi="Times New Roman" w:cs="Times New Roman"/>
          <w:i/>
          <w:iCs/>
          <w:sz w:val="24"/>
          <w:szCs w:val="24"/>
        </w:rPr>
        <w:t>Odocoileus hemionus</w:t>
      </w:r>
      <w:r w:rsidRPr="0098681F">
        <w:rPr>
          <w:rFonts w:ascii="Times New Roman" w:hAnsi="Times New Roman" w:cs="Times New Roman"/>
          <w:sz w:val="24"/>
          <w:szCs w:val="24"/>
        </w:rPr>
        <w:t>) and bighorn sheep (</w:t>
      </w:r>
      <w:r w:rsidRPr="0098681F">
        <w:rPr>
          <w:rFonts w:ascii="Times New Roman" w:hAnsi="Times New Roman" w:cs="Times New Roman"/>
          <w:i/>
          <w:iCs/>
          <w:sz w:val="24"/>
          <w:szCs w:val="24"/>
        </w:rPr>
        <w:t>Ovis canadensis</w:t>
      </w:r>
      <w:r w:rsidRPr="0098681F">
        <w:rPr>
          <w:rFonts w:ascii="Times New Roman" w:hAnsi="Times New Roman" w:cs="Times New Roman"/>
          <w:sz w:val="24"/>
          <w:szCs w:val="24"/>
        </w:rPr>
        <w:t xml:space="preserve">), from lower and higher elevations at various times depending upon prevailing climate conditions </w:t>
      </w:r>
      <w:r w:rsidRPr="0098681F">
        <w:rPr>
          <w:rFonts w:ascii="Times New Roman" w:hAnsi="Times New Roman" w:cs="Times New Roman"/>
          <w:noProof/>
          <w:sz w:val="24"/>
          <w:szCs w:val="24"/>
        </w:rPr>
        <w:t xml:space="preserve">(Chamberlin 1911; Goebel </w:t>
      </w:r>
      <w:r w:rsidRPr="0098681F">
        <w:rPr>
          <w:rFonts w:ascii="Times New Roman" w:hAnsi="Times New Roman" w:cs="Times New Roman"/>
          <w:i/>
          <w:noProof/>
          <w:sz w:val="24"/>
          <w:szCs w:val="24"/>
        </w:rPr>
        <w:t>et al.</w:t>
      </w:r>
      <w:r w:rsidRPr="0098681F">
        <w:rPr>
          <w:rFonts w:ascii="Times New Roman" w:hAnsi="Times New Roman" w:cs="Times New Roman"/>
          <w:noProof/>
          <w:sz w:val="24"/>
          <w:szCs w:val="24"/>
        </w:rPr>
        <w:t xml:space="preserve"> 2021)</w:t>
      </w:r>
      <w:r w:rsidRPr="0098681F">
        <w:rPr>
          <w:rFonts w:ascii="Times New Roman" w:hAnsi="Times New Roman" w:cs="Times New Roman"/>
          <w:sz w:val="24"/>
          <w:szCs w:val="24"/>
        </w:rPr>
        <w:t xml:space="preserve">. </w:t>
      </w:r>
    </w:p>
    <w:p w14:paraId="639DB8FD" w14:textId="77777777" w:rsidR="00C0786B" w:rsidRPr="0098681F" w:rsidRDefault="00C0786B" w:rsidP="0098681F">
      <w:pPr>
        <w:spacing w:after="0" w:line="360" w:lineRule="auto"/>
        <w:rPr>
          <w:rFonts w:ascii="Times New Roman" w:hAnsi="Times New Roman" w:cs="Times New Roman"/>
          <w:sz w:val="24"/>
          <w:szCs w:val="24"/>
        </w:rPr>
      </w:pPr>
    </w:p>
    <w:p w14:paraId="30D62613" w14:textId="10AAC6A4" w:rsidR="00780176" w:rsidRPr="00506485" w:rsidRDefault="00780176" w:rsidP="00506485">
      <w:pPr>
        <w:spacing w:after="0" w:line="360" w:lineRule="auto"/>
        <w:rPr>
          <w:rFonts w:ascii="Times New Roman" w:hAnsi="Times New Roman" w:cs="Times New Roman"/>
          <w:i/>
          <w:iCs/>
          <w:sz w:val="24"/>
          <w:szCs w:val="24"/>
        </w:rPr>
      </w:pPr>
      <w:r w:rsidRPr="00506485">
        <w:rPr>
          <w:rFonts w:ascii="Times New Roman" w:hAnsi="Times New Roman" w:cs="Times New Roman"/>
          <w:i/>
          <w:iCs/>
          <w:sz w:val="24"/>
          <w:szCs w:val="24"/>
        </w:rPr>
        <w:t xml:space="preserve">Component V: </w:t>
      </w:r>
      <w:r w:rsidR="00506485">
        <w:rPr>
          <w:rFonts w:ascii="Times New Roman" w:hAnsi="Times New Roman" w:cs="Times New Roman"/>
          <w:i/>
          <w:iCs/>
          <w:sz w:val="24"/>
          <w:szCs w:val="24"/>
        </w:rPr>
        <w:t>t</w:t>
      </w:r>
      <w:r w:rsidRPr="00506485">
        <w:rPr>
          <w:rFonts w:ascii="Times New Roman" w:hAnsi="Times New Roman" w:cs="Times New Roman"/>
          <w:i/>
          <w:iCs/>
          <w:sz w:val="24"/>
          <w:szCs w:val="24"/>
        </w:rPr>
        <w:t>he Middle Holocene</w:t>
      </w:r>
    </w:p>
    <w:p w14:paraId="3389F8D6" w14:textId="18CB5AB4" w:rsidR="00780176" w:rsidRDefault="00780176" w:rsidP="0098681F">
      <w:pPr>
        <w:spacing w:after="0" w:line="360" w:lineRule="auto"/>
        <w:rPr>
          <w:rFonts w:ascii="Times New Roman" w:hAnsi="Times New Roman" w:cs="Times New Roman"/>
          <w:sz w:val="24"/>
          <w:szCs w:val="24"/>
        </w:rPr>
      </w:pPr>
      <w:r w:rsidRPr="0098681F">
        <w:rPr>
          <w:rFonts w:ascii="Times New Roman" w:hAnsi="Times New Roman" w:cs="Times New Roman"/>
          <w:sz w:val="24"/>
          <w:szCs w:val="24"/>
        </w:rPr>
        <w:t xml:space="preserve">During the Early to </w:t>
      </w:r>
      <w:r w:rsidR="001812EF">
        <w:rPr>
          <w:rFonts w:ascii="Times New Roman" w:hAnsi="Times New Roman" w:cs="Times New Roman"/>
          <w:sz w:val="24"/>
          <w:szCs w:val="24"/>
        </w:rPr>
        <w:t>E</w:t>
      </w:r>
      <w:r w:rsidRPr="0098681F">
        <w:rPr>
          <w:rFonts w:ascii="Times New Roman" w:hAnsi="Times New Roman" w:cs="Times New Roman"/>
          <w:sz w:val="24"/>
          <w:szCs w:val="24"/>
        </w:rPr>
        <w:t xml:space="preserve">arly-Middle Holocene, increased aridity was accompanied by a decrease in wetlands and their associated resources and a concomitant increase in desert-adapted plants in the lowlands. Mesic-adapted plants were either constrained to small, well-watered lowland areas, or retreated upslope into the mountains </w:t>
      </w:r>
      <w:r w:rsidRPr="0098681F">
        <w:rPr>
          <w:rFonts w:ascii="Times New Roman" w:hAnsi="Times New Roman" w:cs="Times New Roman"/>
          <w:noProof/>
          <w:sz w:val="24"/>
          <w:szCs w:val="24"/>
        </w:rPr>
        <w:t>(Rhode 2008)</w:t>
      </w:r>
      <w:r w:rsidRPr="0098681F">
        <w:rPr>
          <w:rFonts w:ascii="Times New Roman" w:hAnsi="Times New Roman" w:cs="Times New Roman"/>
          <w:sz w:val="24"/>
          <w:szCs w:val="24"/>
        </w:rPr>
        <w:t xml:space="preserve">. Pollen records show significant increases in Chenopodiaceae and Amaranthaceae pollen, likely representing </w:t>
      </w:r>
      <w:r w:rsidRPr="0098681F">
        <w:rPr>
          <w:rFonts w:ascii="Times New Roman" w:hAnsi="Times New Roman" w:cs="Times New Roman"/>
          <w:i/>
          <w:iCs/>
          <w:sz w:val="24"/>
          <w:szCs w:val="24"/>
        </w:rPr>
        <w:t>Atriplex</w:t>
      </w:r>
      <w:r w:rsidRPr="0098681F">
        <w:rPr>
          <w:rFonts w:ascii="Times New Roman" w:hAnsi="Times New Roman" w:cs="Times New Roman"/>
          <w:sz w:val="24"/>
          <w:szCs w:val="24"/>
        </w:rPr>
        <w:t xml:space="preserve"> sp., indicating a </w:t>
      </w:r>
      <w:r w:rsidRPr="0098681F">
        <w:rPr>
          <w:rFonts w:ascii="Times New Roman" w:hAnsi="Times New Roman" w:cs="Times New Roman"/>
          <w:sz w:val="24"/>
          <w:szCs w:val="24"/>
        </w:rPr>
        <w:lastRenderedPageBreak/>
        <w:t>regional increase in shadscale and decrease in sagebrush</w:t>
      </w:r>
      <w:r w:rsidR="00037AEA" w:rsidRPr="0098681F">
        <w:rPr>
          <w:rFonts w:ascii="Times New Roman" w:hAnsi="Times New Roman" w:cs="Times New Roman"/>
          <w:sz w:val="24"/>
          <w:szCs w:val="24"/>
        </w:rPr>
        <w:t xml:space="preserve"> (</w:t>
      </w:r>
      <w:r w:rsidR="00037AEA" w:rsidRPr="0098681F">
        <w:rPr>
          <w:rFonts w:ascii="Times New Roman" w:hAnsi="Times New Roman" w:cs="Times New Roman"/>
          <w:i/>
          <w:iCs/>
          <w:sz w:val="24"/>
          <w:szCs w:val="24"/>
        </w:rPr>
        <w:t>Artemisia</w:t>
      </w:r>
      <w:r w:rsidR="00037AEA" w:rsidRPr="0098681F">
        <w:rPr>
          <w:rFonts w:ascii="Times New Roman" w:hAnsi="Times New Roman" w:cs="Times New Roman"/>
          <w:sz w:val="24"/>
          <w:szCs w:val="24"/>
        </w:rPr>
        <w:t xml:space="preserve"> sp.)</w:t>
      </w:r>
      <w:r w:rsidRPr="0098681F">
        <w:rPr>
          <w:rFonts w:ascii="Times New Roman" w:hAnsi="Times New Roman" w:cs="Times New Roman"/>
          <w:sz w:val="24"/>
          <w:szCs w:val="24"/>
        </w:rPr>
        <w:t xml:space="preserve"> </w:t>
      </w:r>
      <w:r w:rsidRPr="0098681F">
        <w:rPr>
          <w:rFonts w:ascii="Times New Roman" w:hAnsi="Times New Roman" w:cs="Times New Roman"/>
          <w:noProof/>
          <w:sz w:val="24"/>
          <w:szCs w:val="24"/>
        </w:rPr>
        <w:t xml:space="preserve">(Currey </w:t>
      </w:r>
      <w:r w:rsidR="008A7ADB" w:rsidRPr="0098681F">
        <w:rPr>
          <w:rFonts w:ascii="Times New Roman" w:hAnsi="Times New Roman" w:cs="Times New Roman"/>
          <w:noProof/>
          <w:sz w:val="24"/>
          <w:szCs w:val="24"/>
        </w:rPr>
        <w:t>&amp;</w:t>
      </w:r>
      <w:r w:rsidRPr="0098681F">
        <w:rPr>
          <w:rFonts w:ascii="Times New Roman" w:hAnsi="Times New Roman" w:cs="Times New Roman"/>
          <w:noProof/>
          <w:sz w:val="24"/>
          <w:szCs w:val="24"/>
        </w:rPr>
        <w:t xml:space="preserve"> James 1982</w:t>
      </w:r>
      <w:r w:rsidR="00C87C53" w:rsidRPr="0098681F">
        <w:rPr>
          <w:rFonts w:ascii="Times New Roman" w:hAnsi="Times New Roman" w:cs="Times New Roman"/>
          <w:noProof/>
          <w:sz w:val="24"/>
          <w:szCs w:val="24"/>
        </w:rPr>
        <w:t>; Madsen 2000</w:t>
      </w:r>
      <w:r w:rsidRPr="0098681F">
        <w:rPr>
          <w:rFonts w:ascii="Times New Roman" w:hAnsi="Times New Roman" w:cs="Times New Roman"/>
          <w:noProof/>
          <w:sz w:val="24"/>
          <w:szCs w:val="24"/>
        </w:rPr>
        <w:t xml:space="preserve">; Louderback </w:t>
      </w:r>
      <w:r w:rsidR="008A7ADB" w:rsidRPr="0098681F">
        <w:rPr>
          <w:rFonts w:ascii="Times New Roman" w:hAnsi="Times New Roman" w:cs="Times New Roman"/>
          <w:noProof/>
          <w:sz w:val="24"/>
          <w:szCs w:val="24"/>
        </w:rPr>
        <w:t>&amp;</w:t>
      </w:r>
      <w:r w:rsidRPr="0098681F">
        <w:rPr>
          <w:rFonts w:ascii="Times New Roman" w:hAnsi="Times New Roman" w:cs="Times New Roman"/>
          <w:noProof/>
          <w:sz w:val="24"/>
          <w:szCs w:val="24"/>
        </w:rPr>
        <w:t xml:space="preserve"> Rhode 2009)</w:t>
      </w:r>
      <w:r w:rsidRPr="0098681F">
        <w:rPr>
          <w:rFonts w:ascii="Times New Roman" w:hAnsi="Times New Roman" w:cs="Times New Roman"/>
          <w:sz w:val="24"/>
          <w:szCs w:val="24"/>
        </w:rPr>
        <w:t xml:space="preserve">. Climate was not monolithically hot and dry, however, as mesic spikes occurred periodically. These spikes appear to correspond to significant episodes of human occupation of Bonneville Estates followed by re-abandonment of the rockshelter as precipitation decreased again </w:t>
      </w:r>
      <w:r w:rsidRPr="0098681F">
        <w:rPr>
          <w:rFonts w:ascii="Times New Roman" w:hAnsi="Times New Roman" w:cs="Times New Roman"/>
          <w:noProof/>
          <w:sz w:val="24"/>
          <w:szCs w:val="24"/>
        </w:rPr>
        <w:t>(</w:t>
      </w:r>
      <w:r w:rsidR="005411D7" w:rsidRPr="0098681F">
        <w:rPr>
          <w:rFonts w:ascii="Times New Roman" w:hAnsi="Times New Roman" w:cs="Times New Roman"/>
          <w:noProof/>
          <w:sz w:val="24"/>
          <w:szCs w:val="24"/>
        </w:rPr>
        <w:t>Hockett 2007</w:t>
      </w:r>
      <w:r w:rsidR="005411D7">
        <w:rPr>
          <w:rFonts w:ascii="Times New Roman" w:hAnsi="Times New Roman" w:cs="Times New Roman"/>
          <w:noProof/>
          <w:sz w:val="24"/>
          <w:szCs w:val="24"/>
        </w:rPr>
        <w:t xml:space="preserve">; </w:t>
      </w:r>
      <w:r w:rsidRPr="0098681F">
        <w:rPr>
          <w:rFonts w:ascii="Times New Roman" w:hAnsi="Times New Roman" w:cs="Times New Roman"/>
          <w:noProof/>
          <w:sz w:val="24"/>
          <w:szCs w:val="24"/>
        </w:rPr>
        <w:t xml:space="preserve">Goebel </w:t>
      </w:r>
      <w:r w:rsidRPr="0098681F">
        <w:rPr>
          <w:rFonts w:ascii="Times New Roman" w:hAnsi="Times New Roman" w:cs="Times New Roman"/>
          <w:i/>
          <w:noProof/>
          <w:sz w:val="24"/>
          <w:szCs w:val="24"/>
        </w:rPr>
        <w:t>et al.</w:t>
      </w:r>
      <w:r w:rsidRPr="0098681F">
        <w:rPr>
          <w:rFonts w:ascii="Times New Roman" w:hAnsi="Times New Roman" w:cs="Times New Roman"/>
          <w:noProof/>
          <w:sz w:val="24"/>
          <w:szCs w:val="24"/>
        </w:rPr>
        <w:t xml:space="preserve"> 2021)</w:t>
      </w:r>
      <w:r w:rsidRPr="0098681F">
        <w:rPr>
          <w:rFonts w:ascii="Times New Roman" w:hAnsi="Times New Roman" w:cs="Times New Roman"/>
          <w:sz w:val="24"/>
          <w:szCs w:val="24"/>
        </w:rPr>
        <w:t xml:space="preserve">. Humans focused subsistence on small-seed collecting and processing, as seen in the increased presence of ground-stone technology, charred seeds in hearths, and associated basketry technology related to winnowing and parching necessary to prepare small-seeds for consumption </w:t>
      </w:r>
      <w:r w:rsidRPr="0098681F">
        <w:rPr>
          <w:rFonts w:ascii="Times New Roman" w:hAnsi="Times New Roman" w:cs="Times New Roman"/>
          <w:noProof/>
          <w:sz w:val="24"/>
          <w:szCs w:val="24"/>
        </w:rPr>
        <w:t>(</w:t>
      </w:r>
      <w:r w:rsidR="00DF6D60" w:rsidRPr="0098681F">
        <w:rPr>
          <w:rFonts w:ascii="Times New Roman" w:hAnsi="Times New Roman" w:cs="Times New Roman"/>
          <w:noProof/>
          <w:sz w:val="24"/>
          <w:szCs w:val="24"/>
        </w:rPr>
        <w:t>Rhode &amp; Louderback 2007</w:t>
      </w:r>
      <w:r w:rsidR="00DF6D60">
        <w:rPr>
          <w:rFonts w:ascii="Times New Roman" w:hAnsi="Times New Roman" w:cs="Times New Roman"/>
          <w:noProof/>
          <w:sz w:val="24"/>
          <w:szCs w:val="24"/>
        </w:rPr>
        <w:t xml:space="preserve">; </w:t>
      </w:r>
      <w:r w:rsidRPr="0098681F">
        <w:rPr>
          <w:rFonts w:ascii="Times New Roman" w:hAnsi="Times New Roman" w:cs="Times New Roman"/>
          <w:noProof/>
          <w:sz w:val="24"/>
          <w:szCs w:val="24"/>
        </w:rPr>
        <w:t>Coe 2021)</w:t>
      </w:r>
      <w:r w:rsidRPr="0098681F">
        <w:rPr>
          <w:rFonts w:ascii="Times New Roman" w:hAnsi="Times New Roman" w:cs="Times New Roman"/>
          <w:sz w:val="24"/>
          <w:szCs w:val="24"/>
        </w:rPr>
        <w:t>. At other nearby sites like Danger Cave, foragers preferentially utili</w:t>
      </w:r>
      <w:r w:rsidR="007B3EC4">
        <w:rPr>
          <w:rFonts w:ascii="Times New Roman" w:hAnsi="Times New Roman" w:cs="Times New Roman"/>
          <w:sz w:val="24"/>
          <w:szCs w:val="24"/>
        </w:rPr>
        <w:t>s</w:t>
      </w:r>
      <w:r w:rsidRPr="0098681F">
        <w:rPr>
          <w:rFonts w:ascii="Times New Roman" w:hAnsi="Times New Roman" w:cs="Times New Roman"/>
          <w:sz w:val="24"/>
          <w:szCs w:val="24"/>
        </w:rPr>
        <w:t xml:space="preserve">ed local wetland resources </w:t>
      </w:r>
      <w:r w:rsidRPr="0098681F">
        <w:rPr>
          <w:rFonts w:ascii="Times New Roman" w:hAnsi="Times New Roman" w:cs="Times New Roman"/>
          <w:noProof/>
          <w:sz w:val="24"/>
          <w:szCs w:val="24"/>
        </w:rPr>
        <w:t>(Rhode 2008)</w:t>
      </w:r>
      <w:r w:rsidRPr="0098681F">
        <w:rPr>
          <w:rFonts w:ascii="Times New Roman" w:hAnsi="Times New Roman" w:cs="Times New Roman"/>
          <w:sz w:val="24"/>
          <w:szCs w:val="24"/>
        </w:rPr>
        <w:t xml:space="preserve">; however, these were not the focus of subsistence activities at Bonneville Estates. The more mesic-adapted fauna present during the Younger Dryas and earliest Holocene, especially small mammals, likely left the region, retreated to higher elevations in the Goshute Mountains, or saw population decreases </w:t>
      </w:r>
      <w:r w:rsidRPr="0098681F">
        <w:rPr>
          <w:rFonts w:ascii="Times New Roman" w:hAnsi="Times New Roman" w:cs="Times New Roman"/>
          <w:noProof/>
          <w:sz w:val="24"/>
          <w:szCs w:val="24"/>
        </w:rPr>
        <w:t>(Hockett 2007)</w:t>
      </w:r>
      <w:r w:rsidRPr="0098681F">
        <w:rPr>
          <w:rFonts w:ascii="Times New Roman" w:hAnsi="Times New Roman" w:cs="Times New Roman"/>
          <w:sz w:val="24"/>
          <w:szCs w:val="24"/>
        </w:rPr>
        <w:t>. Human subsistence shifted from rabbit (</w:t>
      </w:r>
      <w:r w:rsidRPr="0098681F">
        <w:rPr>
          <w:rFonts w:ascii="Times New Roman" w:hAnsi="Times New Roman" w:cs="Times New Roman"/>
          <w:i/>
          <w:iCs/>
          <w:sz w:val="24"/>
          <w:szCs w:val="24"/>
        </w:rPr>
        <w:t>Sylvilagus</w:t>
      </w:r>
      <w:r w:rsidRPr="0098681F">
        <w:rPr>
          <w:rFonts w:ascii="Times New Roman" w:hAnsi="Times New Roman" w:cs="Times New Roman"/>
          <w:sz w:val="24"/>
          <w:szCs w:val="24"/>
        </w:rPr>
        <w:t xml:space="preserve"> sp.) to hare (</w:t>
      </w:r>
      <w:r w:rsidRPr="0098681F">
        <w:rPr>
          <w:rFonts w:ascii="Times New Roman" w:hAnsi="Times New Roman" w:cs="Times New Roman"/>
          <w:i/>
          <w:iCs/>
          <w:sz w:val="24"/>
          <w:szCs w:val="24"/>
        </w:rPr>
        <w:t>Lepus</w:t>
      </w:r>
      <w:r w:rsidRPr="0098681F">
        <w:rPr>
          <w:rFonts w:ascii="Times New Roman" w:hAnsi="Times New Roman" w:cs="Times New Roman"/>
          <w:sz w:val="24"/>
          <w:szCs w:val="24"/>
        </w:rPr>
        <w:t xml:space="preserve"> sp.), and artiodactyl hunting increased in importance </w:t>
      </w:r>
      <w:r w:rsidRPr="0098681F">
        <w:rPr>
          <w:rFonts w:ascii="Times New Roman" w:hAnsi="Times New Roman" w:cs="Times New Roman"/>
          <w:noProof/>
          <w:sz w:val="24"/>
          <w:szCs w:val="24"/>
        </w:rPr>
        <w:t>(Hockett 2015)</w:t>
      </w:r>
      <w:r w:rsidRPr="0098681F">
        <w:rPr>
          <w:rFonts w:ascii="Times New Roman" w:hAnsi="Times New Roman" w:cs="Times New Roman"/>
          <w:sz w:val="24"/>
          <w:szCs w:val="24"/>
        </w:rPr>
        <w:t>. Regularly procured fauna includes pronghorn, bighorn sheep, mule deer and jackrabbit (</w:t>
      </w:r>
      <w:r w:rsidRPr="0098681F">
        <w:rPr>
          <w:rFonts w:ascii="Times New Roman" w:hAnsi="Times New Roman" w:cs="Times New Roman"/>
          <w:i/>
          <w:iCs/>
          <w:sz w:val="24"/>
          <w:szCs w:val="24"/>
        </w:rPr>
        <w:t>Lepus californicus</w:t>
      </w:r>
      <w:r w:rsidRPr="0098681F">
        <w:rPr>
          <w:rFonts w:ascii="Times New Roman" w:hAnsi="Times New Roman" w:cs="Times New Roman"/>
          <w:sz w:val="24"/>
          <w:szCs w:val="24"/>
        </w:rPr>
        <w:t>), although bison (</w:t>
      </w:r>
      <w:r w:rsidRPr="0098681F">
        <w:rPr>
          <w:rFonts w:ascii="Times New Roman" w:hAnsi="Times New Roman" w:cs="Times New Roman"/>
          <w:i/>
          <w:iCs/>
          <w:sz w:val="24"/>
          <w:szCs w:val="24"/>
        </w:rPr>
        <w:t>Bison bison</w:t>
      </w:r>
      <w:r w:rsidRPr="0098681F">
        <w:rPr>
          <w:rFonts w:ascii="Times New Roman" w:hAnsi="Times New Roman" w:cs="Times New Roman"/>
          <w:sz w:val="24"/>
          <w:szCs w:val="24"/>
        </w:rPr>
        <w:t>), bobcat (</w:t>
      </w:r>
      <w:r w:rsidRPr="0098681F">
        <w:rPr>
          <w:rFonts w:ascii="Times New Roman" w:hAnsi="Times New Roman" w:cs="Times New Roman"/>
          <w:i/>
          <w:iCs/>
          <w:sz w:val="24"/>
          <w:szCs w:val="24"/>
        </w:rPr>
        <w:t>Lynx rufus</w:t>
      </w:r>
      <w:r w:rsidRPr="0098681F">
        <w:rPr>
          <w:rFonts w:ascii="Times New Roman" w:hAnsi="Times New Roman" w:cs="Times New Roman"/>
          <w:sz w:val="24"/>
          <w:szCs w:val="24"/>
        </w:rPr>
        <w:t>), badger (</w:t>
      </w:r>
      <w:r w:rsidRPr="0098681F">
        <w:rPr>
          <w:rFonts w:ascii="Times New Roman" w:hAnsi="Times New Roman" w:cs="Times New Roman"/>
          <w:i/>
          <w:iCs/>
          <w:sz w:val="24"/>
          <w:szCs w:val="24"/>
        </w:rPr>
        <w:t>Taxidea taxus</w:t>
      </w:r>
      <w:r w:rsidRPr="0098681F">
        <w:rPr>
          <w:rFonts w:ascii="Times New Roman" w:hAnsi="Times New Roman" w:cs="Times New Roman"/>
          <w:sz w:val="24"/>
          <w:szCs w:val="24"/>
        </w:rPr>
        <w:t>) and weasel (</w:t>
      </w:r>
      <w:r w:rsidRPr="0098681F">
        <w:rPr>
          <w:rFonts w:ascii="Times New Roman" w:hAnsi="Times New Roman" w:cs="Times New Roman"/>
          <w:i/>
          <w:iCs/>
          <w:sz w:val="24"/>
          <w:szCs w:val="24"/>
        </w:rPr>
        <w:t>Mustela</w:t>
      </w:r>
      <w:r w:rsidRPr="0098681F">
        <w:rPr>
          <w:rFonts w:ascii="Times New Roman" w:hAnsi="Times New Roman" w:cs="Times New Roman"/>
          <w:sz w:val="24"/>
          <w:szCs w:val="24"/>
        </w:rPr>
        <w:t xml:space="preserve"> sp.) also occur in the rockshelter's </w:t>
      </w:r>
      <w:r w:rsidR="00B5113C">
        <w:rPr>
          <w:rFonts w:ascii="Times New Roman" w:hAnsi="Times New Roman" w:cs="Times New Roman"/>
          <w:sz w:val="24"/>
          <w:szCs w:val="24"/>
        </w:rPr>
        <w:t>c</w:t>
      </w:r>
      <w:r w:rsidRPr="0098681F">
        <w:rPr>
          <w:rFonts w:ascii="Times New Roman" w:hAnsi="Times New Roman" w:cs="Times New Roman"/>
          <w:sz w:val="24"/>
          <w:szCs w:val="24"/>
        </w:rPr>
        <w:t>omponent V assemblage.</w:t>
      </w:r>
    </w:p>
    <w:p w14:paraId="66F96E24" w14:textId="77777777" w:rsidR="00506485" w:rsidRPr="0098681F" w:rsidRDefault="00506485" w:rsidP="0098681F">
      <w:pPr>
        <w:spacing w:after="0" w:line="360" w:lineRule="auto"/>
        <w:rPr>
          <w:rFonts w:ascii="Times New Roman" w:hAnsi="Times New Roman" w:cs="Times New Roman"/>
          <w:sz w:val="24"/>
          <w:szCs w:val="24"/>
        </w:rPr>
      </w:pPr>
    </w:p>
    <w:p w14:paraId="469C0BCA" w14:textId="23604EB1" w:rsidR="00780176" w:rsidRPr="00506485" w:rsidRDefault="00780176" w:rsidP="00506485">
      <w:pPr>
        <w:spacing w:after="0" w:line="360" w:lineRule="auto"/>
        <w:rPr>
          <w:rFonts w:ascii="Times New Roman" w:hAnsi="Times New Roman" w:cs="Times New Roman"/>
          <w:i/>
          <w:iCs/>
          <w:sz w:val="24"/>
          <w:szCs w:val="24"/>
        </w:rPr>
      </w:pPr>
      <w:r w:rsidRPr="00506485">
        <w:rPr>
          <w:rFonts w:ascii="Times New Roman" w:hAnsi="Times New Roman" w:cs="Times New Roman"/>
          <w:i/>
          <w:iCs/>
          <w:sz w:val="24"/>
          <w:szCs w:val="24"/>
        </w:rPr>
        <w:t xml:space="preserve">Components III and II: </w:t>
      </w:r>
      <w:r w:rsidR="00506485">
        <w:rPr>
          <w:rFonts w:ascii="Times New Roman" w:hAnsi="Times New Roman" w:cs="Times New Roman"/>
          <w:i/>
          <w:iCs/>
          <w:sz w:val="24"/>
          <w:szCs w:val="24"/>
        </w:rPr>
        <w:t>t</w:t>
      </w:r>
      <w:r w:rsidRPr="00506485">
        <w:rPr>
          <w:rFonts w:ascii="Times New Roman" w:hAnsi="Times New Roman" w:cs="Times New Roman"/>
          <w:i/>
          <w:iCs/>
          <w:sz w:val="24"/>
          <w:szCs w:val="24"/>
        </w:rPr>
        <w:t>he Late Holocene</w:t>
      </w:r>
    </w:p>
    <w:p w14:paraId="5F60FF84" w14:textId="72AF53B0" w:rsidR="00780176" w:rsidRDefault="00780176" w:rsidP="0098681F">
      <w:pPr>
        <w:spacing w:after="0" w:line="360" w:lineRule="auto"/>
        <w:rPr>
          <w:rFonts w:ascii="Times New Roman" w:hAnsi="Times New Roman" w:cs="Times New Roman"/>
          <w:sz w:val="24"/>
          <w:szCs w:val="24"/>
        </w:rPr>
      </w:pPr>
      <w:r w:rsidRPr="0098681F">
        <w:rPr>
          <w:rFonts w:ascii="Times New Roman" w:hAnsi="Times New Roman" w:cs="Times New Roman"/>
          <w:sz w:val="24"/>
          <w:szCs w:val="24"/>
        </w:rPr>
        <w:t>Climatologically, components III and II are associated with the Late Holocene (</w:t>
      </w:r>
      <w:r w:rsidR="00B5113C" w:rsidRPr="00B5113C">
        <w:rPr>
          <w:rFonts w:ascii="Times New Roman" w:hAnsi="Times New Roman" w:cs="Times New Roman"/>
          <w:i/>
          <w:iCs/>
          <w:sz w:val="24"/>
          <w:szCs w:val="24"/>
        </w:rPr>
        <w:t>c</w:t>
      </w:r>
      <w:r w:rsidR="00B5113C">
        <w:rPr>
          <w:rFonts w:ascii="Times New Roman" w:hAnsi="Times New Roman" w:cs="Times New Roman"/>
          <w:sz w:val="24"/>
          <w:szCs w:val="24"/>
        </w:rPr>
        <w:t xml:space="preserve">. </w:t>
      </w:r>
      <w:r w:rsidRPr="0098681F">
        <w:rPr>
          <w:rFonts w:ascii="Times New Roman" w:hAnsi="Times New Roman" w:cs="Times New Roman"/>
          <w:sz w:val="24"/>
          <w:szCs w:val="24"/>
        </w:rPr>
        <w:t>4000</w:t>
      </w:r>
      <w:r w:rsidR="00B5113C">
        <w:rPr>
          <w:rFonts w:ascii="Times New Roman" w:hAnsi="Times New Roman" w:cs="Times New Roman"/>
          <w:sz w:val="24"/>
          <w:szCs w:val="24"/>
        </w:rPr>
        <w:t>–</w:t>
      </w:r>
      <w:r w:rsidRPr="0098681F">
        <w:rPr>
          <w:rFonts w:ascii="Times New Roman" w:hAnsi="Times New Roman" w:cs="Times New Roman"/>
          <w:sz w:val="24"/>
          <w:szCs w:val="24"/>
        </w:rPr>
        <w:t>150 cal BP), characteri</w:t>
      </w:r>
      <w:r w:rsidR="00B5113C">
        <w:rPr>
          <w:rFonts w:ascii="Times New Roman" w:hAnsi="Times New Roman" w:cs="Times New Roman"/>
          <w:sz w:val="24"/>
          <w:szCs w:val="24"/>
        </w:rPr>
        <w:t>s</w:t>
      </w:r>
      <w:r w:rsidRPr="0098681F">
        <w:rPr>
          <w:rFonts w:ascii="Times New Roman" w:hAnsi="Times New Roman" w:cs="Times New Roman"/>
          <w:sz w:val="24"/>
          <w:szCs w:val="24"/>
        </w:rPr>
        <w:t xml:space="preserve">ed by fluctuations between cooler and warmer conditions and an overall shift from warmer, drier conditions to cooler, wetter conditions </w:t>
      </w:r>
      <w:r w:rsidRPr="0098681F">
        <w:rPr>
          <w:rFonts w:ascii="Times New Roman" w:hAnsi="Times New Roman" w:cs="Times New Roman"/>
          <w:noProof/>
          <w:sz w:val="24"/>
          <w:szCs w:val="24"/>
        </w:rPr>
        <w:t>(</w:t>
      </w:r>
      <w:r w:rsidR="00CC39F5" w:rsidRPr="0098681F">
        <w:rPr>
          <w:rFonts w:ascii="Times New Roman" w:hAnsi="Times New Roman" w:cs="Times New Roman"/>
          <w:noProof/>
          <w:sz w:val="24"/>
          <w:szCs w:val="24"/>
        </w:rPr>
        <w:t xml:space="preserve">Janetski 1997; Madsen 2000; Madsen </w:t>
      </w:r>
      <w:r w:rsidR="00CC39F5" w:rsidRPr="0098681F">
        <w:rPr>
          <w:rFonts w:ascii="Times New Roman" w:hAnsi="Times New Roman" w:cs="Times New Roman"/>
          <w:i/>
          <w:noProof/>
          <w:sz w:val="24"/>
          <w:szCs w:val="24"/>
        </w:rPr>
        <w:t>et al.</w:t>
      </w:r>
      <w:r w:rsidR="00CC39F5" w:rsidRPr="0098681F">
        <w:rPr>
          <w:rFonts w:ascii="Times New Roman" w:hAnsi="Times New Roman" w:cs="Times New Roman"/>
          <w:noProof/>
          <w:sz w:val="24"/>
          <w:szCs w:val="24"/>
        </w:rPr>
        <w:t xml:space="preserve"> 2001; </w:t>
      </w:r>
      <w:r w:rsidRPr="0098681F">
        <w:rPr>
          <w:rFonts w:ascii="Times New Roman" w:hAnsi="Times New Roman" w:cs="Times New Roman"/>
          <w:noProof/>
          <w:sz w:val="24"/>
          <w:szCs w:val="24"/>
        </w:rPr>
        <w:t>Hockett 2015; Schmitt &amp; Lupo 2016)</w:t>
      </w:r>
      <w:r w:rsidRPr="0098681F">
        <w:rPr>
          <w:rFonts w:ascii="Times New Roman" w:hAnsi="Times New Roman" w:cs="Times New Roman"/>
          <w:sz w:val="24"/>
          <w:szCs w:val="24"/>
        </w:rPr>
        <w:t xml:space="preserve">. Sagebrush and conifer communities expanded during cooler periods, while cheno-am communities decreased and pinyon woodlands spread across lower mountain slopes </w:t>
      </w:r>
      <w:r w:rsidRPr="0098681F">
        <w:rPr>
          <w:rFonts w:ascii="Times New Roman" w:hAnsi="Times New Roman" w:cs="Times New Roman"/>
          <w:noProof/>
          <w:sz w:val="24"/>
          <w:szCs w:val="24"/>
        </w:rPr>
        <w:t>(Louderback &amp; Rhode 2009)</w:t>
      </w:r>
      <w:r w:rsidRPr="0098681F">
        <w:rPr>
          <w:rFonts w:ascii="Times New Roman" w:hAnsi="Times New Roman" w:cs="Times New Roman"/>
          <w:sz w:val="24"/>
          <w:szCs w:val="24"/>
        </w:rPr>
        <w:t xml:space="preserve">. The increase in effective precipitation correlated to the expansion of grasses and the return of various highly abundant wetland resources as wetlands and lakes re-appeared </w:t>
      </w:r>
      <w:r w:rsidRPr="0098681F">
        <w:rPr>
          <w:rFonts w:ascii="Times New Roman" w:hAnsi="Times New Roman" w:cs="Times New Roman"/>
          <w:noProof/>
          <w:sz w:val="24"/>
          <w:szCs w:val="24"/>
        </w:rPr>
        <w:t>(</w:t>
      </w:r>
      <w:r w:rsidR="000042C7" w:rsidRPr="0098681F">
        <w:rPr>
          <w:rFonts w:ascii="Times New Roman" w:hAnsi="Times New Roman" w:cs="Times New Roman"/>
          <w:noProof/>
          <w:sz w:val="24"/>
          <w:szCs w:val="24"/>
        </w:rPr>
        <w:t>Kelly 1997; Hockett 2005, 2015</w:t>
      </w:r>
      <w:r w:rsidR="000042C7">
        <w:rPr>
          <w:rFonts w:ascii="Times New Roman" w:hAnsi="Times New Roman" w:cs="Times New Roman"/>
          <w:noProof/>
          <w:sz w:val="24"/>
          <w:szCs w:val="24"/>
        </w:rPr>
        <w:t xml:space="preserve">; </w:t>
      </w:r>
      <w:r w:rsidRPr="0098681F">
        <w:rPr>
          <w:rFonts w:ascii="Times New Roman" w:hAnsi="Times New Roman" w:cs="Times New Roman"/>
          <w:noProof/>
          <w:sz w:val="24"/>
          <w:szCs w:val="24"/>
        </w:rPr>
        <w:t>Grayson 2011)</w:t>
      </w:r>
      <w:r w:rsidRPr="0098681F">
        <w:rPr>
          <w:rFonts w:ascii="Times New Roman" w:hAnsi="Times New Roman" w:cs="Times New Roman"/>
          <w:sz w:val="24"/>
          <w:szCs w:val="24"/>
        </w:rPr>
        <w:t>. More mesic-adapted fauna including bison, other large artiodactyls, and rodents such as bushy-tailed woodrat (</w:t>
      </w:r>
      <w:r w:rsidRPr="0098681F">
        <w:rPr>
          <w:rFonts w:ascii="Times New Roman" w:hAnsi="Times New Roman" w:cs="Times New Roman"/>
          <w:i/>
          <w:iCs/>
          <w:sz w:val="24"/>
          <w:szCs w:val="24"/>
        </w:rPr>
        <w:t>Neotoma cinerea</w:t>
      </w:r>
      <w:r w:rsidRPr="0098681F">
        <w:rPr>
          <w:rFonts w:ascii="Times New Roman" w:hAnsi="Times New Roman" w:cs="Times New Roman"/>
          <w:sz w:val="24"/>
          <w:szCs w:val="24"/>
        </w:rPr>
        <w:t>), sage vole (</w:t>
      </w:r>
      <w:r w:rsidRPr="0098681F">
        <w:rPr>
          <w:rFonts w:ascii="Times New Roman" w:hAnsi="Times New Roman" w:cs="Times New Roman"/>
          <w:i/>
          <w:iCs/>
          <w:sz w:val="24"/>
          <w:szCs w:val="24"/>
        </w:rPr>
        <w:t>Lemmiscus curtatus</w:t>
      </w:r>
      <w:r w:rsidRPr="0098681F">
        <w:rPr>
          <w:rFonts w:ascii="Times New Roman" w:hAnsi="Times New Roman" w:cs="Times New Roman"/>
          <w:sz w:val="24"/>
          <w:szCs w:val="24"/>
        </w:rPr>
        <w:t>) and western harvest mouse (</w:t>
      </w:r>
      <w:r w:rsidRPr="0098681F">
        <w:rPr>
          <w:rFonts w:ascii="Times New Roman" w:hAnsi="Times New Roman" w:cs="Times New Roman"/>
          <w:i/>
          <w:iCs/>
          <w:sz w:val="24"/>
          <w:szCs w:val="24"/>
        </w:rPr>
        <w:t>Reithrodontomys megalotis</w:t>
      </w:r>
      <w:r w:rsidRPr="0098681F">
        <w:rPr>
          <w:rFonts w:ascii="Times New Roman" w:hAnsi="Times New Roman" w:cs="Times New Roman"/>
          <w:sz w:val="24"/>
          <w:szCs w:val="24"/>
        </w:rPr>
        <w:t xml:space="preserve">), which rely on grasses for food and habitat, returned to the </w:t>
      </w:r>
      <w:r w:rsidRPr="0098681F">
        <w:rPr>
          <w:rFonts w:ascii="Times New Roman" w:hAnsi="Times New Roman" w:cs="Times New Roman"/>
          <w:sz w:val="24"/>
          <w:szCs w:val="24"/>
        </w:rPr>
        <w:lastRenderedPageBreak/>
        <w:t xml:space="preserve">region or increased their populations and ranges </w:t>
      </w:r>
      <w:r w:rsidRPr="0098681F">
        <w:rPr>
          <w:rFonts w:ascii="Times New Roman" w:hAnsi="Times New Roman" w:cs="Times New Roman"/>
          <w:noProof/>
          <w:sz w:val="24"/>
          <w:szCs w:val="24"/>
        </w:rPr>
        <w:t>(</w:t>
      </w:r>
      <w:r w:rsidR="00A27359" w:rsidRPr="0098681F">
        <w:rPr>
          <w:rFonts w:ascii="Times New Roman" w:hAnsi="Times New Roman" w:cs="Times New Roman"/>
          <w:noProof/>
          <w:sz w:val="24"/>
          <w:szCs w:val="24"/>
        </w:rPr>
        <w:t xml:space="preserve">Madsen 2000; </w:t>
      </w:r>
      <w:r w:rsidRPr="0098681F">
        <w:rPr>
          <w:rFonts w:ascii="Times New Roman" w:hAnsi="Times New Roman" w:cs="Times New Roman"/>
          <w:noProof/>
          <w:sz w:val="24"/>
          <w:szCs w:val="24"/>
        </w:rPr>
        <w:t>Hockett 2005, 2015; Schmitt &amp; Lupo 2016)</w:t>
      </w:r>
      <w:r w:rsidRPr="0098681F">
        <w:rPr>
          <w:rFonts w:ascii="Times New Roman" w:hAnsi="Times New Roman" w:cs="Times New Roman"/>
          <w:sz w:val="24"/>
          <w:szCs w:val="24"/>
        </w:rPr>
        <w:t xml:space="preserve">. People made frequent visits to the rockshelter during this time, as shown by the high number of cultural features found and dated at Bonneville Estates </w:t>
      </w:r>
      <w:r w:rsidRPr="0098681F">
        <w:rPr>
          <w:rFonts w:ascii="Times New Roman" w:hAnsi="Times New Roman" w:cs="Times New Roman"/>
          <w:noProof/>
          <w:sz w:val="24"/>
          <w:szCs w:val="24"/>
        </w:rPr>
        <w:t>(</w:t>
      </w:r>
      <w:r w:rsidR="00A27359" w:rsidRPr="0098681F">
        <w:rPr>
          <w:rFonts w:ascii="Times New Roman" w:hAnsi="Times New Roman" w:cs="Times New Roman"/>
          <w:noProof/>
          <w:sz w:val="24"/>
          <w:szCs w:val="24"/>
        </w:rPr>
        <w:t>Kelly 1997</w:t>
      </w:r>
      <w:r w:rsidRPr="0098681F">
        <w:rPr>
          <w:rFonts w:ascii="Times New Roman" w:hAnsi="Times New Roman" w:cs="Times New Roman"/>
          <w:noProof/>
          <w:sz w:val="24"/>
          <w:szCs w:val="24"/>
        </w:rPr>
        <w:t>; Grayson 2011</w:t>
      </w:r>
      <w:r w:rsidR="00A27359">
        <w:rPr>
          <w:rFonts w:ascii="Times New Roman" w:hAnsi="Times New Roman" w:cs="Times New Roman"/>
          <w:noProof/>
          <w:sz w:val="24"/>
          <w:szCs w:val="24"/>
        </w:rPr>
        <w:t>;</w:t>
      </w:r>
      <w:r w:rsidR="00A27359" w:rsidRPr="00A27359">
        <w:rPr>
          <w:rFonts w:ascii="Times New Roman" w:hAnsi="Times New Roman" w:cs="Times New Roman"/>
          <w:noProof/>
          <w:sz w:val="24"/>
          <w:szCs w:val="24"/>
        </w:rPr>
        <w:t xml:space="preserve"> </w:t>
      </w:r>
      <w:r w:rsidR="00A27359" w:rsidRPr="0098681F">
        <w:rPr>
          <w:rFonts w:ascii="Times New Roman" w:hAnsi="Times New Roman" w:cs="Times New Roman"/>
          <w:noProof/>
          <w:sz w:val="24"/>
          <w:szCs w:val="24"/>
        </w:rPr>
        <w:t xml:space="preserve">Goebel </w:t>
      </w:r>
      <w:r w:rsidR="00A27359" w:rsidRPr="0098681F">
        <w:rPr>
          <w:rFonts w:ascii="Times New Roman" w:hAnsi="Times New Roman" w:cs="Times New Roman"/>
          <w:i/>
          <w:noProof/>
          <w:sz w:val="24"/>
          <w:szCs w:val="24"/>
        </w:rPr>
        <w:t>et al.</w:t>
      </w:r>
      <w:r w:rsidR="00A27359" w:rsidRPr="0098681F">
        <w:rPr>
          <w:rFonts w:ascii="Times New Roman" w:hAnsi="Times New Roman" w:cs="Times New Roman"/>
          <w:noProof/>
          <w:sz w:val="24"/>
          <w:szCs w:val="24"/>
        </w:rPr>
        <w:t xml:space="preserve"> 2021</w:t>
      </w:r>
      <w:r w:rsidRPr="0098681F">
        <w:rPr>
          <w:rFonts w:ascii="Times New Roman" w:hAnsi="Times New Roman" w:cs="Times New Roman"/>
          <w:noProof/>
          <w:sz w:val="24"/>
          <w:szCs w:val="24"/>
        </w:rPr>
        <w:t>)</w:t>
      </w:r>
      <w:r w:rsidRPr="0098681F">
        <w:rPr>
          <w:rFonts w:ascii="Times New Roman" w:hAnsi="Times New Roman" w:cs="Times New Roman"/>
          <w:sz w:val="24"/>
          <w:szCs w:val="24"/>
        </w:rPr>
        <w:t xml:space="preserve">. Human occupants at Bonneville Estates increasingly relied on artiodactyl species such as pronghorn, with additional use of mountain sheep, deer, bison, hare, rabbit, sage-grouse, bobcat, badger and weasel </w:t>
      </w:r>
      <w:r w:rsidRPr="0098681F">
        <w:rPr>
          <w:rFonts w:ascii="Times New Roman" w:hAnsi="Times New Roman" w:cs="Times New Roman"/>
          <w:noProof/>
          <w:sz w:val="24"/>
          <w:szCs w:val="24"/>
        </w:rPr>
        <w:t>(Hockett 2015)</w:t>
      </w:r>
      <w:r w:rsidRPr="0098681F">
        <w:rPr>
          <w:rFonts w:ascii="Times New Roman" w:hAnsi="Times New Roman" w:cs="Times New Roman"/>
          <w:sz w:val="24"/>
          <w:szCs w:val="24"/>
        </w:rPr>
        <w:t>.</w:t>
      </w:r>
    </w:p>
    <w:p w14:paraId="60582855" w14:textId="77777777" w:rsidR="00506485" w:rsidRPr="0098681F" w:rsidRDefault="00506485" w:rsidP="0098681F">
      <w:pPr>
        <w:spacing w:after="0" w:line="360" w:lineRule="auto"/>
        <w:rPr>
          <w:rFonts w:ascii="Times New Roman" w:hAnsi="Times New Roman" w:cs="Times New Roman"/>
          <w:sz w:val="24"/>
          <w:szCs w:val="24"/>
        </w:rPr>
      </w:pPr>
    </w:p>
    <w:p w14:paraId="6957E8FB" w14:textId="31ADB3EA" w:rsidR="00356E99" w:rsidRPr="00506485" w:rsidRDefault="00356E99" w:rsidP="0098681F">
      <w:pPr>
        <w:spacing w:after="0" w:line="360" w:lineRule="auto"/>
        <w:rPr>
          <w:rFonts w:ascii="Times New Roman" w:hAnsi="Times New Roman" w:cs="Times New Roman"/>
          <w:b/>
          <w:bCs/>
          <w:sz w:val="24"/>
          <w:szCs w:val="24"/>
        </w:rPr>
      </w:pPr>
      <w:r w:rsidRPr="00506485">
        <w:rPr>
          <w:rFonts w:ascii="Times New Roman" w:hAnsi="Times New Roman" w:cs="Times New Roman"/>
          <w:b/>
          <w:bCs/>
          <w:sz w:val="24"/>
          <w:szCs w:val="24"/>
        </w:rPr>
        <w:t>Table S</w:t>
      </w:r>
      <w:r w:rsidR="00084020" w:rsidRPr="00506485">
        <w:rPr>
          <w:rFonts w:ascii="Times New Roman" w:hAnsi="Times New Roman" w:cs="Times New Roman"/>
          <w:b/>
          <w:bCs/>
          <w:sz w:val="24"/>
          <w:szCs w:val="24"/>
        </w:rPr>
        <w:t>1</w:t>
      </w:r>
      <w:r w:rsidRPr="00506485">
        <w:rPr>
          <w:rFonts w:ascii="Times New Roman" w:hAnsi="Times New Roman" w:cs="Times New Roman"/>
          <w:b/>
          <w:bCs/>
          <w:sz w:val="24"/>
          <w:szCs w:val="24"/>
        </w:rPr>
        <w:t xml:space="preserve">. Contemporary </w:t>
      </w:r>
      <w:r w:rsidR="00C52880" w:rsidRPr="00506485">
        <w:rPr>
          <w:rFonts w:ascii="Times New Roman" w:hAnsi="Times New Roman" w:cs="Times New Roman"/>
          <w:b/>
          <w:bCs/>
          <w:sz w:val="24"/>
          <w:szCs w:val="24"/>
        </w:rPr>
        <w:t xml:space="preserve">vegetation zones in the eastern </w:t>
      </w:r>
      <w:r w:rsidRPr="00506485">
        <w:rPr>
          <w:rFonts w:ascii="Times New Roman" w:hAnsi="Times New Roman" w:cs="Times New Roman"/>
          <w:b/>
          <w:bCs/>
          <w:sz w:val="24"/>
          <w:szCs w:val="24"/>
        </w:rPr>
        <w:t>Great Basin.</w:t>
      </w:r>
      <w:r w:rsidR="00BD7966">
        <w:rPr>
          <w:rFonts w:ascii="Times New Roman" w:hAnsi="Times New Roman" w:cs="Times New Roman"/>
          <w:b/>
          <w:bCs/>
          <w:sz w:val="24"/>
          <w:szCs w:val="24"/>
        </w:rPr>
        <w:t xml:space="preserve"> </w:t>
      </w:r>
      <w:r w:rsidR="00BD7966" w:rsidRPr="00BD7966">
        <w:rPr>
          <w:rFonts w:ascii="Times New Roman" w:hAnsi="Times New Roman" w:cs="Times New Roman"/>
          <w:b/>
          <w:bCs/>
          <w:sz w:val="24"/>
          <w:szCs w:val="24"/>
        </w:rPr>
        <w:t>Sources: Chamberlin 1911</w:t>
      </w:r>
      <w:r w:rsidR="00944B9F" w:rsidRPr="00BD7966">
        <w:rPr>
          <w:rFonts w:ascii="Times New Roman" w:hAnsi="Times New Roman" w:cs="Times New Roman"/>
          <w:b/>
          <w:bCs/>
          <w:sz w:val="24"/>
          <w:szCs w:val="24"/>
        </w:rPr>
        <w:t>; Steward 1938</w:t>
      </w:r>
      <w:r w:rsidR="00BD7966" w:rsidRPr="00BD7966">
        <w:rPr>
          <w:rFonts w:ascii="Times New Roman" w:hAnsi="Times New Roman" w:cs="Times New Roman"/>
          <w:b/>
          <w:bCs/>
          <w:sz w:val="24"/>
          <w:szCs w:val="24"/>
        </w:rPr>
        <w:t>; Kelly 1997; Madsen 2000; Rhode 2008</w:t>
      </w:r>
      <w:r w:rsidR="00944B9F" w:rsidRPr="00BD7966">
        <w:rPr>
          <w:rFonts w:ascii="Times New Roman" w:hAnsi="Times New Roman" w:cs="Times New Roman"/>
          <w:b/>
          <w:bCs/>
          <w:sz w:val="24"/>
          <w:szCs w:val="24"/>
        </w:rPr>
        <w:t xml:space="preserve">; Goebel </w:t>
      </w:r>
      <w:r w:rsidR="00944B9F" w:rsidRPr="00944B9F">
        <w:rPr>
          <w:rFonts w:ascii="Times New Roman" w:hAnsi="Times New Roman" w:cs="Times New Roman"/>
          <w:b/>
          <w:bCs/>
          <w:i/>
          <w:iCs/>
          <w:sz w:val="24"/>
          <w:szCs w:val="24"/>
        </w:rPr>
        <w:t>et al.</w:t>
      </w:r>
      <w:r w:rsidR="00944B9F" w:rsidRPr="00BD7966">
        <w:rPr>
          <w:rFonts w:ascii="Times New Roman" w:hAnsi="Times New Roman" w:cs="Times New Roman"/>
          <w:b/>
          <w:bCs/>
          <w:sz w:val="24"/>
          <w:szCs w:val="24"/>
        </w:rPr>
        <w:t xml:space="preserve"> 2021</w:t>
      </w:r>
      <w:r w:rsidR="00BD7966">
        <w:rPr>
          <w:rFonts w:ascii="Times New Roman" w:hAnsi="Times New Roman" w:cs="Times New Roman"/>
          <w:b/>
          <w:bCs/>
          <w:sz w:val="24"/>
          <w:szCs w:val="24"/>
        </w:rPr>
        <w:t>.</w:t>
      </w:r>
    </w:p>
    <w:tbl>
      <w:tblPr>
        <w:tblStyle w:val="TableGrid4"/>
        <w:tblW w:w="9636" w:type="dxa"/>
        <w:tblLook w:val="04A0" w:firstRow="1" w:lastRow="0" w:firstColumn="1" w:lastColumn="0" w:noHBand="0" w:noVBand="1"/>
      </w:tblPr>
      <w:tblGrid>
        <w:gridCol w:w="1176"/>
        <w:gridCol w:w="2419"/>
        <w:gridCol w:w="6041"/>
      </w:tblGrid>
      <w:tr w:rsidR="00716203" w:rsidRPr="0098681F" w14:paraId="7DE463E0" w14:textId="77777777" w:rsidTr="000C20BE">
        <w:trPr>
          <w:trHeight w:val="288"/>
        </w:trPr>
        <w:tc>
          <w:tcPr>
            <w:tcW w:w="1176" w:type="dxa"/>
            <w:noWrap/>
            <w:hideMark/>
          </w:tcPr>
          <w:p w14:paraId="6C91E768" w14:textId="77777777" w:rsidR="00356E99" w:rsidRPr="0098681F" w:rsidRDefault="00356E99" w:rsidP="0098681F">
            <w:pPr>
              <w:spacing w:line="360" w:lineRule="auto"/>
              <w:rPr>
                <w:b/>
                <w:bCs/>
                <w:sz w:val="24"/>
                <w:szCs w:val="24"/>
              </w:rPr>
            </w:pPr>
            <w:r w:rsidRPr="0098681F">
              <w:rPr>
                <w:b/>
                <w:bCs/>
                <w:sz w:val="24"/>
                <w:szCs w:val="24"/>
              </w:rPr>
              <w:t>Name</w:t>
            </w:r>
          </w:p>
        </w:tc>
        <w:tc>
          <w:tcPr>
            <w:tcW w:w="2419" w:type="dxa"/>
            <w:noWrap/>
            <w:hideMark/>
          </w:tcPr>
          <w:p w14:paraId="34677525" w14:textId="77777777" w:rsidR="00356E99" w:rsidRPr="0098681F" w:rsidRDefault="00356E99" w:rsidP="0098681F">
            <w:pPr>
              <w:spacing w:line="360" w:lineRule="auto"/>
              <w:rPr>
                <w:b/>
                <w:bCs/>
                <w:sz w:val="24"/>
                <w:szCs w:val="24"/>
              </w:rPr>
            </w:pPr>
            <w:r w:rsidRPr="0098681F">
              <w:rPr>
                <w:b/>
                <w:bCs/>
                <w:sz w:val="24"/>
                <w:szCs w:val="24"/>
              </w:rPr>
              <w:t>Description</w:t>
            </w:r>
          </w:p>
        </w:tc>
        <w:tc>
          <w:tcPr>
            <w:tcW w:w="6041" w:type="dxa"/>
            <w:noWrap/>
            <w:hideMark/>
          </w:tcPr>
          <w:p w14:paraId="0005E9BB" w14:textId="29B4F836" w:rsidR="00356E99" w:rsidRPr="0098681F" w:rsidRDefault="00356E99" w:rsidP="0098681F">
            <w:pPr>
              <w:spacing w:line="360" w:lineRule="auto"/>
              <w:rPr>
                <w:b/>
                <w:bCs/>
                <w:sz w:val="24"/>
                <w:szCs w:val="24"/>
              </w:rPr>
            </w:pPr>
            <w:r w:rsidRPr="0098681F">
              <w:rPr>
                <w:b/>
                <w:bCs/>
                <w:sz w:val="24"/>
                <w:szCs w:val="24"/>
              </w:rPr>
              <w:t xml:space="preserve">Taxa </w:t>
            </w:r>
            <w:r w:rsidR="00C52880" w:rsidRPr="0098681F">
              <w:rPr>
                <w:b/>
                <w:bCs/>
                <w:sz w:val="24"/>
                <w:szCs w:val="24"/>
              </w:rPr>
              <w:t>found in each zone</w:t>
            </w:r>
          </w:p>
        </w:tc>
      </w:tr>
      <w:tr w:rsidR="00716203" w:rsidRPr="0098681F" w14:paraId="38219121" w14:textId="77777777" w:rsidTr="000C20BE">
        <w:trPr>
          <w:trHeight w:val="288"/>
        </w:trPr>
        <w:tc>
          <w:tcPr>
            <w:tcW w:w="1176" w:type="dxa"/>
            <w:noWrap/>
            <w:hideMark/>
          </w:tcPr>
          <w:p w14:paraId="3DD88A61" w14:textId="77777777" w:rsidR="00356E99" w:rsidRPr="0098681F" w:rsidRDefault="00356E99" w:rsidP="0098681F">
            <w:pPr>
              <w:spacing w:line="360" w:lineRule="auto"/>
              <w:rPr>
                <w:sz w:val="24"/>
                <w:szCs w:val="24"/>
              </w:rPr>
            </w:pPr>
            <w:bookmarkStart w:id="0" w:name="_Hlk116820752"/>
            <w:r w:rsidRPr="0098681F">
              <w:rPr>
                <w:sz w:val="24"/>
                <w:szCs w:val="24"/>
              </w:rPr>
              <w:t>Playa</w:t>
            </w:r>
          </w:p>
        </w:tc>
        <w:tc>
          <w:tcPr>
            <w:tcW w:w="2419" w:type="dxa"/>
            <w:noWrap/>
            <w:hideMark/>
          </w:tcPr>
          <w:p w14:paraId="37417232" w14:textId="77777777" w:rsidR="00356E99" w:rsidRPr="0098681F" w:rsidRDefault="00356E99" w:rsidP="0098681F">
            <w:pPr>
              <w:spacing w:line="360" w:lineRule="auto"/>
              <w:rPr>
                <w:sz w:val="24"/>
                <w:szCs w:val="24"/>
              </w:rPr>
            </w:pPr>
            <w:r w:rsidRPr="0098681F">
              <w:rPr>
                <w:sz w:val="24"/>
                <w:szCs w:val="24"/>
              </w:rPr>
              <w:t>Halophytic plants, marsh resources and waterfowl at margins</w:t>
            </w:r>
          </w:p>
        </w:tc>
        <w:tc>
          <w:tcPr>
            <w:tcW w:w="6041" w:type="dxa"/>
            <w:noWrap/>
            <w:hideMark/>
          </w:tcPr>
          <w:p w14:paraId="64C6C287" w14:textId="77777777" w:rsidR="00356E99" w:rsidRPr="0098681F" w:rsidRDefault="00356E99" w:rsidP="0098681F">
            <w:pPr>
              <w:spacing w:line="360" w:lineRule="auto"/>
              <w:rPr>
                <w:sz w:val="24"/>
                <w:szCs w:val="24"/>
              </w:rPr>
            </w:pPr>
            <w:r w:rsidRPr="0098681F">
              <w:rPr>
                <w:sz w:val="24"/>
                <w:szCs w:val="24"/>
              </w:rPr>
              <w:t>Pickleweed (</w:t>
            </w:r>
            <w:r w:rsidRPr="0098681F">
              <w:rPr>
                <w:i/>
                <w:iCs/>
                <w:sz w:val="24"/>
                <w:szCs w:val="24"/>
              </w:rPr>
              <w:t>Allenrolfea occidentalis</w:t>
            </w:r>
            <w:r w:rsidRPr="0098681F">
              <w:rPr>
                <w:sz w:val="24"/>
                <w:szCs w:val="24"/>
              </w:rPr>
              <w:t>)</w:t>
            </w:r>
          </w:p>
        </w:tc>
      </w:tr>
      <w:tr w:rsidR="00716203" w:rsidRPr="0098681F" w14:paraId="38530026" w14:textId="77777777" w:rsidTr="000C20BE">
        <w:trPr>
          <w:trHeight w:val="288"/>
        </w:trPr>
        <w:tc>
          <w:tcPr>
            <w:tcW w:w="1176" w:type="dxa"/>
            <w:noWrap/>
            <w:hideMark/>
          </w:tcPr>
          <w:p w14:paraId="7AC981E4" w14:textId="77777777" w:rsidR="00356E99" w:rsidRPr="0098681F" w:rsidRDefault="00356E99" w:rsidP="0098681F">
            <w:pPr>
              <w:spacing w:line="360" w:lineRule="auto"/>
              <w:rPr>
                <w:sz w:val="24"/>
                <w:szCs w:val="24"/>
              </w:rPr>
            </w:pPr>
            <w:r w:rsidRPr="0098681F">
              <w:rPr>
                <w:sz w:val="24"/>
                <w:szCs w:val="24"/>
              </w:rPr>
              <w:t>Valley floor</w:t>
            </w:r>
          </w:p>
        </w:tc>
        <w:tc>
          <w:tcPr>
            <w:tcW w:w="2419" w:type="dxa"/>
            <w:noWrap/>
            <w:hideMark/>
          </w:tcPr>
          <w:p w14:paraId="1F88FF0B" w14:textId="77777777" w:rsidR="00356E99" w:rsidRPr="0098681F" w:rsidRDefault="00356E99" w:rsidP="0098681F">
            <w:pPr>
              <w:spacing w:line="360" w:lineRule="auto"/>
              <w:rPr>
                <w:sz w:val="24"/>
                <w:szCs w:val="24"/>
              </w:rPr>
            </w:pPr>
            <w:r w:rsidRPr="0098681F">
              <w:rPr>
                <w:sz w:val="24"/>
                <w:szCs w:val="24"/>
              </w:rPr>
              <w:t>Desert shrubs and flora</w:t>
            </w:r>
          </w:p>
        </w:tc>
        <w:tc>
          <w:tcPr>
            <w:tcW w:w="6041" w:type="dxa"/>
            <w:noWrap/>
            <w:hideMark/>
          </w:tcPr>
          <w:p w14:paraId="65ACFC2C" w14:textId="77777777" w:rsidR="00356E99" w:rsidRPr="0098681F" w:rsidRDefault="00356E99" w:rsidP="0098681F">
            <w:pPr>
              <w:spacing w:line="360" w:lineRule="auto"/>
              <w:rPr>
                <w:sz w:val="24"/>
                <w:szCs w:val="24"/>
              </w:rPr>
            </w:pPr>
            <w:r w:rsidRPr="0098681F">
              <w:rPr>
                <w:sz w:val="24"/>
                <w:szCs w:val="24"/>
              </w:rPr>
              <w:t>Shadscale (</w:t>
            </w:r>
            <w:r w:rsidRPr="0098681F">
              <w:rPr>
                <w:i/>
                <w:iCs/>
                <w:sz w:val="24"/>
                <w:szCs w:val="24"/>
              </w:rPr>
              <w:t>Atriplex</w:t>
            </w:r>
            <w:r w:rsidRPr="0098681F">
              <w:rPr>
                <w:sz w:val="24"/>
                <w:szCs w:val="24"/>
              </w:rPr>
              <w:t>), greasewood (</w:t>
            </w:r>
            <w:r w:rsidRPr="0098681F">
              <w:rPr>
                <w:i/>
                <w:iCs/>
                <w:sz w:val="24"/>
                <w:szCs w:val="24"/>
              </w:rPr>
              <w:t>Sarcobatus vermiculatus</w:t>
            </w:r>
            <w:r w:rsidRPr="0098681F">
              <w:rPr>
                <w:sz w:val="24"/>
                <w:szCs w:val="24"/>
              </w:rPr>
              <w:t>), saltbush (</w:t>
            </w:r>
            <w:r w:rsidRPr="0098681F">
              <w:rPr>
                <w:i/>
                <w:iCs/>
                <w:sz w:val="24"/>
                <w:szCs w:val="24"/>
              </w:rPr>
              <w:t>Amaranthaceae</w:t>
            </w:r>
            <w:r w:rsidRPr="0098681F">
              <w:rPr>
                <w:sz w:val="24"/>
                <w:szCs w:val="24"/>
              </w:rPr>
              <w:t>), jackrabbits (</w:t>
            </w:r>
            <w:r w:rsidRPr="0098681F">
              <w:rPr>
                <w:i/>
                <w:iCs/>
                <w:sz w:val="24"/>
                <w:szCs w:val="24"/>
              </w:rPr>
              <w:t>Lepus californicus</w:t>
            </w:r>
            <w:r w:rsidRPr="0098681F">
              <w:rPr>
                <w:sz w:val="24"/>
                <w:szCs w:val="24"/>
              </w:rPr>
              <w:t>)</w:t>
            </w:r>
          </w:p>
        </w:tc>
      </w:tr>
      <w:tr w:rsidR="00716203" w:rsidRPr="0098681F" w14:paraId="398F8166" w14:textId="77777777" w:rsidTr="000C20BE">
        <w:trPr>
          <w:trHeight w:val="288"/>
        </w:trPr>
        <w:tc>
          <w:tcPr>
            <w:tcW w:w="1176" w:type="dxa"/>
            <w:noWrap/>
            <w:hideMark/>
          </w:tcPr>
          <w:p w14:paraId="63397550" w14:textId="77777777" w:rsidR="00356E99" w:rsidRPr="0098681F" w:rsidRDefault="00356E99" w:rsidP="0098681F">
            <w:pPr>
              <w:spacing w:line="360" w:lineRule="auto"/>
              <w:rPr>
                <w:sz w:val="24"/>
                <w:szCs w:val="24"/>
              </w:rPr>
            </w:pPr>
            <w:r w:rsidRPr="0098681F">
              <w:rPr>
                <w:sz w:val="24"/>
                <w:szCs w:val="24"/>
              </w:rPr>
              <w:t>Lower foothills</w:t>
            </w:r>
          </w:p>
        </w:tc>
        <w:tc>
          <w:tcPr>
            <w:tcW w:w="2419" w:type="dxa"/>
            <w:noWrap/>
            <w:hideMark/>
          </w:tcPr>
          <w:p w14:paraId="2E567127" w14:textId="77777777" w:rsidR="00356E99" w:rsidRPr="0098681F" w:rsidRDefault="00356E99" w:rsidP="0098681F">
            <w:pPr>
              <w:spacing w:line="360" w:lineRule="auto"/>
              <w:rPr>
                <w:sz w:val="24"/>
                <w:szCs w:val="24"/>
              </w:rPr>
            </w:pPr>
            <w:r w:rsidRPr="0098681F">
              <w:rPr>
                <w:sz w:val="24"/>
                <w:szCs w:val="24"/>
              </w:rPr>
              <w:t>Shrubs and grasses</w:t>
            </w:r>
          </w:p>
        </w:tc>
        <w:tc>
          <w:tcPr>
            <w:tcW w:w="6041" w:type="dxa"/>
            <w:noWrap/>
            <w:hideMark/>
          </w:tcPr>
          <w:p w14:paraId="453FBF02" w14:textId="77777777" w:rsidR="00356E99" w:rsidRPr="0098681F" w:rsidRDefault="00356E99" w:rsidP="0098681F">
            <w:pPr>
              <w:spacing w:line="360" w:lineRule="auto"/>
              <w:rPr>
                <w:sz w:val="24"/>
                <w:szCs w:val="24"/>
              </w:rPr>
            </w:pPr>
            <w:r w:rsidRPr="0098681F">
              <w:rPr>
                <w:sz w:val="24"/>
                <w:szCs w:val="24"/>
              </w:rPr>
              <w:t>Sagebrush (</w:t>
            </w:r>
            <w:r w:rsidRPr="0098681F">
              <w:rPr>
                <w:i/>
                <w:iCs/>
                <w:sz w:val="24"/>
                <w:szCs w:val="24"/>
              </w:rPr>
              <w:t>Artemisia</w:t>
            </w:r>
            <w:r w:rsidRPr="0098681F">
              <w:rPr>
                <w:sz w:val="24"/>
                <w:szCs w:val="24"/>
              </w:rPr>
              <w:t>), horsebrush (</w:t>
            </w:r>
            <w:r w:rsidRPr="0098681F">
              <w:rPr>
                <w:i/>
                <w:iCs/>
                <w:sz w:val="24"/>
                <w:szCs w:val="24"/>
              </w:rPr>
              <w:t>Tetradymia</w:t>
            </w:r>
            <w:r w:rsidRPr="0098681F">
              <w:rPr>
                <w:sz w:val="24"/>
                <w:szCs w:val="24"/>
              </w:rPr>
              <w:t>), rabbitbrush (</w:t>
            </w:r>
            <w:r w:rsidRPr="0098681F">
              <w:rPr>
                <w:i/>
                <w:iCs/>
                <w:sz w:val="24"/>
                <w:szCs w:val="24"/>
              </w:rPr>
              <w:t>Chrysothamnus</w:t>
            </w:r>
            <w:r w:rsidRPr="0098681F">
              <w:rPr>
                <w:sz w:val="24"/>
                <w:szCs w:val="24"/>
              </w:rPr>
              <w:t>), wild rye (</w:t>
            </w:r>
            <w:r w:rsidRPr="0098681F">
              <w:rPr>
                <w:i/>
                <w:iCs/>
                <w:sz w:val="24"/>
                <w:szCs w:val="24"/>
              </w:rPr>
              <w:t>Elymus</w:t>
            </w:r>
            <w:r w:rsidRPr="0098681F">
              <w:rPr>
                <w:sz w:val="24"/>
                <w:szCs w:val="24"/>
              </w:rPr>
              <w:t>), wheatgrass (</w:t>
            </w:r>
            <w:r w:rsidRPr="0098681F">
              <w:rPr>
                <w:i/>
                <w:iCs/>
                <w:sz w:val="24"/>
                <w:szCs w:val="24"/>
              </w:rPr>
              <w:t>Agropyron</w:t>
            </w:r>
            <w:r w:rsidRPr="0098681F">
              <w:rPr>
                <w:sz w:val="24"/>
                <w:szCs w:val="24"/>
              </w:rPr>
              <w:t>), bluegrass (</w:t>
            </w:r>
            <w:r w:rsidRPr="0098681F">
              <w:rPr>
                <w:i/>
                <w:iCs/>
                <w:sz w:val="24"/>
                <w:szCs w:val="24"/>
              </w:rPr>
              <w:t>Poa</w:t>
            </w:r>
            <w:r w:rsidRPr="0098681F">
              <w:rPr>
                <w:sz w:val="24"/>
                <w:szCs w:val="24"/>
              </w:rPr>
              <w:t>)</w:t>
            </w:r>
          </w:p>
        </w:tc>
      </w:tr>
      <w:tr w:rsidR="00716203" w:rsidRPr="0098681F" w14:paraId="1F0141DC" w14:textId="77777777" w:rsidTr="000C20BE">
        <w:trPr>
          <w:trHeight w:val="288"/>
        </w:trPr>
        <w:tc>
          <w:tcPr>
            <w:tcW w:w="1176" w:type="dxa"/>
            <w:noWrap/>
            <w:hideMark/>
          </w:tcPr>
          <w:p w14:paraId="5163FF72" w14:textId="77777777" w:rsidR="00356E99" w:rsidRPr="0098681F" w:rsidRDefault="00356E99" w:rsidP="0098681F">
            <w:pPr>
              <w:spacing w:line="360" w:lineRule="auto"/>
              <w:rPr>
                <w:sz w:val="24"/>
                <w:szCs w:val="24"/>
              </w:rPr>
            </w:pPr>
            <w:r w:rsidRPr="0098681F">
              <w:rPr>
                <w:sz w:val="24"/>
                <w:szCs w:val="24"/>
              </w:rPr>
              <w:t>Lower mountain slopes</w:t>
            </w:r>
          </w:p>
        </w:tc>
        <w:tc>
          <w:tcPr>
            <w:tcW w:w="2419" w:type="dxa"/>
            <w:noWrap/>
            <w:hideMark/>
          </w:tcPr>
          <w:p w14:paraId="044B86A5" w14:textId="77777777" w:rsidR="00356E99" w:rsidRPr="0098681F" w:rsidRDefault="00356E99" w:rsidP="0098681F">
            <w:pPr>
              <w:spacing w:line="360" w:lineRule="auto"/>
              <w:rPr>
                <w:sz w:val="24"/>
                <w:szCs w:val="24"/>
              </w:rPr>
            </w:pPr>
            <w:r w:rsidRPr="0098681F">
              <w:rPr>
                <w:sz w:val="24"/>
                <w:szCs w:val="24"/>
              </w:rPr>
              <w:t>Pinyon-juniper woodlands, sagebrush-grass zone recurrence</w:t>
            </w:r>
          </w:p>
        </w:tc>
        <w:tc>
          <w:tcPr>
            <w:tcW w:w="6041" w:type="dxa"/>
            <w:noWrap/>
            <w:hideMark/>
          </w:tcPr>
          <w:p w14:paraId="60790D54" w14:textId="77777777" w:rsidR="00356E99" w:rsidRPr="0098681F" w:rsidRDefault="00356E99" w:rsidP="0098681F">
            <w:pPr>
              <w:spacing w:line="360" w:lineRule="auto"/>
              <w:rPr>
                <w:sz w:val="24"/>
                <w:szCs w:val="24"/>
              </w:rPr>
            </w:pPr>
            <w:r w:rsidRPr="0098681F">
              <w:rPr>
                <w:sz w:val="24"/>
                <w:szCs w:val="24"/>
              </w:rPr>
              <w:t>Pinyon pine (</w:t>
            </w:r>
            <w:r w:rsidRPr="0098681F">
              <w:rPr>
                <w:i/>
                <w:iCs/>
                <w:sz w:val="24"/>
                <w:szCs w:val="24"/>
              </w:rPr>
              <w:t>Pinus monophyla</w:t>
            </w:r>
            <w:r w:rsidRPr="0098681F">
              <w:rPr>
                <w:sz w:val="24"/>
                <w:szCs w:val="24"/>
              </w:rPr>
              <w:t>), juniper (</w:t>
            </w:r>
            <w:r w:rsidRPr="0098681F">
              <w:rPr>
                <w:i/>
                <w:iCs/>
                <w:sz w:val="24"/>
                <w:szCs w:val="24"/>
              </w:rPr>
              <w:t>Juniperus</w:t>
            </w:r>
            <w:r w:rsidRPr="0098681F">
              <w:rPr>
                <w:sz w:val="24"/>
                <w:szCs w:val="24"/>
              </w:rPr>
              <w:t>), mountain mahogany (</w:t>
            </w:r>
            <w:r w:rsidRPr="0098681F">
              <w:rPr>
                <w:i/>
                <w:iCs/>
                <w:sz w:val="24"/>
                <w:szCs w:val="24"/>
              </w:rPr>
              <w:t>Cercocarpus ledifolius</w:t>
            </w:r>
            <w:r w:rsidRPr="0098681F">
              <w:rPr>
                <w:sz w:val="24"/>
                <w:szCs w:val="24"/>
              </w:rPr>
              <w:t>), Mormon tea (</w:t>
            </w:r>
            <w:r w:rsidRPr="0098681F">
              <w:rPr>
                <w:i/>
                <w:iCs/>
                <w:sz w:val="24"/>
                <w:szCs w:val="24"/>
              </w:rPr>
              <w:t>Ephedra</w:t>
            </w:r>
            <w:r w:rsidRPr="0098681F">
              <w:rPr>
                <w:sz w:val="24"/>
                <w:szCs w:val="24"/>
              </w:rPr>
              <w:t>)</w:t>
            </w:r>
          </w:p>
        </w:tc>
      </w:tr>
      <w:tr w:rsidR="00716203" w:rsidRPr="0098681F" w14:paraId="403DC8A7" w14:textId="77777777" w:rsidTr="000C20BE">
        <w:trPr>
          <w:trHeight w:val="288"/>
        </w:trPr>
        <w:tc>
          <w:tcPr>
            <w:tcW w:w="1176" w:type="dxa"/>
            <w:noWrap/>
            <w:hideMark/>
          </w:tcPr>
          <w:p w14:paraId="0E484F72" w14:textId="77777777" w:rsidR="00356E99" w:rsidRPr="0098681F" w:rsidRDefault="00356E99" w:rsidP="0098681F">
            <w:pPr>
              <w:spacing w:line="360" w:lineRule="auto"/>
              <w:rPr>
                <w:sz w:val="24"/>
                <w:szCs w:val="24"/>
              </w:rPr>
            </w:pPr>
            <w:r w:rsidRPr="0098681F">
              <w:rPr>
                <w:sz w:val="24"/>
                <w:szCs w:val="24"/>
              </w:rPr>
              <w:t>Subalpine forests</w:t>
            </w:r>
          </w:p>
        </w:tc>
        <w:tc>
          <w:tcPr>
            <w:tcW w:w="2419" w:type="dxa"/>
            <w:noWrap/>
            <w:hideMark/>
          </w:tcPr>
          <w:p w14:paraId="071C7693" w14:textId="77777777" w:rsidR="00356E99" w:rsidRPr="0098681F" w:rsidRDefault="00356E99" w:rsidP="0098681F">
            <w:pPr>
              <w:spacing w:line="360" w:lineRule="auto"/>
              <w:rPr>
                <w:sz w:val="24"/>
                <w:szCs w:val="24"/>
              </w:rPr>
            </w:pPr>
            <w:r w:rsidRPr="0098681F">
              <w:rPr>
                <w:sz w:val="24"/>
                <w:szCs w:val="24"/>
              </w:rPr>
              <w:t>Xeric conifers, herbaceous resources, some fruits</w:t>
            </w:r>
          </w:p>
        </w:tc>
        <w:tc>
          <w:tcPr>
            <w:tcW w:w="6041" w:type="dxa"/>
            <w:noWrap/>
            <w:hideMark/>
          </w:tcPr>
          <w:p w14:paraId="69FD94AE" w14:textId="77777777" w:rsidR="00356E99" w:rsidRPr="0098681F" w:rsidRDefault="00356E99" w:rsidP="0098681F">
            <w:pPr>
              <w:spacing w:line="360" w:lineRule="auto"/>
              <w:rPr>
                <w:sz w:val="24"/>
                <w:szCs w:val="24"/>
              </w:rPr>
            </w:pPr>
            <w:r w:rsidRPr="0098681F">
              <w:rPr>
                <w:sz w:val="24"/>
                <w:szCs w:val="24"/>
              </w:rPr>
              <w:t>Douglas fir (</w:t>
            </w:r>
            <w:r w:rsidRPr="0098681F">
              <w:rPr>
                <w:i/>
                <w:iCs/>
                <w:sz w:val="24"/>
                <w:szCs w:val="24"/>
              </w:rPr>
              <w:t>Pseudotsuga menziesii</w:t>
            </w:r>
            <w:r w:rsidRPr="0098681F">
              <w:rPr>
                <w:sz w:val="24"/>
                <w:szCs w:val="24"/>
              </w:rPr>
              <w:t>), white fir (</w:t>
            </w:r>
            <w:r w:rsidRPr="0098681F">
              <w:rPr>
                <w:i/>
                <w:iCs/>
                <w:sz w:val="24"/>
                <w:szCs w:val="24"/>
              </w:rPr>
              <w:t>Abies concolor</w:t>
            </w:r>
            <w:r w:rsidRPr="0098681F">
              <w:rPr>
                <w:sz w:val="24"/>
                <w:szCs w:val="24"/>
              </w:rPr>
              <w:t>), limber pine (</w:t>
            </w:r>
            <w:r w:rsidRPr="0098681F">
              <w:rPr>
                <w:i/>
                <w:iCs/>
                <w:sz w:val="24"/>
                <w:szCs w:val="24"/>
              </w:rPr>
              <w:t>Pinus flexilis</w:t>
            </w:r>
            <w:r w:rsidRPr="0098681F">
              <w:rPr>
                <w:sz w:val="24"/>
                <w:szCs w:val="24"/>
              </w:rPr>
              <w:t>), wheatgrass, redtop grass (</w:t>
            </w:r>
            <w:r w:rsidRPr="0098681F">
              <w:rPr>
                <w:i/>
                <w:iCs/>
                <w:sz w:val="24"/>
                <w:szCs w:val="24"/>
              </w:rPr>
              <w:t>Agrostis</w:t>
            </w:r>
            <w:r w:rsidRPr="0098681F">
              <w:rPr>
                <w:sz w:val="24"/>
                <w:szCs w:val="24"/>
              </w:rPr>
              <w:t>), bluegrass, needlegrass (</w:t>
            </w:r>
            <w:r w:rsidRPr="0098681F">
              <w:rPr>
                <w:i/>
                <w:iCs/>
                <w:sz w:val="24"/>
                <w:szCs w:val="24"/>
              </w:rPr>
              <w:t>Stipa</w:t>
            </w:r>
            <w:r w:rsidRPr="0098681F">
              <w:rPr>
                <w:sz w:val="24"/>
                <w:szCs w:val="24"/>
              </w:rPr>
              <w:t>), gooseberry/currant (</w:t>
            </w:r>
            <w:r w:rsidRPr="0098681F">
              <w:rPr>
                <w:i/>
                <w:iCs/>
                <w:sz w:val="24"/>
                <w:szCs w:val="24"/>
              </w:rPr>
              <w:t>Ribes</w:t>
            </w:r>
            <w:r w:rsidRPr="0098681F">
              <w:rPr>
                <w:sz w:val="24"/>
                <w:szCs w:val="24"/>
              </w:rPr>
              <w:t>), elderberry (</w:t>
            </w:r>
            <w:r w:rsidRPr="0098681F">
              <w:rPr>
                <w:i/>
                <w:iCs/>
                <w:sz w:val="24"/>
                <w:szCs w:val="24"/>
              </w:rPr>
              <w:t>Sambucus</w:t>
            </w:r>
            <w:r w:rsidRPr="0098681F">
              <w:rPr>
                <w:sz w:val="24"/>
                <w:szCs w:val="24"/>
              </w:rPr>
              <w:t>)</w:t>
            </w:r>
          </w:p>
        </w:tc>
      </w:tr>
      <w:bookmarkEnd w:id="0"/>
    </w:tbl>
    <w:p w14:paraId="298EEC32" w14:textId="77777777" w:rsidR="001D5AA7" w:rsidRPr="0098681F" w:rsidRDefault="001D5AA7" w:rsidP="0098681F">
      <w:pPr>
        <w:spacing w:after="0" w:line="360" w:lineRule="auto"/>
        <w:rPr>
          <w:rFonts w:ascii="Times New Roman" w:hAnsi="Times New Roman" w:cs="Times New Roman"/>
          <w:b/>
          <w:bCs/>
          <w:sz w:val="24"/>
          <w:szCs w:val="24"/>
        </w:rPr>
      </w:pPr>
    </w:p>
    <w:p w14:paraId="03D3BB30" w14:textId="77777777" w:rsidR="006C0469" w:rsidRPr="0098681F" w:rsidRDefault="006C0469" w:rsidP="0098681F">
      <w:pPr>
        <w:keepNext/>
        <w:spacing w:after="0" w:line="360" w:lineRule="auto"/>
        <w:rPr>
          <w:rFonts w:ascii="Times New Roman" w:hAnsi="Times New Roman" w:cs="Times New Roman"/>
          <w:sz w:val="24"/>
          <w:szCs w:val="24"/>
        </w:rPr>
      </w:pPr>
      <w:r w:rsidRPr="0098681F">
        <w:rPr>
          <w:rFonts w:ascii="Times New Roman" w:hAnsi="Times New Roman" w:cs="Times New Roman"/>
          <w:noProof/>
          <w:sz w:val="24"/>
          <w:szCs w:val="24"/>
        </w:rPr>
        <w:lastRenderedPageBreak/>
        <w:drawing>
          <wp:inline distT="0" distB="0" distL="0" distR="0" wp14:anchorId="4428B53A" wp14:editId="2B6ECF4D">
            <wp:extent cx="6150622" cy="3781425"/>
            <wp:effectExtent l="0" t="0" r="2540" b="0"/>
            <wp:docPr id="203" name="Picture 203" descr="A picture containing stone tool, mineral, igneous rock,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descr="A picture containing stone tool, mineral, igneous rock, nature&#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5128" b="47820"/>
                    <a:stretch/>
                  </pic:blipFill>
                  <pic:spPr bwMode="auto">
                    <a:xfrm>
                      <a:off x="0" y="0"/>
                      <a:ext cx="6155622" cy="3784499"/>
                    </a:xfrm>
                    <a:prstGeom prst="rect">
                      <a:avLst/>
                    </a:prstGeom>
                    <a:noFill/>
                    <a:ln>
                      <a:noFill/>
                    </a:ln>
                    <a:extLst>
                      <a:ext uri="{53640926-AAD7-44D8-BBD7-CCE9431645EC}">
                        <a14:shadowObscured xmlns:a14="http://schemas.microsoft.com/office/drawing/2010/main"/>
                      </a:ext>
                    </a:extLst>
                  </pic:spPr>
                </pic:pic>
              </a:graphicData>
            </a:graphic>
          </wp:inline>
        </w:drawing>
      </w:r>
    </w:p>
    <w:p w14:paraId="394D62F3" w14:textId="60D64D0C" w:rsidR="006C0469" w:rsidRPr="00D61941" w:rsidRDefault="006C0469" w:rsidP="0098681F">
      <w:pPr>
        <w:pStyle w:val="Caption"/>
        <w:spacing w:after="0" w:line="360" w:lineRule="auto"/>
        <w:rPr>
          <w:rFonts w:ascii="Times New Roman" w:hAnsi="Times New Roman" w:cs="Times New Roman"/>
          <w:color w:val="auto"/>
          <w:sz w:val="24"/>
          <w:szCs w:val="24"/>
        </w:rPr>
      </w:pPr>
      <w:r w:rsidRPr="00D61941">
        <w:rPr>
          <w:rFonts w:ascii="Times New Roman" w:hAnsi="Times New Roman" w:cs="Times New Roman"/>
          <w:color w:val="auto"/>
          <w:sz w:val="24"/>
          <w:szCs w:val="24"/>
        </w:rPr>
        <w:t>Figure S</w:t>
      </w:r>
      <w:r w:rsidRPr="00D61941">
        <w:rPr>
          <w:rFonts w:ascii="Times New Roman" w:hAnsi="Times New Roman" w:cs="Times New Roman"/>
          <w:color w:val="auto"/>
          <w:sz w:val="24"/>
          <w:szCs w:val="24"/>
        </w:rPr>
        <w:fldChar w:fldCharType="begin"/>
      </w:r>
      <w:r w:rsidRPr="00D61941">
        <w:rPr>
          <w:rFonts w:ascii="Times New Roman" w:hAnsi="Times New Roman" w:cs="Times New Roman"/>
          <w:color w:val="auto"/>
          <w:sz w:val="24"/>
          <w:szCs w:val="24"/>
        </w:rPr>
        <w:instrText xml:space="preserve"> SEQ Figure \* ARABIC </w:instrText>
      </w:r>
      <w:r w:rsidRPr="00D61941">
        <w:rPr>
          <w:rFonts w:ascii="Times New Roman" w:hAnsi="Times New Roman" w:cs="Times New Roman"/>
          <w:color w:val="auto"/>
          <w:sz w:val="24"/>
          <w:szCs w:val="24"/>
        </w:rPr>
        <w:fldChar w:fldCharType="separate"/>
      </w:r>
      <w:r w:rsidRPr="00D61941">
        <w:rPr>
          <w:rFonts w:ascii="Times New Roman" w:hAnsi="Times New Roman" w:cs="Times New Roman"/>
          <w:noProof/>
          <w:color w:val="auto"/>
          <w:sz w:val="24"/>
          <w:szCs w:val="24"/>
        </w:rPr>
        <w:t>1</w:t>
      </w:r>
      <w:r w:rsidRPr="00D61941">
        <w:rPr>
          <w:rFonts w:ascii="Times New Roman" w:hAnsi="Times New Roman" w:cs="Times New Roman"/>
          <w:color w:val="auto"/>
          <w:sz w:val="24"/>
          <w:szCs w:val="24"/>
        </w:rPr>
        <w:fldChar w:fldCharType="end"/>
      </w:r>
      <w:r w:rsidRPr="00D61941">
        <w:rPr>
          <w:rFonts w:ascii="Times New Roman" w:hAnsi="Times New Roman" w:cs="Times New Roman"/>
          <w:color w:val="auto"/>
          <w:sz w:val="24"/>
          <w:szCs w:val="24"/>
        </w:rPr>
        <w:t>. Coprolites processed for DNA and macroremains in this study</w:t>
      </w:r>
      <w:r w:rsidR="00BD6FCF">
        <w:rPr>
          <w:rFonts w:ascii="Times New Roman" w:hAnsi="Times New Roman" w:cs="Times New Roman"/>
          <w:color w:val="auto"/>
          <w:sz w:val="24"/>
          <w:szCs w:val="24"/>
        </w:rPr>
        <w:t xml:space="preserve"> (figure by authors).</w:t>
      </w:r>
    </w:p>
    <w:p w14:paraId="095614A2" w14:textId="77777777" w:rsidR="006C0469" w:rsidRPr="0098681F" w:rsidRDefault="006C0469" w:rsidP="0098681F">
      <w:pPr>
        <w:spacing w:after="0" w:line="360" w:lineRule="auto"/>
        <w:rPr>
          <w:rFonts w:ascii="Times New Roman" w:hAnsi="Times New Roman" w:cs="Times New Roman"/>
          <w:b/>
          <w:bCs/>
          <w:sz w:val="24"/>
          <w:szCs w:val="24"/>
        </w:rPr>
      </w:pPr>
    </w:p>
    <w:p w14:paraId="5CDBAA02" w14:textId="3F6AD411" w:rsidR="001A703A" w:rsidRPr="00BD6FCF" w:rsidRDefault="005D5D29" w:rsidP="00BD6FCF">
      <w:pPr>
        <w:pStyle w:val="ListParagraph"/>
        <w:numPr>
          <w:ilvl w:val="0"/>
          <w:numId w:val="4"/>
        </w:numPr>
        <w:spacing w:after="0" w:line="360" w:lineRule="auto"/>
        <w:rPr>
          <w:rFonts w:ascii="Times New Roman" w:hAnsi="Times New Roman" w:cs="Times New Roman"/>
          <w:b/>
          <w:bCs/>
          <w:sz w:val="24"/>
          <w:szCs w:val="24"/>
        </w:rPr>
      </w:pPr>
      <w:r w:rsidRPr="00BD6FCF">
        <w:rPr>
          <w:rFonts w:ascii="Times New Roman" w:hAnsi="Times New Roman" w:cs="Times New Roman"/>
          <w:b/>
          <w:bCs/>
          <w:sz w:val="24"/>
          <w:szCs w:val="24"/>
        </w:rPr>
        <w:t xml:space="preserve">Expanded </w:t>
      </w:r>
      <w:r w:rsidR="00BD6FCF" w:rsidRPr="00BD6FCF">
        <w:rPr>
          <w:rFonts w:ascii="Times New Roman" w:hAnsi="Times New Roman" w:cs="Times New Roman"/>
          <w:b/>
          <w:bCs/>
          <w:sz w:val="24"/>
          <w:szCs w:val="24"/>
        </w:rPr>
        <w:t>genetic m</w:t>
      </w:r>
      <w:r w:rsidRPr="00BD6FCF">
        <w:rPr>
          <w:rFonts w:ascii="Times New Roman" w:hAnsi="Times New Roman" w:cs="Times New Roman"/>
          <w:b/>
          <w:bCs/>
          <w:sz w:val="24"/>
          <w:szCs w:val="24"/>
        </w:rPr>
        <w:t>ethods</w:t>
      </w:r>
    </w:p>
    <w:p w14:paraId="10FE0B29" w14:textId="613B8B32" w:rsidR="001A703A" w:rsidRPr="005528D3" w:rsidRDefault="001A703A" w:rsidP="005528D3">
      <w:pPr>
        <w:spacing w:after="0" w:line="360" w:lineRule="auto"/>
        <w:rPr>
          <w:rFonts w:ascii="Times New Roman" w:hAnsi="Times New Roman" w:cs="Times New Roman"/>
          <w:i/>
          <w:iCs/>
          <w:sz w:val="24"/>
          <w:szCs w:val="24"/>
        </w:rPr>
      </w:pPr>
      <w:r w:rsidRPr="005528D3">
        <w:rPr>
          <w:rFonts w:ascii="Times New Roman" w:hAnsi="Times New Roman" w:cs="Times New Roman"/>
          <w:i/>
          <w:iCs/>
          <w:sz w:val="24"/>
          <w:szCs w:val="24"/>
        </w:rPr>
        <w:t xml:space="preserve">Amplification </w:t>
      </w:r>
      <w:r w:rsidR="005528D3" w:rsidRPr="005528D3">
        <w:rPr>
          <w:rFonts w:ascii="Times New Roman" w:hAnsi="Times New Roman" w:cs="Times New Roman"/>
          <w:i/>
          <w:iCs/>
          <w:sz w:val="24"/>
          <w:szCs w:val="24"/>
        </w:rPr>
        <w:t>and library preparation</w:t>
      </w:r>
    </w:p>
    <w:p w14:paraId="1810E67C" w14:textId="1BF07F1E" w:rsidR="00230927" w:rsidRDefault="00230927" w:rsidP="0098681F">
      <w:pPr>
        <w:spacing w:after="0" w:line="360" w:lineRule="auto"/>
        <w:rPr>
          <w:rFonts w:ascii="Times New Roman" w:hAnsi="Times New Roman" w:cs="Times New Roman"/>
          <w:sz w:val="24"/>
          <w:szCs w:val="24"/>
        </w:rPr>
      </w:pPr>
      <w:r w:rsidRPr="0098681F">
        <w:rPr>
          <w:rFonts w:ascii="Times New Roman" w:hAnsi="Times New Roman" w:cs="Times New Roman"/>
          <w:sz w:val="24"/>
          <w:szCs w:val="24"/>
        </w:rPr>
        <w:t>We set up each</w:t>
      </w:r>
      <w:r w:rsidR="005D5D29" w:rsidRPr="0098681F">
        <w:rPr>
          <w:rFonts w:ascii="Times New Roman" w:hAnsi="Times New Roman" w:cs="Times New Roman"/>
          <w:sz w:val="24"/>
          <w:szCs w:val="24"/>
        </w:rPr>
        <w:t xml:space="preserve"> </w:t>
      </w:r>
      <w:r w:rsidR="006B432F">
        <w:rPr>
          <w:rFonts w:ascii="Times New Roman" w:hAnsi="Times New Roman" w:cs="Times New Roman"/>
          <w:sz w:val="24"/>
          <w:szCs w:val="24"/>
        </w:rPr>
        <w:t>polymerase chain reaction</w:t>
      </w:r>
      <w:r w:rsidR="00FB483C">
        <w:rPr>
          <w:rFonts w:ascii="Times New Roman" w:hAnsi="Times New Roman" w:cs="Times New Roman"/>
          <w:sz w:val="24"/>
          <w:szCs w:val="24"/>
        </w:rPr>
        <w:t xml:space="preserve"> </w:t>
      </w:r>
      <w:r w:rsidR="006B432F">
        <w:rPr>
          <w:rFonts w:ascii="Times New Roman" w:hAnsi="Times New Roman" w:cs="Times New Roman"/>
          <w:sz w:val="24"/>
          <w:szCs w:val="24"/>
        </w:rPr>
        <w:t>(</w:t>
      </w:r>
      <w:r w:rsidR="005D5D29" w:rsidRPr="0098681F">
        <w:rPr>
          <w:rFonts w:ascii="Times New Roman" w:hAnsi="Times New Roman" w:cs="Times New Roman"/>
          <w:sz w:val="24"/>
          <w:szCs w:val="24"/>
        </w:rPr>
        <w:t>PCR</w:t>
      </w:r>
      <w:r w:rsidR="006B432F">
        <w:rPr>
          <w:rFonts w:ascii="Times New Roman" w:hAnsi="Times New Roman" w:cs="Times New Roman"/>
          <w:sz w:val="24"/>
          <w:szCs w:val="24"/>
        </w:rPr>
        <w:t>)</w:t>
      </w:r>
      <w:r w:rsidRPr="0098681F">
        <w:rPr>
          <w:rFonts w:ascii="Times New Roman" w:hAnsi="Times New Roman" w:cs="Times New Roman"/>
          <w:sz w:val="24"/>
          <w:szCs w:val="24"/>
        </w:rPr>
        <w:t xml:space="preserve"> as a 25μL</w:t>
      </w:r>
      <w:r w:rsidRPr="0098681F" w:rsidDel="007B5E29">
        <w:rPr>
          <w:rFonts w:ascii="Times New Roman" w:hAnsi="Times New Roman" w:cs="Times New Roman"/>
          <w:sz w:val="24"/>
          <w:szCs w:val="24"/>
        </w:rPr>
        <w:t xml:space="preserve"> </w:t>
      </w:r>
      <w:r w:rsidRPr="0098681F">
        <w:rPr>
          <w:rFonts w:ascii="Times New Roman" w:hAnsi="Times New Roman" w:cs="Times New Roman"/>
          <w:sz w:val="24"/>
          <w:szCs w:val="24"/>
        </w:rPr>
        <w:t>solution containing 2μL</w:t>
      </w:r>
      <w:r w:rsidRPr="0098681F" w:rsidDel="007B5E29">
        <w:rPr>
          <w:rFonts w:ascii="Times New Roman" w:hAnsi="Times New Roman" w:cs="Times New Roman"/>
          <w:sz w:val="24"/>
          <w:szCs w:val="24"/>
        </w:rPr>
        <w:t xml:space="preserve"> </w:t>
      </w:r>
      <w:r w:rsidRPr="0098681F">
        <w:rPr>
          <w:rFonts w:ascii="Times New Roman" w:hAnsi="Times New Roman" w:cs="Times New Roman"/>
          <w:sz w:val="24"/>
          <w:szCs w:val="24"/>
        </w:rPr>
        <w:t>DNA extract, 2.5μL</w:t>
      </w:r>
      <w:r w:rsidRPr="0098681F" w:rsidDel="007B5E29">
        <w:rPr>
          <w:rFonts w:ascii="Times New Roman" w:hAnsi="Times New Roman" w:cs="Times New Roman"/>
          <w:sz w:val="24"/>
          <w:szCs w:val="24"/>
        </w:rPr>
        <w:t xml:space="preserve"> </w:t>
      </w:r>
      <w:r w:rsidRPr="0098681F">
        <w:rPr>
          <w:rFonts w:ascii="Times New Roman" w:hAnsi="Times New Roman" w:cs="Times New Roman"/>
          <w:sz w:val="24"/>
          <w:szCs w:val="24"/>
        </w:rPr>
        <w:t xml:space="preserve">1x PCR Gold buffer, 2.0μL </w:t>
      </w:r>
      <w:r w:rsidR="00B72524">
        <w:rPr>
          <w:rFonts w:ascii="Times New Roman" w:hAnsi="Times New Roman" w:cs="Times New Roman"/>
          <w:sz w:val="24"/>
          <w:szCs w:val="24"/>
        </w:rPr>
        <w:t>magnesium chloride (</w:t>
      </w:r>
      <w:r w:rsidRPr="0098681F">
        <w:rPr>
          <w:rFonts w:ascii="Times New Roman" w:hAnsi="Times New Roman" w:cs="Times New Roman"/>
          <w:sz w:val="24"/>
          <w:szCs w:val="24"/>
        </w:rPr>
        <w:t>MgCl</w:t>
      </w:r>
      <w:r w:rsidRPr="0098681F">
        <w:rPr>
          <w:rFonts w:ascii="Times New Roman" w:hAnsi="Times New Roman" w:cs="Times New Roman"/>
          <w:sz w:val="24"/>
          <w:szCs w:val="24"/>
          <w:vertAlign w:val="subscript"/>
        </w:rPr>
        <w:t>2</w:t>
      </w:r>
      <w:r w:rsidR="00B72524">
        <w:rPr>
          <w:rFonts w:ascii="Times New Roman" w:hAnsi="Times New Roman" w:cs="Times New Roman"/>
          <w:sz w:val="24"/>
          <w:szCs w:val="24"/>
        </w:rPr>
        <w:t>)</w:t>
      </w:r>
      <w:r w:rsidRPr="0098681F">
        <w:rPr>
          <w:rFonts w:ascii="Times New Roman" w:hAnsi="Times New Roman" w:cs="Times New Roman"/>
          <w:sz w:val="24"/>
          <w:szCs w:val="24"/>
        </w:rPr>
        <w:t>, 0.25μL</w:t>
      </w:r>
      <w:r w:rsidRPr="0098681F" w:rsidDel="007B5E29">
        <w:rPr>
          <w:rFonts w:ascii="Times New Roman" w:hAnsi="Times New Roman" w:cs="Times New Roman"/>
          <w:sz w:val="24"/>
          <w:szCs w:val="24"/>
        </w:rPr>
        <w:t xml:space="preserve"> </w:t>
      </w:r>
      <w:r w:rsidRPr="0098681F">
        <w:rPr>
          <w:rFonts w:ascii="Times New Roman" w:hAnsi="Times New Roman" w:cs="Times New Roman"/>
          <w:sz w:val="24"/>
          <w:szCs w:val="24"/>
        </w:rPr>
        <w:t>25mM dNTPs, 0.5μL</w:t>
      </w:r>
      <w:r w:rsidRPr="0098681F" w:rsidDel="007B5E29">
        <w:rPr>
          <w:rFonts w:ascii="Times New Roman" w:hAnsi="Times New Roman" w:cs="Times New Roman"/>
          <w:sz w:val="24"/>
          <w:szCs w:val="24"/>
        </w:rPr>
        <w:t xml:space="preserve"> </w:t>
      </w:r>
      <w:r w:rsidRPr="0098681F">
        <w:rPr>
          <w:rFonts w:ascii="Times New Roman" w:hAnsi="Times New Roman" w:cs="Times New Roman"/>
          <w:sz w:val="24"/>
          <w:szCs w:val="24"/>
        </w:rPr>
        <w:t>10mM forward and reverse primers, 0.25μL</w:t>
      </w:r>
      <w:r w:rsidRPr="0098681F" w:rsidDel="007B5E29">
        <w:rPr>
          <w:rFonts w:ascii="Times New Roman" w:hAnsi="Times New Roman" w:cs="Times New Roman"/>
          <w:sz w:val="24"/>
          <w:szCs w:val="24"/>
        </w:rPr>
        <w:t xml:space="preserve"> </w:t>
      </w:r>
      <w:r w:rsidRPr="0098681F">
        <w:rPr>
          <w:rFonts w:ascii="Times New Roman" w:hAnsi="Times New Roman" w:cs="Times New Roman"/>
          <w:sz w:val="24"/>
          <w:szCs w:val="24"/>
        </w:rPr>
        <w:t>AmpliTaq Gold DNA Polymerase, 0.6μL SYBR Green, 1.0μL</w:t>
      </w:r>
      <w:r w:rsidRPr="0098681F" w:rsidDel="007B5E29">
        <w:rPr>
          <w:rFonts w:ascii="Times New Roman" w:hAnsi="Times New Roman" w:cs="Times New Roman"/>
          <w:sz w:val="24"/>
          <w:szCs w:val="24"/>
        </w:rPr>
        <w:t xml:space="preserve"> </w:t>
      </w:r>
      <w:r w:rsidRPr="0098681F">
        <w:rPr>
          <w:rFonts w:ascii="Times New Roman" w:hAnsi="Times New Roman" w:cs="Times New Roman"/>
          <w:sz w:val="24"/>
          <w:szCs w:val="24"/>
        </w:rPr>
        <w:t>bovine serum albumin, and ultrapure water. PCR cycling started with a 5-minute denaturation at 95°C, followed by 40 cycles of 30 seconds at 30°C, 30 seconds at 57°C for 12sv5 and 52°C for trnL-gh, and extension at 72°C for 2 minutes. This was followed by a final extension of 10 minutes at 72°C.</w:t>
      </w:r>
      <w:r w:rsidR="001A703A" w:rsidRPr="0098681F">
        <w:rPr>
          <w:rFonts w:ascii="Times New Roman" w:hAnsi="Times New Roman" w:cs="Times New Roman"/>
          <w:sz w:val="24"/>
          <w:szCs w:val="24"/>
        </w:rPr>
        <w:t xml:space="preserve"> The primer names, sequences and annealing temperatures are in Table S2.</w:t>
      </w:r>
    </w:p>
    <w:p w14:paraId="75D4EFBA" w14:textId="77777777" w:rsidR="00D61043" w:rsidRDefault="00D61043" w:rsidP="0098681F">
      <w:pPr>
        <w:spacing w:after="0" w:line="360" w:lineRule="auto"/>
        <w:rPr>
          <w:rFonts w:ascii="Times New Roman" w:hAnsi="Times New Roman" w:cs="Times New Roman"/>
          <w:sz w:val="24"/>
          <w:szCs w:val="24"/>
        </w:rPr>
      </w:pPr>
    </w:p>
    <w:p w14:paraId="1102C73C" w14:textId="77777777" w:rsidR="00D61043" w:rsidRPr="0098681F" w:rsidRDefault="00D61043" w:rsidP="0098681F">
      <w:pPr>
        <w:spacing w:after="0" w:line="360" w:lineRule="auto"/>
        <w:rPr>
          <w:rFonts w:ascii="Times New Roman" w:hAnsi="Times New Roman" w:cs="Times New Roman"/>
          <w:sz w:val="24"/>
          <w:szCs w:val="24"/>
        </w:rPr>
      </w:pPr>
    </w:p>
    <w:p w14:paraId="127D2D26" w14:textId="401E2BBD" w:rsidR="00230927" w:rsidRPr="005528D3" w:rsidRDefault="00230927" w:rsidP="0098681F">
      <w:pPr>
        <w:pStyle w:val="Caption"/>
        <w:keepNext/>
        <w:spacing w:after="0" w:line="360" w:lineRule="auto"/>
        <w:rPr>
          <w:rFonts w:ascii="Times New Roman" w:hAnsi="Times New Roman" w:cs="Times New Roman"/>
          <w:b/>
          <w:bCs/>
          <w:i w:val="0"/>
          <w:iCs w:val="0"/>
          <w:color w:val="auto"/>
          <w:sz w:val="24"/>
          <w:szCs w:val="24"/>
        </w:rPr>
      </w:pPr>
      <w:r w:rsidRPr="005528D3">
        <w:rPr>
          <w:rFonts w:ascii="Times New Roman" w:hAnsi="Times New Roman" w:cs="Times New Roman"/>
          <w:b/>
          <w:bCs/>
          <w:i w:val="0"/>
          <w:iCs w:val="0"/>
          <w:color w:val="auto"/>
          <w:sz w:val="24"/>
          <w:szCs w:val="24"/>
        </w:rPr>
        <w:lastRenderedPageBreak/>
        <w:t>Table S2</w:t>
      </w:r>
      <w:r w:rsidR="00CE2F2F" w:rsidRPr="005528D3">
        <w:rPr>
          <w:rFonts w:ascii="Times New Roman" w:hAnsi="Times New Roman" w:cs="Times New Roman"/>
          <w:b/>
          <w:bCs/>
          <w:i w:val="0"/>
          <w:iCs w:val="0"/>
          <w:color w:val="auto"/>
          <w:sz w:val="24"/>
          <w:szCs w:val="24"/>
        </w:rPr>
        <w:t>.</w:t>
      </w:r>
      <w:r w:rsidRPr="005528D3">
        <w:rPr>
          <w:rFonts w:ascii="Times New Roman" w:hAnsi="Times New Roman" w:cs="Times New Roman"/>
          <w:b/>
          <w:bCs/>
          <w:i w:val="0"/>
          <w:iCs w:val="0"/>
          <w:color w:val="auto"/>
          <w:sz w:val="24"/>
          <w:szCs w:val="24"/>
        </w:rPr>
        <w:t xml:space="preserve"> Primers</w:t>
      </w:r>
      <w:r w:rsidR="009B4090">
        <w:rPr>
          <w:rFonts w:ascii="Times New Roman" w:hAnsi="Times New Roman" w:cs="Times New Roman"/>
          <w:b/>
          <w:bCs/>
          <w:i w:val="0"/>
          <w:iCs w:val="0"/>
          <w:color w:val="auto"/>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
        <w:gridCol w:w="3163"/>
        <w:gridCol w:w="3737"/>
        <w:gridCol w:w="1495"/>
      </w:tblGrid>
      <w:tr w:rsidR="00230927" w:rsidRPr="0098681F" w14:paraId="3145D0D5" w14:textId="77777777" w:rsidTr="00426348">
        <w:trPr>
          <w:jc w:val="center"/>
        </w:trPr>
        <w:tc>
          <w:tcPr>
            <w:tcW w:w="990" w:type="dxa"/>
            <w:tcBorders>
              <w:top w:val="single" w:sz="4" w:space="0" w:color="auto"/>
              <w:bottom w:val="single" w:sz="4" w:space="0" w:color="auto"/>
            </w:tcBorders>
          </w:tcPr>
          <w:p w14:paraId="6739C985" w14:textId="77777777" w:rsidR="00230927" w:rsidRPr="0098681F" w:rsidRDefault="00230927" w:rsidP="0098681F">
            <w:pPr>
              <w:spacing w:line="360" w:lineRule="auto"/>
              <w:rPr>
                <w:rFonts w:ascii="Times New Roman" w:hAnsi="Times New Roman" w:cs="Times New Roman"/>
                <w:b/>
                <w:bCs/>
                <w:sz w:val="24"/>
                <w:szCs w:val="24"/>
              </w:rPr>
            </w:pPr>
            <w:r w:rsidRPr="0098681F">
              <w:rPr>
                <w:rFonts w:ascii="Times New Roman" w:hAnsi="Times New Roman" w:cs="Times New Roman"/>
                <w:b/>
                <w:bCs/>
                <w:sz w:val="24"/>
                <w:szCs w:val="24"/>
              </w:rPr>
              <w:t>Primer</w:t>
            </w:r>
          </w:p>
        </w:tc>
        <w:tc>
          <w:tcPr>
            <w:tcW w:w="2700" w:type="dxa"/>
            <w:tcBorders>
              <w:top w:val="single" w:sz="4" w:space="0" w:color="auto"/>
              <w:bottom w:val="single" w:sz="4" w:space="0" w:color="auto"/>
            </w:tcBorders>
            <w:hideMark/>
          </w:tcPr>
          <w:p w14:paraId="2EF4CE6E" w14:textId="77777777" w:rsidR="00230927" w:rsidRPr="0098681F" w:rsidRDefault="00230927" w:rsidP="0098681F">
            <w:pPr>
              <w:spacing w:line="360" w:lineRule="auto"/>
              <w:rPr>
                <w:rFonts w:ascii="Times New Roman" w:hAnsi="Times New Roman" w:cs="Times New Roman"/>
                <w:b/>
                <w:bCs/>
                <w:sz w:val="24"/>
                <w:szCs w:val="24"/>
              </w:rPr>
            </w:pPr>
            <w:r w:rsidRPr="0098681F">
              <w:rPr>
                <w:rFonts w:ascii="Times New Roman" w:hAnsi="Times New Roman" w:cs="Times New Roman"/>
                <w:b/>
                <w:bCs/>
                <w:sz w:val="24"/>
                <w:szCs w:val="24"/>
              </w:rPr>
              <w:t>Forward Primer</w:t>
            </w:r>
          </w:p>
        </w:tc>
        <w:tc>
          <w:tcPr>
            <w:tcW w:w="3069" w:type="dxa"/>
            <w:tcBorders>
              <w:top w:val="single" w:sz="4" w:space="0" w:color="auto"/>
              <w:bottom w:val="single" w:sz="4" w:space="0" w:color="auto"/>
            </w:tcBorders>
            <w:hideMark/>
          </w:tcPr>
          <w:p w14:paraId="00A02702" w14:textId="77777777" w:rsidR="00230927" w:rsidRPr="0098681F" w:rsidRDefault="00230927" w:rsidP="0098681F">
            <w:pPr>
              <w:spacing w:line="360" w:lineRule="auto"/>
              <w:rPr>
                <w:rFonts w:ascii="Times New Roman" w:hAnsi="Times New Roman" w:cs="Times New Roman"/>
                <w:b/>
                <w:bCs/>
                <w:sz w:val="24"/>
                <w:szCs w:val="24"/>
              </w:rPr>
            </w:pPr>
            <w:r w:rsidRPr="0098681F">
              <w:rPr>
                <w:rFonts w:ascii="Times New Roman" w:hAnsi="Times New Roman" w:cs="Times New Roman"/>
                <w:b/>
                <w:bCs/>
                <w:sz w:val="24"/>
                <w:szCs w:val="24"/>
              </w:rPr>
              <w:t>Reverse Primer</w:t>
            </w:r>
          </w:p>
        </w:tc>
        <w:tc>
          <w:tcPr>
            <w:tcW w:w="1863" w:type="dxa"/>
            <w:tcBorders>
              <w:top w:val="single" w:sz="4" w:space="0" w:color="auto"/>
              <w:bottom w:val="single" w:sz="4" w:space="0" w:color="auto"/>
            </w:tcBorders>
            <w:hideMark/>
          </w:tcPr>
          <w:p w14:paraId="1B05316D" w14:textId="77777777" w:rsidR="00230927" w:rsidRPr="0098681F" w:rsidRDefault="00230927" w:rsidP="0098681F">
            <w:pPr>
              <w:spacing w:line="360" w:lineRule="auto"/>
              <w:rPr>
                <w:rFonts w:ascii="Times New Roman" w:hAnsi="Times New Roman" w:cs="Times New Roman"/>
                <w:b/>
                <w:bCs/>
                <w:sz w:val="24"/>
                <w:szCs w:val="24"/>
              </w:rPr>
            </w:pPr>
            <w:r w:rsidRPr="0098681F">
              <w:rPr>
                <w:rFonts w:ascii="Times New Roman" w:hAnsi="Times New Roman" w:cs="Times New Roman"/>
                <w:b/>
                <w:bCs/>
                <w:sz w:val="24"/>
                <w:szCs w:val="24"/>
              </w:rPr>
              <w:t>Annealing Temp</w:t>
            </w:r>
          </w:p>
        </w:tc>
      </w:tr>
      <w:tr w:rsidR="00230927" w:rsidRPr="0098681F" w14:paraId="7CC1253A" w14:textId="77777777" w:rsidTr="00426348">
        <w:trPr>
          <w:jc w:val="center"/>
        </w:trPr>
        <w:tc>
          <w:tcPr>
            <w:tcW w:w="990" w:type="dxa"/>
            <w:tcBorders>
              <w:top w:val="single" w:sz="4" w:space="0" w:color="auto"/>
            </w:tcBorders>
            <w:hideMark/>
          </w:tcPr>
          <w:p w14:paraId="5E693D21" w14:textId="77777777" w:rsidR="00230927" w:rsidRPr="0098681F" w:rsidRDefault="00230927" w:rsidP="0098681F">
            <w:pPr>
              <w:spacing w:line="360" w:lineRule="auto"/>
              <w:rPr>
                <w:rFonts w:ascii="Times New Roman" w:hAnsi="Times New Roman" w:cs="Times New Roman"/>
                <w:sz w:val="24"/>
                <w:szCs w:val="24"/>
              </w:rPr>
            </w:pPr>
            <w:r w:rsidRPr="0098681F">
              <w:rPr>
                <w:rFonts w:ascii="Times New Roman" w:hAnsi="Times New Roman" w:cs="Times New Roman"/>
                <w:sz w:val="24"/>
                <w:szCs w:val="24"/>
              </w:rPr>
              <w:t>12SV5</w:t>
            </w:r>
          </w:p>
        </w:tc>
        <w:tc>
          <w:tcPr>
            <w:tcW w:w="2700" w:type="dxa"/>
            <w:tcBorders>
              <w:top w:val="single" w:sz="4" w:space="0" w:color="auto"/>
            </w:tcBorders>
            <w:hideMark/>
          </w:tcPr>
          <w:p w14:paraId="065AF099" w14:textId="77777777" w:rsidR="00230927" w:rsidRPr="0098681F" w:rsidRDefault="00230927" w:rsidP="0098681F">
            <w:pPr>
              <w:spacing w:line="360" w:lineRule="auto"/>
              <w:rPr>
                <w:rFonts w:ascii="Times New Roman" w:hAnsi="Times New Roman" w:cs="Times New Roman"/>
                <w:sz w:val="24"/>
                <w:szCs w:val="24"/>
              </w:rPr>
            </w:pPr>
            <w:r w:rsidRPr="0098681F">
              <w:rPr>
                <w:rFonts w:ascii="Times New Roman" w:hAnsi="Times New Roman" w:cs="Times New Roman"/>
                <w:sz w:val="24"/>
                <w:szCs w:val="24"/>
              </w:rPr>
              <w:t>TAGAACAGGCTCCTCTAG</w:t>
            </w:r>
          </w:p>
        </w:tc>
        <w:tc>
          <w:tcPr>
            <w:tcW w:w="3069" w:type="dxa"/>
            <w:tcBorders>
              <w:top w:val="single" w:sz="4" w:space="0" w:color="auto"/>
            </w:tcBorders>
            <w:hideMark/>
          </w:tcPr>
          <w:p w14:paraId="69CCD208" w14:textId="77777777" w:rsidR="00230927" w:rsidRPr="0098681F" w:rsidRDefault="00230927" w:rsidP="0098681F">
            <w:pPr>
              <w:spacing w:line="360" w:lineRule="auto"/>
              <w:rPr>
                <w:rFonts w:ascii="Times New Roman" w:hAnsi="Times New Roman" w:cs="Times New Roman"/>
                <w:sz w:val="24"/>
                <w:szCs w:val="24"/>
              </w:rPr>
            </w:pPr>
            <w:r w:rsidRPr="0098681F">
              <w:rPr>
                <w:rFonts w:ascii="Times New Roman" w:hAnsi="Times New Roman" w:cs="Times New Roman"/>
                <w:sz w:val="24"/>
                <w:szCs w:val="24"/>
              </w:rPr>
              <w:t>TTAGATACCCCACTATGC</w:t>
            </w:r>
          </w:p>
        </w:tc>
        <w:tc>
          <w:tcPr>
            <w:tcW w:w="1863" w:type="dxa"/>
            <w:tcBorders>
              <w:top w:val="single" w:sz="4" w:space="0" w:color="auto"/>
            </w:tcBorders>
            <w:hideMark/>
          </w:tcPr>
          <w:p w14:paraId="71A25C70" w14:textId="77777777" w:rsidR="00230927" w:rsidRPr="0098681F" w:rsidRDefault="00230927" w:rsidP="0098681F">
            <w:pPr>
              <w:spacing w:line="360" w:lineRule="auto"/>
              <w:rPr>
                <w:rFonts w:ascii="Times New Roman" w:hAnsi="Times New Roman" w:cs="Times New Roman"/>
                <w:sz w:val="24"/>
                <w:szCs w:val="24"/>
              </w:rPr>
            </w:pPr>
            <w:r w:rsidRPr="0098681F">
              <w:rPr>
                <w:rFonts w:ascii="Times New Roman" w:hAnsi="Times New Roman" w:cs="Times New Roman"/>
                <w:sz w:val="24"/>
                <w:szCs w:val="24"/>
              </w:rPr>
              <w:t>57°C</w:t>
            </w:r>
          </w:p>
        </w:tc>
      </w:tr>
      <w:tr w:rsidR="00230927" w:rsidRPr="0098681F" w14:paraId="0B1ABB95" w14:textId="77777777" w:rsidTr="00426348">
        <w:trPr>
          <w:jc w:val="center"/>
        </w:trPr>
        <w:tc>
          <w:tcPr>
            <w:tcW w:w="990" w:type="dxa"/>
            <w:tcBorders>
              <w:bottom w:val="single" w:sz="4" w:space="0" w:color="auto"/>
            </w:tcBorders>
            <w:hideMark/>
          </w:tcPr>
          <w:p w14:paraId="18BE1BAF" w14:textId="77777777" w:rsidR="00230927" w:rsidRPr="0098681F" w:rsidRDefault="00230927" w:rsidP="0098681F">
            <w:pPr>
              <w:spacing w:line="360" w:lineRule="auto"/>
              <w:rPr>
                <w:rFonts w:ascii="Times New Roman" w:hAnsi="Times New Roman" w:cs="Times New Roman"/>
                <w:sz w:val="24"/>
                <w:szCs w:val="24"/>
              </w:rPr>
            </w:pPr>
            <w:r w:rsidRPr="0098681F">
              <w:rPr>
                <w:rFonts w:ascii="Times New Roman" w:hAnsi="Times New Roman" w:cs="Times New Roman"/>
                <w:sz w:val="24"/>
                <w:szCs w:val="24"/>
              </w:rPr>
              <w:t>trnL-gh</w:t>
            </w:r>
          </w:p>
        </w:tc>
        <w:tc>
          <w:tcPr>
            <w:tcW w:w="2700" w:type="dxa"/>
            <w:tcBorders>
              <w:bottom w:val="single" w:sz="4" w:space="0" w:color="auto"/>
            </w:tcBorders>
            <w:hideMark/>
          </w:tcPr>
          <w:p w14:paraId="5038B48E" w14:textId="77777777" w:rsidR="00230927" w:rsidRPr="0098681F" w:rsidRDefault="00230927" w:rsidP="0098681F">
            <w:pPr>
              <w:spacing w:line="360" w:lineRule="auto"/>
              <w:rPr>
                <w:rFonts w:ascii="Times New Roman" w:hAnsi="Times New Roman" w:cs="Times New Roman"/>
                <w:sz w:val="24"/>
                <w:szCs w:val="24"/>
              </w:rPr>
            </w:pPr>
            <w:r w:rsidRPr="0098681F">
              <w:rPr>
                <w:rFonts w:ascii="Times New Roman" w:hAnsi="Times New Roman" w:cs="Times New Roman"/>
                <w:sz w:val="24"/>
                <w:szCs w:val="24"/>
              </w:rPr>
              <w:t>GGGCAATCCTGAGCCAA</w:t>
            </w:r>
          </w:p>
        </w:tc>
        <w:tc>
          <w:tcPr>
            <w:tcW w:w="3069" w:type="dxa"/>
            <w:tcBorders>
              <w:bottom w:val="single" w:sz="4" w:space="0" w:color="auto"/>
            </w:tcBorders>
            <w:hideMark/>
          </w:tcPr>
          <w:p w14:paraId="2A739D54" w14:textId="77777777" w:rsidR="00230927" w:rsidRPr="0098681F" w:rsidRDefault="00230927" w:rsidP="0098681F">
            <w:pPr>
              <w:spacing w:line="360" w:lineRule="auto"/>
              <w:rPr>
                <w:rFonts w:ascii="Times New Roman" w:hAnsi="Times New Roman" w:cs="Times New Roman"/>
                <w:sz w:val="24"/>
                <w:szCs w:val="24"/>
              </w:rPr>
            </w:pPr>
            <w:r w:rsidRPr="0098681F">
              <w:rPr>
                <w:rFonts w:ascii="Times New Roman" w:hAnsi="Times New Roman" w:cs="Times New Roman"/>
                <w:sz w:val="24"/>
                <w:szCs w:val="24"/>
              </w:rPr>
              <w:t>CCATTGAGTCTCTGCACCTATC</w:t>
            </w:r>
          </w:p>
        </w:tc>
        <w:tc>
          <w:tcPr>
            <w:tcW w:w="1863" w:type="dxa"/>
            <w:tcBorders>
              <w:bottom w:val="single" w:sz="4" w:space="0" w:color="auto"/>
            </w:tcBorders>
            <w:hideMark/>
          </w:tcPr>
          <w:p w14:paraId="30676F04" w14:textId="77777777" w:rsidR="00230927" w:rsidRPr="0098681F" w:rsidRDefault="00230927" w:rsidP="0098681F">
            <w:pPr>
              <w:spacing w:line="360" w:lineRule="auto"/>
              <w:rPr>
                <w:rFonts w:ascii="Times New Roman" w:hAnsi="Times New Roman" w:cs="Times New Roman"/>
                <w:sz w:val="24"/>
                <w:szCs w:val="24"/>
              </w:rPr>
            </w:pPr>
            <w:r w:rsidRPr="0098681F">
              <w:rPr>
                <w:rFonts w:ascii="Times New Roman" w:hAnsi="Times New Roman" w:cs="Times New Roman"/>
                <w:sz w:val="24"/>
                <w:szCs w:val="24"/>
              </w:rPr>
              <w:t>52°C</w:t>
            </w:r>
          </w:p>
        </w:tc>
      </w:tr>
    </w:tbl>
    <w:p w14:paraId="1B9AEF6A" w14:textId="77777777" w:rsidR="00230927" w:rsidRPr="0098681F" w:rsidRDefault="00230927" w:rsidP="0098681F">
      <w:pPr>
        <w:spacing w:after="0" w:line="360" w:lineRule="auto"/>
        <w:rPr>
          <w:rFonts w:ascii="Times New Roman" w:hAnsi="Times New Roman" w:cs="Times New Roman"/>
          <w:sz w:val="24"/>
          <w:szCs w:val="24"/>
        </w:rPr>
      </w:pPr>
    </w:p>
    <w:p w14:paraId="22B584CE" w14:textId="6E03177F" w:rsidR="001A703A" w:rsidRDefault="001A703A" w:rsidP="0098681F">
      <w:pPr>
        <w:spacing w:after="0" w:line="360" w:lineRule="auto"/>
        <w:rPr>
          <w:rFonts w:ascii="Times New Roman" w:eastAsia="Times New Roman" w:hAnsi="Times New Roman" w:cs="Times New Roman"/>
          <w:sz w:val="24"/>
          <w:szCs w:val="24"/>
        </w:rPr>
      </w:pPr>
      <w:r w:rsidRPr="0098681F">
        <w:rPr>
          <w:rFonts w:ascii="Times New Roman" w:hAnsi="Times New Roman" w:cs="Times New Roman"/>
          <w:sz w:val="24"/>
          <w:szCs w:val="24"/>
        </w:rPr>
        <w:t xml:space="preserve">After amplification, we placed samples in minipools according to similar cycle threshold values and cleaned </w:t>
      </w:r>
      <w:r w:rsidR="005D5D29" w:rsidRPr="0098681F">
        <w:rPr>
          <w:rFonts w:ascii="Times New Roman" w:eastAsia="Times New Roman" w:hAnsi="Times New Roman" w:cs="Times New Roman"/>
          <w:sz w:val="24"/>
          <w:szCs w:val="24"/>
        </w:rPr>
        <w:t>with a QIAquick PCR Purification Kit (Qiagen) using the standard protocol with variations</w:t>
      </w:r>
      <w:r w:rsidRPr="0098681F">
        <w:rPr>
          <w:rFonts w:ascii="Times New Roman" w:eastAsia="Times New Roman" w:hAnsi="Times New Roman" w:cs="Times New Roman"/>
          <w:sz w:val="24"/>
          <w:szCs w:val="24"/>
        </w:rPr>
        <w:t>. We washed</w:t>
      </w:r>
      <w:r w:rsidR="005D5D29" w:rsidRPr="0098681F">
        <w:rPr>
          <w:rFonts w:ascii="Times New Roman" w:eastAsia="Times New Roman" w:hAnsi="Times New Roman" w:cs="Times New Roman"/>
          <w:sz w:val="24"/>
          <w:szCs w:val="24"/>
        </w:rPr>
        <w:t xml:space="preserve"> samples with 650μL of Qiagen buffer PE and eluted with 30μL of Qiagen buffer EB. We combined equimolar amounts of each minipool into a single library, size selected on a Pippin Prep to 160–450bp </w:t>
      </w:r>
      <w:r w:rsidRPr="0098681F">
        <w:rPr>
          <w:rFonts w:ascii="Times New Roman" w:eastAsia="Times New Roman" w:hAnsi="Times New Roman" w:cs="Times New Roman"/>
          <w:sz w:val="24"/>
          <w:szCs w:val="24"/>
        </w:rPr>
        <w:t xml:space="preserve">and </w:t>
      </w:r>
      <w:r w:rsidR="005D5D29" w:rsidRPr="0098681F">
        <w:rPr>
          <w:rFonts w:ascii="Times New Roman" w:eastAsia="Times New Roman" w:hAnsi="Times New Roman" w:cs="Times New Roman"/>
          <w:sz w:val="24"/>
          <w:szCs w:val="24"/>
        </w:rPr>
        <w:t>cleaned using the protocol described abov</w:t>
      </w:r>
      <w:r w:rsidRPr="0098681F">
        <w:rPr>
          <w:rFonts w:ascii="Times New Roman" w:eastAsia="Times New Roman" w:hAnsi="Times New Roman" w:cs="Times New Roman"/>
          <w:sz w:val="24"/>
          <w:szCs w:val="24"/>
        </w:rPr>
        <w:t>e before sequencing.</w:t>
      </w:r>
    </w:p>
    <w:p w14:paraId="13362013" w14:textId="77777777" w:rsidR="00A84A61" w:rsidRPr="0098681F" w:rsidRDefault="00A84A61" w:rsidP="0098681F">
      <w:pPr>
        <w:spacing w:after="0" w:line="360" w:lineRule="auto"/>
        <w:rPr>
          <w:rFonts w:ascii="Times New Roman" w:eastAsia="Times New Roman" w:hAnsi="Times New Roman" w:cs="Times New Roman"/>
          <w:sz w:val="24"/>
          <w:szCs w:val="24"/>
        </w:rPr>
      </w:pPr>
    </w:p>
    <w:p w14:paraId="3AEF30AC" w14:textId="78B4F510" w:rsidR="001A703A" w:rsidRPr="00A84A61" w:rsidRDefault="001A703A" w:rsidP="00A84A61">
      <w:pPr>
        <w:spacing w:after="0" w:line="360" w:lineRule="auto"/>
        <w:rPr>
          <w:rFonts w:ascii="Times New Roman" w:eastAsia="Times New Roman" w:hAnsi="Times New Roman" w:cs="Times New Roman"/>
          <w:i/>
          <w:iCs/>
          <w:sz w:val="24"/>
          <w:szCs w:val="24"/>
        </w:rPr>
      </w:pPr>
      <w:r w:rsidRPr="00A84A61">
        <w:rPr>
          <w:rFonts w:ascii="Times New Roman" w:eastAsia="Times New Roman" w:hAnsi="Times New Roman" w:cs="Times New Roman"/>
          <w:i/>
          <w:iCs/>
          <w:sz w:val="24"/>
          <w:szCs w:val="24"/>
        </w:rPr>
        <w:t xml:space="preserve">Downstream </w:t>
      </w:r>
      <w:r w:rsidR="00A84A61">
        <w:rPr>
          <w:rFonts w:ascii="Times New Roman" w:eastAsia="Times New Roman" w:hAnsi="Times New Roman" w:cs="Times New Roman"/>
          <w:i/>
          <w:iCs/>
          <w:sz w:val="24"/>
          <w:szCs w:val="24"/>
        </w:rPr>
        <w:t>a</w:t>
      </w:r>
      <w:r w:rsidRPr="00A84A61">
        <w:rPr>
          <w:rFonts w:ascii="Times New Roman" w:eastAsia="Times New Roman" w:hAnsi="Times New Roman" w:cs="Times New Roman"/>
          <w:i/>
          <w:iCs/>
          <w:sz w:val="24"/>
          <w:szCs w:val="24"/>
        </w:rPr>
        <w:t>nalysis</w:t>
      </w:r>
    </w:p>
    <w:p w14:paraId="14AAE1DA" w14:textId="6A610B18" w:rsidR="005D5D29" w:rsidRPr="0098681F" w:rsidRDefault="004F0D20" w:rsidP="0098681F">
      <w:pPr>
        <w:spacing w:after="0" w:line="360" w:lineRule="auto"/>
        <w:rPr>
          <w:rFonts w:ascii="Times New Roman" w:eastAsia="Times New Roman" w:hAnsi="Times New Roman" w:cs="Times New Roman"/>
          <w:sz w:val="24"/>
          <w:szCs w:val="24"/>
        </w:rPr>
      </w:pPr>
      <w:r w:rsidRPr="0098681F">
        <w:rPr>
          <w:rFonts w:ascii="Times New Roman" w:eastAsia="Times New Roman" w:hAnsi="Times New Roman" w:cs="Times New Roman"/>
          <w:sz w:val="24"/>
          <w:szCs w:val="24"/>
        </w:rPr>
        <w:t xml:space="preserve">After sequencing, we </w:t>
      </w:r>
      <w:r w:rsidR="005D5D29" w:rsidRPr="0098681F">
        <w:rPr>
          <w:rFonts w:ascii="Times New Roman" w:eastAsia="Times New Roman" w:hAnsi="Times New Roman" w:cs="Times New Roman"/>
          <w:sz w:val="24"/>
          <w:szCs w:val="24"/>
        </w:rPr>
        <w:t>demultiplexed reads and then trimmed adaptors and primers in Geneious v11.1.5. We then utili</w:t>
      </w:r>
      <w:r w:rsidR="00987114">
        <w:rPr>
          <w:rFonts w:ascii="Times New Roman" w:eastAsia="Times New Roman" w:hAnsi="Times New Roman" w:cs="Times New Roman"/>
          <w:sz w:val="24"/>
          <w:szCs w:val="24"/>
        </w:rPr>
        <w:t>s</w:t>
      </w:r>
      <w:r w:rsidR="005D5D29" w:rsidRPr="0098681F">
        <w:rPr>
          <w:rFonts w:ascii="Times New Roman" w:eastAsia="Times New Roman" w:hAnsi="Times New Roman" w:cs="Times New Roman"/>
          <w:sz w:val="24"/>
          <w:szCs w:val="24"/>
        </w:rPr>
        <w:t xml:space="preserve">ed the USEARCH pipeline (Murray </w:t>
      </w:r>
      <w:r w:rsidR="005D5D29" w:rsidRPr="0098681F">
        <w:rPr>
          <w:rFonts w:ascii="Times New Roman" w:eastAsia="Times New Roman" w:hAnsi="Times New Roman" w:cs="Times New Roman"/>
          <w:i/>
          <w:iCs/>
          <w:sz w:val="24"/>
          <w:szCs w:val="24"/>
        </w:rPr>
        <w:t>et al</w:t>
      </w:r>
      <w:r w:rsidR="005D5D29" w:rsidRPr="0098681F">
        <w:rPr>
          <w:rFonts w:ascii="Times New Roman" w:eastAsia="Times New Roman" w:hAnsi="Times New Roman" w:cs="Times New Roman"/>
          <w:sz w:val="24"/>
          <w:szCs w:val="24"/>
        </w:rPr>
        <w:t xml:space="preserve">. 2013) to dereplicate and remove chimeric reads and singletons, after which we grouped reads into operational taxonomic units (OTUs) using the UPARSE-OUT algorithm (Edgar 2013). Each OTU was aligned to reference DNA sequences in the NCBI nr database (accessed </w:t>
      </w:r>
      <w:r w:rsidR="00687D9F">
        <w:rPr>
          <w:rFonts w:ascii="Times New Roman" w:eastAsia="Times New Roman" w:hAnsi="Times New Roman" w:cs="Times New Roman"/>
          <w:sz w:val="24"/>
          <w:szCs w:val="24"/>
        </w:rPr>
        <w:t xml:space="preserve">30 </w:t>
      </w:r>
      <w:r w:rsidR="005D5D29" w:rsidRPr="0098681F">
        <w:rPr>
          <w:rFonts w:ascii="Times New Roman" w:eastAsia="Times New Roman" w:hAnsi="Times New Roman" w:cs="Times New Roman"/>
          <w:sz w:val="24"/>
          <w:szCs w:val="24"/>
        </w:rPr>
        <w:t>July 2018) using BLASTn v2.7.1 which assigned taxonomic identifications. We identified OTUs to at least the family level, with some OTUs identified at lower taxonomic levels, and visuali</w:t>
      </w:r>
      <w:r w:rsidR="002B2255">
        <w:rPr>
          <w:rFonts w:ascii="Times New Roman" w:eastAsia="Times New Roman" w:hAnsi="Times New Roman" w:cs="Times New Roman"/>
          <w:sz w:val="24"/>
          <w:szCs w:val="24"/>
        </w:rPr>
        <w:t>s</w:t>
      </w:r>
      <w:r w:rsidR="005D5D29" w:rsidRPr="0098681F">
        <w:rPr>
          <w:rFonts w:ascii="Times New Roman" w:eastAsia="Times New Roman" w:hAnsi="Times New Roman" w:cs="Times New Roman"/>
          <w:sz w:val="24"/>
          <w:szCs w:val="24"/>
        </w:rPr>
        <w:t>ed the results in MEtaGenome ANalyzer v6 (MEGAN) using the lowest common ancestor assignment algorithm with a minimum score of 65, minimum support of 1 and a top percentage of 5 to analy</w:t>
      </w:r>
      <w:r w:rsidR="002B2255">
        <w:rPr>
          <w:rFonts w:ascii="Times New Roman" w:eastAsia="Times New Roman" w:hAnsi="Times New Roman" w:cs="Times New Roman"/>
          <w:sz w:val="24"/>
          <w:szCs w:val="24"/>
        </w:rPr>
        <w:t>s</w:t>
      </w:r>
      <w:r w:rsidR="005D5D29" w:rsidRPr="0098681F">
        <w:rPr>
          <w:rFonts w:ascii="Times New Roman" w:eastAsia="Times New Roman" w:hAnsi="Times New Roman" w:cs="Times New Roman"/>
          <w:sz w:val="24"/>
          <w:szCs w:val="24"/>
        </w:rPr>
        <w:t xml:space="preserve">e the taxonomic content of individual coprolites </w:t>
      </w:r>
      <w:r w:rsidR="005D5D29" w:rsidRPr="0098681F">
        <w:rPr>
          <w:rFonts w:ascii="Times New Roman" w:eastAsia="Times New Roman" w:hAnsi="Times New Roman" w:cs="Times New Roman"/>
          <w:noProof/>
          <w:sz w:val="24"/>
          <w:szCs w:val="24"/>
        </w:rPr>
        <w:t xml:space="preserve">(Huson </w:t>
      </w:r>
      <w:r w:rsidR="005D5D29" w:rsidRPr="0098681F">
        <w:rPr>
          <w:rFonts w:ascii="Times New Roman" w:eastAsia="Times New Roman" w:hAnsi="Times New Roman" w:cs="Times New Roman"/>
          <w:i/>
          <w:noProof/>
          <w:sz w:val="24"/>
          <w:szCs w:val="24"/>
        </w:rPr>
        <w:t>et al.</w:t>
      </w:r>
      <w:r w:rsidR="005D5D29" w:rsidRPr="0098681F">
        <w:rPr>
          <w:rFonts w:ascii="Times New Roman" w:eastAsia="Times New Roman" w:hAnsi="Times New Roman" w:cs="Times New Roman"/>
          <w:noProof/>
          <w:sz w:val="24"/>
          <w:szCs w:val="24"/>
        </w:rPr>
        <w:t xml:space="preserve"> 2016)</w:t>
      </w:r>
      <w:r w:rsidR="005D5D29" w:rsidRPr="0098681F">
        <w:rPr>
          <w:rFonts w:ascii="Times New Roman" w:eastAsia="Times New Roman" w:hAnsi="Times New Roman" w:cs="Times New Roman"/>
          <w:sz w:val="24"/>
          <w:szCs w:val="24"/>
        </w:rPr>
        <w:t>.</w:t>
      </w:r>
    </w:p>
    <w:p w14:paraId="64960C7C" w14:textId="77777777" w:rsidR="005D5D29" w:rsidRPr="0098681F" w:rsidRDefault="005D5D29" w:rsidP="0098681F">
      <w:pPr>
        <w:spacing w:after="0" w:line="360" w:lineRule="auto"/>
        <w:rPr>
          <w:rFonts w:ascii="Times New Roman" w:hAnsi="Times New Roman" w:cs="Times New Roman"/>
          <w:sz w:val="24"/>
          <w:szCs w:val="24"/>
        </w:rPr>
      </w:pPr>
    </w:p>
    <w:p w14:paraId="1FEA47F5" w14:textId="49C7A2EC" w:rsidR="00287EEE" w:rsidRPr="00A84A61" w:rsidRDefault="00287EEE" w:rsidP="00A84A61">
      <w:pPr>
        <w:pStyle w:val="ListParagraph"/>
        <w:numPr>
          <w:ilvl w:val="0"/>
          <w:numId w:val="4"/>
        </w:numPr>
        <w:spacing w:after="0" w:line="360" w:lineRule="auto"/>
        <w:rPr>
          <w:rFonts w:ascii="Times New Roman" w:hAnsi="Times New Roman" w:cs="Times New Roman"/>
          <w:b/>
          <w:bCs/>
          <w:sz w:val="24"/>
          <w:szCs w:val="24"/>
        </w:rPr>
      </w:pPr>
      <w:r w:rsidRPr="00A84A61">
        <w:rPr>
          <w:rFonts w:ascii="Times New Roman" w:hAnsi="Times New Roman" w:cs="Times New Roman"/>
          <w:b/>
          <w:bCs/>
          <w:sz w:val="24"/>
          <w:szCs w:val="24"/>
        </w:rPr>
        <w:t xml:space="preserve">Methodological </w:t>
      </w:r>
      <w:r w:rsidR="00A84A61">
        <w:rPr>
          <w:rFonts w:ascii="Times New Roman" w:hAnsi="Times New Roman" w:cs="Times New Roman"/>
          <w:b/>
          <w:bCs/>
          <w:sz w:val="24"/>
          <w:szCs w:val="24"/>
        </w:rPr>
        <w:t>c</w:t>
      </w:r>
      <w:r w:rsidRPr="00A84A61">
        <w:rPr>
          <w:rFonts w:ascii="Times New Roman" w:hAnsi="Times New Roman" w:cs="Times New Roman"/>
          <w:b/>
          <w:bCs/>
          <w:sz w:val="24"/>
          <w:szCs w:val="24"/>
        </w:rPr>
        <w:t>onsiderations</w:t>
      </w:r>
    </w:p>
    <w:p w14:paraId="6E7F55F4" w14:textId="51D2C9F4" w:rsidR="00287EEE" w:rsidRPr="00A84A61" w:rsidRDefault="00287EEE" w:rsidP="0098681F">
      <w:pPr>
        <w:spacing w:after="0" w:line="360" w:lineRule="auto"/>
        <w:contextualSpacing/>
        <w:rPr>
          <w:rFonts w:ascii="Times New Roman" w:hAnsi="Times New Roman" w:cs="Times New Roman"/>
          <w:i/>
          <w:iCs/>
          <w:sz w:val="24"/>
          <w:szCs w:val="24"/>
        </w:rPr>
      </w:pPr>
      <w:r w:rsidRPr="00A84A61">
        <w:rPr>
          <w:rFonts w:ascii="Times New Roman" w:hAnsi="Times New Roman" w:cs="Times New Roman"/>
          <w:i/>
          <w:iCs/>
          <w:sz w:val="24"/>
          <w:szCs w:val="24"/>
        </w:rPr>
        <w:t xml:space="preserve">Sampling and </w:t>
      </w:r>
      <w:r w:rsidR="00A84A61">
        <w:rPr>
          <w:rFonts w:ascii="Times New Roman" w:hAnsi="Times New Roman" w:cs="Times New Roman"/>
          <w:i/>
          <w:iCs/>
          <w:sz w:val="24"/>
          <w:szCs w:val="24"/>
        </w:rPr>
        <w:t>q</w:t>
      </w:r>
      <w:r w:rsidRPr="00A84A61">
        <w:rPr>
          <w:rFonts w:ascii="Times New Roman" w:hAnsi="Times New Roman" w:cs="Times New Roman"/>
          <w:i/>
          <w:iCs/>
          <w:sz w:val="24"/>
          <w:szCs w:val="24"/>
        </w:rPr>
        <w:t>uantification</w:t>
      </w:r>
    </w:p>
    <w:p w14:paraId="077AB328" w14:textId="5B87FB16" w:rsidR="007B746F" w:rsidRPr="0098681F" w:rsidRDefault="007B746F" w:rsidP="0098681F">
      <w:pPr>
        <w:spacing w:after="0" w:line="360" w:lineRule="auto"/>
        <w:rPr>
          <w:rFonts w:ascii="Times New Roman" w:hAnsi="Times New Roman" w:cs="Times New Roman"/>
          <w:sz w:val="24"/>
          <w:szCs w:val="24"/>
        </w:rPr>
      </w:pPr>
      <w:r w:rsidRPr="0098681F">
        <w:rPr>
          <w:rFonts w:ascii="Times New Roman" w:hAnsi="Times New Roman" w:cs="Times New Roman"/>
          <w:sz w:val="24"/>
          <w:szCs w:val="24"/>
        </w:rPr>
        <w:t>Few studies have looked at how the human gut digests different materials (</w:t>
      </w:r>
      <w:r w:rsidR="008902FC" w:rsidRPr="0098681F">
        <w:rPr>
          <w:rFonts w:ascii="Times New Roman" w:hAnsi="Times New Roman" w:cs="Times New Roman"/>
          <w:sz w:val="24"/>
          <w:szCs w:val="24"/>
        </w:rPr>
        <w:t xml:space="preserve">Calder 1977; Jones 1986, 1990; Nicholson 1993; </w:t>
      </w:r>
      <w:r w:rsidR="00DC7F60" w:rsidRPr="0098681F">
        <w:rPr>
          <w:rFonts w:ascii="Times New Roman" w:hAnsi="Times New Roman" w:cs="Times New Roman"/>
          <w:sz w:val="24"/>
          <w:szCs w:val="24"/>
        </w:rPr>
        <w:t xml:space="preserve">Butler &amp; Schroeder 1998; Shillito </w:t>
      </w:r>
      <w:r w:rsidR="00DC7F60" w:rsidRPr="0098681F">
        <w:rPr>
          <w:rFonts w:ascii="Times New Roman" w:hAnsi="Times New Roman" w:cs="Times New Roman"/>
          <w:i/>
          <w:iCs/>
          <w:sz w:val="24"/>
          <w:szCs w:val="24"/>
        </w:rPr>
        <w:t>et al</w:t>
      </w:r>
      <w:r w:rsidR="00DC7F60" w:rsidRPr="0098681F">
        <w:rPr>
          <w:rFonts w:ascii="Times New Roman" w:hAnsi="Times New Roman" w:cs="Times New Roman"/>
          <w:sz w:val="24"/>
          <w:szCs w:val="24"/>
        </w:rPr>
        <w:t xml:space="preserve">. 2020; </w:t>
      </w:r>
      <w:r w:rsidRPr="0098681F">
        <w:rPr>
          <w:rFonts w:ascii="Times New Roman" w:hAnsi="Times New Roman" w:cs="Times New Roman"/>
          <w:sz w:val="24"/>
          <w:szCs w:val="24"/>
        </w:rPr>
        <w:t>Blong &amp; Shillito 2021). Results generally show that harder, less digestible foodstuffs such as bone, seeds and plant fibr</w:t>
      </w:r>
      <w:r w:rsidR="00DC7F60">
        <w:rPr>
          <w:rFonts w:ascii="Times New Roman" w:hAnsi="Times New Roman" w:cs="Times New Roman"/>
          <w:sz w:val="24"/>
          <w:szCs w:val="24"/>
        </w:rPr>
        <w:t>e</w:t>
      </w:r>
      <w:r w:rsidRPr="0098681F">
        <w:rPr>
          <w:rFonts w:ascii="Times New Roman" w:hAnsi="Times New Roman" w:cs="Times New Roman"/>
          <w:sz w:val="24"/>
          <w:szCs w:val="24"/>
        </w:rPr>
        <w:t xml:space="preserve"> are more likely to be present in a paleofecal assemblage than softer, more digestible </w:t>
      </w:r>
      <w:r w:rsidRPr="0098681F">
        <w:rPr>
          <w:rFonts w:ascii="Times New Roman" w:hAnsi="Times New Roman" w:cs="Times New Roman"/>
          <w:sz w:val="24"/>
          <w:szCs w:val="24"/>
        </w:rPr>
        <w:lastRenderedPageBreak/>
        <w:t xml:space="preserve">foodstuffs such as meat, fruits and legumes. Additionally, less processed, raw materials are more likely to be detected than processed or heavily chewed materials (O’Meara 2014). Materials also differ in how long they remain in the gut; macrofossils and DNA may move through the gut in a number of days while pollen may take up to a few weeks (Battillo 2019). </w:t>
      </w:r>
      <w:r w:rsidR="0093209F" w:rsidRPr="0098681F">
        <w:rPr>
          <w:rFonts w:ascii="Times New Roman" w:hAnsi="Times New Roman" w:cs="Times New Roman"/>
          <w:sz w:val="24"/>
          <w:szCs w:val="24"/>
        </w:rPr>
        <w:t>Battillo’s (2017, 2019) work on coprolites from Turkey Pen Ruin in Utah further demonstrates that DNA, macroremains and pollen in a single coprolite may represent</w:t>
      </w:r>
      <w:r w:rsidR="00290252" w:rsidRPr="0098681F">
        <w:rPr>
          <w:rFonts w:ascii="Times New Roman" w:hAnsi="Times New Roman" w:cs="Times New Roman"/>
          <w:sz w:val="24"/>
          <w:szCs w:val="24"/>
        </w:rPr>
        <w:t xml:space="preserve"> different meals</w:t>
      </w:r>
      <w:r w:rsidR="0093209F" w:rsidRPr="0098681F">
        <w:rPr>
          <w:rFonts w:ascii="Times New Roman" w:hAnsi="Times New Roman" w:cs="Times New Roman"/>
          <w:sz w:val="24"/>
          <w:szCs w:val="24"/>
        </w:rPr>
        <w:t>. Additionally, each line of evidence is better suited to the detection of different dietary elements. DNA analysis can contain more evidence for meat consumption while macro</w:t>
      </w:r>
      <w:r w:rsidR="00FE25FD">
        <w:rPr>
          <w:rFonts w:ascii="Times New Roman" w:hAnsi="Times New Roman" w:cs="Times New Roman"/>
          <w:sz w:val="24"/>
          <w:szCs w:val="24"/>
        </w:rPr>
        <w:t>-</w:t>
      </w:r>
      <w:r w:rsidR="0093209F" w:rsidRPr="0098681F">
        <w:rPr>
          <w:rFonts w:ascii="Times New Roman" w:hAnsi="Times New Roman" w:cs="Times New Roman"/>
          <w:sz w:val="24"/>
          <w:szCs w:val="24"/>
        </w:rPr>
        <w:t xml:space="preserve"> and microremains data can contain more evidence for plant consumption (Battillo 2017). </w:t>
      </w:r>
      <w:r w:rsidRPr="0098681F">
        <w:rPr>
          <w:rFonts w:ascii="Times New Roman" w:hAnsi="Times New Roman" w:cs="Times New Roman"/>
          <w:sz w:val="24"/>
          <w:szCs w:val="24"/>
        </w:rPr>
        <w:t>The frequencies of identified constituents could be more related to differential preservation and processing than to amount of use or relative importance, and one coprolite could represent multiple days of consumption. The uneven distribution of materials in coprolites (</w:t>
      </w:r>
      <w:r w:rsidR="00292EAD" w:rsidRPr="0098681F">
        <w:rPr>
          <w:rFonts w:ascii="Times New Roman" w:hAnsi="Times New Roman" w:cs="Times New Roman"/>
          <w:sz w:val="24"/>
          <w:szCs w:val="24"/>
        </w:rPr>
        <w:t>Reinhard &amp; Hevly 1991</w:t>
      </w:r>
      <w:r w:rsidR="00292EAD">
        <w:rPr>
          <w:rFonts w:ascii="Times New Roman" w:hAnsi="Times New Roman" w:cs="Times New Roman"/>
          <w:sz w:val="24"/>
          <w:szCs w:val="24"/>
        </w:rPr>
        <w:t xml:space="preserve">; </w:t>
      </w:r>
      <w:r w:rsidRPr="0098681F">
        <w:rPr>
          <w:rFonts w:ascii="Times New Roman" w:hAnsi="Times New Roman" w:cs="Times New Roman"/>
          <w:sz w:val="24"/>
          <w:szCs w:val="24"/>
        </w:rPr>
        <w:t xml:space="preserve">Beck </w:t>
      </w:r>
      <w:r w:rsidRPr="0098681F">
        <w:rPr>
          <w:rFonts w:ascii="Times New Roman" w:hAnsi="Times New Roman" w:cs="Times New Roman"/>
          <w:i/>
          <w:iCs/>
          <w:sz w:val="24"/>
          <w:szCs w:val="24"/>
        </w:rPr>
        <w:t>et al</w:t>
      </w:r>
      <w:r w:rsidRPr="0098681F">
        <w:rPr>
          <w:rFonts w:ascii="Times New Roman" w:hAnsi="Times New Roman" w:cs="Times New Roman"/>
          <w:sz w:val="24"/>
          <w:szCs w:val="24"/>
        </w:rPr>
        <w:t>. 2019) means the chosen sampling method can affect results. Current sampling recommendations for macro</w:t>
      </w:r>
      <w:r w:rsidR="004E5738">
        <w:rPr>
          <w:rFonts w:ascii="Times New Roman" w:hAnsi="Times New Roman" w:cs="Times New Roman"/>
          <w:sz w:val="24"/>
          <w:szCs w:val="24"/>
        </w:rPr>
        <w:t>-</w:t>
      </w:r>
      <w:r w:rsidRPr="0098681F">
        <w:rPr>
          <w:rFonts w:ascii="Times New Roman" w:hAnsi="Times New Roman" w:cs="Times New Roman"/>
          <w:sz w:val="24"/>
          <w:szCs w:val="24"/>
        </w:rPr>
        <w:t xml:space="preserve"> and microremains analysis are to subsample half of a given coprolite lengthwise to gain a representative sample (Beck </w:t>
      </w:r>
      <w:r w:rsidRPr="0098681F">
        <w:rPr>
          <w:rFonts w:ascii="Times New Roman" w:hAnsi="Times New Roman" w:cs="Times New Roman"/>
          <w:i/>
          <w:iCs/>
          <w:sz w:val="24"/>
          <w:szCs w:val="24"/>
        </w:rPr>
        <w:t>et al</w:t>
      </w:r>
      <w:r w:rsidRPr="0098681F">
        <w:rPr>
          <w:rFonts w:ascii="Times New Roman" w:hAnsi="Times New Roman" w:cs="Times New Roman"/>
          <w:sz w:val="24"/>
          <w:szCs w:val="24"/>
        </w:rPr>
        <w:t>. 2019), while sampling for DNA analysis often involves cutting coprolites in half and subsampling from the cent</w:t>
      </w:r>
      <w:r w:rsidR="000F5CD4">
        <w:rPr>
          <w:rFonts w:ascii="Times New Roman" w:hAnsi="Times New Roman" w:cs="Times New Roman"/>
          <w:sz w:val="24"/>
          <w:szCs w:val="24"/>
        </w:rPr>
        <w:t>re</w:t>
      </w:r>
      <w:r w:rsidRPr="0098681F">
        <w:rPr>
          <w:rFonts w:ascii="Times New Roman" w:hAnsi="Times New Roman" w:cs="Times New Roman"/>
          <w:sz w:val="24"/>
          <w:szCs w:val="24"/>
        </w:rPr>
        <w:t xml:space="preserve"> (Wood &amp; Wilmshurst 2016) or homogeni</w:t>
      </w:r>
      <w:r w:rsidR="0094481B">
        <w:rPr>
          <w:rFonts w:ascii="Times New Roman" w:hAnsi="Times New Roman" w:cs="Times New Roman"/>
          <w:sz w:val="24"/>
          <w:szCs w:val="24"/>
        </w:rPr>
        <w:t>s</w:t>
      </w:r>
      <w:r w:rsidRPr="0098681F">
        <w:rPr>
          <w:rFonts w:ascii="Times New Roman" w:hAnsi="Times New Roman" w:cs="Times New Roman"/>
          <w:sz w:val="24"/>
          <w:szCs w:val="24"/>
        </w:rPr>
        <w:t xml:space="preserve">ation of a whole or partial sample (Hagan </w:t>
      </w:r>
      <w:r w:rsidRPr="0098681F">
        <w:rPr>
          <w:rFonts w:ascii="Times New Roman" w:hAnsi="Times New Roman" w:cs="Times New Roman"/>
          <w:i/>
          <w:iCs/>
          <w:sz w:val="24"/>
          <w:szCs w:val="24"/>
        </w:rPr>
        <w:t>et al</w:t>
      </w:r>
      <w:r w:rsidRPr="0098681F">
        <w:rPr>
          <w:rFonts w:ascii="Times New Roman" w:hAnsi="Times New Roman" w:cs="Times New Roman"/>
          <w:sz w:val="24"/>
          <w:szCs w:val="24"/>
        </w:rPr>
        <w:t>. 2020). Sampling from the cent</w:t>
      </w:r>
      <w:r w:rsidR="000F5CD4">
        <w:rPr>
          <w:rFonts w:ascii="Times New Roman" w:hAnsi="Times New Roman" w:cs="Times New Roman"/>
          <w:sz w:val="24"/>
          <w:szCs w:val="24"/>
        </w:rPr>
        <w:t>re</w:t>
      </w:r>
      <w:r w:rsidRPr="0098681F">
        <w:rPr>
          <w:rFonts w:ascii="Times New Roman" w:hAnsi="Times New Roman" w:cs="Times New Roman"/>
          <w:sz w:val="24"/>
          <w:szCs w:val="24"/>
        </w:rPr>
        <w:t xml:space="preserve"> for DNA analysis allows for other analyses to be performed on the remaining material but risks not having a representative sample, while homogeni</w:t>
      </w:r>
      <w:r w:rsidR="000F5CD4">
        <w:rPr>
          <w:rFonts w:ascii="Times New Roman" w:hAnsi="Times New Roman" w:cs="Times New Roman"/>
          <w:sz w:val="24"/>
          <w:szCs w:val="24"/>
        </w:rPr>
        <w:t>s</w:t>
      </w:r>
      <w:r w:rsidRPr="0098681F">
        <w:rPr>
          <w:rFonts w:ascii="Times New Roman" w:hAnsi="Times New Roman" w:cs="Times New Roman"/>
          <w:sz w:val="24"/>
          <w:szCs w:val="24"/>
        </w:rPr>
        <w:t>ation ensures that a representative genetic sample has been collected but at the expense of opportunities to conduct other analyses. Sampling considerations extend to the number of coprolites needed for analysis. Approximately 15–20 coprolites from a particular context are needed to detect the majority of dietary components (Reinhard &amp; Bryant 1992). Although a larger number of coprolites yield more data, individual coprolites can still give novel findings (</w:t>
      </w:r>
      <w:r w:rsidR="00915C12" w:rsidRPr="0098681F">
        <w:rPr>
          <w:rFonts w:ascii="Times New Roman" w:hAnsi="Times New Roman" w:cs="Times New Roman"/>
          <w:sz w:val="24"/>
          <w:szCs w:val="24"/>
        </w:rPr>
        <w:t>Reinhard &amp; Bryant 1992; Reinhard 1988</w:t>
      </w:r>
      <w:r w:rsidR="00915C12">
        <w:rPr>
          <w:rFonts w:ascii="Times New Roman" w:hAnsi="Times New Roman" w:cs="Times New Roman"/>
          <w:sz w:val="24"/>
          <w:szCs w:val="24"/>
        </w:rPr>
        <w:t xml:space="preserve">; </w:t>
      </w:r>
      <w:r w:rsidRPr="0098681F">
        <w:rPr>
          <w:rFonts w:ascii="Times New Roman" w:hAnsi="Times New Roman" w:cs="Times New Roman"/>
          <w:sz w:val="24"/>
          <w:szCs w:val="24"/>
        </w:rPr>
        <w:t>Blong &amp; Shillito 2021). Efforts to quantify coprolite constituents include using percentage estimates, ranking items by abundance using ordinal scales (</w:t>
      </w:r>
      <w:r w:rsidR="005D1CF0" w:rsidRPr="0098681F">
        <w:rPr>
          <w:rFonts w:ascii="Times New Roman" w:hAnsi="Times New Roman" w:cs="Times New Roman"/>
          <w:sz w:val="24"/>
          <w:szCs w:val="24"/>
        </w:rPr>
        <w:t>Rhode 2003</w:t>
      </w:r>
      <w:r w:rsidR="005D1CF0">
        <w:rPr>
          <w:rFonts w:ascii="Times New Roman" w:hAnsi="Times New Roman" w:cs="Times New Roman"/>
          <w:sz w:val="24"/>
          <w:szCs w:val="24"/>
        </w:rPr>
        <w:t xml:space="preserve">; </w:t>
      </w:r>
      <w:r w:rsidRPr="0098681F">
        <w:rPr>
          <w:rFonts w:ascii="Times New Roman" w:hAnsi="Times New Roman" w:cs="Times New Roman"/>
          <w:sz w:val="24"/>
          <w:szCs w:val="24"/>
        </w:rPr>
        <w:t xml:space="preserve">Albush 2010; McDonough </w:t>
      </w:r>
      <w:r w:rsidRPr="0098681F">
        <w:rPr>
          <w:rFonts w:ascii="Times New Roman" w:hAnsi="Times New Roman" w:cs="Times New Roman"/>
          <w:i/>
          <w:iCs/>
          <w:sz w:val="24"/>
          <w:szCs w:val="24"/>
        </w:rPr>
        <w:t>et al</w:t>
      </w:r>
      <w:r w:rsidRPr="0098681F">
        <w:rPr>
          <w:rFonts w:ascii="Times New Roman" w:hAnsi="Times New Roman" w:cs="Times New Roman"/>
          <w:sz w:val="24"/>
          <w:szCs w:val="24"/>
        </w:rPr>
        <w:t>. 2022), summari</w:t>
      </w:r>
      <w:r w:rsidR="00B3625A">
        <w:rPr>
          <w:rFonts w:ascii="Times New Roman" w:hAnsi="Times New Roman" w:cs="Times New Roman"/>
          <w:sz w:val="24"/>
          <w:szCs w:val="24"/>
        </w:rPr>
        <w:t>s</w:t>
      </w:r>
      <w:r w:rsidRPr="0098681F">
        <w:rPr>
          <w:rFonts w:ascii="Times New Roman" w:hAnsi="Times New Roman" w:cs="Times New Roman"/>
          <w:sz w:val="24"/>
          <w:szCs w:val="24"/>
        </w:rPr>
        <w:t>ing quantity according to weight and doing visual abundance rankings. However, each method favo</w:t>
      </w:r>
      <w:r w:rsidR="00FB483C">
        <w:rPr>
          <w:rFonts w:ascii="Times New Roman" w:hAnsi="Times New Roman" w:cs="Times New Roman"/>
          <w:sz w:val="24"/>
          <w:szCs w:val="24"/>
        </w:rPr>
        <w:t>u</w:t>
      </w:r>
      <w:r w:rsidRPr="0098681F">
        <w:rPr>
          <w:rFonts w:ascii="Times New Roman" w:hAnsi="Times New Roman" w:cs="Times New Roman"/>
          <w:sz w:val="24"/>
          <w:szCs w:val="24"/>
        </w:rPr>
        <w:t>rs different items, be they heavier, bulkier or more numerous (</w:t>
      </w:r>
      <w:r w:rsidR="00B3625A" w:rsidRPr="0098681F">
        <w:rPr>
          <w:rFonts w:ascii="Times New Roman" w:hAnsi="Times New Roman" w:cs="Times New Roman"/>
          <w:sz w:val="24"/>
          <w:szCs w:val="24"/>
        </w:rPr>
        <w:t>Bryant &amp; Dean 2006</w:t>
      </w:r>
      <w:r w:rsidR="00B3625A">
        <w:rPr>
          <w:rFonts w:ascii="Times New Roman" w:hAnsi="Times New Roman" w:cs="Times New Roman"/>
          <w:sz w:val="24"/>
          <w:szCs w:val="24"/>
        </w:rPr>
        <w:t xml:space="preserve">; </w:t>
      </w:r>
      <w:r w:rsidRPr="0098681F">
        <w:rPr>
          <w:rFonts w:ascii="Times New Roman" w:hAnsi="Times New Roman" w:cs="Times New Roman"/>
          <w:sz w:val="24"/>
          <w:szCs w:val="24"/>
        </w:rPr>
        <w:t>Blong &amp; Shillito 2021).</w:t>
      </w:r>
    </w:p>
    <w:p w14:paraId="0937B9AF" w14:textId="4C71BF0C" w:rsidR="007B746F" w:rsidRPr="0098681F" w:rsidRDefault="007B746F" w:rsidP="0098681F">
      <w:pPr>
        <w:spacing w:after="0" w:line="360" w:lineRule="auto"/>
        <w:rPr>
          <w:rFonts w:ascii="Times New Roman" w:hAnsi="Times New Roman" w:cs="Times New Roman"/>
          <w:sz w:val="24"/>
          <w:szCs w:val="24"/>
        </w:rPr>
      </w:pPr>
      <w:r w:rsidRPr="0098681F">
        <w:rPr>
          <w:rFonts w:ascii="Times New Roman" w:hAnsi="Times New Roman" w:cs="Times New Roman"/>
          <w:sz w:val="24"/>
          <w:szCs w:val="24"/>
        </w:rPr>
        <w:t>The sampling method for genetic analysis used in this paper was cent</w:t>
      </w:r>
      <w:r w:rsidR="00794320">
        <w:rPr>
          <w:rFonts w:ascii="Times New Roman" w:hAnsi="Times New Roman" w:cs="Times New Roman"/>
          <w:sz w:val="24"/>
          <w:szCs w:val="24"/>
        </w:rPr>
        <w:t>re</w:t>
      </w:r>
      <w:r w:rsidRPr="0098681F">
        <w:rPr>
          <w:rFonts w:ascii="Times New Roman" w:hAnsi="Times New Roman" w:cs="Times New Roman"/>
          <w:sz w:val="24"/>
          <w:szCs w:val="24"/>
        </w:rPr>
        <w:t xml:space="preserve"> sampling. Care was taken to remove material from both halves and as far into each half as possible to sample from a </w:t>
      </w:r>
      <w:r w:rsidRPr="0098681F">
        <w:rPr>
          <w:rFonts w:ascii="Times New Roman" w:hAnsi="Times New Roman" w:cs="Times New Roman"/>
          <w:sz w:val="24"/>
          <w:szCs w:val="24"/>
        </w:rPr>
        <w:lastRenderedPageBreak/>
        <w:t>larger portion of each coprolite. While the genetic data only represent part of each coprolite, sampling from the cent</w:t>
      </w:r>
      <w:r w:rsidR="00EC1D35">
        <w:rPr>
          <w:rFonts w:ascii="Times New Roman" w:hAnsi="Times New Roman" w:cs="Times New Roman"/>
          <w:sz w:val="24"/>
          <w:szCs w:val="24"/>
        </w:rPr>
        <w:t>re</w:t>
      </w:r>
      <w:r w:rsidRPr="0098681F">
        <w:rPr>
          <w:rFonts w:ascii="Times New Roman" w:hAnsi="Times New Roman" w:cs="Times New Roman"/>
          <w:sz w:val="24"/>
          <w:szCs w:val="24"/>
        </w:rPr>
        <w:t xml:space="preserve"> resulted in the minimal amount of destruction needed for DNA analysis and allowed for macroremains analysis to be performed on one half while saving the other for curation. The main consideration when choosing quantification methods was to ensure comparability between data. Unidentified material may be present in both the genetic data and in the macroremains. The genetic data may contain DNA sequences that have no hits, meaning the DNA sequences are not significantly similar to any DNA sequences in a comparative database, or may contain DNA sequences that are unassigned, meaning the DNA sequences have similarity to sequences in a comparative database but cannot be definitively identified as a given taxa. Unidentified material in macroremains are generally materials with little to no distinct morphology or materials that are common to multiple taxa such as undifferentiated plant fib</w:t>
      </w:r>
      <w:r w:rsidR="000C0726">
        <w:rPr>
          <w:rFonts w:ascii="Times New Roman" w:hAnsi="Times New Roman" w:cs="Times New Roman"/>
          <w:sz w:val="24"/>
          <w:szCs w:val="24"/>
        </w:rPr>
        <w:t>re</w:t>
      </w:r>
      <w:r w:rsidRPr="0098681F">
        <w:rPr>
          <w:rFonts w:ascii="Times New Roman" w:hAnsi="Times New Roman" w:cs="Times New Roman"/>
          <w:sz w:val="24"/>
          <w:szCs w:val="24"/>
        </w:rPr>
        <w:t>s.</w:t>
      </w:r>
    </w:p>
    <w:p w14:paraId="507960ED" w14:textId="4E067C15" w:rsidR="00287EEE" w:rsidRPr="0098681F" w:rsidRDefault="007B746F" w:rsidP="0098681F">
      <w:pPr>
        <w:spacing w:after="0" w:line="360" w:lineRule="auto"/>
        <w:rPr>
          <w:rFonts w:ascii="Times New Roman" w:hAnsi="Times New Roman" w:cs="Times New Roman"/>
          <w:sz w:val="24"/>
          <w:szCs w:val="24"/>
        </w:rPr>
      </w:pPr>
      <w:r w:rsidRPr="0098681F">
        <w:rPr>
          <w:rFonts w:ascii="Times New Roman" w:hAnsi="Times New Roman" w:cs="Times New Roman"/>
          <w:sz w:val="24"/>
          <w:szCs w:val="24"/>
        </w:rPr>
        <w:t>DNA metabarcoding and macroremains data were considered using presence or absence on a per coprolite and per component basis. A taxon was considered present in a coprolite if it contained DNA sequences or macroremains representing said taxon. A taxon was considered present in a component if at least one coprolite from that component contained traces of the taxon. The chosen quantification method for macroremains analysis was abundance ranking on an ordinal scale and percent composition for the genetic data, as both the genetic and macroremains data can be analy</w:t>
      </w:r>
      <w:r w:rsidR="008016B8">
        <w:rPr>
          <w:rFonts w:ascii="Times New Roman" w:hAnsi="Times New Roman" w:cs="Times New Roman"/>
          <w:sz w:val="24"/>
          <w:szCs w:val="24"/>
        </w:rPr>
        <w:t>s</w:t>
      </w:r>
      <w:r w:rsidRPr="0098681F">
        <w:rPr>
          <w:rFonts w:ascii="Times New Roman" w:hAnsi="Times New Roman" w:cs="Times New Roman"/>
          <w:sz w:val="24"/>
          <w:szCs w:val="24"/>
        </w:rPr>
        <w:t>ed based on counts; abundances and compositions were determined using the counts of seeds and other identifiable materials for the macroremains data and the number of DNA sequences attributed to each taxonomic group in the genetic data.</w:t>
      </w:r>
    </w:p>
    <w:p w14:paraId="3F223A77" w14:textId="77777777" w:rsidR="007B746F" w:rsidRPr="0098681F" w:rsidRDefault="007B746F" w:rsidP="0098681F">
      <w:pPr>
        <w:spacing w:after="0" w:line="360" w:lineRule="auto"/>
        <w:rPr>
          <w:rFonts w:ascii="Times New Roman" w:hAnsi="Times New Roman" w:cs="Times New Roman"/>
          <w:sz w:val="24"/>
          <w:szCs w:val="24"/>
        </w:rPr>
      </w:pPr>
    </w:p>
    <w:p w14:paraId="164C7FE3" w14:textId="249FF348" w:rsidR="00287EEE" w:rsidRPr="009A6EF2" w:rsidRDefault="00287EEE" w:rsidP="0098681F">
      <w:pPr>
        <w:spacing w:after="0" w:line="360" w:lineRule="auto"/>
        <w:contextualSpacing/>
        <w:rPr>
          <w:rFonts w:ascii="Times New Roman" w:hAnsi="Times New Roman" w:cs="Times New Roman"/>
          <w:i/>
          <w:iCs/>
          <w:sz w:val="24"/>
          <w:szCs w:val="24"/>
        </w:rPr>
      </w:pPr>
      <w:r w:rsidRPr="009A6EF2">
        <w:rPr>
          <w:rFonts w:ascii="Times New Roman" w:hAnsi="Times New Roman" w:cs="Times New Roman"/>
          <w:i/>
          <w:iCs/>
          <w:sz w:val="24"/>
          <w:szCs w:val="24"/>
        </w:rPr>
        <w:t xml:space="preserve">Defecator </w:t>
      </w:r>
      <w:r w:rsidR="009A6EF2">
        <w:rPr>
          <w:rFonts w:ascii="Times New Roman" w:hAnsi="Times New Roman" w:cs="Times New Roman"/>
          <w:i/>
          <w:iCs/>
          <w:sz w:val="24"/>
          <w:szCs w:val="24"/>
        </w:rPr>
        <w:t>i</w:t>
      </w:r>
      <w:r w:rsidRPr="009A6EF2">
        <w:rPr>
          <w:rFonts w:ascii="Times New Roman" w:hAnsi="Times New Roman" w:cs="Times New Roman"/>
          <w:i/>
          <w:iCs/>
          <w:sz w:val="24"/>
          <w:szCs w:val="24"/>
        </w:rPr>
        <w:t xml:space="preserve">dentification: </w:t>
      </w:r>
      <w:r w:rsidR="009A6EF2">
        <w:rPr>
          <w:rFonts w:ascii="Times New Roman" w:hAnsi="Times New Roman" w:cs="Times New Roman"/>
          <w:i/>
          <w:iCs/>
          <w:sz w:val="24"/>
          <w:szCs w:val="24"/>
        </w:rPr>
        <w:t>m</w:t>
      </w:r>
      <w:r w:rsidRPr="009A6EF2">
        <w:rPr>
          <w:rFonts w:ascii="Times New Roman" w:hAnsi="Times New Roman" w:cs="Times New Roman"/>
          <w:i/>
          <w:iCs/>
          <w:sz w:val="24"/>
          <w:szCs w:val="24"/>
        </w:rPr>
        <w:t xml:space="preserve">acroremains </w:t>
      </w:r>
    </w:p>
    <w:p w14:paraId="27797D79" w14:textId="7A1018FD" w:rsidR="00287EEE" w:rsidRPr="0098681F" w:rsidRDefault="007B746F" w:rsidP="0098681F">
      <w:pPr>
        <w:spacing w:after="0" w:line="360" w:lineRule="auto"/>
        <w:rPr>
          <w:rFonts w:ascii="Times New Roman" w:hAnsi="Times New Roman" w:cs="Times New Roman"/>
          <w:sz w:val="24"/>
          <w:szCs w:val="24"/>
        </w:rPr>
      </w:pPr>
      <w:r w:rsidRPr="0098681F">
        <w:rPr>
          <w:rFonts w:ascii="Times New Roman" w:hAnsi="Times New Roman" w:cs="Times New Roman"/>
          <w:sz w:val="24"/>
          <w:szCs w:val="24"/>
        </w:rPr>
        <w:t>Another major consideration in coprolite research is defecator identification. Coprolites may be initially identified as human based on their size, shape, colo</w:t>
      </w:r>
      <w:r w:rsidR="00FB483C">
        <w:rPr>
          <w:rFonts w:ascii="Times New Roman" w:hAnsi="Times New Roman" w:cs="Times New Roman"/>
          <w:sz w:val="24"/>
          <w:szCs w:val="24"/>
        </w:rPr>
        <w:t>u</w:t>
      </w:r>
      <w:r w:rsidRPr="0098681F">
        <w:rPr>
          <w:rFonts w:ascii="Times New Roman" w:hAnsi="Times New Roman" w:cs="Times New Roman"/>
          <w:sz w:val="24"/>
          <w:szCs w:val="24"/>
        </w:rPr>
        <w:t xml:space="preserve">r, inclusions and provenience (Fry 1970; </w:t>
      </w:r>
      <w:r w:rsidR="001114E8" w:rsidRPr="0098681F">
        <w:rPr>
          <w:rFonts w:ascii="Times New Roman" w:hAnsi="Times New Roman" w:cs="Times New Roman"/>
          <w:sz w:val="24"/>
          <w:szCs w:val="24"/>
        </w:rPr>
        <w:t xml:space="preserve">Reinhard &amp; Bryant 1992; </w:t>
      </w:r>
      <w:r w:rsidRPr="0098681F">
        <w:rPr>
          <w:rFonts w:ascii="Times New Roman" w:hAnsi="Times New Roman" w:cs="Times New Roman"/>
          <w:sz w:val="24"/>
          <w:szCs w:val="24"/>
        </w:rPr>
        <w:t xml:space="preserve">Gilbert et al. 2008; Shillito </w:t>
      </w:r>
      <w:r w:rsidRPr="0098681F">
        <w:rPr>
          <w:rFonts w:ascii="Times New Roman" w:hAnsi="Times New Roman" w:cs="Times New Roman"/>
          <w:i/>
          <w:iCs/>
          <w:sz w:val="24"/>
          <w:szCs w:val="24"/>
        </w:rPr>
        <w:t>et al</w:t>
      </w:r>
      <w:r w:rsidRPr="0098681F">
        <w:rPr>
          <w:rFonts w:ascii="Times New Roman" w:hAnsi="Times New Roman" w:cs="Times New Roman"/>
          <w:sz w:val="24"/>
          <w:szCs w:val="24"/>
        </w:rPr>
        <w:t xml:space="preserve">. 2020). Human coprolites are identified as those that turn a trisodium phosphate solution dark brown or black, are opaque and have a strong fecal smell (Figure </w:t>
      </w:r>
      <w:r w:rsidR="00270936" w:rsidRPr="0098681F">
        <w:rPr>
          <w:rFonts w:ascii="Times New Roman" w:hAnsi="Times New Roman" w:cs="Times New Roman"/>
          <w:sz w:val="24"/>
          <w:szCs w:val="24"/>
        </w:rPr>
        <w:t>S2</w:t>
      </w:r>
      <w:r w:rsidRPr="0098681F">
        <w:rPr>
          <w:rFonts w:ascii="Times New Roman" w:hAnsi="Times New Roman" w:cs="Times New Roman"/>
          <w:sz w:val="24"/>
          <w:szCs w:val="24"/>
        </w:rPr>
        <w:t xml:space="preserve">). Carnivore and herbivore feces turn the liquid a translucent pale yellow or brown, and herbivore feces have a musty smell (Fry 1976; Shillito </w:t>
      </w:r>
      <w:r w:rsidRPr="0098681F">
        <w:rPr>
          <w:rFonts w:ascii="Times New Roman" w:hAnsi="Times New Roman" w:cs="Times New Roman"/>
          <w:i/>
          <w:iCs/>
          <w:sz w:val="24"/>
          <w:szCs w:val="24"/>
        </w:rPr>
        <w:t>et al</w:t>
      </w:r>
      <w:r w:rsidRPr="0098681F">
        <w:rPr>
          <w:rFonts w:ascii="Times New Roman" w:hAnsi="Times New Roman" w:cs="Times New Roman"/>
          <w:sz w:val="24"/>
          <w:szCs w:val="24"/>
        </w:rPr>
        <w:t xml:space="preserve">. 2020). However, as there are exceptions to the above trends, coprolite contents are also used to identify fecal sources. Human coprolites are expected to represent a wider dietary breadth than those of other organisms, but the diets of foraging groups could greatly vary across days (Reinhard &amp; </w:t>
      </w:r>
      <w:r w:rsidRPr="0098681F">
        <w:rPr>
          <w:rFonts w:ascii="Times New Roman" w:hAnsi="Times New Roman" w:cs="Times New Roman"/>
          <w:sz w:val="24"/>
          <w:szCs w:val="24"/>
        </w:rPr>
        <w:lastRenderedPageBreak/>
        <w:t>Bryant 1992). Coprolites that contain either a variety of known dietary elements or large amounts of fewer dietary elements could be considered human, but the presence of high amounts of large, undigestible faunal elements such as bone and hair could be indicative of a carnivore (Albush 2010</w:t>
      </w:r>
      <w:r w:rsidR="00BE0DEA" w:rsidRPr="0098681F">
        <w:rPr>
          <w:rFonts w:ascii="Times New Roman" w:hAnsi="Times New Roman" w:cs="Times New Roman"/>
          <w:sz w:val="24"/>
          <w:szCs w:val="24"/>
        </w:rPr>
        <w:t xml:space="preserve">; Wood </w:t>
      </w:r>
      <w:r w:rsidR="00BE0DEA" w:rsidRPr="0098681F">
        <w:rPr>
          <w:rFonts w:ascii="Times New Roman" w:hAnsi="Times New Roman" w:cs="Times New Roman"/>
          <w:i/>
          <w:iCs/>
          <w:sz w:val="24"/>
          <w:szCs w:val="24"/>
        </w:rPr>
        <w:t>et al</w:t>
      </w:r>
      <w:r w:rsidR="00BE0DEA" w:rsidRPr="0098681F">
        <w:rPr>
          <w:rFonts w:ascii="Times New Roman" w:hAnsi="Times New Roman" w:cs="Times New Roman"/>
          <w:sz w:val="24"/>
          <w:szCs w:val="24"/>
        </w:rPr>
        <w:t>. 2016</w:t>
      </w:r>
      <w:r w:rsidRPr="0098681F">
        <w:rPr>
          <w:rFonts w:ascii="Times New Roman" w:hAnsi="Times New Roman" w:cs="Times New Roman"/>
          <w:sz w:val="24"/>
          <w:szCs w:val="24"/>
        </w:rPr>
        <w:t xml:space="preserve">; Witt </w:t>
      </w:r>
      <w:r w:rsidRPr="0098681F">
        <w:rPr>
          <w:rFonts w:ascii="Times New Roman" w:hAnsi="Times New Roman" w:cs="Times New Roman"/>
          <w:i/>
          <w:iCs/>
          <w:sz w:val="24"/>
          <w:szCs w:val="24"/>
        </w:rPr>
        <w:t>et al</w:t>
      </w:r>
      <w:r w:rsidRPr="0098681F">
        <w:rPr>
          <w:rFonts w:ascii="Times New Roman" w:hAnsi="Times New Roman" w:cs="Times New Roman"/>
          <w:sz w:val="24"/>
          <w:szCs w:val="24"/>
        </w:rPr>
        <w:t>. 2021). If a coprolite contains bone, the size of bone fragments could indicate whether the depositor is human. In studies of Great Basin human paleofeces, many of the recovered bone fragments were under 5mm in length with few examples of larger sizes. Carnivore scat often contains larger bone fragments, and bone fragments in both human and carnivore feces are often stained and pitted (Schmitt &amp; Juell 1994). Coprolites with predominantly smaller (&lt;5mm) bone fragments are more likely human than those with larger (&gt;5mm) bone fragments. The presence of human-associated parasites in paleofeces could also indicate a human source.</w:t>
      </w:r>
    </w:p>
    <w:p w14:paraId="2A34BEB0" w14:textId="77777777" w:rsidR="007B746F" w:rsidRPr="0098681F" w:rsidRDefault="007B746F" w:rsidP="0098681F">
      <w:pPr>
        <w:spacing w:after="0" w:line="360" w:lineRule="auto"/>
        <w:rPr>
          <w:rFonts w:ascii="Times New Roman" w:hAnsi="Times New Roman" w:cs="Times New Roman"/>
          <w:sz w:val="24"/>
          <w:szCs w:val="24"/>
        </w:rPr>
      </w:pPr>
    </w:p>
    <w:p w14:paraId="7ACF5FEC" w14:textId="77777777" w:rsidR="00287EEE" w:rsidRPr="0098681F" w:rsidRDefault="00287EEE" w:rsidP="0098681F">
      <w:pPr>
        <w:spacing w:after="0" w:line="360" w:lineRule="auto"/>
        <w:rPr>
          <w:rFonts w:ascii="Times New Roman" w:hAnsi="Times New Roman" w:cs="Times New Roman"/>
          <w:sz w:val="24"/>
          <w:szCs w:val="24"/>
        </w:rPr>
      </w:pPr>
      <w:r w:rsidRPr="0098681F">
        <w:rPr>
          <w:rFonts w:ascii="Times New Roman" w:hAnsi="Times New Roman" w:cs="Times New Roman"/>
          <w:b/>
          <w:bCs/>
          <w:noProof/>
          <w:sz w:val="24"/>
          <w:szCs w:val="24"/>
        </w:rPr>
        <w:drawing>
          <wp:inline distT="0" distB="0" distL="0" distR="0" wp14:anchorId="786ED296" wp14:editId="4E91B51C">
            <wp:extent cx="5943600" cy="1357630"/>
            <wp:effectExtent l="0" t="0" r="0" b="0"/>
            <wp:docPr id="11" name="Picture 1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 rectang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1357630"/>
                    </a:xfrm>
                    <a:prstGeom prst="rect">
                      <a:avLst/>
                    </a:prstGeom>
                  </pic:spPr>
                </pic:pic>
              </a:graphicData>
            </a:graphic>
          </wp:inline>
        </w:drawing>
      </w:r>
    </w:p>
    <w:p w14:paraId="009FE031" w14:textId="236C103A" w:rsidR="00287EEE" w:rsidRPr="009A6EF2" w:rsidRDefault="00287EEE" w:rsidP="0098681F">
      <w:pPr>
        <w:spacing w:after="0" w:line="360" w:lineRule="auto"/>
        <w:rPr>
          <w:rFonts w:ascii="Times New Roman" w:hAnsi="Times New Roman" w:cs="Times New Roman"/>
          <w:i/>
          <w:iCs/>
          <w:sz w:val="24"/>
          <w:szCs w:val="24"/>
        </w:rPr>
      </w:pPr>
      <w:r w:rsidRPr="009A6EF2">
        <w:rPr>
          <w:rFonts w:ascii="Times New Roman" w:hAnsi="Times New Roman" w:cs="Times New Roman"/>
          <w:i/>
          <w:iCs/>
          <w:sz w:val="24"/>
          <w:szCs w:val="24"/>
        </w:rPr>
        <w:t>Figure S</w:t>
      </w:r>
      <w:r w:rsidR="006C0469" w:rsidRPr="009A6EF2">
        <w:rPr>
          <w:rFonts w:ascii="Times New Roman" w:hAnsi="Times New Roman" w:cs="Times New Roman"/>
          <w:i/>
          <w:iCs/>
          <w:sz w:val="24"/>
          <w:szCs w:val="24"/>
        </w:rPr>
        <w:t>2</w:t>
      </w:r>
      <w:r w:rsidRPr="009A6EF2">
        <w:rPr>
          <w:rFonts w:ascii="Times New Roman" w:hAnsi="Times New Roman" w:cs="Times New Roman"/>
          <w:i/>
          <w:iCs/>
          <w:sz w:val="24"/>
          <w:szCs w:val="24"/>
        </w:rPr>
        <w:t>. Defecator identification using traditional methods.</w:t>
      </w:r>
    </w:p>
    <w:p w14:paraId="10686A3B" w14:textId="77777777" w:rsidR="00287EEE" w:rsidRPr="0098681F" w:rsidRDefault="00287EEE" w:rsidP="0098681F">
      <w:pPr>
        <w:spacing w:after="0" w:line="360" w:lineRule="auto"/>
        <w:rPr>
          <w:rFonts w:ascii="Times New Roman" w:hAnsi="Times New Roman" w:cs="Times New Roman"/>
          <w:sz w:val="24"/>
          <w:szCs w:val="24"/>
        </w:rPr>
      </w:pPr>
    </w:p>
    <w:p w14:paraId="4F18A54C" w14:textId="05BF8445" w:rsidR="00287EEE" w:rsidRPr="0098681F" w:rsidRDefault="007B746F" w:rsidP="0098681F">
      <w:pPr>
        <w:spacing w:after="0" w:line="360" w:lineRule="auto"/>
        <w:rPr>
          <w:rFonts w:ascii="Times New Roman" w:hAnsi="Times New Roman" w:cs="Times New Roman"/>
          <w:sz w:val="24"/>
          <w:szCs w:val="24"/>
        </w:rPr>
      </w:pPr>
      <w:r w:rsidRPr="0098681F">
        <w:rPr>
          <w:rFonts w:ascii="Times New Roman" w:hAnsi="Times New Roman" w:cs="Times New Roman"/>
          <w:sz w:val="24"/>
          <w:szCs w:val="24"/>
        </w:rPr>
        <w:t>We considered five factors when identifying likely human coprolites during macroremains analysis: colo</w:t>
      </w:r>
      <w:r w:rsidR="00FB483C">
        <w:rPr>
          <w:rFonts w:ascii="Times New Roman" w:hAnsi="Times New Roman" w:cs="Times New Roman"/>
          <w:sz w:val="24"/>
          <w:szCs w:val="24"/>
        </w:rPr>
        <w:t>u</w:t>
      </w:r>
      <w:r w:rsidRPr="0098681F">
        <w:rPr>
          <w:rFonts w:ascii="Times New Roman" w:hAnsi="Times New Roman" w:cs="Times New Roman"/>
          <w:sz w:val="24"/>
          <w:szCs w:val="24"/>
        </w:rPr>
        <w:t>r, smell and translucence of the rehydrating liquid, bone fragment size and presence of dietary taxa as described in publications on Bonneville Estates Rockshelter. Of the five factors, smell was identified as unreliable. None of the coprolites had the strong fecal smell expected of human coprolites, but the highly subjective nature of smell suggests other researchers may have different results. Colo</w:t>
      </w:r>
      <w:r w:rsidR="00FB483C">
        <w:rPr>
          <w:rFonts w:ascii="Times New Roman" w:hAnsi="Times New Roman" w:cs="Times New Roman"/>
          <w:sz w:val="24"/>
          <w:szCs w:val="24"/>
        </w:rPr>
        <w:t>u</w:t>
      </w:r>
      <w:r w:rsidRPr="0098681F">
        <w:rPr>
          <w:rFonts w:ascii="Times New Roman" w:hAnsi="Times New Roman" w:cs="Times New Roman"/>
          <w:sz w:val="24"/>
          <w:szCs w:val="24"/>
        </w:rPr>
        <w:t>r and translucence appear to be more reliable methods; of the ten coprolites, eight (coprolites 4, 6</w:t>
      </w:r>
      <w:r w:rsidR="000059E1">
        <w:rPr>
          <w:rFonts w:ascii="Times New Roman" w:hAnsi="Times New Roman" w:cs="Times New Roman"/>
          <w:sz w:val="24"/>
          <w:szCs w:val="24"/>
        </w:rPr>
        <w:t>–</w:t>
      </w:r>
      <w:r w:rsidRPr="0098681F">
        <w:rPr>
          <w:rFonts w:ascii="Times New Roman" w:hAnsi="Times New Roman" w:cs="Times New Roman"/>
          <w:sz w:val="24"/>
          <w:szCs w:val="24"/>
        </w:rPr>
        <w:t>7, 9</w:t>
      </w:r>
      <w:r w:rsidR="000059E1">
        <w:rPr>
          <w:rFonts w:ascii="Times New Roman" w:hAnsi="Times New Roman" w:cs="Times New Roman"/>
          <w:sz w:val="24"/>
          <w:szCs w:val="24"/>
        </w:rPr>
        <w:t>–</w:t>
      </w:r>
      <w:r w:rsidRPr="0098681F">
        <w:rPr>
          <w:rFonts w:ascii="Times New Roman" w:hAnsi="Times New Roman" w:cs="Times New Roman"/>
          <w:sz w:val="24"/>
          <w:szCs w:val="24"/>
        </w:rPr>
        <w:t>12) turned the rehydrating liquid dark brown and opaque indicating a human source, while the other two (coprolites 5, 8) turned the liquid a lighter, translucent colo</w:t>
      </w:r>
      <w:r w:rsidR="00FB483C">
        <w:rPr>
          <w:rFonts w:ascii="Times New Roman" w:hAnsi="Times New Roman" w:cs="Times New Roman"/>
          <w:sz w:val="24"/>
          <w:szCs w:val="24"/>
        </w:rPr>
        <w:t>u</w:t>
      </w:r>
      <w:r w:rsidRPr="0098681F">
        <w:rPr>
          <w:rFonts w:ascii="Times New Roman" w:hAnsi="Times New Roman" w:cs="Times New Roman"/>
          <w:sz w:val="24"/>
          <w:szCs w:val="24"/>
        </w:rPr>
        <w:t>r. Of the eight coprolites identified as more likely human based on the rehydration process, five (coprolites 4, 6, 11</w:t>
      </w:r>
      <w:r w:rsidR="000059E1">
        <w:rPr>
          <w:rFonts w:ascii="Times New Roman" w:hAnsi="Times New Roman" w:cs="Times New Roman"/>
          <w:sz w:val="24"/>
          <w:szCs w:val="24"/>
        </w:rPr>
        <w:t>–</w:t>
      </w:r>
      <w:r w:rsidRPr="0098681F">
        <w:rPr>
          <w:rFonts w:ascii="Times New Roman" w:hAnsi="Times New Roman" w:cs="Times New Roman"/>
          <w:sz w:val="24"/>
          <w:szCs w:val="24"/>
        </w:rPr>
        <w:t>13) contained bone fragments small enough to be clearly placed in the human category, while the other three (coprolites 7, 9</w:t>
      </w:r>
      <w:r w:rsidR="000059E1">
        <w:rPr>
          <w:rFonts w:ascii="Times New Roman" w:hAnsi="Times New Roman" w:cs="Times New Roman"/>
          <w:sz w:val="24"/>
          <w:szCs w:val="24"/>
        </w:rPr>
        <w:t>–</w:t>
      </w:r>
      <w:r w:rsidRPr="0098681F">
        <w:rPr>
          <w:rFonts w:ascii="Times New Roman" w:hAnsi="Times New Roman" w:cs="Times New Roman"/>
          <w:sz w:val="24"/>
          <w:szCs w:val="24"/>
        </w:rPr>
        <w:t xml:space="preserve">10) contained a slightly higher range of fragment sizes but could still indicate a human source. All eight of the </w:t>
      </w:r>
      <w:r w:rsidRPr="0098681F">
        <w:rPr>
          <w:rFonts w:ascii="Times New Roman" w:hAnsi="Times New Roman" w:cs="Times New Roman"/>
          <w:sz w:val="24"/>
          <w:szCs w:val="24"/>
        </w:rPr>
        <w:lastRenderedPageBreak/>
        <w:t>coprolites with darker rehydration liquids additionally contained known dietary taxa, so each was labelled as a human coprolite based on the above factors. Of the two coprolites with lighter rehydration liquids, one (coprolite 5) contained known dietary elements and a range of bone fragment sizes that could be present in a human coprolite. However, the large number of bone fragments along with other undigestible materials suggests a canine source. The other coprolite (coprolite 8) contained no bone fragments or identifiable dietary material and was labelled as having an unknown source. Overall, the macroremains data suggest eight of the coprolites are human (coprolites 4, 6</w:t>
      </w:r>
      <w:r w:rsidR="000E54AA">
        <w:rPr>
          <w:rFonts w:ascii="Times New Roman" w:hAnsi="Times New Roman" w:cs="Times New Roman"/>
          <w:sz w:val="24"/>
          <w:szCs w:val="24"/>
        </w:rPr>
        <w:t>–</w:t>
      </w:r>
      <w:r w:rsidRPr="0098681F">
        <w:rPr>
          <w:rFonts w:ascii="Times New Roman" w:hAnsi="Times New Roman" w:cs="Times New Roman"/>
          <w:sz w:val="24"/>
          <w:szCs w:val="24"/>
        </w:rPr>
        <w:t>7, 9</w:t>
      </w:r>
      <w:r w:rsidR="000E54AA">
        <w:rPr>
          <w:rFonts w:ascii="Times New Roman" w:hAnsi="Times New Roman" w:cs="Times New Roman"/>
          <w:sz w:val="24"/>
          <w:szCs w:val="24"/>
        </w:rPr>
        <w:t>–</w:t>
      </w:r>
      <w:r w:rsidRPr="0098681F">
        <w:rPr>
          <w:rFonts w:ascii="Times New Roman" w:hAnsi="Times New Roman" w:cs="Times New Roman"/>
          <w:sz w:val="24"/>
          <w:szCs w:val="24"/>
        </w:rPr>
        <w:t>13), one is canine (coprolite 5), and one has an unknown source (coprolite 8).</w:t>
      </w:r>
    </w:p>
    <w:p w14:paraId="10DD83E2" w14:textId="77777777" w:rsidR="007B746F" w:rsidRPr="0098681F" w:rsidRDefault="007B746F" w:rsidP="0098681F">
      <w:pPr>
        <w:spacing w:after="0" w:line="360" w:lineRule="auto"/>
        <w:rPr>
          <w:rFonts w:ascii="Times New Roman" w:hAnsi="Times New Roman" w:cs="Times New Roman"/>
          <w:sz w:val="24"/>
          <w:szCs w:val="24"/>
        </w:rPr>
      </w:pPr>
    </w:p>
    <w:p w14:paraId="72BBD834" w14:textId="2E4C337B" w:rsidR="00287EEE" w:rsidRPr="00DD491E" w:rsidRDefault="00287EEE" w:rsidP="0098681F">
      <w:pPr>
        <w:spacing w:after="0" w:line="360" w:lineRule="auto"/>
        <w:contextualSpacing/>
        <w:rPr>
          <w:rFonts w:ascii="Times New Roman" w:hAnsi="Times New Roman" w:cs="Times New Roman"/>
          <w:i/>
          <w:iCs/>
          <w:sz w:val="24"/>
          <w:szCs w:val="24"/>
        </w:rPr>
      </w:pPr>
      <w:r w:rsidRPr="00B67465">
        <w:rPr>
          <w:rFonts w:ascii="Times New Roman" w:hAnsi="Times New Roman" w:cs="Times New Roman"/>
          <w:i/>
          <w:iCs/>
          <w:sz w:val="24"/>
          <w:szCs w:val="24"/>
        </w:rPr>
        <w:t xml:space="preserve">Defecator </w:t>
      </w:r>
      <w:r w:rsidR="00DD491E" w:rsidRPr="00B67465">
        <w:rPr>
          <w:rFonts w:ascii="Times New Roman" w:hAnsi="Times New Roman" w:cs="Times New Roman"/>
          <w:i/>
          <w:iCs/>
          <w:sz w:val="24"/>
          <w:szCs w:val="24"/>
        </w:rPr>
        <w:t>identification: molecular remains</w:t>
      </w:r>
    </w:p>
    <w:p w14:paraId="05289D24" w14:textId="28680B95" w:rsidR="00C2018D" w:rsidRPr="0098681F" w:rsidRDefault="00C2018D" w:rsidP="0098681F">
      <w:pPr>
        <w:spacing w:after="0" w:line="360" w:lineRule="auto"/>
        <w:contextualSpacing/>
        <w:rPr>
          <w:rFonts w:ascii="Times New Roman" w:hAnsi="Times New Roman" w:cs="Times New Roman"/>
          <w:sz w:val="24"/>
          <w:szCs w:val="24"/>
        </w:rPr>
      </w:pPr>
      <w:r w:rsidRPr="0098681F">
        <w:rPr>
          <w:rFonts w:ascii="Times New Roman" w:hAnsi="Times New Roman" w:cs="Times New Roman"/>
          <w:sz w:val="24"/>
          <w:szCs w:val="24"/>
        </w:rPr>
        <w:t xml:space="preserve">Molecular identification methods were initially focused on detecting defecator DNA (Hofreiter </w:t>
      </w:r>
      <w:r w:rsidRPr="0098681F">
        <w:rPr>
          <w:rFonts w:ascii="Times New Roman" w:hAnsi="Times New Roman" w:cs="Times New Roman"/>
          <w:i/>
          <w:iCs/>
          <w:sz w:val="24"/>
          <w:szCs w:val="24"/>
        </w:rPr>
        <w:t>et al</w:t>
      </w:r>
      <w:r w:rsidRPr="0098681F">
        <w:rPr>
          <w:rFonts w:ascii="Times New Roman" w:hAnsi="Times New Roman" w:cs="Times New Roman"/>
          <w:sz w:val="24"/>
          <w:szCs w:val="24"/>
        </w:rPr>
        <w:t xml:space="preserve">. 2000; Poinar </w:t>
      </w:r>
      <w:r w:rsidRPr="0098681F">
        <w:rPr>
          <w:rFonts w:ascii="Times New Roman" w:hAnsi="Times New Roman" w:cs="Times New Roman"/>
          <w:i/>
          <w:iCs/>
          <w:sz w:val="24"/>
          <w:szCs w:val="24"/>
        </w:rPr>
        <w:t>et al</w:t>
      </w:r>
      <w:r w:rsidRPr="0098681F">
        <w:rPr>
          <w:rFonts w:ascii="Times New Roman" w:hAnsi="Times New Roman" w:cs="Times New Roman"/>
          <w:sz w:val="24"/>
          <w:szCs w:val="24"/>
        </w:rPr>
        <w:t xml:space="preserve">. 2001). Based primarily on the presence or absence of human DNA, human coprolites are those containing identifiable, endogenous human DNA. The sources of nonhuman coprolites, which may be more morphologically consistent and distinct from human coprolites, are confirmed by the presence of the DNA of the suspected species. More recently, gut microbiome composition has been used in conjunction with defecator DNA to identify fecal sources (Schnorr </w:t>
      </w:r>
      <w:r w:rsidRPr="0098681F">
        <w:rPr>
          <w:rFonts w:ascii="Times New Roman" w:hAnsi="Times New Roman" w:cs="Times New Roman"/>
          <w:i/>
          <w:iCs/>
          <w:sz w:val="24"/>
          <w:szCs w:val="24"/>
        </w:rPr>
        <w:t>et al</w:t>
      </w:r>
      <w:r w:rsidRPr="0098681F">
        <w:rPr>
          <w:rFonts w:ascii="Times New Roman" w:hAnsi="Times New Roman" w:cs="Times New Roman"/>
          <w:sz w:val="24"/>
          <w:szCs w:val="24"/>
        </w:rPr>
        <w:t xml:space="preserve">. 2016; Witt </w:t>
      </w:r>
      <w:r w:rsidRPr="0098681F">
        <w:rPr>
          <w:rFonts w:ascii="Times New Roman" w:hAnsi="Times New Roman" w:cs="Times New Roman"/>
          <w:i/>
          <w:iCs/>
          <w:sz w:val="24"/>
          <w:szCs w:val="24"/>
        </w:rPr>
        <w:t>et al</w:t>
      </w:r>
      <w:r w:rsidRPr="0098681F">
        <w:rPr>
          <w:rFonts w:ascii="Times New Roman" w:hAnsi="Times New Roman" w:cs="Times New Roman"/>
          <w:sz w:val="24"/>
          <w:szCs w:val="24"/>
        </w:rPr>
        <w:t xml:space="preserve">. 2021). Hagan </w:t>
      </w:r>
      <w:r w:rsidRPr="0098681F">
        <w:rPr>
          <w:rFonts w:ascii="Times New Roman" w:hAnsi="Times New Roman" w:cs="Times New Roman"/>
          <w:i/>
          <w:iCs/>
          <w:sz w:val="24"/>
          <w:szCs w:val="24"/>
        </w:rPr>
        <w:t>et al</w:t>
      </w:r>
      <w:r w:rsidRPr="0098681F">
        <w:rPr>
          <w:rFonts w:ascii="Times New Roman" w:hAnsi="Times New Roman" w:cs="Times New Roman"/>
          <w:sz w:val="24"/>
          <w:szCs w:val="24"/>
        </w:rPr>
        <w:t xml:space="preserve">. (2020) used SourceTracker (Knights </w:t>
      </w:r>
      <w:r w:rsidRPr="0098681F">
        <w:rPr>
          <w:rFonts w:ascii="Times New Roman" w:hAnsi="Times New Roman" w:cs="Times New Roman"/>
          <w:i/>
          <w:iCs/>
          <w:sz w:val="24"/>
          <w:szCs w:val="24"/>
        </w:rPr>
        <w:t>et al</w:t>
      </w:r>
      <w:r w:rsidRPr="0098681F">
        <w:rPr>
          <w:rFonts w:ascii="Times New Roman" w:hAnsi="Times New Roman" w:cs="Times New Roman"/>
          <w:sz w:val="24"/>
          <w:szCs w:val="24"/>
        </w:rPr>
        <w:t xml:space="preserve">. 2011), a tool made to predict the sources of microbial communities in a given sample, to confirm coprolite sources using gut microbiomes, while Borry </w:t>
      </w:r>
      <w:r w:rsidRPr="0098681F">
        <w:rPr>
          <w:rFonts w:ascii="Times New Roman" w:hAnsi="Times New Roman" w:cs="Times New Roman"/>
          <w:i/>
          <w:iCs/>
          <w:sz w:val="24"/>
          <w:szCs w:val="24"/>
        </w:rPr>
        <w:t>et al</w:t>
      </w:r>
      <w:r w:rsidRPr="0098681F">
        <w:rPr>
          <w:rFonts w:ascii="Times New Roman" w:hAnsi="Times New Roman" w:cs="Times New Roman"/>
          <w:sz w:val="24"/>
          <w:szCs w:val="24"/>
        </w:rPr>
        <w:t>. (2020) developed a bioinformatics tool called CoproID that infers and authenticates coprolite sources using gut microbiome composition and defecator DNA data from shotgun-sequenced datasets. If gut microbiome data are unavailable or if a sample contains no detectable defecator DNA, the presence of DNA from known dietary or medicinal taxa could indicate a source. The use of dietary or medicinal taxa for source identification would require knowledge of the paleofeces’ provenience, along with data of what taxa were utili</w:t>
      </w:r>
      <w:r w:rsidR="00A5412E">
        <w:rPr>
          <w:rFonts w:ascii="Times New Roman" w:hAnsi="Times New Roman" w:cs="Times New Roman"/>
          <w:sz w:val="24"/>
          <w:szCs w:val="24"/>
        </w:rPr>
        <w:t>s</w:t>
      </w:r>
      <w:r w:rsidRPr="0098681F">
        <w:rPr>
          <w:rFonts w:ascii="Times New Roman" w:hAnsi="Times New Roman" w:cs="Times New Roman"/>
          <w:sz w:val="24"/>
          <w:szCs w:val="24"/>
        </w:rPr>
        <w:t>ed by the traditional inhabitants of the site.</w:t>
      </w:r>
    </w:p>
    <w:p w14:paraId="3989F26C" w14:textId="739320A8" w:rsidR="006C6E8B" w:rsidRPr="0098681F" w:rsidRDefault="00C2018D" w:rsidP="0098681F">
      <w:pPr>
        <w:spacing w:after="0" w:line="360" w:lineRule="auto"/>
        <w:contextualSpacing/>
        <w:rPr>
          <w:rFonts w:ascii="Times New Roman" w:hAnsi="Times New Roman" w:cs="Times New Roman"/>
          <w:sz w:val="24"/>
          <w:szCs w:val="24"/>
        </w:rPr>
      </w:pPr>
      <w:r w:rsidRPr="0098681F">
        <w:rPr>
          <w:rFonts w:ascii="Times New Roman" w:hAnsi="Times New Roman" w:cs="Times New Roman"/>
          <w:sz w:val="24"/>
          <w:szCs w:val="24"/>
        </w:rPr>
        <w:t>Molecular identification methods in this paper are primarily focused on the presence/absence of human, canine, dietary or medicinal DNA, as the data do not contain microbial DNA. Four coprolites were identified as likely human based on the presence of endogenous human DNA (coprolites 7, 9</w:t>
      </w:r>
      <w:r w:rsidR="002E7A32">
        <w:rPr>
          <w:rFonts w:ascii="Times New Roman" w:hAnsi="Times New Roman" w:cs="Times New Roman"/>
          <w:sz w:val="24"/>
          <w:szCs w:val="24"/>
        </w:rPr>
        <w:t>–</w:t>
      </w:r>
      <w:r w:rsidRPr="0098681F">
        <w:rPr>
          <w:rFonts w:ascii="Times New Roman" w:hAnsi="Times New Roman" w:cs="Times New Roman"/>
          <w:sz w:val="24"/>
          <w:szCs w:val="24"/>
        </w:rPr>
        <w:t xml:space="preserve">11), while one was identified as likely canine based on the presence of large amounts of canine DNA (coprolite 5). An additional coprolite contained both human and canine </w:t>
      </w:r>
      <w:r w:rsidRPr="0098681F">
        <w:rPr>
          <w:rFonts w:ascii="Times New Roman" w:hAnsi="Times New Roman" w:cs="Times New Roman"/>
          <w:sz w:val="24"/>
          <w:szCs w:val="24"/>
        </w:rPr>
        <w:lastRenderedPageBreak/>
        <w:t>DNA, but as human DNA was present in significantly larger amounts it was labelled as human (coprolite 8). It is unknown if the dog DNA represents intentional ingestion or environmental contamination. The remaining four coprolites contained DNA that can be linked to known dietary or medicinal taxa, suggesting they may be human coprolites, but they are largely dominated by single taxa or speculatively identified taxa (coprolites 4, 6, 12</w:t>
      </w:r>
      <w:r w:rsidR="00DF3610">
        <w:rPr>
          <w:rFonts w:ascii="Times New Roman" w:hAnsi="Times New Roman" w:cs="Times New Roman"/>
          <w:sz w:val="24"/>
          <w:szCs w:val="24"/>
        </w:rPr>
        <w:t>–</w:t>
      </w:r>
      <w:r w:rsidRPr="0098681F">
        <w:rPr>
          <w:rFonts w:ascii="Times New Roman" w:hAnsi="Times New Roman" w:cs="Times New Roman"/>
          <w:sz w:val="24"/>
          <w:szCs w:val="24"/>
        </w:rPr>
        <w:t>13). Overall, the five coprolites containing human DNA and the four containing known dietary and/or medicinal taxa were considered as human coprolites, and the final coprolite was labelled as canine.</w:t>
      </w:r>
    </w:p>
    <w:p w14:paraId="7401D055" w14:textId="77777777" w:rsidR="00C2018D" w:rsidRPr="0098681F" w:rsidRDefault="00C2018D" w:rsidP="0098681F">
      <w:pPr>
        <w:spacing w:after="0" w:line="360" w:lineRule="auto"/>
        <w:contextualSpacing/>
        <w:rPr>
          <w:rFonts w:ascii="Times New Roman" w:hAnsi="Times New Roman" w:cs="Times New Roman"/>
          <w:b/>
          <w:bCs/>
          <w:sz w:val="24"/>
          <w:szCs w:val="24"/>
        </w:rPr>
      </w:pPr>
    </w:p>
    <w:p w14:paraId="498132DD" w14:textId="7E89AEFF" w:rsidR="0031778A" w:rsidRPr="00DD491E" w:rsidRDefault="006C6E8B" w:rsidP="0098681F">
      <w:pPr>
        <w:spacing w:after="0" w:line="360" w:lineRule="auto"/>
        <w:contextualSpacing/>
        <w:rPr>
          <w:rFonts w:ascii="Times New Roman" w:hAnsi="Times New Roman" w:cs="Times New Roman"/>
          <w:i/>
          <w:iCs/>
          <w:sz w:val="24"/>
          <w:szCs w:val="24"/>
        </w:rPr>
      </w:pPr>
      <w:r w:rsidRPr="00DD491E">
        <w:rPr>
          <w:rFonts w:ascii="Times New Roman" w:hAnsi="Times New Roman" w:cs="Times New Roman"/>
          <w:i/>
          <w:iCs/>
          <w:sz w:val="24"/>
          <w:szCs w:val="24"/>
        </w:rPr>
        <w:t>Defecator</w:t>
      </w:r>
      <w:r w:rsidR="00DD491E" w:rsidRPr="00DD491E">
        <w:rPr>
          <w:rFonts w:ascii="Times New Roman" w:hAnsi="Times New Roman" w:cs="Times New Roman"/>
          <w:i/>
          <w:iCs/>
          <w:sz w:val="24"/>
          <w:szCs w:val="24"/>
        </w:rPr>
        <w:t xml:space="preserve"> identification: limitati</w:t>
      </w:r>
      <w:r w:rsidRPr="00DD491E">
        <w:rPr>
          <w:rFonts w:ascii="Times New Roman" w:hAnsi="Times New Roman" w:cs="Times New Roman"/>
          <w:i/>
          <w:iCs/>
          <w:sz w:val="24"/>
          <w:szCs w:val="24"/>
        </w:rPr>
        <w:t>ons</w:t>
      </w:r>
    </w:p>
    <w:p w14:paraId="718262BF" w14:textId="538036FC" w:rsidR="00355948" w:rsidRPr="0098681F" w:rsidRDefault="00355948" w:rsidP="0098681F">
      <w:pPr>
        <w:spacing w:after="0" w:line="360" w:lineRule="auto"/>
        <w:rPr>
          <w:rFonts w:ascii="Times New Roman" w:hAnsi="Times New Roman" w:cs="Times New Roman"/>
          <w:sz w:val="24"/>
          <w:szCs w:val="24"/>
        </w:rPr>
      </w:pPr>
      <w:r w:rsidRPr="0098681F">
        <w:rPr>
          <w:rFonts w:ascii="Times New Roman" w:hAnsi="Times New Roman" w:cs="Times New Roman"/>
          <w:sz w:val="24"/>
          <w:szCs w:val="24"/>
        </w:rPr>
        <w:t xml:space="preserve">There are limitations to the above methods of defecator identification. </w:t>
      </w:r>
      <w:r w:rsidR="00AF6780" w:rsidRPr="0098681F">
        <w:rPr>
          <w:rFonts w:ascii="Times New Roman" w:hAnsi="Times New Roman" w:cs="Times New Roman"/>
          <w:sz w:val="24"/>
          <w:szCs w:val="24"/>
        </w:rPr>
        <w:t>A major limitation of the genetic identification is the use of human DNA to identify the defecator. 12s reads in metabarcoded datasets cannot be analy</w:t>
      </w:r>
      <w:r w:rsidR="0005184F">
        <w:rPr>
          <w:rFonts w:ascii="Times New Roman" w:hAnsi="Times New Roman" w:cs="Times New Roman"/>
          <w:sz w:val="24"/>
          <w:szCs w:val="24"/>
        </w:rPr>
        <w:t>s</w:t>
      </w:r>
      <w:r w:rsidR="00AF6780" w:rsidRPr="0098681F">
        <w:rPr>
          <w:rFonts w:ascii="Times New Roman" w:hAnsi="Times New Roman" w:cs="Times New Roman"/>
          <w:sz w:val="24"/>
          <w:szCs w:val="24"/>
        </w:rPr>
        <w:t xml:space="preserve">ed beyond presence/absence. These identifications could be bolstered via shotgun sequencing, which could allow us to identify human haplotypes, detect human or canine gut microbiomes and observe damage patterns to separate endogenous and exogenous DNA (Borry </w:t>
      </w:r>
      <w:r w:rsidR="00AF6780" w:rsidRPr="0098681F">
        <w:rPr>
          <w:rFonts w:ascii="Times New Roman" w:hAnsi="Times New Roman" w:cs="Times New Roman"/>
          <w:i/>
          <w:iCs/>
          <w:sz w:val="24"/>
          <w:szCs w:val="24"/>
        </w:rPr>
        <w:t>et al</w:t>
      </w:r>
      <w:r w:rsidR="00AF6780" w:rsidRPr="0098681F">
        <w:rPr>
          <w:rFonts w:ascii="Times New Roman" w:hAnsi="Times New Roman" w:cs="Times New Roman"/>
          <w:sz w:val="24"/>
          <w:szCs w:val="24"/>
        </w:rPr>
        <w:t>. 2020). A minor limitation is the detection of dietary taxa. U</w:t>
      </w:r>
      <w:r w:rsidRPr="0098681F">
        <w:rPr>
          <w:rFonts w:ascii="Times New Roman" w:hAnsi="Times New Roman" w:cs="Times New Roman"/>
          <w:sz w:val="24"/>
          <w:szCs w:val="24"/>
        </w:rPr>
        <w:t xml:space="preserve">nassigned DNA reads most closely resemble the identified floral taxa in any given coprolite. For example, in coprolites with predominantly </w:t>
      </w:r>
      <w:r w:rsidRPr="0098681F">
        <w:rPr>
          <w:rFonts w:ascii="Times New Roman" w:hAnsi="Times New Roman" w:cs="Times New Roman"/>
          <w:i/>
          <w:iCs/>
          <w:sz w:val="24"/>
          <w:szCs w:val="24"/>
        </w:rPr>
        <w:t>Atriplex</w:t>
      </w:r>
      <w:r w:rsidRPr="0098681F">
        <w:rPr>
          <w:rFonts w:ascii="Times New Roman" w:hAnsi="Times New Roman" w:cs="Times New Roman"/>
          <w:sz w:val="24"/>
          <w:szCs w:val="24"/>
        </w:rPr>
        <w:t xml:space="preserve"> DNA, the unassigned reads most closely resemble cheno-ams. In coprolites with Boraginaceae DNA, unassigned reads most closely resemble borages. While there are no taxonomic identifications, the unassigned DNA resembles identified taxa in the same coprolite that has known dietary uses. For defecator identification</w:t>
      </w:r>
      <w:r w:rsidR="00AF6780" w:rsidRPr="0098681F">
        <w:rPr>
          <w:rFonts w:ascii="Times New Roman" w:hAnsi="Times New Roman" w:cs="Times New Roman"/>
          <w:sz w:val="24"/>
          <w:szCs w:val="24"/>
        </w:rPr>
        <w:t xml:space="preserve"> in these coprolites</w:t>
      </w:r>
      <w:r w:rsidRPr="0098681F">
        <w:rPr>
          <w:rFonts w:ascii="Times New Roman" w:hAnsi="Times New Roman" w:cs="Times New Roman"/>
          <w:sz w:val="24"/>
          <w:szCs w:val="24"/>
        </w:rPr>
        <w:t xml:space="preserve">, we </w:t>
      </w:r>
      <w:r w:rsidR="00AF6780" w:rsidRPr="0098681F">
        <w:rPr>
          <w:rFonts w:ascii="Times New Roman" w:hAnsi="Times New Roman" w:cs="Times New Roman"/>
          <w:sz w:val="24"/>
          <w:szCs w:val="24"/>
        </w:rPr>
        <w:t>considered unassigned reads as representing dietary taxa</w:t>
      </w:r>
      <w:r w:rsidRPr="0098681F">
        <w:rPr>
          <w:rFonts w:ascii="Times New Roman" w:hAnsi="Times New Roman" w:cs="Times New Roman"/>
          <w:sz w:val="24"/>
          <w:szCs w:val="24"/>
        </w:rPr>
        <w:t xml:space="preserve">. </w:t>
      </w:r>
      <w:r w:rsidR="00AF6780" w:rsidRPr="0098681F">
        <w:rPr>
          <w:rFonts w:ascii="Times New Roman" w:hAnsi="Times New Roman" w:cs="Times New Roman"/>
          <w:sz w:val="24"/>
          <w:szCs w:val="24"/>
        </w:rPr>
        <w:t>For coprolites that contained no identified reads, we looked at the macroremains data. For example, the unassigned reads in coprolites 12 and 13 most closely resemble cheno-ams. The macroremains in those two coprolites are predominantly pickl</w:t>
      </w:r>
      <w:r w:rsidR="00037AEA" w:rsidRPr="0098681F">
        <w:rPr>
          <w:rFonts w:ascii="Times New Roman" w:hAnsi="Times New Roman" w:cs="Times New Roman"/>
          <w:sz w:val="24"/>
          <w:szCs w:val="24"/>
        </w:rPr>
        <w:t>e</w:t>
      </w:r>
      <w:r w:rsidR="00AF6780" w:rsidRPr="0098681F">
        <w:rPr>
          <w:rFonts w:ascii="Times New Roman" w:hAnsi="Times New Roman" w:cs="Times New Roman"/>
          <w:sz w:val="24"/>
          <w:szCs w:val="24"/>
        </w:rPr>
        <w:t>weed, so we inferred the DNA likely represents dietary use of small seeds, likely pickleweed.</w:t>
      </w:r>
      <w:r w:rsidR="00852C52" w:rsidRPr="0098681F">
        <w:rPr>
          <w:rFonts w:ascii="Times New Roman" w:hAnsi="Times New Roman" w:cs="Times New Roman"/>
          <w:sz w:val="24"/>
          <w:szCs w:val="24"/>
        </w:rPr>
        <w:t xml:space="preserve"> </w:t>
      </w:r>
    </w:p>
    <w:p w14:paraId="1BB06841" w14:textId="77777777" w:rsidR="008A7ADB" w:rsidRPr="0098681F" w:rsidRDefault="008A7ADB" w:rsidP="0098681F">
      <w:pPr>
        <w:spacing w:after="0" w:line="360" w:lineRule="auto"/>
        <w:rPr>
          <w:rFonts w:ascii="Times New Roman" w:hAnsi="Times New Roman" w:cs="Times New Roman"/>
          <w:sz w:val="24"/>
          <w:szCs w:val="24"/>
        </w:rPr>
      </w:pPr>
    </w:p>
    <w:p w14:paraId="62942F33" w14:textId="57DD5ACD" w:rsidR="00287EEE" w:rsidRPr="0098681F" w:rsidRDefault="00B86F4D" w:rsidP="0098681F">
      <w:pPr>
        <w:spacing w:after="0" w:line="360" w:lineRule="auto"/>
        <w:rPr>
          <w:rFonts w:ascii="Times New Roman" w:hAnsi="Times New Roman" w:cs="Times New Roman"/>
          <w:b/>
          <w:bCs/>
          <w:sz w:val="24"/>
          <w:szCs w:val="24"/>
        </w:rPr>
      </w:pPr>
      <w:r w:rsidRPr="0098681F">
        <w:rPr>
          <w:rFonts w:ascii="Times New Roman" w:hAnsi="Times New Roman" w:cs="Times New Roman"/>
          <w:b/>
          <w:bCs/>
          <w:sz w:val="24"/>
          <w:szCs w:val="24"/>
        </w:rPr>
        <w:t>References</w:t>
      </w:r>
    </w:p>
    <w:p w14:paraId="2D7AFF3E" w14:textId="77777777" w:rsidR="002E2B7B" w:rsidRPr="00966B0A" w:rsidRDefault="002E2B7B" w:rsidP="002E2B7B">
      <w:pPr>
        <w:spacing w:after="0" w:line="360" w:lineRule="auto"/>
        <w:rPr>
          <w:rFonts w:ascii="Times New Roman" w:hAnsi="Times New Roman" w:cs="Times New Roman"/>
          <w:noProof/>
          <w:sz w:val="24"/>
          <w:szCs w:val="24"/>
        </w:rPr>
      </w:pPr>
      <w:bookmarkStart w:id="1" w:name="_Hlk154656402"/>
      <w:r w:rsidRPr="00966B0A">
        <w:rPr>
          <w:rFonts w:ascii="Times New Roman" w:hAnsi="Times New Roman" w:cs="Times New Roman"/>
          <w:smallCaps/>
          <w:noProof/>
          <w:sz w:val="24"/>
          <w:szCs w:val="24"/>
        </w:rPr>
        <w:t>Albush, C.J.</w:t>
      </w:r>
      <w:r w:rsidRPr="00966B0A">
        <w:rPr>
          <w:rFonts w:ascii="Times New Roman" w:hAnsi="Times New Roman" w:cs="Times New Roman"/>
          <w:noProof/>
          <w:sz w:val="24"/>
          <w:szCs w:val="24"/>
        </w:rPr>
        <w:t xml:space="preserve"> 2010. Prehistoric diet at Bonneville Estates Rockshelter, Nevada. Unpublished Masters dissertation, University of Nevada, Reno.</w:t>
      </w:r>
    </w:p>
    <w:p w14:paraId="629EC03E" w14:textId="77777777" w:rsidR="002E2B7B" w:rsidRPr="00966B0A" w:rsidRDefault="002E2B7B" w:rsidP="002E2B7B">
      <w:pPr>
        <w:spacing w:after="0" w:line="360" w:lineRule="auto"/>
        <w:rPr>
          <w:rFonts w:ascii="Times New Roman" w:hAnsi="Times New Roman" w:cs="Times New Roman"/>
          <w:noProof/>
          <w:sz w:val="24"/>
          <w:szCs w:val="24"/>
        </w:rPr>
      </w:pPr>
      <w:bookmarkStart w:id="2" w:name="_Hlk125447829"/>
      <w:r w:rsidRPr="00966B0A">
        <w:rPr>
          <w:rFonts w:ascii="Times New Roman" w:hAnsi="Times New Roman" w:cs="Times New Roman"/>
          <w:smallCaps/>
          <w:noProof/>
          <w:sz w:val="24"/>
          <w:szCs w:val="24"/>
        </w:rPr>
        <w:lastRenderedPageBreak/>
        <w:t>Battillo, J.</w:t>
      </w:r>
      <w:r w:rsidRPr="00966B0A">
        <w:rPr>
          <w:rFonts w:ascii="Times New Roman" w:hAnsi="Times New Roman" w:cs="Times New Roman"/>
          <w:noProof/>
          <w:sz w:val="24"/>
          <w:szCs w:val="24"/>
        </w:rPr>
        <w:t xml:space="preserve"> 2017. Supplementing maize agriculture in Basketmaker II subsistence: dietary analysis of human paleofeces from Turkey Pen Ruin (42SA3714). Unpublished PhD Dissertation, Southern Methodist University, Texas.</w:t>
      </w:r>
    </w:p>
    <w:p w14:paraId="7F41F8BD"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noProof/>
          <w:sz w:val="24"/>
          <w:szCs w:val="24"/>
        </w:rPr>
        <w:t xml:space="preserve">– 2019. Farmers who forage: interpreting paleofecal evidence of wild resource use by early corn farmers in the North American Southwest. </w:t>
      </w:r>
      <w:r w:rsidRPr="00966B0A">
        <w:rPr>
          <w:rFonts w:ascii="Times New Roman" w:hAnsi="Times New Roman" w:cs="Times New Roman"/>
          <w:i/>
          <w:noProof/>
          <w:sz w:val="24"/>
          <w:szCs w:val="24"/>
        </w:rPr>
        <w:t>Archaeological and Anthropological Sciences</w:t>
      </w:r>
      <w:r w:rsidRPr="00966B0A">
        <w:rPr>
          <w:rFonts w:ascii="Times New Roman" w:hAnsi="Times New Roman" w:cs="Times New Roman"/>
          <w:noProof/>
          <w:sz w:val="24"/>
          <w:szCs w:val="24"/>
        </w:rPr>
        <w:t xml:space="preserve"> 11: 5999–6016. https://doi.org/10.1007/s12520-019-00944-y</w:t>
      </w:r>
    </w:p>
    <w:p w14:paraId="20F07248"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 xml:space="preserve">Beck, C.W., V.M. Bryant &amp; K.N. McDonough. </w:t>
      </w:r>
      <w:r w:rsidRPr="00966B0A">
        <w:rPr>
          <w:rFonts w:ascii="Times New Roman" w:hAnsi="Times New Roman" w:cs="Times New Roman"/>
          <w:noProof/>
          <w:sz w:val="24"/>
          <w:szCs w:val="24"/>
        </w:rPr>
        <w:t xml:space="preserve">2019. Evidence for non-random distribution of pollen in human coprolites. </w:t>
      </w:r>
      <w:r w:rsidRPr="00966B0A">
        <w:rPr>
          <w:rFonts w:ascii="Times New Roman" w:hAnsi="Times New Roman" w:cs="Times New Roman"/>
          <w:i/>
          <w:noProof/>
          <w:sz w:val="24"/>
          <w:szCs w:val="24"/>
        </w:rPr>
        <w:t>Archaeological and Anthropological Sciences</w:t>
      </w:r>
      <w:r w:rsidRPr="00966B0A">
        <w:rPr>
          <w:rFonts w:ascii="Times New Roman" w:hAnsi="Times New Roman" w:cs="Times New Roman"/>
          <w:noProof/>
          <w:sz w:val="24"/>
          <w:szCs w:val="24"/>
        </w:rPr>
        <w:t xml:space="preserve"> 11: 5983–98. https://doi.org/10.1007/s12520-019-00839-y</w:t>
      </w:r>
    </w:p>
    <w:p w14:paraId="435D054E"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Blong, J.C. &amp; L.-M. Shillito.</w:t>
      </w:r>
      <w:r w:rsidRPr="00966B0A">
        <w:rPr>
          <w:rFonts w:ascii="Times New Roman" w:hAnsi="Times New Roman" w:cs="Times New Roman"/>
          <w:noProof/>
          <w:sz w:val="24"/>
          <w:szCs w:val="24"/>
        </w:rPr>
        <w:t xml:space="preserve"> 2021. Coprolite research: archaeological and paleoenvironmental potentials. </w:t>
      </w:r>
      <w:r w:rsidRPr="00966B0A">
        <w:rPr>
          <w:rFonts w:ascii="Times New Roman" w:hAnsi="Times New Roman" w:cs="Times New Roman"/>
          <w:i/>
          <w:noProof/>
          <w:sz w:val="24"/>
          <w:szCs w:val="24"/>
        </w:rPr>
        <w:t>Archaeological and Anthropological Sciences</w:t>
      </w:r>
      <w:r w:rsidRPr="00966B0A">
        <w:rPr>
          <w:rFonts w:ascii="Times New Roman" w:hAnsi="Times New Roman" w:cs="Times New Roman"/>
          <w:noProof/>
          <w:sz w:val="24"/>
          <w:szCs w:val="24"/>
        </w:rPr>
        <w:t xml:space="preserve"> 13. https://doi.org/10.1007/s12520-020-01242-8</w:t>
      </w:r>
    </w:p>
    <w:p w14:paraId="62A1504F"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 xml:space="preserve">Borry, M. </w:t>
      </w:r>
      <w:r w:rsidRPr="00966B0A">
        <w:rPr>
          <w:rFonts w:ascii="Times New Roman" w:hAnsi="Times New Roman" w:cs="Times New Roman"/>
          <w:i/>
          <w:iCs/>
          <w:noProof/>
          <w:sz w:val="24"/>
          <w:szCs w:val="24"/>
        </w:rPr>
        <w:t xml:space="preserve">et al. </w:t>
      </w:r>
      <w:r w:rsidRPr="00966B0A">
        <w:rPr>
          <w:rFonts w:ascii="Times New Roman" w:hAnsi="Times New Roman" w:cs="Times New Roman"/>
          <w:noProof/>
          <w:sz w:val="24"/>
          <w:szCs w:val="24"/>
        </w:rPr>
        <w:t xml:space="preserve">2020. CoproID predicts the source of coprolites and paleofeces using microbiome composition and host DNA content. </w:t>
      </w:r>
      <w:r w:rsidRPr="00966B0A">
        <w:rPr>
          <w:rFonts w:ascii="Times New Roman" w:hAnsi="Times New Roman" w:cs="Times New Roman"/>
          <w:i/>
          <w:noProof/>
          <w:sz w:val="24"/>
          <w:szCs w:val="24"/>
        </w:rPr>
        <w:t>PeerJ</w:t>
      </w:r>
      <w:r w:rsidRPr="00966B0A">
        <w:rPr>
          <w:rFonts w:ascii="Times New Roman" w:hAnsi="Times New Roman" w:cs="Times New Roman"/>
          <w:noProof/>
          <w:sz w:val="24"/>
          <w:szCs w:val="24"/>
        </w:rPr>
        <w:t xml:space="preserve"> 8. https://doi.org/10.7717%2Fpeerj.9001</w:t>
      </w:r>
    </w:p>
    <w:p w14:paraId="6192D1C5"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Bryant, V.M. &amp; G.W. Dean.</w:t>
      </w:r>
      <w:r w:rsidRPr="00966B0A">
        <w:rPr>
          <w:rFonts w:ascii="Times New Roman" w:hAnsi="Times New Roman" w:cs="Times New Roman"/>
          <w:noProof/>
          <w:sz w:val="24"/>
          <w:szCs w:val="24"/>
        </w:rPr>
        <w:t xml:space="preserve"> 2006. Archaeological coprolite science: the legacy of Eric O. Callen (1912–1970). </w:t>
      </w:r>
      <w:r w:rsidRPr="00966B0A">
        <w:rPr>
          <w:rFonts w:ascii="Times New Roman" w:hAnsi="Times New Roman" w:cs="Times New Roman"/>
          <w:i/>
          <w:noProof/>
          <w:sz w:val="24"/>
          <w:szCs w:val="24"/>
        </w:rPr>
        <w:t>Palaeogeography, Palaeoclimatology, Palaeoecology</w:t>
      </w:r>
      <w:r w:rsidRPr="00966B0A">
        <w:rPr>
          <w:rFonts w:ascii="Times New Roman" w:hAnsi="Times New Roman" w:cs="Times New Roman"/>
          <w:noProof/>
          <w:sz w:val="24"/>
          <w:szCs w:val="24"/>
        </w:rPr>
        <w:t xml:space="preserve"> 237: 51–66. https://doi.org/10.1016/j.palaeo.2005.11.032</w:t>
      </w:r>
    </w:p>
    <w:p w14:paraId="5886620F"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Butler, V.L. &amp; R.A. Schroeder.</w:t>
      </w:r>
      <w:r w:rsidRPr="00966B0A">
        <w:rPr>
          <w:rFonts w:ascii="Times New Roman" w:hAnsi="Times New Roman" w:cs="Times New Roman"/>
          <w:noProof/>
          <w:sz w:val="24"/>
          <w:szCs w:val="24"/>
        </w:rPr>
        <w:t xml:space="preserve"> 1998. Do digestive processes leave diagnostic traces on fish bones? </w:t>
      </w:r>
      <w:r w:rsidRPr="00966B0A">
        <w:rPr>
          <w:rFonts w:ascii="Times New Roman" w:hAnsi="Times New Roman" w:cs="Times New Roman"/>
          <w:i/>
          <w:noProof/>
          <w:sz w:val="24"/>
          <w:szCs w:val="24"/>
        </w:rPr>
        <w:t>Journal of Archaeological Science</w:t>
      </w:r>
      <w:r w:rsidRPr="00966B0A">
        <w:rPr>
          <w:rFonts w:ascii="Times New Roman" w:hAnsi="Times New Roman" w:cs="Times New Roman"/>
          <w:noProof/>
          <w:sz w:val="24"/>
          <w:szCs w:val="24"/>
        </w:rPr>
        <w:t xml:space="preserve"> 25: 957–71. https://doi.org/10.1006/jasc.1997.0725</w:t>
      </w:r>
    </w:p>
    <w:p w14:paraId="366CBE14"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Calder, A.M.</w:t>
      </w:r>
      <w:r w:rsidRPr="00966B0A">
        <w:rPr>
          <w:rFonts w:ascii="Times New Roman" w:hAnsi="Times New Roman" w:cs="Times New Roman"/>
          <w:noProof/>
          <w:sz w:val="24"/>
          <w:szCs w:val="24"/>
        </w:rPr>
        <w:t xml:space="preserve"> 1977. Survival properties of organic residues through the human digestive tract. </w:t>
      </w:r>
      <w:r w:rsidRPr="00966B0A">
        <w:rPr>
          <w:rFonts w:ascii="Times New Roman" w:hAnsi="Times New Roman" w:cs="Times New Roman"/>
          <w:i/>
          <w:noProof/>
          <w:sz w:val="24"/>
          <w:szCs w:val="24"/>
        </w:rPr>
        <w:t>Journal of Archaeological Science</w:t>
      </w:r>
      <w:r w:rsidRPr="00966B0A">
        <w:rPr>
          <w:rFonts w:ascii="Times New Roman" w:hAnsi="Times New Roman" w:cs="Times New Roman"/>
          <w:noProof/>
          <w:sz w:val="24"/>
          <w:szCs w:val="24"/>
        </w:rPr>
        <w:t xml:space="preserve"> 4: 141–51. https://doi.org/10.1016/0305-4403(77)90061-9</w:t>
      </w:r>
    </w:p>
    <w:p w14:paraId="04C4DCF0"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Chamberlin, R.V.</w:t>
      </w:r>
      <w:r w:rsidRPr="00966B0A">
        <w:rPr>
          <w:rFonts w:ascii="Times New Roman" w:hAnsi="Times New Roman" w:cs="Times New Roman"/>
          <w:noProof/>
          <w:sz w:val="24"/>
          <w:szCs w:val="24"/>
        </w:rPr>
        <w:t xml:space="preserve"> 1911. </w:t>
      </w:r>
      <w:r w:rsidRPr="00966B0A">
        <w:rPr>
          <w:rFonts w:ascii="Times New Roman" w:hAnsi="Times New Roman" w:cs="Times New Roman"/>
          <w:i/>
          <w:iCs/>
          <w:noProof/>
          <w:sz w:val="24"/>
          <w:szCs w:val="24"/>
        </w:rPr>
        <w:t>Memoirs of the American Anthropological Association, volume 11: the ethno-botany of the Gosiute Indians of Utah</w:t>
      </w:r>
      <w:r w:rsidRPr="00966B0A">
        <w:rPr>
          <w:rFonts w:ascii="Times New Roman" w:hAnsi="Times New Roman" w:cs="Times New Roman"/>
          <w:noProof/>
          <w:sz w:val="24"/>
          <w:szCs w:val="24"/>
        </w:rPr>
        <w:t>. Lancaster: New Era Printing Company.</w:t>
      </w:r>
    </w:p>
    <w:p w14:paraId="0F5C843C"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Coe, M.M.</w:t>
      </w:r>
      <w:r w:rsidRPr="00966B0A">
        <w:rPr>
          <w:rFonts w:ascii="Times New Roman" w:hAnsi="Times New Roman" w:cs="Times New Roman"/>
          <w:noProof/>
          <w:sz w:val="24"/>
          <w:szCs w:val="24"/>
        </w:rPr>
        <w:t xml:space="preserve"> 2021. Basketry, cordage, and perishable artifact manufacture at Bonneville Estates Rockshelter: diachronic technological variation. </w:t>
      </w:r>
      <w:r w:rsidRPr="00966B0A">
        <w:rPr>
          <w:rFonts w:ascii="Times New Roman" w:hAnsi="Times New Roman" w:cs="Times New Roman"/>
          <w:i/>
          <w:noProof/>
          <w:sz w:val="24"/>
          <w:szCs w:val="24"/>
        </w:rPr>
        <w:t>Journal of Anthropological Archaeology</w:t>
      </w:r>
      <w:r w:rsidRPr="00966B0A">
        <w:rPr>
          <w:rFonts w:ascii="Times New Roman" w:hAnsi="Times New Roman" w:cs="Times New Roman"/>
          <w:noProof/>
          <w:sz w:val="24"/>
          <w:szCs w:val="24"/>
        </w:rPr>
        <w:t xml:space="preserve"> 64. https://doi.org/10.1016/j.jaa.2021.101325</w:t>
      </w:r>
    </w:p>
    <w:p w14:paraId="6B49A93E"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Currey, D.R. &amp; S.R. James. 1982</w:t>
      </w:r>
      <w:r w:rsidRPr="00966B0A">
        <w:rPr>
          <w:rFonts w:ascii="Times New Roman" w:hAnsi="Times New Roman" w:cs="Times New Roman"/>
          <w:noProof/>
          <w:sz w:val="24"/>
          <w:szCs w:val="24"/>
        </w:rPr>
        <w:t xml:space="preserve">. Paleoenvironments of the northeastern Great Basin and northeastern basin rim region: a review of geological and biological evidence, in D.B. Madsen &amp; J.F. O’Connell (ed.) </w:t>
      </w:r>
      <w:r w:rsidRPr="00966B0A">
        <w:rPr>
          <w:rFonts w:ascii="Times New Roman" w:hAnsi="Times New Roman" w:cs="Times New Roman"/>
          <w:i/>
          <w:iCs/>
          <w:noProof/>
          <w:sz w:val="24"/>
          <w:szCs w:val="24"/>
        </w:rPr>
        <w:t>Man and environment in the Great Basin</w:t>
      </w:r>
      <w:r w:rsidRPr="00966B0A">
        <w:rPr>
          <w:rFonts w:ascii="Times New Roman" w:hAnsi="Times New Roman" w:cs="Times New Roman"/>
          <w:noProof/>
          <w:sz w:val="24"/>
          <w:szCs w:val="24"/>
        </w:rPr>
        <w:t xml:space="preserve"> (Society for American Archaeology Papers 2): 27–52. Washinton, D.C.: Societry for American Archaeology.</w:t>
      </w:r>
    </w:p>
    <w:p w14:paraId="03EE9940"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lastRenderedPageBreak/>
        <w:t>Edgar, R.C.</w:t>
      </w:r>
      <w:r w:rsidRPr="00966B0A">
        <w:rPr>
          <w:rFonts w:ascii="Times New Roman" w:hAnsi="Times New Roman" w:cs="Times New Roman"/>
          <w:noProof/>
          <w:sz w:val="24"/>
          <w:szCs w:val="24"/>
        </w:rPr>
        <w:t xml:space="preserve"> 2013. UPARSE: highly accurate OTU sequences from microbial amplicon reads. </w:t>
      </w:r>
      <w:r w:rsidRPr="00966B0A">
        <w:rPr>
          <w:rFonts w:ascii="Times New Roman" w:hAnsi="Times New Roman" w:cs="Times New Roman"/>
          <w:i/>
          <w:noProof/>
          <w:sz w:val="24"/>
          <w:szCs w:val="24"/>
        </w:rPr>
        <w:t>Nature Methods</w:t>
      </w:r>
      <w:r w:rsidRPr="00966B0A">
        <w:rPr>
          <w:rFonts w:ascii="Times New Roman" w:hAnsi="Times New Roman" w:cs="Times New Roman"/>
          <w:noProof/>
          <w:sz w:val="24"/>
          <w:szCs w:val="24"/>
        </w:rPr>
        <w:t xml:space="preserve"> 10: 996–8. https://doi.org/10.1038/nmeth.2604</w:t>
      </w:r>
    </w:p>
    <w:p w14:paraId="7379EB1D"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Fry, G.F.</w:t>
      </w:r>
      <w:r w:rsidRPr="00966B0A">
        <w:rPr>
          <w:rFonts w:ascii="Times New Roman" w:hAnsi="Times New Roman" w:cs="Times New Roman"/>
          <w:noProof/>
          <w:sz w:val="24"/>
          <w:szCs w:val="24"/>
        </w:rPr>
        <w:t xml:space="preserve"> 1970. Preliminary analysis of the Hogup Cave coprolites, in M. Aikens (ed.) </w:t>
      </w:r>
      <w:r w:rsidRPr="00966B0A">
        <w:rPr>
          <w:rFonts w:ascii="Times New Roman" w:hAnsi="Times New Roman" w:cs="Times New Roman"/>
          <w:i/>
          <w:iCs/>
          <w:noProof/>
          <w:sz w:val="24"/>
          <w:szCs w:val="24"/>
        </w:rPr>
        <w:t>Hogup Cave</w:t>
      </w:r>
      <w:r w:rsidRPr="00966B0A">
        <w:rPr>
          <w:rFonts w:ascii="Times New Roman" w:hAnsi="Times New Roman" w:cs="Times New Roman"/>
          <w:noProof/>
          <w:sz w:val="24"/>
          <w:szCs w:val="24"/>
        </w:rPr>
        <w:t xml:space="preserve"> (Anthropological Papers of the University of Utah 93): 247–50. Salt Lake City: University of Utah Press.</w:t>
      </w:r>
    </w:p>
    <w:p w14:paraId="273DA096"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noProof/>
          <w:sz w:val="24"/>
          <w:szCs w:val="24"/>
        </w:rPr>
        <w:t xml:space="preserve">– 1976. </w:t>
      </w:r>
      <w:r w:rsidRPr="00966B0A">
        <w:rPr>
          <w:rFonts w:ascii="Times New Roman" w:hAnsi="Times New Roman" w:cs="Times New Roman"/>
          <w:i/>
          <w:iCs/>
          <w:noProof/>
          <w:sz w:val="24"/>
          <w:szCs w:val="24"/>
        </w:rPr>
        <w:t>Analysis of prehistoric coprolites from Utah</w:t>
      </w:r>
      <w:r w:rsidRPr="00966B0A">
        <w:rPr>
          <w:rFonts w:ascii="Times New Roman" w:hAnsi="Times New Roman" w:cs="Times New Roman"/>
          <w:noProof/>
          <w:sz w:val="24"/>
          <w:szCs w:val="24"/>
        </w:rPr>
        <w:t>. Salt Lake City: University of Utah Press.</w:t>
      </w:r>
    </w:p>
    <w:p w14:paraId="02466773"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Gilbert, M.T</w:t>
      </w:r>
      <w:r w:rsidRPr="00966B0A">
        <w:rPr>
          <w:rFonts w:ascii="Times New Roman" w:hAnsi="Times New Roman" w:cs="Times New Roman"/>
          <w:noProof/>
          <w:sz w:val="24"/>
          <w:szCs w:val="24"/>
        </w:rPr>
        <w:t xml:space="preserve">. </w:t>
      </w:r>
      <w:r w:rsidRPr="00966B0A">
        <w:rPr>
          <w:rFonts w:ascii="Times New Roman" w:hAnsi="Times New Roman" w:cs="Times New Roman"/>
          <w:i/>
          <w:iCs/>
          <w:noProof/>
          <w:sz w:val="24"/>
          <w:szCs w:val="24"/>
        </w:rPr>
        <w:t xml:space="preserve">et al. </w:t>
      </w:r>
      <w:r w:rsidRPr="00966B0A">
        <w:rPr>
          <w:rFonts w:ascii="Times New Roman" w:hAnsi="Times New Roman" w:cs="Times New Roman"/>
          <w:noProof/>
          <w:sz w:val="24"/>
          <w:szCs w:val="24"/>
        </w:rPr>
        <w:t xml:space="preserve">2008. DNA from pre-Clovis human coprolites in Oregon, North America. </w:t>
      </w:r>
      <w:r w:rsidRPr="00966B0A">
        <w:rPr>
          <w:rFonts w:ascii="Times New Roman" w:hAnsi="Times New Roman" w:cs="Times New Roman"/>
          <w:i/>
          <w:noProof/>
          <w:sz w:val="24"/>
          <w:szCs w:val="24"/>
        </w:rPr>
        <w:t>Science</w:t>
      </w:r>
      <w:r w:rsidRPr="00966B0A">
        <w:rPr>
          <w:rFonts w:ascii="Times New Roman" w:hAnsi="Times New Roman" w:cs="Times New Roman"/>
          <w:noProof/>
          <w:sz w:val="24"/>
          <w:szCs w:val="24"/>
        </w:rPr>
        <w:t xml:space="preserve"> 320: 786–9. https://doi.org/10.1126/science.1154116</w:t>
      </w:r>
    </w:p>
    <w:p w14:paraId="61FB48CB"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Goebel, T., B. Hockett, D. Rhode &amp; K. Graf.</w:t>
      </w:r>
      <w:r w:rsidRPr="00966B0A">
        <w:rPr>
          <w:rFonts w:ascii="Times New Roman" w:hAnsi="Times New Roman" w:cs="Times New Roman"/>
          <w:noProof/>
          <w:sz w:val="24"/>
          <w:szCs w:val="24"/>
        </w:rPr>
        <w:t xml:space="preserve"> 2021. Prehistoric human response to climate change in the Bonneville basin, western North America: the Bonneville Estates Rockshelter radiocarbon chronology. </w:t>
      </w:r>
      <w:r w:rsidRPr="00966B0A">
        <w:rPr>
          <w:rFonts w:ascii="Times New Roman" w:hAnsi="Times New Roman" w:cs="Times New Roman"/>
          <w:i/>
          <w:noProof/>
          <w:sz w:val="24"/>
          <w:szCs w:val="24"/>
        </w:rPr>
        <w:t>Quaternary Science Reviews</w:t>
      </w:r>
      <w:r w:rsidRPr="00966B0A">
        <w:rPr>
          <w:rFonts w:ascii="Times New Roman" w:hAnsi="Times New Roman" w:cs="Times New Roman"/>
          <w:noProof/>
          <w:sz w:val="24"/>
          <w:szCs w:val="24"/>
        </w:rPr>
        <w:t xml:space="preserve"> 260. https://doi.org/10.1016/j.quascirev.2021.106930</w:t>
      </w:r>
    </w:p>
    <w:p w14:paraId="00247F6D"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Grayson, D.</w:t>
      </w:r>
      <w:r w:rsidRPr="00966B0A">
        <w:rPr>
          <w:rFonts w:ascii="Times New Roman" w:hAnsi="Times New Roman" w:cs="Times New Roman"/>
          <w:noProof/>
          <w:sz w:val="24"/>
          <w:szCs w:val="24"/>
        </w:rPr>
        <w:t xml:space="preserve"> 2011. </w:t>
      </w:r>
      <w:r w:rsidRPr="00966B0A">
        <w:rPr>
          <w:rFonts w:ascii="Times New Roman" w:hAnsi="Times New Roman" w:cs="Times New Roman"/>
          <w:i/>
          <w:noProof/>
          <w:sz w:val="24"/>
          <w:szCs w:val="24"/>
        </w:rPr>
        <w:t>The Great Basin: a natural prehistory</w:t>
      </w:r>
      <w:r w:rsidRPr="00966B0A">
        <w:rPr>
          <w:rFonts w:ascii="Times New Roman" w:hAnsi="Times New Roman" w:cs="Times New Roman"/>
          <w:noProof/>
          <w:sz w:val="24"/>
          <w:szCs w:val="24"/>
        </w:rPr>
        <w:t>. Berkeley: University of California Press.</w:t>
      </w:r>
    </w:p>
    <w:p w14:paraId="13391D64"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Hagan, R.W.</w:t>
      </w:r>
      <w:r w:rsidRPr="00966B0A">
        <w:rPr>
          <w:rFonts w:ascii="Times New Roman" w:hAnsi="Times New Roman" w:cs="Times New Roman"/>
          <w:noProof/>
          <w:sz w:val="24"/>
          <w:szCs w:val="24"/>
        </w:rPr>
        <w:t xml:space="preserve"> </w:t>
      </w:r>
      <w:r w:rsidRPr="00966B0A">
        <w:rPr>
          <w:rFonts w:ascii="Times New Roman" w:hAnsi="Times New Roman" w:cs="Times New Roman"/>
          <w:i/>
          <w:iCs/>
          <w:noProof/>
          <w:sz w:val="24"/>
          <w:szCs w:val="24"/>
        </w:rPr>
        <w:t xml:space="preserve">et al. </w:t>
      </w:r>
      <w:r w:rsidRPr="00966B0A">
        <w:rPr>
          <w:rFonts w:ascii="Times New Roman" w:hAnsi="Times New Roman" w:cs="Times New Roman"/>
          <w:noProof/>
          <w:sz w:val="24"/>
          <w:szCs w:val="24"/>
        </w:rPr>
        <w:t xml:space="preserve">2020. Comparison of extraction methods for recovering ancient microbial DNA from paleofeces. </w:t>
      </w:r>
      <w:r w:rsidRPr="00966B0A">
        <w:rPr>
          <w:rFonts w:ascii="Times New Roman" w:hAnsi="Times New Roman" w:cs="Times New Roman"/>
          <w:i/>
          <w:noProof/>
          <w:sz w:val="24"/>
          <w:szCs w:val="24"/>
        </w:rPr>
        <w:t>American Journal of Physical Anthropology</w:t>
      </w:r>
      <w:r w:rsidRPr="00966B0A">
        <w:rPr>
          <w:rFonts w:ascii="Times New Roman" w:hAnsi="Times New Roman" w:cs="Times New Roman"/>
          <w:noProof/>
          <w:sz w:val="24"/>
          <w:szCs w:val="24"/>
        </w:rPr>
        <w:t xml:space="preserve"> 171: 275–84. https://doi.org/10.1002/ajpa.23978</w:t>
      </w:r>
    </w:p>
    <w:p w14:paraId="11293FED"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Hockett, B</w:t>
      </w:r>
      <w:r w:rsidRPr="00966B0A">
        <w:rPr>
          <w:rFonts w:ascii="Times New Roman" w:hAnsi="Times New Roman" w:cs="Times New Roman"/>
          <w:noProof/>
          <w:sz w:val="24"/>
          <w:szCs w:val="24"/>
        </w:rPr>
        <w:t xml:space="preserve">. 2005. Middle and Late Holocene hunting in the Great Basin: a critical review of the debate and future prospects. </w:t>
      </w:r>
      <w:r w:rsidRPr="00966B0A">
        <w:rPr>
          <w:rFonts w:ascii="Times New Roman" w:hAnsi="Times New Roman" w:cs="Times New Roman"/>
          <w:i/>
          <w:noProof/>
          <w:sz w:val="24"/>
          <w:szCs w:val="24"/>
        </w:rPr>
        <w:t>American Antiquity</w:t>
      </w:r>
      <w:r w:rsidRPr="00966B0A">
        <w:rPr>
          <w:rFonts w:ascii="Times New Roman" w:hAnsi="Times New Roman" w:cs="Times New Roman"/>
          <w:noProof/>
          <w:sz w:val="24"/>
          <w:szCs w:val="24"/>
        </w:rPr>
        <w:t xml:space="preserve"> 70: 713–31. https://doi.org/10.2307/40035871</w:t>
      </w:r>
    </w:p>
    <w:p w14:paraId="76862A96"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noProof/>
          <w:sz w:val="24"/>
          <w:szCs w:val="24"/>
        </w:rPr>
        <w:t xml:space="preserve">– 2007. Nutritional ecology of Late Pleistocene to Middle Holocene subsistence in the Great Basin: zooarchaeological evidence from Bonneville Estates Rockshelter, in K.E. Graf &amp; D.N. Schmitt (ed.) </w:t>
      </w:r>
      <w:r w:rsidRPr="00966B0A">
        <w:rPr>
          <w:rFonts w:ascii="Times New Roman" w:hAnsi="Times New Roman" w:cs="Times New Roman"/>
          <w:i/>
          <w:noProof/>
          <w:sz w:val="24"/>
          <w:szCs w:val="24"/>
        </w:rPr>
        <w:t>Paleoindian or paleoarchaic? Great Basin human ecology at the Pleistocene/Holocene transition</w:t>
      </w:r>
      <w:r w:rsidRPr="00966B0A">
        <w:rPr>
          <w:rFonts w:ascii="Times New Roman" w:hAnsi="Times New Roman" w:cs="Times New Roman"/>
          <w:iCs/>
          <w:noProof/>
          <w:sz w:val="24"/>
          <w:szCs w:val="24"/>
        </w:rPr>
        <w:t>: 204–30.</w:t>
      </w:r>
      <w:r w:rsidRPr="00966B0A">
        <w:rPr>
          <w:rFonts w:ascii="Times New Roman" w:hAnsi="Times New Roman" w:cs="Times New Roman"/>
          <w:noProof/>
          <w:sz w:val="24"/>
          <w:szCs w:val="24"/>
        </w:rPr>
        <w:t xml:space="preserve"> Salt Lake City: University of Utah Press.</w:t>
      </w:r>
    </w:p>
    <w:p w14:paraId="141CB76F"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noProof/>
          <w:sz w:val="24"/>
          <w:szCs w:val="24"/>
        </w:rPr>
        <w:t xml:space="preserve">– 2015. The zooarchaeology of Bonneville Estates Rockshelter: 13,000 years of Great Basin hunting strategies. </w:t>
      </w:r>
      <w:r w:rsidRPr="00966B0A">
        <w:rPr>
          <w:rFonts w:ascii="Times New Roman" w:hAnsi="Times New Roman" w:cs="Times New Roman"/>
          <w:i/>
          <w:noProof/>
          <w:sz w:val="24"/>
          <w:szCs w:val="24"/>
        </w:rPr>
        <w:t>Journal of Archaeological Science: Reports</w:t>
      </w:r>
      <w:r w:rsidRPr="00966B0A">
        <w:rPr>
          <w:rFonts w:ascii="Times New Roman" w:hAnsi="Times New Roman" w:cs="Times New Roman"/>
          <w:noProof/>
          <w:sz w:val="24"/>
          <w:szCs w:val="24"/>
        </w:rPr>
        <w:t xml:space="preserve"> 2: 291–301. https://doi.org/10.1016/j.jasrep.2015.02.011</w:t>
      </w:r>
    </w:p>
    <w:p w14:paraId="2CB5DB71"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Hofreiter, M., H.N. Poinar, W.G. Spaulding, K. Bauer, P.S. Martin, G. Possnert &amp; S. Pääbo.</w:t>
      </w:r>
      <w:r w:rsidRPr="00966B0A">
        <w:rPr>
          <w:rFonts w:ascii="Times New Roman" w:hAnsi="Times New Roman" w:cs="Times New Roman"/>
          <w:noProof/>
          <w:sz w:val="24"/>
          <w:szCs w:val="24"/>
        </w:rPr>
        <w:t xml:space="preserve"> 2000. A molecular analysis of ground sloth diet through the last glaciation. </w:t>
      </w:r>
      <w:r w:rsidRPr="00966B0A">
        <w:rPr>
          <w:rFonts w:ascii="Times New Roman" w:hAnsi="Times New Roman" w:cs="Times New Roman"/>
          <w:i/>
          <w:noProof/>
          <w:sz w:val="24"/>
          <w:szCs w:val="24"/>
        </w:rPr>
        <w:t>Molecular Ecology</w:t>
      </w:r>
      <w:r w:rsidRPr="00966B0A">
        <w:rPr>
          <w:rFonts w:ascii="Times New Roman" w:hAnsi="Times New Roman" w:cs="Times New Roman"/>
          <w:noProof/>
          <w:sz w:val="24"/>
          <w:szCs w:val="24"/>
        </w:rPr>
        <w:t xml:space="preserve"> 9: 1975–84. https://doi.org/10.1046/j.1365-294x.2000.01106.x</w:t>
      </w:r>
    </w:p>
    <w:p w14:paraId="57B047C7"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lastRenderedPageBreak/>
        <w:t>Huson, D.H</w:t>
      </w:r>
      <w:r w:rsidRPr="00966B0A">
        <w:rPr>
          <w:rFonts w:ascii="Times New Roman" w:hAnsi="Times New Roman" w:cs="Times New Roman"/>
          <w:noProof/>
          <w:sz w:val="24"/>
          <w:szCs w:val="24"/>
        </w:rPr>
        <w:t xml:space="preserve">. </w:t>
      </w:r>
      <w:r w:rsidRPr="00966B0A">
        <w:rPr>
          <w:rFonts w:ascii="Times New Roman" w:hAnsi="Times New Roman" w:cs="Times New Roman"/>
          <w:i/>
          <w:iCs/>
          <w:noProof/>
          <w:sz w:val="24"/>
          <w:szCs w:val="24"/>
        </w:rPr>
        <w:t xml:space="preserve">et al. </w:t>
      </w:r>
      <w:r w:rsidRPr="00966B0A">
        <w:rPr>
          <w:rFonts w:ascii="Times New Roman" w:hAnsi="Times New Roman" w:cs="Times New Roman"/>
          <w:noProof/>
          <w:sz w:val="24"/>
          <w:szCs w:val="24"/>
        </w:rPr>
        <w:t xml:space="preserve">2016. MEGAN community edition-interactive exploration and analysis of large-scale microbiome sequencing data. </w:t>
      </w:r>
      <w:r w:rsidRPr="00966B0A">
        <w:rPr>
          <w:rFonts w:ascii="Times New Roman" w:hAnsi="Times New Roman" w:cs="Times New Roman"/>
          <w:i/>
          <w:noProof/>
          <w:sz w:val="24"/>
          <w:szCs w:val="24"/>
        </w:rPr>
        <w:t>PLoS Computational Biology</w:t>
      </w:r>
      <w:r w:rsidRPr="00966B0A">
        <w:rPr>
          <w:rFonts w:ascii="Times New Roman" w:hAnsi="Times New Roman" w:cs="Times New Roman"/>
          <w:noProof/>
          <w:sz w:val="24"/>
          <w:szCs w:val="24"/>
        </w:rPr>
        <w:t xml:space="preserve"> 12. https://doi.org/10.1371/journal.pcbi.1004957</w:t>
      </w:r>
    </w:p>
    <w:p w14:paraId="20BE934F"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Janetski, J.C</w:t>
      </w:r>
      <w:r w:rsidRPr="00966B0A">
        <w:rPr>
          <w:rFonts w:ascii="Times New Roman" w:hAnsi="Times New Roman" w:cs="Times New Roman"/>
          <w:noProof/>
          <w:sz w:val="24"/>
          <w:szCs w:val="24"/>
        </w:rPr>
        <w:t xml:space="preserve">. 1997. Fremont hunting and resource intensification in the eastern Great Basin. </w:t>
      </w:r>
      <w:r w:rsidRPr="00966B0A">
        <w:rPr>
          <w:rFonts w:ascii="Times New Roman" w:hAnsi="Times New Roman" w:cs="Times New Roman"/>
          <w:i/>
          <w:noProof/>
          <w:sz w:val="24"/>
          <w:szCs w:val="24"/>
        </w:rPr>
        <w:t>Journal of Archaeological Science</w:t>
      </w:r>
      <w:r w:rsidRPr="00966B0A">
        <w:rPr>
          <w:rFonts w:ascii="Times New Roman" w:hAnsi="Times New Roman" w:cs="Times New Roman"/>
          <w:noProof/>
          <w:sz w:val="24"/>
          <w:szCs w:val="24"/>
        </w:rPr>
        <w:t xml:space="preserve"> 24: 1075–88. https://doi.org/10.1006/jasc.1996.0187</w:t>
      </w:r>
    </w:p>
    <w:p w14:paraId="4A25F466"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Jones, A.K.G.</w:t>
      </w:r>
      <w:r w:rsidRPr="00966B0A">
        <w:rPr>
          <w:rFonts w:ascii="Times New Roman" w:hAnsi="Times New Roman" w:cs="Times New Roman"/>
          <w:noProof/>
          <w:sz w:val="24"/>
          <w:szCs w:val="24"/>
        </w:rPr>
        <w:t xml:space="preserve"> 1986. Fish bone survival in the digestive systems of the pig, dog and man: some experiment, in D.C. Brinkhuizen &amp; A.T. Clason (ed.) </w:t>
      </w:r>
      <w:r w:rsidRPr="00966B0A">
        <w:rPr>
          <w:rFonts w:ascii="Times New Roman" w:hAnsi="Times New Roman" w:cs="Times New Roman"/>
          <w:i/>
          <w:noProof/>
          <w:sz w:val="24"/>
          <w:szCs w:val="24"/>
        </w:rPr>
        <w:t xml:space="preserve">Fish and archaeology: studies in osteometry, taphonomy, seasonality and fishing methods </w:t>
      </w:r>
      <w:r w:rsidRPr="00966B0A">
        <w:rPr>
          <w:rFonts w:ascii="Times New Roman" w:hAnsi="Times New Roman" w:cs="Times New Roman"/>
          <w:iCs/>
          <w:noProof/>
          <w:sz w:val="24"/>
          <w:szCs w:val="24"/>
        </w:rPr>
        <w:t>(British Archaeological Reports International Series 294)</w:t>
      </w:r>
      <w:r w:rsidRPr="00966B0A">
        <w:rPr>
          <w:rFonts w:ascii="Times New Roman" w:hAnsi="Times New Roman" w:cs="Times New Roman"/>
          <w:noProof/>
          <w:sz w:val="24"/>
          <w:szCs w:val="24"/>
        </w:rPr>
        <w:t>: 53–61. Oxford: BAR.</w:t>
      </w:r>
    </w:p>
    <w:p w14:paraId="2D1DB776"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noProof/>
          <w:sz w:val="24"/>
          <w:szCs w:val="24"/>
        </w:rPr>
        <w:t xml:space="preserve">– 1990. Experiments with fish bones and otoliths: implications for the reconstruction of past diet and economy, in D.E. Robinson (ed.) </w:t>
      </w:r>
      <w:r w:rsidRPr="00966B0A">
        <w:rPr>
          <w:rFonts w:ascii="Times New Roman" w:hAnsi="Times New Roman" w:cs="Times New Roman"/>
          <w:i/>
          <w:iCs/>
          <w:noProof/>
          <w:sz w:val="24"/>
          <w:szCs w:val="24"/>
        </w:rPr>
        <w:t>Experimentation and reconstruction in environmental archaeology</w:t>
      </w:r>
      <w:r w:rsidRPr="00966B0A">
        <w:rPr>
          <w:rFonts w:ascii="Times New Roman" w:hAnsi="Times New Roman" w:cs="Times New Roman"/>
          <w:noProof/>
          <w:sz w:val="24"/>
          <w:szCs w:val="24"/>
        </w:rPr>
        <w:t>: 143–6. Oxford: Oxbow.</w:t>
      </w:r>
    </w:p>
    <w:p w14:paraId="6813EB81"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Kelly, R.L. 1997</w:t>
      </w:r>
      <w:r w:rsidRPr="00966B0A">
        <w:rPr>
          <w:rFonts w:ascii="Times New Roman" w:hAnsi="Times New Roman" w:cs="Times New Roman"/>
          <w:noProof/>
          <w:sz w:val="24"/>
          <w:szCs w:val="24"/>
        </w:rPr>
        <w:t xml:space="preserve">. Late Holocene Great Basin prehistory. </w:t>
      </w:r>
      <w:r w:rsidRPr="00966B0A">
        <w:rPr>
          <w:rFonts w:ascii="Times New Roman" w:hAnsi="Times New Roman" w:cs="Times New Roman"/>
          <w:i/>
          <w:noProof/>
          <w:sz w:val="24"/>
          <w:szCs w:val="24"/>
        </w:rPr>
        <w:t>Journal of World Prehistory</w:t>
      </w:r>
      <w:r w:rsidRPr="00966B0A">
        <w:rPr>
          <w:rFonts w:ascii="Times New Roman" w:hAnsi="Times New Roman" w:cs="Times New Roman"/>
          <w:noProof/>
          <w:sz w:val="24"/>
          <w:szCs w:val="24"/>
        </w:rPr>
        <w:t xml:space="preserve"> 11: 1–49. https://doi.org/10.1007/BF02221200</w:t>
      </w:r>
    </w:p>
    <w:p w14:paraId="5F3E9232"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Knights, D</w:t>
      </w:r>
      <w:r w:rsidRPr="00966B0A">
        <w:rPr>
          <w:rFonts w:ascii="Times New Roman" w:hAnsi="Times New Roman" w:cs="Times New Roman"/>
          <w:noProof/>
          <w:sz w:val="24"/>
          <w:szCs w:val="24"/>
        </w:rPr>
        <w:t xml:space="preserve">. </w:t>
      </w:r>
      <w:r w:rsidRPr="00966B0A">
        <w:rPr>
          <w:rFonts w:ascii="Times New Roman" w:hAnsi="Times New Roman" w:cs="Times New Roman"/>
          <w:i/>
          <w:iCs/>
          <w:noProof/>
          <w:sz w:val="24"/>
          <w:szCs w:val="24"/>
        </w:rPr>
        <w:t xml:space="preserve">et al. </w:t>
      </w:r>
      <w:r w:rsidRPr="00966B0A">
        <w:rPr>
          <w:rFonts w:ascii="Times New Roman" w:hAnsi="Times New Roman" w:cs="Times New Roman"/>
          <w:noProof/>
          <w:sz w:val="24"/>
          <w:szCs w:val="24"/>
        </w:rPr>
        <w:t xml:space="preserve">2011. Bayesian community-wide culture-independent microbial source tracking. </w:t>
      </w:r>
      <w:r w:rsidRPr="00966B0A">
        <w:rPr>
          <w:rFonts w:ascii="Times New Roman" w:hAnsi="Times New Roman" w:cs="Times New Roman"/>
          <w:i/>
          <w:noProof/>
          <w:sz w:val="24"/>
          <w:szCs w:val="24"/>
        </w:rPr>
        <w:t>Nature Methods</w:t>
      </w:r>
      <w:r w:rsidRPr="00966B0A">
        <w:rPr>
          <w:rFonts w:ascii="Times New Roman" w:hAnsi="Times New Roman" w:cs="Times New Roman"/>
          <w:noProof/>
          <w:sz w:val="24"/>
          <w:szCs w:val="24"/>
        </w:rPr>
        <w:t xml:space="preserve"> 8: 761–3. https://doi.org/10.1038/nmeth.1650</w:t>
      </w:r>
    </w:p>
    <w:p w14:paraId="7E7B7C4D"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Louderback, L.A. &amp; D.E. Rhode.</w:t>
      </w:r>
      <w:r w:rsidRPr="00966B0A">
        <w:rPr>
          <w:rFonts w:ascii="Times New Roman" w:hAnsi="Times New Roman" w:cs="Times New Roman"/>
          <w:noProof/>
          <w:sz w:val="24"/>
          <w:szCs w:val="24"/>
        </w:rPr>
        <w:t xml:space="preserve"> 2009. 15,000 years of vegetation change in the Bonneville basin: the Blue Lake pollen record. </w:t>
      </w:r>
      <w:r w:rsidRPr="00966B0A">
        <w:rPr>
          <w:rFonts w:ascii="Times New Roman" w:hAnsi="Times New Roman" w:cs="Times New Roman"/>
          <w:i/>
          <w:noProof/>
          <w:sz w:val="24"/>
          <w:szCs w:val="24"/>
        </w:rPr>
        <w:t>Quaternary Science Reviews</w:t>
      </w:r>
      <w:r w:rsidRPr="00966B0A">
        <w:rPr>
          <w:rFonts w:ascii="Times New Roman" w:hAnsi="Times New Roman" w:cs="Times New Roman"/>
          <w:noProof/>
          <w:sz w:val="24"/>
          <w:szCs w:val="24"/>
        </w:rPr>
        <w:t xml:space="preserve"> 28: 308–326. https://doi.org/10.1016/j.quascirev.2008.09.027</w:t>
      </w:r>
    </w:p>
    <w:p w14:paraId="625C84A4"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Madsen, D.B</w:t>
      </w:r>
      <w:r w:rsidRPr="00966B0A">
        <w:rPr>
          <w:rFonts w:ascii="Times New Roman" w:hAnsi="Times New Roman" w:cs="Times New Roman"/>
          <w:noProof/>
          <w:sz w:val="24"/>
          <w:szCs w:val="24"/>
        </w:rPr>
        <w:t xml:space="preserve">. 2000. </w:t>
      </w:r>
      <w:r w:rsidRPr="00966B0A">
        <w:rPr>
          <w:rFonts w:ascii="Times New Roman" w:hAnsi="Times New Roman" w:cs="Times New Roman"/>
          <w:i/>
          <w:iCs/>
          <w:noProof/>
          <w:sz w:val="24"/>
          <w:szCs w:val="24"/>
        </w:rPr>
        <w:t>Late Quarternary paleoecology in the Bonneville Basin</w:t>
      </w:r>
      <w:r w:rsidRPr="00966B0A">
        <w:rPr>
          <w:rFonts w:ascii="Times New Roman" w:hAnsi="Times New Roman" w:cs="Times New Roman"/>
          <w:noProof/>
          <w:sz w:val="24"/>
          <w:szCs w:val="24"/>
        </w:rPr>
        <w:t>, volume 130. Salt Lake City: Utah Geological Survey.</w:t>
      </w:r>
    </w:p>
    <w:p w14:paraId="12596C5C"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Madsen, D.B. &amp; Rhode, D.</w:t>
      </w:r>
      <w:r w:rsidRPr="00966B0A">
        <w:rPr>
          <w:rFonts w:ascii="Times New Roman" w:hAnsi="Times New Roman" w:cs="Times New Roman"/>
          <w:noProof/>
          <w:sz w:val="24"/>
          <w:szCs w:val="24"/>
        </w:rPr>
        <w:t xml:space="preserve"> 1990. Early Holocene pinyon (</w:t>
      </w:r>
      <w:r w:rsidRPr="00966B0A">
        <w:rPr>
          <w:rFonts w:ascii="Times New Roman" w:hAnsi="Times New Roman" w:cs="Times New Roman"/>
          <w:i/>
          <w:iCs/>
          <w:noProof/>
          <w:sz w:val="24"/>
          <w:szCs w:val="24"/>
        </w:rPr>
        <w:t>Pinus monophylla</w:t>
      </w:r>
      <w:r w:rsidRPr="00966B0A">
        <w:rPr>
          <w:rFonts w:ascii="Times New Roman" w:hAnsi="Times New Roman" w:cs="Times New Roman"/>
          <w:noProof/>
          <w:sz w:val="24"/>
          <w:szCs w:val="24"/>
        </w:rPr>
        <w:t xml:space="preserve">) in the northeastern Great Basin. </w:t>
      </w:r>
      <w:r w:rsidRPr="00966B0A">
        <w:rPr>
          <w:rFonts w:ascii="Times New Roman" w:hAnsi="Times New Roman" w:cs="Times New Roman"/>
          <w:i/>
          <w:noProof/>
          <w:sz w:val="24"/>
          <w:szCs w:val="24"/>
        </w:rPr>
        <w:t>Quaternary Research</w:t>
      </w:r>
      <w:r w:rsidRPr="00966B0A">
        <w:rPr>
          <w:rFonts w:ascii="Times New Roman" w:hAnsi="Times New Roman" w:cs="Times New Roman"/>
          <w:noProof/>
          <w:sz w:val="24"/>
          <w:szCs w:val="24"/>
        </w:rPr>
        <w:t xml:space="preserve"> 33: 94–101. https://doi.org/10.1016/0033-5894(90)90087-2</w:t>
      </w:r>
    </w:p>
    <w:p w14:paraId="0B9EC4AA"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Madsen, D.B.</w:t>
      </w:r>
      <w:r w:rsidRPr="00966B0A">
        <w:rPr>
          <w:rFonts w:ascii="Times New Roman" w:hAnsi="Times New Roman" w:cs="Times New Roman"/>
          <w:noProof/>
          <w:sz w:val="24"/>
          <w:szCs w:val="24"/>
        </w:rPr>
        <w:t xml:space="preserve"> </w:t>
      </w:r>
      <w:r w:rsidRPr="00966B0A">
        <w:rPr>
          <w:rFonts w:ascii="Times New Roman" w:hAnsi="Times New Roman" w:cs="Times New Roman"/>
          <w:i/>
          <w:iCs/>
          <w:noProof/>
          <w:sz w:val="24"/>
          <w:szCs w:val="24"/>
        </w:rPr>
        <w:t xml:space="preserve">et al. </w:t>
      </w:r>
      <w:r w:rsidRPr="00966B0A">
        <w:rPr>
          <w:rFonts w:ascii="Times New Roman" w:hAnsi="Times New Roman" w:cs="Times New Roman"/>
          <w:noProof/>
          <w:sz w:val="24"/>
          <w:szCs w:val="24"/>
        </w:rPr>
        <w:t xml:space="preserve">2001. Late Quarternary environmental change in the Bonneville basin, western USA. </w:t>
      </w:r>
      <w:r w:rsidRPr="00966B0A">
        <w:rPr>
          <w:rFonts w:ascii="Times New Roman" w:hAnsi="Times New Roman" w:cs="Times New Roman"/>
          <w:i/>
          <w:noProof/>
          <w:sz w:val="24"/>
          <w:szCs w:val="24"/>
        </w:rPr>
        <w:t>Palaeogeography, Palaeoclimatology, Palaeoecology</w:t>
      </w:r>
      <w:r w:rsidRPr="00966B0A">
        <w:rPr>
          <w:rFonts w:ascii="Times New Roman" w:hAnsi="Times New Roman" w:cs="Times New Roman"/>
          <w:noProof/>
          <w:sz w:val="24"/>
          <w:szCs w:val="24"/>
        </w:rPr>
        <w:t xml:space="preserve"> 167: 243–71. https://doi.org/10.1016/S0031-0182(00)00240-6</w:t>
      </w:r>
    </w:p>
    <w:p w14:paraId="64EB6CEC"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McDonough, K.N., J.L. Kennedy, R.L. Rosencrance, J.A. Holcomb, D.L. Jenkins &amp; K. Puseman</w:t>
      </w:r>
      <w:r w:rsidRPr="00966B0A">
        <w:rPr>
          <w:rFonts w:ascii="Times New Roman" w:hAnsi="Times New Roman" w:cs="Times New Roman"/>
          <w:noProof/>
          <w:sz w:val="24"/>
          <w:szCs w:val="24"/>
        </w:rPr>
        <w:t xml:space="preserve">. 2022. Expanding paleoindian diet breadth: paleoethnobotany of Connley Cave 5, Oregon, USA. </w:t>
      </w:r>
      <w:r w:rsidRPr="00966B0A">
        <w:rPr>
          <w:rFonts w:ascii="Times New Roman" w:hAnsi="Times New Roman" w:cs="Times New Roman"/>
          <w:i/>
          <w:noProof/>
          <w:sz w:val="24"/>
          <w:szCs w:val="24"/>
        </w:rPr>
        <w:t>American Antiquity</w:t>
      </w:r>
      <w:r w:rsidRPr="00966B0A">
        <w:rPr>
          <w:rFonts w:ascii="Times New Roman" w:hAnsi="Times New Roman" w:cs="Times New Roman"/>
          <w:noProof/>
          <w:sz w:val="24"/>
          <w:szCs w:val="24"/>
        </w:rPr>
        <w:t xml:space="preserve"> 87: 303–32. https://doi.org/10.1017/aaq.2021.141</w:t>
      </w:r>
    </w:p>
    <w:p w14:paraId="36BE784B"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lastRenderedPageBreak/>
        <w:t>Murray, D.C.</w:t>
      </w:r>
      <w:r w:rsidRPr="00966B0A">
        <w:rPr>
          <w:rFonts w:ascii="Times New Roman" w:hAnsi="Times New Roman" w:cs="Times New Roman"/>
          <w:noProof/>
          <w:sz w:val="24"/>
          <w:szCs w:val="24"/>
        </w:rPr>
        <w:t xml:space="preserve"> </w:t>
      </w:r>
      <w:r w:rsidRPr="00966B0A">
        <w:rPr>
          <w:rFonts w:ascii="Times New Roman" w:hAnsi="Times New Roman" w:cs="Times New Roman"/>
          <w:i/>
          <w:iCs/>
          <w:noProof/>
          <w:sz w:val="24"/>
          <w:szCs w:val="24"/>
        </w:rPr>
        <w:t xml:space="preserve">et al. </w:t>
      </w:r>
      <w:r w:rsidRPr="00966B0A">
        <w:rPr>
          <w:rFonts w:ascii="Times New Roman" w:hAnsi="Times New Roman" w:cs="Times New Roman"/>
          <w:noProof/>
          <w:sz w:val="24"/>
          <w:szCs w:val="24"/>
        </w:rPr>
        <w:t xml:space="preserve">2013. Scrapheap challenge: a novel bulk-bone metabarcoding method to investigate ancient DNA in faunal assemblages. </w:t>
      </w:r>
      <w:r w:rsidRPr="00966B0A">
        <w:rPr>
          <w:rFonts w:ascii="Times New Roman" w:hAnsi="Times New Roman" w:cs="Times New Roman"/>
          <w:i/>
          <w:noProof/>
          <w:sz w:val="24"/>
          <w:szCs w:val="24"/>
        </w:rPr>
        <w:t>Scientific Reports</w:t>
      </w:r>
      <w:r w:rsidRPr="00966B0A">
        <w:rPr>
          <w:rFonts w:ascii="Times New Roman" w:hAnsi="Times New Roman" w:cs="Times New Roman"/>
          <w:noProof/>
          <w:sz w:val="24"/>
          <w:szCs w:val="24"/>
        </w:rPr>
        <w:t xml:space="preserve"> 3. https://doi.org/10.1038/srep03371</w:t>
      </w:r>
    </w:p>
    <w:p w14:paraId="4419B7ED"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Nicholson, R.A.</w:t>
      </w:r>
      <w:r w:rsidRPr="00966B0A">
        <w:rPr>
          <w:rFonts w:ascii="Times New Roman" w:hAnsi="Times New Roman" w:cs="Times New Roman"/>
          <w:noProof/>
          <w:sz w:val="24"/>
          <w:szCs w:val="24"/>
        </w:rPr>
        <w:t xml:space="preserve"> 1993. An investigation into the effects on fish bone of passage through the human gut: some experiments and comparisons with archaeological material. </w:t>
      </w:r>
      <w:r w:rsidRPr="00966B0A">
        <w:rPr>
          <w:rFonts w:ascii="Times New Roman" w:hAnsi="Times New Roman" w:cs="Times New Roman"/>
          <w:i/>
          <w:noProof/>
          <w:sz w:val="24"/>
          <w:szCs w:val="24"/>
        </w:rPr>
        <w:t>Circaea</w:t>
      </w:r>
      <w:r w:rsidRPr="00966B0A">
        <w:rPr>
          <w:rFonts w:ascii="Times New Roman" w:hAnsi="Times New Roman" w:cs="Times New Roman"/>
          <w:noProof/>
          <w:sz w:val="24"/>
          <w:szCs w:val="24"/>
        </w:rPr>
        <w:t xml:space="preserve"> 10(1): 38–51.</w:t>
      </w:r>
    </w:p>
    <w:p w14:paraId="29B1E168" w14:textId="77777777" w:rsidR="002E2B7B" w:rsidRPr="00966B0A" w:rsidRDefault="002E2B7B" w:rsidP="002E2B7B">
      <w:pPr>
        <w:spacing w:after="0" w:line="360" w:lineRule="auto"/>
        <w:rPr>
          <w:rFonts w:ascii="Times New Roman" w:hAnsi="Times New Roman" w:cs="Times New Roman"/>
          <w:iCs/>
          <w:noProof/>
          <w:sz w:val="24"/>
          <w:szCs w:val="24"/>
        </w:rPr>
      </w:pPr>
      <w:r w:rsidRPr="00966B0A">
        <w:rPr>
          <w:rFonts w:ascii="Times New Roman" w:hAnsi="Times New Roman" w:cs="Times New Roman"/>
          <w:smallCaps/>
          <w:noProof/>
          <w:sz w:val="24"/>
          <w:szCs w:val="24"/>
        </w:rPr>
        <w:t>O’Meara, D.P.</w:t>
      </w:r>
      <w:r w:rsidRPr="00966B0A">
        <w:rPr>
          <w:rFonts w:ascii="Times New Roman" w:hAnsi="Times New Roman" w:cs="Times New Roman"/>
          <w:noProof/>
          <w:sz w:val="24"/>
          <w:szCs w:val="24"/>
        </w:rPr>
        <w:t xml:space="preserve"> 2014. Ruminating on the past. A history of digestive taphonomy in experimental archaeology, in J.R. Flores &amp; R. Paardekooper (ed.) </w:t>
      </w:r>
      <w:r w:rsidRPr="00966B0A">
        <w:rPr>
          <w:rFonts w:ascii="Times New Roman" w:hAnsi="Times New Roman" w:cs="Times New Roman"/>
          <w:i/>
          <w:noProof/>
          <w:sz w:val="24"/>
          <w:szCs w:val="24"/>
        </w:rPr>
        <w:t>Experiments past: histories of experimental archaeology</w:t>
      </w:r>
      <w:r w:rsidRPr="00966B0A">
        <w:rPr>
          <w:rFonts w:ascii="Times New Roman" w:hAnsi="Times New Roman" w:cs="Times New Roman"/>
          <w:iCs/>
          <w:noProof/>
          <w:sz w:val="24"/>
          <w:szCs w:val="24"/>
        </w:rPr>
        <w:t>: 131–46. Leiden: Sidestone.</w:t>
      </w:r>
    </w:p>
    <w:p w14:paraId="2821123F"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Poinar, H.N.</w:t>
      </w:r>
      <w:r w:rsidRPr="00966B0A">
        <w:rPr>
          <w:rFonts w:ascii="Times New Roman" w:hAnsi="Times New Roman" w:cs="Times New Roman"/>
          <w:noProof/>
          <w:sz w:val="24"/>
          <w:szCs w:val="24"/>
        </w:rPr>
        <w:t xml:space="preserve"> </w:t>
      </w:r>
      <w:r w:rsidRPr="00966B0A">
        <w:rPr>
          <w:rFonts w:ascii="Times New Roman" w:hAnsi="Times New Roman" w:cs="Times New Roman"/>
          <w:i/>
          <w:iCs/>
          <w:noProof/>
          <w:sz w:val="24"/>
          <w:szCs w:val="24"/>
        </w:rPr>
        <w:t xml:space="preserve">et al. </w:t>
      </w:r>
      <w:r w:rsidRPr="00966B0A">
        <w:rPr>
          <w:rFonts w:ascii="Times New Roman" w:hAnsi="Times New Roman" w:cs="Times New Roman"/>
          <w:noProof/>
          <w:sz w:val="24"/>
          <w:szCs w:val="24"/>
        </w:rPr>
        <w:t xml:space="preserve">2001. A molecular analysis of dietary diversity for three archaic Native Americans. </w:t>
      </w:r>
      <w:r w:rsidRPr="00966B0A">
        <w:rPr>
          <w:rFonts w:ascii="Times New Roman" w:hAnsi="Times New Roman" w:cs="Times New Roman"/>
          <w:i/>
          <w:noProof/>
          <w:sz w:val="24"/>
          <w:szCs w:val="24"/>
        </w:rPr>
        <w:t>Proceedings of the National Academy of Sciences</w:t>
      </w:r>
      <w:r w:rsidRPr="00966B0A">
        <w:rPr>
          <w:rFonts w:ascii="Times New Roman" w:hAnsi="Times New Roman" w:cs="Times New Roman"/>
          <w:noProof/>
          <w:sz w:val="24"/>
          <w:szCs w:val="24"/>
        </w:rPr>
        <w:t xml:space="preserve"> 98: 4317–22. https://doi.org/10.1073/pnas.061014798</w:t>
      </w:r>
    </w:p>
    <w:p w14:paraId="17C5CEF6"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Reinhard, K.J</w:t>
      </w:r>
      <w:r w:rsidRPr="00966B0A">
        <w:rPr>
          <w:rFonts w:ascii="Times New Roman" w:hAnsi="Times New Roman" w:cs="Times New Roman"/>
          <w:noProof/>
          <w:sz w:val="24"/>
          <w:szCs w:val="24"/>
        </w:rPr>
        <w:t xml:space="preserve">. 1988. Cultural ecology of prehistoric parasitism on the Colorado Plateau as evidenced by coprology. </w:t>
      </w:r>
      <w:r w:rsidRPr="00966B0A">
        <w:rPr>
          <w:rFonts w:ascii="Times New Roman" w:hAnsi="Times New Roman" w:cs="Times New Roman"/>
          <w:i/>
          <w:noProof/>
          <w:sz w:val="24"/>
          <w:szCs w:val="24"/>
        </w:rPr>
        <w:t>American Journal of Physical Anthropology</w:t>
      </w:r>
      <w:r w:rsidRPr="00966B0A">
        <w:rPr>
          <w:rFonts w:ascii="Times New Roman" w:hAnsi="Times New Roman" w:cs="Times New Roman"/>
          <w:noProof/>
          <w:sz w:val="24"/>
          <w:szCs w:val="24"/>
        </w:rPr>
        <w:t xml:space="preserve"> 77: 355–66. https://doi.org/10.1002/ajpa.1330770308</w:t>
      </w:r>
    </w:p>
    <w:p w14:paraId="1AA15F34"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Reinhard, K.J. &amp; V.M. Bryant. 1992</w:t>
      </w:r>
      <w:r w:rsidRPr="00966B0A">
        <w:rPr>
          <w:rFonts w:ascii="Times New Roman" w:hAnsi="Times New Roman" w:cs="Times New Roman"/>
          <w:noProof/>
          <w:sz w:val="24"/>
          <w:szCs w:val="24"/>
        </w:rPr>
        <w:t xml:space="preserve">. Coprolite analysis: a biological perspective on archaeology. </w:t>
      </w:r>
      <w:r w:rsidRPr="00966B0A">
        <w:rPr>
          <w:rFonts w:ascii="Times New Roman" w:hAnsi="Times New Roman" w:cs="Times New Roman"/>
          <w:i/>
          <w:noProof/>
          <w:sz w:val="24"/>
          <w:szCs w:val="24"/>
        </w:rPr>
        <w:t>Archaeological Method and Theory</w:t>
      </w:r>
      <w:r w:rsidRPr="00966B0A">
        <w:rPr>
          <w:rFonts w:ascii="Times New Roman" w:hAnsi="Times New Roman" w:cs="Times New Roman"/>
          <w:noProof/>
          <w:sz w:val="24"/>
          <w:szCs w:val="24"/>
        </w:rPr>
        <w:t xml:space="preserve"> 4: 245–88.</w:t>
      </w:r>
    </w:p>
    <w:p w14:paraId="3BCE0B55"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Reinhard, K.J. &amp; R.H. Hevly.</w:t>
      </w:r>
      <w:r w:rsidRPr="00966B0A">
        <w:rPr>
          <w:rFonts w:ascii="Times New Roman" w:hAnsi="Times New Roman" w:cs="Times New Roman"/>
          <w:noProof/>
          <w:sz w:val="24"/>
          <w:szCs w:val="24"/>
        </w:rPr>
        <w:t xml:space="preserve"> 1991. Dietary and parasitological analysis of coprolites recovered from Mummy 5, Ventana Cave, Arizona. </w:t>
      </w:r>
      <w:r w:rsidRPr="00966B0A">
        <w:rPr>
          <w:rFonts w:ascii="Times New Roman" w:hAnsi="Times New Roman" w:cs="Times New Roman"/>
          <w:i/>
          <w:noProof/>
          <w:sz w:val="24"/>
          <w:szCs w:val="24"/>
        </w:rPr>
        <w:t>Kiva</w:t>
      </w:r>
      <w:r w:rsidRPr="00966B0A">
        <w:rPr>
          <w:rFonts w:ascii="Times New Roman" w:hAnsi="Times New Roman" w:cs="Times New Roman"/>
          <w:noProof/>
          <w:sz w:val="24"/>
          <w:szCs w:val="24"/>
        </w:rPr>
        <w:t xml:space="preserve"> 56: 319–25. https://doi.org/10.1080/00231940.1991.11758174</w:t>
      </w:r>
    </w:p>
    <w:p w14:paraId="6A95939E"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Rhode, D.</w:t>
      </w:r>
      <w:r w:rsidRPr="00966B0A">
        <w:rPr>
          <w:rFonts w:ascii="Times New Roman" w:hAnsi="Times New Roman" w:cs="Times New Roman"/>
          <w:noProof/>
          <w:sz w:val="24"/>
          <w:szCs w:val="24"/>
        </w:rPr>
        <w:t xml:space="preserve"> 2003. Coprolites from Hidden Cave, revisited: evidence for site occupation history, diet and sex of occupants. </w:t>
      </w:r>
      <w:r w:rsidRPr="00966B0A">
        <w:rPr>
          <w:rFonts w:ascii="Times New Roman" w:hAnsi="Times New Roman" w:cs="Times New Roman"/>
          <w:i/>
          <w:noProof/>
          <w:sz w:val="24"/>
          <w:szCs w:val="24"/>
        </w:rPr>
        <w:t>Journal of Archaeological Science</w:t>
      </w:r>
      <w:r w:rsidRPr="00966B0A">
        <w:rPr>
          <w:rFonts w:ascii="Times New Roman" w:hAnsi="Times New Roman" w:cs="Times New Roman"/>
          <w:noProof/>
          <w:sz w:val="24"/>
          <w:szCs w:val="24"/>
        </w:rPr>
        <w:t xml:space="preserve"> 30: 909–922. https://doi.org/10.1016/S0305-4403(02)00270-4</w:t>
      </w:r>
    </w:p>
    <w:p w14:paraId="074D0924"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w:t>
      </w:r>
      <w:r w:rsidRPr="00966B0A">
        <w:rPr>
          <w:rFonts w:ascii="Times New Roman" w:hAnsi="Times New Roman" w:cs="Times New Roman"/>
          <w:noProof/>
          <w:sz w:val="24"/>
          <w:szCs w:val="24"/>
        </w:rPr>
        <w:t xml:space="preserve"> 2008. Dietary plant use by Middle Holocene foragers in the Bonneville Basin, western North America. </w:t>
      </w:r>
      <w:r w:rsidRPr="00966B0A">
        <w:rPr>
          <w:rFonts w:ascii="Times New Roman" w:hAnsi="Times New Roman" w:cs="Times New Roman"/>
          <w:i/>
          <w:noProof/>
          <w:sz w:val="24"/>
          <w:szCs w:val="24"/>
        </w:rPr>
        <w:t>Before Farming</w:t>
      </w:r>
      <w:r w:rsidRPr="00966B0A">
        <w:rPr>
          <w:rFonts w:ascii="Times New Roman" w:hAnsi="Times New Roman" w:cs="Times New Roman"/>
          <w:noProof/>
          <w:sz w:val="24"/>
          <w:szCs w:val="24"/>
        </w:rPr>
        <w:t xml:space="preserve"> 3: 1–17. https://doi.org/10.3828/bfarm.2008.3.2</w:t>
      </w:r>
    </w:p>
    <w:p w14:paraId="31645D68"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Rhode, D. &amp; L.A. Louderback.</w:t>
      </w:r>
      <w:r w:rsidRPr="00966B0A">
        <w:rPr>
          <w:rFonts w:ascii="Times New Roman" w:hAnsi="Times New Roman" w:cs="Times New Roman"/>
          <w:noProof/>
          <w:sz w:val="24"/>
          <w:szCs w:val="24"/>
        </w:rPr>
        <w:t xml:space="preserve"> 2007. Dietary plant use in the Bonneville Basin during the Terminal Pleistocene/Early Holocene transition, in K.E. Graf &amp; D.N. Schmitt (ed.) </w:t>
      </w:r>
      <w:r w:rsidRPr="00966B0A">
        <w:rPr>
          <w:rFonts w:ascii="Times New Roman" w:hAnsi="Times New Roman" w:cs="Times New Roman"/>
          <w:i/>
          <w:noProof/>
          <w:sz w:val="24"/>
          <w:szCs w:val="24"/>
        </w:rPr>
        <w:t>Paleoindian or paleoarchaic? Great Basin human ecology at the Pleistocene/Holocene transition</w:t>
      </w:r>
      <w:r w:rsidRPr="00966B0A">
        <w:rPr>
          <w:rFonts w:ascii="Times New Roman" w:hAnsi="Times New Roman" w:cs="Times New Roman"/>
          <w:iCs/>
          <w:noProof/>
          <w:sz w:val="24"/>
          <w:szCs w:val="24"/>
        </w:rPr>
        <w:t>: 231–47.</w:t>
      </w:r>
      <w:r w:rsidRPr="00966B0A">
        <w:rPr>
          <w:rFonts w:ascii="Times New Roman" w:hAnsi="Times New Roman" w:cs="Times New Roman"/>
          <w:noProof/>
          <w:sz w:val="24"/>
          <w:szCs w:val="24"/>
        </w:rPr>
        <w:t xml:space="preserve"> Salt Lake City: University of Utah Press.</w:t>
      </w:r>
    </w:p>
    <w:p w14:paraId="72602284" w14:textId="77777777" w:rsidR="002E2B7B" w:rsidRPr="00DE6082" w:rsidRDefault="002E2B7B" w:rsidP="002E2B7B">
      <w:pPr>
        <w:spacing w:after="0" w:line="360" w:lineRule="auto"/>
        <w:rPr>
          <w:rFonts w:ascii="Times New Roman" w:hAnsi="Times New Roman" w:cs="Times New Roman"/>
          <w:noProof/>
          <w:sz w:val="24"/>
          <w:szCs w:val="24"/>
        </w:rPr>
      </w:pPr>
      <w:r w:rsidRPr="00DE6082">
        <w:rPr>
          <w:rFonts w:ascii="Times New Roman" w:hAnsi="Times New Roman" w:cs="Times New Roman"/>
          <w:smallCaps/>
          <w:noProof/>
          <w:sz w:val="24"/>
          <w:szCs w:val="24"/>
        </w:rPr>
        <w:t>Rhode, D. &amp; D.B. Madsen.</w:t>
      </w:r>
      <w:r w:rsidRPr="00DE6082">
        <w:rPr>
          <w:rFonts w:ascii="Times New Roman" w:hAnsi="Times New Roman" w:cs="Times New Roman"/>
          <w:noProof/>
          <w:sz w:val="24"/>
          <w:szCs w:val="24"/>
        </w:rPr>
        <w:t xml:space="preserve"> 1995. Late Wisconsin/Early Holocene vegetation in the Bonneville Basin. </w:t>
      </w:r>
      <w:r w:rsidRPr="00DE6082">
        <w:rPr>
          <w:rFonts w:ascii="Times New Roman" w:hAnsi="Times New Roman" w:cs="Times New Roman"/>
          <w:i/>
          <w:noProof/>
          <w:sz w:val="24"/>
          <w:szCs w:val="24"/>
        </w:rPr>
        <w:t>Quarternary Research</w:t>
      </w:r>
      <w:r w:rsidRPr="00DE6082">
        <w:rPr>
          <w:rFonts w:ascii="Times New Roman" w:hAnsi="Times New Roman" w:cs="Times New Roman"/>
          <w:noProof/>
          <w:sz w:val="24"/>
          <w:szCs w:val="24"/>
        </w:rPr>
        <w:t xml:space="preserve"> 44: 246–56. https://doi.org/10.1006/qres.1995.1069</w:t>
      </w:r>
    </w:p>
    <w:p w14:paraId="6D190395"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noProof/>
          <w:sz w:val="24"/>
          <w:szCs w:val="24"/>
        </w:rPr>
        <w:lastRenderedPageBreak/>
        <w:t xml:space="preserve">– 1998. Pine nut use in the Early Holocene and beyond: the Danger Cave archaeobotanical record. </w:t>
      </w:r>
      <w:r w:rsidRPr="00966B0A">
        <w:rPr>
          <w:rFonts w:ascii="Times New Roman" w:hAnsi="Times New Roman" w:cs="Times New Roman"/>
          <w:i/>
          <w:noProof/>
          <w:sz w:val="24"/>
          <w:szCs w:val="24"/>
        </w:rPr>
        <w:t>Journal of Archaeological Science</w:t>
      </w:r>
      <w:r w:rsidRPr="00966B0A">
        <w:rPr>
          <w:rFonts w:ascii="Times New Roman" w:hAnsi="Times New Roman" w:cs="Times New Roman"/>
          <w:noProof/>
          <w:sz w:val="24"/>
          <w:szCs w:val="24"/>
        </w:rPr>
        <w:t xml:space="preserve"> 25: 1199–210. https://doi.org/10.1006/jasc.1998.0290</w:t>
      </w:r>
    </w:p>
    <w:p w14:paraId="73AB5F0A"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Schmitt, D.N. &amp; K.E. Juell.</w:t>
      </w:r>
      <w:r w:rsidRPr="00966B0A">
        <w:rPr>
          <w:rFonts w:ascii="Times New Roman" w:hAnsi="Times New Roman" w:cs="Times New Roman"/>
          <w:noProof/>
          <w:sz w:val="24"/>
          <w:szCs w:val="24"/>
        </w:rPr>
        <w:t xml:space="preserve"> 1994. Toward the identification of coyote scatological faunal accumulations in archaeological contexts. </w:t>
      </w:r>
      <w:r w:rsidRPr="00966B0A">
        <w:rPr>
          <w:rFonts w:ascii="Times New Roman" w:hAnsi="Times New Roman" w:cs="Times New Roman"/>
          <w:i/>
          <w:noProof/>
          <w:sz w:val="24"/>
          <w:szCs w:val="24"/>
        </w:rPr>
        <w:t>Journal of Archaeological Science</w:t>
      </w:r>
      <w:r w:rsidRPr="00966B0A">
        <w:rPr>
          <w:rFonts w:ascii="Times New Roman" w:hAnsi="Times New Roman" w:cs="Times New Roman"/>
          <w:noProof/>
          <w:sz w:val="24"/>
          <w:szCs w:val="24"/>
        </w:rPr>
        <w:t xml:space="preserve"> 21: 249–62. https://doi.org/10.1006/jasc.1994.1025</w:t>
      </w:r>
    </w:p>
    <w:p w14:paraId="106A02D7"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Schmitt, D.N. &amp; K.D. Lupo.</w:t>
      </w:r>
      <w:r w:rsidRPr="00966B0A">
        <w:rPr>
          <w:rFonts w:ascii="Times New Roman" w:hAnsi="Times New Roman" w:cs="Times New Roman"/>
          <w:noProof/>
          <w:sz w:val="24"/>
          <w:szCs w:val="24"/>
        </w:rPr>
        <w:t xml:space="preserve"> 2016. Changes in Late Quaternary mammalian biogeography in the Bonneville Basin, in C.G. Oviatt &amp; J.F. Shroder (ed.) </w:t>
      </w:r>
      <w:r w:rsidRPr="00966B0A">
        <w:rPr>
          <w:rFonts w:ascii="Times New Roman" w:hAnsi="Times New Roman" w:cs="Times New Roman"/>
          <w:i/>
          <w:iCs/>
          <w:noProof/>
          <w:sz w:val="24"/>
          <w:szCs w:val="24"/>
        </w:rPr>
        <w:t xml:space="preserve">Lake Bonneville: a scientific update </w:t>
      </w:r>
      <w:r w:rsidRPr="00966B0A">
        <w:rPr>
          <w:rFonts w:ascii="Times New Roman" w:hAnsi="Times New Roman" w:cs="Times New Roman"/>
          <w:noProof/>
          <w:sz w:val="24"/>
          <w:szCs w:val="24"/>
        </w:rPr>
        <w:t>(Developments in Earth Surface Processes 20): 352–70. New York: Elsevier.</w:t>
      </w:r>
    </w:p>
    <w:p w14:paraId="4DFB9D7D"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Scnhorr, S.L., K. Sankaranarayanan, C.M. Lewis Jr &amp; C. Warinner</w:t>
      </w:r>
      <w:r w:rsidRPr="00966B0A">
        <w:rPr>
          <w:rFonts w:ascii="Times New Roman" w:hAnsi="Times New Roman" w:cs="Times New Roman"/>
          <w:noProof/>
          <w:sz w:val="24"/>
          <w:szCs w:val="24"/>
        </w:rPr>
        <w:t xml:space="preserve">. 2016. Insights into human evolution from ancient and contemporary microbiome studies. </w:t>
      </w:r>
      <w:r w:rsidRPr="00966B0A">
        <w:rPr>
          <w:rFonts w:ascii="Times New Roman" w:hAnsi="Times New Roman" w:cs="Times New Roman"/>
          <w:i/>
          <w:noProof/>
          <w:sz w:val="24"/>
          <w:szCs w:val="24"/>
        </w:rPr>
        <w:t>Current Opinion in Genetics &amp; Development</w:t>
      </w:r>
      <w:r w:rsidRPr="00966B0A">
        <w:rPr>
          <w:rFonts w:ascii="Times New Roman" w:hAnsi="Times New Roman" w:cs="Times New Roman"/>
          <w:noProof/>
          <w:sz w:val="24"/>
          <w:szCs w:val="24"/>
        </w:rPr>
        <w:t xml:space="preserve"> 41: 14–26. https://doi.org/10.1016/j.gde.2016.07.003</w:t>
      </w:r>
    </w:p>
    <w:p w14:paraId="48D5A4C5"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Shillito, L.-M., J.C. Blong, E.J. Green &amp; E. van Asperen</w:t>
      </w:r>
      <w:r w:rsidRPr="00966B0A">
        <w:rPr>
          <w:rFonts w:ascii="Times New Roman" w:hAnsi="Times New Roman" w:cs="Times New Roman"/>
          <w:noProof/>
          <w:sz w:val="24"/>
          <w:szCs w:val="24"/>
        </w:rPr>
        <w:t xml:space="preserve">. 2020. The what, how and why of archaeological coprolite analysis. </w:t>
      </w:r>
      <w:r w:rsidRPr="00966B0A">
        <w:rPr>
          <w:rFonts w:ascii="Times New Roman" w:hAnsi="Times New Roman" w:cs="Times New Roman"/>
          <w:i/>
          <w:noProof/>
          <w:sz w:val="24"/>
          <w:szCs w:val="24"/>
        </w:rPr>
        <w:t>Earth-Science Reviews</w:t>
      </w:r>
      <w:r w:rsidRPr="00966B0A">
        <w:rPr>
          <w:rFonts w:ascii="Times New Roman" w:hAnsi="Times New Roman" w:cs="Times New Roman"/>
          <w:noProof/>
          <w:sz w:val="24"/>
          <w:szCs w:val="24"/>
        </w:rPr>
        <w:t xml:space="preserve"> 207. https://doi.org/10.1016/j.earscirev.2020.103196</w:t>
      </w:r>
    </w:p>
    <w:p w14:paraId="471EE3AC"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Steward, J.H.</w:t>
      </w:r>
      <w:r w:rsidRPr="00966B0A">
        <w:rPr>
          <w:rFonts w:ascii="Times New Roman" w:hAnsi="Times New Roman" w:cs="Times New Roman"/>
          <w:noProof/>
          <w:sz w:val="24"/>
          <w:szCs w:val="24"/>
        </w:rPr>
        <w:t xml:space="preserve"> 1938. </w:t>
      </w:r>
      <w:r w:rsidRPr="00966B0A">
        <w:rPr>
          <w:rFonts w:ascii="Times New Roman" w:hAnsi="Times New Roman" w:cs="Times New Roman"/>
          <w:i/>
          <w:noProof/>
          <w:sz w:val="24"/>
          <w:szCs w:val="24"/>
        </w:rPr>
        <w:t>Basin-plateau Aboriginal sociopolitical groups</w:t>
      </w:r>
      <w:r w:rsidRPr="00966B0A">
        <w:rPr>
          <w:rFonts w:ascii="Times New Roman" w:hAnsi="Times New Roman" w:cs="Times New Roman"/>
          <w:noProof/>
          <w:sz w:val="24"/>
          <w:szCs w:val="24"/>
        </w:rPr>
        <w:t>. Salt Lake City: University of Utah Press.</w:t>
      </w:r>
    </w:p>
    <w:p w14:paraId="0711099E"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Thompson, R.S., C.G. Oviatt, J. Honke &amp; J. McGeehin.</w:t>
      </w:r>
      <w:r w:rsidRPr="00966B0A">
        <w:rPr>
          <w:rFonts w:ascii="Times New Roman" w:hAnsi="Times New Roman" w:cs="Times New Roman"/>
          <w:noProof/>
          <w:sz w:val="24"/>
          <w:szCs w:val="24"/>
        </w:rPr>
        <w:t xml:space="preserve"> 2016. Late Quaternary changes in lakes, vegetation, and climate in the Bonneville basin reconstructed from sediment cores from Great Salt Lake, in C.G. Oviatt &amp; J.F. Shroder (ed.) </w:t>
      </w:r>
      <w:r w:rsidRPr="00966B0A">
        <w:rPr>
          <w:rFonts w:ascii="Times New Roman" w:hAnsi="Times New Roman" w:cs="Times New Roman"/>
          <w:i/>
          <w:iCs/>
          <w:noProof/>
          <w:sz w:val="24"/>
          <w:szCs w:val="24"/>
        </w:rPr>
        <w:t xml:space="preserve">Lake Bonneville: a scientific update </w:t>
      </w:r>
      <w:r w:rsidRPr="00966B0A">
        <w:rPr>
          <w:rFonts w:ascii="Times New Roman" w:hAnsi="Times New Roman" w:cs="Times New Roman"/>
          <w:noProof/>
          <w:sz w:val="24"/>
          <w:szCs w:val="24"/>
        </w:rPr>
        <w:t>(Developments in Earth Surface Processes 20): 221–91. New York: Elsevier.</w:t>
      </w:r>
    </w:p>
    <w:p w14:paraId="33AA947E"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Witt, K.E.</w:t>
      </w:r>
      <w:r w:rsidRPr="00966B0A">
        <w:rPr>
          <w:rFonts w:ascii="Times New Roman" w:hAnsi="Times New Roman" w:cs="Times New Roman"/>
          <w:noProof/>
          <w:sz w:val="24"/>
          <w:szCs w:val="24"/>
        </w:rPr>
        <w:t xml:space="preserve"> </w:t>
      </w:r>
      <w:r w:rsidRPr="00966B0A">
        <w:rPr>
          <w:rFonts w:ascii="Times New Roman" w:hAnsi="Times New Roman" w:cs="Times New Roman"/>
          <w:i/>
          <w:iCs/>
          <w:noProof/>
          <w:sz w:val="24"/>
          <w:szCs w:val="24"/>
        </w:rPr>
        <w:t xml:space="preserve">et al. </w:t>
      </w:r>
      <w:r w:rsidRPr="00966B0A">
        <w:rPr>
          <w:rFonts w:ascii="Times New Roman" w:hAnsi="Times New Roman" w:cs="Times New Roman"/>
          <w:noProof/>
          <w:sz w:val="24"/>
          <w:szCs w:val="24"/>
        </w:rPr>
        <w:t xml:space="preserve">2021. Integrative analysis of DNA, macroscopic remains and stable isotopes of dog coprolites to reconstruct community diet. </w:t>
      </w:r>
      <w:r w:rsidRPr="00966B0A">
        <w:rPr>
          <w:rFonts w:ascii="Times New Roman" w:hAnsi="Times New Roman" w:cs="Times New Roman"/>
          <w:i/>
          <w:noProof/>
          <w:sz w:val="24"/>
          <w:szCs w:val="24"/>
        </w:rPr>
        <w:t>Scientific Reports</w:t>
      </w:r>
      <w:r w:rsidRPr="00966B0A">
        <w:rPr>
          <w:rFonts w:ascii="Times New Roman" w:hAnsi="Times New Roman" w:cs="Times New Roman"/>
          <w:noProof/>
          <w:sz w:val="24"/>
          <w:szCs w:val="24"/>
        </w:rPr>
        <w:t xml:space="preserve"> 11. https://doi.org/10.1038/s41598-021-82362-6</w:t>
      </w:r>
    </w:p>
    <w:p w14:paraId="320F720D"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Wood, J.R. &amp; J.M. Wilmshurst.</w:t>
      </w:r>
      <w:r w:rsidRPr="00966B0A">
        <w:rPr>
          <w:rFonts w:ascii="Times New Roman" w:hAnsi="Times New Roman" w:cs="Times New Roman"/>
          <w:noProof/>
          <w:sz w:val="24"/>
          <w:szCs w:val="24"/>
        </w:rPr>
        <w:t xml:space="preserve"> 2016. A protocol for subsampling Late Quaternary coprolites for multi-proxy analysis. </w:t>
      </w:r>
      <w:r w:rsidRPr="00966B0A">
        <w:rPr>
          <w:rFonts w:ascii="Times New Roman" w:hAnsi="Times New Roman" w:cs="Times New Roman"/>
          <w:i/>
          <w:noProof/>
          <w:sz w:val="24"/>
          <w:szCs w:val="24"/>
        </w:rPr>
        <w:t>Quaternary Science Reviews</w:t>
      </w:r>
      <w:r w:rsidRPr="00966B0A">
        <w:rPr>
          <w:rFonts w:ascii="Times New Roman" w:hAnsi="Times New Roman" w:cs="Times New Roman"/>
          <w:noProof/>
          <w:sz w:val="24"/>
          <w:szCs w:val="24"/>
        </w:rPr>
        <w:t xml:space="preserve"> 138: 1–5. https://doi.org/10.1016/j.quascirev.2016.02.018</w:t>
      </w:r>
    </w:p>
    <w:p w14:paraId="1597331E" w14:textId="77777777" w:rsidR="002E2B7B" w:rsidRPr="00966B0A" w:rsidRDefault="002E2B7B" w:rsidP="002E2B7B">
      <w:pPr>
        <w:spacing w:after="0" w:line="360" w:lineRule="auto"/>
        <w:rPr>
          <w:rFonts w:ascii="Times New Roman" w:hAnsi="Times New Roman" w:cs="Times New Roman"/>
          <w:noProof/>
          <w:sz w:val="24"/>
          <w:szCs w:val="24"/>
        </w:rPr>
      </w:pPr>
      <w:r w:rsidRPr="00966B0A">
        <w:rPr>
          <w:rFonts w:ascii="Times New Roman" w:hAnsi="Times New Roman" w:cs="Times New Roman"/>
          <w:smallCaps/>
          <w:noProof/>
          <w:sz w:val="24"/>
          <w:szCs w:val="24"/>
        </w:rPr>
        <w:t>Wood, J.R., A. Crown, T.L. Cole &amp; J.M. Wilmshurst</w:t>
      </w:r>
      <w:r w:rsidRPr="00966B0A">
        <w:rPr>
          <w:rFonts w:ascii="Times New Roman" w:hAnsi="Times New Roman" w:cs="Times New Roman"/>
          <w:noProof/>
          <w:sz w:val="24"/>
          <w:szCs w:val="24"/>
        </w:rPr>
        <w:t xml:space="preserve">. 2016. Microscopic and ancient DNA profiling of Polynesian dog (kurī) coprolites from northern New Zealand. </w:t>
      </w:r>
      <w:r w:rsidRPr="00966B0A">
        <w:rPr>
          <w:rFonts w:ascii="Times New Roman" w:hAnsi="Times New Roman" w:cs="Times New Roman"/>
          <w:i/>
          <w:noProof/>
          <w:sz w:val="24"/>
          <w:szCs w:val="24"/>
        </w:rPr>
        <w:t>Journal of Archaeological Science: Reports</w:t>
      </w:r>
      <w:r w:rsidRPr="00966B0A">
        <w:rPr>
          <w:rFonts w:ascii="Times New Roman" w:hAnsi="Times New Roman" w:cs="Times New Roman"/>
          <w:noProof/>
          <w:sz w:val="24"/>
          <w:szCs w:val="24"/>
        </w:rPr>
        <w:t xml:space="preserve"> 6: 496–505. https://doi.org/10.1016/j.jasrep.2016.03.020</w:t>
      </w:r>
    </w:p>
    <w:bookmarkEnd w:id="1"/>
    <w:bookmarkEnd w:id="2"/>
    <w:p w14:paraId="71C4FB2C" w14:textId="6A85E3A4" w:rsidR="0063326A" w:rsidRPr="007A6A31" w:rsidRDefault="0063326A" w:rsidP="0098681F">
      <w:pPr>
        <w:spacing w:after="0" w:line="360" w:lineRule="auto"/>
        <w:rPr>
          <w:rFonts w:ascii="Times New Roman" w:hAnsi="Times New Roman" w:cs="Times New Roman"/>
          <w:noProof/>
          <w:sz w:val="24"/>
          <w:szCs w:val="24"/>
        </w:rPr>
      </w:pPr>
    </w:p>
    <w:sectPr w:rsidR="0063326A" w:rsidRPr="007A6A31" w:rsidSect="00A15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522D2"/>
    <w:multiLevelType w:val="multilevel"/>
    <w:tmpl w:val="17D6DB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D4325B"/>
    <w:multiLevelType w:val="hybridMultilevel"/>
    <w:tmpl w:val="385EF45A"/>
    <w:lvl w:ilvl="0" w:tplc="0809000F">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D83408F"/>
    <w:multiLevelType w:val="hybridMultilevel"/>
    <w:tmpl w:val="70A872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CDA488A"/>
    <w:multiLevelType w:val="hybridMultilevel"/>
    <w:tmpl w:val="3196C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50D0D"/>
    <w:multiLevelType w:val="multilevel"/>
    <w:tmpl w:val="AC5CD4CC"/>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16cid:durableId="1052726241">
    <w:abstractNumId w:val="0"/>
  </w:num>
  <w:num w:numId="2" w16cid:durableId="67583263">
    <w:abstractNumId w:val="3"/>
  </w:num>
  <w:num w:numId="3" w16cid:durableId="630012201">
    <w:abstractNumId w:val="4"/>
  </w:num>
  <w:num w:numId="4" w16cid:durableId="1527986583">
    <w:abstractNumId w:val="1"/>
  </w:num>
  <w:num w:numId="5" w16cid:durableId="1363283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9A3DFB"/>
    <w:rsid w:val="00000AA2"/>
    <w:rsid w:val="00001E3D"/>
    <w:rsid w:val="000042C7"/>
    <w:rsid w:val="000059E1"/>
    <w:rsid w:val="00016E99"/>
    <w:rsid w:val="00037AEA"/>
    <w:rsid w:val="0005184F"/>
    <w:rsid w:val="00067D9E"/>
    <w:rsid w:val="00076954"/>
    <w:rsid w:val="00084020"/>
    <w:rsid w:val="0009306D"/>
    <w:rsid w:val="00093FFA"/>
    <w:rsid w:val="00097B64"/>
    <w:rsid w:val="000B3AD3"/>
    <w:rsid w:val="000C0726"/>
    <w:rsid w:val="000C1080"/>
    <w:rsid w:val="000E54AA"/>
    <w:rsid w:val="000F5CD4"/>
    <w:rsid w:val="00100651"/>
    <w:rsid w:val="00103F9B"/>
    <w:rsid w:val="001114E8"/>
    <w:rsid w:val="00134B5B"/>
    <w:rsid w:val="00136AB2"/>
    <w:rsid w:val="00157D4F"/>
    <w:rsid w:val="001648F3"/>
    <w:rsid w:val="00165968"/>
    <w:rsid w:val="001812EF"/>
    <w:rsid w:val="00190A20"/>
    <w:rsid w:val="00195AC8"/>
    <w:rsid w:val="001A703A"/>
    <w:rsid w:val="001C3496"/>
    <w:rsid w:val="001D5AA7"/>
    <w:rsid w:val="001E1129"/>
    <w:rsid w:val="00201A3D"/>
    <w:rsid w:val="00204B33"/>
    <w:rsid w:val="00215886"/>
    <w:rsid w:val="00230927"/>
    <w:rsid w:val="002535E3"/>
    <w:rsid w:val="00270936"/>
    <w:rsid w:val="00273EDD"/>
    <w:rsid w:val="00277B26"/>
    <w:rsid w:val="00287EEE"/>
    <w:rsid w:val="00290252"/>
    <w:rsid w:val="0029271A"/>
    <w:rsid w:val="00292EAD"/>
    <w:rsid w:val="002A6858"/>
    <w:rsid w:val="002B2255"/>
    <w:rsid w:val="002B3D0C"/>
    <w:rsid w:val="002B7DC3"/>
    <w:rsid w:val="002C41DC"/>
    <w:rsid w:val="002E2B7B"/>
    <w:rsid w:val="002E7A32"/>
    <w:rsid w:val="002F2771"/>
    <w:rsid w:val="003049A4"/>
    <w:rsid w:val="0031778A"/>
    <w:rsid w:val="00336049"/>
    <w:rsid w:val="003445F6"/>
    <w:rsid w:val="003500B9"/>
    <w:rsid w:val="00355948"/>
    <w:rsid w:val="00356E99"/>
    <w:rsid w:val="003663DE"/>
    <w:rsid w:val="00370639"/>
    <w:rsid w:val="00393FB3"/>
    <w:rsid w:val="003A1A57"/>
    <w:rsid w:val="003B2000"/>
    <w:rsid w:val="003B42D1"/>
    <w:rsid w:val="003B4785"/>
    <w:rsid w:val="003C6417"/>
    <w:rsid w:val="003F3C45"/>
    <w:rsid w:val="004109A6"/>
    <w:rsid w:val="00426348"/>
    <w:rsid w:val="00460AD1"/>
    <w:rsid w:val="00472E8D"/>
    <w:rsid w:val="004C5FB2"/>
    <w:rsid w:val="004C7831"/>
    <w:rsid w:val="004C7B83"/>
    <w:rsid w:val="004D6EDC"/>
    <w:rsid w:val="004E5738"/>
    <w:rsid w:val="004F0D20"/>
    <w:rsid w:val="00506485"/>
    <w:rsid w:val="00520B3A"/>
    <w:rsid w:val="005251CB"/>
    <w:rsid w:val="005411D7"/>
    <w:rsid w:val="005528D3"/>
    <w:rsid w:val="00582A69"/>
    <w:rsid w:val="005856C5"/>
    <w:rsid w:val="005A4507"/>
    <w:rsid w:val="005B42CB"/>
    <w:rsid w:val="005D1CF0"/>
    <w:rsid w:val="005D4B5C"/>
    <w:rsid w:val="005D5D29"/>
    <w:rsid w:val="005E69E1"/>
    <w:rsid w:val="005F5179"/>
    <w:rsid w:val="005F5D01"/>
    <w:rsid w:val="00603B1E"/>
    <w:rsid w:val="00603ED8"/>
    <w:rsid w:val="006155CA"/>
    <w:rsid w:val="00633075"/>
    <w:rsid w:val="0063326A"/>
    <w:rsid w:val="00634CDF"/>
    <w:rsid w:val="006545C4"/>
    <w:rsid w:val="00683850"/>
    <w:rsid w:val="00687D9F"/>
    <w:rsid w:val="0069761E"/>
    <w:rsid w:val="006A0065"/>
    <w:rsid w:val="006A2D30"/>
    <w:rsid w:val="006B310A"/>
    <w:rsid w:val="006B432F"/>
    <w:rsid w:val="006C0469"/>
    <w:rsid w:val="006C3456"/>
    <w:rsid w:val="006C6E8B"/>
    <w:rsid w:val="006F4815"/>
    <w:rsid w:val="007135FD"/>
    <w:rsid w:val="00716203"/>
    <w:rsid w:val="00725EA9"/>
    <w:rsid w:val="00734C18"/>
    <w:rsid w:val="00762B07"/>
    <w:rsid w:val="007725C5"/>
    <w:rsid w:val="00780176"/>
    <w:rsid w:val="00785FB1"/>
    <w:rsid w:val="007941C6"/>
    <w:rsid w:val="00794320"/>
    <w:rsid w:val="007A1537"/>
    <w:rsid w:val="007A6A31"/>
    <w:rsid w:val="007B3EC4"/>
    <w:rsid w:val="007B746F"/>
    <w:rsid w:val="007E53D0"/>
    <w:rsid w:val="007E5C43"/>
    <w:rsid w:val="008016B8"/>
    <w:rsid w:val="00826631"/>
    <w:rsid w:val="00852C52"/>
    <w:rsid w:val="00853584"/>
    <w:rsid w:val="0086661C"/>
    <w:rsid w:val="008800CF"/>
    <w:rsid w:val="008902FC"/>
    <w:rsid w:val="008A1862"/>
    <w:rsid w:val="008A3908"/>
    <w:rsid w:val="008A7ADB"/>
    <w:rsid w:val="008B66C1"/>
    <w:rsid w:val="008C4AE9"/>
    <w:rsid w:val="008F087C"/>
    <w:rsid w:val="009026BC"/>
    <w:rsid w:val="00905D14"/>
    <w:rsid w:val="00915C12"/>
    <w:rsid w:val="00925F9B"/>
    <w:rsid w:val="0093209F"/>
    <w:rsid w:val="0094481B"/>
    <w:rsid w:val="00944B9F"/>
    <w:rsid w:val="00951D0B"/>
    <w:rsid w:val="00957DC1"/>
    <w:rsid w:val="0098681F"/>
    <w:rsid w:val="00987114"/>
    <w:rsid w:val="009962FC"/>
    <w:rsid w:val="009A30F0"/>
    <w:rsid w:val="009A3DFB"/>
    <w:rsid w:val="009A6EF2"/>
    <w:rsid w:val="009A7E45"/>
    <w:rsid w:val="009B4090"/>
    <w:rsid w:val="009D78BF"/>
    <w:rsid w:val="00A060B8"/>
    <w:rsid w:val="00A1307E"/>
    <w:rsid w:val="00A27359"/>
    <w:rsid w:val="00A35AD7"/>
    <w:rsid w:val="00A43AC3"/>
    <w:rsid w:val="00A47ED8"/>
    <w:rsid w:val="00A5412E"/>
    <w:rsid w:val="00A84A61"/>
    <w:rsid w:val="00AB535F"/>
    <w:rsid w:val="00AC0C4D"/>
    <w:rsid w:val="00AE0AD4"/>
    <w:rsid w:val="00AF6780"/>
    <w:rsid w:val="00B021ED"/>
    <w:rsid w:val="00B042D6"/>
    <w:rsid w:val="00B118AF"/>
    <w:rsid w:val="00B1775F"/>
    <w:rsid w:val="00B31722"/>
    <w:rsid w:val="00B3625A"/>
    <w:rsid w:val="00B5113C"/>
    <w:rsid w:val="00B63306"/>
    <w:rsid w:val="00B63ED2"/>
    <w:rsid w:val="00B67465"/>
    <w:rsid w:val="00B72524"/>
    <w:rsid w:val="00B806B1"/>
    <w:rsid w:val="00B86F4D"/>
    <w:rsid w:val="00BD5E01"/>
    <w:rsid w:val="00BD6FCF"/>
    <w:rsid w:val="00BD7966"/>
    <w:rsid w:val="00BE0DEA"/>
    <w:rsid w:val="00BE4502"/>
    <w:rsid w:val="00C037A5"/>
    <w:rsid w:val="00C071F1"/>
    <w:rsid w:val="00C0786B"/>
    <w:rsid w:val="00C1093B"/>
    <w:rsid w:val="00C2018D"/>
    <w:rsid w:val="00C34F67"/>
    <w:rsid w:val="00C52880"/>
    <w:rsid w:val="00C65C4E"/>
    <w:rsid w:val="00C87C53"/>
    <w:rsid w:val="00C9553C"/>
    <w:rsid w:val="00CB029C"/>
    <w:rsid w:val="00CC39F5"/>
    <w:rsid w:val="00CE2F2F"/>
    <w:rsid w:val="00CE6A39"/>
    <w:rsid w:val="00D00598"/>
    <w:rsid w:val="00D236E2"/>
    <w:rsid w:val="00D315EB"/>
    <w:rsid w:val="00D35EEA"/>
    <w:rsid w:val="00D43A70"/>
    <w:rsid w:val="00D55851"/>
    <w:rsid w:val="00D56004"/>
    <w:rsid w:val="00D61043"/>
    <w:rsid w:val="00D61941"/>
    <w:rsid w:val="00D7499C"/>
    <w:rsid w:val="00D92B2A"/>
    <w:rsid w:val="00DB12D4"/>
    <w:rsid w:val="00DB1B13"/>
    <w:rsid w:val="00DB344C"/>
    <w:rsid w:val="00DC5209"/>
    <w:rsid w:val="00DC7F60"/>
    <w:rsid w:val="00DD03E3"/>
    <w:rsid w:val="00DD491E"/>
    <w:rsid w:val="00DE5A48"/>
    <w:rsid w:val="00DE6082"/>
    <w:rsid w:val="00DF3610"/>
    <w:rsid w:val="00DF4848"/>
    <w:rsid w:val="00DF5A78"/>
    <w:rsid w:val="00DF6D60"/>
    <w:rsid w:val="00DF72BD"/>
    <w:rsid w:val="00E1100C"/>
    <w:rsid w:val="00E15E51"/>
    <w:rsid w:val="00E161D8"/>
    <w:rsid w:val="00E42AA0"/>
    <w:rsid w:val="00E4414F"/>
    <w:rsid w:val="00E60AEF"/>
    <w:rsid w:val="00E7484C"/>
    <w:rsid w:val="00E75B51"/>
    <w:rsid w:val="00E92245"/>
    <w:rsid w:val="00EA6FDE"/>
    <w:rsid w:val="00EB679D"/>
    <w:rsid w:val="00EC1D35"/>
    <w:rsid w:val="00EE16B7"/>
    <w:rsid w:val="00EE2189"/>
    <w:rsid w:val="00F11EE2"/>
    <w:rsid w:val="00F14DAB"/>
    <w:rsid w:val="00F16B65"/>
    <w:rsid w:val="00F23B57"/>
    <w:rsid w:val="00F23CFB"/>
    <w:rsid w:val="00F262F6"/>
    <w:rsid w:val="00F541CA"/>
    <w:rsid w:val="00F60BD3"/>
    <w:rsid w:val="00FA229B"/>
    <w:rsid w:val="00FB1FA2"/>
    <w:rsid w:val="00FB483C"/>
    <w:rsid w:val="00FB6C0B"/>
    <w:rsid w:val="00FC4604"/>
    <w:rsid w:val="00FD3AE1"/>
    <w:rsid w:val="00FE25FD"/>
    <w:rsid w:val="00FE545D"/>
    <w:rsid w:val="00FF65C2"/>
    <w:rsid w:val="00FF7C6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E9C3B"/>
  <w15:chartTrackingRefBased/>
  <w15:docId w15:val="{734BB207-0C42-4FA2-8961-D3BB7E6B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DF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9A3DFB"/>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A3DFB"/>
    <w:rPr>
      <w:rFonts w:ascii="Calibri" w:hAnsi="Calibri" w:cs="Calibri"/>
      <w:noProof/>
      <w:kern w:val="0"/>
      <w14:ligatures w14:val="none"/>
    </w:rPr>
  </w:style>
  <w:style w:type="paragraph" w:customStyle="1" w:styleId="EndNoteBibliography">
    <w:name w:val="EndNote Bibliography"/>
    <w:basedOn w:val="Normal"/>
    <w:link w:val="EndNoteBibliographyChar"/>
    <w:rsid w:val="009A3DFB"/>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A3DFB"/>
    <w:rPr>
      <w:rFonts w:ascii="Calibri" w:hAnsi="Calibri" w:cs="Calibri"/>
      <w:noProof/>
      <w:kern w:val="0"/>
      <w14:ligatures w14:val="none"/>
    </w:rPr>
  </w:style>
  <w:style w:type="table" w:styleId="TableGrid">
    <w:name w:val="Table Grid"/>
    <w:basedOn w:val="TableNormal"/>
    <w:uiPriority w:val="39"/>
    <w:rsid w:val="009A3DF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A3DF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A3DF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A3DF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3DFB"/>
    <w:rPr>
      <w:sz w:val="16"/>
      <w:szCs w:val="16"/>
    </w:rPr>
  </w:style>
  <w:style w:type="paragraph" w:styleId="CommentText">
    <w:name w:val="annotation text"/>
    <w:basedOn w:val="Normal"/>
    <w:link w:val="CommentTextChar"/>
    <w:uiPriority w:val="99"/>
    <w:unhideWhenUsed/>
    <w:rsid w:val="009A3DFB"/>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9A3DFB"/>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042D6"/>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042D6"/>
    <w:rPr>
      <w:rFonts w:ascii="Times New Roman" w:hAnsi="Times New Roman"/>
      <w:b/>
      <w:bCs/>
      <w:kern w:val="0"/>
      <w:sz w:val="20"/>
      <w:szCs w:val="20"/>
      <w14:ligatures w14:val="none"/>
    </w:rPr>
  </w:style>
  <w:style w:type="table" w:customStyle="1" w:styleId="TableGrid4">
    <w:name w:val="Table Grid4"/>
    <w:basedOn w:val="TableNormal"/>
    <w:next w:val="TableGrid"/>
    <w:uiPriority w:val="39"/>
    <w:rsid w:val="00356E9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30927"/>
    <w:pPr>
      <w:spacing w:after="200" w:line="240" w:lineRule="auto"/>
    </w:pPr>
    <w:rPr>
      <w:i/>
      <w:iCs/>
      <w:color w:val="44546A" w:themeColor="text2"/>
      <w:sz w:val="18"/>
      <w:szCs w:val="18"/>
    </w:rPr>
  </w:style>
  <w:style w:type="paragraph" w:styleId="ListParagraph">
    <w:name w:val="List Paragraph"/>
    <w:basedOn w:val="Normal"/>
    <w:uiPriority w:val="34"/>
    <w:qFormat/>
    <w:rsid w:val="00E75B51"/>
    <w:pPr>
      <w:ind w:left="720"/>
      <w:contextualSpacing/>
    </w:pPr>
  </w:style>
  <w:style w:type="table" w:customStyle="1" w:styleId="TableGrid5">
    <w:name w:val="Table Grid5"/>
    <w:basedOn w:val="TableNormal"/>
    <w:next w:val="TableGrid"/>
    <w:uiPriority w:val="39"/>
    <w:rsid w:val="00201A3D"/>
    <w:pPr>
      <w:spacing w:after="0" w:line="240" w:lineRule="auto"/>
    </w:pPr>
    <w:rPr>
      <w:kern w:val="0"/>
      <w:sz w:val="24"/>
      <w:szCs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483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1C8D92B6DDF049A548D48126A7763F" ma:contentTypeVersion="16" ma:contentTypeDescription="Create a new document." ma:contentTypeScope="" ma:versionID="4d7d0adf79065ef05f5e78b0485f1685">
  <xsd:schema xmlns:xsd="http://www.w3.org/2001/XMLSchema" xmlns:xs="http://www.w3.org/2001/XMLSchema" xmlns:p="http://schemas.microsoft.com/office/2006/metadata/properties" xmlns:ns2="da70c3ce-dc9a-4ee3-aecc-93f224539e5c" xmlns:ns3="d2eba423-b50c-447e-9023-c6afef29b892" targetNamespace="http://schemas.microsoft.com/office/2006/metadata/properties" ma:root="true" ma:fieldsID="dfbe40b6f74f3bc5c07086d4396bf126" ns2:_="" ns3:_="">
    <xsd:import namespace="da70c3ce-dc9a-4ee3-aecc-93f224539e5c"/>
    <xsd:import namespace="d2eba423-b50c-447e-9023-c6afef29b8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NameofEditor0" minOccurs="0"/>
                <xsd:element ref="ns2:Readyforproduction" minOccurs="0"/>
                <xsd:element ref="ns3:SharedWithUsers" minOccurs="0"/>
                <xsd:element ref="ns3:SharedWithDetails" minOccurs="0"/>
                <xsd:element ref="ns2:Priority" minOccurs="0"/>
                <xsd:element ref="ns2:Prioritynumber" minOccurs="0"/>
                <xsd:element ref="ns2:Date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0c3ce-dc9a-4ee3-aecc-93f224539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NameofEditor0" ma:index="12" nillable="true" ma:displayName="Name of Editor" ma:format="RadioButtons" ma:internalName="NameofEditor0">
      <xsd:simpleType>
        <xsd:restriction base="dms:Choice">
          <xsd:enumeration value="Robin"/>
          <xsd:enumeration value="Rob"/>
        </xsd:restriction>
      </xsd:simpleType>
    </xsd:element>
    <xsd:element name="Readyforproduction" ma:index="13" nillable="true" ma:displayName="Ready for production" ma:default="0" ma:description="Select 'Yes' when editing is finished." ma:format="Dropdown" ma:internalName="Readyforproduction">
      <xsd:simpleType>
        <xsd:restriction base="dms:Boolean"/>
      </xsd:simpleType>
    </xsd:element>
    <xsd:element name="Priority" ma:index="16" nillable="true" ma:displayName="Priority" ma:format="Dropdown" ma:internalName="Priority" ma:percentage="FALSE">
      <xsd:simpleType>
        <xsd:restriction base="dms:Number"/>
      </xsd:simpleType>
    </xsd:element>
    <xsd:element name="Prioritynumber" ma:index="17" nillable="true" ma:displayName="Priority  " ma:format="RadioButtons" ma:internalName="Prioritynumber">
      <xsd:simpleType>
        <xsd:union memberTypes="dms:Text">
          <xsd:simpleType>
            <xsd:restriction base="dms:Choice">
              <xsd:enumeration value="High"/>
              <xsd:enumeration value="Medium"/>
              <xsd:enumeration value="Low"/>
            </xsd:restriction>
          </xsd:simpleType>
        </xsd:union>
      </xsd:simpleType>
    </xsd:element>
    <xsd:element name="Dateuploaded" ma:index="18" nillable="true" ma:displayName="Date uploaded" ma:format="DateOnly" ma:internalName="Dateupload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2eba423-b50c-447e-9023-c6afef29b8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iority xmlns="da70c3ce-dc9a-4ee3-aecc-93f224539e5c" xsi:nil="true"/>
    <Prioritynumber xmlns="da70c3ce-dc9a-4ee3-aecc-93f224539e5c" xsi:nil="true"/>
    <Readyforproduction xmlns="da70c3ce-dc9a-4ee3-aecc-93f224539e5c">false</Readyforproduction>
    <NameofEditor0 xmlns="da70c3ce-dc9a-4ee3-aecc-93f224539e5c" xsi:nil="true"/>
    <Dateuploaded xmlns="da70c3ce-dc9a-4ee3-aecc-93f224539e5c" xsi:nil="true"/>
  </documentManagement>
</p:properties>
</file>

<file path=customXml/itemProps1.xml><?xml version="1.0" encoding="utf-8"?>
<ds:datastoreItem xmlns:ds="http://schemas.openxmlformats.org/officeDocument/2006/customXml" ds:itemID="{E03CAFCF-F5DA-4A3F-A194-4FC3C8AC3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0c3ce-dc9a-4ee3-aecc-93f224539e5c"/>
    <ds:schemaRef ds:uri="d2eba423-b50c-447e-9023-c6afef29b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C9ACA-832A-4E5E-B66B-8D831A34BE21}">
  <ds:schemaRefs>
    <ds:schemaRef ds:uri="http://schemas.microsoft.com/sharepoint/v3/contenttype/forms"/>
  </ds:schemaRefs>
</ds:datastoreItem>
</file>

<file path=customXml/itemProps3.xml><?xml version="1.0" encoding="utf-8"?>
<ds:datastoreItem xmlns:ds="http://schemas.openxmlformats.org/officeDocument/2006/customXml" ds:itemID="{B8E36A86-44E8-4A52-B830-C0E0EAB373C9}">
  <ds:schemaRefs>
    <ds:schemaRef ds:uri="http://schemas.microsoft.com/office/2006/metadata/properties"/>
    <ds:schemaRef ds:uri="http://schemas.microsoft.com/office/infopath/2007/PartnerControls"/>
    <ds:schemaRef ds:uri="da70c3ce-dc9a-4ee3-aecc-93f224539e5c"/>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5109</Words>
  <Characters>28206</Characters>
  <Application>Microsoft Office Word</Application>
  <DocSecurity>0</DocSecurity>
  <Lines>408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Taryn S</dc:creator>
  <cp:keywords/>
  <dc:description/>
  <cp:lastModifiedBy>gpsg24</cp:lastModifiedBy>
  <cp:revision>3</cp:revision>
  <dcterms:created xsi:type="dcterms:W3CDTF">2024-06-25T10:26:00Z</dcterms:created>
  <dcterms:modified xsi:type="dcterms:W3CDTF">2024-06-25T10:42:00Z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0x010100791C8D92B6DDF049A548D48126A7763F</vt:lpwstr>
  </property>
</Properties>
</file>