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1AD1" w14:textId="4CCB5CF5" w:rsidR="00D80864" w:rsidRDefault="00D80864" w:rsidP="00D80864">
      <w:pPr>
        <w:spacing w:line="360" w:lineRule="auto"/>
        <w:rPr>
          <w:b/>
          <w:bCs/>
          <w:lang w:val="en-GB"/>
        </w:rPr>
      </w:pPr>
      <w:r>
        <w:rPr>
          <w:b/>
          <w:bCs/>
          <w:lang w:val="en-GB"/>
        </w:rPr>
        <w:t>[For SUPPLEMENTARY MATERIAL]</w:t>
      </w:r>
    </w:p>
    <w:p w14:paraId="19D234C7" w14:textId="69202C2C" w:rsidR="00D80864" w:rsidRPr="007F4E74" w:rsidRDefault="009E046C" w:rsidP="00D80864">
      <w:pPr>
        <w:spacing w:line="360" w:lineRule="auto"/>
        <w:rPr>
          <w:b/>
          <w:bCs/>
          <w:lang w:val="en-GB"/>
        </w:rPr>
      </w:pPr>
      <w:r>
        <w:rPr>
          <w:b/>
          <w:bCs/>
          <w:lang w:val="en-GB"/>
        </w:rPr>
        <w:t>H</w:t>
      </w:r>
      <w:r w:rsidR="00D80864" w:rsidRPr="007F4E74">
        <w:rPr>
          <w:b/>
          <w:bCs/>
          <w:lang w:val="en-GB"/>
        </w:rPr>
        <w:t xml:space="preserve">igh levels of consanguinity </w:t>
      </w:r>
      <w:r>
        <w:rPr>
          <w:b/>
          <w:bCs/>
          <w:lang w:val="en-GB"/>
        </w:rPr>
        <w:t xml:space="preserve">in a child </w:t>
      </w:r>
      <w:r w:rsidR="00D80864" w:rsidRPr="007F4E74">
        <w:rPr>
          <w:b/>
          <w:bCs/>
          <w:lang w:val="en-GB"/>
        </w:rPr>
        <w:t>from Paquimé, Chihuahua, Mexico</w:t>
      </w:r>
    </w:p>
    <w:p w14:paraId="303F7277" w14:textId="462C20BC" w:rsidR="00D80864" w:rsidRPr="007F4E74" w:rsidRDefault="00D80864" w:rsidP="00D80864">
      <w:pPr>
        <w:spacing w:line="360" w:lineRule="auto"/>
        <w:rPr>
          <w:lang w:val="en-GB"/>
        </w:rPr>
      </w:pPr>
      <w:r w:rsidRPr="007F4E74">
        <w:rPr>
          <w:lang w:val="en-GB"/>
        </w:rPr>
        <w:t>Jakob Sedig</w:t>
      </w:r>
      <w:r w:rsidRPr="007F4E74">
        <w:rPr>
          <w:vertAlign w:val="superscript"/>
          <w:lang w:val="en-GB"/>
        </w:rPr>
        <w:t>1</w:t>
      </w:r>
      <w:r>
        <w:rPr>
          <w:vertAlign w:val="superscript"/>
          <w:lang w:val="en-GB"/>
        </w:rPr>
        <w:t>,</w:t>
      </w:r>
      <w:r w:rsidR="00C47494">
        <w:rPr>
          <w:vertAlign w:val="superscript"/>
          <w:lang w:val="en-GB"/>
        </w:rPr>
        <w:t>2</w:t>
      </w:r>
      <w:r>
        <w:rPr>
          <w:vertAlign w:val="superscript"/>
          <w:lang w:val="en-GB"/>
        </w:rPr>
        <w:t>*</w:t>
      </w:r>
      <w:r w:rsidRPr="007F4E74">
        <w:rPr>
          <w:lang w:val="en-GB"/>
        </w:rPr>
        <w:t xml:space="preserve">, </w:t>
      </w:r>
      <w:proofErr w:type="spellStart"/>
      <w:r w:rsidRPr="007F4E74">
        <w:rPr>
          <w:lang w:val="en-GB"/>
        </w:rPr>
        <w:t>Meradeth</w:t>
      </w:r>
      <w:proofErr w:type="spellEnd"/>
      <w:r w:rsidRPr="007F4E74">
        <w:rPr>
          <w:lang w:val="en-GB"/>
        </w:rPr>
        <w:t xml:space="preserve"> Snow</w:t>
      </w:r>
      <w:r w:rsidR="00C47494">
        <w:rPr>
          <w:vertAlign w:val="superscript"/>
          <w:lang w:val="en-GB"/>
        </w:rPr>
        <w:t>3</w:t>
      </w:r>
      <w:r w:rsidRPr="007F4E74">
        <w:rPr>
          <w:lang w:val="en-GB"/>
        </w:rPr>
        <w:t>, Michael Searcy</w:t>
      </w:r>
      <w:r w:rsidR="00C47494">
        <w:rPr>
          <w:vertAlign w:val="superscript"/>
          <w:lang w:val="en-GB"/>
        </w:rPr>
        <w:t>4</w:t>
      </w:r>
      <w:r w:rsidRPr="007F4E74">
        <w:rPr>
          <w:lang w:val="en-GB"/>
        </w:rPr>
        <w:t xml:space="preserve">, José Luis </w:t>
      </w:r>
      <w:proofErr w:type="spellStart"/>
      <w:r w:rsidRPr="007F4E74">
        <w:rPr>
          <w:lang w:val="en-GB"/>
        </w:rPr>
        <w:t>Punzo</w:t>
      </w:r>
      <w:proofErr w:type="spellEnd"/>
      <w:r w:rsidRPr="007F4E74">
        <w:rPr>
          <w:lang w:val="en-GB"/>
        </w:rPr>
        <w:t xml:space="preserve"> Diaz</w:t>
      </w:r>
      <w:r w:rsidR="00C47494">
        <w:rPr>
          <w:vertAlign w:val="superscript"/>
          <w:lang w:val="en-GB"/>
        </w:rPr>
        <w:t>5</w:t>
      </w:r>
      <w:r w:rsidRPr="007F4E74">
        <w:rPr>
          <w:lang w:val="en-GB"/>
        </w:rPr>
        <w:t>, Steven LeBlanc</w:t>
      </w:r>
      <w:r w:rsidR="00C47494">
        <w:rPr>
          <w:vertAlign w:val="superscript"/>
          <w:lang w:val="en-GB"/>
        </w:rPr>
        <w:t>6</w:t>
      </w:r>
      <w:r w:rsidRPr="007F4E74">
        <w:rPr>
          <w:lang w:val="en-GB"/>
        </w:rPr>
        <w:t>, Frank Ramos</w:t>
      </w:r>
      <w:r w:rsidR="00C47494">
        <w:rPr>
          <w:vertAlign w:val="superscript"/>
          <w:lang w:val="en-GB"/>
        </w:rPr>
        <w:t>7</w:t>
      </w:r>
      <w:r w:rsidRPr="007F4E74">
        <w:rPr>
          <w:lang w:val="en-GB"/>
        </w:rPr>
        <w:t>, Laurie Eccles</w:t>
      </w:r>
      <w:r w:rsidR="00C47494">
        <w:rPr>
          <w:vertAlign w:val="superscript"/>
          <w:lang w:val="en-GB"/>
        </w:rPr>
        <w:t>8</w:t>
      </w:r>
      <w:r>
        <w:rPr>
          <w:lang w:val="en-GB"/>
        </w:rPr>
        <w:t xml:space="preserve"> &amp;</w:t>
      </w:r>
      <w:r w:rsidRPr="007F4E74">
        <w:rPr>
          <w:lang w:val="en-GB"/>
        </w:rPr>
        <w:t xml:space="preserve"> David Reich</w:t>
      </w:r>
      <w:r w:rsidR="00C47494">
        <w:rPr>
          <w:vertAlign w:val="superscript"/>
          <w:lang w:val="en-GB"/>
        </w:rPr>
        <w:t>2</w:t>
      </w:r>
      <w:r w:rsidRPr="007F4E74">
        <w:rPr>
          <w:vertAlign w:val="superscript"/>
          <w:lang w:val="en-GB"/>
        </w:rPr>
        <w:t>,</w:t>
      </w:r>
      <w:r w:rsidR="00C47494">
        <w:rPr>
          <w:vertAlign w:val="superscript"/>
          <w:lang w:val="en-GB"/>
        </w:rPr>
        <w:t>9</w:t>
      </w:r>
      <w:r w:rsidRPr="007F4E74">
        <w:rPr>
          <w:vertAlign w:val="superscript"/>
          <w:lang w:val="en-GB"/>
        </w:rPr>
        <w:t>,</w:t>
      </w:r>
      <w:r w:rsidR="00C47494">
        <w:rPr>
          <w:vertAlign w:val="superscript"/>
          <w:lang w:val="en-GB"/>
        </w:rPr>
        <w:t>10</w:t>
      </w:r>
      <w:r w:rsidRPr="007F4E74">
        <w:rPr>
          <w:vertAlign w:val="superscript"/>
          <w:lang w:val="en-GB"/>
        </w:rPr>
        <w:t>,1</w:t>
      </w:r>
      <w:r w:rsidR="00C47494">
        <w:rPr>
          <w:vertAlign w:val="superscript"/>
          <w:lang w:val="en-GB"/>
        </w:rPr>
        <w:t>1</w:t>
      </w:r>
      <w:r w:rsidRPr="007F4E74">
        <w:rPr>
          <w:vertAlign w:val="superscript"/>
          <w:lang w:val="en-GB"/>
        </w:rPr>
        <w:t xml:space="preserve"> </w:t>
      </w:r>
    </w:p>
    <w:p w14:paraId="7980ABAD" w14:textId="77777777" w:rsidR="00C47494" w:rsidRDefault="00C47494" w:rsidP="00C47494">
      <w:pPr>
        <w:spacing w:line="360" w:lineRule="auto"/>
        <w:rPr>
          <w:vertAlign w:val="superscript"/>
          <w:lang w:val="en-GB"/>
        </w:rPr>
      </w:pPr>
    </w:p>
    <w:p w14:paraId="0D17043E" w14:textId="2689511E" w:rsidR="00D80864" w:rsidRPr="007F4E74" w:rsidRDefault="00C47494" w:rsidP="00D80864">
      <w:pPr>
        <w:spacing w:line="360" w:lineRule="auto"/>
        <w:rPr>
          <w:lang w:val="en-GB"/>
        </w:rPr>
      </w:pPr>
      <w:r>
        <w:rPr>
          <w:vertAlign w:val="superscript"/>
          <w:lang w:val="en-GB"/>
        </w:rPr>
        <w:t>1</w:t>
      </w:r>
      <w:r w:rsidRPr="00AB2ABE">
        <w:rPr>
          <w:vertAlign w:val="superscript"/>
          <w:lang w:val="en-GB"/>
        </w:rPr>
        <w:t xml:space="preserve"> </w:t>
      </w:r>
      <w:r>
        <w:rPr>
          <w:lang w:val="en-GB"/>
        </w:rPr>
        <w:t>Chronicle Heritage, Phoenix, AZ, USA</w:t>
      </w:r>
    </w:p>
    <w:p w14:paraId="470A7D2A" w14:textId="25F0A457" w:rsidR="00D80864" w:rsidRPr="007F4E74" w:rsidRDefault="00C47494" w:rsidP="00D80864">
      <w:pPr>
        <w:spacing w:line="360" w:lineRule="auto"/>
        <w:rPr>
          <w:lang w:val="en-GB"/>
        </w:rPr>
      </w:pPr>
      <w:r>
        <w:rPr>
          <w:vertAlign w:val="superscript"/>
          <w:lang w:val="en-GB"/>
        </w:rPr>
        <w:t>2</w:t>
      </w:r>
      <w:r w:rsidR="00D80864" w:rsidRPr="00FE3C84">
        <w:rPr>
          <w:vertAlign w:val="superscript"/>
          <w:lang w:val="en-GB"/>
        </w:rPr>
        <w:t xml:space="preserve"> </w:t>
      </w:r>
      <w:r w:rsidR="00D80864" w:rsidRPr="007F4E74">
        <w:rPr>
          <w:lang w:val="en-GB"/>
        </w:rPr>
        <w:t>Department of Human Evolutionary Biology, Harvard University, Cambridge, USA</w:t>
      </w:r>
    </w:p>
    <w:p w14:paraId="78708866" w14:textId="1BDD6FE1" w:rsidR="00D80864" w:rsidRPr="007F4E74" w:rsidRDefault="00C47494" w:rsidP="00D80864">
      <w:pPr>
        <w:spacing w:line="360" w:lineRule="auto"/>
        <w:rPr>
          <w:lang w:val="en-GB"/>
        </w:rPr>
      </w:pPr>
      <w:r>
        <w:rPr>
          <w:vertAlign w:val="superscript"/>
          <w:lang w:val="en-GB"/>
        </w:rPr>
        <w:t>3</w:t>
      </w:r>
      <w:r w:rsidR="00D80864" w:rsidRPr="00FE3C84">
        <w:rPr>
          <w:vertAlign w:val="superscript"/>
          <w:lang w:val="en-GB"/>
        </w:rPr>
        <w:t xml:space="preserve"> </w:t>
      </w:r>
      <w:r w:rsidR="00D80864" w:rsidRPr="007F4E74">
        <w:rPr>
          <w:lang w:val="en-GB"/>
        </w:rPr>
        <w:t>Department of Anthropology, University of Montana, Missoula, USA</w:t>
      </w:r>
    </w:p>
    <w:p w14:paraId="102DB096" w14:textId="1919CF27" w:rsidR="00D80864" w:rsidRPr="007F4E74" w:rsidRDefault="00C47494" w:rsidP="00D80864">
      <w:pPr>
        <w:spacing w:line="360" w:lineRule="auto"/>
        <w:rPr>
          <w:lang w:val="en-GB"/>
        </w:rPr>
      </w:pPr>
      <w:r>
        <w:rPr>
          <w:vertAlign w:val="superscript"/>
          <w:lang w:val="en-GB"/>
        </w:rPr>
        <w:t>4</w:t>
      </w:r>
      <w:r w:rsidR="00D80864" w:rsidRPr="00FE3C84">
        <w:rPr>
          <w:vertAlign w:val="superscript"/>
          <w:lang w:val="en-GB"/>
        </w:rPr>
        <w:t xml:space="preserve"> </w:t>
      </w:r>
      <w:r w:rsidR="00D80864" w:rsidRPr="007F4E74">
        <w:rPr>
          <w:lang w:val="en-GB"/>
        </w:rPr>
        <w:t>Department of Anthropology, Brigham Young University, Provo, USA</w:t>
      </w:r>
    </w:p>
    <w:p w14:paraId="43DC23F6" w14:textId="0E2CB86E" w:rsidR="00D80864" w:rsidRPr="009E046C" w:rsidRDefault="00C47494" w:rsidP="00D80864">
      <w:pPr>
        <w:spacing w:line="360" w:lineRule="auto"/>
        <w:rPr>
          <w:lang w:val="es-ES"/>
        </w:rPr>
      </w:pPr>
      <w:r>
        <w:rPr>
          <w:vertAlign w:val="superscript"/>
          <w:lang w:val="es-ES"/>
        </w:rPr>
        <w:t>5</w:t>
      </w:r>
      <w:r w:rsidR="00D80864" w:rsidRPr="009E046C">
        <w:rPr>
          <w:vertAlign w:val="superscript"/>
          <w:lang w:val="es-ES"/>
        </w:rPr>
        <w:t xml:space="preserve"> </w:t>
      </w:r>
      <w:r w:rsidR="00D80864" w:rsidRPr="009E046C">
        <w:rPr>
          <w:lang w:val="es-ES"/>
        </w:rPr>
        <w:t>Centro In</w:t>
      </w:r>
      <w:r w:rsidR="00D80864" w:rsidRPr="007F4E74">
        <w:rPr>
          <w:lang w:val="es-ES"/>
        </w:rPr>
        <w:t>stituto Nacional de Antropología e Historía</w:t>
      </w:r>
      <w:r w:rsidR="00D80864" w:rsidRPr="009E046C">
        <w:rPr>
          <w:lang w:val="es-ES"/>
        </w:rPr>
        <w:t>-Michoacán, Instituto Nacional de Antropología e Historia</w:t>
      </w:r>
      <w:r w:rsidR="00D80864" w:rsidRPr="007F4E74">
        <w:rPr>
          <w:lang w:val="es-ES"/>
        </w:rPr>
        <w:t xml:space="preserve">, </w:t>
      </w:r>
      <w:r w:rsidR="00D80864">
        <w:rPr>
          <w:lang w:val="es-ES"/>
        </w:rPr>
        <w:t>Morelia,</w:t>
      </w:r>
      <w:r w:rsidR="00D80864" w:rsidRPr="00F3015E">
        <w:rPr>
          <w:lang w:val="es-ES"/>
        </w:rPr>
        <w:t xml:space="preserve"> </w:t>
      </w:r>
      <w:r w:rsidR="00D80864" w:rsidRPr="007F4E74">
        <w:rPr>
          <w:lang w:val="es-ES"/>
        </w:rPr>
        <w:t>Mexico</w:t>
      </w:r>
    </w:p>
    <w:p w14:paraId="6F5C7A6B" w14:textId="64ABFC58" w:rsidR="00D80864" w:rsidRPr="007F4E74" w:rsidRDefault="00C47494" w:rsidP="00D80864">
      <w:pPr>
        <w:spacing w:line="360" w:lineRule="auto"/>
        <w:rPr>
          <w:lang w:val="en-GB"/>
        </w:rPr>
      </w:pPr>
      <w:r>
        <w:rPr>
          <w:vertAlign w:val="superscript"/>
          <w:lang w:val="en-GB"/>
        </w:rPr>
        <w:t>6</w:t>
      </w:r>
      <w:r w:rsidR="00D80864" w:rsidRPr="00FE3C84">
        <w:rPr>
          <w:vertAlign w:val="superscript"/>
          <w:lang w:val="en-GB"/>
        </w:rPr>
        <w:t xml:space="preserve"> </w:t>
      </w:r>
      <w:r w:rsidR="00D80864" w:rsidRPr="007F4E74">
        <w:rPr>
          <w:lang w:val="en-GB"/>
        </w:rPr>
        <w:t>Peabody Museum of Anthropology and Ethnology, Harvard University, Cambridge, USA</w:t>
      </w:r>
    </w:p>
    <w:p w14:paraId="49D143D8" w14:textId="34FCB880" w:rsidR="00D80864" w:rsidRPr="007F4E74" w:rsidRDefault="00C47494" w:rsidP="00D80864">
      <w:pPr>
        <w:spacing w:line="360" w:lineRule="auto"/>
        <w:rPr>
          <w:lang w:val="en-GB"/>
        </w:rPr>
      </w:pPr>
      <w:r>
        <w:rPr>
          <w:vertAlign w:val="superscript"/>
          <w:lang w:val="en-GB"/>
        </w:rPr>
        <w:t>7</w:t>
      </w:r>
      <w:r w:rsidR="00D80864" w:rsidRPr="00FE3C84">
        <w:rPr>
          <w:vertAlign w:val="superscript"/>
          <w:lang w:val="en-GB"/>
        </w:rPr>
        <w:t xml:space="preserve"> </w:t>
      </w:r>
      <w:r w:rsidR="00D80864" w:rsidRPr="007F4E74">
        <w:rPr>
          <w:lang w:val="en-GB"/>
        </w:rPr>
        <w:t>Department of Geological Sciences, New Mexico State University, Las Cruces, USA</w:t>
      </w:r>
    </w:p>
    <w:p w14:paraId="7C24A1BD" w14:textId="5E3EDBFE" w:rsidR="00D80864" w:rsidRPr="007F4E74" w:rsidRDefault="00C47494" w:rsidP="00D80864">
      <w:pPr>
        <w:spacing w:line="360" w:lineRule="auto"/>
      </w:pPr>
      <w:r>
        <w:rPr>
          <w:vertAlign w:val="superscript"/>
        </w:rPr>
        <w:t>8</w:t>
      </w:r>
      <w:r w:rsidR="00D80864" w:rsidRPr="00FE3C84">
        <w:rPr>
          <w:vertAlign w:val="superscript"/>
        </w:rPr>
        <w:t xml:space="preserve"> </w:t>
      </w:r>
      <w:r w:rsidR="00D80864" w:rsidRPr="007F4E74">
        <w:t>Human Paleoecology and Isotope Geochemistry Lab, Department of Anthropology, The Pennsylvania State University, USA</w:t>
      </w:r>
    </w:p>
    <w:p w14:paraId="245DBB8F" w14:textId="2C8A82C8" w:rsidR="00D80864" w:rsidRPr="007F4E74" w:rsidRDefault="00C47494" w:rsidP="00D80864">
      <w:pPr>
        <w:spacing w:line="360" w:lineRule="auto"/>
      </w:pPr>
      <w:r>
        <w:rPr>
          <w:vertAlign w:val="superscript"/>
        </w:rPr>
        <w:t>9</w:t>
      </w:r>
      <w:r w:rsidR="00D80864" w:rsidRPr="00FE3C84">
        <w:rPr>
          <w:vertAlign w:val="superscript"/>
        </w:rPr>
        <w:t xml:space="preserve"> </w:t>
      </w:r>
      <w:r w:rsidR="00D80864" w:rsidRPr="007F4E74">
        <w:t>Department of Genetics, Harvard Medical School, Boston, USA</w:t>
      </w:r>
    </w:p>
    <w:p w14:paraId="3AF12601" w14:textId="58C7EE86" w:rsidR="00D80864" w:rsidRPr="007F4E74" w:rsidRDefault="00C47494" w:rsidP="00D80864">
      <w:pPr>
        <w:spacing w:line="360" w:lineRule="auto"/>
      </w:pPr>
      <w:r>
        <w:rPr>
          <w:vertAlign w:val="superscript"/>
        </w:rPr>
        <w:t>10</w:t>
      </w:r>
      <w:r w:rsidR="00D80864" w:rsidRPr="00FE3C84">
        <w:rPr>
          <w:vertAlign w:val="superscript"/>
        </w:rPr>
        <w:t xml:space="preserve"> </w:t>
      </w:r>
      <w:r w:rsidR="00D80864" w:rsidRPr="007F4E74">
        <w:t>Howard Hughes Medical Institute, Harvard Medical School, Boston, USA</w:t>
      </w:r>
    </w:p>
    <w:p w14:paraId="504BD206" w14:textId="0916698B" w:rsidR="00D80864" w:rsidRPr="007F4E74" w:rsidRDefault="00D80864" w:rsidP="00D80864">
      <w:pPr>
        <w:spacing w:line="360" w:lineRule="auto"/>
        <w:rPr>
          <w:lang w:val="en-GB"/>
        </w:rPr>
      </w:pPr>
      <w:r w:rsidRPr="00FE3C84">
        <w:rPr>
          <w:vertAlign w:val="superscript"/>
        </w:rPr>
        <w:t>1</w:t>
      </w:r>
      <w:r w:rsidR="00C47494">
        <w:rPr>
          <w:vertAlign w:val="superscript"/>
        </w:rPr>
        <w:t>1</w:t>
      </w:r>
      <w:r w:rsidRPr="00FE3C84">
        <w:rPr>
          <w:vertAlign w:val="superscript"/>
        </w:rPr>
        <w:t xml:space="preserve"> </w:t>
      </w:r>
      <w:r w:rsidRPr="007F4E74">
        <w:t xml:space="preserve">Broad Institute of Harvard and </w:t>
      </w:r>
      <w:r w:rsidRPr="0077675C">
        <w:t>Massachusetts Institute of Technology</w:t>
      </w:r>
      <w:r w:rsidRPr="007F4E74">
        <w:t>, Cambridge, USA</w:t>
      </w:r>
    </w:p>
    <w:p w14:paraId="07C50BF8" w14:textId="77777777" w:rsidR="00D80864" w:rsidRPr="00046975" w:rsidRDefault="00D80864" w:rsidP="00D80864">
      <w:pPr>
        <w:spacing w:line="360" w:lineRule="auto"/>
      </w:pPr>
      <w:r w:rsidRPr="00046975">
        <w:rPr>
          <w:vertAlign w:val="superscript"/>
        </w:rPr>
        <w:t xml:space="preserve">* </w:t>
      </w:r>
      <w:r w:rsidRPr="00046975">
        <w:t xml:space="preserve">Author for correspondence </w:t>
      </w:r>
      <w:r w:rsidRPr="00046975">
        <w:rPr>
          <w:rFonts w:ascii="Segoe UI Symbol" w:eastAsia="Arial Unicode MS" w:hAnsi="Segoe UI Symbol" w:cs="Segoe UI Symbol"/>
          <w:color w:val="000000"/>
          <w:bdr w:val="nil"/>
          <w:lang w:eastAsia="en-GB"/>
        </w:rPr>
        <w:t>✉</w:t>
      </w:r>
      <w:r w:rsidRPr="00046975">
        <w:rPr>
          <w:rFonts w:eastAsia="Arial Unicode MS"/>
          <w:color w:val="000000"/>
          <w:bdr w:val="nil"/>
          <w:lang w:eastAsia="en-GB"/>
        </w:rPr>
        <w:t xml:space="preserve"> </w:t>
      </w:r>
      <w:r w:rsidRPr="00A63709">
        <w:rPr>
          <w:rFonts w:eastAsia="Arial Unicode MS"/>
          <w:color w:val="000000"/>
          <w:bdr w:val="nil"/>
          <w:lang w:eastAsia="en-GB"/>
        </w:rPr>
        <w:t>jakob.sedig@gmail.com</w:t>
      </w:r>
    </w:p>
    <w:p w14:paraId="2D68F021" w14:textId="77777777" w:rsidR="00D80864" w:rsidRPr="00046975" w:rsidRDefault="00D80864" w:rsidP="00D80864">
      <w:pPr>
        <w:pBdr>
          <w:top w:val="nil"/>
          <w:left w:val="nil"/>
          <w:bottom w:val="nil"/>
          <w:right w:val="nil"/>
          <w:between w:val="nil"/>
          <w:bar w:val="nil"/>
        </w:pBdr>
        <w:spacing w:line="360" w:lineRule="auto"/>
        <w:rPr>
          <w:rFonts w:eastAsia="Arial Unicode MS"/>
          <w:i/>
          <w:iCs/>
          <w:bdr w:val="nil"/>
          <w:lang w:eastAsia="en-GB"/>
        </w:rPr>
      </w:pPr>
      <w:r w:rsidRPr="00046975">
        <w:rPr>
          <w:rFonts w:eastAsia="Arial Unicode MS"/>
          <w:i/>
          <w:iCs/>
          <w:bdr w:val="nil"/>
          <w:lang w:eastAsia="en-GB"/>
        </w:rPr>
        <w:t xml:space="preserve">Received: </w:t>
      </w:r>
      <w:r>
        <w:rPr>
          <w:rFonts w:eastAsia="Arial Unicode MS"/>
          <w:i/>
          <w:iCs/>
          <w:bdr w:val="nil"/>
          <w:lang w:eastAsia="en-GB"/>
        </w:rPr>
        <w:t>6 May 2023</w:t>
      </w:r>
      <w:r w:rsidRPr="00046975">
        <w:rPr>
          <w:rFonts w:eastAsia="Arial Unicode MS"/>
          <w:i/>
          <w:iCs/>
          <w:bdr w:val="nil"/>
          <w:lang w:eastAsia="en-GB"/>
        </w:rPr>
        <w:t xml:space="preserve">; Revised: </w:t>
      </w:r>
      <w:r>
        <w:rPr>
          <w:rFonts w:eastAsia="Arial Unicode MS"/>
          <w:i/>
          <w:iCs/>
          <w:bdr w:val="nil"/>
          <w:lang w:eastAsia="en-GB"/>
        </w:rPr>
        <w:t>22 December</w:t>
      </w:r>
      <w:r w:rsidRPr="00046975">
        <w:rPr>
          <w:rFonts w:eastAsia="Arial Unicode MS"/>
          <w:i/>
          <w:iCs/>
          <w:bdr w:val="nil"/>
          <w:lang w:eastAsia="en-GB"/>
        </w:rPr>
        <w:t xml:space="preserve"> 2023; Accepted: </w:t>
      </w:r>
      <w:r>
        <w:rPr>
          <w:rFonts w:eastAsia="Arial Unicode MS"/>
          <w:i/>
          <w:iCs/>
          <w:bdr w:val="nil"/>
          <w:lang w:eastAsia="en-GB"/>
        </w:rPr>
        <w:t>16 January 2024</w:t>
      </w:r>
    </w:p>
    <w:p w14:paraId="44219160" w14:textId="77777777" w:rsidR="00D80864" w:rsidRDefault="00D80864" w:rsidP="003D2B36">
      <w:pPr>
        <w:spacing w:line="360" w:lineRule="auto"/>
        <w:rPr>
          <w:b/>
          <w:lang w:val="en"/>
        </w:rPr>
      </w:pPr>
    </w:p>
    <w:p w14:paraId="75AA5426" w14:textId="77777777" w:rsidR="00D80864" w:rsidRDefault="00D80864" w:rsidP="003D2B36">
      <w:pPr>
        <w:spacing w:line="360" w:lineRule="auto"/>
        <w:rPr>
          <w:b/>
          <w:lang w:val="en"/>
        </w:rPr>
      </w:pPr>
    </w:p>
    <w:p w14:paraId="46454A8D" w14:textId="56D2F268" w:rsidR="00C9150C" w:rsidRPr="001C39CD" w:rsidRDefault="003D2B36" w:rsidP="003D2B36">
      <w:pPr>
        <w:spacing w:line="360" w:lineRule="auto"/>
        <w:rPr>
          <w:b/>
          <w:lang w:val="en"/>
        </w:rPr>
      </w:pPr>
      <w:r w:rsidRPr="001C39CD">
        <w:rPr>
          <w:b/>
          <w:lang w:val="en"/>
        </w:rPr>
        <w:t>Ancient DNA laboratory work</w:t>
      </w:r>
    </w:p>
    <w:p w14:paraId="301917B3" w14:textId="3A5C8AF8" w:rsidR="00DC4F8F" w:rsidRPr="001C39CD" w:rsidRDefault="00C9150C" w:rsidP="003D2B36">
      <w:pPr>
        <w:spacing w:line="360" w:lineRule="auto"/>
        <w:rPr>
          <w:bCs/>
          <w:lang w:val="en"/>
        </w:rPr>
      </w:pPr>
      <w:r w:rsidRPr="001C39CD">
        <w:rPr>
          <w:bCs/>
          <w:lang w:val="en"/>
        </w:rPr>
        <w:t>Ancient DNA</w:t>
      </w:r>
      <w:r w:rsidR="00CC2EEC">
        <w:rPr>
          <w:bCs/>
          <w:lang w:val="en"/>
        </w:rPr>
        <w:t xml:space="preserve"> (aDNA)</w:t>
      </w:r>
      <w:r w:rsidRPr="001C39CD">
        <w:rPr>
          <w:bCs/>
          <w:lang w:val="en"/>
        </w:rPr>
        <w:t xml:space="preserve"> f</w:t>
      </w:r>
      <w:r w:rsidR="00124183">
        <w:rPr>
          <w:bCs/>
          <w:lang w:val="en"/>
        </w:rPr>
        <w:t>rom</w:t>
      </w:r>
      <w:r w:rsidRPr="001C39CD">
        <w:rPr>
          <w:bCs/>
          <w:lang w:val="en"/>
        </w:rPr>
        <w:t xml:space="preserve"> </w:t>
      </w:r>
      <w:r w:rsidR="000F6B8C">
        <w:rPr>
          <w:bCs/>
          <w:lang w:val="en"/>
        </w:rPr>
        <w:t>b</w:t>
      </w:r>
      <w:r w:rsidR="006156EB">
        <w:rPr>
          <w:bCs/>
          <w:lang w:val="en"/>
        </w:rPr>
        <w:t>urial 23-8</w:t>
      </w:r>
      <w:r w:rsidRPr="001C39CD">
        <w:rPr>
          <w:bCs/>
          <w:lang w:val="en"/>
        </w:rPr>
        <w:t xml:space="preserve"> was collected as part of the Reich and Snow </w:t>
      </w:r>
      <w:r w:rsidR="00AD63E9">
        <w:rPr>
          <w:bCs/>
          <w:lang w:val="en"/>
        </w:rPr>
        <w:t>Labs’</w:t>
      </w:r>
      <w:r w:rsidRPr="001C39CD">
        <w:rPr>
          <w:bCs/>
          <w:lang w:val="en"/>
        </w:rPr>
        <w:t xml:space="preserve"> collaboration and the </w:t>
      </w:r>
      <w:r w:rsidR="00C6145D" w:rsidRPr="00C247F0">
        <w:t>Proyecto de Investigación de Poblaciones Antiguas en el Norte y Occidente de México</w:t>
      </w:r>
      <w:r w:rsidR="00C6145D" w:rsidRPr="00C247F0">
        <w:rPr>
          <w:lang w:val="en-GB"/>
        </w:rPr>
        <w:t xml:space="preserve"> </w:t>
      </w:r>
      <w:r w:rsidR="00C6145D" w:rsidRPr="004960D8">
        <w:rPr>
          <w:lang w:val="en-GB"/>
        </w:rPr>
        <w:t>(PIPANOM)</w:t>
      </w:r>
      <w:r w:rsidRPr="001C39CD">
        <w:rPr>
          <w:bCs/>
          <w:lang w:val="en"/>
        </w:rPr>
        <w:t xml:space="preserve">. </w:t>
      </w:r>
      <w:r w:rsidR="00DC4F8F" w:rsidRPr="001C39CD">
        <w:rPr>
          <w:bCs/>
          <w:lang w:val="en"/>
        </w:rPr>
        <w:t xml:space="preserve">Under the collaboration agreement, individuals from Paquimé to be sampled for aDNA were brought to the Snow Laboratory (University of Montana) where they underwent initial processing. This involved producing powder from </w:t>
      </w:r>
      <w:r w:rsidR="00CC2EEC">
        <w:rPr>
          <w:bCs/>
          <w:lang w:val="en"/>
        </w:rPr>
        <w:t xml:space="preserve">the </w:t>
      </w:r>
      <w:r w:rsidR="00DC4F8F" w:rsidRPr="001C39CD">
        <w:rPr>
          <w:bCs/>
          <w:lang w:val="en"/>
        </w:rPr>
        <w:t>petrous/cochlea or teeth; the powder was then divided</w:t>
      </w:r>
      <w:r w:rsidR="00063576">
        <w:rPr>
          <w:bCs/>
          <w:lang w:val="en"/>
        </w:rPr>
        <w:t>,</w:t>
      </w:r>
      <w:r w:rsidR="00DC4F8F" w:rsidRPr="001C39CD">
        <w:rPr>
          <w:bCs/>
          <w:lang w:val="en"/>
        </w:rPr>
        <w:t xml:space="preserve"> with half retained by the Snow lab for furthering processing to obtain </w:t>
      </w:r>
      <w:r w:rsidR="00063576">
        <w:rPr>
          <w:bCs/>
          <w:lang w:val="en"/>
        </w:rPr>
        <w:t>mitochondrial (</w:t>
      </w:r>
      <w:r w:rsidR="00DC4F8F" w:rsidRPr="001C39CD">
        <w:rPr>
          <w:bCs/>
          <w:lang w:val="en"/>
        </w:rPr>
        <w:t>mtDNA</w:t>
      </w:r>
      <w:r w:rsidR="00063576">
        <w:rPr>
          <w:bCs/>
          <w:lang w:val="en"/>
        </w:rPr>
        <w:t>)</w:t>
      </w:r>
      <w:r w:rsidR="00DC4F8F" w:rsidRPr="001C39CD">
        <w:rPr>
          <w:bCs/>
          <w:lang w:val="en"/>
        </w:rPr>
        <w:t xml:space="preserve"> data and the other half sent to the Reich </w:t>
      </w:r>
      <w:r w:rsidR="00063576">
        <w:rPr>
          <w:bCs/>
          <w:lang w:val="en"/>
        </w:rPr>
        <w:t>L</w:t>
      </w:r>
      <w:r w:rsidR="00DC4F8F" w:rsidRPr="001C39CD">
        <w:rPr>
          <w:bCs/>
          <w:lang w:val="en"/>
        </w:rPr>
        <w:t>ab</w:t>
      </w:r>
      <w:r w:rsidR="00C572BA">
        <w:rPr>
          <w:bCs/>
          <w:lang w:val="en"/>
        </w:rPr>
        <w:t xml:space="preserve"> (Harvard </w:t>
      </w:r>
      <w:r w:rsidR="00C572BA">
        <w:rPr>
          <w:bCs/>
          <w:lang w:val="en"/>
        </w:rPr>
        <w:lastRenderedPageBreak/>
        <w:t>University)</w:t>
      </w:r>
      <w:r w:rsidR="00DC4F8F" w:rsidRPr="001C39CD">
        <w:rPr>
          <w:bCs/>
          <w:lang w:val="en"/>
        </w:rPr>
        <w:t xml:space="preserve"> for processing to obtain genome-wide aDNA data. The Reich </w:t>
      </w:r>
      <w:r w:rsidR="00777479">
        <w:rPr>
          <w:bCs/>
          <w:lang w:val="en"/>
        </w:rPr>
        <w:t>L</w:t>
      </w:r>
      <w:r w:rsidR="00DC4F8F" w:rsidRPr="001C39CD">
        <w:rPr>
          <w:bCs/>
          <w:lang w:val="en"/>
        </w:rPr>
        <w:t xml:space="preserve">ab received </w:t>
      </w:r>
      <w:r w:rsidR="00124183">
        <w:rPr>
          <w:bCs/>
          <w:lang w:val="en"/>
        </w:rPr>
        <w:t>0</w:t>
      </w:r>
      <w:r w:rsidR="00DC4F8F" w:rsidRPr="001C39CD">
        <w:rPr>
          <w:bCs/>
          <w:lang w:val="en"/>
        </w:rPr>
        <w:t xml:space="preserve">.05 grams of cochlea powder for processing; we describe the procedure below. </w:t>
      </w:r>
    </w:p>
    <w:p w14:paraId="4DA2AEC5" w14:textId="77777777" w:rsidR="00DC4F8F" w:rsidRPr="001C39CD" w:rsidRDefault="00DC4F8F" w:rsidP="003D2B36">
      <w:pPr>
        <w:spacing w:line="360" w:lineRule="auto"/>
        <w:rPr>
          <w:bCs/>
          <w:lang w:val="en"/>
        </w:rPr>
      </w:pPr>
    </w:p>
    <w:p w14:paraId="7EC60D0C" w14:textId="197E3E25" w:rsidR="00DC4F8F" w:rsidRDefault="00DC4F8F" w:rsidP="003D2B36">
      <w:pPr>
        <w:spacing w:line="360" w:lineRule="auto"/>
        <w:rPr>
          <w:lang w:val="en"/>
        </w:rPr>
      </w:pPr>
      <w:r w:rsidRPr="001C39CD">
        <w:rPr>
          <w:bCs/>
          <w:lang w:val="en"/>
        </w:rPr>
        <w:t xml:space="preserve">The powder that arrived at the Reich </w:t>
      </w:r>
      <w:r w:rsidR="001431D8">
        <w:rPr>
          <w:bCs/>
          <w:lang w:val="en"/>
        </w:rPr>
        <w:t>L</w:t>
      </w:r>
      <w:r w:rsidRPr="001C39CD">
        <w:rPr>
          <w:bCs/>
          <w:lang w:val="en"/>
        </w:rPr>
        <w:t>ab was turned into an extract through a series of previously described steps to isolate, clean and amplify the DNA</w:t>
      </w:r>
      <w:r w:rsidR="0005002F">
        <w:rPr>
          <w:bCs/>
          <w:lang w:val="en"/>
        </w:rPr>
        <w:t xml:space="preserve"> </w:t>
      </w:r>
      <w:r w:rsidR="0005002F" w:rsidRPr="0005002F">
        <w:t xml:space="preserve">(Dabney </w:t>
      </w:r>
      <w:r w:rsidR="00021B07" w:rsidRPr="00021B07">
        <w:rPr>
          <w:i/>
          <w:iCs/>
        </w:rPr>
        <w:t>et al</w:t>
      </w:r>
      <w:r w:rsidR="0005002F" w:rsidRPr="0005002F">
        <w:rPr>
          <w:i/>
          <w:iCs/>
        </w:rPr>
        <w:t>.</w:t>
      </w:r>
      <w:r w:rsidR="0005002F" w:rsidRPr="0005002F">
        <w:t xml:space="preserve"> 2013; Rohland </w:t>
      </w:r>
      <w:r w:rsidR="00021B07" w:rsidRPr="00021B07">
        <w:rPr>
          <w:i/>
          <w:iCs/>
        </w:rPr>
        <w:t>et al</w:t>
      </w:r>
      <w:r w:rsidR="0005002F" w:rsidRPr="0005002F">
        <w:rPr>
          <w:i/>
          <w:iCs/>
        </w:rPr>
        <w:t>.</w:t>
      </w:r>
      <w:r w:rsidR="0005002F" w:rsidRPr="0005002F">
        <w:t xml:space="preserve"> 2015)</w:t>
      </w:r>
      <w:r w:rsidRPr="001C39CD">
        <w:rPr>
          <w:bCs/>
          <w:lang w:val="en"/>
        </w:rPr>
        <w:t xml:space="preserve">. In brief, </w:t>
      </w:r>
      <w:r w:rsidRPr="001C39CD">
        <w:rPr>
          <w:lang w:val="en"/>
        </w:rPr>
        <w:t xml:space="preserve">the DNA was converted into a form that could be sequenced using a double-stranded library preparation protocol, which involved </w:t>
      </w:r>
      <w:r w:rsidR="000F1214">
        <w:rPr>
          <w:lang w:val="en"/>
        </w:rPr>
        <w:t xml:space="preserve">a partial </w:t>
      </w:r>
      <w:r w:rsidRPr="001C39CD">
        <w:rPr>
          <w:lang w:val="en"/>
        </w:rPr>
        <w:t xml:space="preserve">pre-treating with the enzyme </w:t>
      </w:r>
      <w:r w:rsidR="00663019">
        <w:rPr>
          <w:lang w:val="en"/>
        </w:rPr>
        <w:t>u</w:t>
      </w:r>
      <w:r w:rsidRPr="001C39CD">
        <w:rPr>
          <w:lang w:val="en"/>
        </w:rPr>
        <w:t xml:space="preserve">racil-DNA </w:t>
      </w:r>
      <w:r w:rsidR="00663019">
        <w:rPr>
          <w:lang w:val="en"/>
        </w:rPr>
        <w:t>g</w:t>
      </w:r>
      <w:r w:rsidRPr="001C39CD">
        <w:rPr>
          <w:lang w:val="en"/>
        </w:rPr>
        <w:t xml:space="preserve">lycosylase (UDG) to reduce the characteristic cytosine-to-thymine errors in </w:t>
      </w:r>
      <w:r w:rsidR="00DD749F">
        <w:rPr>
          <w:lang w:val="en"/>
        </w:rPr>
        <w:t>a</w:t>
      </w:r>
      <w:r w:rsidRPr="001C39CD">
        <w:rPr>
          <w:lang w:val="en"/>
        </w:rPr>
        <w:t>DNA</w:t>
      </w:r>
      <w:r w:rsidR="000F1214">
        <w:rPr>
          <w:lang w:val="en"/>
        </w:rPr>
        <w:t xml:space="preserve"> at all but the terminal positions in the reads</w:t>
      </w:r>
      <w:r w:rsidR="009C17BE" w:rsidRPr="001C39CD">
        <w:rPr>
          <w:lang w:val="en"/>
        </w:rPr>
        <w:t xml:space="preserve">. Following Fu </w:t>
      </w:r>
      <w:r w:rsidR="00021B07" w:rsidRPr="00021B07">
        <w:rPr>
          <w:i/>
          <w:lang w:val="en"/>
        </w:rPr>
        <w:t>et al</w:t>
      </w:r>
      <w:r w:rsidR="009C17BE" w:rsidRPr="001C39CD">
        <w:rPr>
          <w:lang w:val="en"/>
        </w:rPr>
        <w:t xml:space="preserve">. </w:t>
      </w:r>
      <w:r w:rsidR="0005002F" w:rsidRPr="0005002F">
        <w:t>(2013</w:t>
      </w:r>
      <w:r w:rsidR="00C47494">
        <w:t>a</w:t>
      </w:r>
      <w:r w:rsidR="0005002F" w:rsidRPr="0005002F">
        <w:t>, 2015)</w:t>
      </w:r>
      <w:r w:rsidR="009C17BE" w:rsidRPr="001C39CD">
        <w:rPr>
          <w:lang w:val="en"/>
        </w:rPr>
        <w:t xml:space="preserve">, approximately 1.2 million </w:t>
      </w:r>
      <w:r w:rsidR="00F50F38">
        <w:rPr>
          <w:lang w:val="en"/>
        </w:rPr>
        <w:t>single nucleotide polymorphisms (</w:t>
      </w:r>
      <w:r w:rsidR="009C17BE" w:rsidRPr="001C39CD">
        <w:rPr>
          <w:lang w:val="en"/>
        </w:rPr>
        <w:t>SNPs</w:t>
      </w:r>
      <w:r w:rsidR="00F50F38">
        <w:rPr>
          <w:lang w:val="en"/>
        </w:rPr>
        <w:t>)</w:t>
      </w:r>
      <w:r w:rsidR="009C17BE" w:rsidRPr="001C39CD">
        <w:rPr>
          <w:lang w:val="en"/>
        </w:rPr>
        <w:t xml:space="preserve"> were targeted, sequenced on a </w:t>
      </w:r>
      <w:proofErr w:type="spellStart"/>
      <w:r w:rsidR="00410E59">
        <w:rPr>
          <w:lang w:val="en"/>
        </w:rPr>
        <w:t>HiSeq</w:t>
      </w:r>
      <w:proofErr w:type="spellEnd"/>
      <w:r w:rsidR="00410E59">
        <w:rPr>
          <w:lang w:val="en"/>
        </w:rPr>
        <w:t xml:space="preserve"> X10</w:t>
      </w:r>
      <w:r w:rsidR="00410E59" w:rsidRPr="001C39CD">
        <w:rPr>
          <w:lang w:val="en"/>
        </w:rPr>
        <w:t xml:space="preserve"> </w:t>
      </w:r>
      <w:r w:rsidR="009C17BE" w:rsidRPr="001C39CD">
        <w:rPr>
          <w:lang w:val="en"/>
        </w:rPr>
        <w:t>Illumina instrument and mapped to the human genome reference sequence hg19 as previously described</w:t>
      </w:r>
      <w:r w:rsidR="0005002F">
        <w:rPr>
          <w:lang w:val="en"/>
        </w:rPr>
        <w:t xml:space="preserve"> </w:t>
      </w:r>
      <w:r w:rsidR="0005002F" w:rsidRPr="0005002F">
        <w:t xml:space="preserve">(Mathieson </w:t>
      </w:r>
      <w:r w:rsidR="00021B07" w:rsidRPr="00021B07">
        <w:rPr>
          <w:i/>
          <w:iCs/>
        </w:rPr>
        <w:t>et al</w:t>
      </w:r>
      <w:r w:rsidR="0005002F" w:rsidRPr="0005002F">
        <w:rPr>
          <w:i/>
          <w:iCs/>
        </w:rPr>
        <w:t>.</w:t>
      </w:r>
      <w:r w:rsidR="0005002F" w:rsidRPr="0005002F">
        <w:t xml:space="preserve"> 2015)</w:t>
      </w:r>
      <w:r w:rsidR="009C17BE" w:rsidRPr="001C39CD">
        <w:rPr>
          <w:lang w:val="en"/>
        </w:rPr>
        <w:t>. For the whole genome data, an allele at each position was determined by randomly sampling a single position. For the m</w:t>
      </w:r>
      <w:r w:rsidR="00A730B2">
        <w:rPr>
          <w:lang w:val="en"/>
        </w:rPr>
        <w:t>t</w:t>
      </w:r>
      <w:r w:rsidR="009C17BE" w:rsidRPr="001C39CD">
        <w:rPr>
          <w:lang w:val="en"/>
        </w:rPr>
        <w:t>DNA, a consensus sequence was bu</w:t>
      </w:r>
      <w:r w:rsidR="000942F0">
        <w:rPr>
          <w:lang w:val="en"/>
        </w:rPr>
        <w:t xml:space="preserve">ilt </w:t>
      </w:r>
      <w:r w:rsidR="00DC1ABB">
        <w:rPr>
          <w:lang w:val="en"/>
        </w:rPr>
        <w:t xml:space="preserve">aligning to the </w:t>
      </w:r>
      <w:r w:rsidR="008146D9" w:rsidRPr="008146D9">
        <w:rPr>
          <w:lang w:val="en"/>
        </w:rPr>
        <w:t>Reconstructed Sapiens Reference Sequence</w:t>
      </w:r>
      <w:r w:rsidR="00DC1ABB">
        <w:rPr>
          <w:lang w:val="en"/>
        </w:rPr>
        <w:t xml:space="preserve"> genome </w:t>
      </w:r>
      <w:r w:rsidR="00DC1ABB" w:rsidRPr="00DC1ABB">
        <w:t xml:space="preserve">(Behar </w:t>
      </w:r>
      <w:r w:rsidR="00021B07" w:rsidRPr="00021B07">
        <w:rPr>
          <w:i/>
          <w:iCs/>
        </w:rPr>
        <w:t>et al</w:t>
      </w:r>
      <w:r w:rsidR="00DC1ABB" w:rsidRPr="00DC1ABB">
        <w:rPr>
          <w:i/>
          <w:iCs/>
        </w:rPr>
        <w:t>.</w:t>
      </w:r>
      <w:r w:rsidR="00DC1ABB" w:rsidRPr="00DC1ABB">
        <w:t xml:space="preserve"> 2012)</w:t>
      </w:r>
      <w:r w:rsidR="00DC1ABB">
        <w:rPr>
          <w:lang w:val="en"/>
        </w:rPr>
        <w:t>.</w:t>
      </w:r>
    </w:p>
    <w:p w14:paraId="5E12C637" w14:textId="77777777" w:rsidR="00410E59" w:rsidRDefault="00410E59" w:rsidP="003D2B36">
      <w:pPr>
        <w:spacing w:line="360" w:lineRule="auto"/>
        <w:rPr>
          <w:lang w:val="en"/>
        </w:rPr>
      </w:pPr>
    </w:p>
    <w:p w14:paraId="08D73C2F" w14:textId="3B0EC3DF" w:rsidR="00410E59" w:rsidRDefault="00410E59" w:rsidP="003D2B36">
      <w:pPr>
        <w:spacing w:line="360" w:lineRule="auto"/>
        <w:rPr>
          <w:lang w:val="en"/>
        </w:rPr>
      </w:pPr>
      <w:r>
        <w:rPr>
          <w:lang w:val="en"/>
        </w:rPr>
        <w:t xml:space="preserve">Sequencing statistics are presented in Table </w:t>
      </w:r>
      <w:r w:rsidR="00070DB8">
        <w:rPr>
          <w:lang w:val="en"/>
        </w:rPr>
        <w:t>S</w:t>
      </w:r>
      <w:r w:rsidR="00DE56D1">
        <w:rPr>
          <w:lang w:val="en"/>
        </w:rPr>
        <w:t>1</w:t>
      </w:r>
      <w:r>
        <w:rPr>
          <w:lang w:val="en"/>
        </w:rPr>
        <w:t>.</w:t>
      </w:r>
    </w:p>
    <w:p w14:paraId="3B1A798B" w14:textId="77777777" w:rsidR="00FD2EB7" w:rsidRPr="0007782D" w:rsidRDefault="00FD2EB7" w:rsidP="00FD2EB7">
      <w:pPr>
        <w:rPr>
          <w:b/>
          <w:bCs/>
          <w:lang w:val="en"/>
        </w:rPr>
      </w:pPr>
      <w:r w:rsidRPr="0007782D">
        <w:rPr>
          <w:b/>
          <w:bCs/>
          <w:lang w:val="en"/>
        </w:rPr>
        <w:t xml:space="preserve">Table </w:t>
      </w:r>
      <w:r>
        <w:rPr>
          <w:b/>
          <w:bCs/>
          <w:lang w:val="en"/>
        </w:rPr>
        <w:t>S1. Analytical processes and results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875"/>
      </w:tblGrid>
      <w:tr w:rsidR="00FD2EB7" w:rsidRPr="00410E59" w14:paraId="561F2EA2" w14:textId="77777777" w:rsidTr="00121366">
        <w:trPr>
          <w:trHeight w:val="202"/>
        </w:trPr>
        <w:tc>
          <w:tcPr>
            <w:tcW w:w="5395" w:type="dxa"/>
            <w:shd w:val="clear" w:color="auto" w:fill="auto"/>
            <w:vAlign w:val="center"/>
            <w:hideMark/>
          </w:tcPr>
          <w:p w14:paraId="01B5A3DD" w14:textId="77777777" w:rsidR="00FD2EB7" w:rsidRPr="0007782D" w:rsidRDefault="00FD2EB7" w:rsidP="00121366">
            <w:pPr>
              <w:rPr>
                <w:rFonts w:ascii="Calibri" w:hAnsi="Calibri" w:cs="Calibri"/>
                <w:b/>
                <w:bCs/>
                <w:color w:val="000000"/>
                <w:sz w:val="16"/>
                <w:szCs w:val="16"/>
              </w:rPr>
            </w:pPr>
            <w:r w:rsidRPr="0007782D">
              <w:rPr>
                <w:rFonts w:ascii="Calibri" w:hAnsi="Calibri" w:cs="Calibri"/>
                <w:b/>
                <w:bCs/>
                <w:color w:val="000000"/>
                <w:sz w:val="16"/>
                <w:szCs w:val="16"/>
              </w:rPr>
              <w:t>Information</w:t>
            </w:r>
          </w:p>
        </w:tc>
        <w:tc>
          <w:tcPr>
            <w:tcW w:w="3875" w:type="dxa"/>
            <w:shd w:val="clear" w:color="auto" w:fill="auto"/>
            <w:vAlign w:val="center"/>
            <w:hideMark/>
          </w:tcPr>
          <w:p w14:paraId="305C0B03" w14:textId="77777777" w:rsidR="00FD2EB7" w:rsidRPr="0007782D" w:rsidRDefault="00FD2EB7" w:rsidP="00121366">
            <w:pPr>
              <w:rPr>
                <w:rFonts w:ascii="Calibri" w:hAnsi="Calibri" w:cs="Calibri"/>
                <w:b/>
                <w:bCs/>
                <w:color w:val="000000"/>
                <w:sz w:val="16"/>
                <w:szCs w:val="16"/>
              </w:rPr>
            </w:pPr>
            <w:r w:rsidRPr="0007782D">
              <w:rPr>
                <w:rFonts w:ascii="Calibri" w:hAnsi="Calibri" w:cs="Calibri"/>
                <w:b/>
                <w:bCs/>
                <w:color w:val="000000"/>
                <w:sz w:val="16"/>
                <w:szCs w:val="16"/>
              </w:rPr>
              <w:t>Value</w:t>
            </w:r>
          </w:p>
        </w:tc>
      </w:tr>
      <w:tr w:rsidR="00FD2EB7" w:rsidRPr="00410E59" w14:paraId="6A282466" w14:textId="77777777" w:rsidTr="00121366">
        <w:trPr>
          <w:trHeight w:val="202"/>
        </w:trPr>
        <w:tc>
          <w:tcPr>
            <w:tcW w:w="5395" w:type="dxa"/>
            <w:shd w:val="clear" w:color="auto" w:fill="auto"/>
            <w:vAlign w:val="center"/>
            <w:hideMark/>
          </w:tcPr>
          <w:p w14:paraId="054CE4B5"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Skeletal Code</w:t>
            </w:r>
          </w:p>
        </w:tc>
        <w:tc>
          <w:tcPr>
            <w:tcW w:w="3875" w:type="dxa"/>
            <w:shd w:val="clear" w:color="auto" w:fill="auto"/>
            <w:vAlign w:val="center"/>
            <w:hideMark/>
          </w:tcPr>
          <w:p w14:paraId="71EE9DC9"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23-8</w:t>
            </w:r>
          </w:p>
        </w:tc>
      </w:tr>
      <w:tr w:rsidR="00FD2EB7" w:rsidRPr="00410E59" w14:paraId="7329925F" w14:textId="77777777" w:rsidTr="00121366">
        <w:trPr>
          <w:trHeight w:val="202"/>
        </w:trPr>
        <w:tc>
          <w:tcPr>
            <w:tcW w:w="5395" w:type="dxa"/>
            <w:shd w:val="clear" w:color="auto" w:fill="auto"/>
            <w:vAlign w:val="center"/>
            <w:hideMark/>
          </w:tcPr>
          <w:p w14:paraId="21094AFA"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Skeletal element</w:t>
            </w:r>
          </w:p>
        </w:tc>
        <w:tc>
          <w:tcPr>
            <w:tcW w:w="3875" w:type="dxa"/>
            <w:shd w:val="clear" w:color="auto" w:fill="auto"/>
            <w:vAlign w:val="center"/>
            <w:hideMark/>
          </w:tcPr>
          <w:p w14:paraId="7C8E1E33"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cochlea</w:t>
            </w:r>
          </w:p>
        </w:tc>
      </w:tr>
      <w:tr w:rsidR="00FD2EB7" w:rsidRPr="00410E59" w14:paraId="653147B2" w14:textId="77777777" w:rsidTr="00121366">
        <w:trPr>
          <w:trHeight w:val="202"/>
        </w:trPr>
        <w:tc>
          <w:tcPr>
            <w:tcW w:w="5395" w:type="dxa"/>
            <w:shd w:val="clear" w:color="auto" w:fill="auto"/>
            <w:vAlign w:val="center"/>
            <w:hideMark/>
          </w:tcPr>
          <w:p w14:paraId="1CE12C7E" w14:textId="77777777" w:rsidR="00FD2EB7" w:rsidRPr="0007782D" w:rsidRDefault="00FD2EB7" w:rsidP="00121366">
            <w:pPr>
              <w:rPr>
                <w:rFonts w:ascii="Calibri" w:hAnsi="Calibri" w:cs="Calibri"/>
                <w:color w:val="000000"/>
                <w:sz w:val="16"/>
                <w:szCs w:val="16"/>
              </w:rPr>
            </w:pPr>
            <w:r w:rsidRPr="0007782D">
              <w:rPr>
                <w:rFonts w:ascii="Calibri" w:hAnsi="Calibri" w:cs="Calibri"/>
                <w:color w:val="000000"/>
                <w:sz w:val="16"/>
                <w:szCs w:val="16"/>
              </w:rPr>
              <w:t>14C: Material used for radiocarbon measurement</w:t>
            </w:r>
          </w:p>
        </w:tc>
        <w:tc>
          <w:tcPr>
            <w:tcW w:w="3875" w:type="dxa"/>
            <w:shd w:val="clear" w:color="auto" w:fill="auto"/>
            <w:vAlign w:val="center"/>
            <w:hideMark/>
          </w:tcPr>
          <w:p w14:paraId="0574997F"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XAD amino acids</w:t>
            </w:r>
          </w:p>
        </w:tc>
      </w:tr>
      <w:tr w:rsidR="00FD2EB7" w:rsidRPr="00410E59" w14:paraId="1C0C2E8A" w14:textId="77777777" w:rsidTr="00121366">
        <w:trPr>
          <w:trHeight w:val="202"/>
        </w:trPr>
        <w:tc>
          <w:tcPr>
            <w:tcW w:w="5395" w:type="dxa"/>
            <w:shd w:val="clear" w:color="auto" w:fill="auto"/>
            <w:vAlign w:val="center"/>
            <w:hideMark/>
          </w:tcPr>
          <w:p w14:paraId="2E985819"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14C: Fraction Modern</w:t>
            </w:r>
          </w:p>
        </w:tc>
        <w:tc>
          <w:tcPr>
            <w:tcW w:w="3875" w:type="dxa"/>
            <w:shd w:val="clear" w:color="auto" w:fill="auto"/>
            <w:vAlign w:val="center"/>
            <w:hideMark/>
          </w:tcPr>
          <w:p w14:paraId="25788828"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0.9255 ± 0.0017</w:t>
            </w:r>
          </w:p>
        </w:tc>
      </w:tr>
      <w:tr w:rsidR="00FD2EB7" w:rsidRPr="00410E59" w14:paraId="660F2532" w14:textId="77777777" w:rsidTr="00121366">
        <w:trPr>
          <w:trHeight w:val="202"/>
        </w:trPr>
        <w:tc>
          <w:tcPr>
            <w:tcW w:w="5395" w:type="dxa"/>
            <w:shd w:val="clear" w:color="auto" w:fill="auto"/>
            <w:vAlign w:val="center"/>
            <w:hideMark/>
          </w:tcPr>
          <w:p w14:paraId="1A622CF7"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14C: D</w:t>
            </w:r>
            <w:r w:rsidRPr="0007782D">
              <w:rPr>
                <w:rFonts w:ascii="Calibri" w:hAnsi="Calibri" w:cs="Calibri"/>
                <w:sz w:val="16"/>
                <w:szCs w:val="16"/>
                <w:vertAlign w:val="superscript"/>
              </w:rPr>
              <w:t>14</w:t>
            </w:r>
            <w:r w:rsidRPr="0007782D">
              <w:rPr>
                <w:rFonts w:ascii="Calibri" w:hAnsi="Calibri" w:cs="Calibri"/>
                <w:sz w:val="16"/>
                <w:szCs w:val="16"/>
              </w:rPr>
              <w:t>C (‰)</w:t>
            </w:r>
          </w:p>
        </w:tc>
        <w:tc>
          <w:tcPr>
            <w:tcW w:w="3875" w:type="dxa"/>
            <w:shd w:val="clear" w:color="auto" w:fill="auto"/>
            <w:vAlign w:val="center"/>
            <w:hideMark/>
          </w:tcPr>
          <w:p w14:paraId="4363C87C"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-74.5 ± 1.7</w:t>
            </w:r>
          </w:p>
        </w:tc>
      </w:tr>
      <w:tr w:rsidR="00FD2EB7" w:rsidRPr="00410E59" w14:paraId="1562DCC4" w14:textId="77777777" w:rsidTr="00121366">
        <w:trPr>
          <w:trHeight w:val="202"/>
        </w:trPr>
        <w:tc>
          <w:tcPr>
            <w:tcW w:w="5395" w:type="dxa"/>
            <w:shd w:val="clear" w:color="auto" w:fill="auto"/>
            <w:vAlign w:val="center"/>
            <w:hideMark/>
          </w:tcPr>
          <w:p w14:paraId="6E12DB6F"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14C: Uncalibrated radiocarbon date (radiocarbon years BP)</w:t>
            </w:r>
          </w:p>
        </w:tc>
        <w:tc>
          <w:tcPr>
            <w:tcW w:w="3875" w:type="dxa"/>
            <w:shd w:val="clear" w:color="auto" w:fill="auto"/>
            <w:vAlign w:val="center"/>
            <w:hideMark/>
          </w:tcPr>
          <w:p w14:paraId="64791D38"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620 ± 15</w:t>
            </w:r>
          </w:p>
        </w:tc>
      </w:tr>
      <w:tr w:rsidR="00FD2EB7" w:rsidRPr="00410E59" w14:paraId="024F11EB" w14:textId="77777777" w:rsidTr="00121366">
        <w:trPr>
          <w:trHeight w:val="202"/>
        </w:trPr>
        <w:tc>
          <w:tcPr>
            <w:tcW w:w="5395" w:type="dxa"/>
            <w:shd w:val="clear" w:color="auto" w:fill="auto"/>
            <w:vAlign w:val="center"/>
            <w:hideMark/>
          </w:tcPr>
          <w:p w14:paraId="0CBC0281"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14C: δ</w:t>
            </w:r>
            <w:r w:rsidRPr="0007782D">
              <w:rPr>
                <w:rFonts w:ascii="Calibri" w:hAnsi="Calibri" w:cs="Calibri"/>
                <w:sz w:val="16"/>
                <w:szCs w:val="16"/>
                <w:vertAlign w:val="superscript"/>
              </w:rPr>
              <w:t>13</w:t>
            </w:r>
            <w:r w:rsidRPr="0007782D">
              <w:rPr>
                <w:rFonts w:ascii="Calibri" w:hAnsi="Calibri" w:cs="Calibri"/>
                <w:sz w:val="16"/>
                <w:szCs w:val="16"/>
              </w:rPr>
              <w:t>C (‰)</w:t>
            </w:r>
          </w:p>
        </w:tc>
        <w:tc>
          <w:tcPr>
            <w:tcW w:w="3875" w:type="dxa"/>
            <w:shd w:val="clear" w:color="auto" w:fill="auto"/>
            <w:vAlign w:val="center"/>
            <w:hideMark/>
          </w:tcPr>
          <w:p w14:paraId="23B8C44A"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-11.2</w:t>
            </w:r>
            <w:r>
              <w:rPr>
                <w:rFonts w:ascii="Calibri" w:hAnsi="Calibri" w:cs="Calibri"/>
                <w:sz w:val="16"/>
                <w:szCs w:val="16"/>
              </w:rPr>
              <w:t>7</w:t>
            </w:r>
          </w:p>
        </w:tc>
      </w:tr>
      <w:tr w:rsidR="00FD2EB7" w:rsidRPr="00410E59" w14:paraId="6B11EF52" w14:textId="77777777" w:rsidTr="00121366">
        <w:trPr>
          <w:trHeight w:val="202"/>
        </w:trPr>
        <w:tc>
          <w:tcPr>
            <w:tcW w:w="5395" w:type="dxa"/>
            <w:shd w:val="clear" w:color="auto" w:fill="auto"/>
            <w:vAlign w:val="center"/>
            <w:hideMark/>
          </w:tcPr>
          <w:p w14:paraId="2E6F1F57"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14C: δ</w:t>
            </w:r>
            <w:r w:rsidRPr="0007782D">
              <w:rPr>
                <w:rFonts w:ascii="Calibri" w:hAnsi="Calibri" w:cs="Calibri"/>
                <w:sz w:val="16"/>
                <w:szCs w:val="16"/>
                <w:vertAlign w:val="superscript"/>
              </w:rPr>
              <w:t>15</w:t>
            </w:r>
            <w:r w:rsidRPr="0007782D">
              <w:rPr>
                <w:rFonts w:ascii="Calibri" w:hAnsi="Calibri" w:cs="Calibri"/>
                <w:sz w:val="16"/>
                <w:szCs w:val="16"/>
              </w:rPr>
              <w:t>N (‰)</w:t>
            </w:r>
          </w:p>
        </w:tc>
        <w:tc>
          <w:tcPr>
            <w:tcW w:w="3875" w:type="dxa"/>
            <w:shd w:val="clear" w:color="auto" w:fill="auto"/>
            <w:vAlign w:val="center"/>
            <w:hideMark/>
          </w:tcPr>
          <w:p w14:paraId="78122492"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10.8</w:t>
            </w:r>
            <w:r>
              <w:rPr>
                <w:rFonts w:ascii="Calibri" w:hAnsi="Calibri" w:cs="Calibri"/>
                <w:sz w:val="16"/>
                <w:szCs w:val="16"/>
              </w:rPr>
              <w:t>2</w:t>
            </w:r>
          </w:p>
        </w:tc>
      </w:tr>
      <w:tr w:rsidR="00FD2EB7" w:rsidRPr="00410E59" w14:paraId="7AAF95A9" w14:textId="77777777" w:rsidTr="00121366">
        <w:trPr>
          <w:trHeight w:val="202"/>
        </w:trPr>
        <w:tc>
          <w:tcPr>
            <w:tcW w:w="5395" w:type="dxa"/>
            <w:shd w:val="clear" w:color="auto" w:fill="auto"/>
            <w:vAlign w:val="center"/>
            <w:hideMark/>
          </w:tcPr>
          <w:p w14:paraId="2A17076A"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14C: %C</w:t>
            </w:r>
          </w:p>
        </w:tc>
        <w:tc>
          <w:tcPr>
            <w:tcW w:w="3875" w:type="dxa"/>
            <w:shd w:val="clear" w:color="auto" w:fill="auto"/>
            <w:vAlign w:val="center"/>
            <w:hideMark/>
          </w:tcPr>
          <w:p w14:paraId="50843344"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14.73</w:t>
            </w:r>
          </w:p>
        </w:tc>
      </w:tr>
      <w:tr w:rsidR="00FD2EB7" w:rsidRPr="00410E59" w14:paraId="1448C657" w14:textId="77777777" w:rsidTr="00121366">
        <w:trPr>
          <w:trHeight w:val="202"/>
        </w:trPr>
        <w:tc>
          <w:tcPr>
            <w:tcW w:w="5395" w:type="dxa"/>
            <w:shd w:val="clear" w:color="auto" w:fill="auto"/>
            <w:vAlign w:val="center"/>
            <w:hideMark/>
          </w:tcPr>
          <w:p w14:paraId="3D0D6C0E"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14C: %N</w:t>
            </w:r>
          </w:p>
        </w:tc>
        <w:tc>
          <w:tcPr>
            <w:tcW w:w="3875" w:type="dxa"/>
            <w:shd w:val="clear" w:color="auto" w:fill="auto"/>
            <w:vAlign w:val="center"/>
            <w:hideMark/>
          </w:tcPr>
          <w:p w14:paraId="46F73212"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5.35</w:t>
            </w:r>
          </w:p>
        </w:tc>
      </w:tr>
      <w:tr w:rsidR="00FD2EB7" w:rsidRPr="00410E59" w14:paraId="26864EB0" w14:textId="77777777" w:rsidTr="00121366">
        <w:trPr>
          <w:trHeight w:val="202"/>
        </w:trPr>
        <w:tc>
          <w:tcPr>
            <w:tcW w:w="5395" w:type="dxa"/>
            <w:shd w:val="clear" w:color="auto" w:fill="auto"/>
            <w:vAlign w:val="center"/>
            <w:hideMark/>
          </w:tcPr>
          <w:p w14:paraId="46EDBD5D"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14C: C:N ratio</w:t>
            </w:r>
          </w:p>
        </w:tc>
        <w:tc>
          <w:tcPr>
            <w:tcW w:w="3875" w:type="dxa"/>
            <w:shd w:val="clear" w:color="auto" w:fill="auto"/>
            <w:vAlign w:val="center"/>
            <w:hideMark/>
          </w:tcPr>
          <w:p w14:paraId="298676BF"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3.21</w:t>
            </w:r>
          </w:p>
        </w:tc>
      </w:tr>
      <w:tr w:rsidR="00FD2EB7" w:rsidRPr="00410E59" w14:paraId="2FC4889E" w14:textId="77777777" w:rsidTr="00121366">
        <w:trPr>
          <w:trHeight w:val="202"/>
        </w:trPr>
        <w:tc>
          <w:tcPr>
            <w:tcW w:w="5395" w:type="dxa"/>
            <w:shd w:val="clear" w:color="auto" w:fill="auto"/>
            <w:vAlign w:val="center"/>
            <w:hideMark/>
          </w:tcPr>
          <w:p w14:paraId="09856C7D" w14:textId="77777777" w:rsidR="00FD2EB7" w:rsidRPr="0007782D" w:rsidRDefault="00FD2EB7" w:rsidP="00121366">
            <w:pPr>
              <w:rPr>
                <w:rFonts w:ascii="Calibri" w:hAnsi="Calibri" w:cs="Calibri"/>
                <w:color w:val="000000"/>
                <w:sz w:val="16"/>
                <w:szCs w:val="16"/>
              </w:rPr>
            </w:pPr>
            <w:r w:rsidRPr="0007782D">
              <w:rPr>
                <w:rFonts w:ascii="Calibri" w:hAnsi="Calibri" w:cs="Calibri"/>
                <w:color w:val="000000"/>
                <w:sz w:val="16"/>
                <w:szCs w:val="16"/>
              </w:rPr>
              <w:t>14C: Lab Code</w:t>
            </w:r>
          </w:p>
        </w:tc>
        <w:tc>
          <w:tcPr>
            <w:tcW w:w="3875" w:type="dxa"/>
            <w:shd w:val="clear" w:color="auto" w:fill="auto"/>
            <w:vAlign w:val="center"/>
            <w:hideMark/>
          </w:tcPr>
          <w:p w14:paraId="5E9FB3E0"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PSUAMS-10865</w:t>
            </w:r>
          </w:p>
        </w:tc>
      </w:tr>
      <w:tr w:rsidR="00FD2EB7" w:rsidRPr="00410E59" w14:paraId="4FB51B4D" w14:textId="77777777" w:rsidTr="00121366">
        <w:trPr>
          <w:trHeight w:val="202"/>
        </w:trPr>
        <w:tc>
          <w:tcPr>
            <w:tcW w:w="5395" w:type="dxa"/>
            <w:shd w:val="clear" w:color="auto" w:fill="auto"/>
            <w:vAlign w:val="center"/>
            <w:hideMark/>
          </w:tcPr>
          <w:p w14:paraId="21B9F2FC"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14C: OxCal mu (years)</w:t>
            </w:r>
          </w:p>
        </w:tc>
        <w:tc>
          <w:tcPr>
            <w:tcW w:w="3875" w:type="dxa"/>
            <w:shd w:val="clear" w:color="auto" w:fill="auto"/>
            <w:vAlign w:val="center"/>
            <w:hideMark/>
          </w:tcPr>
          <w:p w14:paraId="75AB825D"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604</w:t>
            </w:r>
          </w:p>
        </w:tc>
      </w:tr>
      <w:tr w:rsidR="00FD2EB7" w:rsidRPr="00410E59" w14:paraId="4CE4B7D7" w14:textId="77777777" w:rsidTr="00121366">
        <w:trPr>
          <w:trHeight w:val="202"/>
        </w:trPr>
        <w:tc>
          <w:tcPr>
            <w:tcW w:w="5395" w:type="dxa"/>
            <w:shd w:val="clear" w:color="auto" w:fill="auto"/>
            <w:vAlign w:val="center"/>
            <w:hideMark/>
          </w:tcPr>
          <w:p w14:paraId="71E53A01"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14C: OxCal sigma (years)</w:t>
            </w:r>
          </w:p>
        </w:tc>
        <w:tc>
          <w:tcPr>
            <w:tcW w:w="3875" w:type="dxa"/>
            <w:shd w:val="clear" w:color="auto" w:fill="auto"/>
            <w:vAlign w:val="center"/>
            <w:hideMark/>
          </w:tcPr>
          <w:p w14:paraId="01EF1AD3"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30</w:t>
            </w:r>
          </w:p>
        </w:tc>
      </w:tr>
      <w:tr w:rsidR="00FD2EB7" w:rsidRPr="00410E59" w14:paraId="29A0EF4A" w14:textId="77777777" w:rsidTr="00121366">
        <w:trPr>
          <w:trHeight w:val="202"/>
        </w:trPr>
        <w:tc>
          <w:tcPr>
            <w:tcW w:w="5395" w:type="dxa"/>
            <w:shd w:val="clear" w:color="auto" w:fill="auto"/>
            <w:vAlign w:val="center"/>
            <w:hideMark/>
          </w:tcPr>
          <w:p w14:paraId="7D6D8CDE"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14C: 94.5% confidence interval for calibrated date</w:t>
            </w:r>
          </w:p>
        </w:tc>
        <w:tc>
          <w:tcPr>
            <w:tcW w:w="3875" w:type="dxa"/>
            <w:shd w:val="clear" w:color="auto" w:fill="auto"/>
            <w:vAlign w:val="center"/>
            <w:hideMark/>
          </w:tcPr>
          <w:p w14:paraId="6EC228B7" w14:textId="77777777" w:rsidR="00FD2EB7" w:rsidRPr="0007782D" w:rsidRDefault="00FD2EB7" w:rsidP="00121366">
            <w:pPr>
              <w:rPr>
                <w:rFonts w:ascii="Calibri" w:hAnsi="Calibri" w:cs="Calibri"/>
                <w:color w:val="000000"/>
                <w:sz w:val="16"/>
                <w:szCs w:val="16"/>
              </w:rPr>
            </w:pPr>
            <w:proofErr w:type="spellStart"/>
            <w:r>
              <w:rPr>
                <w:rFonts w:ascii="Calibri" w:hAnsi="Calibri" w:cs="Calibri"/>
                <w:color w:val="000000"/>
                <w:sz w:val="16"/>
                <w:szCs w:val="16"/>
              </w:rPr>
              <w:t>cal</w:t>
            </w:r>
            <w:proofErr w:type="spellEnd"/>
            <w:r>
              <w:rPr>
                <w:rFonts w:ascii="Calibri" w:hAnsi="Calibri" w:cs="Calibri"/>
                <w:color w:val="000000"/>
                <w:sz w:val="16"/>
                <w:szCs w:val="16"/>
              </w:rPr>
              <w:t xml:space="preserve"> AD </w:t>
            </w:r>
            <w:r w:rsidRPr="0007782D">
              <w:rPr>
                <w:rFonts w:ascii="Calibri" w:hAnsi="Calibri" w:cs="Calibri"/>
                <w:color w:val="000000"/>
                <w:sz w:val="16"/>
                <w:szCs w:val="16"/>
              </w:rPr>
              <w:t>1301</w:t>
            </w:r>
            <w:r>
              <w:rPr>
                <w:rFonts w:ascii="Calibri" w:hAnsi="Calibri" w:cs="Calibri"/>
                <w:color w:val="000000"/>
                <w:sz w:val="16"/>
                <w:szCs w:val="16"/>
              </w:rPr>
              <w:t>–</w:t>
            </w:r>
            <w:r w:rsidRPr="0007782D">
              <w:rPr>
                <w:rFonts w:ascii="Calibri" w:hAnsi="Calibri" w:cs="Calibri"/>
                <w:color w:val="000000"/>
                <w:sz w:val="16"/>
                <w:szCs w:val="16"/>
              </w:rPr>
              <w:t>1397</w:t>
            </w:r>
          </w:p>
        </w:tc>
      </w:tr>
      <w:tr w:rsidR="00FD2EB7" w:rsidRPr="00410E59" w14:paraId="4687964F" w14:textId="77777777" w:rsidTr="00121366">
        <w:trPr>
          <w:trHeight w:val="202"/>
        </w:trPr>
        <w:tc>
          <w:tcPr>
            <w:tcW w:w="5395" w:type="dxa"/>
            <w:shd w:val="clear" w:color="auto" w:fill="auto"/>
            <w:vAlign w:val="center"/>
            <w:hideMark/>
          </w:tcPr>
          <w:p w14:paraId="1E08B8A3"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14C: Calibration Program</w:t>
            </w:r>
          </w:p>
        </w:tc>
        <w:tc>
          <w:tcPr>
            <w:tcW w:w="3875" w:type="dxa"/>
            <w:shd w:val="clear" w:color="auto" w:fill="auto"/>
            <w:vAlign w:val="center"/>
            <w:hideMark/>
          </w:tcPr>
          <w:p w14:paraId="4F9FF505"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OxCal 4.4.2</w:t>
            </w:r>
            <w:r>
              <w:rPr>
                <w:rFonts w:ascii="Calibri" w:hAnsi="Calibri" w:cs="Calibri"/>
                <w:sz w:val="16"/>
                <w:szCs w:val="16"/>
              </w:rPr>
              <w:t xml:space="preserve"> and IntCal20 </w:t>
            </w:r>
            <w:r w:rsidRPr="0007782D">
              <w:rPr>
                <w:rFonts w:ascii="Calibri" w:hAnsi="Calibri" w:cs="Calibri"/>
                <w:sz w:val="16"/>
              </w:rPr>
              <w:t xml:space="preserve">(Reimer </w:t>
            </w:r>
            <w:r w:rsidRPr="00021B07">
              <w:rPr>
                <w:rFonts w:ascii="Calibri" w:hAnsi="Calibri" w:cs="Calibri"/>
                <w:i/>
                <w:iCs/>
                <w:sz w:val="16"/>
              </w:rPr>
              <w:t>et al</w:t>
            </w:r>
            <w:r w:rsidRPr="0007782D">
              <w:rPr>
                <w:rFonts w:ascii="Calibri" w:hAnsi="Calibri" w:cs="Calibri"/>
                <w:i/>
                <w:iCs/>
                <w:sz w:val="16"/>
              </w:rPr>
              <w:t>.</w:t>
            </w:r>
            <w:r w:rsidRPr="0007782D">
              <w:rPr>
                <w:rFonts w:ascii="Calibri" w:hAnsi="Calibri" w:cs="Calibri"/>
                <w:sz w:val="16"/>
              </w:rPr>
              <w:t xml:space="preserve"> 2020; Bronk Ramsey 2021)</w:t>
            </w:r>
          </w:p>
        </w:tc>
      </w:tr>
      <w:tr w:rsidR="00FD2EB7" w:rsidRPr="00410E59" w14:paraId="40D4551F" w14:textId="77777777" w:rsidTr="00121366">
        <w:trPr>
          <w:trHeight w:val="202"/>
        </w:trPr>
        <w:tc>
          <w:tcPr>
            <w:tcW w:w="5395" w:type="dxa"/>
            <w:shd w:val="clear" w:color="auto" w:fill="auto"/>
            <w:vAlign w:val="center"/>
            <w:hideMark/>
          </w:tcPr>
          <w:p w14:paraId="5A9E3834" w14:textId="77777777" w:rsidR="00FD2EB7" w:rsidRPr="0007782D" w:rsidRDefault="00FD2EB7" w:rsidP="00121366">
            <w:pPr>
              <w:rPr>
                <w:rFonts w:ascii="Calibri" w:hAnsi="Calibri" w:cs="Calibri"/>
                <w:color w:val="000000"/>
                <w:sz w:val="16"/>
                <w:szCs w:val="16"/>
              </w:rPr>
            </w:pPr>
            <w:r w:rsidRPr="0007782D">
              <w:rPr>
                <w:rFonts w:ascii="Calibri" w:hAnsi="Calibri" w:cs="Calibri"/>
                <w:color w:val="000000"/>
                <w:sz w:val="16"/>
                <w:szCs w:val="16"/>
              </w:rPr>
              <w:t>Genetic (methodology): Library ID</w:t>
            </w:r>
          </w:p>
        </w:tc>
        <w:tc>
          <w:tcPr>
            <w:tcW w:w="3875" w:type="dxa"/>
            <w:shd w:val="clear" w:color="auto" w:fill="auto"/>
            <w:vAlign w:val="center"/>
            <w:hideMark/>
          </w:tcPr>
          <w:p w14:paraId="02DF0520"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S22220.Y1.E2.L1</w:t>
            </w:r>
          </w:p>
        </w:tc>
      </w:tr>
      <w:tr w:rsidR="00FD2EB7" w:rsidRPr="00410E59" w14:paraId="16C091FE" w14:textId="77777777" w:rsidTr="00121366">
        <w:trPr>
          <w:trHeight w:val="202"/>
        </w:trPr>
        <w:tc>
          <w:tcPr>
            <w:tcW w:w="5395" w:type="dxa"/>
            <w:shd w:val="clear" w:color="auto" w:fill="auto"/>
            <w:vAlign w:val="center"/>
            <w:hideMark/>
          </w:tcPr>
          <w:p w14:paraId="2CD25E75" w14:textId="77777777" w:rsidR="00FD2EB7" w:rsidRPr="0007782D" w:rsidRDefault="00FD2EB7" w:rsidP="00121366">
            <w:pPr>
              <w:rPr>
                <w:rFonts w:ascii="Calibri" w:hAnsi="Calibri" w:cs="Calibri"/>
                <w:color w:val="000000"/>
                <w:sz w:val="16"/>
                <w:szCs w:val="16"/>
              </w:rPr>
            </w:pPr>
            <w:r w:rsidRPr="0007782D">
              <w:rPr>
                <w:rFonts w:ascii="Calibri" w:hAnsi="Calibri" w:cs="Calibri"/>
                <w:color w:val="000000"/>
                <w:sz w:val="16"/>
                <w:szCs w:val="16"/>
              </w:rPr>
              <w:t>Genetic (methodology): Individual ID</w:t>
            </w:r>
          </w:p>
        </w:tc>
        <w:tc>
          <w:tcPr>
            <w:tcW w:w="3875" w:type="dxa"/>
            <w:shd w:val="clear" w:color="auto" w:fill="auto"/>
            <w:vAlign w:val="center"/>
            <w:hideMark/>
          </w:tcPr>
          <w:p w14:paraId="1D7E70F8"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I22220</w:t>
            </w:r>
          </w:p>
        </w:tc>
      </w:tr>
      <w:tr w:rsidR="00FD2EB7" w:rsidRPr="00410E59" w14:paraId="00768B6B" w14:textId="77777777" w:rsidTr="00121366">
        <w:trPr>
          <w:trHeight w:val="202"/>
        </w:trPr>
        <w:tc>
          <w:tcPr>
            <w:tcW w:w="5395" w:type="dxa"/>
            <w:shd w:val="clear" w:color="auto" w:fill="auto"/>
            <w:vAlign w:val="center"/>
            <w:hideMark/>
          </w:tcPr>
          <w:p w14:paraId="74AD8414" w14:textId="77777777" w:rsidR="00FD2EB7" w:rsidRPr="0007782D" w:rsidRDefault="00FD2EB7" w:rsidP="00121366">
            <w:pPr>
              <w:rPr>
                <w:rFonts w:ascii="Calibri" w:hAnsi="Calibri" w:cs="Calibri"/>
                <w:color w:val="000000"/>
                <w:sz w:val="16"/>
                <w:szCs w:val="16"/>
              </w:rPr>
            </w:pPr>
            <w:r w:rsidRPr="0007782D">
              <w:rPr>
                <w:rFonts w:ascii="Calibri" w:hAnsi="Calibri" w:cs="Calibri"/>
                <w:color w:val="000000"/>
                <w:sz w:val="16"/>
                <w:szCs w:val="16"/>
              </w:rPr>
              <w:t>Genetic (methodology): amount of powder used in DNA extraction (mg)</w:t>
            </w:r>
          </w:p>
        </w:tc>
        <w:tc>
          <w:tcPr>
            <w:tcW w:w="3875" w:type="dxa"/>
            <w:shd w:val="clear" w:color="auto" w:fill="auto"/>
            <w:vAlign w:val="center"/>
            <w:hideMark/>
          </w:tcPr>
          <w:p w14:paraId="3FB0E60E"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39</w:t>
            </w:r>
          </w:p>
        </w:tc>
      </w:tr>
      <w:tr w:rsidR="00FD2EB7" w:rsidRPr="00410E59" w14:paraId="1A49D015" w14:textId="77777777" w:rsidTr="00121366">
        <w:trPr>
          <w:trHeight w:val="202"/>
        </w:trPr>
        <w:tc>
          <w:tcPr>
            <w:tcW w:w="5395" w:type="dxa"/>
            <w:shd w:val="clear" w:color="auto" w:fill="auto"/>
            <w:vAlign w:val="center"/>
            <w:hideMark/>
          </w:tcPr>
          <w:p w14:paraId="5ECF43AA" w14:textId="77777777" w:rsidR="00FD2EB7" w:rsidRPr="0007782D" w:rsidRDefault="00FD2EB7" w:rsidP="00121366">
            <w:pPr>
              <w:rPr>
                <w:rFonts w:ascii="Calibri" w:hAnsi="Calibri" w:cs="Calibri"/>
                <w:color w:val="000000"/>
                <w:sz w:val="16"/>
                <w:szCs w:val="16"/>
              </w:rPr>
            </w:pPr>
            <w:r w:rsidRPr="0007782D">
              <w:rPr>
                <w:rFonts w:ascii="Calibri" w:hAnsi="Calibri" w:cs="Calibri"/>
                <w:color w:val="000000"/>
                <w:sz w:val="16"/>
                <w:szCs w:val="16"/>
              </w:rPr>
              <w:t>Genetic (methodology): Extraction Method</w:t>
            </w:r>
          </w:p>
        </w:tc>
        <w:tc>
          <w:tcPr>
            <w:tcW w:w="3875" w:type="dxa"/>
            <w:shd w:val="clear" w:color="auto" w:fill="auto"/>
            <w:vAlign w:val="center"/>
            <w:hideMark/>
          </w:tcPr>
          <w:p w14:paraId="5063A8A6" w14:textId="77777777" w:rsidR="00FD2EB7" w:rsidRPr="0007782D" w:rsidRDefault="00FD2EB7" w:rsidP="00121366">
            <w:pPr>
              <w:rPr>
                <w:rFonts w:ascii="Calibri" w:hAnsi="Calibri" w:cs="Calibri"/>
                <w:sz w:val="16"/>
                <w:szCs w:val="16"/>
              </w:rPr>
            </w:pPr>
            <w:r w:rsidRPr="0007782D">
              <w:rPr>
                <w:rFonts w:ascii="Calibri" w:hAnsi="Calibri" w:cs="Calibri"/>
                <w:sz w:val="16"/>
              </w:rPr>
              <w:t xml:space="preserve">(Rohland </w:t>
            </w:r>
            <w:r w:rsidRPr="00021B07">
              <w:rPr>
                <w:rFonts w:ascii="Calibri" w:hAnsi="Calibri" w:cs="Calibri"/>
                <w:i/>
                <w:iCs/>
                <w:sz w:val="16"/>
              </w:rPr>
              <w:t>et al</w:t>
            </w:r>
            <w:r w:rsidRPr="0007782D">
              <w:rPr>
                <w:rFonts w:ascii="Calibri" w:hAnsi="Calibri" w:cs="Calibri"/>
                <w:i/>
                <w:iCs/>
                <w:sz w:val="16"/>
              </w:rPr>
              <w:t>.</w:t>
            </w:r>
            <w:r w:rsidRPr="0007782D">
              <w:rPr>
                <w:rFonts w:ascii="Calibri" w:hAnsi="Calibri" w:cs="Calibri"/>
                <w:sz w:val="16"/>
              </w:rPr>
              <w:t xml:space="preserve"> 2018)</w:t>
            </w:r>
            <w:r w:rsidRPr="0007782D">
              <w:rPr>
                <w:rFonts w:ascii="Calibri" w:hAnsi="Calibri" w:cs="Calibri"/>
                <w:sz w:val="16"/>
                <w:szCs w:val="16"/>
              </w:rPr>
              <w:t>; Dabney Buffer, silica beads, robotic</w:t>
            </w:r>
          </w:p>
        </w:tc>
      </w:tr>
      <w:tr w:rsidR="00FD2EB7" w:rsidRPr="00410E59" w14:paraId="1F3C340A" w14:textId="77777777" w:rsidTr="00121366">
        <w:trPr>
          <w:trHeight w:val="202"/>
        </w:trPr>
        <w:tc>
          <w:tcPr>
            <w:tcW w:w="5395" w:type="dxa"/>
            <w:shd w:val="clear" w:color="auto" w:fill="auto"/>
            <w:vAlign w:val="center"/>
            <w:hideMark/>
          </w:tcPr>
          <w:p w14:paraId="1CC07F10" w14:textId="77777777" w:rsidR="00FD2EB7" w:rsidRPr="0007782D" w:rsidRDefault="00FD2EB7" w:rsidP="00121366">
            <w:pPr>
              <w:rPr>
                <w:rFonts w:ascii="Calibri" w:hAnsi="Calibri" w:cs="Calibri"/>
                <w:color w:val="000000"/>
                <w:sz w:val="16"/>
                <w:szCs w:val="16"/>
              </w:rPr>
            </w:pPr>
            <w:r w:rsidRPr="0007782D">
              <w:rPr>
                <w:rFonts w:ascii="Calibri" w:hAnsi="Calibri" w:cs="Calibri"/>
                <w:color w:val="000000"/>
                <w:sz w:val="16"/>
                <w:szCs w:val="16"/>
              </w:rPr>
              <w:t>Genetic (methodology): Library preparation</w:t>
            </w:r>
          </w:p>
        </w:tc>
        <w:tc>
          <w:tcPr>
            <w:tcW w:w="3875" w:type="dxa"/>
            <w:shd w:val="clear" w:color="auto" w:fill="auto"/>
            <w:vAlign w:val="center"/>
            <w:hideMark/>
          </w:tcPr>
          <w:p w14:paraId="1FD73C97"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double-stranded, partially UDG-treated</w:t>
            </w:r>
          </w:p>
        </w:tc>
      </w:tr>
      <w:tr w:rsidR="00FD2EB7" w:rsidRPr="00410E59" w14:paraId="7111AA96" w14:textId="77777777" w:rsidTr="00121366">
        <w:trPr>
          <w:trHeight w:val="202"/>
        </w:trPr>
        <w:tc>
          <w:tcPr>
            <w:tcW w:w="5395" w:type="dxa"/>
            <w:shd w:val="clear" w:color="auto" w:fill="auto"/>
            <w:vAlign w:val="center"/>
            <w:hideMark/>
          </w:tcPr>
          <w:p w14:paraId="63A52C89" w14:textId="77777777" w:rsidR="00FD2EB7" w:rsidRPr="0007782D" w:rsidRDefault="00FD2EB7" w:rsidP="00121366">
            <w:pPr>
              <w:rPr>
                <w:rFonts w:ascii="Calibri" w:hAnsi="Calibri" w:cs="Calibri"/>
                <w:color w:val="000000"/>
                <w:sz w:val="16"/>
                <w:szCs w:val="16"/>
              </w:rPr>
            </w:pPr>
            <w:r w:rsidRPr="0007782D">
              <w:rPr>
                <w:rFonts w:ascii="Calibri" w:hAnsi="Calibri" w:cs="Calibri"/>
                <w:color w:val="000000"/>
                <w:sz w:val="16"/>
                <w:szCs w:val="16"/>
              </w:rPr>
              <w:t>Genetic (methodology): amount of powder in library (mg)</w:t>
            </w:r>
          </w:p>
        </w:tc>
        <w:tc>
          <w:tcPr>
            <w:tcW w:w="3875" w:type="dxa"/>
            <w:shd w:val="clear" w:color="auto" w:fill="auto"/>
            <w:vAlign w:val="center"/>
            <w:hideMark/>
          </w:tcPr>
          <w:p w14:paraId="52AA79DB"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7.8</w:t>
            </w:r>
          </w:p>
        </w:tc>
      </w:tr>
      <w:tr w:rsidR="00FD2EB7" w:rsidRPr="00410E59" w14:paraId="0D7768EA" w14:textId="77777777" w:rsidTr="00121366">
        <w:trPr>
          <w:trHeight w:val="202"/>
        </w:trPr>
        <w:tc>
          <w:tcPr>
            <w:tcW w:w="5395" w:type="dxa"/>
            <w:shd w:val="clear" w:color="auto" w:fill="auto"/>
            <w:vAlign w:val="center"/>
            <w:hideMark/>
          </w:tcPr>
          <w:p w14:paraId="4DCA2923" w14:textId="77777777" w:rsidR="00FD2EB7" w:rsidRPr="0007782D" w:rsidRDefault="00FD2EB7" w:rsidP="00121366">
            <w:pPr>
              <w:rPr>
                <w:rFonts w:ascii="Calibri" w:hAnsi="Calibri" w:cs="Calibri"/>
                <w:color w:val="000000"/>
                <w:sz w:val="16"/>
                <w:szCs w:val="16"/>
              </w:rPr>
            </w:pPr>
            <w:r w:rsidRPr="0007782D">
              <w:rPr>
                <w:rFonts w:ascii="Calibri" w:hAnsi="Calibri" w:cs="Calibri"/>
                <w:color w:val="000000"/>
                <w:sz w:val="16"/>
                <w:szCs w:val="16"/>
              </w:rPr>
              <w:lastRenderedPageBreak/>
              <w:t>Genetic (methodology): Library Preparation Method</w:t>
            </w:r>
          </w:p>
        </w:tc>
        <w:tc>
          <w:tcPr>
            <w:tcW w:w="3875" w:type="dxa"/>
            <w:shd w:val="clear" w:color="auto" w:fill="auto"/>
            <w:vAlign w:val="center"/>
            <w:hideMark/>
          </w:tcPr>
          <w:p w14:paraId="5F990C3D" w14:textId="77777777" w:rsidR="00FD2EB7" w:rsidRPr="0007782D" w:rsidRDefault="00FD2EB7" w:rsidP="00121366">
            <w:pPr>
              <w:rPr>
                <w:rFonts w:ascii="Calibri" w:hAnsi="Calibri" w:cs="Calibri"/>
                <w:sz w:val="16"/>
                <w:szCs w:val="16"/>
              </w:rPr>
            </w:pPr>
            <w:r w:rsidRPr="0007782D">
              <w:rPr>
                <w:rFonts w:ascii="Calibri" w:hAnsi="Calibri" w:cs="Calibri"/>
                <w:sz w:val="16"/>
              </w:rPr>
              <w:t xml:space="preserve">(Rohland </w:t>
            </w:r>
            <w:r w:rsidRPr="00021B07">
              <w:rPr>
                <w:rFonts w:ascii="Calibri" w:hAnsi="Calibri" w:cs="Calibri"/>
                <w:i/>
                <w:iCs/>
                <w:sz w:val="16"/>
              </w:rPr>
              <w:t>et al</w:t>
            </w:r>
            <w:r w:rsidRPr="0007782D">
              <w:rPr>
                <w:rFonts w:ascii="Calibri" w:hAnsi="Calibri" w:cs="Calibri"/>
                <w:i/>
                <w:iCs/>
                <w:sz w:val="16"/>
              </w:rPr>
              <w:t>.</w:t>
            </w:r>
            <w:r w:rsidRPr="0007782D">
              <w:rPr>
                <w:rFonts w:ascii="Calibri" w:hAnsi="Calibri" w:cs="Calibri"/>
                <w:sz w:val="16"/>
              </w:rPr>
              <w:t xml:space="preserve"> 2015)</w:t>
            </w:r>
            <w:r w:rsidRPr="0007782D">
              <w:rPr>
                <w:rFonts w:ascii="Calibri" w:hAnsi="Calibri" w:cs="Calibri"/>
                <w:sz w:val="16"/>
                <w:szCs w:val="16"/>
              </w:rPr>
              <w:t>; silica coated magnetic beads and 7x volume PB (Qiagen) for cleanups, Bst2.0 in smaller volume, 100ul total PCR volume, higher primer concentration, SPRI cleanup of PCR</w:t>
            </w:r>
          </w:p>
        </w:tc>
      </w:tr>
      <w:tr w:rsidR="00FD2EB7" w:rsidRPr="00410E59" w14:paraId="162455F4" w14:textId="77777777" w:rsidTr="00121366">
        <w:trPr>
          <w:trHeight w:val="202"/>
        </w:trPr>
        <w:tc>
          <w:tcPr>
            <w:tcW w:w="5395" w:type="dxa"/>
            <w:shd w:val="clear" w:color="auto" w:fill="auto"/>
            <w:vAlign w:val="center"/>
            <w:hideMark/>
          </w:tcPr>
          <w:p w14:paraId="390089F0" w14:textId="77777777" w:rsidR="00FD2EB7" w:rsidRPr="0007782D" w:rsidRDefault="00FD2EB7" w:rsidP="00121366">
            <w:pPr>
              <w:rPr>
                <w:rFonts w:ascii="Calibri" w:hAnsi="Calibri" w:cs="Calibri"/>
                <w:color w:val="000000"/>
                <w:sz w:val="16"/>
                <w:szCs w:val="16"/>
              </w:rPr>
            </w:pPr>
            <w:r w:rsidRPr="0007782D">
              <w:rPr>
                <w:rFonts w:ascii="Calibri" w:hAnsi="Calibri" w:cs="Calibri"/>
                <w:color w:val="000000"/>
                <w:sz w:val="16"/>
                <w:szCs w:val="16"/>
              </w:rPr>
              <w:t>Genetic (methodology): Target enrichment performed</w:t>
            </w:r>
          </w:p>
        </w:tc>
        <w:tc>
          <w:tcPr>
            <w:tcW w:w="3875" w:type="dxa"/>
            <w:shd w:val="clear" w:color="auto" w:fill="auto"/>
            <w:vAlign w:val="center"/>
            <w:hideMark/>
          </w:tcPr>
          <w:p w14:paraId="64B8871D"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simultaneous enrichment of ~1.2M SNPs</w:t>
            </w:r>
            <w:r>
              <w:rPr>
                <w:rFonts w:ascii="Calibri" w:hAnsi="Calibri" w:cs="Calibri"/>
                <w:sz w:val="16"/>
                <w:szCs w:val="16"/>
              </w:rPr>
              <w:t xml:space="preserve"> and mtDNA </w:t>
            </w:r>
            <w:r w:rsidRPr="0007782D">
              <w:rPr>
                <w:rFonts w:ascii="Calibri" w:hAnsi="Calibri" w:cs="Calibri"/>
                <w:sz w:val="16"/>
              </w:rPr>
              <w:t xml:space="preserve">(Fu </w:t>
            </w:r>
            <w:r w:rsidRPr="00021B07">
              <w:rPr>
                <w:rFonts w:ascii="Calibri" w:hAnsi="Calibri" w:cs="Calibri"/>
                <w:i/>
                <w:iCs/>
                <w:sz w:val="16"/>
              </w:rPr>
              <w:t>et al</w:t>
            </w:r>
            <w:r w:rsidRPr="0007782D">
              <w:rPr>
                <w:rFonts w:ascii="Calibri" w:hAnsi="Calibri" w:cs="Calibri"/>
                <w:i/>
                <w:iCs/>
                <w:sz w:val="16"/>
              </w:rPr>
              <w:t>.</w:t>
            </w:r>
            <w:r w:rsidRPr="0007782D">
              <w:rPr>
                <w:rFonts w:ascii="Calibri" w:hAnsi="Calibri" w:cs="Calibri"/>
                <w:sz w:val="16"/>
              </w:rPr>
              <w:t xml:space="preserve"> 2013a, 2015)</w:t>
            </w:r>
          </w:p>
        </w:tc>
      </w:tr>
      <w:tr w:rsidR="00FD2EB7" w:rsidRPr="00410E59" w14:paraId="64BC30FB" w14:textId="77777777" w:rsidTr="00121366">
        <w:trPr>
          <w:trHeight w:val="202"/>
        </w:trPr>
        <w:tc>
          <w:tcPr>
            <w:tcW w:w="5395" w:type="dxa"/>
            <w:shd w:val="clear" w:color="auto" w:fill="auto"/>
            <w:vAlign w:val="center"/>
            <w:hideMark/>
          </w:tcPr>
          <w:p w14:paraId="0B023322" w14:textId="77777777" w:rsidR="00FD2EB7" w:rsidRPr="0007782D" w:rsidRDefault="00FD2EB7" w:rsidP="00121366">
            <w:pPr>
              <w:rPr>
                <w:rFonts w:ascii="Calibri" w:hAnsi="Calibri" w:cs="Calibri"/>
                <w:color w:val="000000"/>
                <w:sz w:val="16"/>
                <w:szCs w:val="16"/>
              </w:rPr>
            </w:pPr>
            <w:r w:rsidRPr="0007782D">
              <w:rPr>
                <w:rFonts w:ascii="Calibri" w:hAnsi="Calibri" w:cs="Calibri"/>
                <w:color w:val="000000"/>
                <w:sz w:val="16"/>
                <w:szCs w:val="16"/>
              </w:rPr>
              <w:t>Genetic (methodology): Sequencing platform for 1240k capture data</w:t>
            </w:r>
          </w:p>
        </w:tc>
        <w:tc>
          <w:tcPr>
            <w:tcW w:w="3875" w:type="dxa"/>
            <w:shd w:val="clear" w:color="auto" w:fill="auto"/>
            <w:vAlign w:val="center"/>
            <w:hideMark/>
          </w:tcPr>
          <w:p w14:paraId="6E704962" w14:textId="77777777" w:rsidR="00FD2EB7" w:rsidRPr="0007782D" w:rsidRDefault="00FD2EB7" w:rsidP="00121366">
            <w:pPr>
              <w:rPr>
                <w:rFonts w:ascii="Calibri" w:hAnsi="Calibri" w:cs="Calibri"/>
                <w:sz w:val="16"/>
                <w:szCs w:val="16"/>
              </w:rPr>
            </w:pPr>
            <w:proofErr w:type="spellStart"/>
            <w:r w:rsidRPr="0007782D">
              <w:rPr>
                <w:rFonts w:ascii="Calibri" w:hAnsi="Calibri" w:cs="Calibri"/>
                <w:sz w:val="16"/>
                <w:szCs w:val="16"/>
              </w:rPr>
              <w:t>HiSeq</w:t>
            </w:r>
            <w:proofErr w:type="spellEnd"/>
            <w:r w:rsidRPr="0007782D">
              <w:rPr>
                <w:rFonts w:ascii="Calibri" w:hAnsi="Calibri" w:cs="Calibri"/>
                <w:sz w:val="16"/>
                <w:szCs w:val="16"/>
              </w:rPr>
              <w:t xml:space="preserve"> X10: 2x101 reads, 2x7 bp to read out the indices</w:t>
            </w:r>
          </w:p>
        </w:tc>
      </w:tr>
      <w:tr w:rsidR="00FD2EB7" w:rsidRPr="00410E59" w14:paraId="5CB13948" w14:textId="77777777" w:rsidTr="00121366">
        <w:trPr>
          <w:trHeight w:val="202"/>
        </w:trPr>
        <w:tc>
          <w:tcPr>
            <w:tcW w:w="5395" w:type="dxa"/>
            <w:shd w:val="clear" w:color="auto" w:fill="auto"/>
            <w:vAlign w:val="center"/>
            <w:hideMark/>
          </w:tcPr>
          <w:p w14:paraId="22AFFB1B" w14:textId="77777777" w:rsidR="00FD2EB7" w:rsidRPr="0007782D" w:rsidRDefault="00FD2EB7" w:rsidP="00121366">
            <w:pPr>
              <w:rPr>
                <w:rFonts w:ascii="Calibri" w:hAnsi="Calibri" w:cs="Calibri"/>
                <w:color w:val="000000"/>
                <w:sz w:val="16"/>
                <w:szCs w:val="16"/>
              </w:rPr>
            </w:pPr>
            <w:r w:rsidRPr="0007782D">
              <w:rPr>
                <w:rFonts w:ascii="Calibri" w:hAnsi="Calibri" w:cs="Calibri"/>
                <w:color w:val="000000"/>
                <w:sz w:val="16"/>
                <w:szCs w:val="16"/>
              </w:rPr>
              <w:t>Genetic (shotgun sequencing of unenriched library): percentage mapping to the human reference genome hg19</w:t>
            </w:r>
          </w:p>
        </w:tc>
        <w:tc>
          <w:tcPr>
            <w:tcW w:w="3875" w:type="dxa"/>
            <w:shd w:val="clear" w:color="auto" w:fill="auto"/>
            <w:vAlign w:val="center"/>
            <w:hideMark/>
          </w:tcPr>
          <w:p w14:paraId="54410031"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0.038</w:t>
            </w:r>
          </w:p>
        </w:tc>
      </w:tr>
      <w:tr w:rsidR="00FD2EB7" w:rsidRPr="00410E59" w14:paraId="7EFF487B" w14:textId="77777777" w:rsidTr="00121366">
        <w:trPr>
          <w:trHeight w:val="202"/>
        </w:trPr>
        <w:tc>
          <w:tcPr>
            <w:tcW w:w="5395" w:type="dxa"/>
            <w:shd w:val="clear" w:color="auto" w:fill="auto"/>
            <w:vAlign w:val="center"/>
            <w:hideMark/>
          </w:tcPr>
          <w:p w14:paraId="15EF6510" w14:textId="77777777" w:rsidR="00FD2EB7" w:rsidRPr="0007782D" w:rsidRDefault="00FD2EB7" w:rsidP="00121366">
            <w:pPr>
              <w:rPr>
                <w:rFonts w:ascii="Calibri" w:hAnsi="Calibri" w:cs="Calibri"/>
                <w:color w:val="000000"/>
                <w:sz w:val="16"/>
                <w:szCs w:val="16"/>
              </w:rPr>
            </w:pPr>
            <w:r w:rsidRPr="0007782D">
              <w:rPr>
                <w:rFonts w:ascii="Calibri" w:hAnsi="Calibri" w:cs="Calibri"/>
                <w:color w:val="000000"/>
                <w:sz w:val="16"/>
                <w:szCs w:val="16"/>
              </w:rPr>
              <w:t>Genetic (shotgun sequencing of unenriched library): mean length of sequences</w:t>
            </w:r>
          </w:p>
        </w:tc>
        <w:tc>
          <w:tcPr>
            <w:tcW w:w="3875" w:type="dxa"/>
            <w:shd w:val="clear" w:color="auto" w:fill="auto"/>
            <w:vAlign w:val="center"/>
            <w:hideMark/>
          </w:tcPr>
          <w:p w14:paraId="1C04CB7D"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53.9</w:t>
            </w:r>
          </w:p>
        </w:tc>
      </w:tr>
      <w:tr w:rsidR="00FD2EB7" w:rsidRPr="00410E59" w14:paraId="35F190E3" w14:textId="77777777" w:rsidTr="00121366">
        <w:trPr>
          <w:trHeight w:val="202"/>
        </w:trPr>
        <w:tc>
          <w:tcPr>
            <w:tcW w:w="5395" w:type="dxa"/>
            <w:shd w:val="clear" w:color="auto" w:fill="auto"/>
            <w:vAlign w:val="center"/>
            <w:hideMark/>
          </w:tcPr>
          <w:p w14:paraId="228CA13A" w14:textId="77777777" w:rsidR="00FD2EB7" w:rsidRPr="0007782D" w:rsidRDefault="00FD2EB7" w:rsidP="00121366">
            <w:pPr>
              <w:rPr>
                <w:rFonts w:ascii="Calibri" w:hAnsi="Calibri" w:cs="Calibri"/>
                <w:color w:val="000000"/>
                <w:sz w:val="16"/>
                <w:szCs w:val="16"/>
              </w:rPr>
            </w:pPr>
            <w:r w:rsidRPr="0007782D">
              <w:rPr>
                <w:rFonts w:ascii="Calibri" w:hAnsi="Calibri" w:cs="Calibri"/>
                <w:color w:val="000000"/>
                <w:sz w:val="16"/>
                <w:szCs w:val="16"/>
              </w:rPr>
              <w:t xml:space="preserve">Genetic (enriched sequences mapping to the reference mtDNA genome sequences rsrs </w:t>
            </w:r>
            <w:r w:rsidRPr="00EB704F">
              <w:rPr>
                <w:rFonts w:ascii="Calibri" w:hAnsi="Calibri" w:cs="Calibri"/>
                <w:color w:val="000000"/>
                <w:sz w:val="16"/>
              </w:rPr>
              <w:t xml:space="preserve">(Behar </w:t>
            </w:r>
            <w:r w:rsidRPr="00021B07">
              <w:rPr>
                <w:rFonts w:ascii="Calibri" w:hAnsi="Calibri" w:cs="Calibri"/>
                <w:i/>
                <w:iCs/>
                <w:color w:val="000000"/>
                <w:sz w:val="16"/>
              </w:rPr>
              <w:t>et al</w:t>
            </w:r>
            <w:r w:rsidRPr="00EB704F">
              <w:rPr>
                <w:rFonts w:ascii="Calibri" w:hAnsi="Calibri" w:cs="Calibri"/>
                <w:i/>
                <w:iCs/>
                <w:color w:val="000000"/>
                <w:sz w:val="16"/>
              </w:rPr>
              <w:t>.</w:t>
            </w:r>
            <w:r w:rsidRPr="00EB704F">
              <w:rPr>
                <w:rFonts w:ascii="Calibri" w:hAnsi="Calibri" w:cs="Calibri"/>
                <w:color w:val="000000"/>
                <w:sz w:val="16"/>
              </w:rPr>
              <w:t xml:space="preserve"> 2012)</w:t>
            </w:r>
            <w:r w:rsidRPr="0007782D">
              <w:rPr>
                <w:rFonts w:ascii="Calibri" w:hAnsi="Calibri" w:cs="Calibri"/>
                <w:color w:val="000000"/>
                <w:sz w:val="16"/>
                <w:szCs w:val="16"/>
              </w:rPr>
              <w:t>: average coverage</w:t>
            </w:r>
          </w:p>
        </w:tc>
        <w:tc>
          <w:tcPr>
            <w:tcW w:w="3875" w:type="dxa"/>
            <w:shd w:val="clear" w:color="auto" w:fill="auto"/>
            <w:vAlign w:val="center"/>
            <w:hideMark/>
          </w:tcPr>
          <w:p w14:paraId="0812025E"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149.7</w:t>
            </w:r>
          </w:p>
        </w:tc>
      </w:tr>
      <w:tr w:rsidR="00FD2EB7" w:rsidRPr="00410E59" w14:paraId="575D419D" w14:textId="77777777" w:rsidTr="00121366">
        <w:trPr>
          <w:trHeight w:val="202"/>
        </w:trPr>
        <w:tc>
          <w:tcPr>
            <w:tcW w:w="5395" w:type="dxa"/>
            <w:shd w:val="clear" w:color="auto" w:fill="auto"/>
            <w:vAlign w:val="center"/>
            <w:hideMark/>
          </w:tcPr>
          <w:p w14:paraId="0F502BE9" w14:textId="77777777" w:rsidR="00FD2EB7" w:rsidRPr="0007782D" w:rsidRDefault="00FD2EB7" w:rsidP="00121366">
            <w:pPr>
              <w:rPr>
                <w:rFonts w:ascii="Calibri" w:hAnsi="Calibri" w:cs="Calibri"/>
                <w:color w:val="000000"/>
                <w:sz w:val="16"/>
                <w:szCs w:val="16"/>
              </w:rPr>
            </w:pPr>
            <w:r w:rsidRPr="0007782D">
              <w:rPr>
                <w:rFonts w:ascii="Calibri" w:hAnsi="Calibri" w:cs="Calibri"/>
                <w:color w:val="000000"/>
                <w:sz w:val="16"/>
                <w:szCs w:val="16"/>
              </w:rPr>
              <w:t>Genetic (enriched sequences mapping to the reference mtDNA genome sequences rsrs): mean sequence length</w:t>
            </w:r>
          </w:p>
        </w:tc>
        <w:tc>
          <w:tcPr>
            <w:tcW w:w="3875" w:type="dxa"/>
            <w:shd w:val="clear" w:color="auto" w:fill="auto"/>
            <w:vAlign w:val="center"/>
            <w:hideMark/>
          </w:tcPr>
          <w:p w14:paraId="11B13C26"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58.4</w:t>
            </w:r>
          </w:p>
        </w:tc>
      </w:tr>
      <w:tr w:rsidR="00FD2EB7" w:rsidRPr="00410E59" w14:paraId="26D3BE36" w14:textId="77777777" w:rsidTr="00121366">
        <w:trPr>
          <w:trHeight w:val="202"/>
        </w:trPr>
        <w:tc>
          <w:tcPr>
            <w:tcW w:w="5395" w:type="dxa"/>
            <w:shd w:val="clear" w:color="auto" w:fill="auto"/>
            <w:vAlign w:val="center"/>
            <w:hideMark/>
          </w:tcPr>
          <w:p w14:paraId="2FAB0CA3" w14:textId="77777777" w:rsidR="00FD2EB7" w:rsidRPr="0007782D" w:rsidRDefault="00FD2EB7" w:rsidP="00121366">
            <w:pPr>
              <w:rPr>
                <w:rFonts w:ascii="Calibri" w:hAnsi="Calibri" w:cs="Calibri"/>
                <w:color w:val="000000"/>
                <w:sz w:val="16"/>
                <w:szCs w:val="16"/>
              </w:rPr>
            </w:pPr>
            <w:r w:rsidRPr="0007782D">
              <w:rPr>
                <w:rFonts w:ascii="Calibri" w:hAnsi="Calibri" w:cs="Calibri"/>
                <w:color w:val="000000"/>
                <w:sz w:val="16"/>
                <w:szCs w:val="16"/>
              </w:rPr>
              <w:t>Genetic (enriched sequences mapping to the reference mtDNA genome sequences rsrs): fraction of C-to-T damage in last base</w:t>
            </w:r>
          </w:p>
        </w:tc>
        <w:tc>
          <w:tcPr>
            <w:tcW w:w="3875" w:type="dxa"/>
            <w:shd w:val="clear" w:color="auto" w:fill="auto"/>
            <w:vAlign w:val="center"/>
            <w:hideMark/>
          </w:tcPr>
          <w:p w14:paraId="50109292"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0.068</w:t>
            </w:r>
          </w:p>
        </w:tc>
      </w:tr>
      <w:tr w:rsidR="00FD2EB7" w:rsidRPr="00410E59" w14:paraId="360AF9F3" w14:textId="77777777" w:rsidTr="00121366">
        <w:trPr>
          <w:trHeight w:val="202"/>
        </w:trPr>
        <w:tc>
          <w:tcPr>
            <w:tcW w:w="5395" w:type="dxa"/>
            <w:shd w:val="clear" w:color="auto" w:fill="auto"/>
            <w:vAlign w:val="center"/>
            <w:hideMark/>
          </w:tcPr>
          <w:p w14:paraId="2434E8EC" w14:textId="77777777" w:rsidR="00FD2EB7" w:rsidRPr="0007782D" w:rsidRDefault="00FD2EB7" w:rsidP="00121366">
            <w:pPr>
              <w:rPr>
                <w:rFonts w:ascii="Calibri" w:hAnsi="Calibri" w:cs="Calibri"/>
                <w:color w:val="000000"/>
                <w:sz w:val="16"/>
                <w:szCs w:val="16"/>
              </w:rPr>
            </w:pPr>
            <w:r w:rsidRPr="0007782D">
              <w:rPr>
                <w:rFonts w:ascii="Calibri" w:hAnsi="Calibri" w:cs="Calibri"/>
                <w:color w:val="000000"/>
                <w:sz w:val="16"/>
                <w:szCs w:val="16"/>
              </w:rPr>
              <w:t xml:space="preserve">Genetic (enriched sequences mapping to the reference mtDNA genome sequences rsrs): match to consensus sequence 95% CI using </w:t>
            </w:r>
            <w:proofErr w:type="spellStart"/>
            <w:r w:rsidRPr="0007782D">
              <w:rPr>
                <w:rFonts w:ascii="Calibri" w:hAnsi="Calibri" w:cs="Calibri"/>
                <w:color w:val="000000"/>
                <w:sz w:val="16"/>
                <w:szCs w:val="16"/>
              </w:rPr>
              <w:t>contamMix</w:t>
            </w:r>
            <w:proofErr w:type="spellEnd"/>
            <w:r w:rsidRPr="0007782D">
              <w:rPr>
                <w:rFonts w:ascii="Calibri" w:hAnsi="Calibri" w:cs="Calibri"/>
                <w:color w:val="000000"/>
                <w:sz w:val="16"/>
                <w:szCs w:val="16"/>
              </w:rPr>
              <w:t xml:space="preserve"> version 1.0-12</w:t>
            </w:r>
            <w:r>
              <w:rPr>
                <w:rFonts w:ascii="Calibri" w:hAnsi="Calibri" w:cs="Calibri"/>
                <w:color w:val="000000"/>
                <w:sz w:val="16"/>
                <w:szCs w:val="16"/>
              </w:rPr>
              <w:t xml:space="preserve"> </w:t>
            </w:r>
            <w:r w:rsidRPr="00EB704F">
              <w:rPr>
                <w:rFonts w:ascii="Calibri" w:hAnsi="Calibri" w:cs="Calibri"/>
                <w:color w:val="000000"/>
                <w:sz w:val="16"/>
              </w:rPr>
              <w:t xml:space="preserve">(Fu </w:t>
            </w:r>
            <w:r w:rsidRPr="00021B07">
              <w:rPr>
                <w:rFonts w:ascii="Calibri" w:hAnsi="Calibri" w:cs="Calibri"/>
                <w:i/>
                <w:iCs/>
                <w:color w:val="000000"/>
                <w:sz w:val="16"/>
              </w:rPr>
              <w:t>et al</w:t>
            </w:r>
            <w:r w:rsidRPr="00EB704F">
              <w:rPr>
                <w:rFonts w:ascii="Calibri" w:hAnsi="Calibri" w:cs="Calibri"/>
                <w:i/>
                <w:iCs/>
                <w:color w:val="000000"/>
                <w:sz w:val="16"/>
              </w:rPr>
              <w:t>.</w:t>
            </w:r>
            <w:r w:rsidRPr="00EB704F">
              <w:rPr>
                <w:rFonts w:ascii="Calibri" w:hAnsi="Calibri" w:cs="Calibri"/>
                <w:color w:val="000000"/>
                <w:sz w:val="16"/>
              </w:rPr>
              <w:t xml:space="preserve"> 2013a)</w:t>
            </w:r>
          </w:p>
        </w:tc>
        <w:tc>
          <w:tcPr>
            <w:tcW w:w="3875" w:type="dxa"/>
            <w:shd w:val="clear" w:color="auto" w:fill="auto"/>
            <w:vAlign w:val="center"/>
            <w:hideMark/>
          </w:tcPr>
          <w:p w14:paraId="1CD86E44"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[0.994, 1.000]</w:t>
            </w:r>
          </w:p>
        </w:tc>
      </w:tr>
      <w:tr w:rsidR="00FD2EB7" w:rsidRPr="00410E59" w14:paraId="51264479" w14:textId="77777777" w:rsidTr="00121366">
        <w:trPr>
          <w:trHeight w:val="202"/>
        </w:trPr>
        <w:tc>
          <w:tcPr>
            <w:tcW w:w="5395" w:type="dxa"/>
            <w:shd w:val="clear" w:color="auto" w:fill="auto"/>
            <w:vAlign w:val="center"/>
            <w:hideMark/>
          </w:tcPr>
          <w:p w14:paraId="5E23B18C" w14:textId="77777777" w:rsidR="00FD2EB7" w:rsidRPr="0007782D" w:rsidRDefault="00FD2EB7" w:rsidP="00121366">
            <w:pPr>
              <w:rPr>
                <w:rFonts w:ascii="Calibri" w:hAnsi="Calibri" w:cs="Calibri"/>
                <w:color w:val="000000"/>
                <w:sz w:val="16"/>
                <w:szCs w:val="16"/>
              </w:rPr>
            </w:pPr>
            <w:r w:rsidRPr="0007782D">
              <w:rPr>
                <w:rFonts w:ascii="Calibri" w:hAnsi="Calibri" w:cs="Calibri"/>
                <w:color w:val="000000"/>
                <w:sz w:val="16"/>
                <w:szCs w:val="16"/>
              </w:rPr>
              <w:t xml:space="preserve">Genetic (enriched sequences mapping to the reference mtDNA genome sequences rsrs): mtDNA haplogroup based on </w:t>
            </w:r>
            <w:proofErr w:type="spellStart"/>
            <w:r w:rsidRPr="0007782D">
              <w:rPr>
                <w:rFonts w:ascii="Calibri" w:hAnsi="Calibri" w:cs="Calibri"/>
                <w:color w:val="000000"/>
                <w:sz w:val="16"/>
                <w:szCs w:val="16"/>
              </w:rPr>
              <w:t>haplogrep</w:t>
            </w:r>
            <w:proofErr w:type="spellEnd"/>
            <w:r w:rsidRPr="0007782D">
              <w:rPr>
                <w:rFonts w:ascii="Calibri" w:hAnsi="Calibri" w:cs="Calibri"/>
                <w:color w:val="000000"/>
                <w:sz w:val="16"/>
                <w:szCs w:val="16"/>
              </w:rPr>
              <w:t xml:space="preserve"> 2 </w:t>
            </w:r>
            <w:r w:rsidRPr="00EB704F">
              <w:rPr>
                <w:rFonts w:ascii="Calibri" w:hAnsi="Calibri" w:cs="Calibri"/>
                <w:color w:val="000000"/>
                <w:sz w:val="16"/>
              </w:rPr>
              <w:t>(</w:t>
            </w:r>
            <w:proofErr w:type="spellStart"/>
            <w:r w:rsidRPr="00EB704F">
              <w:rPr>
                <w:rFonts w:ascii="Calibri" w:hAnsi="Calibri" w:cs="Calibri"/>
                <w:color w:val="000000"/>
                <w:sz w:val="16"/>
              </w:rPr>
              <w:t>Weissensteiner</w:t>
            </w:r>
            <w:proofErr w:type="spellEnd"/>
            <w:r w:rsidRPr="00EB704F">
              <w:rPr>
                <w:rFonts w:ascii="Calibri" w:hAnsi="Calibri" w:cs="Calibri"/>
                <w:color w:val="000000"/>
                <w:sz w:val="16"/>
              </w:rPr>
              <w:t xml:space="preserve"> </w:t>
            </w:r>
            <w:r w:rsidRPr="00021B07">
              <w:rPr>
                <w:rFonts w:ascii="Calibri" w:hAnsi="Calibri" w:cs="Calibri"/>
                <w:i/>
                <w:iCs/>
                <w:color w:val="000000"/>
                <w:sz w:val="16"/>
              </w:rPr>
              <w:t>et al</w:t>
            </w:r>
            <w:r w:rsidRPr="00EB704F">
              <w:rPr>
                <w:rFonts w:ascii="Calibri" w:hAnsi="Calibri" w:cs="Calibri"/>
                <w:i/>
                <w:iCs/>
                <w:color w:val="000000"/>
                <w:sz w:val="16"/>
              </w:rPr>
              <w:t>.</w:t>
            </w:r>
            <w:r w:rsidRPr="00EB704F">
              <w:rPr>
                <w:rFonts w:ascii="Calibri" w:hAnsi="Calibri" w:cs="Calibri"/>
                <w:color w:val="000000"/>
                <w:sz w:val="16"/>
              </w:rPr>
              <w:t xml:space="preserve"> 2016)</w:t>
            </w:r>
          </w:p>
        </w:tc>
        <w:tc>
          <w:tcPr>
            <w:tcW w:w="3875" w:type="dxa"/>
            <w:shd w:val="clear" w:color="auto" w:fill="auto"/>
            <w:vAlign w:val="center"/>
            <w:hideMark/>
          </w:tcPr>
          <w:p w14:paraId="1A5F32A3"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C1b</w:t>
            </w:r>
          </w:p>
        </w:tc>
      </w:tr>
      <w:tr w:rsidR="00FD2EB7" w:rsidRPr="00410E59" w14:paraId="206BF83B" w14:textId="77777777" w:rsidTr="00121366">
        <w:trPr>
          <w:trHeight w:val="202"/>
        </w:trPr>
        <w:tc>
          <w:tcPr>
            <w:tcW w:w="5395" w:type="dxa"/>
            <w:shd w:val="clear" w:color="auto" w:fill="auto"/>
            <w:vAlign w:val="center"/>
            <w:hideMark/>
          </w:tcPr>
          <w:p w14:paraId="441DA4B5" w14:textId="77777777" w:rsidR="00FD2EB7" w:rsidRPr="0007782D" w:rsidRDefault="00FD2EB7" w:rsidP="00121366">
            <w:pPr>
              <w:rPr>
                <w:rFonts w:ascii="Calibri" w:hAnsi="Calibri" w:cs="Calibri"/>
                <w:color w:val="000000"/>
                <w:sz w:val="16"/>
                <w:szCs w:val="16"/>
              </w:rPr>
            </w:pPr>
            <w:r w:rsidRPr="0007782D">
              <w:rPr>
                <w:rFonts w:ascii="Calibri" w:hAnsi="Calibri" w:cs="Calibri"/>
                <w:color w:val="000000"/>
                <w:sz w:val="16"/>
                <w:szCs w:val="16"/>
              </w:rPr>
              <w:t>Genetic (enriched sequences mapping to targeted nuclear genomic positions): average coverage at 1.15M autosomal targeted SNPs</w:t>
            </w:r>
          </w:p>
        </w:tc>
        <w:tc>
          <w:tcPr>
            <w:tcW w:w="3875" w:type="dxa"/>
            <w:shd w:val="clear" w:color="auto" w:fill="auto"/>
            <w:vAlign w:val="center"/>
            <w:hideMark/>
          </w:tcPr>
          <w:p w14:paraId="404489EC"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0.454593</w:t>
            </w:r>
          </w:p>
        </w:tc>
      </w:tr>
      <w:tr w:rsidR="00FD2EB7" w:rsidRPr="00410E59" w14:paraId="277AD6B6" w14:textId="77777777" w:rsidTr="00121366">
        <w:trPr>
          <w:trHeight w:val="202"/>
        </w:trPr>
        <w:tc>
          <w:tcPr>
            <w:tcW w:w="5395" w:type="dxa"/>
            <w:shd w:val="clear" w:color="auto" w:fill="auto"/>
            <w:vAlign w:val="center"/>
            <w:hideMark/>
          </w:tcPr>
          <w:p w14:paraId="691EAC93" w14:textId="77777777" w:rsidR="00FD2EB7" w:rsidRPr="0007782D" w:rsidRDefault="00FD2EB7" w:rsidP="00121366">
            <w:pPr>
              <w:rPr>
                <w:rFonts w:ascii="Calibri" w:hAnsi="Calibri" w:cs="Calibri"/>
                <w:color w:val="000000"/>
                <w:sz w:val="16"/>
                <w:szCs w:val="16"/>
              </w:rPr>
            </w:pPr>
            <w:r w:rsidRPr="0007782D">
              <w:rPr>
                <w:rFonts w:ascii="Calibri" w:hAnsi="Calibri" w:cs="Calibri"/>
                <w:color w:val="000000"/>
                <w:sz w:val="16"/>
                <w:szCs w:val="16"/>
              </w:rPr>
              <w:t>Genetic (enriched sequences mapping to targeted nuclear genomic positions): targeted autosomal SNPs covered at least once</w:t>
            </w:r>
          </w:p>
        </w:tc>
        <w:tc>
          <w:tcPr>
            <w:tcW w:w="3875" w:type="dxa"/>
            <w:shd w:val="clear" w:color="auto" w:fill="auto"/>
            <w:vAlign w:val="center"/>
            <w:hideMark/>
          </w:tcPr>
          <w:p w14:paraId="58CF65A2"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395547</w:t>
            </w:r>
          </w:p>
        </w:tc>
      </w:tr>
      <w:tr w:rsidR="00FD2EB7" w:rsidRPr="00410E59" w14:paraId="0D4199A5" w14:textId="77777777" w:rsidTr="00121366">
        <w:trPr>
          <w:trHeight w:val="202"/>
        </w:trPr>
        <w:tc>
          <w:tcPr>
            <w:tcW w:w="5395" w:type="dxa"/>
            <w:shd w:val="clear" w:color="auto" w:fill="auto"/>
            <w:vAlign w:val="center"/>
            <w:hideMark/>
          </w:tcPr>
          <w:p w14:paraId="2E8BDC4F" w14:textId="77777777" w:rsidR="00FD2EB7" w:rsidRPr="0007782D" w:rsidRDefault="00FD2EB7" w:rsidP="00121366">
            <w:pPr>
              <w:rPr>
                <w:rFonts w:ascii="Calibri" w:hAnsi="Calibri" w:cs="Calibri"/>
                <w:color w:val="000000"/>
                <w:sz w:val="16"/>
                <w:szCs w:val="16"/>
              </w:rPr>
            </w:pPr>
            <w:r w:rsidRPr="0007782D">
              <w:rPr>
                <w:rFonts w:ascii="Calibri" w:hAnsi="Calibri" w:cs="Calibri"/>
                <w:color w:val="000000"/>
                <w:sz w:val="16"/>
                <w:szCs w:val="16"/>
              </w:rPr>
              <w:t>Genetic (enriched sequences mapping to targeted nuclear genomic positions): mean sequence length</w:t>
            </w:r>
          </w:p>
        </w:tc>
        <w:tc>
          <w:tcPr>
            <w:tcW w:w="3875" w:type="dxa"/>
            <w:shd w:val="clear" w:color="auto" w:fill="auto"/>
            <w:vAlign w:val="center"/>
            <w:hideMark/>
          </w:tcPr>
          <w:p w14:paraId="468F9485"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63.1</w:t>
            </w:r>
          </w:p>
        </w:tc>
      </w:tr>
      <w:tr w:rsidR="00FD2EB7" w:rsidRPr="00410E59" w14:paraId="04949CE2" w14:textId="77777777" w:rsidTr="00121366">
        <w:trPr>
          <w:trHeight w:val="202"/>
        </w:trPr>
        <w:tc>
          <w:tcPr>
            <w:tcW w:w="5395" w:type="dxa"/>
            <w:shd w:val="clear" w:color="auto" w:fill="auto"/>
            <w:vAlign w:val="center"/>
            <w:hideMark/>
          </w:tcPr>
          <w:p w14:paraId="28B014ED" w14:textId="77777777" w:rsidR="00FD2EB7" w:rsidRPr="0007782D" w:rsidRDefault="00FD2EB7" w:rsidP="00121366">
            <w:pPr>
              <w:rPr>
                <w:rFonts w:ascii="Calibri" w:hAnsi="Calibri" w:cs="Calibri"/>
                <w:color w:val="000000"/>
                <w:sz w:val="16"/>
                <w:szCs w:val="16"/>
              </w:rPr>
            </w:pPr>
            <w:r w:rsidRPr="0007782D">
              <w:rPr>
                <w:rFonts w:ascii="Calibri" w:hAnsi="Calibri" w:cs="Calibri"/>
                <w:color w:val="000000"/>
                <w:sz w:val="16"/>
                <w:szCs w:val="16"/>
              </w:rPr>
              <w:t>Genetic (enriched sequences mapping to targeted nuclear genomic positions): fraction of C-to-T damage in last base</w:t>
            </w:r>
          </w:p>
        </w:tc>
        <w:tc>
          <w:tcPr>
            <w:tcW w:w="3875" w:type="dxa"/>
            <w:shd w:val="clear" w:color="auto" w:fill="auto"/>
            <w:vAlign w:val="center"/>
            <w:hideMark/>
          </w:tcPr>
          <w:p w14:paraId="061F949A"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0.07</w:t>
            </w:r>
          </w:p>
        </w:tc>
      </w:tr>
      <w:tr w:rsidR="00FD2EB7" w:rsidRPr="00410E59" w14:paraId="747953F4" w14:textId="77777777" w:rsidTr="00121366">
        <w:trPr>
          <w:trHeight w:val="202"/>
        </w:trPr>
        <w:tc>
          <w:tcPr>
            <w:tcW w:w="5395" w:type="dxa"/>
            <w:shd w:val="clear" w:color="auto" w:fill="auto"/>
            <w:vAlign w:val="center"/>
            <w:hideMark/>
          </w:tcPr>
          <w:p w14:paraId="545341C6" w14:textId="77777777" w:rsidR="00FD2EB7" w:rsidRPr="0007782D" w:rsidRDefault="00FD2EB7" w:rsidP="00121366">
            <w:pPr>
              <w:rPr>
                <w:rFonts w:ascii="Calibri" w:hAnsi="Calibri" w:cs="Calibri"/>
                <w:color w:val="000000"/>
                <w:sz w:val="16"/>
                <w:szCs w:val="16"/>
              </w:rPr>
            </w:pPr>
            <w:r w:rsidRPr="0007782D">
              <w:rPr>
                <w:rFonts w:ascii="Calibri" w:hAnsi="Calibri" w:cs="Calibri"/>
                <w:color w:val="000000"/>
                <w:sz w:val="16"/>
                <w:szCs w:val="16"/>
              </w:rPr>
              <w:t>Genetic (enriched sequences mapping to targeted nuclear genomic positions): targeted X chromosome SNPs covered at least once</w:t>
            </w:r>
          </w:p>
        </w:tc>
        <w:tc>
          <w:tcPr>
            <w:tcW w:w="3875" w:type="dxa"/>
            <w:shd w:val="clear" w:color="auto" w:fill="auto"/>
            <w:vAlign w:val="center"/>
            <w:hideMark/>
          </w:tcPr>
          <w:p w14:paraId="190F2133"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9273</w:t>
            </w:r>
          </w:p>
        </w:tc>
      </w:tr>
      <w:tr w:rsidR="00FD2EB7" w:rsidRPr="00410E59" w14:paraId="549B49DB" w14:textId="77777777" w:rsidTr="00121366">
        <w:trPr>
          <w:trHeight w:val="202"/>
        </w:trPr>
        <w:tc>
          <w:tcPr>
            <w:tcW w:w="5395" w:type="dxa"/>
            <w:shd w:val="clear" w:color="auto" w:fill="auto"/>
            <w:vAlign w:val="center"/>
            <w:hideMark/>
          </w:tcPr>
          <w:p w14:paraId="6D969AD8" w14:textId="77777777" w:rsidR="00FD2EB7" w:rsidRPr="0007782D" w:rsidRDefault="00FD2EB7" w:rsidP="00121366">
            <w:pPr>
              <w:rPr>
                <w:rFonts w:ascii="Calibri" w:hAnsi="Calibri" w:cs="Calibri"/>
                <w:color w:val="000000"/>
                <w:sz w:val="16"/>
                <w:szCs w:val="16"/>
              </w:rPr>
            </w:pPr>
            <w:r w:rsidRPr="0007782D">
              <w:rPr>
                <w:rFonts w:ascii="Calibri" w:hAnsi="Calibri" w:cs="Calibri"/>
                <w:color w:val="000000"/>
                <w:sz w:val="16"/>
                <w:szCs w:val="16"/>
              </w:rPr>
              <w:t>Genetic (enriched sequences mapping to targeted nuclear genomic positions): targeted Y chromosome SNPs covered at least once</w:t>
            </w:r>
          </w:p>
        </w:tc>
        <w:tc>
          <w:tcPr>
            <w:tcW w:w="3875" w:type="dxa"/>
            <w:shd w:val="clear" w:color="auto" w:fill="auto"/>
            <w:vAlign w:val="center"/>
            <w:hideMark/>
          </w:tcPr>
          <w:p w14:paraId="45BF3D31"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6461</w:t>
            </w:r>
          </w:p>
        </w:tc>
      </w:tr>
      <w:tr w:rsidR="00FD2EB7" w:rsidRPr="00410E59" w14:paraId="5E6BF362" w14:textId="77777777" w:rsidTr="00121366">
        <w:trPr>
          <w:trHeight w:val="202"/>
        </w:trPr>
        <w:tc>
          <w:tcPr>
            <w:tcW w:w="5395" w:type="dxa"/>
            <w:shd w:val="clear" w:color="auto" w:fill="auto"/>
            <w:vAlign w:val="center"/>
            <w:hideMark/>
          </w:tcPr>
          <w:p w14:paraId="646D3438" w14:textId="77777777" w:rsidR="00FD2EB7" w:rsidRPr="0007782D" w:rsidRDefault="00FD2EB7" w:rsidP="00121366">
            <w:pPr>
              <w:rPr>
                <w:rFonts w:ascii="Calibri" w:hAnsi="Calibri" w:cs="Calibri"/>
                <w:color w:val="000000"/>
                <w:sz w:val="16"/>
                <w:szCs w:val="16"/>
              </w:rPr>
            </w:pPr>
            <w:r w:rsidRPr="0007782D">
              <w:rPr>
                <w:rFonts w:ascii="Calibri" w:hAnsi="Calibri" w:cs="Calibri"/>
                <w:color w:val="000000"/>
                <w:sz w:val="16"/>
                <w:szCs w:val="16"/>
              </w:rPr>
              <w:t>Genetic (enriched sequences mapping to targeted nuclear genomic positions): genetically determined sex</w:t>
            </w:r>
          </w:p>
        </w:tc>
        <w:tc>
          <w:tcPr>
            <w:tcW w:w="3875" w:type="dxa"/>
            <w:shd w:val="clear" w:color="auto" w:fill="auto"/>
            <w:vAlign w:val="center"/>
            <w:hideMark/>
          </w:tcPr>
          <w:p w14:paraId="4C792421" w14:textId="77777777" w:rsidR="00FD2EB7" w:rsidRPr="0007782D" w:rsidRDefault="00FD2EB7" w:rsidP="00121366">
            <w:pPr>
              <w:rPr>
                <w:rFonts w:ascii="Calibri" w:hAnsi="Calibri" w:cs="Calibri"/>
                <w:sz w:val="16"/>
                <w:szCs w:val="16"/>
              </w:rPr>
            </w:pPr>
            <w:r w:rsidRPr="0007782D">
              <w:rPr>
                <w:rFonts w:ascii="Calibri" w:hAnsi="Calibri" w:cs="Calibri"/>
                <w:sz w:val="16"/>
                <w:szCs w:val="16"/>
              </w:rPr>
              <w:t>M</w:t>
            </w:r>
          </w:p>
        </w:tc>
      </w:tr>
    </w:tbl>
    <w:p w14:paraId="181D678E" w14:textId="77777777" w:rsidR="00FD2EB7" w:rsidRPr="001C39CD" w:rsidRDefault="00FD2EB7" w:rsidP="003D2B36">
      <w:pPr>
        <w:spacing w:line="360" w:lineRule="auto"/>
        <w:rPr>
          <w:bCs/>
          <w:lang w:val="en"/>
        </w:rPr>
      </w:pPr>
    </w:p>
    <w:p w14:paraId="498A0899" w14:textId="77777777" w:rsidR="003D2B36" w:rsidRPr="001C39CD" w:rsidRDefault="003D2B36" w:rsidP="003D2B36">
      <w:pPr>
        <w:spacing w:line="360" w:lineRule="auto"/>
      </w:pPr>
    </w:p>
    <w:p w14:paraId="4F78A0CF" w14:textId="4C5A053A" w:rsidR="003D2B36" w:rsidRPr="001C39CD" w:rsidRDefault="003D2B36" w:rsidP="003D2B36">
      <w:pPr>
        <w:spacing w:line="360" w:lineRule="auto"/>
      </w:pPr>
      <w:r w:rsidRPr="002A23EB">
        <w:rPr>
          <w:bCs/>
          <w:i/>
          <w:iCs/>
          <w:lang w:val="en"/>
        </w:rPr>
        <w:t>Contamination estimation</w:t>
      </w:r>
      <w:r w:rsidRPr="002A23EB">
        <w:rPr>
          <w:bCs/>
          <w:lang w:val="en"/>
        </w:rPr>
        <w:t>:</w:t>
      </w:r>
      <w:r w:rsidRPr="001C39CD">
        <w:rPr>
          <w:b/>
          <w:lang w:val="en"/>
        </w:rPr>
        <w:t xml:space="preserve"> </w:t>
      </w:r>
      <w:r w:rsidR="00A66FA0" w:rsidRPr="001C39CD">
        <w:rPr>
          <w:bCs/>
          <w:lang w:val="en"/>
        </w:rPr>
        <w:t xml:space="preserve">We used several methods to assess evidence of contamination for </w:t>
      </w:r>
      <w:r w:rsidR="00806716">
        <w:rPr>
          <w:bCs/>
          <w:lang w:val="en"/>
        </w:rPr>
        <w:t>b</w:t>
      </w:r>
      <w:r w:rsidR="00A66FA0" w:rsidRPr="001C39CD">
        <w:rPr>
          <w:bCs/>
          <w:lang w:val="en"/>
        </w:rPr>
        <w:t xml:space="preserve">urial 23-8. We measured the rate of damage in the first nucleotide and found that </w:t>
      </w:r>
      <w:r w:rsidR="004620BA">
        <w:rPr>
          <w:bCs/>
          <w:lang w:val="en"/>
        </w:rPr>
        <w:t>b</w:t>
      </w:r>
      <w:r w:rsidR="00A66FA0" w:rsidRPr="001C39CD">
        <w:rPr>
          <w:bCs/>
          <w:lang w:val="en"/>
        </w:rPr>
        <w:t xml:space="preserve">urial 23-8 did not have less than </w:t>
      </w:r>
      <w:r w:rsidR="00A66FA0" w:rsidRPr="001C39CD">
        <w:t xml:space="preserve">3% cytosine to thymine substitution rate in the first nucleotide. We found no evidence of contamination in </w:t>
      </w:r>
      <w:proofErr w:type="spellStart"/>
      <w:r w:rsidR="00A66FA0" w:rsidRPr="001C39CD">
        <w:t>mtDNA</w:t>
      </w:r>
      <w:proofErr w:type="spellEnd"/>
      <w:r w:rsidR="00A66FA0" w:rsidRPr="001C39CD">
        <w:t xml:space="preserve"> with </w:t>
      </w:r>
      <w:proofErr w:type="spellStart"/>
      <w:r w:rsidRPr="001C39CD">
        <w:rPr>
          <w:i/>
        </w:rPr>
        <w:t>contamMix</w:t>
      </w:r>
      <w:proofErr w:type="spellEnd"/>
      <w:r w:rsidR="00687620">
        <w:t xml:space="preserve"> </w:t>
      </w:r>
      <w:r w:rsidR="00687620" w:rsidRPr="00687620">
        <w:t xml:space="preserve">(Fu </w:t>
      </w:r>
      <w:r w:rsidR="00021B07" w:rsidRPr="00021B07">
        <w:rPr>
          <w:i/>
          <w:iCs/>
        </w:rPr>
        <w:t>et al</w:t>
      </w:r>
      <w:r w:rsidR="00687620" w:rsidRPr="00687620">
        <w:rPr>
          <w:i/>
          <w:iCs/>
        </w:rPr>
        <w:t>.</w:t>
      </w:r>
      <w:r w:rsidR="00687620" w:rsidRPr="00687620">
        <w:t xml:space="preserve"> 2013b)</w:t>
      </w:r>
      <w:r w:rsidRPr="001C39CD">
        <w:t xml:space="preserve">, </w:t>
      </w:r>
      <w:r w:rsidR="00A66FA0" w:rsidRPr="001C39CD">
        <w:t>and no evidence of X chromosome contamination with</w:t>
      </w:r>
      <w:r w:rsidRPr="001C39CD">
        <w:t xml:space="preserve"> ANGSD</w:t>
      </w:r>
      <w:r w:rsidR="00687620">
        <w:t xml:space="preserve"> </w:t>
      </w:r>
      <w:r w:rsidR="00687620" w:rsidRPr="00687620">
        <w:t>(</w:t>
      </w:r>
      <w:proofErr w:type="spellStart"/>
      <w:r w:rsidR="00687620" w:rsidRPr="00687620">
        <w:t>Korneliussen</w:t>
      </w:r>
      <w:proofErr w:type="spellEnd"/>
      <w:r w:rsidR="00687620" w:rsidRPr="00687620">
        <w:t xml:space="preserve"> </w:t>
      </w:r>
      <w:r w:rsidR="00021B07" w:rsidRPr="00021B07">
        <w:rPr>
          <w:i/>
          <w:iCs/>
        </w:rPr>
        <w:t>et al</w:t>
      </w:r>
      <w:r w:rsidR="00687620" w:rsidRPr="00687620">
        <w:rPr>
          <w:i/>
          <w:iCs/>
        </w:rPr>
        <w:t>.</w:t>
      </w:r>
      <w:r w:rsidR="00687620" w:rsidRPr="00687620">
        <w:t xml:space="preserve"> 2014)</w:t>
      </w:r>
      <w:r w:rsidRPr="001C39CD">
        <w:t xml:space="preserve">. </w:t>
      </w:r>
    </w:p>
    <w:p w14:paraId="657DB664" w14:textId="2303FC1D" w:rsidR="00527BC6" w:rsidRDefault="00527BC6" w:rsidP="009C17BE">
      <w:pPr>
        <w:spacing w:line="360" w:lineRule="auto"/>
        <w:rPr>
          <w:lang w:val="en"/>
        </w:rPr>
      </w:pPr>
    </w:p>
    <w:p w14:paraId="114164D2" w14:textId="6DA89F21" w:rsidR="00527BC6" w:rsidRPr="00C31673" w:rsidRDefault="00527BC6" w:rsidP="00527BC6">
      <w:pPr>
        <w:spacing w:line="360" w:lineRule="auto"/>
        <w:rPr>
          <w:b/>
          <w:bCs/>
          <w:lang w:val="en"/>
        </w:rPr>
      </w:pPr>
      <w:r w:rsidRPr="00C31673">
        <w:rPr>
          <w:b/>
          <w:bCs/>
          <w:lang w:val="en"/>
        </w:rPr>
        <w:t xml:space="preserve">Table S2. Contamination statistics for </w:t>
      </w:r>
      <w:r w:rsidR="00A75991">
        <w:rPr>
          <w:b/>
          <w:bCs/>
          <w:lang w:val="en"/>
        </w:rPr>
        <w:t>b</w:t>
      </w:r>
      <w:r w:rsidRPr="00C31673">
        <w:rPr>
          <w:b/>
          <w:bCs/>
          <w:lang w:val="en"/>
        </w:rPr>
        <w:t>urial 23-8</w:t>
      </w:r>
      <w:r w:rsidR="00A75991">
        <w:rPr>
          <w:b/>
          <w:bCs/>
          <w:lang w:val="en"/>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109"/>
        <w:gridCol w:w="1063"/>
        <w:gridCol w:w="1416"/>
        <w:gridCol w:w="1151"/>
        <w:gridCol w:w="1151"/>
        <w:gridCol w:w="1220"/>
        <w:gridCol w:w="1210"/>
      </w:tblGrid>
      <w:tr w:rsidR="00527BC6" w:rsidRPr="00527BC6" w14:paraId="02AD5258" w14:textId="77777777" w:rsidTr="003E7167">
        <w:trPr>
          <w:trHeight w:val="1020"/>
        </w:trPr>
        <w:tc>
          <w:tcPr>
            <w:tcW w:w="938" w:type="dxa"/>
            <w:tcBorders>
              <w:top w:val="nil"/>
              <w:left w:val="nil"/>
              <w:bottom w:val="single" w:sz="4" w:space="0" w:color="auto"/>
              <w:right w:val="nil"/>
            </w:tcBorders>
            <w:shd w:val="clear" w:color="auto" w:fill="auto"/>
            <w:noWrap/>
            <w:vAlign w:val="bottom"/>
            <w:hideMark/>
          </w:tcPr>
          <w:p w14:paraId="14C57700" w14:textId="77777777" w:rsidR="00527BC6" w:rsidRPr="004B6C65" w:rsidRDefault="00527BC6" w:rsidP="003E7167">
            <w:pPr>
              <w:rPr>
                <w:b/>
                <w:bCs/>
                <w:color w:val="000000"/>
              </w:rPr>
            </w:pPr>
            <w:r w:rsidRPr="004B6C65">
              <w:rPr>
                <w:b/>
                <w:bCs/>
                <w:color w:val="000000"/>
              </w:rPr>
              <w:t>ANGSD SNPs</w:t>
            </w:r>
          </w:p>
        </w:tc>
        <w:tc>
          <w:tcPr>
            <w:tcW w:w="1127" w:type="dxa"/>
            <w:tcBorders>
              <w:top w:val="nil"/>
              <w:left w:val="nil"/>
              <w:bottom w:val="single" w:sz="4" w:space="0" w:color="auto"/>
              <w:right w:val="nil"/>
            </w:tcBorders>
            <w:shd w:val="clear" w:color="auto" w:fill="auto"/>
            <w:noWrap/>
            <w:vAlign w:val="bottom"/>
            <w:hideMark/>
          </w:tcPr>
          <w:p w14:paraId="76730301" w14:textId="77777777" w:rsidR="00527BC6" w:rsidRPr="004B6C65" w:rsidRDefault="00527BC6" w:rsidP="003E7167">
            <w:pPr>
              <w:rPr>
                <w:b/>
                <w:bCs/>
                <w:color w:val="000000"/>
              </w:rPr>
            </w:pPr>
            <w:r w:rsidRPr="004B6C65">
              <w:rPr>
                <w:b/>
                <w:bCs/>
                <w:color w:val="000000"/>
              </w:rPr>
              <w:t>ANGSD MOM point estimate</w:t>
            </w:r>
          </w:p>
        </w:tc>
        <w:tc>
          <w:tcPr>
            <w:tcW w:w="1080" w:type="dxa"/>
            <w:tcBorders>
              <w:top w:val="nil"/>
              <w:left w:val="nil"/>
              <w:bottom w:val="single" w:sz="4" w:space="0" w:color="auto"/>
              <w:right w:val="nil"/>
            </w:tcBorders>
            <w:shd w:val="clear" w:color="auto" w:fill="auto"/>
            <w:noWrap/>
            <w:vAlign w:val="bottom"/>
            <w:hideMark/>
          </w:tcPr>
          <w:p w14:paraId="35472C8F" w14:textId="77777777" w:rsidR="00527BC6" w:rsidRPr="004B6C65" w:rsidRDefault="00527BC6" w:rsidP="003E7167">
            <w:pPr>
              <w:rPr>
                <w:b/>
                <w:bCs/>
                <w:color w:val="000000"/>
              </w:rPr>
            </w:pPr>
            <w:r w:rsidRPr="004B6C65">
              <w:rPr>
                <w:b/>
                <w:bCs/>
                <w:color w:val="000000"/>
              </w:rPr>
              <w:t xml:space="preserve">ANGSD MOM Z-score </w:t>
            </w:r>
          </w:p>
        </w:tc>
        <w:tc>
          <w:tcPr>
            <w:tcW w:w="1440" w:type="dxa"/>
            <w:tcBorders>
              <w:top w:val="nil"/>
              <w:left w:val="nil"/>
              <w:bottom w:val="single" w:sz="4" w:space="0" w:color="auto"/>
              <w:right w:val="nil"/>
            </w:tcBorders>
            <w:shd w:val="clear" w:color="auto" w:fill="auto"/>
            <w:noWrap/>
            <w:vAlign w:val="bottom"/>
            <w:hideMark/>
          </w:tcPr>
          <w:p w14:paraId="068532B5" w14:textId="77777777" w:rsidR="00527BC6" w:rsidRPr="004B6C65" w:rsidRDefault="00527BC6" w:rsidP="003E7167">
            <w:pPr>
              <w:rPr>
                <w:b/>
                <w:bCs/>
                <w:color w:val="000000"/>
              </w:rPr>
            </w:pPr>
            <w:r w:rsidRPr="004B6C65">
              <w:rPr>
                <w:b/>
                <w:bCs/>
                <w:color w:val="000000"/>
              </w:rPr>
              <w:t xml:space="preserve">ANGSD MOM 95% CI truncated at 0 </w:t>
            </w:r>
          </w:p>
        </w:tc>
        <w:tc>
          <w:tcPr>
            <w:tcW w:w="1170" w:type="dxa"/>
            <w:tcBorders>
              <w:top w:val="nil"/>
              <w:left w:val="nil"/>
              <w:bottom w:val="single" w:sz="4" w:space="0" w:color="auto"/>
              <w:right w:val="nil"/>
            </w:tcBorders>
            <w:shd w:val="clear" w:color="auto" w:fill="auto"/>
            <w:vAlign w:val="bottom"/>
            <w:hideMark/>
          </w:tcPr>
          <w:p w14:paraId="3EF70B8B" w14:textId="77777777" w:rsidR="00527BC6" w:rsidRPr="004B6C65" w:rsidRDefault="00527BC6" w:rsidP="003E7167">
            <w:pPr>
              <w:rPr>
                <w:b/>
                <w:bCs/>
              </w:rPr>
            </w:pPr>
            <w:r w:rsidRPr="004B6C65">
              <w:rPr>
                <w:b/>
                <w:bCs/>
              </w:rPr>
              <w:t>mt coverage</w:t>
            </w:r>
          </w:p>
        </w:tc>
        <w:tc>
          <w:tcPr>
            <w:tcW w:w="1170" w:type="dxa"/>
            <w:tcBorders>
              <w:top w:val="nil"/>
              <w:left w:val="nil"/>
              <w:bottom w:val="single" w:sz="4" w:space="0" w:color="auto"/>
              <w:right w:val="nil"/>
            </w:tcBorders>
            <w:shd w:val="clear" w:color="auto" w:fill="auto"/>
            <w:vAlign w:val="bottom"/>
            <w:hideMark/>
          </w:tcPr>
          <w:p w14:paraId="26829968" w14:textId="77777777" w:rsidR="00527BC6" w:rsidRPr="004B6C65" w:rsidRDefault="00527BC6" w:rsidP="003E7167">
            <w:pPr>
              <w:rPr>
                <w:b/>
                <w:bCs/>
              </w:rPr>
            </w:pPr>
            <w:r w:rsidRPr="004B6C65">
              <w:rPr>
                <w:b/>
                <w:bCs/>
              </w:rPr>
              <w:t>mt damage last base</w:t>
            </w:r>
          </w:p>
        </w:tc>
        <w:tc>
          <w:tcPr>
            <w:tcW w:w="1240" w:type="dxa"/>
            <w:tcBorders>
              <w:top w:val="nil"/>
              <w:left w:val="nil"/>
              <w:bottom w:val="single" w:sz="4" w:space="0" w:color="auto"/>
              <w:right w:val="nil"/>
            </w:tcBorders>
            <w:shd w:val="clear" w:color="auto" w:fill="auto"/>
            <w:vAlign w:val="bottom"/>
            <w:hideMark/>
          </w:tcPr>
          <w:p w14:paraId="7B43F050" w14:textId="77777777" w:rsidR="00527BC6" w:rsidRPr="004B6C65" w:rsidRDefault="00527BC6" w:rsidP="003E7167">
            <w:pPr>
              <w:rPr>
                <w:b/>
                <w:bCs/>
              </w:rPr>
            </w:pPr>
            <w:r w:rsidRPr="004B6C65">
              <w:rPr>
                <w:b/>
                <w:bCs/>
              </w:rPr>
              <w:t>mt consensus match</w:t>
            </w:r>
          </w:p>
        </w:tc>
        <w:tc>
          <w:tcPr>
            <w:tcW w:w="1190" w:type="dxa"/>
            <w:tcBorders>
              <w:top w:val="nil"/>
              <w:left w:val="nil"/>
              <w:bottom w:val="single" w:sz="4" w:space="0" w:color="auto"/>
              <w:right w:val="nil"/>
            </w:tcBorders>
            <w:shd w:val="clear" w:color="auto" w:fill="auto"/>
            <w:vAlign w:val="bottom"/>
            <w:hideMark/>
          </w:tcPr>
          <w:p w14:paraId="78671C7A" w14:textId="77777777" w:rsidR="00527BC6" w:rsidRPr="004B6C65" w:rsidRDefault="00527BC6" w:rsidP="003E7167">
            <w:pPr>
              <w:rPr>
                <w:b/>
                <w:bCs/>
              </w:rPr>
            </w:pPr>
            <w:r w:rsidRPr="004B6C65">
              <w:rPr>
                <w:b/>
                <w:bCs/>
              </w:rPr>
              <w:t>mt consensus match 95CI</w:t>
            </w:r>
          </w:p>
        </w:tc>
      </w:tr>
      <w:tr w:rsidR="00527BC6" w:rsidRPr="00527BC6" w14:paraId="478485D9" w14:textId="77777777" w:rsidTr="003E7167">
        <w:trPr>
          <w:trHeight w:val="320"/>
        </w:trPr>
        <w:tc>
          <w:tcPr>
            <w:tcW w:w="938" w:type="dxa"/>
            <w:tcBorders>
              <w:top w:val="single" w:sz="4" w:space="0" w:color="auto"/>
              <w:left w:val="nil"/>
              <w:bottom w:val="single" w:sz="4" w:space="0" w:color="auto"/>
              <w:right w:val="nil"/>
            </w:tcBorders>
            <w:shd w:val="clear" w:color="auto" w:fill="auto"/>
            <w:noWrap/>
            <w:vAlign w:val="bottom"/>
            <w:hideMark/>
          </w:tcPr>
          <w:p w14:paraId="276483B4" w14:textId="77777777" w:rsidR="00527BC6" w:rsidRPr="004B6C65" w:rsidRDefault="00527BC6" w:rsidP="003E7167">
            <w:pPr>
              <w:jc w:val="right"/>
              <w:rPr>
                <w:color w:val="000000"/>
              </w:rPr>
            </w:pPr>
            <w:r w:rsidRPr="004B6C65">
              <w:rPr>
                <w:color w:val="000000"/>
              </w:rPr>
              <w:t>480</w:t>
            </w:r>
          </w:p>
        </w:tc>
        <w:tc>
          <w:tcPr>
            <w:tcW w:w="1127" w:type="dxa"/>
            <w:tcBorders>
              <w:top w:val="single" w:sz="4" w:space="0" w:color="auto"/>
              <w:left w:val="nil"/>
              <w:bottom w:val="single" w:sz="4" w:space="0" w:color="auto"/>
              <w:right w:val="nil"/>
            </w:tcBorders>
            <w:shd w:val="clear" w:color="auto" w:fill="auto"/>
            <w:noWrap/>
            <w:vAlign w:val="bottom"/>
            <w:hideMark/>
          </w:tcPr>
          <w:p w14:paraId="561D5A45" w14:textId="77777777" w:rsidR="00527BC6" w:rsidRPr="004B6C65" w:rsidRDefault="00527BC6" w:rsidP="003E7167">
            <w:pPr>
              <w:jc w:val="right"/>
              <w:rPr>
                <w:color w:val="000000"/>
              </w:rPr>
            </w:pPr>
            <w:r w:rsidRPr="004B6C65">
              <w:rPr>
                <w:color w:val="000000"/>
              </w:rPr>
              <w:t>0.007</w:t>
            </w:r>
          </w:p>
        </w:tc>
        <w:tc>
          <w:tcPr>
            <w:tcW w:w="1080" w:type="dxa"/>
            <w:tcBorders>
              <w:top w:val="single" w:sz="4" w:space="0" w:color="auto"/>
              <w:left w:val="nil"/>
              <w:bottom w:val="single" w:sz="4" w:space="0" w:color="auto"/>
              <w:right w:val="nil"/>
            </w:tcBorders>
            <w:shd w:val="clear" w:color="auto" w:fill="auto"/>
            <w:noWrap/>
            <w:vAlign w:val="bottom"/>
            <w:hideMark/>
          </w:tcPr>
          <w:p w14:paraId="3F1CE6A7" w14:textId="77777777" w:rsidR="00527BC6" w:rsidRPr="004B6C65" w:rsidRDefault="00527BC6" w:rsidP="003E7167">
            <w:pPr>
              <w:jc w:val="right"/>
              <w:rPr>
                <w:color w:val="000000"/>
              </w:rPr>
            </w:pPr>
            <w:r w:rsidRPr="004B6C65">
              <w:rPr>
                <w:color w:val="000000"/>
              </w:rPr>
              <w:t>1.376</w:t>
            </w:r>
          </w:p>
        </w:tc>
        <w:tc>
          <w:tcPr>
            <w:tcW w:w="1440" w:type="dxa"/>
            <w:tcBorders>
              <w:top w:val="single" w:sz="4" w:space="0" w:color="auto"/>
              <w:left w:val="nil"/>
              <w:bottom w:val="single" w:sz="4" w:space="0" w:color="auto"/>
              <w:right w:val="nil"/>
            </w:tcBorders>
            <w:shd w:val="clear" w:color="auto" w:fill="auto"/>
            <w:noWrap/>
            <w:vAlign w:val="bottom"/>
            <w:hideMark/>
          </w:tcPr>
          <w:p w14:paraId="52C9697C" w14:textId="77777777" w:rsidR="00527BC6" w:rsidRPr="004B6C65" w:rsidRDefault="00527BC6" w:rsidP="003E7167">
            <w:pPr>
              <w:rPr>
                <w:color w:val="000000"/>
              </w:rPr>
            </w:pPr>
            <w:r w:rsidRPr="004B6C65">
              <w:rPr>
                <w:color w:val="000000"/>
              </w:rPr>
              <w:t>0.000, 0.016</w:t>
            </w:r>
          </w:p>
        </w:tc>
        <w:tc>
          <w:tcPr>
            <w:tcW w:w="1170" w:type="dxa"/>
            <w:tcBorders>
              <w:top w:val="single" w:sz="4" w:space="0" w:color="auto"/>
              <w:left w:val="nil"/>
              <w:bottom w:val="single" w:sz="4" w:space="0" w:color="auto"/>
              <w:right w:val="nil"/>
            </w:tcBorders>
            <w:shd w:val="clear" w:color="auto" w:fill="auto"/>
            <w:noWrap/>
            <w:vAlign w:val="bottom"/>
            <w:hideMark/>
          </w:tcPr>
          <w:p w14:paraId="13E0AB91" w14:textId="77777777" w:rsidR="00527BC6" w:rsidRPr="004B6C65" w:rsidRDefault="00527BC6" w:rsidP="003E7167">
            <w:pPr>
              <w:jc w:val="right"/>
            </w:pPr>
            <w:r w:rsidRPr="004B6C65">
              <w:t>149.7</w:t>
            </w:r>
          </w:p>
        </w:tc>
        <w:tc>
          <w:tcPr>
            <w:tcW w:w="1170" w:type="dxa"/>
            <w:tcBorders>
              <w:top w:val="single" w:sz="4" w:space="0" w:color="auto"/>
              <w:left w:val="nil"/>
              <w:bottom w:val="single" w:sz="4" w:space="0" w:color="auto"/>
              <w:right w:val="nil"/>
            </w:tcBorders>
            <w:shd w:val="clear" w:color="auto" w:fill="auto"/>
            <w:noWrap/>
            <w:vAlign w:val="bottom"/>
            <w:hideMark/>
          </w:tcPr>
          <w:p w14:paraId="2D229445" w14:textId="77777777" w:rsidR="00527BC6" w:rsidRPr="004B6C65" w:rsidRDefault="00527BC6" w:rsidP="003E7167">
            <w:pPr>
              <w:jc w:val="right"/>
            </w:pPr>
            <w:r w:rsidRPr="004B6C65">
              <w:t>0.068</w:t>
            </w:r>
          </w:p>
        </w:tc>
        <w:tc>
          <w:tcPr>
            <w:tcW w:w="1240" w:type="dxa"/>
            <w:tcBorders>
              <w:top w:val="single" w:sz="4" w:space="0" w:color="auto"/>
              <w:left w:val="nil"/>
              <w:bottom w:val="single" w:sz="4" w:space="0" w:color="auto"/>
              <w:right w:val="nil"/>
            </w:tcBorders>
            <w:shd w:val="clear" w:color="auto" w:fill="auto"/>
            <w:noWrap/>
            <w:vAlign w:val="bottom"/>
            <w:hideMark/>
          </w:tcPr>
          <w:p w14:paraId="229EF68E" w14:textId="77777777" w:rsidR="00527BC6" w:rsidRPr="004B6C65" w:rsidRDefault="00527BC6" w:rsidP="003E7167">
            <w:pPr>
              <w:jc w:val="right"/>
            </w:pPr>
            <w:r w:rsidRPr="004B6C65">
              <w:t>0.999266</w:t>
            </w:r>
          </w:p>
        </w:tc>
        <w:tc>
          <w:tcPr>
            <w:tcW w:w="1190" w:type="dxa"/>
            <w:tcBorders>
              <w:top w:val="single" w:sz="4" w:space="0" w:color="auto"/>
              <w:left w:val="nil"/>
              <w:bottom w:val="single" w:sz="4" w:space="0" w:color="auto"/>
              <w:right w:val="nil"/>
            </w:tcBorders>
            <w:shd w:val="clear" w:color="auto" w:fill="auto"/>
            <w:noWrap/>
            <w:vAlign w:val="bottom"/>
            <w:hideMark/>
          </w:tcPr>
          <w:p w14:paraId="4765771C" w14:textId="77777777" w:rsidR="00527BC6" w:rsidRPr="004B6C65" w:rsidRDefault="00527BC6" w:rsidP="003E7167">
            <w:r w:rsidRPr="004B6C65">
              <w:t>0.994, 1.000</w:t>
            </w:r>
          </w:p>
        </w:tc>
      </w:tr>
    </w:tbl>
    <w:p w14:paraId="643B0F75" w14:textId="77777777" w:rsidR="005D46E8" w:rsidRDefault="005D46E8" w:rsidP="009C17BE">
      <w:pPr>
        <w:spacing w:line="360" w:lineRule="auto"/>
        <w:rPr>
          <w:lang w:val="en"/>
        </w:rPr>
      </w:pPr>
    </w:p>
    <w:p w14:paraId="0668A6A3" w14:textId="77777777" w:rsidR="005D46E8" w:rsidRPr="001C39CD" w:rsidRDefault="005D46E8" w:rsidP="009C17BE">
      <w:pPr>
        <w:spacing w:line="360" w:lineRule="auto"/>
        <w:rPr>
          <w:lang w:val="en"/>
        </w:rPr>
      </w:pPr>
    </w:p>
    <w:p w14:paraId="561C2623" w14:textId="2E76D195" w:rsidR="0078566B" w:rsidRPr="001C39CD" w:rsidRDefault="0078566B" w:rsidP="0078566B">
      <w:pPr>
        <w:spacing w:line="360" w:lineRule="auto"/>
        <w:rPr>
          <w:lang w:val="en"/>
        </w:rPr>
      </w:pPr>
      <w:r w:rsidRPr="002A23EB">
        <w:rPr>
          <w:i/>
          <w:iCs/>
          <w:lang w:val="en"/>
        </w:rPr>
        <w:t>Uniparental markers:</w:t>
      </w:r>
      <w:r w:rsidRPr="001C39CD">
        <w:rPr>
          <w:b/>
          <w:bCs/>
          <w:lang w:val="en"/>
        </w:rPr>
        <w:t xml:space="preserve"> </w:t>
      </w:r>
      <w:r w:rsidRPr="001C39CD">
        <w:rPr>
          <w:lang w:val="en"/>
        </w:rPr>
        <w:t xml:space="preserve">For mtDNA, </w:t>
      </w:r>
      <w:r w:rsidRPr="001C39CD">
        <w:t xml:space="preserve">consensus sequences were created with </w:t>
      </w:r>
      <w:proofErr w:type="spellStart"/>
      <w:r w:rsidRPr="001C39CD">
        <w:t>samtools</w:t>
      </w:r>
      <w:proofErr w:type="spellEnd"/>
      <w:r w:rsidRPr="001C39CD">
        <w:t xml:space="preserve"> and </w:t>
      </w:r>
      <w:proofErr w:type="spellStart"/>
      <w:r w:rsidRPr="001C39CD">
        <w:t>bcftools</w:t>
      </w:r>
      <w:proofErr w:type="spellEnd"/>
      <w:r w:rsidRPr="001C39CD">
        <w:t xml:space="preserve"> version 1.31 using majority rule and then using HaploGrep2 with </w:t>
      </w:r>
      <w:proofErr w:type="spellStart"/>
      <w:r w:rsidRPr="001C39CD">
        <w:t>Phylotree</w:t>
      </w:r>
      <w:proofErr w:type="spellEnd"/>
      <w:r w:rsidRPr="001C39CD">
        <w:t xml:space="preserve"> version 17; </w:t>
      </w:r>
      <w:r w:rsidR="000317BE" w:rsidRPr="001C39CD">
        <w:rPr>
          <w:lang w:val="en"/>
        </w:rPr>
        <w:t xml:space="preserve">the consensus match was </w:t>
      </w:r>
      <w:r w:rsidR="00DC1ABB">
        <w:rPr>
          <w:lang w:val="en"/>
        </w:rPr>
        <w:t>0</w:t>
      </w:r>
      <w:r w:rsidR="000317BE" w:rsidRPr="001C39CD">
        <w:rPr>
          <w:lang w:val="en"/>
        </w:rPr>
        <w:t xml:space="preserve">.994. </w:t>
      </w:r>
      <w:r w:rsidR="00DC1ABB">
        <w:rPr>
          <w:lang w:val="en"/>
        </w:rPr>
        <w:t xml:space="preserve">The </w:t>
      </w:r>
      <w:r w:rsidRPr="001C39CD">
        <w:t xml:space="preserve">Y chromosome haplogroup was determined using the </w:t>
      </w:r>
      <w:r w:rsidRPr="001C39CD">
        <w:rPr>
          <w:lang w:val="en"/>
        </w:rPr>
        <w:t>individual sequence</w:t>
      </w:r>
      <w:r w:rsidR="00DC1ABB">
        <w:rPr>
          <w:lang w:val="en"/>
        </w:rPr>
        <w:t xml:space="preserve"> data</w:t>
      </w:r>
      <w:r w:rsidRPr="001C39CD">
        <w:rPr>
          <w:lang w:val="en"/>
        </w:rPr>
        <w:t xml:space="preserve"> (BAM-file). We filtered </w:t>
      </w:r>
      <w:r w:rsidR="00DC1ABB">
        <w:rPr>
          <w:lang w:val="en"/>
        </w:rPr>
        <w:t xml:space="preserve">out </w:t>
      </w:r>
      <w:r w:rsidRPr="001C39CD">
        <w:rPr>
          <w:lang w:val="en"/>
        </w:rPr>
        <w:t xml:space="preserve">reads with mapping quality &lt;30 and bases with base quality &lt;30 and trimmed the first and last 2bp of each sequence to remove potential errors due to characteristic aDNA damage. We made a </w:t>
      </w:r>
      <w:r w:rsidRPr="001C39CD">
        <w:t xml:space="preserve">haplogroup determination based on the most derived mutation using the nomenclature of the International Society of Genetic Genealogy (ISOGG) (http://www.isogg.org) version ISOGG v15.73 (2020) notation </w:t>
      </w:r>
      <w:r w:rsidRPr="001C39CD">
        <w:rPr>
          <w:lang w:val="en"/>
        </w:rPr>
        <w:t xml:space="preserve">using </w:t>
      </w:r>
      <w:proofErr w:type="spellStart"/>
      <w:r w:rsidRPr="001C39CD">
        <w:rPr>
          <w:lang w:val="en"/>
        </w:rPr>
        <w:t>Yfitter</w:t>
      </w:r>
      <w:proofErr w:type="spellEnd"/>
      <w:r w:rsidRPr="001C39CD">
        <w:rPr>
          <w:lang w:val="en"/>
        </w:rPr>
        <w:t xml:space="preserve"> </w:t>
      </w:r>
      <w:r w:rsidR="00687620" w:rsidRPr="00687620">
        <w:t>(</w:t>
      </w:r>
      <w:proofErr w:type="spellStart"/>
      <w:r w:rsidR="00687620" w:rsidRPr="00687620">
        <w:t>Jostins</w:t>
      </w:r>
      <w:proofErr w:type="spellEnd"/>
      <w:r w:rsidR="00687620" w:rsidRPr="00687620">
        <w:t xml:space="preserve"> </w:t>
      </w:r>
      <w:r w:rsidR="00021B07" w:rsidRPr="00021B07">
        <w:rPr>
          <w:i/>
          <w:iCs/>
        </w:rPr>
        <w:t>et al</w:t>
      </w:r>
      <w:r w:rsidR="00687620" w:rsidRPr="00687620">
        <w:rPr>
          <w:i/>
          <w:iCs/>
        </w:rPr>
        <w:t>.</w:t>
      </w:r>
      <w:r w:rsidR="00687620" w:rsidRPr="00687620">
        <w:t xml:space="preserve"> 2014)</w:t>
      </w:r>
      <w:r w:rsidR="00687620">
        <w:rPr>
          <w:lang w:val="en"/>
        </w:rPr>
        <w:t>.</w:t>
      </w:r>
      <w:r w:rsidRPr="001C39CD">
        <w:rPr>
          <w:lang w:val="en"/>
        </w:rPr>
        <w:t xml:space="preserve"> </w:t>
      </w:r>
    </w:p>
    <w:p w14:paraId="5D57DFB1" w14:textId="77777777" w:rsidR="00921B9B" w:rsidRPr="001C39CD" w:rsidRDefault="00921B9B" w:rsidP="009C17BE">
      <w:pPr>
        <w:spacing w:line="360" w:lineRule="auto"/>
        <w:rPr>
          <w:lang w:val="en"/>
        </w:rPr>
      </w:pPr>
    </w:p>
    <w:p w14:paraId="45DAD348" w14:textId="39D43257" w:rsidR="009C17BE" w:rsidRPr="001C39CD" w:rsidRDefault="00921B9B" w:rsidP="009C17BE">
      <w:pPr>
        <w:spacing w:line="360" w:lineRule="auto"/>
        <w:rPr>
          <w:lang w:val="en"/>
        </w:rPr>
      </w:pPr>
      <w:r w:rsidRPr="002A23EB">
        <w:rPr>
          <w:i/>
          <w:iCs/>
          <w:lang w:val="en"/>
        </w:rPr>
        <w:t xml:space="preserve">Genetic </w:t>
      </w:r>
      <w:r w:rsidR="00C31673">
        <w:rPr>
          <w:i/>
          <w:iCs/>
          <w:lang w:val="en"/>
        </w:rPr>
        <w:t>s</w:t>
      </w:r>
      <w:r w:rsidRPr="002A23EB">
        <w:rPr>
          <w:i/>
          <w:iCs/>
          <w:lang w:val="en"/>
        </w:rPr>
        <w:t>ex:</w:t>
      </w:r>
      <w:r w:rsidRPr="001C39CD">
        <w:rPr>
          <w:lang w:val="en"/>
        </w:rPr>
        <w:t xml:space="preserve"> </w:t>
      </w:r>
      <w:r w:rsidR="000317BE" w:rsidRPr="001C39CD">
        <w:rPr>
          <w:lang w:val="en"/>
        </w:rPr>
        <w:t>Genetic sex</w:t>
      </w:r>
      <w:r w:rsidRPr="001C39CD">
        <w:rPr>
          <w:lang w:val="en"/>
        </w:rPr>
        <w:t xml:space="preserve"> was determined by computing Y = the number of sequences overlapping SNPs on the Y chromosome</w:t>
      </w:r>
      <w:r w:rsidR="00DC1ABB">
        <w:rPr>
          <w:lang w:val="en"/>
        </w:rPr>
        <w:t xml:space="preserve"> (Y)</w:t>
      </w:r>
      <w:r w:rsidRPr="001C39CD">
        <w:rPr>
          <w:lang w:val="en"/>
        </w:rPr>
        <w:t xml:space="preserve"> and X = the number of sequences overlapping SNPs on the X chromosomes</w:t>
      </w:r>
      <w:r w:rsidR="00DC1ABB">
        <w:rPr>
          <w:lang w:val="en"/>
        </w:rPr>
        <w:t xml:space="preserve"> (X)</w:t>
      </w:r>
      <w:r w:rsidRPr="001C39CD">
        <w:rPr>
          <w:lang w:val="en"/>
        </w:rPr>
        <w:t xml:space="preserve">. We then computed the ratio R=Y/(X+Y). </w:t>
      </w:r>
      <w:r w:rsidR="000317BE" w:rsidRPr="001C39CD">
        <w:rPr>
          <w:lang w:val="en"/>
        </w:rPr>
        <w:t xml:space="preserve">Using this calculation, genetic males have vales of R&gt;0.35; </w:t>
      </w:r>
      <w:r w:rsidR="009901E6">
        <w:rPr>
          <w:lang w:val="en"/>
        </w:rPr>
        <w:t>b</w:t>
      </w:r>
      <w:r w:rsidR="000317BE" w:rsidRPr="001C39CD">
        <w:rPr>
          <w:lang w:val="en"/>
        </w:rPr>
        <w:t xml:space="preserve">urial 23-8’s </w:t>
      </w:r>
      <w:r w:rsidR="0078566B" w:rsidRPr="001C39CD">
        <w:rPr>
          <w:lang w:val="en"/>
        </w:rPr>
        <w:t>R=</w:t>
      </w:r>
      <w:r w:rsidR="00410E59">
        <w:rPr>
          <w:lang w:val="en"/>
        </w:rPr>
        <w:t>0</w:t>
      </w:r>
      <w:r w:rsidR="0078566B" w:rsidRPr="001C39CD">
        <w:rPr>
          <w:lang w:val="en"/>
        </w:rPr>
        <w:t>.411.</w:t>
      </w:r>
      <w:r w:rsidR="000317BE" w:rsidRPr="001C39CD">
        <w:rPr>
          <w:lang w:val="en"/>
        </w:rPr>
        <w:t xml:space="preserve"> </w:t>
      </w:r>
    </w:p>
    <w:p w14:paraId="4AF62EC3" w14:textId="77777777" w:rsidR="009C17BE" w:rsidRPr="001C39CD" w:rsidRDefault="009C17BE" w:rsidP="009C17BE">
      <w:pPr>
        <w:spacing w:line="360" w:lineRule="auto"/>
        <w:rPr>
          <w:lang w:val="en"/>
        </w:rPr>
      </w:pPr>
    </w:p>
    <w:p w14:paraId="03E3428E" w14:textId="4483884D" w:rsidR="009C17BE" w:rsidRPr="001C39CD" w:rsidRDefault="009C17BE" w:rsidP="009C17BE">
      <w:pPr>
        <w:spacing w:line="360" w:lineRule="auto"/>
        <w:rPr>
          <w:b/>
          <w:bCs/>
          <w:lang w:val="en"/>
        </w:rPr>
      </w:pPr>
      <w:r w:rsidRPr="001C39CD">
        <w:rPr>
          <w:b/>
          <w:bCs/>
          <w:lang w:val="en"/>
        </w:rPr>
        <w:t xml:space="preserve">Demographic </w:t>
      </w:r>
      <w:r w:rsidR="00C31673">
        <w:rPr>
          <w:b/>
          <w:bCs/>
          <w:lang w:val="en"/>
        </w:rPr>
        <w:t>m</w:t>
      </w:r>
      <w:r w:rsidRPr="001C39CD">
        <w:rPr>
          <w:b/>
          <w:bCs/>
          <w:lang w:val="en"/>
        </w:rPr>
        <w:t>ode</w:t>
      </w:r>
      <w:r w:rsidR="0067349E">
        <w:rPr>
          <w:b/>
          <w:bCs/>
          <w:lang w:val="en"/>
        </w:rPr>
        <w:t>l</w:t>
      </w:r>
      <w:r w:rsidRPr="001C39CD">
        <w:rPr>
          <w:b/>
          <w:bCs/>
          <w:lang w:val="en"/>
        </w:rPr>
        <w:t>ling</w:t>
      </w:r>
    </w:p>
    <w:p w14:paraId="14E344C5" w14:textId="093E86B7" w:rsidR="009C17BE" w:rsidRPr="00513FD7" w:rsidRDefault="009C17BE" w:rsidP="009C17BE">
      <w:pPr>
        <w:spacing w:line="360" w:lineRule="auto"/>
        <w:rPr>
          <w:lang w:val="fr-FR"/>
        </w:rPr>
      </w:pPr>
      <w:r w:rsidRPr="001C39CD">
        <w:rPr>
          <w:i/>
          <w:iCs/>
          <w:lang w:val="en"/>
        </w:rPr>
        <w:t>Principal Component Analysis</w:t>
      </w:r>
      <w:r w:rsidRPr="001C39CD">
        <w:rPr>
          <w:lang w:val="en"/>
        </w:rPr>
        <w:t xml:space="preserve">: Principal component analysis was performed using </w:t>
      </w:r>
      <w:proofErr w:type="spellStart"/>
      <w:r w:rsidRPr="001C39CD">
        <w:rPr>
          <w:lang w:val="en"/>
        </w:rPr>
        <w:t>smartPCA</w:t>
      </w:r>
      <w:proofErr w:type="spellEnd"/>
      <w:r w:rsidRPr="001C39CD">
        <w:rPr>
          <w:lang w:val="en"/>
        </w:rPr>
        <w:t xml:space="preserve"> in EIGENSOFT (Patterson </w:t>
      </w:r>
      <w:r w:rsidR="00021B07" w:rsidRPr="00021B07">
        <w:rPr>
          <w:i/>
          <w:lang w:val="en"/>
        </w:rPr>
        <w:t>et al</w:t>
      </w:r>
      <w:r w:rsidRPr="001C39CD">
        <w:rPr>
          <w:lang w:val="en"/>
        </w:rPr>
        <w:t>. 2012). We used the default parameters except for “lsqproject: YES” and</w:t>
      </w:r>
      <w:r w:rsidR="00021B07">
        <w:rPr>
          <w:lang w:val="en"/>
        </w:rPr>
        <w:t xml:space="preserve"> </w:t>
      </w:r>
      <w:r w:rsidR="00384E93" w:rsidRPr="001C39CD">
        <w:rPr>
          <w:lang w:val="en"/>
        </w:rPr>
        <w:t xml:space="preserve">“shrinkmode: YES” and </w:t>
      </w:r>
      <w:r w:rsidRPr="001C39CD">
        <w:rPr>
          <w:lang w:val="en"/>
        </w:rPr>
        <w:t xml:space="preserve">performed PCA on </w:t>
      </w:r>
      <w:r w:rsidR="00D53218" w:rsidRPr="001C39CD">
        <w:rPr>
          <w:lang w:val="en"/>
        </w:rPr>
        <w:t>modern Indigenous populations from the Americas including: Chane</w:t>
      </w:r>
      <w:r w:rsidR="007346E2" w:rsidRPr="001C39CD">
        <w:rPr>
          <w:lang w:val="en"/>
        </w:rPr>
        <w:t xml:space="preserve">, </w:t>
      </w:r>
      <w:r w:rsidR="00D53218" w:rsidRPr="001C39CD">
        <w:rPr>
          <w:lang w:val="en"/>
        </w:rPr>
        <w:t>Guarani</w:t>
      </w:r>
      <w:r w:rsidR="007346E2" w:rsidRPr="001C39CD">
        <w:rPr>
          <w:lang w:val="en"/>
        </w:rPr>
        <w:t>,</w:t>
      </w:r>
      <w:r w:rsidR="00D3392A">
        <w:rPr>
          <w:lang w:val="en"/>
        </w:rPr>
        <w:t xml:space="preserve"> Huichol,</w:t>
      </w:r>
      <w:r w:rsidR="007346E2" w:rsidRPr="001C39CD">
        <w:rPr>
          <w:lang w:val="en"/>
        </w:rPr>
        <w:t xml:space="preserve"> </w:t>
      </w:r>
      <w:r w:rsidR="00D53218" w:rsidRPr="001C39CD">
        <w:rPr>
          <w:lang w:val="en"/>
        </w:rPr>
        <w:t>Mixtec</w:t>
      </w:r>
      <w:r w:rsidR="00F101F4" w:rsidRPr="001C39CD">
        <w:rPr>
          <w:lang w:val="en"/>
        </w:rPr>
        <w:t xml:space="preserve">, </w:t>
      </w:r>
      <w:r w:rsidR="00D53218" w:rsidRPr="001C39CD">
        <w:rPr>
          <w:lang w:val="en"/>
        </w:rPr>
        <w:t>Piapoco</w:t>
      </w:r>
      <w:r w:rsidR="00F101F4" w:rsidRPr="001C39CD">
        <w:rPr>
          <w:lang w:val="en"/>
        </w:rPr>
        <w:t xml:space="preserve">, </w:t>
      </w:r>
      <w:r w:rsidR="00C738E0" w:rsidRPr="001C39CD">
        <w:rPr>
          <w:lang w:val="en"/>
        </w:rPr>
        <w:t>Pima,</w:t>
      </w:r>
      <w:r w:rsidR="00F101F4" w:rsidRPr="001C39CD">
        <w:rPr>
          <w:lang w:val="en"/>
        </w:rPr>
        <w:t xml:space="preserve"> </w:t>
      </w:r>
      <w:r w:rsidR="00D53218" w:rsidRPr="001C39CD">
        <w:rPr>
          <w:lang w:val="en"/>
        </w:rPr>
        <w:t>Quechua</w:t>
      </w:r>
      <w:r w:rsidR="00F101F4" w:rsidRPr="001C39CD">
        <w:rPr>
          <w:lang w:val="en"/>
        </w:rPr>
        <w:t xml:space="preserve"> </w:t>
      </w:r>
      <w:r w:rsidR="00D3392A">
        <w:rPr>
          <w:lang w:val="en"/>
        </w:rPr>
        <w:t>and</w:t>
      </w:r>
      <w:r w:rsidR="00F101F4" w:rsidRPr="001C39CD">
        <w:rPr>
          <w:lang w:val="en"/>
        </w:rPr>
        <w:t xml:space="preserve"> </w:t>
      </w:r>
      <w:r w:rsidR="00D53218" w:rsidRPr="001C39CD">
        <w:rPr>
          <w:lang w:val="en"/>
        </w:rPr>
        <w:t>Zapotec</w:t>
      </w:r>
      <w:r w:rsidR="0055701D" w:rsidRPr="001C39CD">
        <w:rPr>
          <w:lang w:val="en"/>
        </w:rPr>
        <w:t xml:space="preserve"> </w:t>
      </w:r>
      <w:r w:rsidR="0055701D" w:rsidRPr="001C39CD">
        <w:t xml:space="preserve">(Reich </w:t>
      </w:r>
      <w:r w:rsidR="00021B07" w:rsidRPr="00021B07">
        <w:rPr>
          <w:i/>
          <w:iCs/>
        </w:rPr>
        <w:t>et al</w:t>
      </w:r>
      <w:r w:rsidR="0055701D" w:rsidRPr="001C39CD">
        <w:rPr>
          <w:i/>
          <w:iCs/>
        </w:rPr>
        <w:t>.</w:t>
      </w:r>
      <w:r w:rsidR="0055701D" w:rsidRPr="001C39CD">
        <w:t xml:space="preserve"> 2012; Lazaridis </w:t>
      </w:r>
      <w:r w:rsidR="00021B07" w:rsidRPr="00021B07">
        <w:rPr>
          <w:i/>
          <w:iCs/>
        </w:rPr>
        <w:t>et al</w:t>
      </w:r>
      <w:r w:rsidR="0055701D" w:rsidRPr="001C39CD">
        <w:rPr>
          <w:i/>
          <w:iCs/>
        </w:rPr>
        <w:t>.</w:t>
      </w:r>
      <w:r w:rsidR="0055701D" w:rsidRPr="001C39CD">
        <w:t xml:space="preserve"> 2014; Skoglund </w:t>
      </w:r>
      <w:r w:rsidR="00021B07" w:rsidRPr="00021B07">
        <w:rPr>
          <w:i/>
          <w:iCs/>
        </w:rPr>
        <w:t>et al</w:t>
      </w:r>
      <w:r w:rsidR="0055701D" w:rsidRPr="001C39CD">
        <w:rPr>
          <w:i/>
          <w:iCs/>
        </w:rPr>
        <w:t>.</w:t>
      </w:r>
      <w:r w:rsidR="0055701D" w:rsidRPr="001C39CD">
        <w:t xml:space="preserve"> 2015; Barbieri </w:t>
      </w:r>
      <w:r w:rsidR="00021B07" w:rsidRPr="00021B07">
        <w:rPr>
          <w:i/>
          <w:iCs/>
        </w:rPr>
        <w:t>et al</w:t>
      </w:r>
      <w:r w:rsidR="0055701D" w:rsidRPr="001C39CD">
        <w:rPr>
          <w:i/>
          <w:iCs/>
        </w:rPr>
        <w:t>.</w:t>
      </w:r>
      <w:r w:rsidR="0055701D" w:rsidRPr="001C39CD">
        <w:t xml:space="preserve"> 2019)</w:t>
      </w:r>
      <w:r w:rsidR="00384E93" w:rsidRPr="001C39CD">
        <w:rPr>
          <w:lang w:val="en"/>
        </w:rPr>
        <w:t xml:space="preserve">. </w:t>
      </w:r>
      <w:proofErr w:type="spellStart"/>
      <w:r w:rsidRPr="00513FD7">
        <w:rPr>
          <w:lang w:val="fr-FR"/>
        </w:rPr>
        <w:t>We</w:t>
      </w:r>
      <w:proofErr w:type="spellEnd"/>
      <w:r w:rsidRPr="00513FD7">
        <w:rPr>
          <w:lang w:val="fr-FR"/>
        </w:rPr>
        <w:t xml:space="preserve"> </w:t>
      </w:r>
      <w:proofErr w:type="spellStart"/>
      <w:r w:rsidRPr="00513FD7">
        <w:rPr>
          <w:lang w:val="fr-FR"/>
        </w:rPr>
        <w:t>then</w:t>
      </w:r>
      <w:proofErr w:type="spellEnd"/>
      <w:r w:rsidRPr="00513FD7">
        <w:rPr>
          <w:lang w:val="fr-FR"/>
        </w:rPr>
        <w:t xml:space="preserve"> </w:t>
      </w:r>
      <w:proofErr w:type="spellStart"/>
      <w:r w:rsidRPr="00513FD7">
        <w:rPr>
          <w:lang w:val="fr-FR"/>
        </w:rPr>
        <w:t>projected</w:t>
      </w:r>
      <w:proofErr w:type="spellEnd"/>
      <w:r w:rsidRPr="00513FD7">
        <w:rPr>
          <w:lang w:val="fr-FR"/>
        </w:rPr>
        <w:t xml:space="preserve"> </w:t>
      </w:r>
      <w:proofErr w:type="spellStart"/>
      <w:r w:rsidR="00CA72B9" w:rsidRPr="00513FD7">
        <w:rPr>
          <w:lang w:val="fr-FR"/>
        </w:rPr>
        <w:t>published</w:t>
      </w:r>
      <w:proofErr w:type="spellEnd"/>
      <w:r w:rsidR="00CA72B9" w:rsidRPr="00513FD7">
        <w:rPr>
          <w:lang w:val="fr-FR"/>
        </w:rPr>
        <w:t xml:space="preserve"> </w:t>
      </w:r>
      <w:proofErr w:type="spellStart"/>
      <w:r w:rsidRPr="00513FD7">
        <w:rPr>
          <w:lang w:val="fr-FR"/>
        </w:rPr>
        <w:t>ancient</w:t>
      </w:r>
      <w:proofErr w:type="spellEnd"/>
      <w:r w:rsidRPr="00513FD7">
        <w:rPr>
          <w:lang w:val="fr-FR"/>
        </w:rPr>
        <w:t xml:space="preserve"> </w:t>
      </w:r>
      <w:proofErr w:type="spellStart"/>
      <w:r w:rsidRPr="00513FD7">
        <w:rPr>
          <w:lang w:val="fr-FR"/>
        </w:rPr>
        <w:t>individuals</w:t>
      </w:r>
      <w:proofErr w:type="spellEnd"/>
      <w:r w:rsidR="00CA72B9" w:rsidRPr="00513FD7">
        <w:rPr>
          <w:lang w:val="fr-FR"/>
        </w:rPr>
        <w:t xml:space="preserve"> (</w:t>
      </w:r>
      <w:proofErr w:type="spellStart"/>
      <w:r w:rsidR="00507D26" w:rsidRPr="00513FD7">
        <w:rPr>
          <w:lang w:val="fr-FR"/>
        </w:rPr>
        <w:t>Malaspinas</w:t>
      </w:r>
      <w:proofErr w:type="spellEnd"/>
      <w:r w:rsidR="00507D26" w:rsidRPr="00513FD7">
        <w:rPr>
          <w:lang w:val="fr-FR"/>
        </w:rPr>
        <w:t xml:space="preserve"> </w:t>
      </w:r>
      <w:r w:rsidR="00507D26" w:rsidRPr="00513FD7">
        <w:rPr>
          <w:i/>
          <w:iCs/>
          <w:lang w:val="fr-FR"/>
        </w:rPr>
        <w:t>et al.</w:t>
      </w:r>
      <w:r w:rsidR="00507D26" w:rsidRPr="00513FD7">
        <w:rPr>
          <w:lang w:val="fr-FR"/>
        </w:rPr>
        <w:t xml:space="preserve"> 2014; </w:t>
      </w:r>
      <w:r w:rsidR="00CA72B9" w:rsidRPr="00513FD7">
        <w:rPr>
          <w:lang w:val="fr-FR"/>
        </w:rPr>
        <w:t xml:space="preserve">Raghavan </w:t>
      </w:r>
      <w:r w:rsidR="00021B07" w:rsidRPr="00513FD7">
        <w:rPr>
          <w:i/>
          <w:iCs/>
          <w:lang w:val="fr-FR"/>
        </w:rPr>
        <w:t>et al</w:t>
      </w:r>
      <w:r w:rsidR="00CA72B9" w:rsidRPr="00513FD7">
        <w:rPr>
          <w:i/>
          <w:iCs/>
          <w:lang w:val="fr-FR"/>
        </w:rPr>
        <w:t>.</w:t>
      </w:r>
      <w:r w:rsidR="00CA72B9" w:rsidRPr="00513FD7">
        <w:rPr>
          <w:lang w:val="fr-FR"/>
        </w:rPr>
        <w:t xml:space="preserve"> 2014, 2015; Rasmussen </w:t>
      </w:r>
      <w:r w:rsidR="00021B07" w:rsidRPr="00513FD7">
        <w:rPr>
          <w:i/>
          <w:iCs/>
          <w:lang w:val="fr-FR"/>
        </w:rPr>
        <w:t>et al</w:t>
      </w:r>
      <w:r w:rsidR="00CA72B9" w:rsidRPr="00513FD7">
        <w:rPr>
          <w:i/>
          <w:iCs/>
          <w:lang w:val="fr-FR"/>
        </w:rPr>
        <w:t>.</w:t>
      </w:r>
      <w:r w:rsidR="00CA72B9" w:rsidRPr="00513FD7">
        <w:rPr>
          <w:lang w:val="fr-FR"/>
        </w:rPr>
        <w:t xml:space="preserve"> 2015; Kennett </w:t>
      </w:r>
      <w:r w:rsidR="00021B07" w:rsidRPr="00513FD7">
        <w:rPr>
          <w:i/>
          <w:iCs/>
          <w:lang w:val="fr-FR"/>
        </w:rPr>
        <w:t>et al</w:t>
      </w:r>
      <w:r w:rsidR="00CA72B9" w:rsidRPr="00513FD7">
        <w:rPr>
          <w:i/>
          <w:iCs/>
          <w:lang w:val="fr-FR"/>
        </w:rPr>
        <w:t>.</w:t>
      </w:r>
      <w:r w:rsidR="00CA72B9" w:rsidRPr="00513FD7">
        <w:rPr>
          <w:lang w:val="fr-FR"/>
        </w:rPr>
        <w:t xml:space="preserve"> 2017, 2022; </w:t>
      </w:r>
      <w:proofErr w:type="spellStart"/>
      <w:r w:rsidR="00CA72B9" w:rsidRPr="00513FD7">
        <w:rPr>
          <w:lang w:val="fr-FR"/>
        </w:rPr>
        <w:t>Lindo</w:t>
      </w:r>
      <w:proofErr w:type="spellEnd"/>
      <w:r w:rsidR="00CA72B9" w:rsidRPr="00513FD7">
        <w:rPr>
          <w:lang w:val="fr-FR"/>
        </w:rPr>
        <w:t xml:space="preserve"> </w:t>
      </w:r>
      <w:r w:rsidR="00021B07" w:rsidRPr="00513FD7">
        <w:rPr>
          <w:i/>
          <w:iCs/>
          <w:lang w:val="fr-FR"/>
        </w:rPr>
        <w:t>et al</w:t>
      </w:r>
      <w:r w:rsidR="00CA72B9" w:rsidRPr="00513FD7">
        <w:rPr>
          <w:i/>
          <w:iCs/>
          <w:lang w:val="fr-FR"/>
        </w:rPr>
        <w:t>.</w:t>
      </w:r>
      <w:r w:rsidR="00CA72B9" w:rsidRPr="00513FD7">
        <w:rPr>
          <w:lang w:val="fr-FR"/>
        </w:rPr>
        <w:t xml:space="preserve"> 2017; </w:t>
      </w:r>
      <w:r w:rsidR="00E26260" w:rsidRPr="00513FD7">
        <w:rPr>
          <w:lang w:val="fr-FR"/>
        </w:rPr>
        <w:t xml:space="preserve">de la </w:t>
      </w:r>
      <w:r w:rsidR="00271BD9" w:rsidRPr="00513FD7">
        <w:rPr>
          <w:lang w:val="fr-FR"/>
        </w:rPr>
        <w:t xml:space="preserve">Fuente </w:t>
      </w:r>
      <w:r w:rsidR="00271BD9" w:rsidRPr="00513FD7">
        <w:rPr>
          <w:i/>
          <w:iCs/>
          <w:lang w:val="fr-FR"/>
        </w:rPr>
        <w:t>et al.</w:t>
      </w:r>
      <w:r w:rsidR="00271BD9" w:rsidRPr="00513FD7">
        <w:rPr>
          <w:lang w:val="fr-FR"/>
        </w:rPr>
        <w:t xml:space="preserve"> 2018; </w:t>
      </w:r>
      <w:r w:rsidR="00CA72B9" w:rsidRPr="00513FD7">
        <w:rPr>
          <w:lang w:val="fr-FR"/>
        </w:rPr>
        <w:t xml:space="preserve">Moreno-Mayar </w:t>
      </w:r>
      <w:r w:rsidR="00021B07" w:rsidRPr="00513FD7">
        <w:rPr>
          <w:i/>
          <w:iCs/>
          <w:lang w:val="fr-FR"/>
        </w:rPr>
        <w:t>et al</w:t>
      </w:r>
      <w:r w:rsidR="00CA72B9" w:rsidRPr="00513FD7">
        <w:rPr>
          <w:i/>
          <w:iCs/>
          <w:lang w:val="fr-FR"/>
        </w:rPr>
        <w:t>.</w:t>
      </w:r>
      <w:r w:rsidR="00CA72B9" w:rsidRPr="00513FD7">
        <w:rPr>
          <w:lang w:val="fr-FR"/>
        </w:rPr>
        <w:t xml:space="preserve"> 2018a</w:t>
      </w:r>
      <w:r w:rsidR="00271BD9" w:rsidRPr="00513FD7">
        <w:rPr>
          <w:lang w:val="fr-FR"/>
        </w:rPr>
        <w:t xml:space="preserve"> &amp;</w:t>
      </w:r>
      <w:r w:rsidR="00CA72B9" w:rsidRPr="00513FD7">
        <w:rPr>
          <w:lang w:val="fr-FR"/>
        </w:rPr>
        <w:t xml:space="preserve"> b; </w:t>
      </w:r>
      <w:r w:rsidR="00E73F94" w:rsidRPr="00513FD7">
        <w:rPr>
          <w:lang w:val="fr-FR"/>
        </w:rPr>
        <w:t xml:space="preserve">Posth </w:t>
      </w:r>
      <w:r w:rsidR="00E73F94" w:rsidRPr="00513FD7">
        <w:rPr>
          <w:i/>
          <w:iCs/>
          <w:lang w:val="fr-FR"/>
        </w:rPr>
        <w:t>et al.</w:t>
      </w:r>
      <w:r w:rsidR="00E73F94" w:rsidRPr="00513FD7">
        <w:rPr>
          <w:lang w:val="fr-FR"/>
        </w:rPr>
        <w:t xml:space="preserve"> 2018; Scheib </w:t>
      </w:r>
      <w:r w:rsidR="00E73F94" w:rsidRPr="00513FD7">
        <w:rPr>
          <w:i/>
          <w:iCs/>
          <w:lang w:val="fr-FR"/>
        </w:rPr>
        <w:t>et al.</w:t>
      </w:r>
      <w:r w:rsidR="00E73F94" w:rsidRPr="00513FD7">
        <w:rPr>
          <w:lang w:val="fr-FR"/>
        </w:rPr>
        <w:t xml:space="preserve"> 2018; </w:t>
      </w:r>
      <w:r w:rsidR="00CA72B9" w:rsidRPr="00513FD7">
        <w:rPr>
          <w:lang w:val="fr-FR"/>
        </w:rPr>
        <w:t xml:space="preserve">Schroeder </w:t>
      </w:r>
      <w:r w:rsidR="00021B07" w:rsidRPr="00513FD7">
        <w:rPr>
          <w:i/>
          <w:iCs/>
          <w:lang w:val="fr-FR"/>
        </w:rPr>
        <w:t>et al</w:t>
      </w:r>
      <w:r w:rsidR="00CA72B9" w:rsidRPr="00513FD7">
        <w:rPr>
          <w:i/>
          <w:iCs/>
          <w:lang w:val="fr-FR"/>
        </w:rPr>
        <w:t>.</w:t>
      </w:r>
      <w:r w:rsidR="00CA72B9" w:rsidRPr="00513FD7">
        <w:rPr>
          <w:lang w:val="fr-FR"/>
        </w:rPr>
        <w:t xml:space="preserve"> 2018; </w:t>
      </w:r>
      <w:proofErr w:type="spellStart"/>
      <w:r w:rsidR="00CA72B9" w:rsidRPr="00513FD7">
        <w:rPr>
          <w:lang w:val="fr-FR"/>
        </w:rPr>
        <w:t>Flegontov</w:t>
      </w:r>
      <w:proofErr w:type="spellEnd"/>
      <w:r w:rsidR="00CA72B9" w:rsidRPr="00513FD7">
        <w:rPr>
          <w:lang w:val="fr-FR"/>
        </w:rPr>
        <w:t xml:space="preserve"> </w:t>
      </w:r>
      <w:r w:rsidR="00021B07" w:rsidRPr="00513FD7">
        <w:rPr>
          <w:i/>
          <w:iCs/>
          <w:lang w:val="fr-FR"/>
        </w:rPr>
        <w:t>et al</w:t>
      </w:r>
      <w:r w:rsidR="00CA72B9" w:rsidRPr="00513FD7">
        <w:rPr>
          <w:i/>
          <w:iCs/>
          <w:lang w:val="fr-FR"/>
        </w:rPr>
        <w:t>.</w:t>
      </w:r>
      <w:r w:rsidR="00CA72B9" w:rsidRPr="00513FD7">
        <w:rPr>
          <w:lang w:val="fr-FR"/>
        </w:rPr>
        <w:t xml:space="preserve"> 2019; </w:t>
      </w:r>
      <w:proofErr w:type="spellStart"/>
      <w:r w:rsidR="00E73F94" w:rsidRPr="00513FD7">
        <w:rPr>
          <w:lang w:val="fr-FR"/>
        </w:rPr>
        <w:t>Bongers</w:t>
      </w:r>
      <w:proofErr w:type="spellEnd"/>
      <w:r w:rsidR="00E73F94" w:rsidRPr="00513FD7">
        <w:rPr>
          <w:lang w:val="fr-FR"/>
        </w:rPr>
        <w:t xml:space="preserve"> </w:t>
      </w:r>
      <w:r w:rsidR="00E73F94" w:rsidRPr="00513FD7">
        <w:rPr>
          <w:i/>
          <w:iCs/>
          <w:lang w:val="fr-FR"/>
        </w:rPr>
        <w:t>et al.</w:t>
      </w:r>
      <w:r w:rsidR="00E73F94" w:rsidRPr="00513FD7">
        <w:rPr>
          <w:lang w:val="fr-FR"/>
        </w:rPr>
        <w:t xml:space="preserve"> 2020; </w:t>
      </w:r>
      <w:proofErr w:type="spellStart"/>
      <w:r w:rsidR="00E73F94" w:rsidRPr="00513FD7">
        <w:rPr>
          <w:lang w:val="fr-FR"/>
        </w:rPr>
        <w:t>Nakatsuka</w:t>
      </w:r>
      <w:proofErr w:type="spellEnd"/>
      <w:r w:rsidR="00E73F94" w:rsidRPr="00513FD7">
        <w:rPr>
          <w:lang w:val="fr-FR"/>
        </w:rPr>
        <w:t xml:space="preserve"> </w:t>
      </w:r>
      <w:r w:rsidR="00E73F94" w:rsidRPr="00513FD7">
        <w:rPr>
          <w:i/>
          <w:iCs/>
          <w:lang w:val="fr-FR"/>
        </w:rPr>
        <w:t>et al.</w:t>
      </w:r>
      <w:r w:rsidR="00E73F94" w:rsidRPr="00513FD7">
        <w:rPr>
          <w:lang w:val="fr-FR"/>
        </w:rPr>
        <w:t xml:space="preserve"> </w:t>
      </w:r>
      <w:r w:rsidR="00B12E67">
        <w:rPr>
          <w:lang w:val="fr-FR"/>
        </w:rPr>
        <w:t xml:space="preserve">2018, </w:t>
      </w:r>
      <w:proofErr w:type="gramStart"/>
      <w:r w:rsidR="00E73F94" w:rsidRPr="00513FD7">
        <w:rPr>
          <w:lang w:val="fr-FR"/>
        </w:rPr>
        <w:t>2020;</w:t>
      </w:r>
      <w:proofErr w:type="gramEnd"/>
      <w:r w:rsidR="00E73F94" w:rsidRPr="00513FD7">
        <w:rPr>
          <w:lang w:val="fr-FR"/>
        </w:rPr>
        <w:t xml:space="preserve"> </w:t>
      </w:r>
      <w:proofErr w:type="spellStart"/>
      <w:r w:rsidR="00E73F94" w:rsidRPr="00513FD7">
        <w:rPr>
          <w:lang w:val="fr-FR"/>
        </w:rPr>
        <w:t>Nägele</w:t>
      </w:r>
      <w:proofErr w:type="spellEnd"/>
      <w:r w:rsidR="00E73F94" w:rsidRPr="00513FD7">
        <w:rPr>
          <w:lang w:val="fr-FR"/>
        </w:rPr>
        <w:t xml:space="preserve"> </w:t>
      </w:r>
      <w:r w:rsidR="00E73F94" w:rsidRPr="00513FD7">
        <w:rPr>
          <w:i/>
          <w:iCs/>
          <w:lang w:val="fr-FR"/>
        </w:rPr>
        <w:t>et al.</w:t>
      </w:r>
      <w:r w:rsidR="00E73F94" w:rsidRPr="00513FD7">
        <w:rPr>
          <w:lang w:val="fr-FR"/>
        </w:rPr>
        <w:t xml:space="preserve"> 2020; </w:t>
      </w:r>
      <w:proofErr w:type="spellStart"/>
      <w:r w:rsidR="00CA72B9" w:rsidRPr="00513FD7">
        <w:rPr>
          <w:lang w:val="fr-FR"/>
        </w:rPr>
        <w:t>Nieves</w:t>
      </w:r>
      <w:proofErr w:type="spellEnd"/>
      <w:r w:rsidR="00CA72B9" w:rsidRPr="00513FD7">
        <w:rPr>
          <w:lang w:val="fr-FR"/>
        </w:rPr>
        <w:t xml:space="preserve">-Colón </w:t>
      </w:r>
      <w:r w:rsidR="00021B07" w:rsidRPr="00513FD7">
        <w:rPr>
          <w:i/>
          <w:iCs/>
          <w:lang w:val="fr-FR"/>
        </w:rPr>
        <w:t>et al</w:t>
      </w:r>
      <w:r w:rsidR="00CA72B9" w:rsidRPr="00513FD7">
        <w:rPr>
          <w:i/>
          <w:iCs/>
          <w:lang w:val="fr-FR"/>
        </w:rPr>
        <w:t>.</w:t>
      </w:r>
      <w:r w:rsidR="00CA72B9" w:rsidRPr="00513FD7">
        <w:rPr>
          <w:lang w:val="fr-FR"/>
        </w:rPr>
        <w:t xml:space="preserve"> 2020; </w:t>
      </w:r>
      <w:proofErr w:type="spellStart"/>
      <w:r w:rsidR="00E73F94" w:rsidRPr="00513FD7">
        <w:rPr>
          <w:lang w:val="fr-FR"/>
        </w:rPr>
        <w:t>Capodiferro</w:t>
      </w:r>
      <w:proofErr w:type="spellEnd"/>
      <w:r w:rsidR="00E73F94" w:rsidRPr="00513FD7">
        <w:rPr>
          <w:lang w:val="fr-FR"/>
        </w:rPr>
        <w:t xml:space="preserve"> </w:t>
      </w:r>
      <w:r w:rsidR="00E73F94" w:rsidRPr="00513FD7">
        <w:rPr>
          <w:i/>
          <w:iCs/>
          <w:lang w:val="fr-FR"/>
        </w:rPr>
        <w:t>et al.</w:t>
      </w:r>
      <w:r w:rsidR="00E73F94" w:rsidRPr="00513FD7">
        <w:rPr>
          <w:lang w:val="fr-FR"/>
        </w:rPr>
        <w:t xml:space="preserve"> 2021; </w:t>
      </w:r>
      <w:r w:rsidR="00CA72B9" w:rsidRPr="00513FD7">
        <w:rPr>
          <w:lang w:val="fr-FR"/>
        </w:rPr>
        <w:t xml:space="preserve">Fernandes </w:t>
      </w:r>
      <w:r w:rsidR="00021B07" w:rsidRPr="00513FD7">
        <w:rPr>
          <w:i/>
          <w:iCs/>
          <w:lang w:val="fr-FR"/>
        </w:rPr>
        <w:t>et al</w:t>
      </w:r>
      <w:r w:rsidR="00CA72B9" w:rsidRPr="00513FD7">
        <w:rPr>
          <w:i/>
          <w:iCs/>
          <w:lang w:val="fr-FR"/>
        </w:rPr>
        <w:t>.</w:t>
      </w:r>
      <w:r w:rsidR="00CA72B9" w:rsidRPr="00513FD7">
        <w:rPr>
          <w:lang w:val="fr-FR"/>
        </w:rPr>
        <w:t xml:space="preserve"> 2021; </w:t>
      </w:r>
      <w:proofErr w:type="spellStart"/>
      <w:r w:rsidR="00CA72B9" w:rsidRPr="00513FD7">
        <w:rPr>
          <w:lang w:val="fr-FR"/>
        </w:rPr>
        <w:t>Popović</w:t>
      </w:r>
      <w:proofErr w:type="spellEnd"/>
      <w:r w:rsidR="00CA72B9" w:rsidRPr="00513FD7">
        <w:rPr>
          <w:lang w:val="fr-FR"/>
        </w:rPr>
        <w:t xml:space="preserve"> </w:t>
      </w:r>
      <w:r w:rsidR="00021B07" w:rsidRPr="00513FD7">
        <w:rPr>
          <w:i/>
          <w:iCs/>
          <w:lang w:val="fr-FR"/>
        </w:rPr>
        <w:t>et al</w:t>
      </w:r>
      <w:r w:rsidR="00CA72B9" w:rsidRPr="00513FD7">
        <w:rPr>
          <w:i/>
          <w:iCs/>
          <w:lang w:val="fr-FR"/>
        </w:rPr>
        <w:t>.</w:t>
      </w:r>
      <w:r w:rsidR="00CA72B9" w:rsidRPr="00513FD7">
        <w:rPr>
          <w:lang w:val="fr-FR"/>
        </w:rPr>
        <w:t xml:space="preserve"> 2021; Tiesler </w:t>
      </w:r>
      <w:r w:rsidR="00021B07" w:rsidRPr="00513FD7">
        <w:rPr>
          <w:i/>
          <w:iCs/>
          <w:lang w:val="fr-FR"/>
        </w:rPr>
        <w:t>et al</w:t>
      </w:r>
      <w:r w:rsidR="00CA72B9" w:rsidRPr="00513FD7">
        <w:rPr>
          <w:i/>
          <w:iCs/>
          <w:lang w:val="fr-FR"/>
        </w:rPr>
        <w:t>.</w:t>
      </w:r>
      <w:r w:rsidR="00CA72B9" w:rsidRPr="00513FD7">
        <w:rPr>
          <w:lang w:val="fr-FR"/>
        </w:rPr>
        <w:t xml:space="preserve"> 2022) and </w:t>
      </w:r>
      <w:proofErr w:type="spellStart"/>
      <w:r w:rsidR="00AA0A19" w:rsidRPr="00513FD7">
        <w:rPr>
          <w:lang w:val="fr-FR"/>
        </w:rPr>
        <w:t>b</w:t>
      </w:r>
      <w:r w:rsidR="00CA72B9" w:rsidRPr="00513FD7">
        <w:rPr>
          <w:lang w:val="fr-FR"/>
        </w:rPr>
        <w:t>urial</w:t>
      </w:r>
      <w:proofErr w:type="spellEnd"/>
      <w:r w:rsidR="00CA72B9" w:rsidRPr="00513FD7">
        <w:rPr>
          <w:lang w:val="fr-FR"/>
        </w:rPr>
        <w:t xml:space="preserve"> 23-8</w:t>
      </w:r>
      <w:r w:rsidRPr="00513FD7">
        <w:rPr>
          <w:lang w:val="fr-FR"/>
        </w:rPr>
        <w:t xml:space="preserve"> on </w:t>
      </w:r>
      <w:r w:rsidR="00507D26" w:rsidRPr="00513FD7">
        <w:rPr>
          <w:lang w:val="fr-FR"/>
        </w:rPr>
        <w:t xml:space="preserve">to </w:t>
      </w:r>
      <w:r w:rsidRPr="00513FD7">
        <w:rPr>
          <w:lang w:val="fr-FR"/>
        </w:rPr>
        <w:t xml:space="preserve">the principal components </w:t>
      </w:r>
      <w:proofErr w:type="spellStart"/>
      <w:r w:rsidRPr="00513FD7">
        <w:rPr>
          <w:lang w:val="fr-FR"/>
        </w:rPr>
        <w:t>determined</w:t>
      </w:r>
      <w:proofErr w:type="spellEnd"/>
      <w:r w:rsidRPr="00513FD7">
        <w:rPr>
          <w:lang w:val="fr-FR"/>
        </w:rPr>
        <w:t xml:space="preserve"> </w:t>
      </w:r>
      <w:proofErr w:type="spellStart"/>
      <w:r w:rsidRPr="00513FD7">
        <w:rPr>
          <w:lang w:val="fr-FR"/>
        </w:rPr>
        <w:t>using</w:t>
      </w:r>
      <w:proofErr w:type="spellEnd"/>
      <w:r w:rsidRPr="00513FD7">
        <w:rPr>
          <w:lang w:val="fr-FR"/>
        </w:rPr>
        <w:t xml:space="preserve"> </w:t>
      </w:r>
      <w:proofErr w:type="spellStart"/>
      <w:r w:rsidRPr="00513FD7">
        <w:rPr>
          <w:lang w:val="fr-FR"/>
        </w:rPr>
        <w:t>present-day</w:t>
      </w:r>
      <w:proofErr w:type="spellEnd"/>
      <w:r w:rsidRPr="00513FD7">
        <w:rPr>
          <w:lang w:val="fr-FR"/>
        </w:rPr>
        <w:t xml:space="preserve"> </w:t>
      </w:r>
      <w:proofErr w:type="spellStart"/>
      <w:r w:rsidRPr="00513FD7">
        <w:rPr>
          <w:lang w:val="fr-FR"/>
        </w:rPr>
        <w:t>individuals</w:t>
      </w:r>
      <w:proofErr w:type="spellEnd"/>
      <w:r w:rsidRPr="00513FD7">
        <w:rPr>
          <w:lang w:val="fr-FR"/>
        </w:rPr>
        <w:t>.</w:t>
      </w:r>
    </w:p>
    <w:p w14:paraId="2B2EBD45" w14:textId="77777777" w:rsidR="009C17BE" w:rsidRPr="00513FD7" w:rsidRDefault="009C17BE" w:rsidP="009C17BE">
      <w:pPr>
        <w:spacing w:line="360" w:lineRule="auto"/>
        <w:rPr>
          <w:lang w:val="fr-FR"/>
        </w:rPr>
      </w:pPr>
    </w:p>
    <w:p w14:paraId="616CCCE0" w14:textId="29F57145" w:rsidR="009C17BE" w:rsidRPr="001C39CD" w:rsidRDefault="009C17BE" w:rsidP="009C17BE">
      <w:pPr>
        <w:spacing w:line="360" w:lineRule="auto"/>
        <w:rPr>
          <w:lang w:val="en"/>
        </w:rPr>
      </w:pPr>
      <w:r w:rsidRPr="001C39CD">
        <w:rPr>
          <w:i/>
          <w:iCs/>
          <w:lang w:val="en"/>
        </w:rPr>
        <w:lastRenderedPageBreak/>
        <w:t>ADMIXTURE</w:t>
      </w:r>
      <w:r w:rsidRPr="001C39CD">
        <w:rPr>
          <w:lang w:val="en"/>
        </w:rPr>
        <w:t xml:space="preserve">: </w:t>
      </w:r>
      <w:r w:rsidR="003F0755">
        <w:rPr>
          <w:lang w:val="en"/>
        </w:rPr>
        <w:t xml:space="preserve">We used the ancient and modern populations above, along with European (America; </w:t>
      </w:r>
      <w:r w:rsidR="00827DFD" w:rsidRPr="00061A65">
        <w:t>The 1000 Genomes Project Consortium</w:t>
      </w:r>
      <w:r w:rsidR="003F0755" w:rsidRPr="003F0755">
        <w:t xml:space="preserve"> 2015)</w:t>
      </w:r>
      <w:r w:rsidR="003F0755">
        <w:rPr>
          <w:lang w:val="en"/>
        </w:rPr>
        <w:t xml:space="preserve">, Africa (Mbuti; </w:t>
      </w:r>
      <w:proofErr w:type="spellStart"/>
      <w:r w:rsidR="003F0755" w:rsidRPr="003F0755">
        <w:t>Bergström</w:t>
      </w:r>
      <w:proofErr w:type="spellEnd"/>
      <w:r w:rsidR="003F0755" w:rsidRPr="003F0755">
        <w:t xml:space="preserve"> </w:t>
      </w:r>
      <w:r w:rsidR="00021B07" w:rsidRPr="00021B07">
        <w:rPr>
          <w:i/>
          <w:iCs/>
        </w:rPr>
        <w:t>et al</w:t>
      </w:r>
      <w:r w:rsidR="003F0755" w:rsidRPr="003F0755">
        <w:rPr>
          <w:i/>
          <w:iCs/>
        </w:rPr>
        <w:t>.</w:t>
      </w:r>
      <w:r w:rsidR="003F0755" w:rsidRPr="003F0755">
        <w:t xml:space="preserve"> 2020)</w:t>
      </w:r>
      <w:r w:rsidR="003F0755">
        <w:rPr>
          <w:lang w:val="en"/>
        </w:rPr>
        <w:t xml:space="preserve"> and South American (</w:t>
      </w:r>
      <w:proofErr w:type="spellStart"/>
      <w:r w:rsidR="003F0755">
        <w:rPr>
          <w:lang w:val="en"/>
        </w:rPr>
        <w:t>Surui</w:t>
      </w:r>
      <w:proofErr w:type="spellEnd"/>
      <w:r w:rsidR="003F0755">
        <w:rPr>
          <w:lang w:val="en"/>
        </w:rPr>
        <w:t xml:space="preserve">, </w:t>
      </w:r>
      <w:proofErr w:type="spellStart"/>
      <w:r w:rsidR="003F0755">
        <w:rPr>
          <w:lang w:val="en"/>
        </w:rPr>
        <w:t>Karitiana</w:t>
      </w:r>
      <w:proofErr w:type="spellEnd"/>
      <w:r w:rsidR="003F0755">
        <w:rPr>
          <w:lang w:val="en"/>
        </w:rPr>
        <w:t xml:space="preserve">; </w:t>
      </w:r>
      <w:proofErr w:type="spellStart"/>
      <w:r w:rsidR="003F0755" w:rsidRPr="003F0755">
        <w:t>Bergström</w:t>
      </w:r>
      <w:proofErr w:type="spellEnd"/>
      <w:r w:rsidR="003F0755" w:rsidRPr="003F0755">
        <w:t xml:space="preserve"> </w:t>
      </w:r>
      <w:r w:rsidR="00021B07" w:rsidRPr="00021B07">
        <w:rPr>
          <w:i/>
          <w:iCs/>
        </w:rPr>
        <w:t>et al</w:t>
      </w:r>
      <w:r w:rsidR="003F0755" w:rsidRPr="003F0755">
        <w:rPr>
          <w:i/>
          <w:iCs/>
        </w:rPr>
        <w:t>.</w:t>
      </w:r>
      <w:r w:rsidR="003F0755" w:rsidRPr="003F0755">
        <w:t xml:space="preserve"> 2020)</w:t>
      </w:r>
      <w:r w:rsidR="003F0755">
        <w:rPr>
          <w:lang w:val="en"/>
        </w:rPr>
        <w:t xml:space="preserve"> populations to examine admixture. </w:t>
      </w:r>
      <w:r w:rsidRPr="001C39CD">
        <w:rPr>
          <w:lang w:val="en"/>
        </w:rPr>
        <w:t>We first used PLINK2 (</w:t>
      </w:r>
      <w:r w:rsidRPr="00552B11">
        <w:rPr>
          <w:lang w:val="en"/>
        </w:rPr>
        <w:t xml:space="preserve">Chang </w:t>
      </w:r>
      <w:r w:rsidR="00021B07" w:rsidRPr="00552B11">
        <w:rPr>
          <w:i/>
          <w:lang w:val="en"/>
        </w:rPr>
        <w:t>et al</w:t>
      </w:r>
      <w:r w:rsidRPr="00552B11">
        <w:rPr>
          <w:lang w:val="en"/>
        </w:rPr>
        <w:t>. 2015</w:t>
      </w:r>
      <w:r w:rsidRPr="001C39CD">
        <w:rPr>
          <w:lang w:val="en"/>
        </w:rPr>
        <w:t>) to prune the dataset using the –</w:t>
      </w:r>
      <w:proofErr w:type="spellStart"/>
      <w:r w:rsidRPr="001C39CD">
        <w:rPr>
          <w:lang w:val="en"/>
        </w:rPr>
        <w:t>geno</w:t>
      </w:r>
      <w:proofErr w:type="spellEnd"/>
      <w:r w:rsidRPr="001C39CD">
        <w:rPr>
          <w:lang w:val="en"/>
        </w:rPr>
        <w:t xml:space="preserve"> 0.7 option to remove all sites that had less than 70% of the samples with a called genotype. We then ran</w:t>
      </w:r>
      <w:r w:rsidR="00DC1ABB">
        <w:rPr>
          <w:lang w:val="en"/>
        </w:rPr>
        <w:t xml:space="preserve"> unsupervised</w:t>
      </w:r>
      <w:r w:rsidRPr="001C39CD">
        <w:rPr>
          <w:lang w:val="en"/>
        </w:rPr>
        <w:t xml:space="preserve"> ADMIXTURE </w:t>
      </w:r>
      <w:r w:rsidR="00F1156B" w:rsidRPr="00F1156B">
        <w:t xml:space="preserve">(Alexander </w:t>
      </w:r>
      <w:r w:rsidR="00021B07" w:rsidRPr="00021B07">
        <w:rPr>
          <w:i/>
          <w:iCs/>
        </w:rPr>
        <w:t>et al</w:t>
      </w:r>
      <w:r w:rsidR="00F1156B" w:rsidRPr="00F1156B">
        <w:rPr>
          <w:i/>
          <w:iCs/>
        </w:rPr>
        <w:t>.</w:t>
      </w:r>
      <w:r w:rsidR="00F1156B" w:rsidRPr="00F1156B">
        <w:t xml:space="preserve"> 2009)</w:t>
      </w:r>
      <w:r w:rsidRPr="001C39CD">
        <w:rPr>
          <w:lang w:val="en"/>
        </w:rPr>
        <w:t xml:space="preserve"> with K=2 to </w:t>
      </w:r>
      <w:r w:rsidR="004B61E0" w:rsidRPr="001C39CD">
        <w:rPr>
          <w:lang w:val="en"/>
        </w:rPr>
        <w:t>10</w:t>
      </w:r>
      <w:r w:rsidRPr="001C39CD">
        <w:rPr>
          <w:lang w:val="en"/>
        </w:rPr>
        <w:t xml:space="preserve"> with 10 replicates for each K. </w:t>
      </w:r>
      <w:r w:rsidR="004B61E0" w:rsidRPr="001C39CD">
        <w:rPr>
          <w:lang w:val="en"/>
        </w:rPr>
        <w:t xml:space="preserve">We </w:t>
      </w:r>
      <w:r w:rsidR="00D3392A">
        <w:rPr>
          <w:lang w:val="en"/>
        </w:rPr>
        <w:t>s</w:t>
      </w:r>
      <w:r w:rsidR="004B61E0" w:rsidRPr="001C39CD">
        <w:rPr>
          <w:lang w:val="en"/>
        </w:rPr>
        <w:t>e</w:t>
      </w:r>
      <w:r w:rsidR="00D3392A">
        <w:rPr>
          <w:lang w:val="en"/>
        </w:rPr>
        <w:t>lected</w:t>
      </w:r>
      <w:r w:rsidR="004B61E0" w:rsidRPr="001C39CD">
        <w:rPr>
          <w:lang w:val="en"/>
        </w:rPr>
        <w:t xml:space="preserve"> K=</w:t>
      </w:r>
      <w:r w:rsidR="007C500B">
        <w:rPr>
          <w:lang w:val="en"/>
        </w:rPr>
        <w:t>9</w:t>
      </w:r>
      <w:r w:rsidR="004B61E0" w:rsidRPr="001C39CD">
        <w:rPr>
          <w:lang w:val="en"/>
        </w:rPr>
        <w:t xml:space="preserve"> </w:t>
      </w:r>
      <w:r w:rsidR="00D3392A">
        <w:rPr>
          <w:lang w:val="en"/>
        </w:rPr>
        <w:t>for</w:t>
      </w:r>
      <w:r w:rsidR="004B61E0" w:rsidRPr="001C39CD">
        <w:rPr>
          <w:lang w:val="en"/>
        </w:rPr>
        <w:t xml:space="preserve"> </w:t>
      </w:r>
      <w:r w:rsidR="009E4467">
        <w:rPr>
          <w:lang w:val="en"/>
        </w:rPr>
        <w:t>F</w:t>
      </w:r>
      <w:r w:rsidR="004B61E0" w:rsidRPr="001C39CD">
        <w:rPr>
          <w:lang w:val="en"/>
        </w:rPr>
        <w:t>igure 6</w:t>
      </w:r>
      <w:r w:rsidRPr="001C39CD">
        <w:rPr>
          <w:lang w:val="en"/>
        </w:rPr>
        <w:t xml:space="preserve"> </w:t>
      </w:r>
      <w:r w:rsidR="00D3392A">
        <w:rPr>
          <w:lang w:val="en"/>
        </w:rPr>
        <w:t>because of its usefulness for visual discrimination of ancestry components and because validation errors for K2</w:t>
      </w:r>
      <w:r w:rsidR="004B265A">
        <w:rPr>
          <w:lang w:val="en"/>
        </w:rPr>
        <w:t>–</w:t>
      </w:r>
      <w:r w:rsidR="00D3392A">
        <w:rPr>
          <w:lang w:val="en"/>
        </w:rPr>
        <w:t xml:space="preserve">10 were not significantly different. </w:t>
      </w:r>
    </w:p>
    <w:p w14:paraId="1DA3A187" w14:textId="77777777" w:rsidR="009C17BE" w:rsidRPr="001C39CD" w:rsidRDefault="009C17BE" w:rsidP="009C17BE">
      <w:pPr>
        <w:spacing w:line="360" w:lineRule="auto"/>
        <w:rPr>
          <w:lang w:val="en"/>
        </w:rPr>
      </w:pPr>
    </w:p>
    <w:p w14:paraId="49A25821" w14:textId="5685F9FB" w:rsidR="00921B9B" w:rsidRPr="001C39CD" w:rsidRDefault="00921B9B" w:rsidP="00921B9B">
      <w:pPr>
        <w:spacing w:line="360" w:lineRule="auto"/>
        <w:rPr>
          <w:lang w:val="en"/>
        </w:rPr>
      </w:pPr>
      <w:r w:rsidRPr="001C39CD">
        <w:rPr>
          <w:bCs/>
          <w:i/>
          <w:lang w:val="en"/>
        </w:rPr>
        <w:t>f-statistics</w:t>
      </w:r>
      <w:r w:rsidR="001C39CD">
        <w:rPr>
          <w:bCs/>
          <w:lang w:val="en"/>
        </w:rPr>
        <w:t>:</w:t>
      </w:r>
      <w:r w:rsidRPr="001C39CD">
        <w:rPr>
          <w:lang w:val="en"/>
        </w:rPr>
        <w:t xml:space="preserve"> We used the </w:t>
      </w:r>
      <w:r w:rsidRPr="001C39CD">
        <w:rPr>
          <w:i/>
          <w:lang w:val="en"/>
        </w:rPr>
        <w:t>qp3pop</w:t>
      </w:r>
      <w:r w:rsidRPr="001C39CD">
        <w:rPr>
          <w:lang w:val="en"/>
        </w:rPr>
        <w:t xml:space="preserve"> package in ADMIXTOOLS version 6.0 to compute </w:t>
      </w:r>
      <w:r w:rsidRPr="001C39CD">
        <w:rPr>
          <w:i/>
          <w:lang w:val="en"/>
        </w:rPr>
        <w:t>f</w:t>
      </w:r>
      <w:r w:rsidRPr="001C39CD">
        <w:rPr>
          <w:i/>
          <w:vertAlign w:val="subscript"/>
          <w:lang w:val="en"/>
        </w:rPr>
        <w:t>3</w:t>
      </w:r>
      <w:r w:rsidRPr="001C39CD">
        <w:rPr>
          <w:lang w:val="en"/>
        </w:rPr>
        <w:t xml:space="preserve">-statistics. We computed outgroup </w:t>
      </w:r>
      <w:r w:rsidRPr="001C39CD">
        <w:rPr>
          <w:i/>
          <w:lang w:val="en"/>
        </w:rPr>
        <w:t>f</w:t>
      </w:r>
      <w:r w:rsidRPr="001C39CD">
        <w:rPr>
          <w:i/>
          <w:vertAlign w:val="subscript"/>
          <w:lang w:val="en"/>
        </w:rPr>
        <w:t>3</w:t>
      </w:r>
      <w:r w:rsidRPr="001C39CD">
        <w:rPr>
          <w:lang w:val="en"/>
        </w:rPr>
        <w:t xml:space="preserve">-statistics of the form </w:t>
      </w:r>
      <w:r w:rsidRPr="001C39CD">
        <w:rPr>
          <w:i/>
          <w:lang w:val="en"/>
        </w:rPr>
        <w:t>f</w:t>
      </w:r>
      <w:r w:rsidRPr="001C39CD">
        <w:rPr>
          <w:i/>
          <w:vertAlign w:val="subscript"/>
          <w:lang w:val="en"/>
        </w:rPr>
        <w:t>3</w:t>
      </w:r>
      <w:r w:rsidRPr="001C39CD">
        <w:rPr>
          <w:i/>
          <w:lang w:val="en"/>
        </w:rPr>
        <w:t>(Pop1, Pop2</w:t>
      </w:r>
      <w:r w:rsidR="007C500B">
        <w:rPr>
          <w:i/>
          <w:lang w:val="en"/>
        </w:rPr>
        <w:t>; Mbuti</w:t>
      </w:r>
      <w:r w:rsidRPr="001C39CD">
        <w:rPr>
          <w:i/>
          <w:lang w:val="en"/>
        </w:rPr>
        <w:t>)</w:t>
      </w:r>
      <w:r w:rsidRPr="001C39CD">
        <w:rPr>
          <w:lang w:val="en"/>
        </w:rPr>
        <w:t xml:space="preserve"> </w:t>
      </w:r>
      <w:r w:rsidR="004B61E0" w:rsidRPr="001C39CD">
        <w:rPr>
          <w:lang w:val="en"/>
        </w:rPr>
        <w:t>to measure</w:t>
      </w:r>
      <w:r w:rsidRPr="001C39CD">
        <w:rPr>
          <w:lang w:val="en"/>
        </w:rPr>
        <w:t xml:space="preserve"> the shared genetic drift between </w:t>
      </w:r>
      <w:r w:rsidR="004B265A">
        <w:rPr>
          <w:lang w:val="en"/>
        </w:rPr>
        <w:t>b</w:t>
      </w:r>
      <w:r w:rsidR="00035837">
        <w:rPr>
          <w:lang w:val="en"/>
        </w:rPr>
        <w:t>urial 23-8 (</w:t>
      </w:r>
      <w:r w:rsidRPr="001C39CD">
        <w:rPr>
          <w:lang w:val="en"/>
        </w:rPr>
        <w:t>population 1</w:t>
      </w:r>
      <w:r w:rsidR="00035837">
        <w:rPr>
          <w:lang w:val="en"/>
        </w:rPr>
        <w:t>)</w:t>
      </w:r>
      <w:r w:rsidRPr="001C39CD">
        <w:rPr>
          <w:lang w:val="en"/>
        </w:rPr>
        <w:t xml:space="preserve"> and </w:t>
      </w:r>
      <w:r w:rsidR="00035837">
        <w:rPr>
          <w:lang w:val="en"/>
        </w:rPr>
        <w:t>Americas populations (</w:t>
      </w:r>
      <w:r w:rsidRPr="001C39CD">
        <w:rPr>
          <w:lang w:val="en"/>
        </w:rPr>
        <w:t>population 2</w:t>
      </w:r>
      <w:r w:rsidR="00035837">
        <w:rPr>
          <w:lang w:val="en"/>
        </w:rPr>
        <w:t>)</w:t>
      </w:r>
      <w:r w:rsidRPr="001C39CD">
        <w:rPr>
          <w:lang w:val="en"/>
        </w:rPr>
        <w:t xml:space="preserve">. </w:t>
      </w:r>
    </w:p>
    <w:p w14:paraId="45E98D47" w14:textId="77777777" w:rsidR="003D2B36" w:rsidRPr="001C39CD" w:rsidRDefault="003D2B36" w:rsidP="003D2B36">
      <w:pPr>
        <w:spacing w:line="360" w:lineRule="auto"/>
        <w:rPr>
          <w:lang w:val="en"/>
        </w:rPr>
      </w:pPr>
    </w:p>
    <w:p w14:paraId="596D7722" w14:textId="5D35E410" w:rsidR="002A23EB" w:rsidRDefault="003D2B36" w:rsidP="003D2B36">
      <w:pPr>
        <w:spacing w:line="360" w:lineRule="auto"/>
        <w:rPr>
          <w:b/>
          <w:lang w:val="en"/>
        </w:rPr>
      </w:pPr>
      <w:r w:rsidRPr="001C39CD">
        <w:rPr>
          <w:b/>
          <w:lang w:val="en"/>
        </w:rPr>
        <w:t xml:space="preserve">Runs of </w:t>
      </w:r>
      <w:r w:rsidR="0038120A" w:rsidRPr="001C39CD">
        <w:rPr>
          <w:b/>
          <w:lang w:val="en"/>
        </w:rPr>
        <w:t>homozygosity analyses</w:t>
      </w:r>
    </w:p>
    <w:p w14:paraId="2BDDADF1" w14:textId="168AFEBF" w:rsidR="003D2B36" w:rsidRPr="0067349E" w:rsidRDefault="003D2B36" w:rsidP="003D2B36">
      <w:pPr>
        <w:spacing w:line="360" w:lineRule="auto"/>
        <w:rPr>
          <w:lang w:val="en"/>
        </w:rPr>
      </w:pPr>
      <w:r w:rsidRPr="001C39CD">
        <w:rPr>
          <w:lang w:val="en"/>
        </w:rPr>
        <w:t xml:space="preserve">We used </w:t>
      </w:r>
      <w:r w:rsidRPr="002A23EB">
        <w:rPr>
          <w:i/>
          <w:iCs/>
          <w:lang w:val="en"/>
        </w:rPr>
        <w:t>hapROH</w:t>
      </w:r>
      <w:r w:rsidRPr="001C39CD">
        <w:rPr>
          <w:lang w:val="en"/>
        </w:rPr>
        <w:t xml:space="preserve"> (version 0.1a8; https://pypi.org/project/hapROH/) to identify </w:t>
      </w:r>
      <w:r w:rsidR="00DC1ABB">
        <w:rPr>
          <w:lang w:val="en"/>
        </w:rPr>
        <w:t>runs of homozygosity (</w:t>
      </w:r>
      <w:r w:rsidR="00604BC9">
        <w:rPr>
          <w:lang w:val="en"/>
        </w:rPr>
        <w:t>ROH</w:t>
      </w:r>
      <w:r w:rsidR="00DC1ABB">
        <w:rPr>
          <w:lang w:val="en"/>
        </w:rPr>
        <w:t>)</w:t>
      </w:r>
      <w:r w:rsidR="00F9314B">
        <w:rPr>
          <w:lang w:val="en"/>
        </w:rPr>
        <w:t xml:space="preserve"> </w:t>
      </w:r>
      <w:r w:rsidR="00F9314B" w:rsidRPr="00F9314B">
        <w:t xml:space="preserve">(Ringbauer </w:t>
      </w:r>
      <w:r w:rsidR="00021B07" w:rsidRPr="00021B07">
        <w:rPr>
          <w:i/>
          <w:iCs/>
        </w:rPr>
        <w:t>et al</w:t>
      </w:r>
      <w:r w:rsidR="00F9314B" w:rsidRPr="00F9314B">
        <w:rPr>
          <w:i/>
          <w:iCs/>
        </w:rPr>
        <w:t>.</w:t>
      </w:r>
      <w:r w:rsidR="00F9314B" w:rsidRPr="00F9314B">
        <w:t xml:space="preserve"> 2021)</w:t>
      </w:r>
      <w:r w:rsidRPr="001C39CD">
        <w:rPr>
          <w:lang w:val="en"/>
        </w:rPr>
        <w:t>.</w:t>
      </w:r>
      <w:r w:rsidR="00A678A3">
        <w:rPr>
          <w:lang w:val="en"/>
        </w:rPr>
        <w:t xml:space="preserve"> </w:t>
      </w:r>
      <w:r w:rsidRPr="001C39CD">
        <w:rPr>
          <w:lang w:val="en"/>
        </w:rPr>
        <w:t xml:space="preserve">We used the 1000 Genomes Project haplotype panel as the reference panel with 5008 global haplotypes. We then </w:t>
      </w:r>
      <w:proofErr w:type="spellStart"/>
      <w:r w:rsidRPr="001C39CD">
        <w:rPr>
          <w:lang w:val="en"/>
        </w:rPr>
        <w:t>analy</w:t>
      </w:r>
      <w:r w:rsidR="00EC66DE">
        <w:rPr>
          <w:lang w:val="en"/>
        </w:rPr>
        <w:t>s</w:t>
      </w:r>
      <w:r w:rsidRPr="001C39CD">
        <w:rPr>
          <w:lang w:val="en"/>
        </w:rPr>
        <w:t>ed</w:t>
      </w:r>
      <w:proofErr w:type="spellEnd"/>
      <w:r w:rsidRPr="001C39CD">
        <w:rPr>
          <w:lang w:val="en"/>
        </w:rPr>
        <w:t xml:space="preserve"> the ancient and present-day data of individuals with at least </w:t>
      </w:r>
      <w:r w:rsidR="00C6145D">
        <w:rPr>
          <w:lang w:val="en"/>
        </w:rPr>
        <w:t>3</w:t>
      </w:r>
      <w:r w:rsidRPr="001C39CD">
        <w:rPr>
          <w:lang w:val="en"/>
        </w:rPr>
        <w:t>00</w:t>
      </w:r>
      <w:r w:rsidR="00EC66DE">
        <w:rPr>
          <w:lang w:val="en"/>
        </w:rPr>
        <w:t xml:space="preserve"> </w:t>
      </w:r>
      <w:r w:rsidRPr="001C39CD">
        <w:rPr>
          <w:lang w:val="en"/>
        </w:rPr>
        <w:t xml:space="preserve">000 SNPs covered to identify </w:t>
      </w:r>
      <w:r w:rsidR="00604BC9">
        <w:rPr>
          <w:lang w:val="en"/>
        </w:rPr>
        <w:t>ROH</w:t>
      </w:r>
      <w:r w:rsidRPr="001C39CD">
        <w:rPr>
          <w:lang w:val="en"/>
        </w:rPr>
        <w:t xml:space="preserve"> longer than 4 </w:t>
      </w:r>
      <w:r w:rsidR="00EC66DE">
        <w:rPr>
          <w:lang w:val="en"/>
        </w:rPr>
        <w:t>centimorgans (</w:t>
      </w:r>
      <w:r w:rsidRPr="001C39CD">
        <w:rPr>
          <w:lang w:val="en"/>
        </w:rPr>
        <w:t>cM</w:t>
      </w:r>
      <w:r w:rsidR="00EC66DE">
        <w:rPr>
          <w:lang w:val="en"/>
        </w:rPr>
        <w:t>)</w:t>
      </w:r>
      <w:r w:rsidRPr="001C39CD">
        <w:rPr>
          <w:lang w:val="en"/>
        </w:rPr>
        <w:t xml:space="preserve">. We used the default settings of hapROH for all analyses. </w:t>
      </w:r>
      <w:r w:rsidR="00A0797C" w:rsidRPr="001C39CD">
        <w:rPr>
          <w:lang w:val="en"/>
        </w:rPr>
        <w:t>A</w:t>
      </w:r>
      <w:r w:rsidR="005C0495" w:rsidRPr="001C39CD">
        <w:rPr>
          <w:lang w:val="en"/>
        </w:rPr>
        <w:t xml:space="preserve">ll published individuals from the Americas that had high enough coverage to calculate </w:t>
      </w:r>
      <w:r w:rsidR="00604BC9">
        <w:rPr>
          <w:lang w:val="en"/>
        </w:rPr>
        <w:t>ROH</w:t>
      </w:r>
      <w:r w:rsidR="00BE1746" w:rsidRPr="001C39CD">
        <w:rPr>
          <w:lang w:val="en"/>
        </w:rPr>
        <w:t xml:space="preserve"> </w:t>
      </w:r>
      <w:r w:rsidR="00A0797C" w:rsidRPr="001C39CD">
        <w:rPr>
          <w:lang w:val="en"/>
        </w:rPr>
        <w:t xml:space="preserve">are provided in </w:t>
      </w:r>
      <w:r w:rsidR="00F75006">
        <w:rPr>
          <w:lang w:val="en"/>
        </w:rPr>
        <w:t>Table S</w:t>
      </w:r>
      <w:r w:rsidR="00513FD7">
        <w:rPr>
          <w:lang w:val="en"/>
        </w:rPr>
        <w:t>7</w:t>
      </w:r>
      <w:r w:rsidR="00A0797C" w:rsidRPr="001C39CD">
        <w:rPr>
          <w:lang w:val="en"/>
        </w:rPr>
        <w:t xml:space="preserve"> </w:t>
      </w:r>
      <w:r w:rsidR="00BE1746" w:rsidRPr="001C39CD">
        <w:t xml:space="preserve">(Rasmussen </w:t>
      </w:r>
      <w:r w:rsidR="00021B07" w:rsidRPr="00021B07">
        <w:rPr>
          <w:i/>
          <w:iCs/>
        </w:rPr>
        <w:t>et al</w:t>
      </w:r>
      <w:r w:rsidR="00BE1746" w:rsidRPr="001C39CD">
        <w:rPr>
          <w:i/>
          <w:iCs/>
        </w:rPr>
        <w:t>.</w:t>
      </w:r>
      <w:r w:rsidR="00BE1746" w:rsidRPr="001C39CD">
        <w:t xml:space="preserve"> 2014, 2015; </w:t>
      </w:r>
      <w:r w:rsidR="00ED704F" w:rsidRPr="001C39CD">
        <w:t xml:space="preserve">Posth </w:t>
      </w:r>
      <w:r w:rsidR="00ED704F" w:rsidRPr="00021B07">
        <w:rPr>
          <w:i/>
          <w:iCs/>
        </w:rPr>
        <w:t>et al</w:t>
      </w:r>
      <w:r w:rsidR="00ED704F" w:rsidRPr="001C39CD">
        <w:rPr>
          <w:i/>
          <w:iCs/>
        </w:rPr>
        <w:t>.</w:t>
      </w:r>
      <w:r w:rsidR="00ED704F" w:rsidRPr="001C39CD">
        <w:t xml:space="preserve"> 2018; </w:t>
      </w:r>
      <w:r w:rsidR="00BE1746" w:rsidRPr="001C39CD">
        <w:t xml:space="preserve">Scheib </w:t>
      </w:r>
      <w:r w:rsidR="00021B07" w:rsidRPr="00021B07">
        <w:rPr>
          <w:i/>
          <w:iCs/>
        </w:rPr>
        <w:t>et al</w:t>
      </w:r>
      <w:r w:rsidR="00BE1746" w:rsidRPr="001C39CD">
        <w:rPr>
          <w:i/>
          <w:iCs/>
        </w:rPr>
        <w:t>.</w:t>
      </w:r>
      <w:r w:rsidR="00BE1746" w:rsidRPr="001C39CD">
        <w:t xml:space="preserve"> 2018; </w:t>
      </w:r>
      <w:proofErr w:type="spellStart"/>
      <w:r w:rsidR="00BE1746" w:rsidRPr="001C39CD">
        <w:t>Flegontov</w:t>
      </w:r>
      <w:proofErr w:type="spellEnd"/>
      <w:r w:rsidR="00BE1746" w:rsidRPr="001C39CD">
        <w:t xml:space="preserve"> </w:t>
      </w:r>
      <w:r w:rsidR="00021B07" w:rsidRPr="00021B07">
        <w:rPr>
          <w:i/>
          <w:iCs/>
        </w:rPr>
        <w:t>et al</w:t>
      </w:r>
      <w:r w:rsidR="00BE1746" w:rsidRPr="001C39CD">
        <w:rPr>
          <w:i/>
          <w:iCs/>
        </w:rPr>
        <w:t>.</w:t>
      </w:r>
      <w:r w:rsidR="00BE1746" w:rsidRPr="001C39CD">
        <w:t xml:space="preserve"> 2019; </w:t>
      </w:r>
      <w:proofErr w:type="spellStart"/>
      <w:r w:rsidR="00ED704F" w:rsidRPr="001C39CD">
        <w:t>Bongers</w:t>
      </w:r>
      <w:proofErr w:type="spellEnd"/>
      <w:r w:rsidR="00ED704F" w:rsidRPr="001C39CD">
        <w:t xml:space="preserve"> </w:t>
      </w:r>
      <w:r w:rsidR="00ED704F" w:rsidRPr="00021B07">
        <w:rPr>
          <w:i/>
          <w:iCs/>
        </w:rPr>
        <w:t>et al</w:t>
      </w:r>
      <w:r w:rsidR="00ED704F" w:rsidRPr="001C39CD">
        <w:rPr>
          <w:i/>
          <w:iCs/>
        </w:rPr>
        <w:t>.</w:t>
      </w:r>
      <w:r w:rsidR="00ED704F" w:rsidRPr="001C39CD">
        <w:t xml:space="preserve"> 2020; </w:t>
      </w:r>
      <w:r w:rsidR="00BE1746" w:rsidRPr="001C39CD">
        <w:t xml:space="preserve">Nakatsuka </w:t>
      </w:r>
      <w:r w:rsidR="00021B07" w:rsidRPr="00021B07">
        <w:rPr>
          <w:i/>
          <w:iCs/>
        </w:rPr>
        <w:t>et al</w:t>
      </w:r>
      <w:r w:rsidR="00BE1746" w:rsidRPr="001C39CD">
        <w:rPr>
          <w:i/>
          <w:iCs/>
        </w:rPr>
        <w:t>.</w:t>
      </w:r>
      <w:r w:rsidR="00BE1746" w:rsidRPr="001C39CD">
        <w:t xml:space="preserve"> </w:t>
      </w:r>
      <w:r w:rsidR="003E4577">
        <w:t xml:space="preserve">2018, </w:t>
      </w:r>
      <w:r w:rsidR="00BE1746" w:rsidRPr="001C39CD">
        <w:t xml:space="preserve">2020; </w:t>
      </w:r>
      <w:proofErr w:type="spellStart"/>
      <w:r w:rsidR="00BE1746" w:rsidRPr="001C39CD">
        <w:t>Nägele</w:t>
      </w:r>
      <w:proofErr w:type="spellEnd"/>
      <w:r w:rsidR="00BE1746" w:rsidRPr="001C39CD">
        <w:t xml:space="preserve"> </w:t>
      </w:r>
      <w:r w:rsidR="00021B07" w:rsidRPr="00021B07">
        <w:rPr>
          <w:i/>
          <w:iCs/>
        </w:rPr>
        <w:t>et al</w:t>
      </w:r>
      <w:r w:rsidR="00BE1746" w:rsidRPr="001C39CD">
        <w:rPr>
          <w:i/>
          <w:iCs/>
        </w:rPr>
        <w:t>.</w:t>
      </w:r>
      <w:r w:rsidR="00BE1746" w:rsidRPr="001C39CD">
        <w:t xml:space="preserve"> 2020; Fernandes </w:t>
      </w:r>
      <w:r w:rsidR="00021B07" w:rsidRPr="00021B07">
        <w:rPr>
          <w:i/>
          <w:iCs/>
        </w:rPr>
        <w:t>et al</w:t>
      </w:r>
      <w:r w:rsidR="00BE1746" w:rsidRPr="001C39CD">
        <w:rPr>
          <w:i/>
          <w:iCs/>
        </w:rPr>
        <w:t>.</w:t>
      </w:r>
      <w:r w:rsidR="00BE1746" w:rsidRPr="001C39CD">
        <w:t xml:space="preserve"> 2021</w:t>
      </w:r>
      <w:r w:rsidR="00ED704F" w:rsidRPr="001C39CD">
        <w:t xml:space="preserve">; Kennett </w:t>
      </w:r>
      <w:r w:rsidR="00ED704F" w:rsidRPr="00021B07">
        <w:rPr>
          <w:i/>
          <w:iCs/>
        </w:rPr>
        <w:t>et al</w:t>
      </w:r>
      <w:r w:rsidR="00ED704F" w:rsidRPr="001C39CD">
        <w:rPr>
          <w:i/>
          <w:iCs/>
        </w:rPr>
        <w:t>.</w:t>
      </w:r>
      <w:r w:rsidR="00ED704F" w:rsidRPr="001C39CD">
        <w:t xml:space="preserve"> 2022</w:t>
      </w:r>
      <w:r w:rsidR="00BE1746" w:rsidRPr="001C39CD">
        <w:t xml:space="preserve">; Tiesler </w:t>
      </w:r>
      <w:r w:rsidR="00021B07" w:rsidRPr="00021B07">
        <w:rPr>
          <w:i/>
          <w:iCs/>
        </w:rPr>
        <w:t>et al</w:t>
      </w:r>
      <w:r w:rsidR="00BE1746" w:rsidRPr="001C39CD">
        <w:rPr>
          <w:i/>
          <w:iCs/>
        </w:rPr>
        <w:t>.</w:t>
      </w:r>
      <w:r w:rsidR="00BE1746" w:rsidRPr="001C39CD">
        <w:t xml:space="preserve"> 2022)</w:t>
      </w:r>
      <w:r w:rsidR="00FF7E78" w:rsidRPr="001C39CD">
        <w:rPr>
          <w:lang w:val="en"/>
        </w:rPr>
        <w:t>.</w:t>
      </w:r>
      <w:r w:rsidR="00513FD7">
        <w:rPr>
          <w:lang w:val="en"/>
        </w:rPr>
        <w:t xml:space="preserve"> Individuals with the highest long ROH are </w:t>
      </w:r>
      <w:proofErr w:type="spellStart"/>
      <w:r w:rsidR="00513FD7">
        <w:rPr>
          <w:lang w:val="en"/>
        </w:rPr>
        <w:t>summarised</w:t>
      </w:r>
      <w:proofErr w:type="spellEnd"/>
      <w:r w:rsidR="00513FD7">
        <w:rPr>
          <w:lang w:val="en"/>
        </w:rPr>
        <w:t xml:space="preserve"> in Table S3.</w:t>
      </w:r>
    </w:p>
    <w:p w14:paraId="62A356A7" w14:textId="77777777" w:rsidR="00EB4B7B" w:rsidRDefault="00EB4B7B" w:rsidP="003D2B36">
      <w:pPr>
        <w:spacing w:line="360" w:lineRule="auto"/>
        <w:rPr>
          <w:lang w:val="en"/>
        </w:rPr>
      </w:pPr>
    </w:p>
    <w:p w14:paraId="7A2607F5" w14:textId="0B8E1AB2" w:rsidR="00513FD7" w:rsidRPr="007F4E74" w:rsidRDefault="00513FD7" w:rsidP="00513FD7">
      <w:pPr>
        <w:spacing w:line="360" w:lineRule="auto"/>
        <w:rPr>
          <w:b/>
          <w:bCs/>
          <w:lang w:val="en-GB"/>
        </w:rPr>
      </w:pPr>
      <w:r w:rsidRPr="007F4E74">
        <w:rPr>
          <w:b/>
          <w:bCs/>
          <w:lang w:val="en-GB"/>
        </w:rPr>
        <w:t xml:space="preserve">Table </w:t>
      </w:r>
      <w:r w:rsidR="00AB4A13">
        <w:rPr>
          <w:b/>
          <w:bCs/>
          <w:lang w:val="en-GB"/>
        </w:rPr>
        <w:t>S</w:t>
      </w:r>
      <w:r w:rsidRPr="007F4E74">
        <w:rPr>
          <w:b/>
          <w:bCs/>
          <w:lang w:val="en-GB"/>
        </w:rPr>
        <w:t xml:space="preserve">3. Americas individuals with the highest measured long </w:t>
      </w:r>
      <w:r w:rsidRPr="007F4E74">
        <w:rPr>
          <w:b/>
          <w:bCs/>
          <w:lang w:val="en-GB"/>
        </w:rPr>
        <w:t>RoH</w:t>
      </w:r>
      <w:r>
        <w:rPr>
          <w:b/>
          <w:bCs/>
          <w:lang w:val="en-GB"/>
        </w:rPr>
        <w:t>.</w:t>
      </w:r>
      <w:r w:rsidRPr="007F4E74">
        <w:rPr>
          <w:b/>
          <w:bCs/>
          <w:lang w:val="en-GB"/>
        </w:rPr>
        <w:t xml:space="preserve"> </w:t>
      </w:r>
    </w:p>
    <w:tbl>
      <w:tblPr>
        <w:tblStyle w:val="TableGrid"/>
        <w:tblW w:w="5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2134"/>
      </w:tblGrid>
      <w:tr w:rsidR="00513FD7" w:rsidRPr="007F4E74" w14:paraId="4BA6CD90" w14:textId="77777777" w:rsidTr="0074406F">
        <w:tc>
          <w:tcPr>
            <w:tcW w:w="3008" w:type="dxa"/>
            <w:tcBorders>
              <w:top w:val="single" w:sz="4" w:space="0" w:color="auto"/>
              <w:bottom w:val="single" w:sz="4" w:space="0" w:color="auto"/>
            </w:tcBorders>
            <w:hideMark/>
          </w:tcPr>
          <w:p w14:paraId="200C40C9" w14:textId="77777777" w:rsidR="00513FD7" w:rsidRPr="007F4E74" w:rsidRDefault="00513FD7" w:rsidP="0074406F">
            <w:pPr>
              <w:spacing w:line="360" w:lineRule="auto"/>
              <w:rPr>
                <w:color w:val="000000" w:themeColor="text1"/>
                <w:lang w:val="en-GB"/>
              </w:rPr>
            </w:pPr>
            <w:r w:rsidRPr="007F4E74">
              <w:rPr>
                <w:b/>
                <w:bCs/>
                <w:color w:val="000000" w:themeColor="text1"/>
                <w:lang w:val="en-GB"/>
              </w:rPr>
              <w:t xml:space="preserve">Individual ID # and </w:t>
            </w:r>
            <w:r>
              <w:rPr>
                <w:b/>
                <w:bCs/>
                <w:color w:val="000000" w:themeColor="text1"/>
                <w:lang w:val="en-GB"/>
              </w:rPr>
              <w:t>l</w:t>
            </w:r>
            <w:r w:rsidRPr="007F4E74">
              <w:rPr>
                <w:b/>
                <w:bCs/>
                <w:color w:val="000000" w:themeColor="text1"/>
                <w:lang w:val="en-GB"/>
              </w:rPr>
              <w:t>ocation</w:t>
            </w:r>
          </w:p>
        </w:tc>
        <w:tc>
          <w:tcPr>
            <w:tcW w:w="2134" w:type="dxa"/>
            <w:tcBorders>
              <w:top w:val="single" w:sz="4" w:space="0" w:color="auto"/>
              <w:bottom w:val="single" w:sz="4" w:space="0" w:color="auto"/>
            </w:tcBorders>
            <w:hideMark/>
          </w:tcPr>
          <w:p w14:paraId="111E1F63" w14:textId="77777777" w:rsidR="00513FD7" w:rsidRPr="007F4E74" w:rsidRDefault="00513FD7" w:rsidP="0074406F">
            <w:pPr>
              <w:spacing w:line="360" w:lineRule="auto"/>
              <w:rPr>
                <w:color w:val="000000" w:themeColor="text1"/>
                <w:lang w:val="en-GB"/>
              </w:rPr>
            </w:pPr>
            <w:proofErr w:type="gramStart"/>
            <w:r w:rsidRPr="007F4E74">
              <w:rPr>
                <w:b/>
                <w:bCs/>
                <w:color w:val="000000" w:themeColor="text1"/>
                <w:lang w:val="en-GB"/>
              </w:rPr>
              <w:t>Sum total</w:t>
            </w:r>
            <w:proofErr w:type="gramEnd"/>
            <w:r w:rsidRPr="007F4E74">
              <w:rPr>
                <w:b/>
                <w:bCs/>
                <w:color w:val="000000" w:themeColor="text1"/>
                <w:lang w:val="en-GB"/>
              </w:rPr>
              <w:t xml:space="preserve"> R</w:t>
            </w:r>
            <w:r>
              <w:rPr>
                <w:b/>
                <w:bCs/>
                <w:color w:val="000000" w:themeColor="text1"/>
                <w:lang w:val="en-GB"/>
              </w:rPr>
              <w:t>o</w:t>
            </w:r>
            <w:r w:rsidRPr="007F4E74">
              <w:rPr>
                <w:b/>
                <w:bCs/>
                <w:color w:val="000000" w:themeColor="text1"/>
                <w:lang w:val="en-GB"/>
              </w:rPr>
              <w:t>H segments &gt;20cm</w:t>
            </w:r>
          </w:p>
        </w:tc>
      </w:tr>
      <w:tr w:rsidR="00513FD7" w:rsidRPr="007F4E74" w14:paraId="1EC334DA" w14:textId="77777777" w:rsidTr="0074406F">
        <w:tc>
          <w:tcPr>
            <w:tcW w:w="3008" w:type="dxa"/>
            <w:tcBorders>
              <w:top w:val="single" w:sz="4" w:space="0" w:color="auto"/>
            </w:tcBorders>
          </w:tcPr>
          <w:p w14:paraId="5928FAC8" w14:textId="77777777" w:rsidR="00513FD7" w:rsidRPr="007F4E74" w:rsidRDefault="00513FD7" w:rsidP="0074406F">
            <w:pPr>
              <w:spacing w:line="360" w:lineRule="auto"/>
              <w:rPr>
                <w:color w:val="000000" w:themeColor="text1"/>
                <w:lang w:val="en-GB"/>
              </w:rPr>
            </w:pPr>
            <w:r w:rsidRPr="007F4E74">
              <w:rPr>
                <w:color w:val="000000" w:themeColor="text1"/>
                <w:lang w:val="en-GB"/>
              </w:rPr>
              <w:t>I0748 (California)</w:t>
            </w:r>
            <w:r w:rsidRPr="007F4E74">
              <w:rPr>
                <w:color w:val="000000" w:themeColor="text1"/>
                <w:vertAlign w:val="superscript"/>
                <w:lang w:val="en-GB"/>
              </w:rPr>
              <w:t>1</w:t>
            </w:r>
          </w:p>
        </w:tc>
        <w:tc>
          <w:tcPr>
            <w:tcW w:w="2134" w:type="dxa"/>
            <w:tcBorders>
              <w:top w:val="single" w:sz="4" w:space="0" w:color="auto"/>
            </w:tcBorders>
          </w:tcPr>
          <w:p w14:paraId="1429B2F6" w14:textId="77777777" w:rsidR="00513FD7" w:rsidRPr="007F4E74" w:rsidRDefault="00513FD7" w:rsidP="0074406F">
            <w:pPr>
              <w:spacing w:line="360" w:lineRule="auto"/>
              <w:rPr>
                <w:color w:val="000000" w:themeColor="text1"/>
                <w:lang w:val="en-GB"/>
              </w:rPr>
            </w:pPr>
            <w:r w:rsidRPr="007F4E74">
              <w:rPr>
                <w:color w:val="000000" w:themeColor="text1"/>
                <w:lang w:val="en-GB"/>
              </w:rPr>
              <w:t>499.06</w:t>
            </w:r>
          </w:p>
        </w:tc>
      </w:tr>
      <w:tr w:rsidR="00513FD7" w:rsidRPr="007F4E74" w14:paraId="0E25119A" w14:textId="77777777" w:rsidTr="0074406F">
        <w:tc>
          <w:tcPr>
            <w:tcW w:w="3008" w:type="dxa"/>
            <w:hideMark/>
          </w:tcPr>
          <w:p w14:paraId="41CF4C7D" w14:textId="77777777" w:rsidR="00513FD7" w:rsidRPr="007F4E74" w:rsidRDefault="00513FD7" w:rsidP="0074406F">
            <w:pPr>
              <w:spacing w:line="360" w:lineRule="auto"/>
              <w:rPr>
                <w:b/>
                <w:bCs/>
                <w:color w:val="000000" w:themeColor="text1"/>
                <w:lang w:val="en-GB"/>
              </w:rPr>
            </w:pPr>
            <w:r w:rsidRPr="007F4E74">
              <w:rPr>
                <w:b/>
                <w:bCs/>
                <w:color w:val="000000" w:themeColor="text1"/>
                <w:lang w:val="en-GB"/>
              </w:rPr>
              <w:t>Burial 23-8 (Paquimé)</w:t>
            </w:r>
          </w:p>
        </w:tc>
        <w:tc>
          <w:tcPr>
            <w:tcW w:w="2134" w:type="dxa"/>
            <w:hideMark/>
          </w:tcPr>
          <w:p w14:paraId="48B62137" w14:textId="77777777" w:rsidR="00513FD7" w:rsidRPr="007F4E74" w:rsidRDefault="00513FD7" w:rsidP="0074406F">
            <w:pPr>
              <w:spacing w:line="360" w:lineRule="auto"/>
              <w:rPr>
                <w:b/>
                <w:bCs/>
                <w:color w:val="000000" w:themeColor="text1"/>
                <w:lang w:val="en-GB"/>
              </w:rPr>
            </w:pPr>
            <w:r w:rsidRPr="007F4E74">
              <w:rPr>
                <w:b/>
                <w:bCs/>
                <w:color w:val="000000" w:themeColor="text1"/>
                <w:lang w:val="en-GB"/>
              </w:rPr>
              <w:t>270.40</w:t>
            </w:r>
          </w:p>
        </w:tc>
      </w:tr>
      <w:tr w:rsidR="00513FD7" w:rsidRPr="007F4E74" w14:paraId="086F3AFD" w14:textId="77777777" w:rsidTr="0074406F">
        <w:tc>
          <w:tcPr>
            <w:tcW w:w="3008" w:type="dxa"/>
          </w:tcPr>
          <w:p w14:paraId="3F20F386" w14:textId="77777777" w:rsidR="00513FD7" w:rsidRPr="007F4E74" w:rsidRDefault="00513FD7" w:rsidP="0074406F">
            <w:pPr>
              <w:spacing w:line="360" w:lineRule="auto"/>
              <w:rPr>
                <w:color w:val="000000" w:themeColor="text1"/>
                <w:vertAlign w:val="superscript"/>
                <w:lang w:val="en-GB"/>
              </w:rPr>
            </w:pPr>
            <w:r w:rsidRPr="007F4E74">
              <w:rPr>
                <w:color w:val="000000" w:themeColor="text1"/>
                <w:lang w:val="en-GB"/>
              </w:rPr>
              <w:t>I5320 (Alaska)</w:t>
            </w:r>
            <w:r w:rsidRPr="007F4E74">
              <w:rPr>
                <w:color w:val="000000" w:themeColor="text1"/>
                <w:vertAlign w:val="superscript"/>
                <w:lang w:val="en-GB"/>
              </w:rPr>
              <w:t>2</w:t>
            </w:r>
          </w:p>
        </w:tc>
        <w:tc>
          <w:tcPr>
            <w:tcW w:w="2134" w:type="dxa"/>
          </w:tcPr>
          <w:p w14:paraId="6E2B2675" w14:textId="77777777" w:rsidR="00513FD7" w:rsidRPr="007F4E74" w:rsidRDefault="00513FD7" w:rsidP="0074406F">
            <w:pPr>
              <w:spacing w:line="360" w:lineRule="auto"/>
              <w:rPr>
                <w:color w:val="000000" w:themeColor="text1"/>
                <w:lang w:val="en-GB"/>
              </w:rPr>
            </w:pPr>
            <w:r w:rsidRPr="007F4E74">
              <w:rPr>
                <w:color w:val="000000" w:themeColor="text1"/>
                <w:lang w:val="en-GB"/>
              </w:rPr>
              <w:t>248.39</w:t>
            </w:r>
          </w:p>
        </w:tc>
      </w:tr>
      <w:tr w:rsidR="00513FD7" w:rsidRPr="007F4E74" w14:paraId="1940D401" w14:textId="77777777" w:rsidTr="0074406F">
        <w:tc>
          <w:tcPr>
            <w:tcW w:w="3008" w:type="dxa"/>
            <w:hideMark/>
          </w:tcPr>
          <w:p w14:paraId="2E369F5A" w14:textId="77777777" w:rsidR="00513FD7" w:rsidRPr="007F4E74" w:rsidRDefault="00513FD7" w:rsidP="0074406F">
            <w:pPr>
              <w:spacing w:line="360" w:lineRule="auto"/>
              <w:rPr>
                <w:color w:val="000000" w:themeColor="text1"/>
                <w:vertAlign w:val="superscript"/>
                <w:lang w:val="en-GB"/>
              </w:rPr>
            </w:pPr>
            <w:r w:rsidRPr="007F4E74">
              <w:rPr>
                <w:color w:val="000000" w:themeColor="text1"/>
                <w:lang w:val="en-GB"/>
              </w:rPr>
              <w:lastRenderedPageBreak/>
              <w:t>SN-44 (California)</w:t>
            </w:r>
            <w:r w:rsidRPr="007F4E74">
              <w:rPr>
                <w:color w:val="000000" w:themeColor="text1"/>
                <w:vertAlign w:val="superscript"/>
                <w:lang w:val="en-GB"/>
              </w:rPr>
              <w:t>3</w:t>
            </w:r>
          </w:p>
        </w:tc>
        <w:tc>
          <w:tcPr>
            <w:tcW w:w="2134" w:type="dxa"/>
            <w:hideMark/>
          </w:tcPr>
          <w:p w14:paraId="008C1651" w14:textId="77777777" w:rsidR="00513FD7" w:rsidRPr="007F4E74" w:rsidRDefault="00513FD7" w:rsidP="0074406F">
            <w:pPr>
              <w:spacing w:line="360" w:lineRule="auto"/>
              <w:rPr>
                <w:color w:val="000000" w:themeColor="text1"/>
                <w:lang w:val="en-GB"/>
              </w:rPr>
            </w:pPr>
            <w:r w:rsidRPr="007F4E74">
              <w:rPr>
                <w:color w:val="000000" w:themeColor="text1"/>
                <w:lang w:val="en-GB"/>
              </w:rPr>
              <w:t>247.85</w:t>
            </w:r>
          </w:p>
        </w:tc>
      </w:tr>
      <w:tr w:rsidR="00513FD7" w:rsidRPr="007F4E74" w14:paraId="235055DE" w14:textId="77777777" w:rsidTr="0074406F">
        <w:tc>
          <w:tcPr>
            <w:tcW w:w="3008" w:type="dxa"/>
          </w:tcPr>
          <w:p w14:paraId="6711F524" w14:textId="77777777" w:rsidR="00513FD7" w:rsidRPr="007F4E74" w:rsidRDefault="00513FD7" w:rsidP="0074406F">
            <w:pPr>
              <w:spacing w:line="360" w:lineRule="auto"/>
              <w:rPr>
                <w:color w:val="000000" w:themeColor="text1"/>
                <w:vertAlign w:val="superscript"/>
                <w:lang w:val="en-GB"/>
              </w:rPr>
            </w:pPr>
            <w:r w:rsidRPr="007F4E74">
              <w:rPr>
                <w:color w:val="000000" w:themeColor="text1"/>
                <w:lang w:val="en-GB"/>
              </w:rPr>
              <w:t>I11968 (California)</w:t>
            </w:r>
            <w:r w:rsidRPr="007F4E74">
              <w:rPr>
                <w:color w:val="000000" w:themeColor="text1"/>
                <w:vertAlign w:val="superscript"/>
                <w:lang w:val="en-GB"/>
              </w:rPr>
              <w:t>1</w:t>
            </w:r>
          </w:p>
        </w:tc>
        <w:tc>
          <w:tcPr>
            <w:tcW w:w="2134" w:type="dxa"/>
          </w:tcPr>
          <w:p w14:paraId="36F6560F" w14:textId="77777777" w:rsidR="00513FD7" w:rsidRPr="007F4E74" w:rsidRDefault="00513FD7" w:rsidP="0074406F">
            <w:pPr>
              <w:spacing w:line="360" w:lineRule="auto"/>
              <w:rPr>
                <w:color w:val="000000" w:themeColor="text1"/>
                <w:lang w:val="en-GB"/>
              </w:rPr>
            </w:pPr>
            <w:r w:rsidRPr="007F4E74">
              <w:rPr>
                <w:color w:val="000000" w:themeColor="text1"/>
                <w:lang w:val="en-GB"/>
              </w:rPr>
              <w:t>241.17</w:t>
            </w:r>
          </w:p>
        </w:tc>
      </w:tr>
      <w:tr w:rsidR="00513FD7" w:rsidRPr="007F4E74" w14:paraId="7644CC31" w14:textId="77777777" w:rsidTr="0074406F">
        <w:tc>
          <w:tcPr>
            <w:tcW w:w="3008" w:type="dxa"/>
            <w:hideMark/>
          </w:tcPr>
          <w:p w14:paraId="5BFAE603" w14:textId="77777777" w:rsidR="00513FD7" w:rsidRPr="007F4E74" w:rsidRDefault="00513FD7" w:rsidP="0074406F">
            <w:pPr>
              <w:spacing w:line="360" w:lineRule="auto"/>
              <w:rPr>
                <w:color w:val="000000" w:themeColor="text1"/>
                <w:vertAlign w:val="superscript"/>
                <w:lang w:val="en-GB"/>
              </w:rPr>
            </w:pPr>
            <w:r w:rsidRPr="007F4E74">
              <w:rPr>
                <w:color w:val="000000" w:themeColor="text1"/>
                <w:lang w:val="en-GB"/>
              </w:rPr>
              <w:t>SN-11 (California)</w:t>
            </w:r>
            <w:r w:rsidRPr="007F4E74">
              <w:rPr>
                <w:color w:val="000000" w:themeColor="text1"/>
                <w:vertAlign w:val="superscript"/>
                <w:lang w:val="en-GB"/>
              </w:rPr>
              <w:t>3</w:t>
            </w:r>
          </w:p>
        </w:tc>
        <w:tc>
          <w:tcPr>
            <w:tcW w:w="2134" w:type="dxa"/>
            <w:hideMark/>
          </w:tcPr>
          <w:p w14:paraId="4356DC0E" w14:textId="77777777" w:rsidR="00513FD7" w:rsidRPr="007F4E74" w:rsidRDefault="00513FD7" w:rsidP="0074406F">
            <w:pPr>
              <w:spacing w:line="360" w:lineRule="auto"/>
              <w:rPr>
                <w:color w:val="000000" w:themeColor="text1"/>
                <w:lang w:val="en-GB"/>
              </w:rPr>
            </w:pPr>
            <w:r w:rsidRPr="007F4E74">
              <w:rPr>
                <w:color w:val="000000" w:themeColor="text1"/>
                <w:lang w:val="en-GB"/>
              </w:rPr>
              <w:t>226.22</w:t>
            </w:r>
          </w:p>
        </w:tc>
      </w:tr>
      <w:tr w:rsidR="00513FD7" w:rsidRPr="007F4E74" w14:paraId="147F6B8A" w14:textId="77777777" w:rsidTr="0074406F">
        <w:tc>
          <w:tcPr>
            <w:tcW w:w="3008" w:type="dxa"/>
            <w:hideMark/>
          </w:tcPr>
          <w:p w14:paraId="485A5C1A" w14:textId="77777777" w:rsidR="00513FD7" w:rsidRPr="007F4E74" w:rsidRDefault="00513FD7" w:rsidP="0074406F">
            <w:pPr>
              <w:spacing w:line="360" w:lineRule="auto"/>
              <w:rPr>
                <w:color w:val="000000" w:themeColor="text1"/>
                <w:vertAlign w:val="superscript"/>
                <w:lang w:val="en-GB"/>
              </w:rPr>
            </w:pPr>
            <w:r w:rsidRPr="007F4E74">
              <w:rPr>
                <w:color w:val="000000" w:themeColor="text1"/>
                <w:lang w:val="en-GB"/>
              </w:rPr>
              <w:t>I0308 (Argentina)</w:t>
            </w:r>
            <w:r w:rsidRPr="007F4E74">
              <w:rPr>
                <w:color w:val="000000" w:themeColor="text1"/>
                <w:vertAlign w:val="superscript"/>
                <w:lang w:val="en-GB"/>
              </w:rPr>
              <w:t>4</w:t>
            </w:r>
          </w:p>
        </w:tc>
        <w:tc>
          <w:tcPr>
            <w:tcW w:w="2134" w:type="dxa"/>
            <w:hideMark/>
          </w:tcPr>
          <w:p w14:paraId="4D8C254A" w14:textId="77777777" w:rsidR="00513FD7" w:rsidRPr="007F4E74" w:rsidRDefault="00513FD7" w:rsidP="0074406F">
            <w:pPr>
              <w:spacing w:line="360" w:lineRule="auto"/>
              <w:rPr>
                <w:color w:val="000000" w:themeColor="text1"/>
                <w:lang w:val="en-GB"/>
              </w:rPr>
            </w:pPr>
            <w:r w:rsidRPr="007F4E74">
              <w:rPr>
                <w:color w:val="000000" w:themeColor="text1"/>
                <w:lang w:val="en-GB"/>
              </w:rPr>
              <w:t>162.07</w:t>
            </w:r>
          </w:p>
        </w:tc>
      </w:tr>
      <w:tr w:rsidR="00513FD7" w:rsidRPr="007F4E74" w14:paraId="288AB6C7" w14:textId="77777777" w:rsidTr="0074406F">
        <w:tc>
          <w:tcPr>
            <w:tcW w:w="3008" w:type="dxa"/>
            <w:hideMark/>
          </w:tcPr>
          <w:p w14:paraId="774D56EF" w14:textId="77777777" w:rsidR="00513FD7" w:rsidRPr="007F4E74" w:rsidRDefault="00513FD7" w:rsidP="0074406F">
            <w:pPr>
              <w:spacing w:line="360" w:lineRule="auto"/>
              <w:rPr>
                <w:color w:val="000000" w:themeColor="text1"/>
                <w:vertAlign w:val="superscript"/>
                <w:lang w:val="en-GB"/>
              </w:rPr>
            </w:pPr>
            <w:r w:rsidRPr="007F4E74">
              <w:rPr>
                <w:color w:val="000000" w:themeColor="text1"/>
                <w:lang w:val="en-GB"/>
              </w:rPr>
              <w:t>I13322 (Caribbean)</w:t>
            </w:r>
            <w:r w:rsidRPr="007F4E74">
              <w:rPr>
                <w:color w:val="000000" w:themeColor="text1"/>
                <w:vertAlign w:val="superscript"/>
                <w:lang w:val="en-GB"/>
              </w:rPr>
              <w:t>5</w:t>
            </w:r>
          </w:p>
        </w:tc>
        <w:tc>
          <w:tcPr>
            <w:tcW w:w="2134" w:type="dxa"/>
            <w:hideMark/>
          </w:tcPr>
          <w:p w14:paraId="6D0D0BCD" w14:textId="77777777" w:rsidR="00513FD7" w:rsidRPr="007F4E74" w:rsidRDefault="00513FD7" w:rsidP="0074406F">
            <w:pPr>
              <w:spacing w:line="360" w:lineRule="auto"/>
              <w:rPr>
                <w:color w:val="000000" w:themeColor="text1"/>
                <w:lang w:val="en-GB"/>
              </w:rPr>
            </w:pPr>
            <w:r w:rsidRPr="007F4E74">
              <w:rPr>
                <w:color w:val="000000" w:themeColor="text1"/>
                <w:lang w:val="en-GB"/>
              </w:rPr>
              <w:t>137.28</w:t>
            </w:r>
          </w:p>
        </w:tc>
      </w:tr>
      <w:tr w:rsidR="00513FD7" w:rsidRPr="007F4E74" w14:paraId="46ABA196" w14:textId="77777777" w:rsidTr="0074406F">
        <w:tc>
          <w:tcPr>
            <w:tcW w:w="3008" w:type="dxa"/>
          </w:tcPr>
          <w:p w14:paraId="6C92BB25" w14:textId="77777777" w:rsidR="00513FD7" w:rsidRPr="007F4E74" w:rsidRDefault="00513FD7" w:rsidP="0074406F">
            <w:pPr>
              <w:spacing w:line="360" w:lineRule="auto"/>
              <w:rPr>
                <w:color w:val="000000" w:themeColor="text1"/>
                <w:vertAlign w:val="superscript"/>
                <w:lang w:val="en-GB"/>
              </w:rPr>
            </w:pPr>
            <w:r w:rsidRPr="007F4E74">
              <w:rPr>
                <w:color w:val="000000" w:themeColor="text1"/>
                <w:lang w:val="en-GB"/>
              </w:rPr>
              <w:t>I23708 (California)</w:t>
            </w:r>
            <w:r w:rsidRPr="007F4E74">
              <w:rPr>
                <w:color w:val="000000" w:themeColor="text1"/>
                <w:vertAlign w:val="superscript"/>
                <w:lang w:val="en-GB"/>
              </w:rPr>
              <w:t>1</w:t>
            </w:r>
          </w:p>
        </w:tc>
        <w:tc>
          <w:tcPr>
            <w:tcW w:w="2134" w:type="dxa"/>
          </w:tcPr>
          <w:p w14:paraId="542265E3" w14:textId="77777777" w:rsidR="00513FD7" w:rsidRPr="007F4E74" w:rsidRDefault="00513FD7" w:rsidP="0074406F">
            <w:pPr>
              <w:spacing w:line="360" w:lineRule="auto"/>
              <w:rPr>
                <w:color w:val="000000" w:themeColor="text1"/>
                <w:lang w:val="en-GB"/>
              </w:rPr>
            </w:pPr>
            <w:r w:rsidRPr="007F4E74">
              <w:rPr>
                <w:color w:val="000000" w:themeColor="text1"/>
                <w:lang w:val="en-GB"/>
              </w:rPr>
              <w:t>133.78</w:t>
            </w:r>
          </w:p>
        </w:tc>
      </w:tr>
      <w:tr w:rsidR="00513FD7" w:rsidRPr="007F4E74" w14:paraId="2982699A" w14:textId="77777777" w:rsidTr="0074406F">
        <w:tc>
          <w:tcPr>
            <w:tcW w:w="3008" w:type="dxa"/>
            <w:hideMark/>
          </w:tcPr>
          <w:p w14:paraId="4162D574" w14:textId="77777777" w:rsidR="00513FD7" w:rsidRPr="007F4E74" w:rsidRDefault="00513FD7" w:rsidP="0074406F">
            <w:pPr>
              <w:spacing w:line="360" w:lineRule="auto"/>
              <w:rPr>
                <w:color w:val="000000" w:themeColor="text1"/>
                <w:vertAlign w:val="superscript"/>
                <w:lang w:val="en-GB"/>
              </w:rPr>
            </w:pPr>
            <w:r w:rsidRPr="007F4E74">
              <w:rPr>
                <w:color w:val="000000" w:themeColor="text1"/>
                <w:lang w:val="en-GB"/>
              </w:rPr>
              <w:t>I0042 (Peru)</w:t>
            </w:r>
            <w:r w:rsidRPr="007F4E74">
              <w:rPr>
                <w:color w:val="000000" w:themeColor="text1"/>
                <w:vertAlign w:val="superscript"/>
                <w:lang w:val="en-GB"/>
              </w:rPr>
              <w:t>6</w:t>
            </w:r>
          </w:p>
        </w:tc>
        <w:tc>
          <w:tcPr>
            <w:tcW w:w="2134" w:type="dxa"/>
            <w:hideMark/>
          </w:tcPr>
          <w:p w14:paraId="07A39471" w14:textId="77777777" w:rsidR="00513FD7" w:rsidRPr="007F4E74" w:rsidRDefault="00513FD7" w:rsidP="0074406F">
            <w:pPr>
              <w:spacing w:line="360" w:lineRule="auto"/>
              <w:rPr>
                <w:color w:val="000000" w:themeColor="text1"/>
                <w:lang w:val="en-GB"/>
              </w:rPr>
            </w:pPr>
            <w:r w:rsidRPr="007F4E74">
              <w:rPr>
                <w:color w:val="000000" w:themeColor="text1"/>
                <w:lang w:val="en-GB"/>
              </w:rPr>
              <w:t>133.77</w:t>
            </w:r>
          </w:p>
        </w:tc>
      </w:tr>
      <w:tr w:rsidR="00513FD7" w:rsidRPr="007F4E74" w14:paraId="62508C8C" w14:textId="77777777" w:rsidTr="0074406F">
        <w:tc>
          <w:tcPr>
            <w:tcW w:w="3008" w:type="dxa"/>
            <w:hideMark/>
          </w:tcPr>
          <w:p w14:paraId="0B19F56A" w14:textId="77777777" w:rsidR="00513FD7" w:rsidRPr="007F4E74" w:rsidRDefault="00513FD7" w:rsidP="0074406F">
            <w:pPr>
              <w:spacing w:line="360" w:lineRule="auto"/>
              <w:rPr>
                <w:color w:val="000000" w:themeColor="text1"/>
                <w:vertAlign w:val="superscript"/>
                <w:lang w:val="en-GB"/>
              </w:rPr>
            </w:pPr>
            <w:r w:rsidRPr="007F4E74">
              <w:rPr>
                <w:color w:val="000000" w:themeColor="text1"/>
                <w:lang w:val="en-GB"/>
              </w:rPr>
              <w:t>I7966 (Caribbean)</w:t>
            </w:r>
            <w:r w:rsidRPr="007F4E74">
              <w:rPr>
                <w:color w:val="000000" w:themeColor="text1"/>
                <w:vertAlign w:val="superscript"/>
                <w:lang w:val="en-GB"/>
              </w:rPr>
              <w:t>5</w:t>
            </w:r>
          </w:p>
        </w:tc>
        <w:tc>
          <w:tcPr>
            <w:tcW w:w="2134" w:type="dxa"/>
            <w:hideMark/>
          </w:tcPr>
          <w:p w14:paraId="7DE8AD62" w14:textId="77777777" w:rsidR="00513FD7" w:rsidRPr="007F4E74" w:rsidRDefault="00513FD7" w:rsidP="0074406F">
            <w:pPr>
              <w:spacing w:line="360" w:lineRule="auto"/>
              <w:rPr>
                <w:color w:val="000000" w:themeColor="text1"/>
                <w:lang w:val="en-GB"/>
              </w:rPr>
            </w:pPr>
            <w:r w:rsidRPr="007F4E74">
              <w:rPr>
                <w:color w:val="000000" w:themeColor="text1"/>
                <w:lang w:val="en-GB"/>
              </w:rPr>
              <w:t>130.04</w:t>
            </w:r>
          </w:p>
        </w:tc>
      </w:tr>
      <w:tr w:rsidR="00513FD7" w:rsidRPr="007F4E74" w14:paraId="2998EBA7" w14:textId="77777777" w:rsidTr="0074406F">
        <w:tc>
          <w:tcPr>
            <w:tcW w:w="3008" w:type="dxa"/>
          </w:tcPr>
          <w:p w14:paraId="472CD21E" w14:textId="77777777" w:rsidR="00513FD7" w:rsidRPr="007F4E74" w:rsidRDefault="00513FD7" w:rsidP="0074406F">
            <w:pPr>
              <w:spacing w:line="360" w:lineRule="auto"/>
              <w:rPr>
                <w:color w:val="000000" w:themeColor="text1"/>
                <w:vertAlign w:val="superscript"/>
                <w:lang w:val="en-GB"/>
              </w:rPr>
            </w:pPr>
            <w:r w:rsidRPr="007F4E74">
              <w:rPr>
                <w:color w:val="000000" w:themeColor="text1"/>
                <w:lang w:val="en-GB"/>
              </w:rPr>
              <w:t>I11557.SG (California)</w:t>
            </w:r>
            <w:r w:rsidRPr="007F4E74">
              <w:rPr>
                <w:color w:val="000000" w:themeColor="text1"/>
                <w:vertAlign w:val="superscript"/>
                <w:lang w:val="en-GB"/>
              </w:rPr>
              <w:t>1</w:t>
            </w:r>
          </w:p>
        </w:tc>
        <w:tc>
          <w:tcPr>
            <w:tcW w:w="2134" w:type="dxa"/>
          </w:tcPr>
          <w:p w14:paraId="1D859B06" w14:textId="77777777" w:rsidR="00513FD7" w:rsidRPr="007F4E74" w:rsidRDefault="00513FD7" w:rsidP="0074406F">
            <w:pPr>
              <w:spacing w:line="360" w:lineRule="auto"/>
              <w:rPr>
                <w:color w:val="000000" w:themeColor="text1"/>
                <w:lang w:val="en-GB"/>
              </w:rPr>
            </w:pPr>
            <w:r w:rsidRPr="007F4E74">
              <w:rPr>
                <w:color w:val="000000" w:themeColor="text1"/>
                <w:lang w:val="en-GB"/>
              </w:rPr>
              <w:t>108.32</w:t>
            </w:r>
          </w:p>
        </w:tc>
      </w:tr>
      <w:tr w:rsidR="00513FD7" w:rsidRPr="007F4E74" w14:paraId="42518EFE" w14:textId="77777777" w:rsidTr="0074406F">
        <w:tc>
          <w:tcPr>
            <w:tcW w:w="3008" w:type="dxa"/>
            <w:tcBorders>
              <w:bottom w:val="single" w:sz="4" w:space="0" w:color="auto"/>
            </w:tcBorders>
            <w:hideMark/>
          </w:tcPr>
          <w:p w14:paraId="6A954187" w14:textId="77777777" w:rsidR="00513FD7" w:rsidRPr="007F4E74" w:rsidRDefault="00513FD7" w:rsidP="0074406F">
            <w:pPr>
              <w:spacing w:line="360" w:lineRule="auto"/>
              <w:rPr>
                <w:color w:val="000000" w:themeColor="text1"/>
                <w:vertAlign w:val="superscript"/>
                <w:lang w:val="en-GB"/>
              </w:rPr>
            </w:pPr>
            <w:r w:rsidRPr="007F4E74">
              <w:rPr>
                <w:color w:val="000000" w:themeColor="text1"/>
                <w:lang w:val="en-GB"/>
              </w:rPr>
              <w:t>I10758 (Caribbean)</w:t>
            </w:r>
            <w:r w:rsidRPr="007F4E74">
              <w:rPr>
                <w:color w:val="000000" w:themeColor="text1"/>
                <w:vertAlign w:val="superscript"/>
                <w:lang w:val="en-GB"/>
              </w:rPr>
              <w:t>5</w:t>
            </w:r>
          </w:p>
        </w:tc>
        <w:tc>
          <w:tcPr>
            <w:tcW w:w="2134" w:type="dxa"/>
            <w:tcBorders>
              <w:bottom w:val="single" w:sz="4" w:space="0" w:color="auto"/>
            </w:tcBorders>
            <w:hideMark/>
          </w:tcPr>
          <w:p w14:paraId="7AFFCC67" w14:textId="77777777" w:rsidR="00513FD7" w:rsidRPr="007F4E74" w:rsidRDefault="00513FD7" w:rsidP="0074406F">
            <w:pPr>
              <w:spacing w:line="360" w:lineRule="auto"/>
              <w:rPr>
                <w:color w:val="000000" w:themeColor="text1"/>
                <w:lang w:val="en-GB"/>
              </w:rPr>
            </w:pPr>
            <w:r w:rsidRPr="007F4E74">
              <w:rPr>
                <w:color w:val="000000" w:themeColor="text1"/>
                <w:lang w:val="en-GB"/>
              </w:rPr>
              <w:t>96.31</w:t>
            </w:r>
          </w:p>
        </w:tc>
      </w:tr>
    </w:tbl>
    <w:p w14:paraId="4DE77E9D" w14:textId="0D2A2B17" w:rsidR="00513FD7" w:rsidRPr="007F4E74" w:rsidRDefault="00513FD7" w:rsidP="00513FD7">
      <w:pPr>
        <w:spacing w:line="360" w:lineRule="auto"/>
        <w:rPr>
          <w:lang w:val="en-GB"/>
        </w:rPr>
      </w:pPr>
      <w:r w:rsidRPr="004258BE">
        <w:rPr>
          <w:lang w:val="fr-FR"/>
        </w:rPr>
        <w:t>(</w:t>
      </w:r>
      <w:r w:rsidRPr="004258BE">
        <w:rPr>
          <w:vertAlign w:val="superscript"/>
          <w:lang w:val="fr-FR"/>
        </w:rPr>
        <w:t>1</w:t>
      </w:r>
      <w:r w:rsidRPr="004258BE">
        <w:rPr>
          <w:lang w:val="fr-FR"/>
        </w:rPr>
        <w:t xml:space="preserve">Nakatsuka </w:t>
      </w:r>
      <w:r w:rsidRPr="00933B81">
        <w:rPr>
          <w:i/>
          <w:iCs/>
          <w:lang w:val="fr-FR"/>
        </w:rPr>
        <w:t>et al</w:t>
      </w:r>
      <w:r w:rsidRPr="004258BE">
        <w:rPr>
          <w:i/>
          <w:iCs/>
          <w:lang w:val="fr-FR"/>
        </w:rPr>
        <w:t xml:space="preserve">. </w:t>
      </w:r>
      <w:r w:rsidRPr="004258BE">
        <w:rPr>
          <w:lang w:val="fr-FR"/>
        </w:rPr>
        <w:t xml:space="preserve">2023; </w:t>
      </w:r>
      <w:r w:rsidRPr="004258BE">
        <w:rPr>
          <w:vertAlign w:val="superscript"/>
          <w:lang w:val="fr-FR"/>
        </w:rPr>
        <w:t>2</w:t>
      </w:r>
      <w:r w:rsidRPr="004258BE">
        <w:rPr>
          <w:lang w:val="fr-FR"/>
        </w:rPr>
        <w:t xml:space="preserve">Flegontov </w:t>
      </w:r>
      <w:r w:rsidRPr="00933B81">
        <w:rPr>
          <w:i/>
          <w:iCs/>
          <w:lang w:val="fr-FR"/>
        </w:rPr>
        <w:t>et al</w:t>
      </w:r>
      <w:r w:rsidRPr="004258BE">
        <w:rPr>
          <w:i/>
          <w:iCs/>
          <w:lang w:val="fr-FR"/>
        </w:rPr>
        <w:t>.</w:t>
      </w:r>
      <w:r w:rsidRPr="004258BE">
        <w:rPr>
          <w:lang w:val="fr-FR"/>
        </w:rPr>
        <w:t xml:space="preserve"> 2019; </w:t>
      </w:r>
      <w:r w:rsidRPr="004258BE">
        <w:rPr>
          <w:vertAlign w:val="superscript"/>
          <w:lang w:val="fr-FR"/>
        </w:rPr>
        <w:t>3</w:t>
      </w:r>
      <w:r w:rsidRPr="004258BE">
        <w:rPr>
          <w:lang w:val="fr-FR"/>
        </w:rPr>
        <w:t xml:space="preserve">Scheib </w:t>
      </w:r>
      <w:r w:rsidRPr="00933B81">
        <w:rPr>
          <w:i/>
          <w:iCs/>
          <w:lang w:val="fr-FR"/>
        </w:rPr>
        <w:t>et al</w:t>
      </w:r>
      <w:r w:rsidRPr="004258BE">
        <w:rPr>
          <w:i/>
          <w:iCs/>
          <w:lang w:val="fr-FR"/>
        </w:rPr>
        <w:t>.</w:t>
      </w:r>
      <w:r w:rsidRPr="004258BE">
        <w:rPr>
          <w:lang w:val="fr-FR"/>
        </w:rPr>
        <w:t xml:space="preserve"> 2018; </w:t>
      </w:r>
      <w:r w:rsidRPr="004258BE">
        <w:rPr>
          <w:vertAlign w:val="superscript"/>
          <w:lang w:val="fr-FR"/>
        </w:rPr>
        <w:t>4</w:t>
      </w:r>
      <w:r w:rsidRPr="004258BE">
        <w:rPr>
          <w:lang w:val="fr-FR"/>
        </w:rPr>
        <w:t xml:space="preserve">Posth </w:t>
      </w:r>
      <w:r w:rsidRPr="00933B81">
        <w:rPr>
          <w:i/>
          <w:iCs/>
          <w:lang w:val="fr-FR"/>
        </w:rPr>
        <w:t>et al</w:t>
      </w:r>
      <w:r w:rsidRPr="004258BE">
        <w:rPr>
          <w:i/>
          <w:iCs/>
          <w:lang w:val="fr-FR"/>
        </w:rPr>
        <w:t>.</w:t>
      </w:r>
      <w:r w:rsidRPr="004258BE">
        <w:rPr>
          <w:lang w:val="fr-FR"/>
        </w:rPr>
        <w:t xml:space="preserve"> 2018; </w:t>
      </w:r>
      <w:r w:rsidRPr="004258BE">
        <w:rPr>
          <w:vertAlign w:val="superscript"/>
          <w:lang w:val="fr-FR"/>
        </w:rPr>
        <w:t>5</w:t>
      </w:r>
      <w:r w:rsidRPr="004258BE">
        <w:rPr>
          <w:lang w:val="fr-FR"/>
        </w:rPr>
        <w:t xml:space="preserve">Fernandes </w:t>
      </w:r>
      <w:r w:rsidRPr="00933B81">
        <w:rPr>
          <w:i/>
          <w:iCs/>
          <w:lang w:val="fr-FR"/>
        </w:rPr>
        <w:t>et al</w:t>
      </w:r>
      <w:r w:rsidRPr="004258BE">
        <w:rPr>
          <w:i/>
          <w:iCs/>
          <w:lang w:val="fr-FR"/>
        </w:rPr>
        <w:t>.</w:t>
      </w:r>
      <w:r w:rsidRPr="004258BE">
        <w:rPr>
          <w:lang w:val="fr-FR"/>
        </w:rPr>
        <w:t xml:space="preserve"> 2021; </w:t>
      </w:r>
      <w:r w:rsidRPr="004258BE">
        <w:rPr>
          <w:vertAlign w:val="superscript"/>
          <w:lang w:val="fr-FR"/>
        </w:rPr>
        <w:t>6</w:t>
      </w:r>
      <w:r w:rsidRPr="004258BE">
        <w:rPr>
          <w:lang w:val="fr-FR"/>
        </w:rPr>
        <w:t xml:space="preserve">Nakatsuka </w:t>
      </w:r>
      <w:r w:rsidRPr="00933B81">
        <w:rPr>
          <w:i/>
          <w:iCs/>
          <w:lang w:val="fr-FR"/>
        </w:rPr>
        <w:t>et al</w:t>
      </w:r>
      <w:r w:rsidRPr="004258BE">
        <w:rPr>
          <w:i/>
          <w:iCs/>
          <w:lang w:val="fr-FR"/>
        </w:rPr>
        <w:t>.</w:t>
      </w:r>
      <w:r w:rsidRPr="004258BE">
        <w:rPr>
          <w:lang w:val="fr-FR"/>
        </w:rPr>
        <w:t xml:space="preserve"> 20</w:t>
      </w:r>
      <w:r w:rsidR="00C47494">
        <w:rPr>
          <w:lang w:val="fr-FR"/>
        </w:rPr>
        <w:t>18)</w:t>
      </w:r>
      <w:r w:rsidRPr="004258BE">
        <w:rPr>
          <w:lang w:val="fr-FR"/>
        </w:rPr>
        <w:t xml:space="preserve">. </w:t>
      </w:r>
      <w:r w:rsidRPr="007F4E74">
        <w:rPr>
          <w:lang w:val="en-GB"/>
        </w:rPr>
        <w:t>Note</w:t>
      </w:r>
      <w:r w:rsidRPr="007F4E74">
        <w:rPr>
          <w:lang w:val="en-GB"/>
        </w:rPr>
        <w:t xml:space="preserve">: </w:t>
      </w:r>
      <w:r>
        <w:rPr>
          <w:lang w:val="en-GB"/>
        </w:rPr>
        <w:t>e</w:t>
      </w:r>
      <w:r w:rsidRPr="007F4E74">
        <w:rPr>
          <w:lang w:val="en-GB"/>
        </w:rPr>
        <w:t>xpected summed long RoH values</w:t>
      </w:r>
      <w:r>
        <w:rPr>
          <w:lang w:val="en-GB"/>
        </w:rPr>
        <w:t xml:space="preserve"> from inbreeding of s</w:t>
      </w:r>
      <w:r w:rsidRPr="007F4E74">
        <w:rPr>
          <w:lang w:val="en-GB"/>
        </w:rPr>
        <w:t>iblings: 625 cM, first cousins: 125 cM, second cousins: 30 cM, third cousins: 15 cM</w:t>
      </w:r>
      <w:r>
        <w:rPr>
          <w:lang w:val="en-GB"/>
        </w:rPr>
        <w:t xml:space="preserve"> </w:t>
      </w:r>
      <w:r w:rsidRPr="007F4E74">
        <w:rPr>
          <w:lang w:val="en-GB"/>
        </w:rPr>
        <w:t xml:space="preserve">(from Ringbauer </w:t>
      </w:r>
      <w:r w:rsidRPr="00933B81">
        <w:rPr>
          <w:i/>
          <w:iCs/>
          <w:lang w:val="en-GB"/>
        </w:rPr>
        <w:t>et al</w:t>
      </w:r>
      <w:r w:rsidRPr="007F4E74">
        <w:rPr>
          <w:lang w:val="en-GB"/>
        </w:rPr>
        <w:t>. 2021).</w:t>
      </w:r>
    </w:p>
    <w:p w14:paraId="41DF303F" w14:textId="77777777" w:rsidR="00513FD7" w:rsidRPr="00513FD7" w:rsidRDefault="00513FD7" w:rsidP="003D2B36">
      <w:pPr>
        <w:spacing w:line="360" w:lineRule="auto"/>
        <w:rPr>
          <w:lang w:val="en-GB"/>
        </w:rPr>
      </w:pPr>
    </w:p>
    <w:p w14:paraId="7E746F3C" w14:textId="68DC2453" w:rsidR="00EB4B7B" w:rsidRPr="001C39CD" w:rsidRDefault="00EB4B7B" w:rsidP="00EB4B7B">
      <w:pPr>
        <w:spacing w:line="360" w:lineRule="auto"/>
        <w:rPr>
          <w:b/>
          <w:bCs/>
          <w:iCs/>
          <w:color w:val="000000" w:themeColor="text1"/>
        </w:rPr>
      </w:pPr>
      <w:r w:rsidRPr="001C39CD">
        <w:rPr>
          <w:b/>
          <w:color w:val="000000" w:themeColor="text1"/>
        </w:rPr>
        <w:t xml:space="preserve">Radiocarbon </w:t>
      </w:r>
      <w:r w:rsidR="0038120A">
        <w:rPr>
          <w:b/>
          <w:color w:val="000000" w:themeColor="text1"/>
        </w:rPr>
        <w:t>d</w:t>
      </w:r>
      <w:r w:rsidRPr="001C39CD">
        <w:rPr>
          <w:b/>
          <w:color w:val="000000" w:themeColor="text1"/>
        </w:rPr>
        <w:t>ating</w:t>
      </w:r>
    </w:p>
    <w:p w14:paraId="3313A1D8" w14:textId="7EF7D722" w:rsidR="00F9314B" w:rsidRDefault="00EB4B7B" w:rsidP="00EB4B7B">
      <w:pPr>
        <w:spacing w:line="360" w:lineRule="auto"/>
        <w:rPr>
          <w:color w:val="000000" w:themeColor="text1"/>
        </w:rPr>
      </w:pPr>
      <w:r w:rsidRPr="001C39CD">
        <w:rPr>
          <w:color w:val="000000" w:themeColor="text1"/>
        </w:rPr>
        <w:t xml:space="preserve">As noted in the main manuscript, </w:t>
      </w:r>
      <w:r w:rsidR="00ED704F">
        <w:rPr>
          <w:color w:val="000000" w:themeColor="text1"/>
        </w:rPr>
        <w:t>b</w:t>
      </w:r>
      <w:r w:rsidR="00336A57">
        <w:rPr>
          <w:color w:val="000000" w:themeColor="text1"/>
        </w:rPr>
        <w:t>urial 23-8</w:t>
      </w:r>
      <w:r w:rsidRPr="001C39CD">
        <w:rPr>
          <w:color w:val="000000" w:themeColor="text1"/>
        </w:rPr>
        <w:t xml:space="preserve"> was buried beneath a post that had been dated through dendrochronology. Despite this, we felt it necessary to directly date </w:t>
      </w:r>
      <w:r w:rsidR="00ED704F">
        <w:rPr>
          <w:color w:val="000000" w:themeColor="text1"/>
        </w:rPr>
        <w:t>b</w:t>
      </w:r>
      <w:r w:rsidR="00336A57">
        <w:rPr>
          <w:color w:val="000000" w:themeColor="text1"/>
        </w:rPr>
        <w:t>urial 23-8</w:t>
      </w:r>
      <w:r w:rsidRPr="001C39CD">
        <w:rPr>
          <w:color w:val="000000" w:themeColor="text1"/>
        </w:rPr>
        <w:t xml:space="preserve">, especially considering the issues that have been reported with the dendrochronology of Paquimé </w:t>
      </w:r>
      <w:r w:rsidRPr="001C39CD">
        <w:rPr>
          <w:noProof/>
          <w:color w:val="000000" w:themeColor="text1"/>
        </w:rPr>
        <w:t>(Dean &amp; Ravesloot 1993; Lekson 2015)</w:t>
      </w:r>
      <w:r w:rsidRPr="001C39CD">
        <w:rPr>
          <w:color w:val="000000" w:themeColor="text1"/>
        </w:rPr>
        <w:t>. To obtain a date, we removed a small piece of bone from the same petrous (left) that was sampled for aDNA and sent it to the Pennsylvania State University AMS laboratory. Our first sampling attempt failed, but a second attempt from the left petrous was successful. The C and N isotope values are provided in Table S</w:t>
      </w:r>
      <w:r w:rsidR="00513FD7">
        <w:rPr>
          <w:color w:val="000000" w:themeColor="text1"/>
        </w:rPr>
        <w:t>4</w:t>
      </w:r>
      <w:r w:rsidR="00F9314B">
        <w:rPr>
          <w:color w:val="000000" w:themeColor="text1"/>
        </w:rPr>
        <w:t>.</w:t>
      </w:r>
    </w:p>
    <w:p w14:paraId="2040CD96" w14:textId="77777777" w:rsidR="00336A57" w:rsidRDefault="00336A57" w:rsidP="00EB4B7B">
      <w:pPr>
        <w:spacing w:line="360" w:lineRule="auto"/>
        <w:rPr>
          <w:color w:val="000000" w:themeColor="text1"/>
        </w:rPr>
      </w:pPr>
    </w:p>
    <w:p w14:paraId="717B67B1" w14:textId="77777777" w:rsidR="0038120A" w:rsidRDefault="0038120A" w:rsidP="00EB4B7B">
      <w:pPr>
        <w:spacing w:line="360" w:lineRule="auto"/>
        <w:rPr>
          <w:color w:val="000000" w:themeColor="text1"/>
        </w:rPr>
      </w:pPr>
    </w:p>
    <w:p w14:paraId="745935F6" w14:textId="7C83A345" w:rsidR="00EB4B7B" w:rsidRPr="0038120A" w:rsidRDefault="00EB4B7B" w:rsidP="00EB4B7B">
      <w:pPr>
        <w:spacing w:line="360" w:lineRule="auto"/>
        <w:rPr>
          <w:b/>
          <w:bCs/>
          <w:color w:val="000000" w:themeColor="text1"/>
        </w:rPr>
      </w:pPr>
      <w:r w:rsidRPr="0038120A">
        <w:rPr>
          <w:b/>
          <w:bCs/>
          <w:color w:val="000000" w:themeColor="text1"/>
        </w:rPr>
        <w:t>Table S</w:t>
      </w:r>
      <w:r w:rsidR="00513FD7">
        <w:rPr>
          <w:b/>
          <w:bCs/>
          <w:color w:val="000000" w:themeColor="text1"/>
        </w:rPr>
        <w:t>4</w:t>
      </w:r>
      <w:r w:rsidRPr="0038120A">
        <w:rPr>
          <w:b/>
          <w:bCs/>
          <w:color w:val="000000" w:themeColor="text1"/>
        </w:rPr>
        <w:t xml:space="preserve">. Radiocarbon data for </w:t>
      </w:r>
      <w:r w:rsidR="00D657B1">
        <w:rPr>
          <w:b/>
          <w:bCs/>
          <w:color w:val="000000" w:themeColor="text1"/>
        </w:rPr>
        <w:t>b</w:t>
      </w:r>
      <w:r w:rsidR="00336A57" w:rsidRPr="0038120A">
        <w:rPr>
          <w:b/>
          <w:bCs/>
          <w:color w:val="000000" w:themeColor="text1"/>
        </w:rPr>
        <w:t>urial 23-8</w:t>
      </w:r>
      <w:r w:rsidRPr="0038120A">
        <w:rPr>
          <w:b/>
          <w:bCs/>
          <w:color w:val="000000" w:themeColor="text1"/>
        </w:rPr>
        <w:t>. P</w:t>
      </w:r>
      <w:r w:rsidR="00CB099D">
        <w:rPr>
          <w:b/>
          <w:bCs/>
          <w:color w:val="000000" w:themeColor="text1"/>
        </w:rPr>
        <w:t xml:space="preserve">enn </w:t>
      </w:r>
      <w:r w:rsidRPr="0038120A">
        <w:rPr>
          <w:b/>
          <w:bCs/>
          <w:color w:val="000000" w:themeColor="text1"/>
        </w:rPr>
        <w:t>S</w:t>
      </w:r>
      <w:r w:rsidR="00CB099D">
        <w:rPr>
          <w:b/>
          <w:bCs/>
          <w:color w:val="000000" w:themeColor="text1"/>
        </w:rPr>
        <w:t xml:space="preserve">tate </w:t>
      </w:r>
      <w:r w:rsidRPr="0038120A">
        <w:rPr>
          <w:b/>
          <w:bCs/>
          <w:color w:val="000000" w:themeColor="text1"/>
        </w:rPr>
        <w:t>U</w:t>
      </w:r>
      <w:r w:rsidR="00CB099D">
        <w:rPr>
          <w:b/>
          <w:bCs/>
          <w:color w:val="000000" w:themeColor="text1"/>
        </w:rPr>
        <w:t>niversity</w:t>
      </w:r>
      <w:r w:rsidRPr="0038120A">
        <w:rPr>
          <w:b/>
          <w:bCs/>
          <w:color w:val="000000" w:themeColor="text1"/>
        </w:rPr>
        <w:t xml:space="preserve"> lab # PSUAMS-10865</w:t>
      </w:r>
      <w:r w:rsidR="00D657B1">
        <w:rPr>
          <w:b/>
          <w:bCs/>
          <w:color w:val="000000" w:themeColor="text1"/>
        </w:rPr>
        <w:t>.</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694"/>
        <w:gridCol w:w="1691"/>
        <w:gridCol w:w="1476"/>
        <w:gridCol w:w="1466"/>
        <w:gridCol w:w="1533"/>
        <w:gridCol w:w="1640"/>
      </w:tblGrid>
      <w:tr w:rsidR="000167B2" w:rsidRPr="001C39CD" w14:paraId="56591276" w14:textId="77777777" w:rsidTr="000167B2">
        <w:trPr>
          <w:trHeight w:val="440"/>
        </w:trPr>
        <w:tc>
          <w:tcPr>
            <w:tcW w:w="1042" w:type="dxa"/>
            <w:shd w:val="clear" w:color="auto" w:fill="auto"/>
            <w:vAlign w:val="bottom"/>
            <w:hideMark/>
          </w:tcPr>
          <w:p w14:paraId="1D782384" w14:textId="77777777" w:rsidR="00EB4B7B" w:rsidRPr="001C39CD" w:rsidRDefault="00EB4B7B" w:rsidP="00373FA0">
            <w:pPr>
              <w:rPr>
                <w:b/>
                <w:bCs/>
              </w:rPr>
            </w:pPr>
            <w:r w:rsidRPr="001C39CD">
              <w:rPr>
                <w:b/>
                <w:bCs/>
                <w:vertAlign w:val="superscript"/>
              </w:rPr>
              <w:t>14</w:t>
            </w:r>
            <w:r w:rsidRPr="001C39CD">
              <w:rPr>
                <w:b/>
                <w:bCs/>
              </w:rPr>
              <w:t>C age (BP)</w:t>
            </w:r>
          </w:p>
        </w:tc>
        <w:tc>
          <w:tcPr>
            <w:tcW w:w="694" w:type="dxa"/>
            <w:shd w:val="clear" w:color="auto" w:fill="auto"/>
            <w:vAlign w:val="bottom"/>
            <w:hideMark/>
          </w:tcPr>
          <w:p w14:paraId="24F75041" w14:textId="77777777" w:rsidR="00EB4B7B" w:rsidRPr="001C39CD" w:rsidRDefault="00EB4B7B" w:rsidP="00373FA0">
            <w:pPr>
              <w:rPr>
                <w:b/>
                <w:bCs/>
              </w:rPr>
            </w:pPr>
            <w:r w:rsidRPr="001C39CD">
              <w:rPr>
                <w:b/>
                <w:bCs/>
              </w:rPr>
              <w:t>±</w:t>
            </w:r>
          </w:p>
        </w:tc>
        <w:tc>
          <w:tcPr>
            <w:tcW w:w="1691" w:type="dxa"/>
            <w:shd w:val="clear" w:color="auto" w:fill="auto"/>
            <w:vAlign w:val="bottom"/>
            <w:hideMark/>
          </w:tcPr>
          <w:p w14:paraId="3ECE8429" w14:textId="77777777" w:rsidR="00EB4B7B" w:rsidRPr="001C39CD" w:rsidRDefault="00EB4B7B" w:rsidP="00373FA0">
            <w:pPr>
              <w:rPr>
                <w:b/>
                <w:bCs/>
              </w:rPr>
            </w:pPr>
            <w:r w:rsidRPr="001C39CD">
              <w:rPr>
                <w:b/>
                <w:bCs/>
              </w:rPr>
              <w:t>δ</w:t>
            </w:r>
            <w:r w:rsidRPr="001C39CD">
              <w:rPr>
                <w:b/>
                <w:bCs/>
                <w:vertAlign w:val="superscript"/>
              </w:rPr>
              <w:t>13</w:t>
            </w:r>
            <w:r w:rsidRPr="001C39CD">
              <w:rPr>
                <w:b/>
                <w:bCs/>
              </w:rPr>
              <w:t>C (‰)</w:t>
            </w:r>
          </w:p>
        </w:tc>
        <w:tc>
          <w:tcPr>
            <w:tcW w:w="1469" w:type="dxa"/>
            <w:shd w:val="clear" w:color="auto" w:fill="auto"/>
            <w:vAlign w:val="bottom"/>
            <w:hideMark/>
          </w:tcPr>
          <w:p w14:paraId="13B0FBBA" w14:textId="77777777" w:rsidR="00EB4B7B" w:rsidRPr="001C39CD" w:rsidRDefault="00EB4B7B" w:rsidP="00373FA0">
            <w:pPr>
              <w:rPr>
                <w:b/>
                <w:bCs/>
              </w:rPr>
            </w:pPr>
            <w:r w:rsidRPr="001C39CD">
              <w:rPr>
                <w:b/>
                <w:bCs/>
              </w:rPr>
              <w:t>δ</w:t>
            </w:r>
            <w:r w:rsidRPr="001C39CD">
              <w:rPr>
                <w:b/>
                <w:bCs/>
                <w:vertAlign w:val="superscript"/>
              </w:rPr>
              <w:t>15</w:t>
            </w:r>
            <w:r w:rsidRPr="001C39CD">
              <w:rPr>
                <w:b/>
                <w:bCs/>
              </w:rPr>
              <w:t>N (‰)</w:t>
            </w:r>
          </w:p>
        </w:tc>
        <w:tc>
          <w:tcPr>
            <w:tcW w:w="1466" w:type="dxa"/>
            <w:shd w:val="clear" w:color="auto" w:fill="auto"/>
            <w:vAlign w:val="bottom"/>
            <w:hideMark/>
          </w:tcPr>
          <w:p w14:paraId="07B5D874" w14:textId="77777777" w:rsidR="00EB4B7B" w:rsidRPr="001C39CD" w:rsidRDefault="00EB4B7B" w:rsidP="00373FA0">
            <w:pPr>
              <w:rPr>
                <w:b/>
                <w:bCs/>
              </w:rPr>
            </w:pPr>
            <w:r w:rsidRPr="001C39CD">
              <w:rPr>
                <w:b/>
                <w:bCs/>
              </w:rPr>
              <w:t>%C</w:t>
            </w:r>
          </w:p>
        </w:tc>
        <w:tc>
          <w:tcPr>
            <w:tcW w:w="1533" w:type="dxa"/>
            <w:shd w:val="clear" w:color="auto" w:fill="auto"/>
            <w:vAlign w:val="bottom"/>
            <w:hideMark/>
          </w:tcPr>
          <w:p w14:paraId="663D915C" w14:textId="77777777" w:rsidR="00EB4B7B" w:rsidRPr="001C39CD" w:rsidRDefault="00EB4B7B" w:rsidP="00373FA0">
            <w:pPr>
              <w:rPr>
                <w:b/>
                <w:bCs/>
              </w:rPr>
            </w:pPr>
            <w:r w:rsidRPr="001C39CD">
              <w:rPr>
                <w:b/>
                <w:bCs/>
              </w:rPr>
              <w:t>%N</w:t>
            </w:r>
          </w:p>
        </w:tc>
        <w:tc>
          <w:tcPr>
            <w:tcW w:w="1640" w:type="dxa"/>
            <w:shd w:val="clear" w:color="auto" w:fill="auto"/>
            <w:vAlign w:val="bottom"/>
            <w:hideMark/>
          </w:tcPr>
          <w:p w14:paraId="62FE719A" w14:textId="77777777" w:rsidR="00EB4B7B" w:rsidRPr="001C39CD" w:rsidRDefault="00EB4B7B" w:rsidP="00373FA0">
            <w:pPr>
              <w:rPr>
                <w:b/>
                <w:bCs/>
              </w:rPr>
            </w:pPr>
            <w:r w:rsidRPr="001C39CD">
              <w:rPr>
                <w:b/>
                <w:bCs/>
              </w:rPr>
              <w:t>C:N</w:t>
            </w:r>
          </w:p>
        </w:tc>
      </w:tr>
      <w:tr w:rsidR="000167B2" w:rsidRPr="001C39CD" w14:paraId="6926D3F3" w14:textId="77777777" w:rsidTr="000167B2">
        <w:trPr>
          <w:trHeight w:val="300"/>
        </w:trPr>
        <w:tc>
          <w:tcPr>
            <w:tcW w:w="1042" w:type="dxa"/>
            <w:shd w:val="clear" w:color="auto" w:fill="auto"/>
            <w:noWrap/>
            <w:vAlign w:val="bottom"/>
            <w:hideMark/>
          </w:tcPr>
          <w:p w14:paraId="322619D3" w14:textId="77777777" w:rsidR="00EB4B7B" w:rsidRPr="001C39CD" w:rsidRDefault="00EB4B7B" w:rsidP="00373FA0">
            <w:pPr>
              <w:jc w:val="right"/>
            </w:pPr>
            <w:r w:rsidRPr="001C39CD">
              <w:t>620</w:t>
            </w:r>
          </w:p>
        </w:tc>
        <w:tc>
          <w:tcPr>
            <w:tcW w:w="694" w:type="dxa"/>
            <w:shd w:val="clear" w:color="auto" w:fill="auto"/>
            <w:noWrap/>
            <w:vAlign w:val="bottom"/>
            <w:hideMark/>
          </w:tcPr>
          <w:p w14:paraId="7AB98F23" w14:textId="77777777" w:rsidR="00EB4B7B" w:rsidRPr="001C39CD" w:rsidRDefault="00EB4B7B" w:rsidP="00373FA0">
            <w:pPr>
              <w:jc w:val="right"/>
            </w:pPr>
            <w:r w:rsidRPr="001C39CD">
              <w:t>15</w:t>
            </w:r>
          </w:p>
        </w:tc>
        <w:tc>
          <w:tcPr>
            <w:tcW w:w="1691" w:type="dxa"/>
            <w:shd w:val="clear" w:color="auto" w:fill="auto"/>
            <w:noWrap/>
            <w:vAlign w:val="bottom"/>
            <w:hideMark/>
          </w:tcPr>
          <w:p w14:paraId="3BB5299A" w14:textId="77777777" w:rsidR="00EB4B7B" w:rsidRPr="001C39CD" w:rsidRDefault="00EB4B7B" w:rsidP="00373FA0">
            <w:pPr>
              <w:jc w:val="right"/>
            </w:pPr>
            <w:r w:rsidRPr="001C39CD">
              <w:t>-11.26727104</w:t>
            </w:r>
          </w:p>
        </w:tc>
        <w:tc>
          <w:tcPr>
            <w:tcW w:w="1469" w:type="dxa"/>
            <w:shd w:val="clear" w:color="auto" w:fill="auto"/>
            <w:noWrap/>
            <w:vAlign w:val="bottom"/>
            <w:hideMark/>
          </w:tcPr>
          <w:p w14:paraId="3009C466" w14:textId="77777777" w:rsidR="00EB4B7B" w:rsidRPr="001C39CD" w:rsidRDefault="00EB4B7B" w:rsidP="00373FA0">
            <w:pPr>
              <w:jc w:val="right"/>
            </w:pPr>
            <w:r w:rsidRPr="001C39CD">
              <w:t>10.81560855</w:t>
            </w:r>
          </w:p>
        </w:tc>
        <w:tc>
          <w:tcPr>
            <w:tcW w:w="1466" w:type="dxa"/>
            <w:shd w:val="clear" w:color="auto" w:fill="auto"/>
            <w:noWrap/>
            <w:vAlign w:val="bottom"/>
            <w:hideMark/>
          </w:tcPr>
          <w:p w14:paraId="01C05387" w14:textId="77777777" w:rsidR="00EB4B7B" w:rsidRPr="001C39CD" w:rsidRDefault="00EB4B7B" w:rsidP="00373FA0">
            <w:pPr>
              <w:jc w:val="right"/>
            </w:pPr>
            <w:r w:rsidRPr="001C39CD">
              <w:t>14.7303342</w:t>
            </w:r>
          </w:p>
        </w:tc>
        <w:tc>
          <w:tcPr>
            <w:tcW w:w="1533" w:type="dxa"/>
            <w:shd w:val="clear" w:color="auto" w:fill="auto"/>
            <w:noWrap/>
            <w:vAlign w:val="bottom"/>
            <w:hideMark/>
          </w:tcPr>
          <w:p w14:paraId="4A5106AF" w14:textId="77777777" w:rsidR="00EB4B7B" w:rsidRPr="001C39CD" w:rsidRDefault="00EB4B7B" w:rsidP="00373FA0">
            <w:pPr>
              <w:jc w:val="right"/>
            </w:pPr>
            <w:r w:rsidRPr="001C39CD">
              <w:t>5.350976343</w:t>
            </w:r>
          </w:p>
        </w:tc>
        <w:tc>
          <w:tcPr>
            <w:tcW w:w="1640" w:type="dxa"/>
            <w:shd w:val="clear" w:color="auto" w:fill="auto"/>
            <w:noWrap/>
            <w:vAlign w:val="bottom"/>
            <w:hideMark/>
          </w:tcPr>
          <w:p w14:paraId="217A3A99" w14:textId="77777777" w:rsidR="00EB4B7B" w:rsidRPr="001C39CD" w:rsidRDefault="00EB4B7B" w:rsidP="00373FA0">
            <w:pPr>
              <w:jc w:val="right"/>
            </w:pPr>
            <w:r w:rsidRPr="001C39CD">
              <w:t>3.211636307</w:t>
            </w:r>
          </w:p>
        </w:tc>
      </w:tr>
    </w:tbl>
    <w:p w14:paraId="119DFF5A" w14:textId="77777777" w:rsidR="00EB4B7B" w:rsidRPr="001C39CD" w:rsidRDefault="00EB4B7B" w:rsidP="00EB4B7B">
      <w:pPr>
        <w:spacing w:line="360" w:lineRule="auto"/>
        <w:rPr>
          <w:color w:val="000000" w:themeColor="text1"/>
        </w:rPr>
      </w:pPr>
    </w:p>
    <w:p w14:paraId="2B9DC0B9" w14:textId="62FB8215" w:rsidR="00EB4B7B" w:rsidRPr="001C39CD" w:rsidRDefault="00EB4B7B" w:rsidP="00EB4B7B">
      <w:pPr>
        <w:spacing w:line="360" w:lineRule="auto"/>
        <w:rPr>
          <w:color w:val="000000" w:themeColor="text1"/>
        </w:rPr>
      </w:pPr>
      <w:r w:rsidRPr="001C39CD">
        <w:rPr>
          <w:b/>
          <w:bCs/>
          <w:color w:val="000000" w:themeColor="text1"/>
        </w:rPr>
        <w:t xml:space="preserve">Strontium </w:t>
      </w:r>
      <w:r w:rsidR="00CB099D">
        <w:rPr>
          <w:b/>
          <w:bCs/>
          <w:color w:val="000000" w:themeColor="text1"/>
        </w:rPr>
        <w:t>a</w:t>
      </w:r>
      <w:r w:rsidRPr="001C39CD">
        <w:rPr>
          <w:b/>
          <w:bCs/>
          <w:color w:val="000000" w:themeColor="text1"/>
        </w:rPr>
        <w:t>nalysis</w:t>
      </w:r>
    </w:p>
    <w:p w14:paraId="0C8D42E6" w14:textId="771D1289" w:rsidR="00142056" w:rsidRDefault="00142056" w:rsidP="003D2B36">
      <w:pPr>
        <w:spacing w:line="360" w:lineRule="auto"/>
        <w:rPr>
          <w:lang w:val="en"/>
        </w:rPr>
      </w:pPr>
      <w:r>
        <w:rPr>
          <w:lang w:val="en"/>
        </w:rPr>
        <w:lastRenderedPageBreak/>
        <w:t>Strontium</w:t>
      </w:r>
      <w:r w:rsidRPr="00142056">
        <w:rPr>
          <w:lang w:val="en"/>
        </w:rPr>
        <w:t xml:space="preserve"> analysis was performed </w:t>
      </w:r>
      <w:r w:rsidR="0085203C">
        <w:rPr>
          <w:lang w:val="en"/>
        </w:rPr>
        <w:t>at the Johnson Mass Spectrometry L</w:t>
      </w:r>
      <w:r w:rsidRPr="00142056">
        <w:rPr>
          <w:lang w:val="en"/>
        </w:rPr>
        <w:t>aboratory at New Mexico State University, which has performed strontium ratio analysis for archaeological fauna remains from the same region</w:t>
      </w:r>
      <w:r w:rsidR="0085203C">
        <w:rPr>
          <w:lang w:val="en"/>
        </w:rPr>
        <w:t xml:space="preserve"> </w:t>
      </w:r>
      <w:r w:rsidR="0085203C">
        <w:rPr>
          <w:noProof/>
          <w:lang w:val="en"/>
        </w:rPr>
        <w:t>(e.g. Semanko &amp; Ramos 2022)</w:t>
      </w:r>
      <w:r w:rsidR="0085203C">
        <w:rPr>
          <w:lang w:val="en"/>
        </w:rPr>
        <w:t>.</w:t>
      </w:r>
    </w:p>
    <w:p w14:paraId="374441BC" w14:textId="77777777" w:rsidR="00142056" w:rsidRDefault="00142056" w:rsidP="003D2B36">
      <w:pPr>
        <w:spacing w:line="360" w:lineRule="auto"/>
        <w:rPr>
          <w:lang w:val="en"/>
        </w:rPr>
      </w:pPr>
    </w:p>
    <w:p w14:paraId="552CCA2B" w14:textId="665E3D91" w:rsidR="00FF7E78" w:rsidRDefault="00142056" w:rsidP="003D2B36">
      <w:pPr>
        <w:spacing w:line="360" w:lineRule="auto"/>
        <w:rPr>
          <w:lang w:val="en"/>
        </w:rPr>
      </w:pPr>
      <w:r>
        <w:rPr>
          <w:lang w:val="en"/>
        </w:rPr>
        <w:t>To minimi</w:t>
      </w:r>
      <w:r w:rsidR="000F6500">
        <w:rPr>
          <w:lang w:val="en"/>
        </w:rPr>
        <w:t>s</w:t>
      </w:r>
      <w:r>
        <w:rPr>
          <w:lang w:val="en"/>
        </w:rPr>
        <w:t xml:space="preserve">e </w:t>
      </w:r>
      <w:r w:rsidR="000F6500">
        <w:rPr>
          <w:lang w:val="en"/>
        </w:rPr>
        <w:t xml:space="preserve">the </w:t>
      </w:r>
      <w:r>
        <w:rPr>
          <w:lang w:val="en"/>
        </w:rPr>
        <w:t>impact of destructive sampling</w:t>
      </w:r>
      <w:r w:rsidR="00574A47">
        <w:rPr>
          <w:lang w:val="en"/>
        </w:rPr>
        <w:t xml:space="preserve">, </w:t>
      </w:r>
      <w:r>
        <w:rPr>
          <w:lang w:val="en"/>
        </w:rPr>
        <w:t xml:space="preserve">we used the remaining powder from the cochlea sampled from </w:t>
      </w:r>
      <w:r w:rsidR="000F6500">
        <w:rPr>
          <w:lang w:val="en"/>
        </w:rPr>
        <w:t>b</w:t>
      </w:r>
      <w:r>
        <w:rPr>
          <w:lang w:val="en"/>
        </w:rPr>
        <w:t>urial 23-8 for S</w:t>
      </w:r>
      <w:r w:rsidR="000A581D">
        <w:rPr>
          <w:lang w:val="en"/>
        </w:rPr>
        <w:t>t</w:t>
      </w:r>
      <w:r>
        <w:rPr>
          <w:lang w:val="en"/>
        </w:rPr>
        <w:t>r</w:t>
      </w:r>
      <w:r w:rsidR="000A581D">
        <w:rPr>
          <w:lang w:val="en"/>
        </w:rPr>
        <w:t>ontium (Sr)</w:t>
      </w:r>
      <w:r>
        <w:rPr>
          <w:lang w:val="en"/>
        </w:rPr>
        <w:t xml:space="preserve"> analysis. </w:t>
      </w:r>
      <w:r w:rsidRPr="00142056">
        <w:rPr>
          <w:lang w:val="en"/>
        </w:rPr>
        <w:t xml:space="preserve">While there has been limited research on the lack of turnover of </w:t>
      </w:r>
      <w:r>
        <w:rPr>
          <w:lang w:val="en"/>
        </w:rPr>
        <w:t>Sr</w:t>
      </w:r>
      <w:r w:rsidRPr="00142056">
        <w:rPr>
          <w:lang w:val="en"/>
        </w:rPr>
        <w:t xml:space="preserve"> in cochlea bone, what has been done </w:t>
      </w:r>
      <w:r w:rsidR="00E2068E" w:rsidRPr="00E2068E">
        <w:t xml:space="preserve">(Harvig </w:t>
      </w:r>
      <w:r w:rsidR="00021B07" w:rsidRPr="00021B07">
        <w:rPr>
          <w:i/>
          <w:iCs/>
        </w:rPr>
        <w:t>et al</w:t>
      </w:r>
      <w:r w:rsidR="00E2068E" w:rsidRPr="00E2068E">
        <w:rPr>
          <w:i/>
          <w:iCs/>
        </w:rPr>
        <w:t>.</w:t>
      </w:r>
      <w:r w:rsidR="00E2068E" w:rsidRPr="00E2068E">
        <w:t xml:space="preserve"> 2014; Cavazzuti </w:t>
      </w:r>
      <w:r w:rsidR="00021B07" w:rsidRPr="00021B07">
        <w:rPr>
          <w:i/>
          <w:iCs/>
        </w:rPr>
        <w:t>et al</w:t>
      </w:r>
      <w:r w:rsidR="00E2068E" w:rsidRPr="00E2068E">
        <w:rPr>
          <w:i/>
          <w:iCs/>
        </w:rPr>
        <w:t>.</w:t>
      </w:r>
      <w:r w:rsidR="00E2068E" w:rsidRPr="00E2068E">
        <w:t xml:space="preserve"> 2019; Kootker &amp; Laffoon 2022)</w:t>
      </w:r>
      <w:r w:rsidRPr="00142056">
        <w:rPr>
          <w:lang w:val="en"/>
        </w:rPr>
        <w:t xml:space="preserve"> showed that it does represent childhood strontium ratios, presumably for the same reason that cochlea bone is so good at preserving aDNA </w:t>
      </w:r>
      <w:r w:rsidR="0093420F" w:rsidRPr="0093420F">
        <w:t xml:space="preserve">(Pinhasi </w:t>
      </w:r>
      <w:r w:rsidR="00021B07" w:rsidRPr="00021B07">
        <w:rPr>
          <w:i/>
          <w:iCs/>
        </w:rPr>
        <w:t>et al</w:t>
      </w:r>
      <w:r w:rsidR="0093420F" w:rsidRPr="0093420F">
        <w:rPr>
          <w:i/>
          <w:iCs/>
        </w:rPr>
        <w:t>.</w:t>
      </w:r>
      <w:r w:rsidR="0093420F" w:rsidRPr="0093420F">
        <w:t xml:space="preserve"> 2015)</w:t>
      </w:r>
      <w:r w:rsidRPr="00142056">
        <w:rPr>
          <w:lang w:val="en"/>
        </w:rPr>
        <w:t xml:space="preserve">. In any case, the young age of the individual means that there would have been insufficient time for the </w:t>
      </w:r>
      <w:r w:rsidR="0093420F">
        <w:rPr>
          <w:lang w:val="en"/>
        </w:rPr>
        <w:t xml:space="preserve">Sr </w:t>
      </w:r>
      <w:r w:rsidRPr="00142056">
        <w:rPr>
          <w:lang w:val="en"/>
        </w:rPr>
        <w:t xml:space="preserve">ratio to have been changed from a birth location other than </w:t>
      </w:r>
      <w:r w:rsidR="0093420F" w:rsidRPr="00142056">
        <w:rPr>
          <w:lang w:val="en"/>
        </w:rPr>
        <w:t>Paquimé</w:t>
      </w:r>
      <w:r w:rsidRPr="00142056">
        <w:rPr>
          <w:lang w:val="en"/>
        </w:rPr>
        <w:t xml:space="preserve"> to the value for Paquim</w:t>
      </w:r>
      <w:r w:rsidR="0093420F">
        <w:rPr>
          <w:lang w:val="en"/>
        </w:rPr>
        <w:t>é</w:t>
      </w:r>
      <w:r w:rsidRPr="00142056">
        <w:rPr>
          <w:lang w:val="en"/>
        </w:rPr>
        <w:t xml:space="preserve">, especially since the strontium </w:t>
      </w:r>
      <w:r w:rsidR="00CB6E2A">
        <w:rPr>
          <w:lang w:val="en"/>
        </w:rPr>
        <w:t>ratio</w:t>
      </w:r>
      <w:r w:rsidRPr="00142056">
        <w:rPr>
          <w:lang w:val="en"/>
        </w:rPr>
        <w:t xml:space="preserve"> was at the cent</w:t>
      </w:r>
      <w:r w:rsidR="00220951">
        <w:rPr>
          <w:lang w:val="en"/>
        </w:rPr>
        <w:t>re</w:t>
      </w:r>
      <w:r w:rsidRPr="00142056">
        <w:rPr>
          <w:lang w:val="en"/>
        </w:rPr>
        <w:t xml:space="preserve"> of the Paquim</w:t>
      </w:r>
      <w:r w:rsidR="0093420F">
        <w:rPr>
          <w:lang w:val="en"/>
        </w:rPr>
        <w:t>é</w:t>
      </w:r>
      <w:r w:rsidRPr="00142056">
        <w:rPr>
          <w:lang w:val="en"/>
        </w:rPr>
        <w:t xml:space="preserve"> range. Moreover, a large sample of fauna bone strontium </w:t>
      </w:r>
      <w:r w:rsidR="00CB6E2A">
        <w:rPr>
          <w:lang w:val="en"/>
        </w:rPr>
        <w:t>ratios</w:t>
      </w:r>
      <w:r w:rsidRPr="00142056">
        <w:rPr>
          <w:lang w:val="en"/>
        </w:rPr>
        <w:t xml:space="preserve"> from the site from the same study as the human tooth </w:t>
      </w:r>
      <w:r w:rsidR="00CB6E2A">
        <w:rPr>
          <w:lang w:val="en"/>
        </w:rPr>
        <w:t>ratios</w:t>
      </w:r>
      <w:r w:rsidRPr="00142056">
        <w:rPr>
          <w:lang w:val="en"/>
        </w:rPr>
        <w:t xml:space="preserve"> bracket the local human </w:t>
      </w:r>
      <w:r w:rsidR="00CB6E2A">
        <w:rPr>
          <w:lang w:val="en"/>
        </w:rPr>
        <w:t xml:space="preserve">ratios </w:t>
      </w:r>
      <w:r w:rsidR="003408E9">
        <w:rPr>
          <w:lang w:val="en"/>
        </w:rPr>
        <w:t>(Offenbecker 2018)</w:t>
      </w:r>
      <w:r w:rsidRPr="00142056">
        <w:rPr>
          <w:lang w:val="en"/>
        </w:rPr>
        <w:t xml:space="preserve">. This makes it clear that bone </w:t>
      </w:r>
      <w:r w:rsidR="00CB6E2A">
        <w:rPr>
          <w:lang w:val="en"/>
        </w:rPr>
        <w:t>ratio</w:t>
      </w:r>
      <w:r w:rsidRPr="00142056">
        <w:rPr>
          <w:lang w:val="en"/>
        </w:rPr>
        <w:t>s are not subject to meaningful diagenesis in this local</w:t>
      </w:r>
      <w:r w:rsidR="00CB6E2A">
        <w:rPr>
          <w:lang w:val="en"/>
        </w:rPr>
        <w:t>ity</w:t>
      </w:r>
      <w:r w:rsidRPr="00142056">
        <w:rPr>
          <w:lang w:val="en"/>
        </w:rPr>
        <w:t xml:space="preserve"> and time frame. </w:t>
      </w:r>
      <w:r w:rsidR="0093420F">
        <w:rPr>
          <w:lang w:val="en"/>
        </w:rPr>
        <w:t>Thus,</w:t>
      </w:r>
      <w:r w:rsidRPr="00142056">
        <w:rPr>
          <w:lang w:val="en"/>
        </w:rPr>
        <w:t xml:space="preserve"> while the child’s strontium </w:t>
      </w:r>
      <w:r w:rsidR="00CB6E2A">
        <w:rPr>
          <w:lang w:val="en"/>
        </w:rPr>
        <w:t>ratio</w:t>
      </w:r>
      <w:r w:rsidRPr="00142056">
        <w:rPr>
          <w:lang w:val="en"/>
        </w:rPr>
        <w:t xml:space="preserve"> comes from bone and not tooth enamel</w:t>
      </w:r>
      <w:r w:rsidR="00CB6E2A">
        <w:rPr>
          <w:lang w:val="en"/>
        </w:rPr>
        <w:t>,</w:t>
      </w:r>
      <w:r w:rsidRPr="00142056">
        <w:rPr>
          <w:lang w:val="en"/>
        </w:rPr>
        <w:t xml:space="preserve"> like the other human samples, they are clearly</w:t>
      </w:r>
      <w:r w:rsidR="0044680F">
        <w:rPr>
          <w:lang w:val="en"/>
        </w:rPr>
        <w:t xml:space="preserve"> </w:t>
      </w:r>
      <w:r w:rsidR="00DE56D1" w:rsidRPr="00142056">
        <w:rPr>
          <w:lang w:val="en"/>
        </w:rPr>
        <w:t>comparable,</w:t>
      </w:r>
      <w:r w:rsidRPr="00142056">
        <w:rPr>
          <w:lang w:val="en"/>
        </w:rPr>
        <w:t xml:space="preserve"> and the child was both born and lived </w:t>
      </w:r>
      <w:r w:rsidR="00DE56D1">
        <w:rPr>
          <w:lang w:val="en"/>
        </w:rPr>
        <w:t>his</w:t>
      </w:r>
      <w:r w:rsidRPr="00142056">
        <w:rPr>
          <w:lang w:val="en"/>
        </w:rPr>
        <w:t xml:space="preserve"> short life at Paquim</w:t>
      </w:r>
      <w:r w:rsidR="0093420F">
        <w:rPr>
          <w:lang w:val="en"/>
        </w:rPr>
        <w:t>é</w:t>
      </w:r>
      <w:r w:rsidRPr="00142056">
        <w:rPr>
          <w:lang w:val="en"/>
        </w:rPr>
        <w:t>.</w:t>
      </w:r>
    </w:p>
    <w:p w14:paraId="3864D7AB" w14:textId="77777777" w:rsidR="0093420F" w:rsidRPr="001C39CD" w:rsidRDefault="0093420F" w:rsidP="003D2B36">
      <w:pPr>
        <w:spacing w:line="360" w:lineRule="auto"/>
        <w:rPr>
          <w:lang w:val="en"/>
        </w:rPr>
      </w:pPr>
    </w:p>
    <w:p w14:paraId="18F16502" w14:textId="13AAC81D" w:rsidR="00DE56D1" w:rsidRPr="00DE56D1" w:rsidRDefault="0085203C" w:rsidP="00DE56D1">
      <w:pPr>
        <w:spacing w:line="360" w:lineRule="auto"/>
        <w:rPr>
          <w:lang w:val="en"/>
        </w:rPr>
      </w:pPr>
      <w:r>
        <w:rPr>
          <w:lang w:val="en"/>
        </w:rPr>
        <w:t>Once in the Johnson laboratory the powder was cleaned</w:t>
      </w:r>
      <w:r w:rsidR="00F13F3D">
        <w:rPr>
          <w:lang w:val="en"/>
        </w:rPr>
        <w:t>;</w:t>
      </w:r>
      <w:r>
        <w:rPr>
          <w:lang w:val="en"/>
        </w:rPr>
        <w:t xml:space="preserve"> </w:t>
      </w:r>
      <w:r w:rsidR="00DE56D1" w:rsidRPr="00DE56D1">
        <w:t>50</w:t>
      </w:r>
      <w:r w:rsidR="0067349E">
        <w:t>mg</w:t>
      </w:r>
      <w:r w:rsidR="00DE56D1" w:rsidRPr="00DE56D1">
        <w:t xml:space="preserve"> of pre-powdered bone mass was dissolved using doubly distilled, 6N hydrochloric acid (HCl). The powder was placed in a 15ml Teflon container with approximately 5ml of</w:t>
      </w:r>
      <w:r w:rsidR="00AB36B3">
        <w:t xml:space="preserve"> doubly distilled</w:t>
      </w:r>
      <w:r w:rsidR="00DE56D1" w:rsidRPr="00DE56D1">
        <w:t xml:space="preserve"> 6N HCl. The sample was placed on a hotplate at ~180°C overnight.</w:t>
      </w:r>
      <w:r w:rsidR="00021B07">
        <w:t xml:space="preserve"> </w:t>
      </w:r>
    </w:p>
    <w:p w14:paraId="7FBCCDE5" w14:textId="77777777" w:rsidR="00DE56D1" w:rsidRPr="00DE56D1" w:rsidRDefault="00DE56D1" w:rsidP="00DE56D1">
      <w:pPr>
        <w:spacing w:line="360" w:lineRule="auto"/>
      </w:pPr>
    </w:p>
    <w:p w14:paraId="24F37EE7" w14:textId="5ADA3C60" w:rsidR="00DE56D1" w:rsidRPr="00DE56D1" w:rsidRDefault="00DE56D1" w:rsidP="00DE56D1">
      <w:pPr>
        <w:spacing w:line="360" w:lineRule="auto"/>
      </w:pPr>
      <w:r w:rsidRPr="00DE56D1">
        <w:t>After digestion, the sample was dried, redissolved in 1.0ml of 2.5N HCl, and centrifuged.</w:t>
      </w:r>
      <w:r w:rsidR="00021B07">
        <w:t xml:space="preserve"> </w:t>
      </w:r>
      <w:r w:rsidRPr="00DE56D1">
        <w:t xml:space="preserve">Approximately 0.5ml was loaded onto 22ml </w:t>
      </w:r>
      <w:proofErr w:type="spellStart"/>
      <w:r w:rsidRPr="00DE56D1">
        <w:t>pyrex</w:t>
      </w:r>
      <w:proofErr w:type="spellEnd"/>
      <w:r w:rsidRPr="00DE56D1">
        <w:t xml:space="preserve"> columns containing approximately 2ml of 200</w:t>
      </w:r>
      <w:r w:rsidR="00F9291F">
        <w:t>–</w:t>
      </w:r>
      <w:r w:rsidRPr="00DE56D1">
        <w:t>400 mesh cation exchange resin.</w:t>
      </w:r>
      <w:r w:rsidR="00021B07">
        <w:t xml:space="preserve"> </w:t>
      </w:r>
      <w:r w:rsidRPr="00DE56D1">
        <w:t xml:space="preserve">Doubly distilled and calibrated 2.5N HCl was used to obtain </w:t>
      </w:r>
      <w:r w:rsidR="00AB36B3">
        <w:t>pure</w:t>
      </w:r>
      <w:r w:rsidRPr="00DE56D1">
        <w:t xml:space="preserve"> Sr following the procedures of Ramos</w:t>
      </w:r>
      <w:r>
        <w:t xml:space="preserve"> </w:t>
      </w:r>
      <w:r>
        <w:rPr>
          <w:noProof/>
        </w:rPr>
        <w:t>(1992)</w:t>
      </w:r>
      <w:r w:rsidRPr="00DE56D1">
        <w:t>.</w:t>
      </w:r>
      <w:r w:rsidR="00021B07">
        <w:t xml:space="preserve"> </w:t>
      </w:r>
      <w:r w:rsidRPr="00DE56D1">
        <w:t xml:space="preserve">Purified Sr solutions were then dried in preparation for loading and analyses using thermal </w:t>
      </w:r>
      <w:proofErr w:type="spellStart"/>
      <w:r w:rsidRPr="00DE56D1">
        <w:t>ioni</w:t>
      </w:r>
      <w:r w:rsidR="0067349E">
        <w:t>s</w:t>
      </w:r>
      <w:r w:rsidRPr="00DE56D1">
        <w:t>ation</w:t>
      </w:r>
      <w:proofErr w:type="spellEnd"/>
      <w:r w:rsidRPr="00DE56D1">
        <w:t xml:space="preserve"> mass spectrometry (TIMS).</w:t>
      </w:r>
    </w:p>
    <w:p w14:paraId="2C582F26" w14:textId="77777777" w:rsidR="00DE56D1" w:rsidRPr="00DE56D1" w:rsidRDefault="00DE56D1" w:rsidP="00DE56D1">
      <w:pPr>
        <w:spacing w:line="360" w:lineRule="auto"/>
      </w:pPr>
    </w:p>
    <w:p w14:paraId="4A4C31AA" w14:textId="3B00F375" w:rsidR="00A8465E" w:rsidRDefault="00DE56D1" w:rsidP="00F17A0A">
      <w:pPr>
        <w:spacing w:line="360" w:lineRule="auto"/>
      </w:pPr>
      <w:r w:rsidRPr="00DE56D1">
        <w:t>Sr was loaded onto pre-outgassed and clean rhenium filaments with phosphoric acid and tantalum oxide.</w:t>
      </w:r>
      <w:r w:rsidR="00021B07">
        <w:t xml:space="preserve"> </w:t>
      </w:r>
      <w:r w:rsidRPr="00DE56D1">
        <w:t xml:space="preserve">Sr isotopes were </w:t>
      </w:r>
      <w:proofErr w:type="spellStart"/>
      <w:r w:rsidRPr="00DE56D1">
        <w:t>analy</w:t>
      </w:r>
      <w:r w:rsidR="00D33B17">
        <w:t>s</w:t>
      </w:r>
      <w:r w:rsidRPr="00DE56D1">
        <w:t>ed</w:t>
      </w:r>
      <w:proofErr w:type="spellEnd"/>
      <w:r w:rsidRPr="00DE56D1">
        <w:t xml:space="preserve"> using a VG Sector 54 thermal </w:t>
      </w:r>
      <w:proofErr w:type="spellStart"/>
      <w:r w:rsidRPr="00DE56D1">
        <w:t>ioni</w:t>
      </w:r>
      <w:r w:rsidR="0067349E">
        <w:t>s</w:t>
      </w:r>
      <w:r w:rsidRPr="00DE56D1">
        <w:t>ation</w:t>
      </w:r>
      <w:proofErr w:type="spellEnd"/>
      <w:r w:rsidRPr="00DE56D1">
        <w:t xml:space="preserve"> mass </w:t>
      </w:r>
      <w:r w:rsidRPr="00DE56D1">
        <w:lastRenderedPageBreak/>
        <w:t xml:space="preserve">spectrometer and five Faraday collectors in dynamic mode with </w:t>
      </w:r>
      <w:r w:rsidRPr="00DE56D1">
        <w:rPr>
          <w:vertAlign w:val="superscript"/>
        </w:rPr>
        <w:t>88</w:t>
      </w:r>
      <w:r w:rsidRPr="00DE56D1">
        <w:t>Sr=3.0V.</w:t>
      </w:r>
      <w:r w:rsidR="00021B07">
        <w:t xml:space="preserve"> </w:t>
      </w:r>
      <w:r w:rsidRPr="00DE56D1">
        <w:t xml:space="preserve">Sr isotopes were </w:t>
      </w:r>
      <w:proofErr w:type="spellStart"/>
      <w:r w:rsidRPr="00DE56D1">
        <w:t>normali</w:t>
      </w:r>
      <w:r w:rsidR="00413777">
        <w:t>s</w:t>
      </w:r>
      <w:r w:rsidRPr="00DE56D1">
        <w:t>ed</w:t>
      </w:r>
      <w:proofErr w:type="spellEnd"/>
      <w:r w:rsidRPr="00DE56D1">
        <w:t xml:space="preserve"> to </w:t>
      </w:r>
      <w:r w:rsidRPr="00DE56D1">
        <w:rPr>
          <w:vertAlign w:val="superscript"/>
        </w:rPr>
        <w:t>86</w:t>
      </w:r>
      <w:r w:rsidRPr="00DE56D1">
        <w:t>Sr/</w:t>
      </w:r>
      <w:r w:rsidRPr="00DE56D1">
        <w:rPr>
          <w:vertAlign w:val="superscript"/>
        </w:rPr>
        <w:t>88</w:t>
      </w:r>
      <w:r w:rsidRPr="00DE56D1">
        <w:t xml:space="preserve">Sr=01194 and corrected for any </w:t>
      </w:r>
      <w:r w:rsidR="00413777">
        <w:t>rubidium</w:t>
      </w:r>
      <w:r w:rsidRPr="00DE56D1">
        <w:t xml:space="preserve"> present during the analysis. NBS987 Sr carbonate </w:t>
      </w:r>
      <w:r w:rsidR="00AF47C9">
        <w:t xml:space="preserve">was </w:t>
      </w:r>
      <w:r w:rsidR="00AF47C9" w:rsidRPr="00AF47C9">
        <w:t>0.710275 ± 0.000010</w:t>
      </w:r>
      <w:r w:rsidRPr="00DE56D1">
        <w:t>.</w:t>
      </w:r>
      <w:r w:rsidR="00A8465E">
        <w:br w:type="page"/>
      </w:r>
    </w:p>
    <w:p w14:paraId="2280E6A2" w14:textId="77777777" w:rsidR="00FD2EB7" w:rsidRPr="00EE5952" w:rsidRDefault="00FD2EB7" w:rsidP="00FD2EB7">
      <w:pPr>
        <w:spacing w:line="360" w:lineRule="auto"/>
        <w:rPr>
          <w:b/>
          <w:bCs/>
        </w:rPr>
      </w:pPr>
      <w:r w:rsidRPr="00EE5952">
        <w:rPr>
          <w:b/>
          <w:bCs/>
        </w:rPr>
        <w:lastRenderedPageBreak/>
        <w:t>References</w:t>
      </w:r>
    </w:p>
    <w:p w14:paraId="12187C94" w14:textId="77777777" w:rsidR="00CF61B0" w:rsidRPr="0002608B" w:rsidRDefault="00CF61B0" w:rsidP="00CF61B0">
      <w:pPr>
        <w:pStyle w:val="Bibliography"/>
        <w:spacing w:line="360" w:lineRule="auto"/>
        <w:ind w:left="0" w:firstLine="0"/>
      </w:pPr>
      <w:r w:rsidRPr="0002608B">
        <w:rPr>
          <w:smallCaps/>
        </w:rPr>
        <w:t>Alexander</w:t>
      </w:r>
      <w:r w:rsidRPr="0002608B">
        <w:t xml:space="preserve">, D.H., J. </w:t>
      </w:r>
      <w:r w:rsidRPr="0002608B">
        <w:rPr>
          <w:smallCaps/>
        </w:rPr>
        <w:t>Novembre</w:t>
      </w:r>
      <w:r w:rsidRPr="0002608B">
        <w:t xml:space="preserve"> &amp; K. </w:t>
      </w:r>
      <w:r w:rsidRPr="0002608B">
        <w:rPr>
          <w:smallCaps/>
        </w:rPr>
        <w:t>Lange</w:t>
      </w:r>
      <w:r w:rsidRPr="0002608B">
        <w:t xml:space="preserve">. 2009. Fast model-based estimation of ancestry in unrelated individuals. </w:t>
      </w:r>
      <w:r w:rsidRPr="0002608B">
        <w:rPr>
          <w:i/>
          <w:iCs/>
        </w:rPr>
        <w:t>Genome Research</w:t>
      </w:r>
      <w:r w:rsidRPr="0002608B">
        <w:t xml:space="preserve"> 19: 1655–64. https://doi.org/10.1101/gr.094052.109</w:t>
      </w:r>
    </w:p>
    <w:p w14:paraId="506FFDF3" w14:textId="77777777" w:rsidR="00CF61B0" w:rsidRPr="0002608B" w:rsidRDefault="00CF61B0" w:rsidP="00CF61B0">
      <w:pPr>
        <w:pStyle w:val="Bibliography"/>
        <w:spacing w:line="360" w:lineRule="auto"/>
        <w:ind w:left="0" w:firstLine="0"/>
      </w:pPr>
      <w:r w:rsidRPr="0002608B">
        <w:rPr>
          <w:smallCaps/>
        </w:rPr>
        <w:t>Barbieri</w:t>
      </w:r>
      <w:r w:rsidRPr="0002608B">
        <w:t xml:space="preserve">, C. </w:t>
      </w:r>
      <w:r w:rsidRPr="0002608B">
        <w:rPr>
          <w:i/>
          <w:iCs/>
        </w:rPr>
        <w:t>et al</w:t>
      </w:r>
      <w:r w:rsidRPr="0002608B">
        <w:t xml:space="preserve">. 2019. The current genomic landscape of western South America: Andes, Amazonia, and Pacific Coast. </w:t>
      </w:r>
      <w:r w:rsidRPr="0002608B">
        <w:rPr>
          <w:i/>
          <w:iCs/>
        </w:rPr>
        <w:t>Molecular Biology and Evolution</w:t>
      </w:r>
      <w:r w:rsidRPr="0002608B">
        <w:t xml:space="preserve"> 36: 2698–713. https://doi.org/10.1093/molbev/msz174</w:t>
      </w:r>
    </w:p>
    <w:p w14:paraId="736E385A" w14:textId="77777777" w:rsidR="00CF61B0" w:rsidRPr="0002608B" w:rsidRDefault="00CF61B0" w:rsidP="00CF61B0">
      <w:pPr>
        <w:pStyle w:val="Bibliography"/>
        <w:spacing w:line="360" w:lineRule="auto"/>
        <w:ind w:left="0" w:firstLine="0"/>
      </w:pPr>
      <w:r w:rsidRPr="00513FD7">
        <w:rPr>
          <w:smallCaps/>
          <w:lang w:val="en-GB"/>
        </w:rPr>
        <w:t>Behar</w:t>
      </w:r>
      <w:r w:rsidRPr="00513FD7">
        <w:rPr>
          <w:lang w:val="en-GB"/>
        </w:rPr>
        <w:t xml:space="preserve">, D.M. </w:t>
      </w:r>
      <w:r w:rsidRPr="00513FD7">
        <w:rPr>
          <w:i/>
          <w:iCs/>
          <w:lang w:val="en-GB"/>
        </w:rPr>
        <w:t xml:space="preserve">et al. </w:t>
      </w:r>
      <w:r w:rsidRPr="00513FD7">
        <w:rPr>
          <w:lang w:val="en-GB"/>
        </w:rPr>
        <w:t xml:space="preserve">2012. </w:t>
      </w:r>
      <w:r w:rsidRPr="0002608B">
        <w:t xml:space="preserve">A “Copernican” reassessment of the human mitochondrial DNA tree from its root. </w:t>
      </w:r>
      <w:r w:rsidRPr="0002608B">
        <w:rPr>
          <w:i/>
          <w:iCs/>
        </w:rPr>
        <w:t>The American Journal of Human Genetics</w:t>
      </w:r>
      <w:r w:rsidRPr="0002608B">
        <w:t xml:space="preserve"> 90: 675–84. https://doi.org/10.1016/j.ajhg.2012.03.002</w:t>
      </w:r>
    </w:p>
    <w:p w14:paraId="6674D62B" w14:textId="77777777" w:rsidR="00CF61B0" w:rsidRPr="0002608B" w:rsidRDefault="00CF61B0" w:rsidP="00CF61B0">
      <w:pPr>
        <w:pStyle w:val="Bibliography"/>
        <w:spacing w:line="360" w:lineRule="auto"/>
        <w:ind w:left="0" w:firstLine="0"/>
      </w:pPr>
      <w:proofErr w:type="spellStart"/>
      <w:r w:rsidRPr="0002608B">
        <w:rPr>
          <w:smallCaps/>
        </w:rPr>
        <w:t>Bergström</w:t>
      </w:r>
      <w:proofErr w:type="spellEnd"/>
      <w:r w:rsidRPr="0002608B">
        <w:t xml:space="preserve">, A. </w:t>
      </w:r>
      <w:r w:rsidRPr="0002608B">
        <w:rPr>
          <w:i/>
          <w:iCs/>
        </w:rPr>
        <w:t>et al</w:t>
      </w:r>
      <w:r w:rsidRPr="0002608B">
        <w:t xml:space="preserve">. 2020. Insights into human genetic variation and population history from 929 diverse genomes. </w:t>
      </w:r>
      <w:r w:rsidRPr="0002608B">
        <w:rPr>
          <w:i/>
          <w:iCs/>
        </w:rPr>
        <w:t>Science</w:t>
      </w:r>
      <w:r w:rsidRPr="0002608B">
        <w:t xml:space="preserve"> 367. https://doi.org/10.1126/science.aay5012</w:t>
      </w:r>
    </w:p>
    <w:p w14:paraId="2B492B08" w14:textId="77777777" w:rsidR="00CF61B0" w:rsidRPr="0002608B" w:rsidRDefault="00CF61B0" w:rsidP="00CF61B0">
      <w:pPr>
        <w:pStyle w:val="Bibliography"/>
        <w:spacing w:line="360" w:lineRule="auto"/>
        <w:ind w:left="0" w:firstLine="0"/>
      </w:pPr>
      <w:proofErr w:type="spellStart"/>
      <w:r w:rsidRPr="0002608B">
        <w:rPr>
          <w:smallCaps/>
        </w:rPr>
        <w:t>Bongers</w:t>
      </w:r>
      <w:proofErr w:type="spellEnd"/>
      <w:r w:rsidRPr="0002608B">
        <w:t xml:space="preserve">, J.L., N. </w:t>
      </w:r>
      <w:r w:rsidRPr="0002608B">
        <w:rPr>
          <w:smallCaps/>
        </w:rPr>
        <w:t>Nakatsuka</w:t>
      </w:r>
      <w:r w:rsidRPr="0002608B">
        <w:t xml:space="preserve">, C. </w:t>
      </w:r>
      <w:r w:rsidRPr="0002608B">
        <w:rPr>
          <w:smallCaps/>
        </w:rPr>
        <w:t>O’Shea</w:t>
      </w:r>
      <w:r w:rsidRPr="0002608B">
        <w:t xml:space="preserve">, T.K. </w:t>
      </w:r>
      <w:r w:rsidRPr="0002608B">
        <w:rPr>
          <w:smallCaps/>
        </w:rPr>
        <w:t>Harper</w:t>
      </w:r>
      <w:r w:rsidRPr="0002608B">
        <w:t xml:space="preserve">, H. </w:t>
      </w:r>
      <w:proofErr w:type="spellStart"/>
      <w:r w:rsidRPr="0002608B">
        <w:rPr>
          <w:smallCaps/>
        </w:rPr>
        <w:t>Tantaleán</w:t>
      </w:r>
      <w:proofErr w:type="spellEnd"/>
      <w:r w:rsidRPr="0002608B">
        <w:t xml:space="preserve">, C. </w:t>
      </w:r>
      <w:proofErr w:type="spellStart"/>
      <w:r w:rsidRPr="0002608B">
        <w:rPr>
          <w:smallCaps/>
        </w:rPr>
        <w:t>Stanish</w:t>
      </w:r>
      <w:proofErr w:type="spellEnd"/>
      <w:r w:rsidRPr="0002608B">
        <w:t xml:space="preserve"> &amp; L. </w:t>
      </w:r>
      <w:proofErr w:type="spellStart"/>
      <w:r w:rsidRPr="0002608B">
        <w:rPr>
          <w:smallCaps/>
        </w:rPr>
        <w:t>Fehren</w:t>
      </w:r>
      <w:proofErr w:type="spellEnd"/>
      <w:r w:rsidRPr="0002608B">
        <w:rPr>
          <w:smallCaps/>
        </w:rPr>
        <w:t>-Schmitz</w:t>
      </w:r>
      <w:r w:rsidRPr="0002608B">
        <w:t xml:space="preserve">. 2020. Integration of ancient DNA with transdisciplinary dataset finds strong support for Inca resettlement in the south Peruvian coast. </w:t>
      </w:r>
      <w:r w:rsidRPr="0002608B">
        <w:rPr>
          <w:i/>
          <w:iCs/>
        </w:rPr>
        <w:t>Proceedings of the National Academy of Sciences</w:t>
      </w:r>
      <w:r w:rsidRPr="0002608B">
        <w:t xml:space="preserve"> 117: 18359–68. https://doi.org/10.1073/pnas.2005965117</w:t>
      </w:r>
    </w:p>
    <w:p w14:paraId="31048B9A" w14:textId="77777777" w:rsidR="00CF61B0" w:rsidRPr="0002608B" w:rsidRDefault="00CF61B0" w:rsidP="00CF61B0">
      <w:pPr>
        <w:pStyle w:val="Bibliography"/>
        <w:spacing w:line="360" w:lineRule="auto"/>
        <w:ind w:left="0" w:firstLine="0"/>
      </w:pPr>
      <w:r w:rsidRPr="0002608B">
        <w:rPr>
          <w:smallCaps/>
        </w:rPr>
        <w:t>Bronk Ramsey</w:t>
      </w:r>
      <w:r w:rsidRPr="0002608B">
        <w:t>, C. 2021. OxCal 4.4.4. Available at: https://c14.arch.ox.ac.uk/oxcalhelp/hlp_contents.html</w:t>
      </w:r>
    </w:p>
    <w:p w14:paraId="166C678B" w14:textId="77777777" w:rsidR="00CF61B0" w:rsidRPr="0002608B" w:rsidRDefault="00CF61B0" w:rsidP="00CF61B0">
      <w:pPr>
        <w:pStyle w:val="Bibliography"/>
        <w:spacing w:line="360" w:lineRule="auto"/>
        <w:ind w:left="0" w:firstLine="0"/>
        <w:rPr>
          <w:lang w:val="fr-FR"/>
        </w:rPr>
      </w:pPr>
      <w:proofErr w:type="spellStart"/>
      <w:r w:rsidRPr="0002608B">
        <w:rPr>
          <w:smallCaps/>
          <w:lang w:val="es-ES"/>
        </w:rPr>
        <w:t>Capodiferro</w:t>
      </w:r>
      <w:proofErr w:type="spellEnd"/>
      <w:r w:rsidRPr="0002608B">
        <w:rPr>
          <w:lang w:val="es-ES"/>
        </w:rPr>
        <w:t xml:space="preserve">, M.R. </w:t>
      </w:r>
      <w:r w:rsidRPr="0002608B">
        <w:rPr>
          <w:i/>
          <w:iCs/>
          <w:lang w:val="es-ES"/>
        </w:rPr>
        <w:t>et al</w:t>
      </w:r>
      <w:r w:rsidRPr="0002608B">
        <w:rPr>
          <w:lang w:val="es-ES"/>
        </w:rPr>
        <w:t xml:space="preserve">. 2021. </w:t>
      </w:r>
      <w:proofErr w:type="spellStart"/>
      <w:r w:rsidRPr="0002608B">
        <w:t>Archaeogenomic</w:t>
      </w:r>
      <w:proofErr w:type="spellEnd"/>
      <w:r w:rsidRPr="0002608B">
        <w:t xml:space="preserve"> distinctiveness of the </w:t>
      </w:r>
      <w:proofErr w:type="spellStart"/>
      <w:r w:rsidRPr="0002608B">
        <w:t>Isthmo</w:t>
      </w:r>
      <w:proofErr w:type="spellEnd"/>
      <w:r w:rsidRPr="0002608B">
        <w:t xml:space="preserve">-Colombian area. </w:t>
      </w:r>
      <w:proofErr w:type="spellStart"/>
      <w:r w:rsidRPr="0002608B">
        <w:rPr>
          <w:i/>
          <w:iCs/>
          <w:lang w:val="fr-FR"/>
        </w:rPr>
        <w:t>Cell</w:t>
      </w:r>
      <w:proofErr w:type="spellEnd"/>
      <w:r w:rsidRPr="0002608B">
        <w:rPr>
          <w:lang w:val="fr-FR"/>
        </w:rPr>
        <w:t xml:space="preserve"> 184: 1706–23. https://doi.org/10.1016/j.cell.2021.02.040</w:t>
      </w:r>
    </w:p>
    <w:p w14:paraId="57CCF5BE" w14:textId="77777777" w:rsidR="00CF61B0" w:rsidRPr="0002608B" w:rsidRDefault="00CF61B0" w:rsidP="00CF61B0">
      <w:pPr>
        <w:pStyle w:val="Bibliography"/>
        <w:spacing w:line="360" w:lineRule="auto"/>
        <w:ind w:left="0" w:firstLine="0"/>
        <w:rPr>
          <w:lang w:val="fr-FR"/>
        </w:rPr>
      </w:pPr>
      <w:proofErr w:type="spellStart"/>
      <w:r w:rsidRPr="0002608B">
        <w:rPr>
          <w:smallCaps/>
          <w:lang w:val="fr-FR"/>
        </w:rPr>
        <w:t>Cavazzuti</w:t>
      </w:r>
      <w:proofErr w:type="spellEnd"/>
      <w:r w:rsidRPr="0002608B">
        <w:rPr>
          <w:lang w:val="fr-FR"/>
        </w:rPr>
        <w:t xml:space="preserve">, C. </w:t>
      </w:r>
      <w:r w:rsidRPr="0002608B">
        <w:rPr>
          <w:i/>
          <w:iCs/>
          <w:lang w:val="fr-FR"/>
        </w:rPr>
        <w:t xml:space="preserve">et al. </w:t>
      </w:r>
      <w:r w:rsidRPr="0002608B">
        <w:rPr>
          <w:lang w:val="fr-FR"/>
        </w:rPr>
        <w:t xml:space="preserve">2019. </w:t>
      </w:r>
      <w:r w:rsidRPr="0002608B">
        <w:t xml:space="preserve">Flows of people in villages and </w:t>
      </w:r>
      <w:proofErr w:type="gramStart"/>
      <w:r w:rsidRPr="0002608B">
        <w:t xml:space="preserve">large </w:t>
      </w:r>
      <w:proofErr w:type="spellStart"/>
      <w:r w:rsidRPr="0002608B">
        <w:t>centres</w:t>
      </w:r>
      <w:proofErr w:type="spellEnd"/>
      <w:r w:rsidRPr="0002608B">
        <w:t xml:space="preserve"> in</w:t>
      </w:r>
      <w:proofErr w:type="gramEnd"/>
      <w:r w:rsidRPr="0002608B">
        <w:t xml:space="preserve"> Bronze Age Italy through strontium and oxygen isotopes. </w:t>
      </w:r>
      <w:proofErr w:type="spellStart"/>
      <w:r w:rsidRPr="0002608B">
        <w:rPr>
          <w:i/>
          <w:iCs/>
          <w:lang w:val="fr-FR"/>
        </w:rPr>
        <w:t>PLoS</w:t>
      </w:r>
      <w:proofErr w:type="spellEnd"/>
      <w:r w:rsidRPr="0002608B">
        <w:rPr>
          <w:i/>
          <w:iCs/>
          <w:lang w:val="fr-FR"/>
        </w:rPr>
        <w:t xml:space="preserve"> ONE</w:t>
      </w:r>
      <w:r w:rsidRPr="0002608B">
        <w:rPr>
          <w:lang w:val="fr-FR"/>
        </w:rPr>
        <w:t xml:space="preserve"> 14. https://doi.org/10.1371/journal.pone.0209693</w:t>
      </w:r>
    </w:p>
    <w:p w14:paraId="1F387618" w14:textId="7E41294F" w:rsidR="00C47494" w:rsidRPr="00C47494" w:rsidRDefault="00CF61B0" w:rsidP="00883AB1">
      <w:pPr>
        <w:pStyle w:val="Bibliography"/>
        <w:spacing w:line="360" w:lineRule="auto"/>
        <w:ind w:left="0" w:firstLine="0"/>
        <w:rPr>
          <w:lang w:val="fr-FR"/>
        </w:rPr>
      </w:pPr>
      <w:r w:rsidRPr="00CE0600">
        <w:rPr>
          <w:smallCaps/>
          <w:lang w:val="fr-FR"/>
        </w:rPr>
        <w:t>Chang</w:t>
      </w:r>
      <w:r w:rsidR="00773D4A" w:rsidRPr="00CE0600">
        <w:rPr>
          <w:smallCaps/>
          <w:lang w:val="fr-FR"/>
        </w:rPr>
        <w:t>, C.C.</w:t>
      </w:r>
      <w:r w:rsidRPr="00CE0600">
        <w:rPr>
          <w:smallCaps/>
          <w:lang w:val="fr-FR"/>
        </w:rPr>
        <w:t xml:space="preserve"> </w:t>
      </w:r>
      <w:r w:rsidRPr="00CE0600">
        <w:rPr>
          <w:i/>
          <w:iCs/>
          <w:lang w:val="fr-FR"/>
        </w:rPr>
        <w:t xml:space="preserve">et al. </w:t>
      </w:r>
      <w:r w:rsidRPr="00CE0600">
        <w:rPr>
          <w:lang w:val="fr-FR"/>
        </w:rPr>
        <w:t>2015</w:t>
      </w:r>
      <w:r w:rsidRPr="0002608B">
        <w:rPr>
          <w:lang w:val="fr-FR"/>
        </w:rPr>
        <w:t>.</w:t>
      </w:r>
      <w:r w:rsidR="00C47494">
        <w:rPr>
          <w:lang w:val="fr-FR"/>
        </w:rPr>
        <w:t xml:space="preserve"> </w:t>
      </w:r>
      <w:r w:rsidR="00C47494" w:rsidRPr="00C47494">
        <w:t xml:space="preserve">Second-generation </w:t>
      </w:r>
      <w:proofErr w:type="gramStart"/>
      <w:r w:rsidR="00C47494" w:rsidRPr="00C47494">
        <w:t>PLINK:</w:t>
      </w:r>
      <w:proofErr w:type="gramEnd"/>
      <w:r w:rsidR="00C47494" w:rsidRPr="00C47494">
        <w:t xml:space="preserve"> rising to the challenge of larger and richer datasets. </w:t>
      </w:r>
      <w:proofErr w:type="spellStart"/>
      <w:r w:rsidR="00C47494" w:rsidRPr="00C47494">
        <w:rPr>
          <w:i/>
          <w:iCs/>
        </w:rPr>
        <w:t>GigaScience</w:t>
      </w:r>
      <w:proofErr w:type="spellEnd"/>
      <w:r w:rsidR="00C47494" w:rsidRPr="00C47494">
        <w:t xml:space="preserve"> 4. https://doi.org/10.1186/s13742-015-0047-8</w:t>
      </w:r>
    </w:p>
    <w:p w14:paraId="2A157555" w14:textId="77777777" w:rsidR="00CF61B0" w:rsidRPr="0002608B" w:rsidRDefault="00CF61B0" w:rsidP="00CF61B0">
      <w:pPr>
        <w:pStyle w:val="Bibliography"/>
        <w:spacing w:line="360" w:lineRule="auto"/>
        <w:ind w:left="0" w:firstLine="0"/>
      </w:pPr>
      <w:r w:rsidRPr="00513FD7">
        <w:rPr>
          <w:smallCaps/>
          <w:lang w:val="en-GB"/>
        </w:rPr>
        <w:t>Dabney</w:t>
      </w:r>
      <w:r w:rsidRPr="00513FD7">
        <w:rPr>
          <w:lang w:val="en-GB"/>
        </w:rPr>
        <w:t xml:space="preserve">, J. </w:t>
      </w:r>
      <w:r w:rsidRPr="00513FD7">
        <w:rPr>
          <w:i/>
          <w:iCs/>
          <w:lang w:val="en-GB"/>
        </w:rPr>
        <w:t>et al</w:t>
      </w:r>
      <w:r w:rsidRPr="00513FD7">
        <w:rPr>
          <w:lang w:val="en-GB"/>
        </w:rPr>
        <w:t xml:space="preserve">. 2013. </w:t>
      </w:r>
      <w:r w:rsidRPr="0002608B">
        <w:t xml:space="preserve">Complete mitochondrial genome sequence of a Middle Pleistocene cave bear reconstructed from ultrashort DNA fragments. </w:t>
      </w:r>
      <w:r w:rsidRPr="0002608B">
        <w:rPr>
          <w:i/>
          <w:iCs/>
        </w:rPr>
        <w:t>Proceedings of the National Academy of Sciences</w:t>
      </w:r>
      <w:r w:rsidRPr="0002608B">
        <w:t xml:space="preserve"> 110: 15758–63. https://doi.org/10.1073/pnas.1314445110</w:t>
      </w:r>
    </w:p>
    <w:p w14:paraId="14431A1E" w14:textId="77777777" w:rsidR="00CF61B0" w:rsidRPr="00513FD7" w:rsidRDefault="00CF61B0" w:rsidP="00CF61B0">
      <w:pPr>
        <w:pStyle w:val="Bibliography"/>
        <w:spacing w:line="360" w:lineRule="auto"/>
        <w:ind w:left="0" w:firstLine="0"/>
        <w:rPr>
          <w:lang w:val="es-ES"/>
        </w:rPr>
      </w:pPr>
      <w:r w:rsidRPr="0002608B">
        <w:rPr>
          <w:smallCaps/>
        </w:rPr>
        <w:t>Dean</w:t>
      </w:r>
      <w:r w:rsidRPr="0002608B">
        <w:t xml:space="preserve">, J.S. &amp; J.C. </w:t>
      </w:r>
      <w:r w:rsidRPr="0002608B">
        <w:rPr>
          <w:smallCaps/>
        </w:rPr>
        <w:t>Ravesloot</w:t>
      </w:r>
      <w:r w:rsidRPr="0002608B">
        <w:t xml:space="preserve">. 1993. The chronology of cultural interaction in the Gran Chichimeca, in A.I. Woosley &amp; J.C. Ravesloot (ed.) </w:t>
      </w:r>
      <w:r w:rsidRPr="0002608B">
        <w:rPr>
          <w:i/>
          <w:iCs/>
        </w:rPr>
        <w:t>Culture and contact: Charles C.D. Di Peso’s Gran Chichimeca</w:t>
      </w:r>
      <w:r w:rsidRPr="0002608B">
        <w:t xml:space="preserve">: 83–103 (Amerind Foundation New World Studies Series 2). </w:t>
      </w:r>
      <w:r w:rsidRPr="00513FD7">
        <w:rPr>
          <w:lang w:val="es-ES"/>
        </w:rPr>
        <w:t xml:space="preserve">Albuquerque: </w:t>
      </w:r>
      <w:proofErr w:type="spellStart"/>
      <w:r w:rsidRPr="00513FD7">
        <w:rPr>
          <w:lang w:val="es-ES"/>
        </w:rPr>
        <w:t>University</w:t>
      </w:r>
      <w:proofErr w:type="spellEnd"/>
      <w:r w:rsidRPr="00513FD7">
        <w:rPr>
          <w:lang w:val="es-ES"/>
        </w:rPr>
        <w:t xml:space="preserve"> </w:t>
      </w:r>
      <w:proofErr w:type="spellStart"/>
      <w:r w:rsidRPr="00513FD7">
        <w:rPr>
          <w:lang w:val="es-ES"/>
        </w:rPr>
        <w:t>of</w:t>
      </w:r>
      <w:proofErr w:type="spellEnd"/>
      <w:r w:rsidRPr="00513FD7">
        <w:rPr>
          <w:lang w:val="es-ES"/>
        </w:rPr>
        <w:t xml:space="preserve"> New </w:t>
      </w:r>
      <w:proofErr w:type="spellStart"/>
      <w:r w:rsidRPr="00513FD7">
        <w:rPr>
          <w:lang w:val="es-ES"/>
        </w:rPr>
        <w:t>Mexico</w:t>
      </w:r>
      <w:proofErr w:type="spellEnd"/>
      <w:r w:rsidRPr="00513FD7">
        <w:rPr>
          <w:lang w:val="es-ES"/>
        </w:rPr>
        <w:t xml:space="preserve"> </w:t>
      </w:r>
      <w:proofErr w:type="spellStart"/>
      <w:r w:rsidRPr="00513FD7">
        <w:rPr>
          <w:lang w:val="es-ES"/>
        </w:rPr>
        <w:t>Press</w:t>
      </w:r>
      <w:proofErr w:type="spellEnd"/>
      <w:r w:rsidRPr="00513FD7">
        <w:rPr>
          <w:lang w:val="es-ES"/>
        </w:rPr>
        <w:t>.</w:t>
      </w:r>
    </w:p>
    <w:p w14:paraId="6D4DBB60" w14:textId="77777777" w:rsidR="00CF61B0" w:rsidRPr="0002608B" w:rsidRDefault="00CF61B0" w:rsidP="00CF61B0">
      <w:pPr>
        <w:pStyle w:val="Bibliography"/>
        <w:spacing w:line="360" w:lineRule="auto"/>
        <w:ind w:left="0" w:firstLine="0"/>
      </w:pPr>
      <w:r w:rsidRPr="00513FD7">
        <w:rPr>
          <w:smallCaps/>
          <w:lang w:val="es-ES"/>
        </w:rPr>
        <w:lastRenderedPageBreak/>
        <w:t>de la Fuente</w:t>
      </w:r>
      <w:r w:rsidRPr="00513FD7">
        <w:rPr>
          <w:lang w:val="es-ES"/>
        </w:rPr>
        <w:t xml:space="preserve">, C. </w:t>
      </w:r>
      <w:r w:rsidRPr="00513FD7">
        <w:rPr>
          <w:i/>
          <w:iCs/>
          <w:lang w:val="es-ES"/>
        </w:rPr>
        <w:t>et al</w:t>
      </w:r>
      <w:r w:rsidRPr="00513FD7">
        <w:rPr>
          <w:lang w:val="es-ES"/>
        </w:rPr>
        <w:t xml:space="preserve">. 2018. </w:t>
      </w:r>
      <w:r w:rsidRPr="0002608B">
        <w:t xml:space="preserve">Genomic insights into the origin and diversification of late maritime hunter-gatherers from the Chilean Patagonia. </w:t>
      </w:r>
      <w:r w:rsidRPr="0002608B">
        <w:rPr>
          <w:i/>
          <w:iCs/>
        </w:rPr>
        <w:t>Proceedings of the National Academy of Sciences</w:t>
      </w:r>
      <w:r w:rsidRPr="0002608B">
        <w:t xml:space="preserve"> 115: E4006–12. https://doi.org/10.1073/pnas.1715688115</w:t>
      </w:r>
    </w:p>
    <w:p w14:paraId="5A1A40D8" w14:textId="77777777" w:rsidR="00CF61B0" w:rsidRPr="0002608B" w:rsidRDefault="00CF61B0" w:rsidP="00CF61B0">
      <w:pPr>
        <w:pStyle w:val="Bibliography"/>
        <w:spacing w:line="360" w:lineRule="auto"/>
        <w:ind w:left="0" w:firstLine="0"/>
      </w:pPr>
      <w:r w:rsidRPr="0002608B">
        <w:rPr>
          <w:smallCaps/>
          <w:lang w:val="fr-FR"/>
        </w:rPr>
        <w:t>Fernandes</w:t>
      </w:r>
      <w:r w:rsidRPr="0002608B">
        <w:rPr>
          <w:lang w:val="fr-FR"/>
        </w:rPr>
        <w:t xml:space="preserve">, D.M. </w:t>
      </w:r>
      <w:r w:rsidRPr="0002608B">
        <w:rPr>
          <w:i/>
          <w:iCs/>
          <w:lang w:val="fr-FR"/>
        </w:rPr>
        <w:t>et al</w:t>
      </w:r>
      <w:r w:rsidRPr="0002608B">
        <w:rPr>
          <w:lang w:val="fr-FR"/>
        </w:rPr>
        <w:t xml:space="preserve">. 2021. </w:t>
      </w:r>
      <w:r w:rsidRPr="0002608B">
        <w:t xml:space="preserve">A genetic history of the pre-contact Caribbean. </w:t>
      </w:r>
      <w:r w:rsidRPr="0002608B">
        <w:rPr>
          <w:i/>
          <w:iCs/>
        </w:rPr>
        <w:t>Nature</w:t>
      </w:r>
      <w:r w:rsidRPr="0002608B">
        <w:t xml:space="preserve"> 590: 103–110. https://doi.org/10.1038/s41586-020-03053-2</w:t>
      </w:r>
    </w:p>
    <w:p w14:paraId="3C3678C2" w14:textId="77777777" w:rsidR="00CF61B0" w:rsidRPr="0002608B" w:rsidRDefault="00CF61B0" w:rsidP="00CF61B0">
      <w:pPr>
        <w:pStyle w:val="Bibliography"/>
        <w:spacing w:line="360" w:lineRule="auto"/>
        <w:ind w:left="0" w:firstLine="0"/>
      </w:pPr>
      <w:proofErr w:type="spellStart"/>
      <w:r w:rsidRPr="0002608B">
        <w:rPr>
          <w:smallCaps/>
        </w:rPr>
        <w:t>Flegontov</w:t>
      </w:r>
      <w:proofErr w:type="spellEnd"/>
      <w:r w:rsidRPr="0002608B">
        <w:t xml:space="preserve">, P. </w:t>
      </w:r>
      <w:r w:rsidRPr="0002608B">
        <w:rPr>
          <w:i/>
          <w:iCs/>
        </w:rPr>
        <w:t>et al</w:t>
      </w:r>
      <w:r w:rsidRPr="0002608B">
        <w:t xml:space="preserve">. 2019. </w:t>
      </w:r>
      <w:proofErr w:type="spellStart"/>
      <w:r w:rsidRPr="0002608B">
        <w:t>Palaeo</w:t>
      </w:r>
      <w:proofErr w:type="spellEnd"/>
      <w:r w:rsidRPr="0002608B">
        <w:t xml:space="preserve">-Eskimo genetic ancestry and the peopling of Chukotka and North America. </w:t>
      </w:r>
      <w:r w:rsidRPr="0002608B">
        <w:rPr>
          <w:i/>
          <w:iCs/>
        </w:rPr>
        <w:t>Nature</w:t>
      </w:r>
      <w:r w:rsidRPr="0002608B">
        <w:t xml:space="preserve"> 570: 236–40. https://doi.org/10.1038/s41586-019-1251-y</w:t>
      </w:r>
    </w:p>
    <w:p w14:paraId="10C37F99" w14:textId="77777777" w:rsidR="00CF61B0" w:rsidRPr="0002608B" w:rsidRDefault="00CF61B0" w:rsidP="00CF61B0">
      <w:pPr>
        <w:pStyle w:val="Bibliography"/>
        <w:spacing w:line="360" w:lineRule="auto"/>
        <w:ind w:left="0" w:firstLine="0"/>
      </w:pPr>
      <w:r w:rsidRPr="0002608B">
        <w:rPr>
          <w:smallCaps/>
        </w:rPr>
        <w:t>Fu</w:t>
      </w:r>
      <w:r w:rsidRPr="0002608B">
        <w:t xml:space="preserve">, </w:t>
      </w:r>
      <w:proofErr w:type="spellStart"/>
      <w:r w:rsidRPr="0002608B">
        <w:rPr>
          <w:smallCaps/>
        </w:rPr>
        <w:t>Qiaomei</w:t>
      </w:r>
      <w:proofErr w:type="spellEnd"/>
      <w:r w:rsidRPr="0002608B">
        <w:t xml:space="preserve">, M. </w:t>
      </w:r>
      <w:r w:rsidRPr="0002608B">
        <w:rPr>
          <w:smallCaps/>
        </w:rPr>
        <w:t>Meyer</w:t>
      </w:r>
      <w:r w:rsidRPr="0002608B">
        <w:t>, X</w:t>
      </w:r>
      <w:r w:rsidRPr="0002608B">
        <w:rPr>
          <w:smallCaps/>
        </w:rPr>
        <w:t>ing</w:t>
      </w:r>
      <w:r w:rsidRPr="0002608B">
        <w:t xml:space="preserve"> </w:t>
      </w:r>
      <w:r w:rsidRPr="0002608B">
        <w:rPr>
          <w:smallCaps/>
        </w:rPr>
        <w:t>Gao</w:t>
      </w:r>
      <w:r w:rsidRPr="0002608B">
        <w:t xml:space="preserve">, U. </w:t>
      </w:r>
      <w:proofErr w:type="spellStart"/>
      <w:r w:rsidRPr="0002608B">
        <w:rPr>
          <w:smallCaps/>
        </w:rPr>
        <w:t>Stenzel</w:t>
      </w:r>
      <w:proofErr w:type="spellEnd"/>
      <w:r w:rsidRPr="0002608B">
        <w:t xml:space="preserve">, H.A. </w:t>
      </w:r>
      <w:proofErr w:type="spellStart"/>
      <w:r w:rsidRPr="0002608B">
        <w:rPr>
          <w:smallCaps/>
        </w:rPr>
        <w:t>Burbano</w:t>
      </w:r>
      <w:proofErr w:type="spellEnd"/>
      <w:r w:rsidRPr="0002608B">
        <w:t xml:space="preserve">, J. </w:t>
      </w:r>
      <w:r w:rsidRPr="0002608B">
        <w:rPr>
          <w:smallCaps/>
        </w:rPr>
        <w:t>Kelso</w:t>
      </w:r>
      <w:r w:rsidRPr="0002608B">
        <w:t xml:space="preserve"> &amp; S. </w:t>
      </w:r>
      <w:proofErr w:type="spellStart"/>
      <w:r w:rsidRPr="0002608B">
        <w:rPr>
          <w:smallCaps/>
        </w:rPr>
        <w:t>Pääbo</w:t>
      </w:r>
      <w:proofErr w:type="spellEnd"/>
      <w:r w:rsidRPr="0002608B">
        <w:t xml:space="preserve">. 2013a. DNA analysis of an early modern human from </w:t>
      </w:r>
      <w:proofErr w:type="spellStart"/>
      <w:r w:rsidRPr="0002608B">
        <w:t>Tianyuan</w:t>
      </w:r>
      <w:proofErr w:type="spellEnd"/>
      <w:r w:rsidRPr="0002608B">
        <w:t xml:space="preserve"> Cave, China. </w:t>
      </w:r>
      <w:r w:rsidRPr="0002608B">
        <w:rPr>
          <w:i/>
          <w:iCs/>
        </w:rPr>
        <w:t>Proceedings of the National Academy of Sciences</w:t>
      </w:r>
      <w:r w:rsidRPr="0002608B">
        <w:t xml:space="preserve"> 110: 2223–27. https://doi.org/10.1073/pnas.1221359110</w:t>
      </w:r>
    </w:p>
    <w:p w14:paraId="3702D13F" w14:textId="77777777" w:rsidR="00CF61B0" w:rsidRPr="0002608B" w:rsidRDefault="00CF61B0" w:rsidP="00CF61B0">
      <w:pPr>
        <w:pStyle w:val="Bibliography"/>
        <w:spacing w:line="360" w:lineRule="auto"/>
        <w:ind w:left="0" w:firstLine="0"/>
      </w:pPr>
      <w:r w:rsidRPr="00F13F3D">
        <w:rPr>
          <w:smallCaps/>
        </w:rPr>
        <w:t>Fu</w:t>
      </w:r>
      <w:r w:rsidRPr="00F13F3D">
        <w:t xml:space="preserve">, </w:t>
      </w:r>
      <w:proofErr w:type="spellStart"/>
      <w:r w:rsidRPr="00F13F3D">
        <w:rPr>
          <w:smallCaps/>
        </w:rPr>
        <w:t>Qiaomei</w:t>
      </w:r>
      <w:proofErr w:type="spellEnd"/>
      <w:r w:rsidRPr="00F13F3D">
        <w:t xml:space="preserve"> </w:t>
      </w:r>
      <w:r w:rsidRPr="00F13F3D">
        <w:rPr>
          <w:i/>
          <w:iCs/>
        </w:rPr>
        <w:t>et al</w:t>
      </w:r>
      <w:r w:rsidRPr="00F13F3D">
        <w:t xml:space="preserve">. 2013b. </w:t>
      </w:r>
      <w:r w:rsidRPr="0002608B">
        <w:t xml:space="preserve">A revised timescale for human evolution based on ancient mitochondrial genomes. </w:t>
      </w:r>
      <w:r w:rsidRPr="0002608B">
        <w:rPr>
          <w:i/>
          <w:iCs/>
        </w:rPr>
        <w:t>Current Biology</w:t>
      </w:r>
      <w:r w:rsidRPr="0002608B">
        <w:t xml:space="preserve"> 23: 553–9. https://doi.org/10.1016/j.cub.2013.02.044</w:t>
      </w:r>
    </w:p>
    <w:p w14:paraId="02222E5D" w14:textId="77777777" w:rsidR="00CF61B0" w:rsidRPr="00513FD7" w:rsidRDefault="00CF61B0" w:rsidP="00CF61B0">
      <w:pPr>
        <w:pStyle w:val="Bibliography"/>
        <w:spacing w:line="360" w:lineRule="auto"/>
        <w:ind w:left="0" w:firstLine="0"/>
        <w:rPr>
          <w:lang w:val="en-GB"/>
        </w:rPr>
      </w:pPr>
      <w:r w:rsidRPr="0002608B">
        <w:t xml:space="preserve">– 2015. An early modern human from Romania with a recent Neanderthal ancestor. </w:t>
      </w:r>
      <w:r w:rsidRPr="00513FD7">
        <w:rPr>
          <w:i/>
          <w:iCs/>
          <w:lang w:val="en-GB"/>
        </w:rPr>
        <w:t>Nature</w:t>
      </w:r>
      <w:r w:rsidRPr="00513FD7">
        <w:rPr>
          <w:lang w:val="en-GB"/>
        </w:rPr>
        <w:t xml:space="preserve"> 524: 216–19. https://doi.org/10.1038/nature14558</w:t>
      </w:r>
    </w:p>
    <w:p w14:paraId="74595C68" w14:textId="77777777" w:rsidR="00CF61B0" w:rsidRPr="0002608B" w:rsidRDefault="00CF61B0" w:rsidP="00CF61B0">
      <w:pPr>
        <w:pStyle w:val="Bibliography"/>
        <w:spacing w:line="360" w:lineRule="auto"/>
        <w:ind w:left="0" w:firstLine="0"/>
      </w:pPr>
      <w:r w:rsidRPr="0002608B">
        <w:rPr>
          <w:smallCaps/>
        </w:rPr>
        <w:t>Harvig</w:t>
      </w:r>
      <w:r w:rsidRPr="0002608B">
        <w:t xml:space="preserve">, L., K.M. </w:t>
      </w:r>
      <w:r w:rsidRPr="0002608B">
        <w:rPr>
          <w:smallCaps/>
        </w:rPr>
        <w:t>Frei</w:t>
      </w:r>
      <w:r w:rsidRPr="0002608B">
        <w:t xml:space="preserve">, T.D. </w:t>
      </w:r>
      <w:r w:rsidRPr="0002608B">
        <w:rPr>
          <w:smallCaps/>
        </w:rPr>
        <w:t>Price</w:t>
      </w:r>
      <w:r w:rsidRPr="0002608B">
        <w:t xml:space="preserve"> &amp; N. </w:t>
      </w:r>
      <w:proofErr w:type="spellStart"/>
      <w:r w:rsidRPr="0002608B">
        <w:rPr>
          <w:smallCaps/>
        </w:rPr>
        <w:t>Lynnerup</w:t>
      </w:r>
      <w:proofErr w:type="spellEnd"/>
      <w:r w:rsidRPr="0002608B">
        <w:t xml:space="preserve">. 2014. Strontium isotope signals in cremated petrous portions as indicator for childhood origin. </w:t>
      </w:r>
      <w:r w:rsidRPr="0002608B">
        <w:rPr>
          <w:i/>
          <w:iCs/>
        </w:rPr>
        <w:t>PLoS ONE</w:t>
      </w:r>
      <w:r w:rsidRPr="0002608B">
        <w:t xml:space="preserve"> 9. https://doi.org/10.1371/journal.pone.0101603</w:t>
      </w:r>
    </w:p>
    <w:p w14:paraId="233AEB96" w14:textId="77777777" w:rsidR="00CF61B0" w:rsidRPr="0002608B" w:rsidRDefault="00CF61B0" w:rsidP="00CF61B0">
      <w:pPr>
        <w:pStyle w:val="Bibliography"/>
        <w:spacing w:line="360" w:lineRule="auto"/>
        <w:ind w:left="0" w:firstLine="0"/>
      </w:pPr>
      <w:proofErr w:type="spellStart"/>
      <w:r w:rsidRPr="0002608B">
        <w:rPr>
          <w:smallCaps/>
        </w:rPr>
        <w:t>Jostins</w:t>
      </w:r>
      <w:proofErr w:type="spellEnd"/>
      <w:r w:rsidRPr="0002608B">
        <w:t xml:space="preserve">, L., Y. </w:t>
      </w:r>
      <w:r w:rsidRPr="0002608B">
        <w:rPr>
          <w:smallCaps/>
        </w:rPr>
        <w:t>Xu</w:t>
      </w:r>
      <w:r w:rsidRPr="0002608B">
        <w:t xml:space="preserve">, S. </w:t>
      </w:r>
      <w:r w:rsidRPr="0002608B">
        <w:rPr>
          <w:smallCaps/>
        </w:rPr>
        <w:t>McCarthy</w:t>
      </w:r>
      <w:r w:rsidRPr="0002608B">
        <w:t xml:space="preserve">, Q. </w:t>
      </w:r>
      <w:r w:rsidRPr="0002608B">
        <w:rPr>
          <w:smallCaps/>
        </w:rPr>
        <w:t>Ayub</w:t>
      </w:r>
      <w:r w:rsidRPr="0002608B">
        <w:t xml:space="preserve">, R. </w:t>
      </w:r>
      <w:r w:rsidRPr="0002608B">
        <w:rPr>
          <w:smallCaps/>
        </w:rPr>
        <w:t>Durbin</w:t>
      </w:r>
      <w:r w:rsidRPr="0002608B">
        <w:t xml:space="preserve">, J. </w:t>
      </w:r>
      <w:r w:rsidRPr="0002608B">
        <w:rPr>
          <w:smallCaps/>
        </w:rPr>
        <w:t>Barrett</w:t>
      </w:r>
      <w:r w:rsidRPr="0002608B">
        <w:t xml:space="preserve"> &amp; C. </w:t>
      </w:r>
      <w:r w:rsidRPr="0002608B">
        <w:rPr>
          <w:smallCaps/>
        </w:rPr>
        <w:t>Tyler-Smith</w:t>
      </w:r>
      <w:r w:rsidRPr="0002608B">
        <w:t xml:space="preserve">. 2014. </w:t>
      </w:r>
      <w:proofErr w:type="spellStart"/>
      <w:r w:rsidRPr="0002608B">
        <w:t>YFitter</w:t>
      </w:r>
      <w:proofErr w:type="spellEnd"/>
      <w:r w:rsidRPr="0002608B">
        <w:t xml:space="preserve">: maximum likelihood assignment of Y chromosome haplogroups from low-coverage sequence data. </w:t>
      </w:r>
      <w:proofErr w:type="spellStart"/>
      <w:r w:rsidRPr="0002608B">
        <w:rPr>
          <w:i/>
          <w:iCs/>
        </w:rPr>
        <w:t>arXiv</w:t>
      </w:r>
      <w:proofErr w:type="spellEnd"/>
      <w:r w:rsidRPr="0002608B">
        <w:t>. https://doi.org/10.48550/arXiv.1407.7988</w:t>
      </w:r>
    </w:p>
    <w:p w14:paraId="266C8FF8" w14:textId="77777777" w:rsidR="00CF61B0" w:rsidRPr="0002608B" w:rsidRDefault="00CF61B0" w:rsidP="00CF61B0">
      <w:pPr>
        <w:pStyle w:val="Bibliography"/>
        <w:spacing w:line="360" w:lineRule="auto"/>
        <w:ind w:left="0" w:firstLine="0"/>
      </w:pPr>
      <w:r w:rsidRPr="0002608B">
        <w:rPr>
          <w:smallCaps/>
          <w:lang w:val="de-DE"/>
        </w:rPr>
        <w:t>Kennett</w:t>
      </w:r>
      <w:r w:rsidRPr="0002608B">
        <w:rPr>
          <w:lang w:val="de-DE"/>
        </w:rPr>
        <w:t xml:space="preserve">, D.J. </w:t>
      </w:r>
      <w:r w:rsidRPr="0002608B">
        <w:rPr>
          <w:i/>
          <w:iCs/>
          <w:lang w:val="de-DE"/>
        </w:rPr>
        <w:t>et al</w:t>
      </w:r>
      <w:r w:rsidRPr="0002608B">
        <w:rPr>
          <w:lang w:val="de-DE"/>
        </w:rPr>
        <w:t xml:space="preserve">. 2017. </w:t>
      </w:r>
      <w:proofErr w:type="spellStart"/>
      <w:r w:rsidRPr="0002608B">
        <w:t>Archaeogenomic</w:t>
      </w:r>
      <w:proofErr w:type="spellEnd"/>
      <w:r w:rsidRPr="0002608B">
        <w:t xml:space="preserve"> evidence reveals prehistoric matrilineal dynasty. </w:t>
      </w:r>
      <w:r w:rsidRPr="0002608B">
        <w:rPr>
          <w:i/>
          <w:iCs/>
        </w:rPr>
        <w:t>Nature Communications</w:t>
      </w:r>
      <w:r w:rsidRPr="0002608B">
        <w:t xml:space="preserve"> 8. https://doi.org/10.1038/ncomms14115</w:t>
      </w:r>
    </w:p>
    <w:p w14:paraId="2DDBD298" w14:textId="77777777" w:rsidR="00CF61B0" w:rsidRPr="0002608B" w:rsidRDefault="00CF61B0" w:rsidP="00CF61B0">
      <w:pPr>
        <w:pStyle w:val="Bibliography"/>
        <w:spacing w:line="360" w:lineRule="auto"/>
        <w:ind w:left="0" w:firstLine="0"/>
        <w:rPr>
          <w:lang w:val="fr-FR"/>
        </w:rPr>
      </w:pPr>
      <w:r w:rsidRPr="0002608B">
        <w:t xml:space="preserve">– 2022. South-to-north migration preceded the advent of intensive farming in the Maya region. </w:t>
      </w:r>
      <w:r w:rsidRPr="0002608B">
        <w:rPr>
          <w:i/>
          <w:iCs/>
          <w:lang w:val="fr-FR"/>
        </w:rPr>
        <w:t>Nature Communications</w:t>
      </w:r>
      <w:r w:rsidRPr="0002608B">
        <w:rPr>
          <w:lang w:val="fr-FR"/>
        </w:rPr>
        <w:t xml:space="preserve"> 13. https://doi.org/10.1038/s41467-022-29158-y</w:t>
      </w:r>
    </w:p>
    <w:p w14:paraId="652ADF38" w14:textId="77777777" w:rsidR="00CF61B0" w:rsidRPr="0002608B" w:rsidRDefault="00CF61B0" w:rsidP="00CF61B0">
      <w:pPr>
        <w:pStyle w:val="Bibliography"/>
        <w:spacing w:line="360" w:lineRule="auto"/>
        <w:ind w:left="0" w:firstLine="0"/>
      </w:pPr>
      <w:proofErr w:type="spellStart"/>
      <w:r w:rsidRPr="0002608B">
        <w:rPr>
          <w:smallCaps/>
          <w:lang w:val="fr-FR"/>
        </w:rPr>
        <w:t>Kootker</w:t>
      </w:r>
      <w:proofErr w:type="spellEnd"/>
      <w:r w:rsidRPr="0002608B">
        <w:rPr>
          <w:lang w:val="fr-FR"/>
        </w:rPr>
        <w:t xml:space="preserve">, L.M. &amp; J.E. </w:t>
      </w:r>
      <w:r w:rsidRPr="0002608B">
        <w:rPr>
          <w:smallCaps/>
          <w:lang w:val="fr-FR"/>
        </w:rPr>
        <w:t>Laffoon</w:t>
      </w:r>
      <w:r w:rsidRPr="0002608B">
        <w:rPr>
          <w:lang w:val="fr-FR"/>
        </w:rPr>
        <w:t xml:space="preserve">. </w:t>
      </w:r>
      <w:r w:rsidRPr="0002608B">
        <w:t xml:space="preserve">2022. Assessing the preservation of biogenic strontium isotope ratios (87Sr/86Sr) in the pars petrosa </w:t>
      </w:r>
      <w:proofErr w:type="spellStart"/>
      <w:r w:rsidRPr="0002608B">
        <w:t>ossis</w:t>
      </w:r>
      <w:proofErr w:type="spellEnd"/>
      <w:r w:rsidRPr="0002608B">
        <w:t xml:space="preserve"> temporalis of unburnt human skeletal remains: a case study from Saba. </w:t>
      </w:r>
      <w:r w:rsidRPr="0002608B">
        <w:rPr>
          <w:i/>
          <w:iCs/>
        </w:rPr>
        <w:t>Rapid Communications in Mass Spectrometry</w:t>
      </w:r>
      <w:r w:rsidRPr="0002608B">
        <w:t xml:space="preserve"> 36. https://doi.org/10.1002/rcm.9277</w:t>
      </w:r>
    </w:p>
    <w:p w14:paraId="38C2448E" w14:textId="77777777" w:rsidR="00CF61B0" w:rsidRPr="0002608B" w:rsidRDefault="00CF61B0" w:rsidP="00CF61B0">
      <w:pPr>
        <w:pStyle w:val="Bibliography"/>
        <w:spacing w:line="360" w:lineRule="auto"/>
        <w:ind w:left="0" w:firstLine="0"/>
        <w:rPr>
          <w:lang w:val="fr-FR"/>
        </w:rPr>
      </w:pPr>
      <w:proofErr w:type="spellStart"/>
      <w:r w:rsidRPr="00513FD7">
        <w:rPr>
          <w:smallCaps/>
          <w:lang w:val="en-GB"/>
        </w:rPr>
        <w:t>Korneliussen</w:t>
      </w:r>
      <w:proofErr w:type="spellEnd"/>
      <w:r w:rsidRPr="00513FD7">
        <w:rPr>
          <w:lang w:val="en-GB"/>
        </w:rPr>
        <w:t xml:space="preserve">, T.S., A. </w:t>
      </w:r>
      <w:proofErr w:type="spellStart"/>
      <w:r w:rsidRPr="00513FD7">
        <w:rPr>
          <w:smallCaps/>
          <w:lang w:val="en-GB"/>
        </w:rPr>
        <w:t>Albrechtsen</w:t>
      </w:r>
      <w:proofErr w:type="spellEnd"/>
      <w:r w:rsidRPr="00513FD7">
        <w:rPr>
          <w:lang w:val="en-GB"/>
        </w:rPr>
        <w:t xml:space="preserve"> &amp; R. </w:t>
      </w:r>
      <w:r w:rsidRPr="00513FD7">
        <w:rPr>
          <w:smallCaps/>
          <w:lang w:val="en-GB"/>
        </w:rPr>
        <w:t>Nielsen</w:t>
      </w:r>
      <w:r w:rsidRPr="00513FD7">
        <w:rPr>
          <w:lang w:val="en-GB"/>
        </w:rPr>
        <w:t xml:space="preserve">. </w:t>
      </w:r>
      <w:r w:rsidRPr="0002608B">
        <w:t xml:space="preserve">2014. ANGSD: Analysis of Next Generation Sequencing Data. </w:t>
      </w:r>
      <w:r w:rsidRPr="0002608B">
        <w:rPr>
          <w:i/>
          <w:iCs/>
          <w:lang w:val="fr-FR"/>
        </w:rPr>
        <w:t xml:space="preserve">BMC </w:t>
      </w:r>
      <w:proofErr w:type="spellStart"/>
      <w:r w:rsidRPr="0002608B">
        <w:rPr>
          <w:i/>
          <w:iCs/>
          <w:lang w:val="fr-FR"/>
        </w:rPr>
        <w:t>Bioinformatics</w:t>
      </w:r>
      <w:proofErr w:type="spellEnd"/>
      <w:r w:rsidRPr="0002608B">
        <w:rPr>
          <w:lang w:val="fr-FR"/>
        </w:rPr>
        <w:t xml:space="preserve"> 15: 356. https://doi.org/10.1186/s12859-014-0356-4.</w:t>
      </w:r>
    </w:p>
    <w:p w14:paraId="0FCCD3EE" w14:textId="77777777" w:rsidR="00CF61B0" w:rsidRPr="0002608B" w:rsidRDefault="00CF61B0" w:rsidP="00CF61B0">
      <w:pPr>
        <w:pStyle w:val="Bibliography"/>
        <w:spacing w:line="360" w:lineRule="auto"/>
        <w:ind w:left="0" w:firstLine="0"/>
      </w:pPr>
      <w:proofErr w:type="spellStart"/>
      <w:r w:rsidRPr="0002608B">
        <w:rPr>
          <w:smallCaps/>
          <w:lang w:val="fr-FR"/>
        </w:rPr>
        <w:lastRenderedPageBreak/>
        <w:t>Lazaridis</w:t>
      </w:r>
      <w:proofErr w:type="spellEnd"/>
      <w:r w:rsidRPr="0002608B">
        <w:rPr>
          <w:lang w:val="fr-FR"/>
        </w:rPr>
        <w:t xml:space="preserve">, I. </w:t>
      </w:r>
      <w:r w:rsidRPr="0002608B">
        <w:rPr>
          <w:i/>
          <w:iCs/>
          <w:lang w:val="fr-FR"/>
        </w:rPr>
        <w:t>et al</w:t>
      </w:r>
      <w:r w:rsidRPr="0002608B">
        <w:rPr>
          <w:lang w:val="fr-FR"/>
        </w:rPr>
        <w:t xml:space="preserve">. 2014. </w:t>
      </w:r>
      <w:r w:rsidRPr="0002608B">
        <w:t xml:space="preserve">Ancient human genomes suggest three ancestral populations for present-day Europeans. </w:t>
      </w:r>
      <w:r w:rsidRPr="0002608B">
        <w:rPr>
          <w:i/>
          <w:iCs/>
        </w:rPr>
        <w:t>Nature</w:t>
      </w:r>
      <w:r w:rsidRPr="0002608B">
        <w:t xml:space="preserve"> 513: 409–13. https://doi.org/10.1038/nature13673</w:t>
      </w:r>
    </w:p>
    <w:p w14:paraId="3FEB0ADB" w14:textId="77777777" w:rsidR="00CF61B0" w:rsidRPr="0002608B" w:rsidRDefault="00CF61B0" w:rsidP="00CF61B0">
      <w:pPr>
        <w:pStyle w:val="Bibliography"/>
        <w:spacing w:line="360" w:lineRule="auto"/>
        <w:ind w:left="0" w:firstLine="0"/>
      </w:pPr>
      <w:r w:rsidRPr="0002608B">
        <w:rPr>
          <w:smallCaps/>
        </w:rPr>
        <w:t>Lekson</w:t>
      </w:r>
      <w:r w:rsidRPr="0002608B">
        <w:t xml:space="preserve">, S.H. 2015. </w:t>
      </w:r>
      <w:r w:rsidRPr="0002608B">
        <w:rPr>
          <w:i/>
          <w:iCs/>
        </w:rPr>
        <w:t>The Chaco Meridian: one thousand years of political and religious power in the Ancient Southwest</w:t>
      </w:r>
      <w:r w:rsidRPr="0002608B">
        <w:t>. Lanham: Rowman &amp; Littlefield.</w:t>
      </w:r>
    </w:p>
    <w:p w14:paraId="370C52A5" w14:textId="77777777" w:rsidR="00CF61B0" w:rsidRPr="0002608B" w:rsidRDefault="00CF61B0" w:rsidP="00CF61B0">
      <w:pPr>
        <w:pStyle w:val="Bibliography"/>
        <w:spacing w:line="360" w:lineRule="auto"/>
        <w:ind w:left="0" w:firstLine="0"/>
      </w:pPr>
      <w:r w:rsidRPr="0002608B">
        <w:rPr>
          <w:smallCaps/>
        </w:rPr>
        <w:t>Lindo</w:t>
      </w:r>
      <w:r w:rsidRPr="0002608B">
        <w:t xml:space="preserve">, J. </w:t>
      </w:r>
      <w:r w:rsidRPr="0002608B">
        <w:rPr>
          <w:i/>
          <w:iCs/>
        </w:rPr>
        <w:t>et al</w:t>
      </w:r>
      <w:r w:rsidRPr="0002608B">
        <w:t xml:space="preserve">. 2017. Ancient individuals from the North American Northwest Coast reveal 10,000 years of regional genetic continuity. </w:t>
      </w:r>
      <w:r w:rsidRPr="0002608B">
        <w:rPr>
          <w:i/>
          <w:iCs/>
        </w:rPr>
        <w:t>Proceedings of the National Academy of Sciences</w:t>
      </w:r>
      <w:r w:rsidRPr="0002608B">
        <w:t xml:space="preserve"> 114: 4093–98. https://doi.org/10.1073/pnas.1620410114</w:t>
      </w:r>
    </w:p>
    <w:p w14:paraId="6ECB4AAC" w14:textId="77777777" w:rsidR="00CF61B0" w:rsidRPr="0002608B" w:rsidRDefault="00CF61B0" w:rsidP="00CF61B0">
      <w:pPr>
        <w:pStyle w:val="Bibliography"/>
        <w:spacing w:line="360" w:lineRule="auto"/>
        <w:ind w:left="0" w:firstLine="0"/>
      </w:pPr>
      <w:proofErr w:type="spellStart"/>
      <w:r w:rsidRPr="0002608B">
        <w:rPr>
          <w:smallCaps/>
          <w:lang w:val="es-ES"/>
        </w:rPr>
        <w:t>Malaspinas</w:t>
      </w:r>
      <w:proofErr w:type="spellEnd"/>
      <w:r w:rsidRPr="0002608B">
        <w:rPr>
          <w:lang w:val="es-ES"/>
        </w:rPr>
        <w:t xml:space="preserve">, A.-S. </w:t>
      </w:r>
      <w:r w:rsidRPr="0002608B">
        <w:rPr>
          <w:i/>
          <w:iCs/>
          <w:lang w:val="es-ES"/>
        </w:rPr>
        <w:t>et al</w:t>
      </w:r>
      <w:r w:rsidRPr="0002608B">
        <w:rPr>
          <w:lang w:val="es-ES"/>
        </w:rPr>
        <w:t xml:space="preserve">. 2014. </w:t>
      </w:r>
      <w:r w:rsidRPr="0002608B">
        <w:t xml:space="preserve">Two ancient human genomes reveal Polynesian ancestry among the indigenous Botocudos of Brazil. </w:t>
      </w:r>
      <w:r w:rsidRPr="0002608B">
        <w:rPr>
          <w:i/>
          <w:iCs/>
        </w:rPr>
        <w:t>Current Biology</w:t>
      </w:r>
      <w:r w:rsidRPr="0002608B">
        <w:t xml:space="preserve"> 24: R1035–37. https://doi.org/10.1016/j.cub.2014.09.078</w:t>
      </w:r>
    </w:p>
    <w:p w14:paraId="07FC944F" w14:textId="77777777" w:rsidR="00CF61B0" w:rsidRPr="0002608B" w:rsidRDefault="00CF61B0" w:rsidP="00CF61B0">
      <w:pPr>
        <w:pStyle w:val="Bibliography"/>
        <w:spacing w:line="360" w:lineRule="auto"/>
        <w:ind w:left="0" w:firstLine="0"/>
        <w:rPr>
          <w:lang w:val="fr-FR"/>
        </w:rPr>
      </w:pPr>
      <w:r w:rsidRPr="0002608B">
        <w:rPr>
          <w:smallCaps/>
        </w:rPr>
        <w:t>Mathieson</w:t>
      </w:r>
      <w:r w:rsidRPr="0002608B">
        <w:t xml:space="preserve">, I. </w:t>
      </w:r>
      <w:r w:rsidRPr="0002608B">
        <w:rPr>
          <w:i/>
          <w:iCs/>
        </w:rPr>
        <w:t>et al</w:t>
      </w:r>
      <w:r w:rsidRPr="0002608B">
        <w:t xml:space="preserve">. 2015. Genome-wide patterns of selection in 230 ancient Eurasians. </w:t>
      </w:r>
      <w:r w:rsidRPr="0002608B">
        <w:rPr>
          <w:i/>
          <w:iCs/>
          <w:lang w:val="fr-FR"/>
        </w:rPr>
        <w:t>Nature</w:t>
      </w:r>
      <w:r w:rsidRPr="0002608B">
        <w:rPr>
          <w:lang w:val="fr-FR"/>
        </w:rPr>
        <w:t xml:space="preserve"> 528: 499–503. https://doi.org/10.1038/nature16152</w:t>
      </w:r>
    </w:p>
    <w:p w14:paraId="7FD25CDB" w14:textId="77777777" w:rsidR="00CF61B0" w:rsidRPr="0002608B" w:rsidRDefault="00CF61B0" w:rsidP="00CF61B0">
      <w:pPr>
        <w:pStyle w:val="Bibliography"/>
        <w:spacing w:line="360" w:lineRule="auto"/>
        <w:ind w:left="0" w:firstLine="0"/>
      </w:pPr>
      <w:r w:rsidRPr="00513FD7">
        <w:rPr>
          <w:smallCaps/>
          <w:lang w:val="fr-FR"/>
        </w:rPr>
        <w:t>Moreno-Mayar</w:t>
      </w:r>
      <w:r w:rsidRPr="00513FD7">
        <w:rPr>
          <w:lang w:val="fr-FR"/>
        </w:rPr>
        <w:t xml:space="preserve">, J.V. </w:t>
      </w:r>
      <w:r w:rsidRPr="00513FD7">
        <w:rPr>
          <w:i/>
          <w:lang w:val="fr-FR"/>
        </w:rPr>
        <w:t>et al</w:t>
      </w:r>
      <w:r w:rsidRPr="00513FD7">
        <w:rPr>
          <w:lang w:val="fr-FR"/>
        </w:rPr>
        <w:t xml:space="preserve">. 2018a. </w:t>
      </w:r>
      <w:r w:rsidRPr="0002608B">
        <w:t xml:space="preserve">Terminal Pleistocene Alaskan genome reveals first founding population of Native Americans. </w:t>
      </w:r>
      <w:r w:rsidRPr="0002608B">
        <w:rPr>
          <w:i/>
          <w:iCs/>
        </w:rPr>
        <w:t>Nature</w:t>
      </w:r>
      <w:r w:rsidRPr="0002608B">
        <w:t xml:space="preserve"> 553: 203–7. https://doi.org/10.1038/nature25173</w:t>
      </w:r>
    </w:p>
    <w:p w14:paraId="44414CAC" w14:textId="77777777" w:rsidR="00CF61B0" w:rsidRPr="0002608B" w:rsidRDefault="00CF61B0" w:rsidP="00CF61B0">
      <w:pPr>
        <w:pStyle w:val="Bibliography"/>
        <w:spacing w:line="360" w:lineRule="auto"/>
        <w:ind w:left="0" w:firstLine="0"/>
        <w:rPr>
          <w:lang w:val="fr-FR"/>
        </w:rPr>
      </w:pPr>
      <w:r w:rsidRPr="0002608B">
        <w:t xml:space="preserve">– 2018b. Early human dispersals within the Americas. </w:t>
      </w:r>
      <w:r w:rsidRPr="0002608B">
        <w:rPr>
          <w:i/>
          <w:iCs/>
          <w:lang w:val="fr-FR"/>
        </w:rPr>
        <w:t>Science</w:t>
      </w:r>
      <w:r w:rsidRPr="0002608B">
        <w:rPr>
          <w:lang w:val="fr-FR"/>
        </w:rPr>
        <w:t xml:space="preserve"> 362. https://doi.org/10.1126/science.aav2621</w:t>
      </w:r>
    </w:p>
    <w:p w14:paraId="182739EE" w14:textId="77777777" w:rsidR="00CF61B0" w:rsidRPr="00513FD7" w:rsidRDefault="00CF61B0" w:rsidP="00CF61B0">
      <w:pPr>
        <w:pStyle w:val="Bibliography"/>
        <w:spacing w:line="360" w:lineRule="auto"/>
        <w:ind w:left="0" w:firstLine="0"/>
        <w:rPr>
          <w:lang w:val="fr-FR"/>
        </w:rPr>
      </w:pPr>
      <w:proofErr w:type="spellStart"/>
      <w:r w:rsidRPr="00513FD7">
        <w:rPr>
          <w:smallCaps/>
          <w:lang w:val="en-GB"/>
        </w:rPr>
        <w:t>Nägele</w:t>
      </w:r>
      <w:proofErr w:type="spellEnd"/>
      <w:r w:rsidRPr="00513FD7">
        <w:rPr>
          <w:lang w:val="en-GB"/>
        </w:rPr>
        <w:t xml:space="preserve">, K. </w:t>
      </w:r>
      <w:r w:rsidRPr="00513FD7">
        <w:rPr>
          <w:i/>
          <w:lang w:val="en-GB"/>
        </w:rPr>
        <w:t>et al</w:t>
      </w:r>
      <w:r w:rsidRPr="00513FD7">
        <w:rPr>
          <w:lang w:val="en-GB"/>
        </w:rPr>
        <w:t xml:space="preserve">. 2020. </w:t>
      </w:r>
      <w:r w:rsidRPr="0002608B">
        <w:t xml:space="preserve">Genomic insights into the early peopling of the Caribbean. </w:t>
      </w:r>
      <w:r w:rsidRPr="00513FD7">
        <w:rPr>
          <w:i/>
          <w:iCs/>
          <w:lang w:val="fr-FR"/>
        </w:rPr>
        <w:t>Science</w:t>
      </w:r>
      <w:r w:rsidRPr="00513FD7">
        <w:rPr>
          <w:lang w:val="fr-FR"/>
        </w:rPr>
        <w:t xml:space="preserve"> 369: 456–60. https://doi.org/10.1126/science.aba8697</w:t>
      </w:r>
    </w:p>
    <w:p w14:paraId="33E611F7" w14:textId="6C1E201A" w:rsidR="00CF61B0" w:rsidRPr="0002608B" w:rsidRDefault="00CF61B0" w:rsidP="00CF61B0">
      <w:pPr>
        <w:pStyle w:val="Bibliography"/>
        <w:spacing w:line="360" w:lineRule="auto"/>
        <w:ind w:left="0" w:firstLine="0"/>
      </w:pPr>
      <w:proofErr w:type="spellStart"/>
      <w:r w:rsidRPr="0002608B">
        <w:rPr>
          <w:smallCaps/>
          <w:lang w:val="fr-FR"/>
        </w:rPr>
        <w:t>Nakatsuka</w:t>
      </w:r>
      <w:proofErr w:type="spellEnd"/>
      <w:r w:rsidRPr="0002608B">
        <w:rPr>
          <w:lang w:val="fr-FR"/>
        </w:rPr>
        <w:t xml:space="preserve">, N. </w:t>
      </w:r>
      <w:r w:rsidRPr="0002608B">
        <w:rPr>
          <w:i/>
          <w:iCs/>
          <w:lang w:val="fr-FR"/>
        </w:rPr>
        <w:t>et al</w:t>
      </w:r>
      <w:r w:rsidRPr="0002608B">
        <w:rPr>
          <w:lang w:val="fr-FR"/>
        </w:rPr>
        <w:t>. 20</w:t>
      </w:r>
      <w:r w:rsidR="00C47494">
        <w:rPr>
          <w:lang w:val="fr-FR"/>
        </w:rPr>
        <w:t>18</w:t>
      </w:r>
      <w:r w:rsidRPr="0002608B">
        <w:rPr>
          <w:lang w:val="fr-FR"/>
        </w:rPr>
        <w:t xml:space="preserve">. </w:t>
      </w:r>
      <w:r w:rsidRPr="0002608B">
        <w:t xml:space="preserve">A paleogenomic reconstruction of the deep population history of the Andes. </w:t>
      </w:r>
      <w:r w:rsidRPr="0002608B">
        <w:rPr>
          <w:i/>
          <w:iCs/>
        </w:rPr>
        <w:t>Cell</w:t>
      </w:r>
      <w:r w:rsidRPr="0002608B">
        <w:t xml:space="preserve"> 181: 1131–45. https://doi.org/10.1016/j.cell.2020.04.015</w:t>
      </w:r>
    </w:p>
    <w:p w14:paraId="1C4BF48B" w14:textId="5AC268CD" w:rsidR="00CF61B0" w:rsidRPr="0002608B" w:rsidRDefault="00CF61B0" w:rsidP="00CF61B0">
      <w:pPr>
        <w:pStyle w:val="Bibliography"/>
        <w:spacing w:line="360" w:lineRule="auto"/>
        <w:ind w:left="0" w:firstLine="0"/>
        <w:rPr>
          <w:lang w:val="fr-FR"/>
        </w:rPr>
      </w:pPr>
      <w:r w:rsidRPr="0002608B">
        <w:t xml:space="preserve">– 2020. Ancient genomes in South Patagonia reveal population movements associated with technological shifts and geography. </w:t>
      </w:r>
      <w:r w:rsidRPr="0002608B">
        <w:rPr>
          <w:i/>
          <w:iCs/>
          <w:lang w:val="fr-FR"/>
        </w:rPr>
        <w:t>Nature Communications</w:t>
      </w:r>
      <w:r w:rsidRPr="0002608B">
        <w:rPr>
          <w:lang w:val="fr-FR"/>
        </w:rPr>
        <w:t xml:space="preserve"> 11. https://doi.org/10.1038/s41467-020-17656-w</w:t>
      </w:r>
    </w:p>
    <w:p w14:paraId="3B14190B" w14:textId="3E304D10" w:rsidR="00513FD7" w:rsidRPr="00513FD7" w:rsidRDefault="00513FD7" w:rsidP="00513FD7">
      <w:pPr>
        <w:pStyle w:val="Bibliography"/>
        <w:spacing w:line="360" w:lineRule="auto"/>
        <w:ind w:left="0" w:firstLine="0"/>
        <w:rPr>
          <w:lang w:val="fr-FR"/>
        </w:rPr>
      </w:pPr>
      <w:r>
        <w:rPr>
          <w:smallCaps/>
        </w:rPr>
        <w:t>–</w:t>
      </w:r>
      <w:r w:rsidRPr="001B3D51">
        <w:t xml:space="preserve"> 2023. Genetic continuity and change among the Indigenous peoples of California. </w:t>
      </w:r>
      <w:r w:rsidRPr="00513FD7">
        <w:rPr>
          <w:i/>
          <w:iCs/>
          <w:lang w:val="fr-FR"/>
        </w:rPr>
        <w:t>Nature</w:t>
      </w:r>
      <w:r w:rsidRPr="00513FD7">
        <w:rPr>
          <w:lang w:val="fr-FR"/>
        </w:rPr>
        <w:t xml:space="preserve"> 624: 122–9. https://doi.org/10.1038/s41586-023-06771-5</w:t>
      </w:r>
    </w:p>
    <w:p w14:paraId="28F13ABC" w14:textId="77777777" w:rsidR="00CF61B0" w:rsidRPr="0002608B" w:rsidRDefault="00CF61B0" w:rsidP="00CF61B0">
      <w:pPr>
        <w:pStyle w:val="Bibliography"/>
        <w:spacing w:line="360" w:lineRule="auto"/>
        <w:ind w:left="0" w:firstLine="0"/>
      </w:pPr>
      <w:proofErr w:type="spellStart"/>
      <w:r w:rsidRPr="0002608B">
        <w:rPr>
          <w:smallCaps/>
          <w:lang w:val="fr-FR"/>
        </w:rPr>
        <w:t>Nieves</w:t>
      </w:r>
      <w:proofErr w:type="spellEnd"/>
      <w:r w:rsidRPr="0002608B">
        <w:rPr>
          <w:smallCaps/>
          <w:lang w:val="fr-FR"/>
        </w:rPr>
        <w:t>-Colón</w:t>
      </w:r>
      <w:r w:rsidRPr="0002608B">
        <w:rPr>
          <w:lang w:val="fr-FR"/>
        </w:rPr>
        <w:t xml:space="preserve">, M.A. </w:t>
      </w:r>
      <w:r w:rsidRPr="0002608B">
        <w:rPr>
          <w:i/>
          <w:lang w:val="fr-FR"/>
        </w:rPr>
        <w:t>et al</w:t>
      </w:r>
      <w:r w:rsidRPr="0002608B">
        <w:rPr>
          <w:lang w:val="fr-FR"/>
        </w:rPr>
        <w:t xml:space="preserve">. 2020. </w:t>
      </w:r>
      <w:r w:rsidRPr="0002608B">
        <w:t xml:space="preserve">Ancient DNA reconstructs the genetic legacies of precontact Puerto Rico communities. </w:t>
      </w:r>
      <w:r w:rsidRPr="0002608B">
        <w:rPr>
          <w:i/>
          <w:iCs/>
        </w:rPr>
        <w:t>Molecular Biology and Evolution</w:t>
      </w:r>
      <w:r w:rsidRPr="0002608B">
        <w:t xml:space="preserve"> 37: 611–26. https://doi.org/10.1093/molbev/msz267</w:t>
      </w:r>
    </w:p>
    <w:p w14:paraId="496707A7" w14:textId="77777777" w:rsidR="00CF61B0" w:rsidRPr="0002608B" w:rsidRDefault="00CF61B0" w:rsidP="00CF61B0">
      <w:pPr>
        <w:pStyle w:val="Bibliography"/>
        <w:spacing w:line="360" w:lineRule="auto"/>
        <w:ind w:left="0" w:firstLine="0"/>
      </w:pPr>
      <w:r w:rsidRPr="0002608B">
        <w:rPr>
          <w:smallCaps/>
        </w:rPr>
        <w:t>Offenbecker</w:t>
      </w:r>
      <w:r w:rsidRPr="0002608B">
        <w:t xml:space="preserve">, A.M. 2018. Geographic origins, status, and identity at Paquimé, northwest Chihuahua, Mexico. Unpublished PhD dissertation, University of Calgary. </w:t>
      </w:r>
    </w:p>
    <w:p w14:paraId="109D64D7" w14:textId="77777777" w:rsidR="00CF61B0" w:rsidRPr="0002608B" w:rsidRDefault="00CF61B0" w:rsidP="00CF61B0">
      <w:pPr>
        <w:pStyle w:val="Bibliography"/>
        <w:spacing w:line="360" w:lineRule="auto"/>
        <w:ind w:left="0" w:firstLine="0"/>
      </w:pPr>
      <w:r w:rsidRPr="0002608B">
        <w:rPr>
          <w:smallCaps/>
        </w:rPr>
        <w:lastRenderedPageBreak/>
        <w:t>Patterson</w:t>
      </w:r>
      <w:r w:rsidRPr="0002608B">
        <w:t xml:space="preserve">, N. </w:t>
      </w:r>
      <w:r w:rsidRPr="0002608B">
        <w:rPr>
          <w:i/>
          <w:iCs/>
        </w:rPr>
        <w:t xml:space="preserve">et al. </w:t>
      </w:r>
      <w:r w:rsidRPr="0002608B">
        <w:t xml:space="preserve">2012. Ancient admixture in human history. </w:t>
      </w:r>
      <w:r w:rsidRPr="0002608B">
        <w:rPr>
          <w:i/>
          <w:iCs/>
        </w:rPr>
        <w:t>Genetics</w:t>
      </w:r>
      <w:r w:rsidRPr="0002608B">
        <w:t xml:space="preserve"> 192: 1065–93. https://doi.org/10.1534/genetics.112.145037</w:t>
      </w:r>
    </w:p>
    <w:p w14:paraId="0132576A" w14:textId="77777777" w:rsidR="00CF61B0" w:rsidRPr="00513FD7" w:rsidRDefault="00CF61B0" w:rsidP="00CF61B0">
      <w:pPr>
        <w:pStyle w:val="Bibliography"/>
        <w:spacing w:line="360" w:lineRule="auto"/>
        <w:ind w:left="0" w:firstLine="0"/>
        <w:rPr>
          <w:lang w:val="fr-FR"/>
        </w:rPr>
      </w:pPr>
      <w:r w:rsidRPr="0002608B">
        <w:rPr>
          <w:smallCaps/>
        </w:rPr>
        <w:t>Pinhasi</w:t>
      </w:r>
      <w:r w:rsidRPr="0002608B">
        <w:t xml:space="preserve">, R. </w:t>
      </w:r>
      <w:r w:rsidRPr="0002608B">
        <w:rPr>
          <w:i/>
        </w:rPr>
        <w:t>et al</w:t>
      </w:r>
      <w:r w:rsidRPr="0002608B">
        <w:t xml:space="preserve">. 2015. Optimal ancient DNA yields from the inner ear part of the human petrous bone. </w:t>
      </w:r>
      <w:proofErr w:type="spellStart"/>
      <w:r w:rsidRPr="00513FD7">
        <w:rPr>
          <w:i/>
          <w:iCs/>
          <w:lang w:val="fr-FR"/>
        </w:rPr>
        <w:t>PLoS</w:t>
      </w:r>
      <w:proofErr w:type="spellEnd"/>
      <w:r w:rsidRPr="00513FD7">
        <w:rPr>
          <w:i/>
          <w:iCs/>
          <w:lang w:val="fr-FR"/>
        </w:rPr>
        <w:t xml:space="preserve"> ONE</w:t>
      </w:r>
      <w:r w:rsidRPr="00513FD7">
        <w:rPr>
          <w:lang w:val="fr-FR"/>
        </w:rPr>
        <w:t xml:space="preserve"> 10. https://doi.org/10.1371/journal.pone.0129102</w:t>
      </w:r>
    </w:p>
    <w:p w14:paraId="03501FAE" w14:textId="77777777" w:rsidR="00CF61B0" w:rsidRPr="00513FD7" w:rsidRDefault="00CF61B0" w:rsidP="00CF61B0">
      <w:pPr>
        <w:pStyle w:val="Bibliography"/>
        <w:spacing w:line="360" w:lineRule="auto"/>
        <w:ind w:left="0" w:firstLine="0"/>
        <w:rPr>
          <w:lang w:val="fr-FR"/>
        </w:rPr>
      </w:pPr>
      <w:proofErr w:type="spellStart"/>
      <w:r w:rsidRPr="00513FD7">
        <w:rPr>
          <w:smallCaps/>
          <w:lang w:val="fr-FR"/>
        </w:rPr>
        <w:t>Popović</w:t>
      </w:r>
      <w:proofErr w:type="spellEnd"/>
      <w:r w:rsidRPr="00513FD7">
        <w:rPr>
          <w:lang w:val="fr-FR"/>
        </w:rPr>
        <w:t xml:space="preserve">, D. </w:t>
      </w:r>
      <w:r w:rsidRPr="00513FD7">
        <w:rPr>
          <w:i/>
          <w:lang w:val="fr-FR"/>
        </w:rPr>
        <w:t>et al</w:t>
      </w:r>
      <w:r w:rsidRPr="00513FD7">
        <w:rPr>
          <w:lang w:val="fr-FR"/>
        </w:rPr>
        <w:t xml:space="preserve">. 2021. </w:t>
      </w:r>
      <w:r w:rsidRPr="0002608B">
        <w:t xml:space="preserve">Ancient genomes reveal long-range influence of the pre-Columbian culture and site of Tiwanaku. </w:t>
      </w:r>
      <w:r w:rsidRPr="00513FD7">
        <w:rPr>
          <w:i/>
          <w:iCs/>
          <w:lang w:val="fr-FR"/>
        </w:rPr>
        <w:t xml:space="preserve">Science </w:t>
      </w:r>
      <w:proofErr w:type="spellStart"/>
      <w:r w:rsidRPr="00513FD7">
        <w:rPr>
          <w:i/>
          <w:iCs/>
          <w:lang w:val="fr-FR"/>
        </w:rPr>
        <w:t>Advances</w:t>
      </w:r>
      <w:proofErr w:type="spellEnd"/>
      <w:r w:rsidRPr="00513FD7">
        <w:rPr>
          <w:lang w:val="fr-FR"/>
        </w:rPr>
        <w:t xml:space="preserve"> 7. https://doi.org/10.1126/sciadv.abg7261</w:t>
      </w:r>
    </w:p>
    <w:p w14:paraId="33DC0318" w14:textId="77777777" w:rsidR="00CF61B0" w:rsidRPr="0002608B" w:rsidRDefault="00CF61B0" w:rsidP="00CF61B0">
      <w:pPr>
        <w:pStyle w:val="Bibliography"/>
        <w:spacing w:line="360" w:lineRule="auto"/>
        <w:ind w:left="0" w:firstLine="0"/>
        <w:rPr>
          <w:lang w:val="fr-FR"/>
        </w:rPr>
      </w:pPr>
      <w:r w:rsidRPr="00513FD7">
        <w:rPr>
          <w:smallCaps/>
          <w:lang w:val="fr-FR"/>
        </w:rPr>
        <w:t>Posth</w:t>
      </w:r>
      <w:r w:rsidRPr="00513FD7">
        <w:rPr>
          <w:lang w:val="fr-FR"/>
        </w:rPr>
        <w:t xml:space="preserve">, C. </w:t>
      </w:r>
      <w:r w:rsidRPr="00513FD7">
        <w:rPr>
          <w:i/>
          <w:iCs/>
          <w:lang w:val="fr-FR"/>
        </w:rPr>
        <w:t>et al</w:t>
      </w:r>
      <w:r w:rsidRPr="00513FD7">
        <w:rPr>
          <w:lang w:val="fr-FR"/>
        </w:rPr>
        <w:t xml:space="preserve">. 2018. </w:t>
      </w:r>
      <w:r w:rsidRPr="0002608B">
        <w:t xml:space="preserve">Reconstructing the deep population history of Central and South America. </w:t>
      </w:r>
      <w:proofErr w:type="spellStart"/>
      <w:r w:rsidRPr="0002608B">
        <w:rPr>
          <w:i/>
          <w:iCs/>
          <w:lang w:val="fr-FR"/>
        </w:rPr>
        <w:t>Cell</w:t>
      </w:r>
      <w:proofErr w:type="spellEnd"/>
      <w:r w:rsidRPr="0002608B">
        <w:rPr>
          <w:lang w:val="fr-FR"/>
        </w:rPr>
        <w:t xml:space="preserve"> 175: 1185–97. https://doi.org/10.1016/j.cell.2018.10.027</w:t>
      </w:r>
    </w:p>
    <w:p w14:paraId="1A6F8D7E" w14:textId="77777777" w:rsidR="00CF61B0" w:rsidRPr="0002608B" w:rsidRDefault="00CF61B0" w:rsidP="00CF61B0">
      <w:pPr>
        <w:pStyle w:val="Bibliography"/>
        <w:spacing w:line="360" w:lineRule="auto"/>
        <w:ind w:left="0" w:firstLine="0"/>
      </w:pPr>
      <w:r w:rsidRPr="0002608B">
        <w:rPr>
          <w:smallCaps/>
          <w:lang w:val="fr-FR"/>
        </w:rPr>
        <w:t>Raghavan</w:t>
      </w:r>
      <w:r w:rsidRPr="0002608B">
        <w:rPr>
          <w:lang w:val="fr-FR"/>
        </w:rPr>
        <w:t xml:space="preserve">, M. </w:t>
      </w:r>
      <w:r w:rsidRPr="0002608B">
        <w:rPr>
          <w:i/>
          <w:lang w:val="fr-FR"/>
        </w:rPr>
        <w:t>et al</w:t>
      </w:r>
      <w:r w:rsidRPr="0002608B">
        <w:rPr>
          <w:lang w:val="fr-FR"/>
        </w:rPr>
        <w:t xml:space="preserve">. 2014. </w:t>
      </w:r>
      <w:r w:rsidRPr="0002608B">
        <w:t xml:space="preserve">The genetic prehistory of the New World Arctic. </w:t>
      </w:r>
      <w:r w:rsidRPr="0002608B">
        <w:rPr>
          <w:i/>
          <w:iCs/>
        </w:rPr>
        <w:t>Science</w:t>
      </w:r>
      <w:r w:rsidRPr="0002608B">
        <w:t xml:space="preserve"> 345. https://doi.org/10.1126/science.1255832</w:t>
      </w:r>
    </w:p>
    <w:p w14:paraId="4493D6D4" w14:textId="77777777" w:rsidR="00CF61B0" w:rsidRPr="0002608B" w:rsidRDefault="00CF61B0" w:rsidP="00CF61B0">
      <w:pPr>
        <w:pStyle w:val="Bibliography"/>
        <w:spacing w:line="360" w:lineRule="auto"/>
        <w:ind w:left="0" w:firstLine="0"/>
      </w:pPr>
      <w:r w:rsidRPr="0002608B">
        <w:t xml:space="preserve">– 2015. Genomic evidence for the Pleistocene and recent population history of Native Americans. </w:t>
      </w:r>
      <w:r w:rsidRPr="0002608B">
        <w:rPr>
          <w:i/>
          <w:iCs/>
        </w:rPr>
        <w:t>Science</w:t>
      </w:r>
      <w:r w:rsidRPr="0002608B">
        <w:t xml:space="preserve"> 349. https://doi.org/10.1126/science.aab3884</w:t>
      </w:r>
    </w:p>
    <w:p w14:paraId="76A5601C" w14:textId="77777777" w:rsidR="00CF61B0" w:rsidRPr="0002608B" w:rsidRDefault="00CF61B0" w:rsidP="00CF61B0">
      <w:pPr>
        <w:pStyle w:val="Bibliography"/>
        <w:spacing w:line="360" w:lineRule="auto"/>
        <w:ind w:left="0" w:firstLine="0"/>
      </w:pPr>
      <w:r w:rsidRPr="0002608B">
        <w:rPr>
          <w:smallCaps/>
        </w:rPr>
        <w:t>Ramos</w:t>
      </w:r>
      <w:r w:rsidRPr="0002608B">
        <w:t>, F.C. 1992. Isotope geology of the metamorphic core of the Central Grouse Creek Mountains, Box Elder County, Utah. Unpublished MA dissertation, University of California, Los Angeles.</w:t>
      </w:r>
    </w:p>
    <w:p w14:paraId="416519A4" w14:textId="77777777" w:rsidR="00CF61B0" w:rsidRPr="0002608B" w:rsidRDefault="00CF61B0" w:rsidP="00CF61B0">
      <w:pPr>
        <w:pStyle w:val="Bibliography"/>
        <w:spacing w:line="360" w:lineRule="auto"/>
        <w:ind w:left="0" w:firstLine="0"/>
      </w:pPr>
      <w:r w:rsidRPr="0002608B">
        <w:rPr>
          <w:smallCaps/>
        </w:rPr>
        <w:t>Rasmussen</w:t>
      </w:r>
      <w:r w:rsidRPr="0002608B">
        <w:t xml:space="preserve">, M. </w:t>
      </w:r>
      <w:r w:rsidRPr="0002608B">
        <w:rPr>
          <w:i/>
        </w:rPr>
        <w:t>et al</w:t>
      </w:r>
      <w:r w:rsidRPr="0002608B">
        <w:t xml:space="preserve">. 2014. The genome of a Late Pleistocene human from a Clovis burial site in western Montana. </w:t>
      </w:r>
      <w:r w:rsidRPr="0002608B">
        <w:rPr>
          <w:i/>
          <w:iCs/>
        </w:rPr>
        <w:t>Nature</w:t>
      </w:r>
      <w:r w:rsidRPr="0002608B">
        <w:t xml:space="preserve"> 506: 225–29. https://doi.org/10.1038/nature13025</w:t>
      </w:r>
    </w:p>
    <w:p w14:paraId="5E959200" w14:textId="77777777" w:rsidR="00CF61B0" w:rsidRPr="0002608B" w:rsidRDefault="00CF61B0" w:rsidP="00CF61B0">
      <w:pPr>
        <w:pStyle w:val="Bibliography"/>
        <w:spacing w:line="360" w:lineRule="auto"/>
        <w:ind w:left="0" w:firstLine="0"/>
        <w:rPr>
          <w:lang w:val="fr-FR"/>
        </w:rPr>
      </w:pPr>
      <w:r w:rsidRPr="0002608B">
        <w:t xml:space="preserve">– 2015. The ancestry and affiliations of Kennewick Man. </w:t>
      </w:r>
      <w:r w:rsidRPr="0002608B">
        <w:rPr>
          <w:i/>
          <w:iCs/>
          <w:lang w:val="fr-FR"/>
        </w:rPr>
        <w:t>Nature</w:t>
      </w:r>
      <w:r w:rsidRPr="0002608B">
        <w:rPr>
          <w:lang w:val="fr-FR"/>
        </w:rPr>
        <w:t xml:space="preserve"> 523: 455–8. https://doi.org/10.1038/nature14625</w:t>
      </w:r>
    </w:p>
    <w:p w14:paraId="2B0EF9A5" w14:textId="77777777" w:rsidR="00CF61B0" w:rsidRPr="00513FD7" w:rsidRDefault="00CF61B0" w:rsidP="00CF61B0">
      <w:pPr>
        <w:pStyle w:val="Bibliography"/>
        <w:spacing w:line="360" w:lineRule="auto"/>
        <w:ind w:left="0" w:firstLine="0"/>
        <w:rPr>
          <w:lang w:val="fr-FR"/>
        </w:rPr>
      </w:pPr>
      <w:r w:rsidRPr="00513FD7">
        <w:rPr>
          <w:smallCaps/>
          <w:lang w:val="fr-FR"/>
        </w:rPr>
        <w:t>Reich</w:t>
      </w:r>
      <w:r w:rsidRPr="00513FD7">
        <w:rPr>
          <w:lang w:val="fr-FR"/>
        </w:rPr>
        <w:t xml:space="preserve">, D. </w:t>
      </w:r>
      <w:r w:rsidRPr="00513FD7">
        <w:rPr>
          <w:i/>
          <w:lang w:val="fr-FR"/>
        </w:rPr>
        <w:t>et al</w:t>
      </w:r>
      <w:r w:rsidRPr="00513FD7">
        <w:rPr>
          <w:lang w:val="fr-FR"/>
        </w:rPr>
        <w:t xml:space="preserve">. 2012. </w:t>
      </w:r>
      <w:r w:rsidRPr="0002608B">
        <w:t xml:space="preserve">Reconstructing Native American population history. </w:t>
      </w:r>
      <w:r w:rsidRPr="00513FD7">
        <w:rPr>
          <w:i/>
          <w:iCs/>
          <w:lang w:val="fr-FR"/>
        </w:rPr>
        <w:t>Nature</w:t>
      </w:r>
      <w:r w:rsidRPr="00513FD7">
        <w:rPr>
          <w:lang w:val="fr-FR"/>
        </w:rPr>
        <w:t xml:space="preserve"> 488: 370–74. https://doi.org/10.1038/nature11258</w:t>
      </w:r>
    </w:p>
    <w:p w14:paraId="788BFB24" w14:textId="77777777" w:rsidR="00CF61B0" w:rsidRPr="00F13F3D" w:rsidRDefault="00CF61B0" w:rsidP="00CF61B0">
      <w:pPr>
        <w:pStyle w:val="Bibliography"/>
        <w:spacing w:line="360" w:lineRule="auto"/>
        <w:ind w:left="0" w:firstLine="0"/>
      </w:pPr>
      <w:r w:rsidRPr="0002608B">
        <w:rPr>
          <w:smallCaps/>
          <w:lang w:val="fr-FR"/>
        </w:rPr>
        <w:t>Reimer</w:t>
      </w:r>
      <w:r w:rsidRPr="0002608B">
        <w:rPr>
          <w:lang w:val="fr-FR"/>
        </w:rPr>
        <w:t xml:space="preserve">, P.J. </w:t>
      </w:r>
      <w:r w:rsidRPr="0002608B">
        <w:rPr>
          <w:i/>
          <w:lang w:val="fr-FR"/>
        </w:rPr>
        <w:t>et al</w:t>
      </w:r>
      <w:r w:rsidRPr="0002608B">
        <w:rPr>
          <w:lang w:val="fr-FR"/>
        </w:rPr>
        <w:t xml:space="preserve">. 2020. </w:t>
      </w:r>
      <w:r w:rsidRPr="0002608B">
        <w:t xml:space="preserve">The IntCal20 Northern Hemisphere radiocarbon age calibration curve (0–55 </w:t>
      </w:r>
      <w:proofErr w:type="spellStart"/>
      <w:r w:rsidRPr="0002608B">
        <w:t>cal</w:t>
      </w:r>
      <w:proofErr w:type="spellEnd"/>
      <w:r w:rsidRPr="0002608B">
        <w:t xml:space="preserve"> </w:t>
      </w:r>
      <w:proofErr w:type="spellStart"/>
      <w:r w:rsidRPr="0002608B">
        <w:t>kBP</w:t>
      </w:r>
      <w:proofErr w:type="spellEnd"/>
      <w:r w:rsidRPr="0002608B">
        <w:t xml:space="preserve">). </w:t>
      </w:r>
      <w:r w:rsidRPr="00F13F3D">
        <w:rPr>
          <w:i/>
          <w:iCs/>
        </w:rPr>
        <w:t>Radiocarbon</w:t>
      </w:r>
      <w:r w:rsidRPr="00F13F3D">
        <w:t xml:space="preserve"> 62: 725–57. https://doi.org/10.1017/RDC.2020.41</w:t>
      </w:r>
    </w:p>
    <w:p w14:paraId="2D2E89DE" w14:textId="77777777" w:rsidR="00CF61B0" w:rsidRPr="0002608B" w:rsidRDefault="00CF61B0" w:rsidP="00CF61B0">
      <w:pPr>
        <w:pStyle w:val="Bibliography"/>
        <w:spacing w:line="360" w:lineRule="auto"/>
        <w:ind w:left="0" w:firstLine="0"/>
        <w:rPr>
          <w:lang w:val="en-GB"/>
        </w:rPr>
      </w:pPr>
      <w:r w:rsidRPr="00F13F3D">
        <w:rPr>
          <w:smallCaps/>
          <w:lang w:val="en-GB"/>
        </w:rPr>
        <w:t>Ringbauer</w:t>
      </w:r>
      <w:r w:rsidRPr="00F13F3D">
        <w:rPr>
          <w:lang w:val="en-GB"/>
        </w:rPr>
        <w:t xml:space="preserve">, H., J. </w:t>
      </w:r>
      <w:r w:rsidRPr="00F13F3D">
        <w:rPr>
          <w:smallCaps/>
          <w:lang w:val="en-GB"/>
        </w:rPr>
        <w:t>Novembre</w:t>
      </w:r>
      <w:r w:rsidRPr="00F13F3D">
        <w:rPr>
          <w:lang w:val="en-GB"/>
        </w:rPr>
        <w:t xml:space="preserve"> &amp; M. </w:t>
      </w:r>
      <w:proofErr w:type="spellStart"/>
      <w:r w:rsidRPr="00F13F3D">
        <w:rPr>
          <w:smallCaps/>
          <w:lang w:val="en-GB"/>
        </w:rPr>
        <w:t>Steinrücken</w:t>
      </w:r>
      <w:proofErr w:type="spellEnd"/>
      <w:r w:rsidRPr="00F13F3D">
        <w:rPr>
          <w:lang w:val="en-GB"/>
        </w:rPr>
        <w:t xml:space="preserve">. </w:t>
      </w:r>
      <w:r w:rsidRPr="0002608B">
        <w:t xml:space="preserve">2021. Parental relatedness through time revealed by runs of homozygosity in ancient DNA. </w:t>
      </w:r>
      <w:r w:rsidRPr="0002608B">
        <w:rPr>
          <w:i/>
          <w:iCs/>
          <w:lang w:val="en-GB"/>
        </w:rPr>
        <w:t>Nature Communications</w:t>
      </w:r>
      <w:r w:rsidRPr="0002608B">
        <w:rPr>
          <w:lang w:val="en-GB"/>
        </w:rPr>
        <w:t xml:space="preserve"> 12. https://doi.org/10.1038/s41467-021-25289-w</w:t>
      </w:r>
    </w:p>
    <w:p w14:paraId="6D6BD1CD" w14:textId="77777777" w:rsidR="00CF61B0" w:rsidRPr="0002608B" w:rsidRDefault="00CF61B0" w:rsidP="00CF61B0">
      <w:pPr>
        <w:pStyle w:val="Bibliography"/>
        <w:spacing w:line="360" w:lineRule="auto"/>
        <w:ind w:left="0" w:firstLine="0"/>
      </w:pPr>
      <w:r w:rsidRPr="0002608B">
        <w:rPr>
          <w:smallCaps/>
        </w:rPr>
        <w:t>Rohland</w:t>
      </w:r>
      <w:r w:rsidRPr="0002608B">
        <w:t xml:space="preserve">, N., E. </w:t>
      </w:r>
      <w:r w:rsidRPr="0002608B">
        <w:rPr>
          <w:smallCaps/>
        </w:rPr>
        <w:t>Harney</w:t>
      </w:r>
      <w:r w:rsidRPr="0002608B">
        <w:t xml:space="preserve">, S. </w:t>
      </w:r>
      <w:r w:rsidRPr="0002608B">
        <w:rPr>
          <w:smallCaps/>
        </w:rPr>
        <w:t>Mallick</w:t>
      </w:r>
      <w:r w:rsidRPr="0002608B">
        <w:t xml:space="preserve">, S. </w:t>
      </w:r>
      <w:proofErr w:type="spellStart"/>
      <w:r w:rsidRPr="0002608B">
        <w:rPr>
          <w:smallCaps/>
        </w:rPr>
        <w:t>Nordenfelt</w:t>
      </w:r>
      <w:proofErr w:type="spellEnd"/>
      <w:r w:rsidRPr="0002608B">
        <w:t xml:space="preserve"> &amp; D. </w:t>
      </w:r>
      <w:r w:rsidRPr="0002608B">
        <w:rPr>
          <w:smallCaps/>
        </w:rPr>
        <w:t>Reich</w:t>
      </w:r>
      <w:r w:rsidRPr="0002608B">
        <w:t xml:space="preserve">. 2015. Partial uracil-DNA-glycosylase treatment for screening of ancient DNA. </w:t>
      </w:r>
      <w:r w:rsidRPr="0002608B">
        <w:rPr>
          <w:i/>
          <w:iCs/>
        </w:rPr>
        <w:t>Philosophical Transactions of the Royal Society of London. Series B, Biological Sciences</w:t>
      </w:r>
      <w:r w:rsidRPr="0002608B">
        <w:t xml:space="preserve"> 370. https://doi.org/10.1098/rstb.2013.0624</w:t>
      </w:r>
    </w:p>
    <w:p w14:paraId="5C5CA29A" w14:textId="77777777" w:rsidR="00CF61B0" w:rsidRPr="0002608B" w:rsidRDefault="00CF61B0" w:rsidP="00CF61B0">
      <w:pPr>
        <w:pStyle w:val="Bibliography"/>
        <w:spacing w:line="360" w:lineRule="auto"/>
        <w:ind w:left="0" w:firstLine="0"/>
        <w:rPr>
          <w:lang w:val="fr-FR"/>
        </w:rPr>
      </w:pPr>
      <w:r w:rsidRPr="0002608B">
        <w:rPr>
          <w:smallCaps/>
          <w:lang w:val="de-DE"/>
        </w:rPr>
        <w:lastRenderedPageBreak/>
        <w:t>Rohland</w:t>
      </w:r>
      <w:r w:rsidRPr="0002608B">
        <w:rPr>
          <w:lang w:val="de-DE"/>
        </w:rPr>
        <w:t xml:space="preserve">, N., I. </w:t>
      </w:r>
      <w:r w:rsidRPr="0002608B">
        <w:rPr>
          <w:smallCaps/>
          <w:lang w:val="de-DE"/>
        </w:rPr>
        <w:t>Glocke</w:t>
      </w:r>
      <w:r w:rsidRPr="0002608B">
        <w:rPr>
          <w:lang w:val="de-DE"/>
        </w:rPr>
        <w:t xml:space="preserve">, A. </w:t>
      </w:r>
      <w:r w:rsidRPr="0002608B">
        <w:rPr>
          <w:smallCaps/>
          <w:lang w:val="de-DE"/>
        </w:rPr>
        <w:t>Aximu-Petri</w:t>
      </w:r>
      <w:r w:rsidRPr="0002608B">
        <w:rPr>
          <w:lang w:val="de-DE"/>
        </w:rPr>
        <w:t xml:space="preserve"> &amp; M. </w:t>
      </w:r>
      <w:r w:rsidRPr="0002608B">
        <w:rPr>
          <w:smallCaps/>
          <w:lang w:val="de-DE"/>
        </w:rPr>
        <w:t>Meyer</w:t>
      </w:r>
      <w:r w:rsidRPr="0002608B">
        <w:rPr>
          <w:lang w:val="de-DE"/>
        </w:rPr>
        <w:t xml:space="preserve">. </w:t>
      </w:r>
      <w:r w:rsidRPr="0002608B">
        <w:t xml:space="preserve">2018. Extraction of highly degraded DNA from ancient bones, teeth and sediments for high-throughput sequencing. </w:t>
      </w:r>
      <w:r w:rsidRPr="0002608B">
        <w:rPr>
          <w:i/>
          <w:iCs/>
          <w:lang w:val="fr-FR"/>
        </w:rPr>
        <w:t xml:space="preserve">Nature </w:t>
      </w:r>
      <w:proofErr w:type="spellStart"/>
      <w:r w:rsidRPr="0002608B">
        <w:rPr>
          <w:i/>
          <w:iCs/>
          <w:lang w:val="fr-FR"/>
        </w:rPr>
        <w:t>Protocols</w:t>
      </w:r>
      <w:proofErr w:type="spellEnd"/>
      <w:r w:rsidRPr="0002608B">
        <w:rPr>
          <w:lang w:val="fr-FR"/>
        </w:rPr>
        <w:t xml:space="preserve"> 13: 2447–61. https://doi.org/10.1038/s41596-018-0050-5</w:t>
      </w:r>
    </w:p>
    <w:p w14:paraId="68D6D4F8" w14:textId="77777777" w:rsidR="00CF61B0" w:rsidRPr="0002608B" w:rsidRDefault="00CF61B0" w:rsidP="00CF61B0">
      <w:pPr>
        <w:pStyle w:val="Bibliography"/>
        <w:spacing w:line="360" w:lineRule="auto"/>
        <w:ind w:left="0" w:firstLine="0"/>
        <w:rPr>
          <w:lang w:val="fr-FR"/>
        </w:rPr>
      </w:pPr>
      <w:r w:rsidRPr="0002608B">
        <w:rPr>
          <w:smallCaps/>
          <w:lang w:val="fr-FR"/>
        </w:rPr>
        <w:t>Scheib</w:t>
      </w:r>
      <w:r w:rsidRPr="0002608B">
        <w:rPr>
          <w:lang w:val="fr-FR"/>
        </w:rPr>
        <w:t xml:space="preserve">, C.L. </w:t>
      </w:r>
      <w:r w:rsidRPr="0002608B">
        <w:rPr>
          <w:i/>
          <w:iCs/>
          <w:lang w:val="fr-FR"/>
        </w:rPr>
        <w:t>et al</w:t>
      </w:r>
      <w:r w:rsidRPr="0002608B">
        <w:rPr>
          <w:lang w:val="fr-FR"/>
        </w:rPr>
        <w:t xml:space="preserve">. 2018. </w:t>
      </w:r>
      <w:r w:rsidRPr="0002608B">
        <w:t xml:space="preserve">Ancient human parallel lineages within North America contributed to a coastal expansion. </w:t>
      </w:r>
      <w:r w:rsidRPr="0002608B">
        <w:rPr>
          <w:i/>
          <w:iCs/>
          <w:lang w:val="fr-FR"/>
        </w:rPr>
        <w:t>Science</w:t>
      </w:r>
      <w:r w:rsidRPr="0002608B">
        <w:rPr>
          <w:lang w:val="fr-FR"/>
        </w:rPr>
        <w:t xml:space="preserve"> 360: 1024–27. https://doi.org/10.1126/science.aar6851</w:t>
      </w:r>
    </w:p>
    <w:p w14:paraId="14B524EF" w14:textId="77777777" w:rsidR="00CF61B0" w:rsidRPr="0002608B" w:rsidRDefault="00CF61B0" w:rsidP="00CF61B0">
      <w:pPr>
        <w:pStyle w:val="Bibliography"/>
        <w:spacing w:line="360" w:lineRule="auto"/>
        <w:ind w:left="0" w:firstLine="0"/>
      </w:pPr>
      <w:r w:rsidRPr="0002608B">
        <w:rPr>
          <w:smallCaps/>
          <w:lang w:val="fr-FR"/>
        </w:rPr>
        <w:t>Schroeder</w:t>
      </w:r>
      <w:r w:rsidRPr="0002608B">
        <w:rPr>
          <w:lang w:val="fr-FR"/>
        </w:rPr>
        <w:t xml:space="preserve">, H. </w:t>
      </w:r>
      <w:r w:rsidRPr="0002608B">
        <w:rPr>
          <w:i/>
          <w:lang w:val="fr-FR"/>
        </w:rPr>
        <w:t>et al</w:t>
      </w:r>
      <w:r w:rsidRPr="0002608B">
        <w:rPr>
          <w:lang w:val="fr-FR"/>
        </w:rPr>
        <w:t xml:space="preserve">. 2018. </w:t>
      </w:r>
      <w:r w:rsidRPr="0002608B">
        <w:t xml:space="preserve">Origins and genetic legacies of the Caribbean Taino. </w:t>
      </w:r>
      <w:r w:rsidRPr="0002608B">
        <w:rPr>
          <w:i/>
          <w:iCs/>
        </w:rPr>
        <w:t>Proceedings of the National Academy of Sciences</w:t>
      </w:r>
      <w:r w:rsidRPr="0002608B">
        <w:t xml:space="preserve"> 115: 2341–46. https://doi.org/10.1073/pnas.1716839115</w:t>
      </w:r>
    </w:p>
    <w:p w14:paraId="04569B73" w14:textId="77777777" w:rsidR="00CF61B0" w:rsidRPr="0002608B" w:rsidRDefault="00CF61B0" w:rsidP="00CF61B0">
      <w:pPr>
        <w:pStyle w:val="Bibliography"/>
        <w:spacing w:line="360" w:lineRule="auto"/>
        <w:ind w:left="0" w:firstLine="0"/>
      </w:pPr>
      <w:proofErr w:type="spellStart"/>
      <w:r w:rsidRPr="0002608B">
        <w:rPr>
          <w:smallCaps/>
          <w:lang w:val="es-ES"/>
        </w:rPr>
        <w:t>Semanko</w:t>
      </w:r>
      <w:proofErr w:type="spellEnd"/>
      <w:r w:rsidRPr="0002608B">
        <w:rPr>
          <w:lang w:val="es-ES"/>
        </w:rPr>
        <w:t xml:space="preserve">, A. &amp; F.C. </w:t>
      </w:r>
      <w:r w:rsidRPr="0002608B">
        <w:rPr>
          <w:smallCaps/>
          <w:lang w:val="es-ES"/>
        </w:rPr>
        <w:t>Ramos</w:t>
      </w:r>
      <w:r w:rsidRPr="0002608B">
        <w:rPr>
          <w:lang w:val="es-ES"/>
        </w:rPr>
        <w:t xml:space="preserve">. </w:t>
      </w:r>
      <w:r w:rsidRPr="0002608B">
        <w:t xml:space="preserve">2022. Teaching an old dog new tricks: implications for isotopic studies of southwest dogs. </w:t>
      </w:r>
      <w:r w:rsidRPr="0002608B">
        <w:rPr>
          <w:i/>
          <w:iCs/>
        </w:rPr>
        <w:t>KIVA</w:t>
      </w:r>
      <w:r w:rsidRPr="0002608B">
        <w:t xml:space="preserve"> 88: 327–46. https://doi.org/10.1080/00231940.2022.2036911</w:t>
      </w:r>
    </w:p>
    <w:p w14:paraId="09964E37" w14:textId="77777777" w:rsidR="00CF61B0" w:rsidRPr="00513FD7" w:rsidRDefault="00CF61B0" w:rsidP="00CF61B0">
      <w:pPr>
        <w:pStyle w:val="Bibliography"/>
        <w:spacing w:line="360" w:lineRule="auto"/>
        <w:ind w:left="0" w:firstLine="0"/>
        <w:rPr>
          <w:lang w:val="en-GB"/>
        </w:rPr>
      </w:pPr>
      <w:r w:rsidRPr="0002608B">
        <w:rPr>
          <w:smallCaps/>
        </w:rPr>
        <w:t>Skoglund</w:t>
      </w:r>
      <w:r w:rsidRPr="0002608B">
        <w:t xml:space="preserve">, P. </w:t>
      </w:r>
      <w:r w:rsidRPr="0002608B">
        <w:rPr>
          <w:i/>
          <w:iCs/>
        </w:rPr>
        <w:t xml:space="preserve">et al. </w:t>
      </w:r>
      <w:r w:rsidRPr="0002608B">
        <w:t xml:space="preserve">2015. Genetic evidence for two founding populations of the Americas. </w:t>
      </w:r>
      <w:r w:rsidRPr="00513FD7">
        <w:rPr>
          <w:i/>
          <w:iCs/>
          <w:lang w:val="en-GB"/>
        </w:rPr>
        <w:t xml:space="preserve">Nature </w:t>
      </w:r>
      <w:r w:rsidRPr="00513FD7">
        <w:rPr>
          <w:lang w:val="en-GB"/>
        </w:rPr>
        <w:t>525: 104–108. https://doi.org/10.1038/nature14895</w:t>
      </w:r>
    </w:p>
    <w:p w14:paraId="664359BD" w14:textId="77777777" w:rsidR="00CF61B0" w:rsidRPr="0002608B" w:rsidRDefault="00CF61B0" w:rsidP="00CF61B0">
      <w:pPr>
        <w:pStyle w:val="Bibliography"/>
        <w:spacing w:line="360" w:lineRule="auto"/>
        <w:ind w:left="0" w:firstLine="0"/>
      </w:pPr>
      <w:r w:rsidRPr="0002608B">
        <w:t>The 1000 Genomes Project Consortium</w:t>
      </w:r>
      <w:r w:rsidRPr="0002608B">
        <w:rPr>
          <w:smallCaps/>
        </w:rPr>
        <w:t xml:space="preserve">. </w:t>
      </w:r>
      <w:r w:rsidRPr="0002608B">
        <w:t xml:space="preserve">2015. A global reference for human genetic variation. </w:t>
      </w:r>
      <w:r w:rsidRPr="0002608B">
        <w:rPr>
          <w:i/>
          <w:iCs/>
        </w:rPr>
        <w:t>Nature</w:t>
      </w:r>
      <w:r w:rsidRPr="0002608B">
        <w:t xml:space="preserve"> 526: 68–74. https://doi.org/10.1038/nature15393</w:t>
      </w:r>
    </w:p>
    <w:p w14:paraId="40D6859F" w14:textId="77777777" w:rsidR="00CF61B0" w:rsidRPr="0002608B" w:rsidRDefault="00CF61B0" w:rsidP="00CF61B0">
      <w:pPr>
        <w:pStyle w:val="Bibliography"/>
        <w:spacing w:line="360" w:lineRule="auto"/>
        <w:ind w:left="0" w:firstLine="0"/>
      </w:pPr>
      <w:r w:rsidRPr="0002608B">
        <w:rPr>
          <w:smallCaps/>
        </w:rPr>
        <w:t>Tiesler</w:t>
      </w:r>
      <w:r w:rsidRPr="0002608B">
        <w:t xml:space="preserve">, V. </w:t>
      </w:r>
      <w:r w:rsidRPr="0002608B">
        <w:rPr>
          <w:i/>
        </w:rPr>
        <w:t>et al</w:t>
      </w:r>
      <w:r w:rsidRPr="0002608B">
        <w:t xml:space="preserve">. 2022. Life and death in early colonial Campeche: new insights from ancient DNA. </w:t>
      </w:r>
      <w:r w:rsidRPr="0002608B">
        <w:rPr>
          <w:i/>
          <w:iCs/>
        </w:rPr>
        <w:t>Antiquity</w:t>
      </w:r>
      <w:r w:rsidRPr="0002608B">
        <w:t xml:space="preserve"> 96: 937–54. https://doi.org/10.15184/aqy.2022.79</w:t>
      </w:r>
    </w:p>
    <w:p w14:paraId="00D0F610" w14:textId="77777777" w:rsidR="00CF61B0" w:rsidRPr="0002608B" w:rsidRDefault="00CF61B0" w:rsidP="00CF61B0">
      <w:pPr>
        <w:pStyle w:val="Bibliography"/>
        <w:spacing w:line="360" w:lineRule="auto"/>
        <w:ind w:left="0" w:firstLine="0"/>
      </w:pPr>
      <w:proofErr w:type="spellStart"/>
      <w:r w:rsidRPr="00513FD7">
        <w:rPr>
          <w:smallCaps/>
          <w:lang w:val="en-GB"/>
        </w:rPr>
        <w:t>Weissensteiner</w:t>
      </w:r>
      <w:proofErr w:type="spellEnd"/>
      <w:r w:rsidRPr="00513FD7">
        <w:rPr>
          <w:lang w:val="en-GB"/>
        </w:rPr>
        <w:t xml:space="preserve">, H. </w:t>
      </w:r>
      <w:r w:rsidRPr="00513FD7">
        <w:rPr>
          <w:i/>
          <w:iCs/>
          <w:lang w:val="en-GB"/>
        </w:rPr>
        <w:t xml:space="preserve">et al. </w:t>
      </w:r>
      <w:r w:rsidRPr="0002608B">
        <w:t xml:space="preserve">2016. </w:t>
      </w:r>
      <w:proofErr w:type="spellStart"/>
      <w:r w:rsidRPr="0002608B">
        <w:t>HaploGrep</w:t>
      </w:r>
      <w:proofErr w:type="spellEnd"/>
      <w:r w:rsidRPr="0002608B">
        <w:t xml:space="preserve"> 2: mitochondrial haplogroup classification in the era of high-throughput sequencing. </w:t>
      </w:r>
      <w:r w:rsidRPr="0002608B">
        <w:rPr>
          <w:i/>
          <w:iCs/>
        </w:rPr>
        <w:t>Nucleic Acids Research</w:t>
      </w:r>
      <w:r w:rsidRPr="0002608B">
        <w:t xml:space="preserve"> 44: W58–63. https://doi.org/10.1093/nar/gkw233</w:t>
      </w:r>
    </w:p>
    <w:p w14:paraId="6B7C7A5C" w14:textId="77777777" w:rsidR="00CF61B0" w:rsidRPr="0002608B" w:rsidRDefault="00CF61B0" w:rsidP="00CF61B0">
      <w:pPr>
        <w:spacing w:line="360" w:lineRule="auto"/>
      </w:pPr>
    </w:p>
    <w:p w14:paraId="216EFE41" w14:textId="77777777" w:rsidR="00CF61B0" w:rsidRPr="0002608B" w:rsidRDefault="00CF61B0" w:rsidP="00CF61B0"/>
    <w:p w14:paraId="2B72B12C" w14:textId="44FD3692" w:rsidR="00822005" w:rsidRPr="00EE5952" w:rsidRDefault="00822005" w:rsidP="00EE5952">
      <w:pPr>
        <w:spacing w:line="360" w:lineRule="auto"/>
      </w:pPr>
    </w:p>
    <w:sectPr w:rsidR="00822005" w:rsidRPr="00EE5952" w:rsidSect="00967D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F0FA7" w14:textId="77777777" w:rsidR="00967D1F" w:rsidRDefault="00967D1F" w:rsidP="00981FEC">
      <w:r>
        <w:separator/>
      </w:r>
    </w:p>
  </w:endnote>
  <w:endnote w:type="continuationSeparator" w:id="0">
    <w:p w14:paraId="47FB7F47" w14:textId="77777777" w:rsidR="00967D1F" w:rsidRDefault="00967D1F" w:rsidP="0098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94395" w14:textId="77777777" w:rsidR="00967D1F" w:rsidRDefault="00967D1F" w:rsidP="00981FEC">
      <w:r>
        <w:separator/>
      </w:r>
    </w:p>
  </w:footnote>
  <w:footnote w:type="continuationSeparator" w:id="0">
    <w:p w14:paraId="556B4A00" w14:textId="77777777" w:rsidR="00967D1F" w:rsidRDefault="00967D1F" w:rsidP="00981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36"/>
    <w:rsid w:val="000167B2"/>
    <w:rsid w:val="00021B07"/>
    <w:rsid w:val="000317BE"/>
    <w:rsid w:val="00035837"/>
    <w:rsid w:val="0005002F"/>
    <w:rsid w:val="00061A65"/>
    <w:rsid w:val="00063576"/>
    <w:rsid w:val="00070DB8"/>
    <w:rsid w:val="0007782D"/>
    <w:rsid w:val="0008091C"/>
    <w:rsid w:val="0008424B"/>
    <w:rsid w:val="000942F0"/>
    <w:rsid w:val="000A581D"/>
    <w:rsid w:val="000A755F"/>
    <w:rsid w:val="000C7BB8"/>
    <w:rsid w:val="000E1C6B"/>
    <w:rsid w:val="000E4E0F"/>
    <w:rsid w:val="000F1214"/>
    <w:rsid w:val="000F6500"/>
    <w:rsid w:val="000F6B8C"/>
    <w:rsid w:val="00124183"/>
    <w:rsid w:val="00142056"/>
    <w:rsid w:val="001431D8"/>
    <w:rsid w:val="001628A1"/>
    <w:rsid w:val="001C39CD"/>
    <w:rsid w:val="001E6CBF"/>
    <w:rsid w:val="002134FD"/>
    <w:rsid w:val="00220951"/>
    <w:rsid w:val="00271BD9"/>
    <w:rsid w:val="002A23EB"/>
    <w:rsid w:val="002B1E9C"/>
    <w:rsid w:val="002B74ED"/>
    <w:rsid w:val="00302C9D"/>
    <w:rsid w:val="00336A57"/>
    <w:rsid w:val="003408E9"/>
    <w:rsid w:val="00366C5F"/>
    <w:rsid w:val="0037217D"/>
    <w:rsid w:val="0038120A"/>
    <w:rsid w:val="00384E93"/>
    <w:rsid w:val="003B7385"/>
    <w:rsid w:val="003D2B36"/>
    <w:rsid w:val="003E4577"/>
    <w:rsid w:val="003F0755"/>
    <w:rsid w:val="00410E59"/>
    <w:rsid w:val="00413777"/>
    <w:rsid w:val="0042082C"/>
    <w:rsid w:val="00432696"/>
    <w:rsid w:val="0044680F"/>
    <w:rsid w:val="00453511"/>
    <w:rsid w:val="004620BA"/>
    <w:rsid w:val="004628CC"/>
    <w:rsid w:val="004958D3"/>
    <w:rsid w:val="004B265A"/>
    <w:rsid w:val="004B61E0"/>
    <w:rsid w:val="004B6C65"/>
    <w:rsid w:val="004D5B38"/>
    <w:rsid w:val="00507D26"/>
    <w:rsid w:val="00513FD7"/>
    <w:rsid w:val="00515FC9"/>
    <w:rsid w:val="00527BC6"/>
    <w:rsid w:val="00545D17"/>
    <w:rsid w:val="00552B11"/>
    <w:rsid w:val="0055701D"/>
    <w:rsid w:val="00574A47"/>
    <w:rsid w:val="00575423"/>
    <w:rsid w:val="00582F15"/>
    <w:rsid w:val="005C0495"/>
    <w:rsid w:val="005D46E8"/>
    <w:rsid w:val="005D5E7D"/>
    <w:rsid w:val="005D6347"/>
    <w:rsid w:val="005E3F16"/>
    <w:rsid w:val="005F0C47"/>
    <w:rsid w:val="00604BC9"/>
    <w:rsid w:val="006156EB"/>
    <w:rsid w:val="00617B23"/>
    <w:rsid w:val="00656C01"/>
    <w:rsid w:val="00663019"/>
    <w:rsid w:val="0067349E"/>
    <w:rsid w:val="00687620"/>
    <w:rsid w:val="006B76D7"/>
    <w:rsid w:val="00726AD2"/>
    <w:rsid w:val="007346E2"/>
    <w:rsid w:val="0074605B"/>
    <w:rsid w:val="0075037B"/>
    <w:rsid w:val="007574AA"/>
    <w:rsid w:val="00773D4A"/>
    <w:rsid w:val="00776835"/>
    <w:rsid w:val="00777479"/>
    <w:rsid w:val="0078566B"/>
    <w:rsid w:val="007C500B"/>
    <w:rsid w:val="00805660"/>
    <w:rsid w:val="00806716"/>
    <w:rsid w:val="008071CB"/>
    <w:rsid w:val="008146D9"/>
    <w:rsid w:val="00821286"/>
    <w:rsid w:val="00822005"/>
    <w:rsid w:val="00827DFD"/>
    <w:rsid w:val="008372D7"/>
    <w:rsid w:val="00837CDD"/>
    <w:rsid w:val="0085091E"/>
    <w:rsid w:val="0085203C"/>
    <w:rsid w:val="00863FCE"/>
    <w:rsid w:val="00876688"/>
    <w:rsid w:val="00883AB1"/>
    <w:rsid w:val="008945D1"/>
    <w:rsid w:val="008F34B6"/>
    <w:rsid w:val="008F4313"/>
    <w:rsid w:val="00906B48"/>
    <w:rsid w:val="00917E13"/>
    <w:rsid w:val="00921B9B"/>
    <w:rsid w:val="0092446E"/>
    <w:rsid w:val="0093420F"/>
    <w:rsid w:val="00967D1F"/>
    <w:rsid w:val="00981FEC"/>
    <w:rsid w:val="009901E6"/>
    <w:rsid w:val="00993CE4"/>
    <w:rsid w:val="009970A9"/>
    <w:rsid w:val="009A3D88"/>
    <w:rsid w:val="009B0A21"/>
    <w:rsid w:val="009B18C7"/>
    <w:rsid w:val="009C17BE"/>
    <w:rsid w:val="009D3EED"/>
    <w:rsid w:val="009D61EA"/>
    <w:rsid w:val="009E046C"/>
    <w:rsid w:val="009E4467"/>
    <w:rsid w:val="009E4C41"/>
    <w:rsid w:val="00A00F4E"/>
    <w:rsid w:val="00A061C3"/>
    <w:rsid w:val="00A0797C"/>
    <w:rsid w:val="00A249A6"/>
    <w:rsid w:val="00A37AE2"/>
    <w:rsid w:val="00A66FA0"/>
    <w:rsid w:val="00A678A3"/>
    <w:rsid w:val="00A730B2"/>
    <w:rsid w:val="00A75991"/>
    <w:rsid w:val="00A8465E"/>
    <w:rsid w:val="00AA0A19"/>
    <w:rsid w:val="00AB2ABE"/>
    <w:rsid w:val="00AB36B3"/>
    <w:rsid w:val="00AB4A13"/>
    <w:rsid w:val="00AD3733"/>
    <w:rsid w:val="00AD63E9"/>
    <w:rsid w:val="00AF47C9"/>
    <w:rsid w:val="00B03C05"/>
    <w:rsid w:val="00B12E67"/>
    <w:rsid w:val="00B1557F"/>
    <w:rsid w:val="00B27557"/>
    <w:rsid w:val="00B47356"/>
    <w:rsid w:val="00B5157E"/>
    <w:rsid w:val="00B7493F"/>
    <w:rsid w:val="00B76514"/>
    <w:rsid w:val="00B963BC"/>
    <w:rsid w:val="00BC12B1"/>
    <w:rsid w:val="00BE1746"/>
    <w:rsid w:val="00BE4DB2"/>
    <w:rsid w:val="00BF424A"/>
    <w:rsid w:val="00C244B4"/>
    <w:rsid w:val="00C248DD"/>
    <w:rsid w:val="00C31673"/>
    <w:rsid w:val="00C47494"/>
    <w:rsid w:val="00C50405"/>
    <w:rsid w:val="00C572BA"/>
    <w:rsid w:val="00C6145D"/>
    <w:rsid w:val="00C738E0"/>
    <w:rsid w:val="00C877C9"/>
    <w:rsid w:val="00C9150C"/>
    <w:rsid w:val="00C97F80"/>
    <w:rsid w:val="00CA72B9"/>
    <w:rsid w:val="00CB099D"/>
    <w:rsid w:val="00CB4FF8"/>
    <w:rsid w:val="00CB6E2A"/>
    <w:rsid w:val="00CC2EEC"/>
    <w:rsid w:val="00CD0216"/>
    <w:rsid w:val="00CD026B"/>
    <w:rsid w:val="00CE0600"/>
    <w:rsid w:val="00CF61B0"/>
    <w:rsid w:val="00D04C3F"/>
    <w:rsid w:val="00D12F59"/>
    <w:rsid w:val="00D3392A"/>
    <w:rsid w:val="00D33B17"/>
    <w:rsid w:val="00D45F45"/>
    <w:rsid w:val="00D53218"/>
    <w:rsid w:val="00D657B1"/>
    <w:rsid w:val="00D80864"/>
    <w:rsid w:val="00D810C5"/>
    <w:rsid w:val="00D86458"/>
    <w:rsid w:val="00DB13A9"/>
    <w:rsid w:val="00DC1ABB"/>
    <w:rsid w:val="00DC4F8F"/>
    <w:rsid w:val="00DD749F"/>
    <w:rsid w:val="00DD76B8"/>
    <w:rsid w:val="00DE56D1"/>
    <w:rsid w:val="00DE6C60"/>
    <w:rsid w:val="00DF0352"/>
    <w:rsid w:val="00E2068E"/>
    <w:rsid w:val="00E26260"/>
    <w:rsid w:val="00E538CD"/>
    <w:rsid w:val="00E60EDD"/>
    <w:rsid w:val="00E73F94"/>
    <w:rsid w:val="00EA3FC5"/>
    <w:rsid w:val="00EB4B7B"/>
    <w:rsid w:val="00EB704F"/>
    <w:rsid w:val="00EC66DE"/>
    <w:rsid w:val="00ED4122"/>
    <w:rsid w:val="00ED704F"/>
    <w:rsid w:val="00EE2088"/>
    <w:rsid w:val="00EE5952"/>
    <w:rsid w:val="00F101F4"/>
    <w:rsid w:val="00F1156B"/>
    <w:rsid w:val="00F13F3D"/>
    <w:rsid w:val="00F17A0A"/>
    <w:rsid w:val="00F407A4"/>
    <w:rsid w:val="00F50F38"/>
    <w:rsid w:val="00F75006"/>
    <w:rsid w:val="00F9291F"/>
    <w:rsid w:val="00F9314B"/>
    <w:rsid w:val="00FA3137"/>
    <w:rsid w:val="00FD2EB7"/>
    <w:rsid w:val="00FF7E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14DE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7BC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822005"/>
    <w:pPr>
      <w:ind w:left="720" w:hanging="720"/>
    </w:pPr>
  </w:style>
  <w:style w:type="character" w:styleId="CommentReference">
    <w:name w:val="annotation reference"/>
    <w:basedOn w:val="DefaultParagraphFont"/>
    <w:uiPriority w:val="99"/>
    <w:semiHidden/>
    <w:unhideWhenUsed/>
    <w:rsid w:val="006156EB"/>
    <w:rPr>
      <w:sz w:val="16"/>
      <w:szCs w:val="16"/>
    </w:rPr>
  </w:style>
  <w:style w:type="paragraph" w:styleId="CommentText">
    <w:name w:val="annotation text"/>
    <w:basedOn w:val="Normal"/>
    <w:link w:val="CommentTextChar"/>
    <w:uiPriority w:val="99"/>
    <w:unhideWhenUsed/>
    <w:rsid w:val="006156EB"/>
    <w:rPr>
      <w:sz w:val="20"/>
      <w:szCs w:val="20"/>
    </w:rPr>
  </w:style>
  <w:style w:type="character" w:customStyle="1" w:styleId="CommentTextChar">
    <w:name w:val="Comment Text Char"/>
    <w:basedOn w:val="DefaultParagraphFont"/>
    <w:link w:val="CommentText"/>
    <w:uiPriority w:val="99"/>
    <w:rsid w:val="006156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56EB"/>
    <w:rPr>
      <w:b/>
      <w:bCs/>
    </w:rPr>
  </w:style>
  <w:style w:type="character" w:customStyle="1" w:styleId="CommentSubjectChar">
    <w:name w:val="Comment Subject Char"/>
    <w:basedOn w:val="CommentTextChar"/>
    <w:link w:val="CommentSubject"/>
    <w:uiPriority w:val="99"/>
    <w:semiHidden/>
    <w:rsid w:val="006156EB"/>
    <w:rPr>
      <w:rFonts w:ascii="Times New Roman" w:eastAsia="Times New Roman" w:hAnsi="Times New Roman" w:cs="Times New Roman"/>
      <w:b/>
      <w:bCs/>
      <w:sz w:val="20"/>
      <w:szCs w:val="20"/>
    </w:rPr>
  </w:style>
  <w:style w:type="paragraph" w:styleId="Revision">
    <w:name w:val="Revision"/>
    <w:hidden/>
    <w:uiPriority w:val="99"/>
    <w:semiHidden/>
    <w:rsid w:val="00410E59"/>
    <w:rPr>
      <w:rFonts w:ascii="Times New Roman" w:eastAsia="Times New Roman" w:hAnsi="Times New Roman" w:cs="Times New Roman"/>
    </w:rPr>
  </w:style>
  <w:style w:type="character" w:styleId="LineNumber">
    <w:name w:val="line number"/>
    <w:basedOn w:val="DefaultParagraphFont"/>
    <w:uiPriority w:val="99"/>
    <w:semiHidden/>
    <w:unhideWhenUsed/>
    <w:rsid w:val="00336A57"/>
  </w:style>
  <w:style w:type="character" w:styleId="Hyperlink">
    <w:name w:val="Hyperlink"/>
    <w:basedOn w:val="DefaultParagraphFont"/>
    <w:uiPriority w:val="99"/>
    <w:unhideWhenUsed/>
    <w:rsid w:val="0085091E"/>
    <w:rPr>
      <w:color w:val="0563C1" w:themeColor="hyperlink"/>
      <w:u w:val="single"/>
    </w:rPr>
  </w:style>
  <w:style w:type="character" w:styleId="UnresolvedMention">
    <w:name w:val="Unresolved Mention"/>
    <w:basedOn w:val="DefaultParagraphFont"/>
    <w:uiPriority w:val="99"/>
    <w:rsid w:val="0085091E"/>
    <w:rPr>
      <w:color w:val="605E5C"/>
      <w:shd w:val="clear" w:color="auto" w:fill="E1DFDD"/>
    </w:rPr>
  </w:style>
  <w:style w:type="table" w:styleId="TableGrid">
    <w:name w:val="Table Grid"/>
    <w:basedOn w:val="TableNormal"/>
    <w:uiPriority w:val="39"/>
    <w:rsid w:val="00513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1FEC"/>
    <w:pPr>
      <w:tabs>
        <w:tab w:val="center" w:pos="4513"/>
        <w:tab w:val="right" w:pos="9026"/>
      </w:tabs>
    </w:pPr>
  </w:style>
  <w:style w:type="character" w:customStyle="1" w:styleId="HeaderChar">
    <w:name w:val="Header Char"/>
    <w:basedOn w:val="DefaultParagraphFont"/>
    <w:link w:val="Header"/>
    <w:uiPriority w:val="99"/>
    <w:rsid w:val="00981FEC"/>
    <w:rPr>
      <w:rFonts w:ascii="Times New Roman" w:eastAsia="Times New Roman" w:hAnsi="Times New Roman" w:cs="Times New Roman"/>
    </w:rPr>
  </w:style>
  <w:style w:type="paragraph" w:styleId="Footer">
    <w:name w:val="footer"/>
    <w:basedOn w:val="Normal"/>
    <w:link w:val="FooterChar"/>
    <w:uiPriority w:val="99"/>
    <w:unhideWhenUsed/>
    <w:rsid w:val="00981FEC"/>
    <w:pPr>
      <w:tabs>
        <w:tab w:val="center" w:pos="4513"/>
        <w:tab w:val="right" w:pos="9026"/>
      </w:tabs>
    </w:pPr>
  </w:style>
  <w:style w:type="character" w:customStyle="1" w:styleId="FooterChar">
    <w:name w:val="Footer Char"/>
    <w:basedOn w:val="DefaultParagraphFont"/>
    <w:link w:val="Footer"/>
    <w:uiPriority w:val="99"/>
    <w:rsid w:val="00981FE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6239">
      <w:bodyDiv w:val="1"/>
      <w:marLeft w:val="0"/>
      <w:marRight w:val="0"/>
      <w:marTop w:val="0"/>
      <w:marBottom w:val="0"/>
      <w:divBdr>
        <w:top w:val="none" w:sz="0" w:space="0" w:color="auto"/>
        <w:left w:val="none" w:sz="0" w:space="0" w:color="auto"/>
        <w:bottom w:val="none" w:sz="0" w:space="0" w:color="auto"/>
        <w:right w:val="none" w:sz="0" w:space="0" w:color="auto"/>
      </w:divBdr>
    </w:div>
    <w:div w:id="973096578">
      <w:bodyDiv w:val="1"/>
      <w:marLeft w:val="0"/>
      <w:marRight w:val="0"/>
      <w:marTop w:val="0"/>
      <w:marBottom w:val="0"/>
      <w:divBdr>
        <w:top w:val="none" w:sz="0" w:space="0" w:color="auto"/>
        <w:left w:val="none" w:sz="0" w:space="0" w:color="auto"/>
        <w:bottom w:val="none" w:sz="0" w:space="0" w:color="auto"/>
        <w:right w:val="none" w:sz="0" w:space="0" w:color="auto"/>
      </w:divBdr>
    </w:div>
    <w:div w:id="1324772383">
      <w:bodyDiv w:val="1"/>
      <w:marLeft w:val="0"/>
      <w:marRight w:val="0"/>
      <w:marTop w:val="0"/>
      <w:marBottom w:val="0"/>
      <w:divBdr>
        <w:top w:val="none" w:sz="0" w:space="0" w:color="auto"/>
        <w:left w:val="none" w:sz="0" w:space="0" w:color="auto"/>
        <w:bottom w:val="none" w:sz="0" w:space="0" w:color="auto"/>
        <w:right w:val="none" w:sz="0" w:space="0" w:color="auto"/>
      </w:divBdr>
    </w:div>
    <w:div w:id="1754468182">
      <w:bodyDiv w:val="1"/>
      <w:marLeft w:val="0"/>
      <w:marRight w:val="0"/>
      <w:marTop w:val="0"/>
      <w:marBottom w:val="0"/>
      <w:divBdr>
        <w:top w:val="none" w:sz="0" w:space="0" w:color="auto"/>
        <w:left w:val="none" w:sz="0" w:space="0" w:color="auto"/>
        <w:bottom w:val="none" w:sz="0" w:space="0" w:color="auto"/>
        <w:right w:val="none" w:sz="0" w:space="0" w:color="auto"/>
      </w:divBdr>
    </w:div>
    <w:div w:id="1798646689">
      <w:bodyDiv w:val="1"/>
      <w:marLeft w:val="0"/>
      <w:marRight w:val="0"/>
      <w:marTop w:val="0"/>
      <w:marBottom w:val="0"/>
      <w:divBdr>
        <w:top w:val="none" w:sz="0" w:space="0" w:color="auto"/>
        <w:left w:val="none" w:sz="0" w:space="0" w:color="auto"/>
        <w:bottom w:val="none" w:sz="0" w:space="0" w:color="auto"/>
        <w:right w:val="none" w:sz="0" w:space="0" w:color="auto"/>
      </w:divBdr>
    </w:div>
    <w:div w:id="2042317114">
      <w:bodyDiv w:val="1"/>
      <w:marLeft w:val="0"/>
      <w:marRight w:val="0"/>
      <w:marTop w:val="0"/>
      <w:marBottom w:val="0"/>
      <w:divBdr>
        <w:top w:val="none" w:sz="0" w:space="0" w:color="auto"/>
        <w:left w:val="none" w:sz="0" w:space="0" w:color="auto"/>
        <w:bottom w:val="none" w:sz="0" w:space="0" w:color="auto"/>
        <w:right w:val="none" w:sz="0" w:space="0" w:color="auto"/>
      </w:divBdr>
    </w:div>
    <w:div w:id="205542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3853</Words>
  <Characters>21966</Characters>
  <Application>Microsoft Office Word</Application>
  <DocSecurity>0</DocSecurity>
  <Lines>183</Lines>
  <Paragraphs>51</Paragraphs>
  <ScaleCrop>false</ScaleCrop>
  <Company/>
  <LinksUpToDate>false</LinksUpToDate>
  <CharactersWithSpaces>25768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2024-05-16T20:56:00Z</dcterms:created>
  <dcterms:modified xsi:type="dcterms:W3CDTF">2024-05-16T20:56:00Z</dcterms:modified>
</cp:coreProperties>
</file>