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FFBD" w14:textId="55361FE6" w:rsidR="002C59CD" w:rsidRPr="00A66FA9" w:rsidRDefault="002C59CD" w:rsidP="002C59CD">
      <w:pPr>
        <w:pStyle w:val="BodyA"/>
        <w:spacing w:line="360" w:lineRule="auto"/>
        <w:rPr>
          <w:rFonts w:cs="Times New Roman"/>
          <w:b/>
          <w:bCs/>
          <w:color w:val="000000" w:themeColor="text1"/>
          <w:lang w:val="en-GB"/>
        </w:rPr>
      </w:pPr>
      <w:r w:rsidRPr="00A66FA9">
        <w:rPr>
          <w:rFonts w:cs="Times New Roman"/>
          <w:b/>
          <w:bCs/>
          <w:color w:val="000000" w:themeColor="text1"/>
          <w:lang w:val="en-GB"/>
        </w:rPr>
        <w:t>[For SUPPLEMENTARY MATERIAL]</w:t>
      </w:r>
    </w:p>
    <w:p w14:paraId="7823CA2D" w14:textId="4F5D6623" w:rsidR="002C59CD" w:rsidRPr="00A66FA9" w:rsidRDefault="002C59CD" w:rsidP="002C59CD">
      <w:pPr>
        <w:pStyle w:val="BodyA"/>
        <w:spacing w:line="360" w:lineRule="auto"/>
        <w:rPr>
          <w:rFonts w:cs="Times New Roman"/>
          <w:b/>
          <w:bCs/>
          <w:color w:val="000000" w:themeColor="text1"/>
          <w:lang w:val="en-GB"/>
        </w:rPr>
      </w:pPr>
      <w:r w:rsidRPr="00A66FA9">
        <w:rPr>
          <w:rFonts w:cs="Times New Roman"/>
          <w:b/>
          <w:bCs/>
          <w:color w:val="000000" w:themeColor="text1"/>
          <w:lang w:val="en-GB"/>
        </w:rPr>
        <w:t xml:space="preserve">Unveiling Bishop </w:t>
      </w:r>
      <w:proofErr w:type="spellStart"/>
      <w:r w:rsidRPr="00A66FA9">
        <w:rPr>
          <w:rFonts w:cs="Times New Roman"/>
          <w:b/>
          <w:bCs/>
          <w:color w:val="000000" w:themeColor="text1"/>
          <w:lang w:val="en-GB"/>
        </w:rPr>
        <w:t>Teodomiro</w:t>
      </w:r>
      <w:proofErr w:type="spellEnd"/>
      <w:r w:rsidRPr="00A66FA9">
        <w:rPr>
          <w:rFonts w:cs="Times New Roman"/>
          <w:b/>
          <w:bCs/>
          <w:color w:val="000000" w:themeColor="text1"/>
          <w:lang w:val="en-GB"/>
        </w:rPr>
        <w:t xml:space="preserve"> of </w:t>
      </w:r>
      <w:proofErr w:type="spellStart"/>
      <w:r w:rsidRPr="00A66FA9">
        <w:rPr>
          <w:rFonts w:cs="Times New Roman"/>
          <w:b/>
          <w:bCs/>
          <w:color w:val="000000" w:themeColor="text1"/>
          <w:lang w:val="en-GB"/>
        </w:rPr>
        <w:t>Ir</w:t>
      </w:r>
      <w:r w:rsidR="00AD7756" w:rsidRPr="00F877F1">
        <w:rPr>
          <w:rFonts w:cs="Times New Roman"/>
          <w:b/>
          <w:bCs/>
          <w:color w:val="000000" w:themeColor="text1"/>
          <w:lang w:val="en-GB"/>
        </w:rPr>
        <w:t>i</w:t>
      </w:r>
      <w:r w:rsidRPr="00A66FA9">
        <w:rPr>
          <w:rFonts w:cs="Times New Roman"/>
          <w:b/>
          <w:bCs/>
          <w:color w:val="000000" w:themeColor="text1"/>
          <w:lang w:val="en-GB"/>
        </w:rPr>
        <w:t>a</w:t>
      </w:r>
      <w:proofErr w:type="spellEnd"/>
      <w:r w:rsidRPr="00A66FA9">
        <w:rPr>
          <w:rFonts w:cs="Times New Roman"/>
          <w:b/>
          <w:bCs/>
          <w:color w:val="000000" w:themeColor="text1"/>
          <w:lang w:val="en-GB"/>
        </w:rPr>
        <w:t xml:space="preserve"> Flavia? An attempt to identify the discoverer of St James</w:t>
      </w:r>
      <w:r w:rsidR="00E573AA" w:rsidRPr="00A66FA9">
        <w:rPr>
          <w:rFonts w:cs="Times New Roman"/>
          <w:b/>
          <w:bCs/>
          <w:color w:val="000000" w:themeColor="text1"/>
          <w:lang w:val="en-GB"/>
        </w:rPr>
        <w:t>’s</w:t>
      </w:r>
      <w:r w:rsidRPr="00A66FA9">
        <w:rPr>
          <w:rFonts w:cs="Times New Roman"/>
          <w:b/>
          <w:bCs/>
          <w:color w:val="000000" w:themeColor="text1"/>
          <w:lang w:val="en-GB"/>
        </w:rPr>
        <w:t xml:space="preserve"> tomb through osteological and biomolecular analyses (Santiago de Compostela, Galicia, Spain)</w:t>
      </w:r>
    </w:p>
    <w:p w14:paraId="291F6580" w14:textId="3A48383D" w:rsidR="00AD7756" w:rsidRPr="00931CB1" w:rsidRDefault="00AD7756" w:rsidP="00AD7756">
      <w:pPr>
        <w:pBdr>
          <w:top w:val="nil"/>
          <w:left w:val="nil"/>
          <w:bottom w:val="nil"/>
          <w:right w:val="nil"/>
          <w:between w:val="nil"/>
          <w:bar w:val="nil"/>
        </w:pBdr>
        <w:spacing w:after="0" w:line="360" w:lineRule="auto"/>
        <w:ind w:left="0" w:firstLine="0"/>
        <w:jc w:val="left"/>
        <w:rPr>
          <w:rFonts w:eastAsia="Arial Unicode MS"/>
          <w:color w:val="000000" w:themeColor="text1"/>
          <w:kern w:val="0"/>
          <w:szCs w:val="24"/>
          <w:u w:color="000000"/>
          <w:bdr w:val="nil"/>
          <w:vertAlign w:val="superscript"/>
          <w:lang w:eastAsia="es-ES"/>
          <w14:ligatures w14:val="none"/>
        </w:rPr>
      </w:pPr>
      <w:proofErr w:type="spellStart"/>
      <w:r w:rsidRPr="00931CB1">
        <w:rPr>
          <w:rFonts w:eastAsia="Arial Unicode MS"/>
          <w:color w:val="000000" w:themeColor="text1"/>
          <w:kern w:val="0"/>
          <w:szCs w:val="24"/>
          <w:u w:color="000000"/>
          <w:bdr w:val="nil"/>
          <w:lang w:eastAsia="es-ES"/>
          <w14:ligatures w14:val="none"/>
        </w:rPr>
        <w:t>Patxi</w:t>
      </w:r>
      <w:proofErr w:type="spellEnd"/>
      <w:r w:rsidRPr="00931CB1">
        <w:rPr>
          <w:rFonts w:eastAsia="Arial Unicode MS"/>
          <w:color w:val="000000" w:themeColor="text1"/>
          <w:kern w:val="0"/>
          <w:szCs w:val="24"/>
          <w:u w:color="000000"/>
          <w:bdr w:val="nil"/>
          <w:lang w:eastAsia="es-ES"/>
          <w14:ligatures w14:val="none"/>
        </w:rPr>
        <w:t xml:space="preserve"> Pérez-Ramallo</w:t>
      </w:r>
      <w:r w:rsidRPr="00931CB1">
        <w:rPr>
          <w:rFonts w:eastAsia="Arial Unicode MS"/>
          <w:color w:val="000000" w:themeColor="text1"/>
          <w:kern w:val="0"/>
          <w:szCs w:val="24"/>
          <w:u w:color="000000"/>
          <w:bdr w:val="nil"/>
          <w:vertAlign w:val="superscript"/>
          <w:lang w:eastAsia="es-ES"/>
          <w14:ligatures w14:val="none"/>
        </w:rPr>
        <w:t>1,2,</w:t>
      </w:r>
      <w:proofErr w:type="gramStart"/>
      <w:r w:rsidRPr="00931CB1">
        <w:rPr>
          <w:rFonts w:eastAsia="Arial Unicode MS"/>
          <w:color w:val="000000" w:themeColor="text1"/>
          <w:kern w:val="0"/>
          <w:szCs w:val="24"/>
          <w:u w:color="000000"/>
          <w:bdr w:val="nil"/>
          <w:vertAlign w:val="superscript"/>
          <w:lang w:eastAsia="es-ES"/>
          <w14:ligatures w14:val="none"/>
        </w:rPr>
        <w:t>3</w:t>
      </w:r>
      <w:r w:rsidR="00931CB1">
        <w:rPr>
          <w:rFonts w:eastAsia="Arial Unicode MS"/>
          <w:color w:val="000000" w:themeColor="text1"/>
          <w:kern w:val="0"/>
          <w:szCs w:val="24"/>
          <w:u w:color="000000"/>
          <w:bdr w:val="nil"/>
          <w:vertAlign w:val="superscript"/>
          <w:lang w:eastAsia="es-ES"/>
          <w14:ligatures w14:val="none"/>
        </w:rPr>
        <w:t>,</w:t>
      </w:r>
      <w:r w:rsidRPr="00931CB1">
        <w:rPr>
          <w:rFonts w:eastAsia="Arial Unicode MS"/>
          <w:color w:val="000000" w:themeColor="text1"/>
          <w:kern w:val="0"/>
          <w:szCs w:val="24"/>
          <w:u w:color="000000"/>
          <w:bdr w:val="nil"/>
          <w:vertAlign w:val="superscript"/>
          <w:lang w:eastAsia="es-ES"/>
          <w14:ligatures w14:val="none"/>
        </w:rPr>
        <w:t>*</w:t>
      </w:r>
      <w:proofErr w:type="gramEnd"/>
      <w:r w:rsidRPr="00931CB1">
        <w:rPr>
          <w:rFonts w:eastAsia="Arial Unicode MS"/>
          <w:color w:val="000000" w:themeColor="text1"/>
          <w:kern w:val="0"/>
          <w:szCs w:val="24"/>
          <w:u w:color="000000"/>
          <w:bdr w:val="nil"/>
          <w:lang w:eastAsia="es-ES"/>
          <w14:ligatures w14:val="none"/>
        </w:rPr>
        <w:t>, Ricardo Rodríguez-Varela</w:t>
      </w:r>
      <w:r w:rsidRPr="00931CB1">
        <w:rPr>
          <w:rFonts w:eastAsia="Arial Unicode MS"/>
          <w:color w:val="000000" w:themeColor="text1"/>
          <w:kern w:val="0"/>
          <w:szCs w:val="24"/>
          <w:u w:color="000000"/>
          <w:bdr w:val="nil"/>
          <w:vertAlign w:val="superscript"/>
          <w:lang w:eastAsia="es-ES"/>
          <w14:ligatures w14:val="none"/>
        </w:rPr>
        <w:t>4,5,*</w:t>
      </w:r>
      <w:r w:rsidRPr="00931CB1">
        <w:rPr>
          <w:rFonts w:eastAsia="Arial Unicode MS"/>
          <w:color w:val="000000" w:themeColor="text1"/>
          <w:kern w:val="0"/>
          <w:szCs w:val="24"/>
          <w:u w:color="000000"/>
          <w:bdr w:val="nil"/>
          <w:lang w:eastAsia="es-ES"/>
          <w14:ligatures w14:val="none"/>
        </w:rPr>
        <w:t>, Alexandra Staniewska</w:t>
      </w:r>
      <w:r w:rsidRPr="00931CB1">
        <w:rPr>
          <w:rFonts w:eastAsia="Arial Unicode MS"/>
          <w:color w:val="000000" w:themeColor="text1"/>
          <w:kern w:val="0"/>
          <w:szCs w:val="24"/>
          <w:u w:color="000000"/>
          <w:bdr w:val="nil"/>
          <w:vertAlign w:val="superscript"/>
          <w:lang w:eastAsia="es-ES"/>
          <w14:ligatures w14:val="none"/>
        </w:rPr>
        <w:t>6</w:t>
      </w:r>
      <w:r w:rsidRPr="00931CB1">
        <w:rPr>
          <w:rFonts w:eastAsia="Arial Unicode MS"/>
          <w:color w:val="000000" w:themeColor="text1"/>
          <w:kern w:val="0"/>
          <w:szCs w:val="24"/>
          <w:u w:color="000000"/>
          <w:bdr w:val="nil"/>
          <w:lang w:eastAsia="es-ES"/>
          <w14:ligatures w14:val="none"/>
        </w:rPr>
        <w:t>, Jana Ilgner</w:t>
      </w:r>
      <w:r w:rsidRPr="00931CB1">
        <w:rPr>
          <w:rFonts w:eastAsia="Arial Unicode MS"/>
          <w:color w:val="000000" w:themeColor="text1"/>
          <w:kern w:val="0"/>
          <w:szCs w:val="24"/>
          <w:u w:color="000000"/>
          <w:bdr w:val="nil"/>
          <w:vertAlign w:val="superscript"/>
          <w:lang w:eastAsia="es-ES"/>
          <w14:ligatures w14:val="none"/>
        </w:rPr>
        <w:t>2</w:t>
      </w:r>
      <w:r w:rsidRPr="00931CB1">
        <w:rPr>
          <w:rFonts w:eastAsia="Arial Unicode MS"/>
          <w:color w:val="000000" w:themeColor="text1"/>
          <w:kern w:val="0"/>
          <w:szCs w:val="24"/>
          <w:u w:color="000000"/>
          <w:bdr w:val="nil"/>
          <w:lang w:eastAsia="es-ES"/>
          <w14:ligatures w14:val="none"/>
        </w:rPr>
        <w:t>, Maja Krzewińska</w:t>
      </w:r>
      <w:r w:rsidRPr="00931CB1">
        <w:rPr>
          <w:rFonts w:eastAsia="Arial Unicode MS"/>
          <w:color w:val="000000" w:themeColor="text1"/>
          <w:kern w:val="0"/>
          <w:szCs w:val="24"/>
          <w:u w:color="000000"/>
          <w:bdr w:val="nil"/>
          <w:vertAlign w:val="superscript"/>
          <w:lang w:eastAsia="es-ES"/>
          <w14:ligatures w14:val="none"/>
        </w:rPr>
        <w:t>4,5</w:t>
      </w:r>
      <w:r w:rsidRPr="00931CB1">
        <w:rPr>
          <w:rFonts w:eastAsia="Arial Unicode MS"/>
          <w:color w:val="000000" w:themeColor="text1"/>
          <w:kern w:val="0"/>
          <w:szCs w:val="24"/>
          <w:u w:color="000000"/>
          <w:bdr w:val="nil"/>
          <w:lang w:eastAsia="es-ES"/>
          <w14:ligatures w14:val="none"/>
        </w:rPr>
        <w:t>, David Chivall</w:t>
      </w:r>
      <w:r w:rsidRPr="00931CB1">
        <w:rPr>
          <w:rFonts w:eastAsia="Arial Unicode MS"/>
          <w:color w:val="000000" w:themeColor="text1"/>
          <w:kern w:val="0"/>
          <w:szCs w:val="24"/>
          <w:u w:color="000000"/>
          <w:bdr w:val="nil"/>
          <w:vertAlign w:val="superscript"/>
          <w:lang w:eastAsia="es-ES"/>
          <w14:ligatures w14:val="none"/>
        </w:rPr>
        <w:t>7</w:t>
      </w:r>
      <w:r w:rsidRPr="00931CB1">
        <w:rPr>
          <w:rFonts w:eastAsia="Arial Unicode MS"/>
          <w:color w:val="000000" w:themeColor="text1"/>
          <w:kern w:val="0"/>
          <w:szCs w:val="24"/>
          <w:u w:color="000000"/>
          <w:bdr w:val="nil"/>
          <w:lang w:eastAsia="es-ES"/>
          <w14:ligatures w14:val="none"/>
        </w:rPr>
        <w:t>, Tom Higham</w:t>
      </w:r>
      <w:r w:rsidRPr="00931CB1">
        <w:rPr>
          <w:rFonts w:eastAsia="Arial Unicode MS"/>
          <w:color w:val="000000" w:themeColor="text1"/>
          <w:kern w:val="0"/>
          <w:szCs w:val="24"/>
          <w:u w:color="000000"/>
          <w:bdr w:val="nil"/>
          <w:vertAlign w:val="superscript"/>
          <w:lang w:eastAsia="es-ES"/>
          <w14:ligatures w14:val="none"/>
        </w:rPr>
        <w:t>8</w:t>
      </w:r>
      <w:r w:rsidRPr="00931CB1">
        <w:rPr>
          <w:rFonts w:eastAsia="Arial Unicode MS"/>
          <w:color w:val="000000" w:themeColor="text1"/>
          <w:kern w:val="0"/>
          <w:szCs w:val="24"/>
          <w:u w:color="000000"/>
          <w:bdr w:val="nil"/>
          <w:lang w:eastAsia="es-ES"/>
          <w14:ligatures w14:val="none"/>
        </w:rPr>
        <w:t>,</w:t>
      </w:r>
      <w:r w:rsidRPr="00931CB1">
        <w:rPr>
          <w:rFonts w:eastAsia="Arial Unicode MS"/>
          <w:color w:val="000000" w:themeColor="text1"/>
          <w:kern w:val="0"/>
          <w:szCs w:val="24"/>
          <w:u w:color="000000"/>
          <w:bdr w:val="nil"/>
          <w:vertAlign w:val="superscript"/>
          <w:lang w:eastAsia="es-ES"/>
          <w14:ligatures w14:val="none"/>
        </w:rPr>
        <w:t xml:space="preserve"> </w:t>
      </w:r>
      <w:r w:rsidRPr="00931CB1">
        <w:rPr>
          <w:rFonts w:eastAsia="Arial Unicode MS"/>
          <w:color w:val="000000" w:themeColor="text1"/>
          <w:kern w:val="0"/>
          <w:szCs w:val="24"/>
          <w:u w:color="000000"/>
          <w:bdr w:val="nil"/>
          <w:lang w:eastAsia="es-ES"/>
          <w14:ligatures w14:val="none"/>
        </w:rPr>
        <w:t>Anders Götherström</w:t>
      </w:r>
      <w:r w:rsidRPr="00931CB1">
        <w:rPr>
          <w:rFonts w:eastAsia="Arial Unicode MS"/>
          <w:color w:val="000000" w:themeColor="text1"/>
          <w:kern w:val="0"/>
          <w:szCs w:val="24"/>
          <w:u w:color="000000"/>
          <w:bdr w:val="nil"/>
          <w:vertAlign w:val="superscript"/>
          <w:lang w:eastAsia="es-ES"/>
          <w14:ligatures w14:val="none"/>
        </w:rPr>
        <w:t>4,5</w:t>
      </w:r>
      <w:r w:rsidRPr="00931CB1">
        <w:rPr>
          <w:rFonts w:eastAsia="Arial Unicode MS"/>
          <w:color w:val="000000" w:themeColor="text1"/>
          <w:kern w:val="0"/>
          <w:szCs w:val="24"/>
          <w:u w:color="000000"/>
          <w:bdr w:val="nil"/>
          <w:lang w:eastAsia="es-ES"/>
          <w14:ligatures w14:val="none"/>
        </w:rPr>
        <w:t xml:space="preserve"> &amp; Patrick Roberts</w:t>
      </w:r>
      <w:r w:rsidRPr="00931CB1">
        <w:rPr>
          <w:rFonts w:eastAsia="Arial Unicode MS"/>
          <w:color w:val="000000" w:themeColor="text1"/>
          <w:kern w:val="0"/>
          <w:szCs w:val="24"/>
          <w:u w:color="000000"/>
          <w:bdr w:val="nil"/>
          <w:vertAlign w:val="superscript"/>
          <w:lang w:eastAsia="es-ES"/>
          <w14:ligatures w14:val="none"/>
        </w:rPr>
        <w:t>1,2,9</w:t>
      </w:r>
    </w:p>
    <w:p w14:paraId="34859753" w14:textId="77777777" w:rsidR="00AD7756" w:rsidRPr="00931CB1" w:rsidRDefault="00AD7756" w:rsidP="00AD7756">
      <w:pPr>
        <w:pBdr>
          <w:top w:val="nil"/>
          <w:left w:val="nil"/>
          <w:bottom w:val="nil"/>
          <w:right w:val="nil"/>
          <w:between w:val="nil"/>
          <w:bar w:val="nil"/>
        </w:pBdr>
        <w:spacing w:after="0" w:line="360" w:lineRule="auto"/>
        <w:ind w:left="0" w:firstLine="0"/>
        <w:jc w:val="left"/>
        <w:rPr>
          <w:rFonts w:eastAsia="Arial Unicode MS"/>
          <w:color w:val="000000" w:themeColor="text1"/>
          <w:kern w:val="0"/>
          <w:szCs w:val="24"/>
          <w:u w:color="000000"/>
          <w:bdr w:val="nil"/>
          <w:vertAlign w:val="superscript"/>
          <w:lang w:eastAsia="es-ES"/>
          <w14:ligatures w14:val="none"/>
        </w:rPr>
      </w:pPr>
    </w:p>
    <w:p w14:paraId="040B0AFF" w14:textId="77777777" w:rsidR="00AD7756" w:rsidRPr="00931CB1" w:rsidRDefault="00AD7756" w:rsidP="00AD7756">
      <w:pPr>
        <w:pBdr>
          <w:top w:val="nil"/>
          <w:left w:val="nil"/>
          <w:bottom w:val="nil"/>
          <w:right w:val="nil"/>
          <w:between w:val="nil"/>
          <w:bar w:val="nil"/>
        </w:pBdr>
        <w:spacing w:after="0" w:line="360" w:lineRule="auto"/>
        <w:ind w:left="0" w:firstLine="0"/>
        <w:jc w:val="left"/>
        <w:rPr>
          <w:rFonts w:eastAsia="Arial Unicode MS"/>
          <w:color w:val="000000" w:themeColor="text1"/>
          <w:kern w:val="0"/>
          <w:szCs w:val="24"/>
          <w:u w:color="000000"/>
          <w:bdr w:val="nil"/>
          <w:lang w:eastAsia="es-ES"/>
          <w14:ligatures w14:val="none"/>
        </w:rPr>
      </w:pPr>
      <w:r w:rsidRPr="00931CB1">
        <w:rPr>
          <w:rFonts w:eastAsia="Arial Unicode MS"/>
          <w:color w:val="000000" w:themeColor="text1"/>
          <w:kern w:val="0"/>
          <w:szCs w:val="24"/>
          <w:u w:color="000000"/>
          <w:bdr w:val="nil"/>
          <w:vertAlign w:val="superscript"/>
          <w:lang w:eastAsia="es-ES"/>
          <w14:ligatures w14:val="none"/>
        </w:rPr>
        <w:t xml:space="preserve">1 </w:t>
      </w:r>
      <w:proofErr w:type="spellStart"/>
      <w:r w:rsidRPr="00931CB1">
        <w:rPr>
          <w:rFonts w:eastAsia="Arial Unicode MS"/>
          <w:color w:val="000000" w:themeColor="text1"/>
          <w:kern w:val="0"/>
          <w:szCs w:val="24"/>
          <w:u w:color="000000"/>
          <w:bdr w:val="nil"/>
          <w:lang w:eastAsia="es-ES"/>
          <w14:ligatures w14:val="none"/>
        </w:rPr>
        <w:t>isoTROPIC</w:t>
      </w:r>
      <w:proofErr w:type="spellEnd"/>
      <w:r w:rsidRPr="00931CB1">
        <w:rPr>
          <w:rFonts w:eastAsia="Arial Unicode MS"/>
          <w:color w:val="000000" w:themeColor="text1"/>
          <w:kern w:val="0"/>
          <w:szCs w:val="24"/>
          <w:u w:color="000000"/>
          <w:bdr w:val="nil"/>
          <w:lang w:eastAsia="es-ES"/>
          <w14:ligatures w14:val="none"/>
        </w:rPr>
        <w:t xml:space="preserve"> Research Group, Max Planck Institute of </w:t>
      </w:r>
      <w:proofErr w:type="spellStart"/>
      <w:r w:rsidRPr="00931CB1">
        <w:rPr>
          <w:rFonts w:eastAsia="Arial Unicode MS"/>
          <w:color w:val="000000" w:themeColor="text1"/>
          <w:kern w:val="0"/>
          <w:szCs w:val="24"/>
          <w:u w:color="000000"/>
          <w:bdr w:val="nil"/>
          <w:lang w:eastAsia="es-ES"/>
          <w14:ligatures w14:val="none"/>
        </w:rPr>
        <w:t>Geoanthropology</w:t>
      </w:r>
      <w:proofErr w:type="spellEnd"/>
      <w:r w:rsidRPr="00931CB1">
        <w:rPr>
          <w:rFonts w:eastAsia="Arial Unicode MS"/>
          <w:color w:val="000000" w:themeColor="text1"/>
          <w:kern w:val="0"/>
          <w:szCs w:val="24"/>
          <w:u w:color="000000"/>
          <w:bdr w:val="nil"/>
          <w:lang w:eastAsia="es-ES"/>
          <w14:ligatures w14:val="none"/>
        </w:rPr>
        <w:t>, Jena, Germany</w:t>
      </w:r>
    </w:p>
    <w:p w14:paraId="36B182D2" w14:textId="77777777" w:rsidR="00AD7756" w:rsidRPr="00931CB1" w:rsidRDefault="00AD7756" w:rsidP="00AD7756">
      <w:pPr>
        <w:pBdr>
          <w:top w:val="nil"/>
          <w:left w:val="nil"/>
          <w:bottom w:val="nil"/>
          <w:right w:val="nil"/>
          <w:between w:val="nil"/>
          <w:bar w:val="nil"/>
        </w:pBdr>
        <w:spacing w:after="0" w:line="360" w:lineRule="auto"/>
        <w:ind w:left="0" w:firstLine="0"/>
        <w:jc w:val="left"/>
        <w:rPr>
          <w:rFonts w:eastAsia="Arial Unicode MS"/>
          <w:color w:val="000000" w:themeColor="text1"/>
          <w:kern w:val="0"/>
          <w:szCs w:val="24"/>
          <w:u w:color="000000"/>
          <w:bdr w:val="nil"/>
          <w:lang w:eastAsia="es-ES"/>
          <w14:ligatures w14:val="none"/>
        </w:rPr>
      </w:pPr>
      <w:r w:rsidRPr="00931CB1">
        <w:rPr>
          <w:rFonts w:eastAsia="Arial Unicode MS"/>
          <w:color w:val="000000" w:themeColor="text1"/>
          <w:kern w:val="0"/>
          <w:szCs w:val="24"/>
          <w:u w:color="000000"/>
          <w:bdr w:val="nil"/>
          <w:vertAlign w:val="superscript"/>
          <w:lang w:eastAsia="es-ES"/>
          <w14:ligatures w14:val="none"/>
        </w:rPr>
        <w:t xml:space="preserve">2 </w:t>
      </w:r>
      <w:r w:rsidRPr="00931CB1">
        <w:rPr>
          <w:rFonts w:eastAsia="Arial Unicode MS"/>
          <w:color w:val="000000" w:themeColor="text1"/>
          <w:kern w:val="0"/>
          <w:szCs w:val="24"/>
          <w:u w:color="000000"/>
          <w:bdr w:val="nil"/>
          <w:lang w:eastAsia="es-ES"/>
          <w14:ligatures w14:val="none"/>
        </w:rPr>
        <w:t xml:space="preserve">Department of Archaeology, Max Planck Institute of </w:t>
      </w:r>
      <w:proofErr w:type="spellStart"/>
      <w:r w:rsidRPr="00931CB1">
        <w:rPr>
          <w:rFonts w:eastAsia="Arial Unicode MS"/>
          <w:color w:val="000000" w:themeColor="text1"/>
          <w:kern w:val="0"/>
          <w:szCs w:val="24"/>
          <w:u w:color="000000"/>
          <w:bdr w:val="nil"/>
          <w:lang w:eastAsia="es-ES"/>
          <w14:ligatures w14:val="none"/>
        </w:rPr>
        <w:t>Geoanthropology</w:t>
      </w:r>
      <w:proofErr w:type="spellEnd"/>
      <w:r w:rsidRPr="00931CB1">
        <w:rPr>
          <w:rFonts w:eastAsia="Arial Unicode MS"/>
          <w:color w:val="000000" w:themeColor="text1"/>
          <w:kern w:val="0"/>
          <w:szCs w:val="24"/>
          <w:u w:color="000000"/>
          <w:bdr w:val="nil"/>
          <w:lang w:eastAsia="es-ES"/>
          <w14:ligatures w14:val="none"/>
        </w:rPr>
        <w:t>, Jena, Germany</w:t>
      </w:r>
    </w:p>
    <w:p w14:paraId="52F4963E" w14:textId="77777777" w:rsidR="00AD7756" w:rsidRPr="00931CB1" w:rsidRDefault="00AD7756" w:rsidP="00AD7756">
      <w:pPr>
        <w:pBdr>
          <w:top w:val="nil"/>
          <w:left w:val="nil"/>
          <w:bottom w:val="nil"/>
          <w:right w:val="nil"/>
          <w:between w:val="nil"/>
          <w:bar w:val="nil"/>
        </w:pBdr>
        <w:spacing w:after="0" w:line="360" w:lineRule="auto"/>
        <w:ind w:left="0" w:firstLine="0"/>
        <w:jc w:val="left"/>
        <w:rPr>
          <w:rFonts w:eastAsia="Arial Unicode MS"/>
          <w:color w:val="000000" w:themeColor="text1"/>
          <w:kern w:val="0"/>
          <w:szCs w:val="24"/>
          <w:u w:color="000000"/>
          <w:bdr w:val="nil"/>
          <w:lang w:eastAsia="es-ES"/>
          <w14:ligatures w14:val="none"/>
        </w:rPr>
      </w:pPr>
      <w:r w:rsidRPr="00931CB1">
        <w:rPr>
          <w:rFonts w:eastAsia="Arial Unicode MS"/>
          <w:color w:val="000000" w:themeColor="text1"/>
          <w:kern w:val="0"/>
          <w:szCs w:val="24"/>
          <w:u w:color="000000"/>
          <w:bdr w:val="nil"/>
          <w:vertAlign w:val="superscript"/>
          <w:lang w:eastAsia="es-ES"/>
          <w14:ligatures w14:val="none"/>
        </w:rPr>
        <w:t xml:space="preserve">3 </w:t>
      </w:r>
      <w:r w:rsidRPr="00931CB1">
        <w:rPr>
          <w:rFonts w:eastAsia="Arial Unicode MS"/>
          <w:color w:val="000000" w:themeColor="text1"/>
          <w:kern w:val="0"/>
          <w:szCs w:val="24"/>
          <w:u w:color="000000"/>
          <w:bdr w:val="nil"/>
          <w:lang w:eastAsia="es-ES"/>
          <w14:ligatures w14:val="none"/>
        </w:rPr>
        <w:t xml:space="preserve">Department of Archaeology and Cultural History, University Museum, Norwegian University of Science and Technology (NTNU), Erling </w:t>
      </w:r>
      <w:proofErr w:type="spellStart"/>
      <w:r w:rsidRPr="00931CB1">
        <w:rPr>
          <w:rFonts w:eastAsia="Arial Unicode MS"/>
          <w:color w:val="000000" w:themeColor="text1"/>
          <w:kern w:val="0"/>
          <w:szCs w:val="24"/>
          <w:u w:color="000000"/>
          <w:bdr w:val="nil"/>
          <w:lang w:eastAsia="es-ES"/>
          <w14:ligatures w14:val="none"/>
        </w:rPr>
        <w:t>Skakkes</w:t>
      </w:r>
      <w:proofErr w:type="spellEnd"/>
      <w:r w:rsidRPr="00931CB1">
        <w:rPr>
          <w:rFonts w:eastAsia="Arial Unicode MS"/>
          <w:color w:val="000000" w:themeColor="text1"/>
          <w:kern w:val="0"/>
          <w:szCs w:val="24"/>
          <w:u w:color="000000"/>
          <w:bdr w:val="nil"/>
          <w:lang w:eastAsia="es-ES"/>
          <w14:ligatures w14:val="none"/>
        </w:rPr>
        <w:t xml:space="preserve"> </w:t>
      </w:r>
      <w:proofErr w:type="spellStart"/>
      <w:r w:rsidRPr="00931CB1">
        <w:rPr>
          <w:rFonts w:eastAsia="Arial Unicode MS"/>
          <w:color w:val="000000" w:themeColor="text1"/>
          <w:kern w:val="0"/>
          <w:szCs w:val="24"/>
          <w:u w:color="000000"/>
          <w:bdr w:val="nil"/>
          <w:lang w:eastAsia="es-ES"/>
          <w14:ligatures w14:val="none"/>
        </w:rPr>
        <w:t>gt</w:t>
      </w:r>
      <w:proofErr w:type="spellEnd"/>
      <w:r w:rsidRPr="00931CB1">
        <w:rPr>
          <w:rFonts w:eastAsia="Arial Unicode MS"/>
          <w:color w:val="000000" w:themeColor="text1"/>
          <w:kern w:val="0"/>
          <w:szCs w:val="24"/>
          <w:u w:color="000000"/>
          <w:bdr w:val="nil"/>
          <w:lang w:eastAsia="es-ES"/>
          <w14:ligatures w14:val="none"/>
        </w:rPr>
        <w:t xml:space="preserve"> 47b, 7491, Trondheim, Norway</w:t>
      </w:r>
    </w:p>
    <w:p w14:paraId="0C34AE34" w14:textId="77777777" w:rsidR="00AD7756" w:rsidRPr="00931CB1" w:rsidRDefault="00AD7756" w:rsidP="00AD7756">
      <w:pPr>
        <w:pBdr>
          <w:top w:val="nil"/>
          <w:left w:val="nil"/>
          <w:bottom w:val="nil"/>
          <w:right w:val="nil"/>
          <w:between w:val="nil"/>
          <w:bar w:val="nil"/>
        </w:pBdr>
        <w:spacing w:after="0" w:line="360" w:lineRule="auto"/>
        <w:ind w:left="0" w:firstLine="0"/>
        <w:jc w:val="left"/>
        <w:rPr>
          <w:rFonts w:eastAsia="Arial Unicode MS"/>
          <w:color w:val="000000" w:themeColor="text1"/>
          <w:kern w:val="0"/>
          <w:szCs w:val="24"/>
          <w:u w:color="000000"/>
          <w:bdr w:val="nil"/>
          <w:lang w:eastAsia="es-ES"/>
          <w14:ligatures w14:val="none"/>
        </w:rPr>
      </w:pPr>
      <w:r w:rsidRPr="00931CB1">
        <w:rPr>
          <w:rFonts w:eastAsia="Arial Unicode MS"/>
          <w:color w:val="000000" w:themeColor="text1"/>
          <w:kern w:val="0"/>
          <w:szCs w:val="24"/>
          <w:u w:color="000000"/>
          <w:bdr w:val="nil"/>
          <w:vertAlign w:val="superscript"/>
          <w:lang w:eastAsia="es-ES"/>
          <w14:ligatures w14:val="none"/>
        </w:rPr>
        <w:t xml:space="preserve">4 </w:t>
      </w:r>
      <w:r w:rsidRPr="00931CB1">
        <w:rPr>
          <w:rFonts w:eastAsia="Arial Unicode MS"/>
          <w:color w:val="000000" w:themeColor="text1"/>
          <w:kern w:val="0"/>
          <w:szCs w:val="24"/>
          <w:u w:color="000000"/>
          <w:bdr w:val="nil"/>
          <w:lang w:eastAsia="es-ES"/>
          <w14:ligatures w14:val="none"/>
        </w:rPr>
        <w:t xml:space="preserve">Centre for </w:t>
      </w:r>
      <w:proofErr w:type="spellStart"/>
      <w:r w:rsidRPr="00931CB1">
        <w:rPr>
          <w:rFonts w:eastAsia="Arial Unicode MS"/>
          <w:color w:val="000000" w:themeColor="text1"/>
          <w:kern w:val="0"/>
          <w:szCs w:val="24"/>
          <w:u w:color="000000"/>
          <w:bdr w:val="nil"/>
          <w:lang w:eastAsia="es-ES"/>
          <w14:ligatures w14:val="none"/>
        </w:rPr>
        <w:t>Palaeogenetics</w:t>
      </w:r>
      <w:proofErr w:type="spellEnd"/>
      <w:r w:rsidRPr="00931CB1">
        <w:rPr>
          <w:rFonts w:eastAsia="Arial Unicode MS"/>
          <w:color w:val="000000" w:themeColor="text1"/>
          <w:kern w:val="0"/>
          <w:szCs w:val="24"/>
          <w:u w:color="000000"/>
          <w:bdr w:val="nil"/>
          <w:lang w:eastAsia="es-ES"/>
          <w14:ligatures w14:val="none"/>
        </w:rPr>
        <w:t>, Stockholm, Sweden</w:t>
      </w:r>
    </w:p>
    <w:p w14:paraId="5C0BC706" w14:textId="77777777" w:rsidR="00AD7756" w:rsidRPr="00931CB1" w:rsidRDefault="00AD7756" w:rsidP="00AD7756">
      <w:pPr>
        <w:pBdr>
          <w:top w:val="nil"/>
          <w:left w:val="nil"/>
          <w:bottom w:val="nil"/>
          <w:right w:val="nil"/>
          <w:between w:val="nil"/>
          <w:bar w:val="nil"/>
        </w:pBdr>
        <w:spacing w:after="0" w:line="360" w:lineRule="auto"/>
        <w:ind w:left="0" w:firstLine="0"/>
        <w:jc w:val="left"/>
        <w:rPr>
          <w:rFonts w:eastAsia="Arial Unicode MS"/>
          <w:color w:val="000000" w:themeColor="text1"/>
          <w:kern w:val="0"/>
          <w:szCs w:val="24"/>
          <w:u w:color="000000"/>
          <w:bdr w:val="nil"/>
          <w:lang w:eastAsia="es-ES"/>
          <w14:ligatures w14:val="none"/>
        </w:rPr>
      </w:pPr>
      <w:r w:rsidRPr="00931CB1">
        <w:rPr>
          <w:rFonts w:eastAsia="Arial Unicode MS"/>
          <w:color w:val="000000" w:themeColor="text1"/>
          <w:kern w:val="0"/>
          <w:szCs w:val="24"/>
          <w:u w:color="000000"/>
          <w:bdr w:val="nil"/>
          <w:vertAlign w:val="superscript"/>
          <w:lang w:eastAsia="es-ES"/>
          <w14:ligatures w14:val="none"/>
        </w:rPr>
        <w:t xml:space="preserve">5 </w:t>
      </w:r>
      <w:r w:rsidRPr="00931CB1">
        <w:rPr>
          <w:rFonts w:eastAsia="Arial Unicode MS"/>
          <w:color w:val="000000" w:themeColor="text1"/>
          <w:kern w:val="0"/>
          <w:szCs w:val="24"/>
          <w:u w:color="000000"/>
          <w:bdr w:val="nil"/>
          <w:lang w:eastAsia="es-ES"/>
          <w14:ligatures w14:val="none"/>
        </w:rPr>
        <w:t>Department of Archaeology and Classical Studies, Stockholm University, Sweden</w:t>
      </w:r>
    </w:p>
    <w:p w14:paraId="4ADF0B9E" w14:textId="77777777" w:rsidR="00AD7756" w:rsidRPr="00A66FA9" w:rsidRDefault="00AD7756" w:rsidP="00AD7756">
      <w:pPr>
        <w:pBdr>
          <w:top w:val="nil"/>
          <w:left w:val="nil"/>
          <w:bottom w:val="nil"/>
          <w:right w:val="nil"/>
          <w:between w:val="nil"/>
          <w:bar w:val="nil"/>
        </w:pBdr>
        <w:spacing w:after="0" w:line="360" w:lineRule="auto"/>
        <w:ind w:left="0" w:firstLine="0"/>
        <w:jc w:val="left"/>
        <w:rPr>
          <w:rFonts w:eastAsia="Arial Unicode MS"/>
          <w:color w:val="000000" w:themeColor="text1"/>
          <w:kern w:val="0"/>
          <w:szCs w:val="24"/>
          <w:u w:color="000000"/>
          <w:bdr w:val="nil"/>
          <w:lang w:eastAsia="es-ES"/>
          <w14:ligatures w14:val="none"/>
        </w:rPr>
      </w:pPr>
      <w:r w:rsidRPr="00A66FA9">
        <w:rPr>
          <w:rFonts w:eastAsia="Arial Unicode MS"/>
          <w:color w:val="000000" w:themeColor="text1"/>
          <w:kern w:val="0"/>
          <w:szCs w:val="24"/>
          <w:u w:color="000000"/>
          <w:bdr w:val="nil"/>
          <w:vertAlign w:val="superscript"/>
          <w:lang w:eastAsia="es-ES"/>
          <w14:ligatures w14:val="none"/>
        </w:rPr>
        <w:t xml:space="preserve">6 </w:t>
      </w:r>
      <w:r w:rsidRPr="00A66FA9">
        <w:rPr>
          <w:rFonts w:eastAsia="Arial Unicode MS"/>
          <w:color w:val="000000" w:themeColor="text1"/>
          <w:kern w:val="0"/>
          <w:szCs w:val="24"/>
          <w:u w:color="000000"/>
          <w:bdr w:val="nil"/>
          <w:lang w:eastAsia="es-ES"/>
          <w14:ligatures w14:val="none"/>
        </w:rPr>
        <w:t xml:space="preserve">Institute of Anthropology and Ethnology, Adam Mickiewicz University, </w:t>
      </w:r>
      <w:proofErr w:type="spellStart"/>
      <w:r w:rsidRPr="00931CB1">
        <w:rPr>
          <w:rFonts w:eastAsia="Arial Unicode MS"/>
          <w:color w:val="000000" w:themeColor="text1"/>
          <w:kern w:val="0"/>
          <w:szCs w:val="24"/>
          <w:u w:color="000000"/>
          <w:bdr w:val="nil"/>
          <w:lang w:eastAsia="es-ES"/>
          <w14:ligatures w14:val="none"/>
        </w:rPr>
        <w:t>Poznań</w:t>
      </w:r>
      <w:proofErr w:type="spellEnd"/>
      <w:r w:rsidRPr="00931CB1">
        <w:rPr>
          <w:rFonts w:eastAsia="Arial Unicode MS"/>
          <w:color w:val="000000" w:themeColor="text1"/>
          <w:kern w:val="0"/>
          <w:szCs w:val="24"/>
          <w:u w:color="000000"/>
          <w:bdr w:val="nil"/>
          <w:lang w:eastAsia="es-ES"/>
          <w14:ligatures w14:val="none"/>
        </w:rPr>
        <w:t>, Poland</w:t>
      </w:r>
    </w:p>
    <w:p w14:paraId="69CD8F74" w14:textId="77777777" w:rsidR="00AD7756" w:rsidRPr="00931CB1" w:rsidRDefault="00AD7756" w:rsidP="00AD7756">
      <w:pPr>
        <w:pBdr>
          <w:top w:val="nil"/>
          <w:left w:val="nil"/>
          <w:bottom w:val="nil"/>
          <w:right w:val="nil"/>
          <w:between w:val="nil"/>
          <w:bar w:val="nil"/>
        </w:pBdr>
        <w:spacing w:after="0" w:line="360" w:lineRule="auto"/>
        <w:ind w:left="0" w:firstLine="0"/>
        <w:jc w:val="left"/>
        <w:rPr>
          <w:rFonts w:eastAsia="Arial Unicode MS"/>
          <w:color w:val="000000" w:themeColor="text1"/>
          <w:kern w:val="0"/>
          <w:szCs w:val="24"/>
          <w:u w:color="000000"/>
          <w:bdr w:val="nil"/>
          <w:lang w:eastAsia="es-ES"/>
          <w14:ligatures w14:val="none"/>
        </w:rPr>
      </w:pPr>
      <w:r w:rsidRPr="00931CB1">
        <w:rPr>
          <w:rFonts w:eastAsia="Arial Unicode MS"/>
          <w:color w:val="000000" w:themeColor="text1"/>
          <w:kern w:val="0"/>
          <w:szCs w:val="24"/>
          <w:u w:color="000000"/>
          <w:bdr w:val="nil"/>
          <w:vertAlign w:val="superscript"/>
          <w:lang w:eastAsia="es-ES"/>
          <w14:ligatures w14:val="none"/>
        </w:rPr>
        <w:t xml:space="preserve">7 </w:t>
      </w:r>
      <w:r w:rsidRPr="00931CB1">
        <w:rPr>
          <w:rFonts w:eastAsia="Arial Unicode MS"/>
          <w:color w:val="000000" w:themeColor="text1"/>
          <w:kern w:val="0"/>
          <w:szCs w:val="24"/>
          <w:u w:color="000000"/>
          <w:bdr w:val="nil"/>
          <w:lang w:eastAsia="es-ES"/>
          <w14:ligatures w14:val="none"/>
        </w:rPr>
        <w:t>Oxford Radiocarbon Accelerator Unit, Research Laboratory for Archaeology and the History of Art, University of Oxford, UK</w:t>
      </w:r>
    </w:p>
    <w:p w14:paraId="0E0533EE" w14:textId="77777777" w:rsidR="00AD7756" w:rsidRPr="00931CB1" w:rsidRDefault="00AD7756" w:rsidP="00AD7756">
      <w:pPr>
        <w:pBdr>
          <w:top w:val="nil"/>
          <w:left w:val="nil"/>
          <w:bottom w:val="nil"/>
          <w:right w:val="nil"/>
          <w:between w:val="nil"/>
          <w:bar w:val="nil"/>
        </w:pBdr>
        <w:spacing w:after="0" w:line="360" w:lineRule="auto"/>
        <w:ind w:left="0" w:firstLine="0"/>
        <w:jc w:val="left"/>
        <w:rPr>
          <w:rFonts w:eastAsia="Arial Unicode MS"/>
          <w:color w:val="000000" w:themeColor="text1"/>
          <w:kern w:val="0"/>
          <w:szCs w:val="24"/>
          <w:u w:val="single" w:color="000000"/>
          <w:bdr w:val="nil"/>
          <w:lang w:eastAsia="es-ES"/>
          <w14:ligatures w14:val="none"/>
        </w:rPr>
      </w:pPr>
      <w:r w:rsidRPr="00931CB1">
        <w:rPr>
          <w:rFonts w:eastAsia="Arial Unicode MS"/>
          <w:color w:val="000000" w:themeColor="text1"/>
          <w:kern w:val="0"/>
          <w:szCs w:val="24"/>
          <w:u w:color="000000"/>
          <w:bdr w:val="nil"/>
          <w:vertAlign w:val="superscript"/>
          <w:lang w:eastAsia="es-ES"/>
          <w14:ligatures w14:val="none"/>
        </w:rPr>
        <w:t xml:space="preserve">8 </w:t>
      </w:r>
      <w:r w:rsidRPr="00931CB1">
        <w:rPr>
          <w:rFonts w:eastAsia="Arial Unicode MS"/>
          <w:color w:val="000000" w:themeColor="text1"/>
          <w:kern w:val="0"/>
          <w:szCs w:val="24"/>
          <w:u w:color="000000"/>
          <w:bdr w:val="nil"/>
          <w:lang w:eastAsia="es-ES"/>
          <w14:ligatures w14:val="none"/>
        </w:rPr>
        <w:t>Research Network Human Evolution and Archaeological Sciences (HEAS), Department of Evolutionary Anthropology, University of Vienna, Austria</w:t>
      </w:r>
    </w:p>
    <w:p w14:paraId="78A5DC51" w14:textId="77777777" w:rsidR="00AD7756" w:rsidRPr="00931CB1" w:rsidRDefault="00AD7756" w:rsidP="00AD7756">
      <w:pPr>
        <w:pBdr>
          <w:top w:val="nil"/>
          <w:left w:val="nil"/>
          <w:bottom w:val="nil"/>
          <w:right w:val="nil"/>
          <w:between w:val="nil"/>
          <w:bar w:val="nil"/>
        </w:pBdr>
        <w:spacing w:after="0" w:line="360" w:lineRule="auto"/>
        <w:ind w:left="0" w:firstLine="0"/>
        <w:jc w:val="left"/>
        <w:rPr>
          <w:rFonts w:eastAsia="Arial Unicode MS"/>
          <w:color w:val="000000" w:themeColor="text1"/>
          <w:kern w:val="0"/>
          <w:szCs w:val="24"/>
          <w:u w:color="000000"/>
          <w:bdr w:val="nil"/>
          <w:lang w:eastAsia="es-ES"/>
          <w14:ligatures w14:val="none"/>
        </w:rPr>
      </w:pPr>
      <w:r w:rsidRPr="00931CB1">
        <w:rPr>
          <w:rFonts w:eastAsia="Arial Unicode MS"/>
          <w:color w:val="000000" w:themeColor="text1"/>
          <w:kern w:val="0"/>
          <w:szCs w:val="24"/>
          <w:u w:color="000000"/>
          <w:bdr w:val="nil"/>
          <w:vertAlign w:val="superscript"/>
          <w:lang w:eastAsia="es-ES"/>
          <w14:ligatures w14:val="none"/>
        </w:rPr>
        <w:t xml:space="preserve">9 </w:t>
      </w:r>
      <w:r w:rsidRPr="00931CB1">
        <w:rPr>
          <w:rFonts w:eastAsia="Arial Unicode MS"/>
          <w:color w:val="000000" w:themeColor="text1"/>
          <w:kern w:val="0"/>
          <w:szCs w:val="24"/>
          <w:u w:color="000000"/>
          <w:bdr w:val="nil"/>
          <w:lang w:eastAsia="es-ES"/>
          <w14:ligatures w14:val="none"/>
        </w:rPr>
        <w:t>School of Social Sciences, University of Queensland, Brisbane, Australia</w:t>
      </w:r>
    </w:p>
    <w:p w14:paraId="2C430E2C" w14:textId="1DA92FCF" w:rsidR="002C59CD" w:rsidRPr="00672284" w:rsidRDefault="002C59CD" w:rsidP="002C59CD">
      <w:pPr>
        <w:spacing w:after="0" w:line="360" w:lineRule="auto"/>
        <w:ind w:left="0" w:firstLine="0"/>
        <w:jc w:val="left"/>
        <w:rPr>
          <w:szCs w:val="24"/>
        </w:rPr>
      </w:pPr>
      <w:r w:rsidRPr="00931CB1">
        <w:rPr>
          <w:rFonts w:eastAsia="Arial Unicode MS"/>
          <w:szCs w:val="24"/>
          <w:bdr w:val="nil"/>
          <w:shd w:val="clear" w:color="auto" w:fill="FFFFFF"/>
          <w:vertAlign w:val="superscript"/>
        </w:rPr>
        <w:t>*</w:t>
      </w:r>
      <w:r w:rsidRPr="00931CB1">
        <w:rPr>
          <w:szCs w:val="24"/>
          <w:vertAlign w:val="superscript"/>
        </w:rPr>
        <w:t xml:space="preserve"> </w:t>
      </w:r>
      <w:r w:rsidRPr="00931CB1">
        <w:rPr>
          <w:szCs w:val="24"/>
        </w:rPr>
        <w:t xml:space="preserve">Authors for correspondence </w:t>
      </w:r>
      <w:r w:rsidRPr="00931CB1">
        <w:rPr>
          <w:rFonts w:ascii="Segoe UI Symbol" w:eastAsia="Arial Unicode MS" w:hAnsi="Segoe UI Symbol" w:cs="Segoe UI Symbol"/>
          <w:szCs w:val="24"/>
          <w:bdr w:val="nil"/>
        </w:rPr>
        <w:t>✉</w:t>
      </w:r>
      <w:r w:rsidRPr="00931CB1">
        <w:rPr>
          <w:szCs w:val="24"/>
        </w:rPr>
        <w:t xml:space="preserve"> </w:t>
      </w:r>
      <w:r w:rsidR="00B06277" w:rsidRPr="00931CB1">
        <w:rPr>
          <w:szCs w:val="24"/>
        </w:rPr>
        <w:t xml:space="preserve">perezramallo@gea.mpg.de </w:t>
      </w:r>
      <w:r w:rsidRPr="00931CB1">
        <w:rPr>
          <w:szCs w:val="24"/>
        </w:rPr>
        <w:t xml:space="preserve">&amp; </w:t>
      </w:r>
      <w:r w:rsidRPr="00672284">
        <w:rPr>
          <w:szCs w:val="24"/>
        </w:rPr>
        <w:t>ricardo.rodriguez.varela@arklab.su.se</w:t>
      </w:r>
    </w:p>
    <w:p w14:paraId="238383C8" w14:textId="77777777" w:rsidR="002C59CD" w:rsidRPr="00672284" w:rsidRDefault="002C59CD" w:rsidP="002C59CD">
      <w:pPr>
        <w:pBdr>
          <w:top w:val="nil"/>
          <w:left w:val="nil"/>
          <w:bottom w:val="nil"/>
          <w:right w:val="nil"/>
          <w:between w:val="nil"/>
          <w:bar w:val="nil"/>
        </w:pBdr>
        <w:spacing w:after="0" w:line="360" w:lineRule="auto"/>
        <w:jc w:val="left"/>
        <w:rPr>
          <w:rFonts w:eastAsia="Arial Unicode MS"/>
          <w:i/>
          <w:iCs/>
          <w:szCs w:val="24"/>
          <w:bdr w:val="nil"/>
        </w:rPr>
      </w:pPr>
      <w:r w:rsidRPr="00672284">
        <w:rPr>
          <w:rFonts w:eastAsia="Arial Unicode MS"/>
          <w:i/>
          <w:iCs/>
          <w:szCs w:val="24"/>
          <w:bdr w:val="nil"/>
        </w:rPr>
        <w:t>Received: 27 May 2023; Revised: 28 August 2023; Accepted: 13 October 2023</w:t>
      </w:r>
    </w:p>
    <w:p w14:paraId="522DF3AC" w14:textId="3AA18B2E" w:rsidR="00823BB0" w:rsidRPr="00A66FA9" w:rsidRDefault="00823BB0" w:rsidP="002C59CD">
      <w:pPr>
        <w:spacing w:after="0" w:line="360" w:lineRule="auto"/>
        <w:ind w:left="0" w:firstLine="0"/>
        <w:jc w:val="left"/>
        <w:rPr>
          <w:szCs w:val="24"/>
        </w:rPr>
      </w:pPr>
    </w:p>
    <w:p w14:paraId="25265FF3" w14:textId="1D2E21E5" w:rsidR="00003A1F" w:rsidRPr="00A66FA9" w:rsidRDefault="006E45E1" w:rsidP="00DC1167">
      <w:pPr>
        <w:spacing w:after="0" w:line="360" w:lineRule="auto"/>
        <w:ind w:left="0" w:firstLine="0"/>
        <w:jc w:val="left"/>
        <w:rPr>
          <w:b/>
          <w:bCs/>
          <w:szCs w:val="24"/>
        </w:rPr>
      </w:pPr>
      <w:r w:rsidRPr="00A66FA9">
        <w:rPr>
          <w:b/>
          <w:szCs w:val="24"/>
        </w:rPr>
        <w:t xml:space="preserve"> </w:t>
      </w:r>
    </w:p>
    <w:p w14:paraId="0E69FB8E" w14:textId="77777777" w:rsidR="00003A1F" w:rsidRPr="00672284" w:rsidRDefault="002C59CD" w:rsidP="00003A1F">
      <w:pPr>
        <w:spacing w:after="0" w:line="360" w:lineRule="auto"/>
        <w:ind w:left="0" w:firstLine="0"/>
        <w:jc w:val="left"/>
        <w:rPr>
          <w:szCs w:val="24"/>
        </w:rPr>
      </w:pPr>
      <w:r w:rsidRPr="00A66FA9">
        <w:rPr>
          <w:b/>
          <w:bCs/>
          <w:szCs w:val="24"/>
        </w:rPr>
        <w:lastRenderedPageBreak/>
        <w:t xml:space="preserve">1. </w:t>
      </w:r>
      <w:r w:rsidR="00003A1F" w:rsidRPr="00672284">
        <w:rPr>
          <w:b/>
          <w:bCs/>
          <w:szCs w:val="24"/>
        </w:rPr>
        <w:t>Skeletal Inventory of Individual NCS200</w:t>
      </w:r>
    </w:p>
    <w:p w14:paraId="12E43B60" w14:textId="77777777" w:rsidR="00003A1F" w:rsidRPr="00672284" w:rsidRDefault="00003A1F" w:rsidP="00003A1F">
      <w:pPr>
        <w:spacing w:after="0" w:line="360" w:lineRule="auto"/>
        <w:ind w:left="0" w:firstLine="0"/>
        <w:jc w:val="left"/>
        <w:rPr>
          <w:szCs w:val="24"/>
        </w:rPr>
      </w:pPr>
    </w:p>
    <w:p w14:paraId="58C67B9C" w14:textId="27CC0007" w:rsidR="00003A1F" w:rsidRPr="00672284" w:rsidRDefault="00003A1F" w:rsidP="00003A1F">
      <w:pPr>
        <w:numPr>
          <w:ilvl w:val="0"/>
          <w:numId w:val="3"/>
        </w:numPr>
        <w:spacing w:after="0" w:line="360" w:lineRule="auto"/>
        <w:jc w:val="left"/>
        <w:rPr>
          <w:szCs w:val="24"/>
        </w:rPr>
      </w:pPr>
      <w:r w:rsidRPr="00672284">
        <w:rPr>
          <w:szCs w:val="24"/>
        </w:rPr>
        <w:t>Cranium (</w:t>
      </w:r>
      <w:r w:rsidRPr="00672284">
        <w:rPr>
          <w:i/>
          <w:iCs/>
          <w:szCs w:val="24"/>
        </w:rPr>
        <w:t>calvaria</w:t>
      </w:r>
      <w:r w:rsidRPr="00672284">
        <w:rPr>
          <w:szCs w:val="24"/>
        </w:rPr>
        <w:t xml:space="preserve">): The skull is the best-preserved bony element. Both parietal bones, the frontal bone, both temporal bones, and part of the occipital bone are preserved, although there is a loss of the </w:t>
      </w:r>
      <w:r w:rsidRPr="00672284">
        <w:rPr>
          <w:i/>
          <w:iCs/>
          <w:szCs w:val="24"/>
        </w:rPr>
        <w:t>foramen magnum</w:t>
      </w:r>
      <w:r w:rsidRPr="00672284">
        <w:rPr>
          <w:szCs w:val="24"/>
        </w:rPr>
        <w:t xml:space="preserve">. However, along with the occipital bone, the right temporal and parietal bones are fractured and incomplete. </w:t>
      </w:r>
      <w:proofErr w:type="spellStart"/>
      <w:r w:rsidRPr="00672284">
        <w:rPr>
          <w:szCs w:val="24"/>
        </w:rPr>
        <w:t>Taphonomic</w:t>
      </w:r>
      <w:proofErr w:type="spellEnd"/>
      <w:r w:rsidRPr="00672284">
        <w:rPr>
          <w:szCs w:val="24"/>
        </w:rPr>
        <w:t xml:space="preserve"> changes can be observed as a result of </w:t>
      </w:r>
      <w:r w:rsidR="00F862B0" w:rsidRPr="00A66FA9">
        <w:t xml:space="preserve">abrasion/erosion </w:t>
      </w:r>
      <w:r w:rsidRPr="00672284">
        <w:rPr>
          <w:szCs w:val="24"/>
        </w:rPr>
        <w:t xml:space="preserve">after the burial of the remains. In addition, there are marks of recent blows, possibly caused during the excavation and exhumation carried out in 1955. Presence of </w:t>
      </w:r>
      <w:r w:rsidR="001F7323" w:rsidRPr="00A66FA9">
        <w:rPr>
          <w:szCs w:val="24"/>
        </w:rPr>
        <w:t>Wormian</w:t>
      </w:r>
      <w:r w:rsidRPr="00672284">
        <w:rPr>
          <w:szCs w:val="24"/>
        </w:rPr>
        <w:t xml:space="preserve"> bones in the occipital suture.</w:t>
      </w:r>
    </w:p>
    <w:p w14:paraId="5180F02E" w14:textId="100D5B4E" w:rsidR="00003A1F" w:rsidRPr="00672284" w:rsidRDefault="00003A1F" w:rsidP="00003A1F">
      <w:pPr>
        <w:numPr>
          <w:ilvl w:val="0"/>
          <w:numId w:val="3"/>
        </w:numPr>
        <w:spacing w:after="0" w:line="360" w:lineRule="auto"/>
        <w:jc w:val="left"/>
        <w:rPr>
          <w:szCs w:val="24"/>
        </w:rPr>
      </w:pPr>
      <w:r w:rsidRPr="00672284">
        <w:rPr>
          <w:szCs w:val="24"/>
        </w:rPr>
        <w:t>Cranium (</w:t>
      </w:r>
      <w:r w:rsidRPr="00672284">
        <w:rPr>
          <w:i/>
          <w:iCs/>
          <w:szCs w:val="24"/>
        </w:rPr>
        <w:t>splanchnocranium</w:t>
      </w:r>
      <w:r w:rsidRPr="00672284">
        <w:rPr>
          <w:szCs w:val="24"/>
        </w:rPr>
        <w:t xml:space="preserve">): Maxillae (right and left) are incomplete and fragmented. Teeth 41 and 42 were found separately (fall </w:t>
      </w:r>
      <w:proofErr w:type="gramStart"/>
      <w:r w:rsidR="00E74664" w:rsidRPr="00A66FA9">
        <w:rPr>
          <w:szCs w:val="24"/>
        </w:rPr>
        <w:t>post</w:t>
      </w:r>
      <w:r w:rsidR="001F7323" w:rsidRPr="00A66FA9">
        <w:rPr>
          <w:szCs w:val="24"/>
        </w:rPr>
        <w:t xml:space="preserve"> </w:t>
      </w:r>
      <w:r w:rsidR="00E74664" w:rsidRPr="00A66FA9">
        <w:rPr>
          <w:szCs w:val="24"/>
        </w:rPr>
        <w:t>mortem</w:t>
      </w:r>
      <w:proofErr w:type="gramEnd"/>
      <w:r w:rsidRPr="00672284">
        <w:rPr>
          <w:szCs w:val="24"/>
        </w:rPr>
        <w:t xml:space="preserve">), which were used for </w:t>
      </w:r>
      <w:proofErr w:type="spellStart"/>
      <w:r w:rsidRPr="00672284">
        <w:rPr>
          <w:szCs w:val="24"/>
        </w:rPr>
        <w:t>aDNA</w:t>
      </w:r>
      <w:proofErr w:type="spellEnd"/>
      <w:r w:rsidRPr="00672284">
        <w:rPr>
          <w:szCs w:val="24"/>
        </w:rPr>
        <w:t xml:space="preserve"> analysis. Although no teeth were preserved in situ in the left maxillary fragment, the first and second molars were lost </w:t>
      </w:r>
      <w:r w:rsidR="00E74664" w:rsidRPr="00A66FA9">
        <w:rPr>
          <w:szCs w:val="24"/>
        </w:rPr>
        <w:t>perimortem</w:t>
      </w:r>
      <w:r w:rsidRPr="00672284">
        <w:rPr>
          <w:szCs w:val="24"/>
        </w:rPr>
        <w:t xml:space="preserve">, while the two premolars, the canine, and both incisors were lost </w:t>
      </w:r>
      <w:proofErr w:type="gramStart"/>
      <w:r w:rsidRPr="00672284">
        <w:rPr>
          <w:szCs w:val="24"/>
        </w:rPr>
        <w:t>post</w:t>
      </w:r>
      <w:r w:rsidR="001F7323" w:rsidRPr="00A66FA9">
        <w:rPr>
          <w:szCs w:val="24"/>
        </w:rPr>
        <w:t xml:space="preserve"> </w:t>
      </w:r>
      <w:r w:rsidRPr="00672284">
        <w:rPr>
          <w:szCs w:val="24"/>
        </w:rPr>
        <w:t>mortem</w:t>
      </w:r>
      <w:proofErr w:type="gramEnd"/>
      <w:r w:rsidRPr="00672284">
        <w:rPr>
          <w:szCs w:val="24"/>
        </w:rPr>
        <w:t xml:space="preserve">. A fragment of the right maxilla was found, showing the perimortem loss of the second molar (17), with the first molar (16), the two premolars (14 and 15), the canine (13), and the second incisor (12) falling out </w:t>
      </w:r>
      <w:r w:rsidR="00D27416" w:rsidRPr="00A66FA9">
        <w:rPr>
          <w:szCs w:val="24"/>
        </w:rPr>
        <w:t>post-mortem</w:t>
      </w:r>
      <w:r w:rsidRPr="00672284">
        <w:rPr>
          <w:szCs w:val="24"/>
        </w:rPr>
        <w:t>. Presence of an abscess in the left maxilla.</w:t>
      </w:r>
    </w:p>
    <w:p w14:paraId="5A8AECC0" w14:textId="77777777" w:rsidR="00003A1F" w:rsidRPr="00672284" w:rsidRDefault="00003A1F" w:rsidP="00003A1F">
      <w:pPr>
        <w:numPr>
          <w:ilvl w:val="0"/>
          <w:numId w:val="3"/>
        </w:numPr>
        <w:spacing w:after="0" w:line="360" w:lineRule="auto"/>
        <w:jc w:val="left"/>
        <w:rPr>
          <w:szCs w:val="24"/>
        </w:rPr>
      </w:pPr>
      <w:r w:rsidRPr="00672284">
        <w:rPr>
          <w:szCs w:val="24"/>
        </w:rPr>
        <w:t>Cranium (</w:t>
      </w:r>
      <w:r w:rsidRPr="00672284">
        <w:rPr>
          <w:i/>
          <w:iCs/>
          <w:szCs w:val="24"/>
        </w:rPr>
        <w:t>mandible</w:t>
      </w:r>
      <w:r w:rsidRPr="00672284">
        <w:rPr>
          <w:szCs w:val="24"/>
        </w:rPr>
        <w:t>): Mandible is fragmented and incomplete. Teeth 41-43 on the right side and 31-38 on the left side are preserved in situ. Presence of abscesses and tartar.</w:t>
      </w:r>
    </w:p>
    <w:p w14:paraId="1EA96C00" w14:textId="77777777" w:rsidR="00003A1F" w:rsidRPr="00672284" w:rsidRDefault="00003A1F" w:rsidP="00003A1F">
      <w:pPr>
        <w:numPr>
          <w:ilvl w:val="0"/>
          <w:numId w:val="3"/>
        </w:numPr>
        <w:spacing w:after="0" w:line="360" w:lineRule="auto"/>
        <w:jc w:val="left"/>
        <w:rPr>
          <w:szCs w:val="24"/>
        </w:rPr>
      </w:pPr>
      <w:r w:rsidRPr="00672284">
        <w:rPr>
          <w:szCs w:val="24"/>
        </w:rPr>
        <w:t>Vertebrae: Only 1 vertebral body with part of the arch (cervical), and fragments of cervical arch (cervical and thoracic) are preserved.</w:t>
      </w:r>
    </w:p>
    <w:p w14:paraId="64A10534" w14:textId="77777777" w:rsidR="00003A1F" w:rsidRPr="00672284" w:rsidRDefault="00003A1F" w:rsidP="00003A1F">
      <w:pPr>
        <w:numPr>
          <w:ilvl w:val="0"/>
          <w:numId w:val="3"/>
        </w:numPr>
        <w:spacing w:after="0" w:line="360" w:lineRule="auto"/>
        <w:jc w:val="left"/>
        <w:rPr>
          <w:szCs w:val="24"/>
        </w:rPr>
      </w:pPr>
      <w:r w:rsidRPr="00672284">
        <w:rPr>
          <w:szCs w:val="24"/>
        </w:rPr>
        <w:t>Ribs: Few fragments belonging to the ribs are preserved (n = 5).</w:t>
      </w:r>
    </w:p>
    <w:p w14:paraId="1051877E" w14:textId="77777777" w:rsidR="00003A1F" w:rsidRPr="00672284" w:rsidRDefault="00003A1F" w:rsidP="00003A1F">
      <w:pPr>
        <w:numPr>
          <w:ilvl w:val="0"/>
          <w:numId w:val="3"/>
        </w:numPr>
        <w:spacing w:after="0" w:line="360" w:lineRule="auto"/>
        <w:jc w:val="left"/>
        <w:rPr>
          <w:szCs w:val="24"/>
        </w:rPr>
      </w:pPr>
      <w:r w:rsidRPr="00672284">
        <w:rPr>
          <w:szCs w:val="24"/>
        </w:rPr>
        <w:t>Clavicle: Two fragments corresponding to the left clavicle and one fragment corresponding to the right clavicle.</w:t>
      </w:r>
    </w:p>
    <w:p w14:paraId="22C799F5" w14:textId="77777777" w:rsidR="00003A1F" w:rsidRPr="00672284" w:rsidRDefault="00003A1F" w:rsidP="00003A1F">
      <w:pPr>
        <w:numPr>
          <w:ilvl w:val="0"/>
          <w:numId w:val="3"/>
        </w:numPr>
        <w:spacing w:after="0" w:line="360" w:lineRule="auto"/>
        <w:jc w:val="left"/>
        <w:rPr>
          <w:szCs w:val="24"/>
        </w:rPr>
      </w:pPr>
      <w:r w:rsidRPr="00672284">
        <w:rPr>
          <w:szCs w:val="24"/>
        </w:rPr>
        <w:t>Scapula: Three small fragments from the left scapula (coracoid process).</w:t>
      </w:r>
    </w:p>
    <w:p w14:paraId="5E6A13C9" w14:textId="77777777" w:rsidR="00003A1F" w:rsidRPr="00672284" w:rsidRDefault="00003A1F" w:rsidP="00003A1F">
      <w:pPr>
        <w:numPr>
          <w:ilvl w:val="0"/>
          <w:numId w:val="3"/>
        </w:numPr>
        <w:spacing w:after="0" w:line="360" w:lineRule="auto"/>
        <w:jc w:val="left"/>
        <w:rPr>
          <w:szCs w:val="24"/>
        </w:rPr>
      </w:pPr>
      <w:r w:rsidRPr="00672284">
        <w:rPr>
          <w:szCs w:val="24"/>
        </w:rPr>
        <w:t>Arms: They are preserved, although very fragmentary and incomplete, especially with the loss of the proximal and distal epiphyses. The presence of the humerus, ulna, and radius of both arms have been identified. None of the elements are complete enough to make measurements, and therefore, estimates of stature and/or sex.</w:t>
      </w:r>
    </w:p>
    <w:p w14:paraId="2685E04F" w14:textId="77777777" w:rsidR="00003A1F" w:rsidRPr="00672284" w:rsidRDefault="00003A1F" w:rsidP="00003A1F">
      <w:pPr>
        <w:numPr>
          <w:ilvl w:val="0"/>
          <w:numId w:val="3"/>
        </w:numPr>
        <w:spacing w:after="0" w:line="360" w:lineRule="auto"/>
        <w:jc w:val="left"/>
        <w:rPr>
          <w:szCs w:val="24"/>
        </w:rPr>
      </w:pPr>
      <w:r w:rsidRPr="00672284">
        <w:rPr>
          <w:szCs w:val="24"/>
        </w:rPr>
        <w:t xml:space="preserve">Legs: They are preserved, although very fragmentary and incomplete, especially with the loss of the proximal and distal epiphyses. The presence of the femur, tibia, and </w:t>
      </w:r>
      <w:r w:rsidRPr="00672284">
        <w:rPr>
          <w:szCs w:val="24"/>
        </w:rPr>
        <w:lastRenderedPageBreak/>
        <w:t>ulna of both legs has been identified. None of the elements are complete enough to make measurements, and therefore, estimates of stature and/or sex. Periostitis has been observed in the metaphysis of the left tibia.</w:t>
      </w:r>
    </w:p>
    <w:p w14:paraId="78FB0BD1" w14:textId="77777777" w:rsidR="00003A1F" w:rsidRPr="00672284" w:rsidRDefault="00003A1F" w:rsidP="00003A1F">
      <w:pPr>
        <w:numPr>
          <w:ilvl w:val="0"/>
          <w:numId w:val="3"/>
        </w:numPr>
        <w:spacing w:after="0" w:line="360" w:lineRule="auto"/>
        <w:jc w:val="left"/>
        <w:rPr>
          <w:szCs w:val="24"/>
        </w:rPr>
      </w:pPr>
      <w:r w:rsidRPr="00672284">
        <w:rPr>
          <w:szCs w:val="24"/>
        </w:rPr>
        <w:t>Calcaneus: Fragment of the right calcaneus.</w:t>
      </w:r>
    </w:p>
    <w:p w14:paraId="520137F4" w14:textId="77777777" w:rsidR="00003A1F" w:rsidRPr="00672284" w:rsidRDefault="00003A1F" w:rsidP="00003A1F">
      <w:pPr>
        <w:spacing w:after="0" w:line="360" w:lineRule="auto"/>
        <w:ind w:left="0" w:firstLine="0"/>
        <w:jc w:val="left"/>
        <w:rPr>
          <w:szCs w:val="24"/>
        </w:rPr>
      </w:pPr>
    </w:p>
    <w:p w14:paraId="642CF6FA" w14:textId="6B827CF5" w:rsidR="00003A1F" w:rsidRPr="00672284" w:rsidRDefault="00003A1F" w:rsidP="002C59CD">
      <w:pPr>
        <w:spacing w:after="0" w:line="360" w:lineRule="auto"/>
        <w:ind w:left="0" w:firstLine="0"/>
        <w:jc w:val="left"/>
        <w:rPr>
          <w:szCs w:val="24"/>
        </w:rPr>
      </w:pPr>
      <w:r w:rsidRPr="00672284">
        <w:rPr>
          <w:szCs w:val="24"/>
        </w:rPr>
        <w:t>Minimum number of bone elements identified = 3</w:t>
      </w:r>
      <w:r w:rsidR="00B9275E" w:rsidRPr="00A66FA9">
        <w:rPr>
          <w:szCs w:val="24"/>
        </w:rPr>
        <w:t>9</w:t>
      </w:r>
      <w:r w:rsidRPr="00672284">
        <w:rPr>
          <w:szCs w:val="24"/>
        </w:rPr>
        <w:t xml:space="preserve"> (Number of bone fragments = </w:t>
      </w:r>
      <w:r w:rsidR="00B9275E" w:rsidRPr="00A66FA9">
        <w:rPr>
          <w:szCs w:val="24"/>
        </w:rPr>
        <w:t>90</w:t>
      </w:r>
      <w:r w:rsidRPr="00672284">
        <w:rPr>
          <w:szCs w:val="24"/>
        </w:rPr>
        <w:t>)</w:t>
      </w:r>
    </w:p>
    <w:p w14:paraId="1D74E57D" w14:textId="77777777" w:rsidR="00003A1F" w:rsidRPr="00A66FA9" w:rsidRDefault="00003A1F" w:rsidP="002C59CD">
      <w:pPr>
        <w:spacing w:after="0" w:line="360" w:lineRule="auto"/>
        <w:ind w:left="0" w:firstLine="0"/>
        <w:jc w:val="left"/>
        <w:rPr>
          <w:b/>
          <w:bCs/>
          <w:szCs w:val="24"/>
        </w:rPr>
      </w:pPr>
    </w:p>
    <w:p w14:paraId="44D58E07" w14:textId="0B973165" w:rsidR="002C59CD" w:rsidRPr="00A66FA9" w:rsidRDefault="00003A1F" w:rsidP="002C59CD">
      <w:pPr>
        <w:spacing w:after="0" w:line="360" w:lineRule="auto"/>
        <w:ind w:left="0" w:firstLine="0"/>
        <w:jc w:val="left"/>
        <w:rPr>
          <w:b/>
          <w:bCs/>
          <w:szCs w:val="24"/>
        </w:rPr>
      </w:pPr>
      <w:r w:rsidRPr="00A66FA9">
        <w:rPr>
          <w:b/>
          <w:bCs/>
          <w:szCs w:val="24"/>
        </w:rPr>
        <w:t xml:space="preserve">2. </w:t>
      </w:r>
      <w:r w:rsidR="006E45E1" w:rsidRPr="00A66FA9">
        <w:rPr>
          <w:b/>
          <w:bCs/>
          <w:szCs w:val="24"/>
        </w:rPr>
        <w:t>Radiocarbon dating</w:t>
      </w:r>
    </w:p>
    <w:p w14:paraId="6B6938B6" w14:textId="200026F3" w:rsidR="00823BB0" w:rsidRPr="00A66FA9" w:rsidRDefault="006E45E1" w:rsidP="002C59CD">
      <w:pPr>
        <w:spacing w:after="0" w:line="360" w:lineRule="auto"/>
        <w:ind w:left="0" w:firstLine="0"/>
      </w:pPr>
      <w:r w:rsidRPr="00A66FA9">
        <w:t xml:space="preserve">Oxford Radiocarbon Accelerator Unit (ORAU), Oxford, UK </w:t>
      </w:r>
    </w:p>
    <w:p w14:paraId="3EB17BDA" w14:textId="5B772BFC" w:rsidR="00823BB0" w:rsidRPr="00A66FA9" w:rsidRDefault="006E45E1" w:rsidP="002C59CD">
      <w:pPr>
        <w:spacing w:after="0" w:line="360" w:lineRule="auto"/>
        <w:ind w:left="-15" w:firstLine="0"/>
        <w:jc w:val="left"/>
        <w:rPr>
          <w:szCs w:val="24"/>
        </w:rPr>
      </w:pPr>
      <w:r w:rsidRPr="00A66FA9">
        <w:rPr>
          <w:szCs w:val="24"/>
        </w:rPr>
        <w:t xml:space="preserve">The human bone (rib fragment) of NCS200 was radiocarbon dated at the Oxford Radiocarbon Accelerator Unit (ORAU). Prior to extensive sampling of human skeletal remains we screened small (3–5mg) sub-samples of drilled bone powder by measuring the elemental nitrogen concentration. This is a useful proxy for protein, and therefore presence of collagen in the bone (Brock </w:t>
      </w:r>
      <w:r w:rsidR="002C59CD" w:rsidRPr="00A66FA9">
        <w:rPr>
          <w:i/>
          <w:szCs w:val="24"/>
        </w:rPr>
        <w:t>et al</w:t>
      </w:r>
      <w:r w:rsidRPr="00A66FA9">
        <w:rPr>
          <w:i/>
          <w:szCs w:val="24"/>
        </w:rPr>
        <w:t>.</w:t>
      </w:r>
      <w:r w:rsidRPr="00A66FA9">
        <w:rPr>
          <w:szCs w:val="24"/>
        </w:rPr>
        <w:t xml:space="preserve"> 2010; Jacob </w:t>
      </w:r>
      <w:r w:rsidR="002C59CD" w:rsidRPr="00A66FA9">
        <w:rPr>
          <w:i/>
          <w:szCs w:val="24"/>
        </w:rPr>
        <w:t>et al</w:t>
      </w:r>
      <w:r w:rsidRPr="00A66FA9">
        <w:rPr>
          <w:i/>
          <w:szCs w:val="24"/>
        </w:rPr>
        <w:t>.</w:t>
      </w:r>
      <w:r w:rsidRPr="00A66FA9">
        <w:rPr>
          <w:szCs w:val="24"/>
        </w:rPr>
        <w:t xml:space="preserve"> 2018). Samples with &gt;~0.5%</w:t>
      </w:r>
      <w:r w:rsidR="008C4900" w:rsidRPr="00A66FA9">
        <w:rPr>
          <w:szCs w:val="24"/>
        </w:rPr>
        <w:t xml:space="preserve"> </w:t>
      </w:r>
      <w:r w:rsidRPr="00A66FA9">
        <w:rPr>
          <w:szCs w:val="24"/>
        </w:rPr>
        <w:t xml:space="preserve">N were passed for full collagen extraction treatment for AMS dating (ORAU pretreatment code AF). The methods used are outlined in Brock </w:t>
      </w:r>
      <w:r w:rsidR="002C59CD" w:rsidRPr="00A66FA9">
        <w:rPr>
          <w:i/>
          <w:szCs w:val="24"/>
        </w:rPr>
        <w:t>et al</w:t>
      </w:r>
      <w:r w:rsidRPr="00A66FA9">
        <w:rPr>
          <w:szCs w:val="24"/>
        </w:rPr>
        <w:t>. (2010). Briefly, collagen was extracted using an acid-base-acid procedure followed by gelatini</w:t>
      </w:r>
      <w:r w:rsidR="00CC2723" w:rsidRPr="00A66FA9">
        <w:rPr>
          <w:szCs w:val="24"/>
        </w:rPr>
        <w:t>s</w:t>
      </w:r>
      <w:r w:rsidRPr="00A66FA9">
        <w:rPr>
          <w:szCs w:val="24"/>
        </w:rPr>
        <w:t>ation and lyophili</w:t>
      </w:r>
      <w:r w:rsidR="00CC2723" w:rsidRPr="00A66FA9">
        <w:rPr>
          <w:szCs w:val="24"/>
        </w:rPr>
        <w:t>s</w:t>
      </w:r>
      <w:r w:rsidRPr="00A66FA9">
        <w:rPr>
          <w:szCs w:val="24"/>
        </w:rPr>
        <w:t xml:space="preserve">ation (Brock </w:t>
      </w:r>
      <w:r w:rsidR="002C59CD" w:rsidRPr="00A66FA9">
        <w:rPr>
          <w:i/>
          <w:szCs w:val="24"/>
        </w:rPr>
        <w:t>et al</w:t>
      </w:r>
      <w:r w:rsidRPr="00A66FA9">
        <w:rPr>
          <w:szCs w:val="24"/>
        </w:rPr>
        <w:t xml:space="preserve">. 2010). The extracted </w:t>
      </w:r>
      <w:proofErr w:type="spellStart"/>
      <w:r w:rsidRPr="00A66FA9">
        <w:rPr>
          <w:szCs w:val="24"/>
        </w:rPr>
        <w:t>gelatin</w:t>
      </w:r>
      <w:proofErr w:type="spellEnd"/>
      <w:r w:rsidRPr="00A66FA9">
        <w:rPr>
          <w:szCs w:val="24"/>
        </w:rPr>
        <w:t xml:space="preserve"> was filtered using pre-cleaned Vivaspin™30kD MWCO ultra-filters (Brown </w:t>
      </w:r>
      <w:r w:rsidR="002C59CD" w:rsidRPr="00A66FA9">
        <w:rPr>
          <w:i/>
          <w:szCs w:val="24"/>
        </w:rPr>
        <w:t>et al</w:t>
      </w:r>
      <w:r w:rsidRPr="00A66FA9">
        <w:rPr>
          <w:i/>
          <w:szCs w:val="24"/>
        </w:rPr>
        <w:t>.</w:t>
      </w:r>
      <w:r w:rsidRPr="00A66FA9">
        <w:rPr>
          <w:szCs w:val="24"/>
        </w:rPr>
        <w:t xml:space="preserve"> 1988; Higham </w:t>
      </w:r>
      <w:r w:rsidR="002C59CD" w:rsidRPr="00A66FA9">
        <w:rPr>
          <w:i/>
          <w:szCs w:val="24"/>
        </w:rPr>
        <w:t>et al</w:t>
      </w:r>
      <w:r w:rsidRPr="00A66FA9">
        <w:rPr>
          <w:i/>
          <w:szCs w:val="24"/>
        </w:rPr>
        <w:t>.</w:t>
      </w:r>
      <w:r w:rsidRPr="00A66FA9">
        <w:rPr>
          <w:szCs w:val="24"/>
        </w:rPr>
        <w:t xml:space="preserve"> 2006). Ultrafiltration removes low molecular weight contaminants and produces a better purified collagen fraction as indicated by improved </w:t>
      </w:r>
      <w:proofErr w:type="gramStart"/>
      <w:r w:rsidRPr="00A66FA9">
        <w:rPr>
          <w:szCs w:val="24"/>
        </w:rPr>
        <w:t>C:N</w:t>
      </w:r>
      <w:proofErr w:type="gramEnd"/>
      <w:r w:rsidRPr="00A66FA9">
        <w:rPr>
          <w:szCs w:val="24"/>
        </w:rPr>
        <w:t xml:space="preserve"> atomic ratios and carbon mass on combustion. The filtered collagen was freeze-dried and combusted in a CHN analy</w:t>
      </w:r>
      <w:r w:rsidR="00051A83" w:rsidRPr="00A66FA9">
        <w:rPr>
          <w:szCs w:val="24"/>
        </w:rPr>
        <w:t>s</w:t>
      </w:r>
      <w:r w:rsidRPr="00A66FA9">
        <w:rPr>
          <w:szCs w:val="24"/>
        </w:rPr>
        <w:t>er linked in continuous flow mode to a Europa isotope ratio mass spectrometer (EA-CFIRMS) using a He carrier gas. δ</w:t>
      </w:r>
      <w:r w:rsidRPr="00A66FA9">
        <w:rPr>
          <w:szCs w:val="24"/>
          <w:vertAlign w:val="superscript"/>
        </w:rPr>
        <w:t>13</w:t>
      </w:r>
      <w:r w:rsidRPr="00A66FA9">
        <w:rPr>
          <w:szCs w:val="24"/>
        </w:rPr>
        <w:t>C and δ</w:t>
      </w:r>
      <w:r w:rsidRPr="00A66FA9">
        <w:rPr>
          <w:szCs w:val="24"/>
          <w:vertAlign w:val="superscript"/>
        </w:rPr>
        <w:t>15</w:t>
      </w:r>
      <w:r w:rsidRPr="00A66FA9">
        <w:rPr>
          <w:szCs w:val="24"/>
        </w:rPr>
        <w:t xml:space="preserve">N values, nitrogen and carbon content, and bone </w:t>
      </w:r>
      <w:proofErr w:type="gramStart"/>
      <w:r w:rsidRPr="00A66FA9">
        <w:rPr>
          <w:szCs w:val="24"/>
        </w:rPr>
        <w:t>C:N</w:t>
      </w:r>
      <w:proofErr w:type="gramEnd"/>
      <w:r w:rsidRPr="00A66FA9">
        <w:rPr>
          <w:szCs w:val="24"/>
        </w:rPr>
        <w:t xml:space="preserve"> atomic ratios were determined. The purified CO</w:t>
      </w:r>
      <w:r w:rsidRPr="00A66FA9">
        <w:rPr>
          <w:szCs w:val="24"/>
          <w:vertAlign w:val="subscript"/>
        </w:rPr>
        <w:t>2</w:t>
      </w:r>
      <w:r w:rsidRPr="00A66FA9">
        <w:rPr>
          <w:szCs w:val="24"/>
        </w:rPr>
        <w:t xml:space="preserve"> was then reduced to graphite using H</w:t>
      </w:r>
      <w:r w:rsidRPr="00A66FA9">
        <w:rPr>
          <w:szCs w:val="24"/>
          <w:vertAlign w:val="subscript"/>
        </w:rPr>
        <w:t>2</w:t>
      </w:r>
      <w:r w:rsidRPr="00A66FA9">
        <w:rPr>
          <w:szCs w:val="24"/>
        </w:rPr>
        <w:t xml:space="preserve"> in a reaction cataly</w:t>
      </w:r>
      <w:r w:rsidR="006A7C65" w:rsidRPr="00A66FA9">
        <w:rPr>
          <w:szCs w:val="24"/>
        </w:rPr>
        <w:t>s</w:t>
      </w:r>
      <w:r w:rsidRPr="00A66FA9">
        <w:rPr>
          <w:szCs w:val="24"/>
        </w:rPr>
        <w:t>ed by 2mg of a Fe powder at 560°C for 6 hr. The graphite was pressed into an Al target holder prior to radiocarbon measurement using AMS (</w:t>
      </w:r>
      <w:proofErr w:type="spellStart"/>
      <w:r w:rsidR="00E573AA" w:rsidRPr="00A66FA9">
        <w:rPr>
          <w:szCs w:val="24"/>
        </w:rPr>
        <w:t>Bronk</w:t>
      </w:r>
      <w:proofErr w:type="spellEnd"/>
      <w:r w:rsidR="00E573AA" w:rsidRPr="00A66FA9">
        <w:rPr>
          <w:szCs w:val="24"/>
        </w:rPr>
        <w:t xml:space="preserve"> </w:t>
      </w:r>
      <w:r w:rsidRPr="00A66FA9">
        <w:rPr>
          <w:szCs w:val="24"/>
        </w:rPr>
        <w:t xml:space="preserve">Ramsey </w:t>
      </w:r>
      <w:r w:rsidR="002C59CD" w:rsidRPr="00A66FA9">
        <w:rPr>
          <w:i/>
          <w:szCs w:val="24"/>
        </w:rPr>
        <w:t>et al</w:t>
      </w:r>
      <w:r w:rsidRPr="00A66FA9">
        <w:rPr>
          <w:i/>
          <w:szCs w:val="24"/>
        </w:rPr>
        <w:t>.</w:t>
      </w:r>
      <w:r w:rsidRPr="00A66FA9">
        <w:rPr>
          <w:szCs w:val="24"/>
        </w:rPr>
        <w:t xml:space="preserve"> 2004). We tested the reliability of dating bone with collagen yields of this size and the models showed that none were outliers. All other analytical parameters measured, including the carbon to nitrogen atomic ratio, were acceptable. We therefore consider the results to be robust. The calibration and the calibration curve were performed by </w:t>
      </w:r>
      <w:proofErr w:type="spellStart"/>
      <w:r w:rsidRPr="00A66FA9">
        <w:rPr>
          <w:szCs w:val="24"/>
        </w:rPr>
        <w:t>OxCal</w:t>
      </w:r>
      <w:proofErr w:type="spellEnd"/>
      <w:r w:rsidRPr="00A66FA9">
        <w:rPr>
          <w:szCs w:val="24"/>
        </w:rPr>
        <w:t xml:space="preserve"> V4.3.2 </w:t>
      </w:r>
      <w:proofErr w:type="spellStart"/>
      <w:r w:rsidR="00E573AA" w:rsidRPr="00A66FA9">
        <w:rPr>
          <w:szCs w:val="24"/>
        </w:rPr>
        <w:t>Bronk</w:t>
      </w:r>
      <w:proofErr w:type="spellEnd"/>
      <w:r w:rsidR="00E573AA" w:rsidRPr="00A66FA9">
        <w:rPr>
          <w:szCs w:val="24"/>
        </w:rPr>
        <w:t xml:space="preserve"> </w:t>
      </w:r>
      <w:r w:rsidRPr="00A66FA9">
        <w:rPr>
          <w:szCs w:val="24"/>
        </w:rPr>
        <w:t xml:space="preserve">Ramsey (2017): r.5: IntCarl13 atmospheric curve (Reimer </w:t>
      </w:r>
      <w:r w:rsidR="002C59CD" w:rsidRPr="00A66FA9">
        <w:rPr>
          <w:i/>
          <w:szCs w:val="24"/>
        </w:rPr>
        <w:t>et al</w:t>
      </w:r>
      <w:r w:rsidRPr="00A66FA9">
        <w:rPr>
          <w:i/>
          <w:szCs w:val="24"/>
        </w:rPr>
        <w:t>.</w:t>
      </w:r>
      <w:r w:rsidRPr="00A66FA9">
        <w:rPr>
          <w:szCs w:val="24"/>
        </w:rPr>
        <w:t xml:space="preserve"> 2013).</w:t>
      </w:r>
      <w:r w:rsidR="002C59CD" w:rsidRPr="00A66FA9">
        <w:rPr>
          <w:szCs w:val="24"/>
        </w:rPr>
        <w:t xml:space="preserve"> </w:t>
      </w:r>
    </w:p>
    <w:p w14:paraId="2A11AFD2" w14:textId="7CAE547F" w:rsidR="00823BB0" w:rsidRPr="00A66FA9" w:rsidRDefault="006E45E1" w:rsidP="002C59CD">
      <w:pPr>
        <w:spacing w:after="0" w:line="360" w:lineRule="auto"/>
        <w:ind w:left="0" w:firstLine="0"/>
        <w:jc w:val="left"/>
        <w:rPr>
          <w:szCs w:val="24"/>
        </w:rPr>
      </w:pPr>
      <w:r w:rsidRPr="00A66FA9">
        <w:rPr>
          <w:b/>
          <w:szCs w:val="24"/>
        </w:rPr>
        <w:t xml:space="preserve">  </w:t>
      </w:r>
    </w:p>
    <w:p w14:paraId="34AC5D53" w14:textId="0800C4B5" w:rsidR="00823BB0" w:rsidRPr="00A66FA9" w:rsidRDefault="00003A1F" w:rsidP="002C59CD">
      <w:pPr>
        <w:spacing w:after="0" w:line="360" w:lineRule="auto"/>
        <w:ind w:left="0" w:firstLine="0"/>
        <w:jc w:val="left"/>
        <w:rPr>
          <w:b/>
          <w:bCs/>
          <w:szCs w:val="24"/>
        </w:rPr>
      </w:pPr>
      <w:r w:rsidRPr="00A66FA9">
        <w:rPr>
          <w:b/>
          <w:bCs/>
          <w:szCs w:val="24"/>
        </w:rPr>
        <w:t>3</w:t>
      </w:r>
      <w:r w:rsidR="006E45E1" w:rsidRPr="00A66FA9">
        <w:rPr>
          <w:b/>
          <w:bCs/>
          <w:szCs w:val="24"/>
        </w:rPr>
        <w:t>. δ</w:t>
      </w:r>
      <w:r w:rsidR="006E45E1" w:rsidRPr="00A66FA9">
        <w:rPr>
          <w:b/>
          <w:bCs/>
          <w:szCs w:val="24"/>
          <w:vertAlign w:val="superscript"/>
        </w:rPr>
        <w:t>13</w:t>
      </w:r>
      <w:r w:rsidR="006E45E1" w:rsidRPr="00A66FA9">
        <w:rPr>
          <w:b/>
          <w:bCs/>
          <w:szCs w:val="24"/>
        </w:rPr>
        <w:t>C and δ</w:t>
      </w:r>
      <w:r w:rsidR="006E45E1" w:rsidRPr="00A66FA9">
        <w:rPr>
          <w:b/>
          <w:bCs/>
          <w:szCs w:val="24"/>
          <w:vertAlign w:val="superscript"/>
        </w:rPr>
        <w:t>15</w:t>
      </w:r>
      <w:r w:rsidR="006E45E1" w:rsidRPr="00A66FA9">
        <w:rPr>
          <w:b/>
          <w:bCs/>
          <w:szCs w:val="24"/>
        </w:rPr>
        <w:t xml:space="preserve">N analysis of bone collagen </w:t>
      </w:r>
    </w:p>
    <w:p w14:paraId="34477FA9" w14:textId="2384935A" w:rsidR="00823BB0" w:rsidRPr="00A66FA9" w:rsidRDefault="006E45E1" w:rsidP="002C59CD">
      <w:pPr>
        <w:spacing w:after="0" w:line="360" w:lineRule="auto"/>
        <w:ind w:left="0" w:firstLine="0"/>
        <w:jc w:val="left"/>
        <w:rPr>
          <w:szCs w:val="24"/>
        </w:rPr>
      </w:pPr>
      <w:r w:rsidRPr="00A66FA9">
        <w:rPr>
          <w:szCs w:val="24"/>
        </w:rPr>
        <w:lastRenderedPageBreak/>
        <w:t xml:space="preserve">Max Planck Institute for </w:t>
      </w:r>
      <w:proofErr w:type="spellStart"/>
      <w:r w:rsidRPr="00A66FA9">
        <w:rPr>
          <w:szCs w:val="24"/>
        </w:rPr>
        <w:t>Geoanthropology</w:t>
      </w:r>
      <w:proofErr w:type="spellEnd"/>
      <w:r w:rsidRPr="00A66FA9">
        <w:rPr>
          <w:szCs w:val="24"/>
        </w:rPr>
        <w:t xml:space="preserve"> (formerly Max Planck Institute for the Science of Human History), Jena, Germany </w:t>
      </w:r>
    </w:p>
    <w:p w14:paraId="3748CDD3" w14:textId="1CE4E626" w:rsidR="00823BB0" w:rsidRPr="00A66FA9" w:rsidRDefault="006E45E1" w:rsidP="002C59CD">
      <w:pPr>
        <w:spacing w:after="0" w:line="360" w:lineRule="auto"/>
        <w:ind w:left="-15" w:firstLine="0"/>
        <w:jc w:val="left"/>
        <w:rPr>
          <w:szCs w:val="24"/>
        </w:rPr>
      </w:pPr>
      <w:r w:rsidRPr="00A66FA9">
        <w:rPr>
          <w:szCs w:val="24"/>
        </w:rPr>
        <w:t>The diet of past humans can provide information on their social status and origin (Pérez</w:t>
      </w:r>
      <w:r w:rsidR="001E732C" w:rsidRPr="00A66FA9">
        <w:rPr>
          <w:szCs w:val="24"/>
        </w:rPr>
        <w:t>-</w:t>
      </w:r>
      <w:proofErr w:type="spellStart"/>
      <w:r w:rsidRPr="00A66FA9">
        <w:rPr>
          <w:szCs w:val="24"/>
        </w:rPr>
        <w:t>Ramallo</w:t>
      </w:r>
      <w:proofErr w:type="spellEnd"/>
      <w:r w:rsidRPr="00A66FA9">
        <w:rPr>
          <w:szCs w:val="24"/>
        </w:rPr>
        <w:t xml:space="preserve"> </w:t>
      </w:r>
      <w:r w:rsidR="002C59CD" w:rsidRPr="00A66FA9">
        <w:rPr>
          <w:i/>
          <w:szCs w:val="24"/>
        </w:rPr>
        <w:t>et al</w:t>
      </w:r>
      <w:r w:rsidRPr="00A66FA9">
        <w:rPr>
          <w:i/>
          <w:szCs w:val="24"/>
        </w:rPr>
        <w:t>.</w:t>
      </w:r>
      <w:r w:rsidRPr="00A66FA9">
        <w:rPr>
          <w:szCs w:val="24"/>
        </w:rPr>
        <w:t xml:space="preserve"> 2022).</w:t>
      </w:r>
      <w:r w:rsidR="002C59CD" w:rsidRPr="00A66FA9">
        <w:rPr>
          <w:szCs w:val="24"/>
        </w:rPr>
        <w:t xml:space="preserve"> </w:t>
      </w:r>
      <w:r w:rsidRPr="00A66FA9">
        <w:rPr>
          <w:szCs w:val="24"/>
        </w:rPr>
        <w:t>Variation in stable carbon isotopes (δ</w:t>
      </w:r>
      <w:r w:rsidRPr="00A66FA9">
        <w:rPr>
          <w:szCs w:val="24"/>
          <w:vertAlign w:val="superscript"/>
        </w:rPr>
        <w:t>13</w:t>
      </w:r>
      <w:r w:rsidRPr="00A66FA9">
        <w:rPr>
          <w:szCs w:val="24"/>
        </w:rPr>
        <w:t>C) in terrestrial ecosystems is primarily influenced by the photosynthetic pathway used by plants at the base of the food chain (Smith &amp; Epstein 1971). This leads to distinct, non-overlapping δ</w:t>
      </w:r>
      <w:r w:rsidRPr="00A66FA9">
        <w:rPr>
          <w:szCs w:val="24"/>
          <w:vertAlign w:val="superscript"/>
        </w:rPr>
        <w:t>13</w:t>
      </w:r>
      <w:r w:rsidRPr="00A66FA9">
        <w:rPr>
          <w:szCs w:val="24"/>
        </w:rPr>
        <w:t>C values, with C</w:t>
      </w:r>
      <w:r w:rsidRPr="00A66FA9">
        <w:rPr>
          <w:szCs w:val="24"/>
          <w:vertAlign w:val="subscript"/>
        </w:rPr>
        <w:t>3</w:t>
      </w:r>
      <w:r w:rsidRPr="00A66FA9">
        <w:rPr>
          <w:szCs w:val="24"/>
        </w:rPr>
        <w:t xml:space="preserve"> plants (e.g. trees, shrubs, temperate grasses and crops such as wheat) ranging between </w:t>
      </w:r>
      <w:r w:rsidR="00F80B84" w:rsidRPr="00A66FA9">
        <w:rPr>
          <w:iCs/>
          <w:szCs w:val="24"/>
        </w:rPr>
        <w:t>approximately</w:t>
      </w:r>
      <w:r w:rsidRPr="00A66FA9">
        <w:rPr>
          <w:szCs w:val="24"/>
        </w:rPr>
        <w:t xml:space="preserve"> -24 to -36‰ (global average of -26.5‰) (Vogel &amp; van der Merwe 1977; Ambrose &amp; </w:t>
      </w:r>
      <w:proofErr w:type="spellStart"/>
      <w:r w:rsidRPr="00A66FA9">
        <w:rPr>
          <w:szCs w:val="24"/>
        </w:rPr>
        <w:t>Norr</w:t>
      </w:r>
      <w:proofErr w:type="spellEnd"/>
      <w:r w:rsidRPr="00A66FA9">
        <w:rPr>
          <w:szCs w:val="24"/>
        </w:rPr>
        <w:t xml:space="preserve"> 1993), and C</w:t>
      </w:r>
      <w:r w:rsidRPr="00A66FA9">
        <w:rPr>
          <w:szCs w:val="24"/>
          <w:vertAlign w:val="subscript"/>
        </w:rPr>
        <w:t xml:space="preserve">4 </w:t>
      </w:r>
      <w:r w:rsidRPr="00A66FA9">
        <w:rPr>
          <w:szCs w:val="24"/>
        </w:rPr>
        <w:t>plants (e.g. tropical grasses and crops such as maize</w:t>
      </w:r>
      <w:r w:rsidR="00F11DE9" w:rsidRPr="00A66FA9">
        <w:rPr>
          <w:szCs w:val="24"/>
        </w:rPr>
        <w:t>,</w:t>
      </w:r>
      <w:r w:rsidRPr="00A66FA9">
        <w:rPr>
          <w:szCs w:val="24"/>
        </w:rPr>
        <w:t xml:space="preserve"> millet and sugar cane) ranging between </w:t>
      </w:r>
      <w:r w:rsidR="00F11DE9" w:rsidRPr="00A66FA9">
        <w:rPr>
          <w:iCs/>
          <w:szCs w:val="24"/>
        </w:rPr>
        <w:t>approximately</w:t>
      </w:r>
      <w:r w:rsidRPr="00A66FA9">
        <w:rPr>
          <w:szCs w:val="24"/>
        </w:rPr>
        <w:t xml:space="preserve"> -9 to -17‰ (global average of -12‰) (Vogel &amp; van der Merwe 1977; Ambrose &amp; </w:t>
      </w:r>
      <w:proofErr w:type="spellStart"/>
      <w:r w:rsidRPr="00A66FA9">
        <w:rPr>
          <w:szCs w:val="24"/>
        </w:rPr>
        <w:t>Norr</w:t>
      </w:r>
      <w:proofErr w:type="spellEnd"/>
      <w:r w:rsidRPr="00A66FA9">
        <w:rPr>
          <w:szCs w:val="24"/>
        </w:rPr>
        <w:t xml:space="preserve"> 1993). Due to a different source of CO</w:t>
      </w:r>
      <w:r w:rsidRPr="00A66FA9">
        <w:rPr>
          <w:szCs w:val="24"/>
          <w:vertAlign w:val="subscript"/>
        </w:rPr>
        <w:t>2</w:t>
      </w:r>
      <w:r w:rsidRPr="00A66FA9">
        <w:rPr>
          <w:szCs w:val="24"/>
        </w:rPr>
        <w:t xml:space="preserve"> in marine ecosystems, marine plants have δ</w:t>
      </w:r>
      <w:r w:rsidRPr="00A66FA9">
        <w:rPr>
          <w:szCs w:val="24"/>
          <w:vertAlign w:val="superscript"/>
        </w:rPr>
        <w:t>13</w:t>
      </w:r>
      <w:r w:rsidRPr="00A66FA9">
        <w:rPr>
          <w:szCs w:val="24"/>
        </w:rPr>
        <w:t xml:space="preserve">C values more </w:t>
      </w:r>
      <w:proofErr w:type="gramStart"/>
      <w:r w:rsidRPr="00A66FA9">
        <w:rPr>
          <w:szCs w:val="24"/>
        </w:rPr>
        <w:t>similar to</w:t>
      </w:r>
      <w:proofErr w:type="gramEnd"/>
      <w:r w:rsidRPr="00A66FA9">
        <w:rPr>
          <w:szCs w:val="24"/>
        </w:rPr>
        <w:t xml:space="preserve"> C</w:t>
      </w:r>
      <w:r w:rsidRPr="00A66FA9">
        <w:rPr>
          <w:szCs w:val="24"/>
          <w:vertAlign w:val="subscript"/>
        </w:rPr>
        <w:t>4</w:t>
      </w:r>
      <w:r w:rsidRPr="00A66FA9">
        <w:rPr>
          <w:szCs w:val="24"/>
        </w:rPr>
        <w:t xml:space="preserve"> plants. Meanwhile, CAM plants (</w:t>
      </w:r>
      <w:r w:rsidR="003B52DF" w:rsidRPr="00A66FA9">
        <w:rPr>
          <w:szCs w:val="24"/>
        </w:rPr>
        <w:t xml:space="preserve">Crassulacean acid metabolism, </w:t>
      </w:r>
      <w:r w:rsidRPr="00A66FA9">
        <w:rPr>
          <w:szCs w:val="24"/>
        </w:rPr>
        <w:t>e.g. succulents) have δ</w:t>
      </w:r>
      <w:r w:rsidRPr="00A66FA9">
        <w:rPr>
          <w:szCs w:val="24"/>
          <w:vertAlign w:val="superscript"/>
        </w:rPr>
        <w:t>13</w:t>
      </w:r>
      <w:r w:rsidRPr="00A66FA9">
        <w:rPr>
          <w:szCs w:val="24"/>
        </w:rPr>
        <w:t>C values overlapping and between both C</w:t>
      </w:r>
      <w:r w:rsidRPr="00A66FA9">
        <w:rPr>
          <w:szCs w:val="24"/>
          <w:vertAlign w:val="subscript"/>
        </w:rPr>
        <w:t>3</w:t>
      </w:r>
      <w:r w:rsidRPr="00A66FA9">
        <w:rPr>
          <w:szCs w:val="24"/>
        </w:rPr>
        <w:t xml:space="preserve"> and C</w:t>
      </w:r>
      <w:r w:rsidRPr="00A66FA9">
        <w:rPr>
          <w:szCs w:val="24"/>
          <w:vertAlign w:val="subscript"/>
        </w:rPr>
        <w:t>4</w:t>
      </w:r>
      <w:r w:rsidRPr="00A66FA9">
        <w:rPr>
          <w:szCs w:val="24"/>
        </w:rPr>
        <w:t xml:space="preserve"> plants. These δ</w:t>
      </w:r>
      <w:r w:rsidRPr="00A66FA9">
        <w:rPr>
          <w:szCs w:val="24"/>
          <w:vertAlign w:val="superscript"/>
        </w:rPr>
        <w:t>13</w:t>
      </w:r>
      <w:r w:rsidRPr="00A66FA9">
        <w:rPr>
          <w:szCs w:val="24"/>
        </w:rPr>
        <w:t>C distinctions are passed up the food chain into the tissues of consumers with an enrichment of 0.5–2‰ in δ</w:t>
      </w:r>
      <w:r w:rsidRPr="00A66FA9">
        <w:rPr>
          <w:szCs w:val="24"/>
          <w:vertAlign w:val="superscript"/>
        </w:rPr>
        <w:t>13</w:t>
      </w:r>
      <w:r w:rsidRPr="00A66FA9">
        <w:rPr>
          <w:szCs w:val="24"/>
        </w:rPr>
        <w:t xml:space="preserve">C between trophic levels (Vogel &amp; van der Merwe 1977; Ambrose &amp; </w:t>
      </w:r>
      <w:proofErr w:type="spellStart"/>
      <w:r w:rsidRPr="00A66FA9">
        <w:rPr>
          <w:szCs w:val="24"/>
        </w:rPr>
        <w:t>Norr</w:t>
      </w:r>
      <w:proofErr w:type="spellEnd"/>
      <w:r w:rsidRPr="00A66FA9">
        <w:rPr>
          <w:szCs w:val="24"/>
        </w:rPr>
        <w:t xml:space="preserve"> 1993). Stable nitrogen isotope (δ</w:t>
      </w:r>
      <w:r w:rsidRPr="00A66FA9">
        <w:rPr>
          <w:szCs w:val="24"/>
          <w:vertAlign w:val="superscript"/>
        </w:rPr>
        <w:t>15</w:t>
      </w:r>
      <w:r w:rsidRPr="00A66FA9">
        <w:rPr>
          <w:szCs w:val="24"/>
        </w:rPr>
        <w:t>N) values for terrestrial and aquatic animals vary with trophic level, increasing by +3–6‰ with each trophic level (</w:t>
      </w:r>
      <w:proofErr w:type="spellStart"/>
      <w:r w:rsidRPr="00A66FA9">
        <w:rPr>
          <w:szCs w:val="24"/>
        </w:rPr>
        <w:t>Deniro</w:t>
      </w:r>
      <w:proofErr w:type="spellEnd"/>
      <w:r w:rsidRPr="00A66FA9">
        <w:rPr>
          <w:szCs w:val="24"/>
        </w:rPr>
        <w:t xml:space="preserve"> &amp; Epstein 1981). Longer </w:t>
      </w:r>
      <w:proofErr w:type="spellStart"/>
      <w:r w:rsidRPr="00A66FA9">
        <w:rPr>
          <w:szCs w:val="24"/>
        </w:rPr>
        <w:t>foodchains</w:t>
      </w:r>
      <w:proofErr w:type="spellEnd"/>
      <w:r w:rsidRPr="00A66FA9">
        <w:rPr>
          <w:szCs w:val="24"/>
        </w:rPr>
        <w:t xml:space="preserve"> and differences in nitrogen sources lead to, on average, higher δ</w:t>
      </w:r>
      <w:r w:rsidRPr="00A66FA9">
        <w:rPr>
          <w:szCs w:val="24"/>
          <w:vertAlign w:val="superscript"/>
        </w:rPr>
        <w:t>15</w:t>
      </w:r>
      <w:r w:rsidRPr="00A66FA9">
        <w:rPr>
          <w:szCs w:val="24"/>
        </w:rPr>
        <w:t>N values among marine and freshwater consumers, although their δ</w:t>
      </w:r>
      <w:r w:rsidRPr="00A66FA9">
        <w:rPr>
          <w:szCs w:val="24"/>
          <w:vertAlign w:val="superscript"/>
        </w:rPr>
        <w:t>13</w:t>
      </w:r>
      <w:r w:rsidRPr="00A66FA9">
        <w:rPr>
          <w:szCs w:val="24"/>
        </w:rPr>
        <w:t>C is far more variable (</w:t>
      </w:r>
      <w:proofErr w:type="spellStart"/>
      <w:r w:rsidRPr="00A66FA9">
        <w:rPr>
          <w:szCs w:val="24"/>
        </w:rPr>
        <w:t>Schoeninger</w:t>
      </w:r>
      <w:proofErr w:type="spellEnd"/>
      <w:r w:rsidRPr="00A66FA9">
        <w:rPr>
          <w:szCs w:val="24"/>
        </w:rPr>
        <w:t xml:space="preserve"> &amp; DeNiro 1984; Dufour </w:t>
      </w:r>
      <w:r w:rsidR="002C59CD" w:rsidRPr="00A66FA9">
        <w:rPr>
          <w:i/>
          <w:szCs w:val="24"/>
        </w:rPr>
        <w:t>et al</w:t>
      </w:r>
      <w:r w:rsidRPr="00A66FA9">
        <w:rPr>
          <w:i/>
          <w:szCs w:val="24"/>
        </w:rPr>
        <w:t>.</w:t>
      </w:r>
      <w:r w:rsidRPr="00A66FA9">
        <w:rPr>
          <w:szCs w:val="24"/>
        </w:rPr>
        <w:t xml:space="preserve"> 1999).</w:t>
      </w:r>
      <w:r w:rsidR="002C59CD" w:rsidRPr="00A66FA9">
        <w:rPr>
          <w:szCs w:val="24"/>
        </w:rPr>
        <w:t xml:space="preserve"> </w:t>
      </w:r>
    </w:p>
    <w:p w14:paraId="65E991CC" w14:textId="1EB6C405" w:rsidR="00823BB0" w:rsidRPr="00A66FA9" w:rsidRDefault="006E45E1" w:rsidP="009C35E6">
      <w:pPr>
        <w:spacing w:after="0" w:line="360" w:lineRule="auto"/>
        <w:ind w:left="-15" w:firstLine="0"/>
        <w:jc w:val="left"/>
        <w:rPr>
          <w:szCs w:val="24"/>
        </w:rPr>
      </w:pPr>
      <w:r w:rsidRPr="00A66FA9">
        <w:rPr>
          <w:szCs w:val="24"/>
        </w:rPr>
        <w:t>Bone samples (approx. 1g) were broken into small pieces and adhering soil was removed by abrasion using a sandblaster. Samples were deminerali</w:t>
      </w:r>
      <w:r w:rsidR="003630CE" w:rsidRPr="00A66FA9">
        <w:rPr>
          <w:szCs w:val="24"/>
        </w:rPr>
        <w:t>s</w:t>
      </w:r>
      <w:r w:rsidRPr="00A66FA9">
        <w:rPr>
          <w:szCs w:val="24"/>
        </w:rPr>
        <w:t>ed by immersion in 0.5M HCl for 1–7 days. Once deminerali</w:t>
      </w:r>
      <w:r w:rsidR="00EF2A40" w:rsidRPr="00A66FA9">
        <w:rPr>
          <w:szCs w:val="24"/>
        </w:rPr>
        <w:t>s</w:t>
      </w:r>
      <w:r w:rsidRPr="00A66FA9">
        <w:rPr>
          <w:szCs w:val="24"/>
        </w:rPr>
        <w:t>ation was complete, samples were rinsed three times with ultra-pure H</w:t>
      </w:r>
      <w:r w:rsidRPr="00A66FA9">
        <w:rPr>
          <w:szCs w:val="24"/>
          <w:vertAlign w:val="subscript"/>
        </w:rPr>
        <w:t>2</w:t>
      </w:r>
      <w:r w:rsidRPr="00A66FA9">
        <w:rPr>
          <w:szCs w:val="24"/>
        </w:rPr>
        <w:t>O. The residue was gelatini</w:t>
      </w:r>
      <w:r w:rsidR="00EF2A40" w:rsidRPr="00A66FA9">
        <w:rPr>
          <w:szCs w:val="24"/>
        </w:rPr>
        <w:t>s</w:t>
      </w:r>
      <w:r w:rsidRPr="00A66FA9">
        <w:rPr>
          <w:szCs w:val="24"/>
        </w:rPr>
        <w:t xml:space="preserve">ed in pH3 HCl at 70°C for 48 hours and the soluble collagen solution </w:t>
      </w:r>
      <w:proofErr w:type="spellStart"/>
      <w:r w:rsidRPr="00A66FA9">
        <w:rPr>
          <w:szCs w:val="24"/>
        </w:rPr>
        <w:t>Ezee</w:t>
      </w:r>
      <w:proofErr w:type="spellEnd"/>
      <w:r w:rsidRPr="00A66FA9">
        <w:rPr>
          <w:szCs w:val="24"/>
        </w:rPr>
        <w:t xml:space="preserve">-filtered to remove insoluble residues (Brock </w:t>
      </w:r>
      <w:r w:rsidR="002C59CD" w:rsidRPr="00A66FA9">
        <w:rPr>
          <w:i/>
          <w:szCs w:val="24"/>
        </w:rPr>
        <w:t>et al</w:t>
      </w:r>
      <w:r w:rsidRPr="00A66FA9">
        <w:rPr>
          <w:i/>
          <w:szCs w:val="24"/>
        </w:rPr>
        <w:t>.</w:t>
      </w:r>
      <w:r w:rsidRPr="00A66FA9">
        <w:rPr>
          <w:szCs w:val="24"/>
        </w:rPr>
        <w:t xml:space="preserve"> 2013). Samples were lyophili</w:t>
      </w:r>
      <w:r w:rsidR="002E3299" w:rsidRPr="00A66FA9">
        <w:rPr>
          <w:szCs w:val="24"/>
        </w:rPr>
        <w:t>s</w:t>
      </w:r>
      <w:r w:rsidRPr="00A66FA9">
        <w:rPr>
          <w:szCs w:val="24"/>
        </w:rPr>
        <w:t>ed in a freeze dryer for 24 hours. Where sufficient material was available approximately 1.0mg of the resulting purified collagen was weighed in duplicate into tin capsules for analysis. The δ</w:t>
      </w:r>
      <w:r w:rsidRPr="00A66FA9">
        <w:rPr>
          <w:szCs w:val="24"/>
          <w:vertAlign w:val="superscript"/>
        </w:rPr>
        <w:t>13</w:t>
      </w:r>
      <w:r w:rsidRPr="00A66FA9">
        <w:rPr>
          <w:szCs w:val="24"/>
        </w:rPr>
        <w:t>C and δ</w:t>
      </w:r>
      <w:r w:rsidRPr="00A66FA9">
        <w:rPr>
          <w:szCs w:val="24"/>
          <w:vertAlign w:val="superscript"/>
        </w:rPr>
        <w:t>15</w:t>
      </w:r>
      <w:r w:rsidRPr="00A66FA9">
        <w:rPr>
          <w:szCs w:val="24"/>
        </w:rPr>
        <w:t xml:space="preserve">N ratios of the bone collagen were determined using a </w:t>
      </w:r>
      <w:proofErr w:type="spellStart"/>
      <w:r w:rsidRPr="00A66FA9">
        <w:rPr>
          <w:szCs w:val="24"/>
        </w:rPr>
        <w:t>Thermo</w:t>
      </w:r>
      <w:proofErr w:type="spellEnd"/>
      <w:r w:rsidRPr="00A66FA9">
        <w:rPr>
          <w:szCs w:val="24"/>
        </w:rPr>
        <w:t xml:space="preserve"> Scientific Flash 2000 Elemental Analyser coupled to a </w:t>
      </w:r>
      <w:proofErr w:type="spellStart"/>
      <w:r w:rsidRPr="00A66FA9">
        <w:rPr>
          <w:szCs w:val="24"/>
        </w:rPr>
        <w:t>Thermo</w:t>
      </w:r>
      <w:proofErr w:type="spellEnd"/>
      <w:r w:rsidRPr="00A66FA9">
        <w:rPr>
          <w:szCs w:val="24"/>
        </w:rPr>
        <w:t xml:space="preserve"> Delta V Advantage mass spectrometer at the Isotope Laboratory, MPI-GEA, Jena. Isotopic values are reported as the ratio of the heavier isotope to the lighter isotope (</w:t>
      </w:r>
      <w:r w:rsidRPr="00A66FA9">
        <w:rPr>
          <w:szCs w:val="24"/>
          <w:vertAlign w:val="superscript"/>
        </w:rPr>
        <w:t>13</w:t>
      </w:r>
      <w:r w:rsidRPr="00A66FA9">
        <w:rPr>
          <w:szCs w:val="24"/>
        </w:rPr>
        <w:t>C/</w:t>
      </w:r>
      <w:r w:rsidRPr="00A66FA9">
        <w:rPr>
          <w:szCs w:val="24"/>
          <w:vertAlign w:val="superscript"/>
        </w:rPr>
        <w:t>12</w:t>
      </w:r>
      <w:r w:rsidRPr="00A66FA9">
        <w:rPr>
          <w:szCs w:val="24"/>
        </w:rPr>
        <w:t xml:space="preserve">C or </w:t>
      </w:r>
      <w:r w:rsidRPr="00A66FA9">
        <w:rPr>
          <w:szCs w:val="24"/>
          <w:vertAlign w:val="superscript"/>
        </w:rPr>
        <w:t>15</w:t>
      </w:r>
      <w:r w:rsidRPr="00A66FA9">
        <w:rPr>
          <w:szCs w:val="24"/>
        </w:rPr>
        <w:t>N/</w:t>
      </w:r>
      <w:r w:rsidRPr="00A66FA9">
        <w:rPr>
          <w:szCs w:val="24"/>
          <w:vertAlign w:val="superscript"/>
        </w:rPr>
        <w:t>14</w:t>
      </w:r>
      <w:r w:rsidRPr="00A66FA9">
        <w:rPr>
          <w:szCs w:val="24"/>
        </w:rPr>
        <w:t xml:space="preserve">N) as δ values in parts per mill (‰) relative to international standards, </w:t>
      </w:r>
      <w:r w:rsidR="00B27F49" w:rsidRPr="00A66FA9">
        <w:rPr>
          <w:szCs w:val="24"/>
        </w:rPr>
        <w:t>Vienna Pee Dee Belemnite (</w:t>
      </w:r>
      <w:r w:rsidRPr="00A66FA9">
        <w:rPr>
          <w:szCs w:val="24"/>
        </w:rPr>
        <w:t>VPDB</w:t>
      </w:r>
      <w:r w:rsidR="00B27F49" w:rsidRPr="00A66FA9">
        <w:rPr>
          <w:szCs w:val="24"/>
        </w:rPr>
        <w:t>)</w:t>
      </w:r>
      <w:r w:rsidRPr="00A66FA9">
        <w:rPr>
          <w:szCs w:val="24"/>
        </w:rPr>
        <w:t xml:space="preserve"> for δ</w:t>
      </w:r>
      <w:r w:rsidRPr="00A66FA9">
        <w:rPr>
          <w:szCs w:val="24"/>
          <w:vertAlign w:val="superscript"/>
        </w:rPr>
        <w:t>13</w:t>
      </w:r>
      <w:r w:rsidRPr="00A66FA9">
        <w:rPr>
          <w:szCs w:val="24"/>
        </w:rPr>
        <w:t>C and atmospheric N</w:t>
      </w:r>
      <w:r w:rsidRPr="00A66FA9">
        <w:rPr>
          <w:szCs w:val="24"/>
          <w:vertAlign w:val="subscript"/>
        </w:rPr>
        <w:t>2</w:t>
      </w:r>
      <w:r w:rsidRPr="00A66FA9">
        <w:rPr>
          <w:szCs w:val="24"/>
        </w:rPr>
        <w:t xml:space="preserve"> (AIR) for δ</w:t>
      </w:r>
      <w:r w:rsidRPr="00A66FA9">
        <w:rPr>
          <w:szCs w:val="24"/>
          <w:vertAlign w:val="superscript"/>
        </w:rPr>
        <w:t>15</w:t>
      </w:r>
      <w:r w:rsidRPr="00A66FA9">
        <w:rPr>
          <w:szCs w:val="24"/>
        </w:rPr>
        <w:t xml:space="preserve">N. Results were calibrated against international standards (IAEA-CH-6 Sucrose, IAEA-N-2 Ammonium </w:t>
      </w:r>
      <w:proofErr w:type="spellStart"/>
      <w:r w:rsidRPr="00A66FA9">
        <w:rPr>
          <w:szCs w:val="24"/>
        </w:rPr>
        <w:t>Sulfate</w:t>
      </w:r>
      <w:proofErr w:type="spellEnd"/>
      <w:r w:rsidRPr="00A66FA9">
        <w:rPr>
          <w:szCs w:val="24"/>
        </w:rPr>
        <w:t xml:space="preserve"> and USGS40 L-Glutamic Acid)</w:t>
      </w:r>
      <w:r w:rsidR="001742B9">
        <w:rPr>
          <w:szCs w:val="24"/>
        </w:rPr>
        <w:t xml:space="preserve">: </w:t>
      </w:r>
      <w:r w:rsidR="002C0706">
        <w:rPr>
          <w:szCs w:val="24"/>
        </w:rPr>
        <w:lastRenderedPageBreak/>
        <w:t>USGS40</w:t>
      </w:r>
      <w:r w:rsidRPr="00A66FA9">
        <w:rPr>
          <w:szCs w:val="24"/>
        </w:rPr>
        <w:t xml:space="preserve"> </w:t>
      </w:r>
      <w:r w:rsidRPr="00A66FA9">
        <w:rPr>
          <w:szCs w:val="24"/>
          <w:vertAlign w:val="superscript"/>
        </w:rPr>
        <w:t>13</w:t>
      </w:r>
      <w:r w:rsidRPr="00A66FA9">
        <w:rPr>
          <w:szCs w:val="24"/>
        </w:rPr>
        <w:t>C</w:t>
      </w:r>
      <w:r w:rsidRPr="00A66FA9">
        <w:rPr>
          <w:szCs w:val="24"/>
          <w:vertAlign w:val="subscript"/>
        </w:rPr>
        <w:t>raw</w:t>
      </w:r>
      <w:r w:rsidRPr="00A66FA9">
        <w:rPr>
          <w:szCs w:val="24"/>
        </w:rPr>
        <w:t xml:space="preserve"> = -26.4 ± 0.1, </w:t>
      </w:r>
      <w:r w:rsidRPr="00A66FA9">
        <w:rPr>
          <w:szCs w:val="24"/>
          <w:vertAlign w:val="superscript"/>
        </w:rPr>
        <w:t>13</w:t>
      </w:r>
      <w:r w:rsidRPr="00A66FA9">
        <w:rPr>
          <w:szCs w:val="24"/>
        </w:rPr>
        <w:t>C</w:t>
      </w:r>
      <w:r w:rsidRPr="00A66FA9">
        <w:rPr>
          <w:szCs w:val="24"/>
          <w:vertAlign w:val="subscript"/>
        </w:rPr>
        <w:t>true</w:t>
      </w:r>
      <w:r w:rsidRPr="00A66FA9">
        <w:rPr>
          <w:szCs w:val="24"/>
        </w:rPr>
        <w:t xml:space="preserve"> = -26.4 ± 0.0, </w:t>
      </w:r>
      <w:r w:rsidRPr="00A66FA9">
        <w:rPr>
          <w:szCs w:val="24"/>
          <w:vertAlign w:val="superscript"/>
        </w:rPr>
        <w:t>15</w:t>
      </w:r>
      <w:r w:rsidRPr="00A66FA9">
        <w:rPr>
          <w:szCs w:val="24"/>
        </w:rPr>
        <w:t>N</w:t>
      </w:r>
      <w:r w:rsidRPr="00A66FA9">
        <w:rPr>
          <w:szCs w:val="24"/>
          <w:vertAlign w:val="subscript"/>
        </w:rPr>
        <w:t>raw</w:t>
      </w:r>
      <w:r w:rsidRPr="00A66FA9">
        <w:rPr>
          <w:szCs w:val="24"/>
        </w:rPr>
        <w:t xml:space="preserve"> = -4.4 ± 0.1, </w:t>
      </w:r>
      <w:r w:rsidRPr="00A66FA9">
        <w:rPr>
          <w:szCs w:val="24"/>
          <w:vertAlign w:val="superscript"/>
        </w:rPr>
        <w:t>15</w:t>
      </w:r>
      <w:r w:rsidRPr="00A66FA9">
        <w:rPr>
          <w:szCs w:val="24"/>
        </w:rPr>
        <w:t>N</w:t>
      </w:r>
      <w:r w:rsidRPr="00A66FA9">
        <w:rPr>
          <w:szCs w:val="24"/>
          <w:vertAlign w:val="subscript"/>
        </w:rPr>
        <w:t>true</w:t>
      </w:r>
      <w:r w:rsidRPr="00A66FA9">
        <w:rPr>
          <w:szCs w:val="24"/>
        </w:rPr>
        <w:t xml:space="preserve"> = -4.5 ± 0.2; IAEA</w:t>
      </w:r>
      <w:r w:rsidR="001742B9">
        <w:rPr>
          <w:szCs w:val="24"/>
        </w:rPr>
        <w:t>-</w:t>
      </w:r>
      <w:r w:rsidRPr="00A66FA9">
        <w:rPr>
          <w:szCs w:val="24"/>
        </w:rPr>
        <w:t>N</w:t>
      </w:r>
      <w:r w:rsidR="001742B9">
        <w:rPr>
          <w:szCs w:val="24"/>
        </w:rPr>
        <w:t>-</w:t>
      </w:r>
      <w:r w:rsidRPr="00A66FA9">
        <w:rPr>
          <w:szCs w:val="24"/>
        </w:rPr>
        <w:t xml:space="preserve">2 </w:t>
      </w:r>
      <w:r w:rsidRPr="00A66FA9">
        <w:rPr>
          <w:szCs w:val="24"/>
          <w:vertAlign w:val="superscript"/>
        </w:rPr>
        <w:t>15</w:t>
      </w:r>
      <w:r w:rsidRPr="00A66FA9">
        <w:rPr>
          <w:szCs w:val="24"/>
        </w:rPr>
        <w:t>N</w:t>
      </w:r>
      <w:r w:rsidRPr="00A66FA9">
        <w:rPr>
          <w:szCs w:val="24"/>
          <w:vertAlign w:val="subscript"/>
        </w:rPr>
        <w:t>raw</w:t>
      </w:r>
      <w:r w:rsidRPr="00A66FA9">
        <w:rPr>
          <w:szCs w:val="24"/>
        </w:rPr>
        <w:t xml:space="preserve"> = 20.2 ± 0.1, </w:t>
      </w:r>
      <w:r w:rsidRPr="00A66FA9">
        <w:rPr>
          <w:szCs w:val="24"/>
          <w:vertAlign w:val="superscript"/>
        </w:rPr>
        <w:t>15</w:t>
      </w:r>
      <w:r w:rsidRPr="00A66FA9">
        <w:rPr>
          <w:szCs w:val="24"/>
        </w:rPr>
        <w:t>N</w:t>
      </w:r>
      <w:r w:rsidRPr="00A66FA9">
        <w:rPr>
          <w:szCs w:val="24"/>
          <w:vertAlign w:val="subscript"/>
        </w:rPr>
        <w:t>true</w:t>
      </w:r>
      <w:r w:rsidRPr="00A66FA9">
        <w:rPr>
          <w:szCs w:val="24"/>
        </w:rPr>
        <w:t xml:space="preserve"> = 20.3 ± 0.2; IAEA</w:t>
      </w:r>
      <w:r w:rsidR="002C0706">
        <w:rPr>
          <w:szCs w:val="24"/>
        </w:rPr>
        <w:t>-</w:t>
      </w:r>
      <w:r w:rsidRPr="00A66FA9">
        <w:rPr>
          <w:szCs w:val="24"/>
        </w:rPr>
        <w:t>C</w:t>
      </w:r>
      <w:r w:rsidR="002C0706">
        <w:rPr>
          <w:szCs w:val="24"/>
        </w:rPr>
        <w:t>H-</w:t>
      </w:r>
      <w:r w:rsidRPr="00A66FA9">
        <w:rPr>
          <w:szCs w:val="24"/>
        </w:rPr>
        <w:t xml:space="preserve">6 </w:t>
      </w:r>
      <w:r w:rsidRPr="00A66FA9">
        <w:rPr>
          <w:szCs w:val="24"/>
          <w:vertAlign w:val="superscript"/>
        </w:rPr>
        <w:t>13</w:t>
      </w:r>
      <w:r w:rsidRPr="00A66FA9">
        <w:rPr>
          <w:szCs w:val="24"/>
        </w:rPr>
        <w:t>C</w:t>
      </w:r>
      <w:r w:rsidRPr="00A66FA9">
        <w:rPr>
          <w:szCs w:val="24"/>
          <w:vertAlign w:val="subscript"/>
        </w:rPr>
        <w:t>raw</w:t>
      </w:r>
      <w:r w:rsidRPr="00A66FA9">
        <w:rPr>
          <w:szCs w:val="24"/>
        </w:rPr>
        <w:t xml:space="preserve"> = -10.9 ± 0.1, </w:t>
      </w:r>
      <w:r w:rsidRPr="00A66FA9">
        <w:rPr>
          <w:szCs w:val="24"/>
          <w:vertAlign w:val="superscript"/>
        </w:rPr>
        <w:t>13</w:t>
      </w:r>
      <w:r w:rsidRPr="00A66FA9">
        <w:rPr>
          <w:szCs w:val="24"/>
        </w:rPr>
        <w:t>C</w:t>
      </w:r>
      <w:r w:rsidRPr="00A66FA9">
        <w:rPr>
          <w:szCs w:val="24"/>
          <w:vertAlign w:val="subscript"/>
        </w:rPr>
        <w:t xml:space="preserve">true </w:t>
      </w:r>
      <w:r w:rsidRPr="00A66FA9">
        <w:rPr>
          <w:szCs w:val="24"/>
        </w:rPr>
        <w:t>= -10.8 ± 0.0.</w:t>
      </w:r>
      <w:r w:rsidR="002C59CD" w:rsidRPr="00A66FA9">
        <w:rPr>
          <w:szCs w:val="24"/>
        </w:rPr>
        <w:t xml:space="preserve"> </w:t>
      </w:r>
    </w:p>
    <w:p w14:paraId="4C8B29CF" w14:textId="1286C5EE" w:rsidR="00823BB0" w:rsidRPr="00A66FA9" w:rsidRDefault="006E45E1" w:rsidP="002C59CD">
      <w:pPr>
        <w:spacing w:after="0" w:line="360" w:lineRule="auto"/>
        <w:ind w:left="-15" w:firstLine="0"/>
        <w:jc w:val="left"/>
        <w:rPr>
          <w:szCs w:val="24"/>
        </w:rPr>
      </w:pPr>
      <w:r w:rsidRPr="00A66FA9">
        <w:rPr>
          <w:szCs w:val="24"/>
        </w:rPr>
        <w:t>Replicate analyses of standards suggest that machine measurement error is ± 0.1‰ for δ</w:t>
      </w:r>
      <w:r w:rsidRPr="00A66FA9">
        <w:rPr>
          <w:szCs w:val="24"/>
          <w:vertAlign w:val="superscript"/>
        </w:rPr>
        <w:t>13</w:t>
      </w:r>
      <w:r w:rsidRPr="00A66FA9">
        <w:rPr>
          <w:szCs w:val="24"/>
        </w:rPr>
        <w:t>C and ± 0.1‰ for δ</w:t>
      </w:r>
      <w:r w:rsidRPr="00A66FA9">
        <w:rPr>
          <w:szCs w:val="24"/>
          <w:vertAlign w:val="superscript"/>
        </w:rPr>
        <w:t>15</w:t>
      </w:r>
      <w:r w:rsidRPr="00A66FA9">
        <w:rPr>
          <w:szCs w:val="24"/>
        </w:rPr>
        <w:t xml:space="preserve">N. Overall measurement precision was studied through the measurement of repeat extracts from a fish </w:t>
      </w:r>
      <w:proofErr w:type="spellStart"/>
      <w:r w:rsidRPr="00A66FA9">
        <w:rPr>
          <w:szCs w:val="24"/>
        </w:rPr>
        <w:t>gelatin</w:t>
      </w:r>
      <w:proofErr w:type="spellEnd"/>
      <w:r w:rsidRPr="00A66FA9">
        <w:rPr>
          <w:szCs w:val="24"/>
        </w:rPr>
        <w:t xml:space="preserve"> standard (n = 20, ± 0.1‰ for δ</w:t>
      </w:r>
      <w:r w:rsidRPr="00A66FA9">
        <w:rPr>
          <w:szCs w:val="24"/>
          <w:vertAlign w:val="superscript"/>
        </w:rPr>
        <w:t>13</w:t>
      </w:r>
      <w:r w:rsidRPr="00A66FA9">
        <w:rPr>
          <w:szCs w:val="24"/>
        </w:rPr>
        <w:t>C and ± 0.1‰ for δ</w:t>
      </w:r>
      <w:r w:rsidRPr="00A66FA9">
        <w:rPr>
          <w:szCs w:val="24"/>
          <w:vertAlign w:val="superscript"/>
        </w:rPr>
        <w:t>15</w:t>
      </w:r>
      <w:r w:rsidRPr="00A66FA9">
        <w:rPr>
          <w:szCs w:val="24"/>
        </w:rPr>
        <w:t xml:space="preserve">N). The bone collagen can be affected by contamination that modifies the amino acid composition. The ratio of carbon and nitrogen stable isotopes serves to verify the purity and the preservation of the collagen, establishing a range between 2.9–3.6 to be acceptable, which is the value that can be found in the collagen of a fresh bone (DeNiro 1987). The elemental mass percentages may be around 34.8±8.8% for the carbon and between 11 and 15% for the nitrogen (van </w:t>
      </w:r>
      <w:proofErr w:type="spellStart"/>
      <w:r w:rsidRPr="00A66FA9">
        <w:rPr>
          <w:szCs w:val="24"/>
        </w:rPr>
        <w:t>Klinken</w:t>
      </w:r>
      <w:proofErr w:type="spellEnd"/>
      <w:r w:rsidRPr="00A66FA9">
        <w:rPr>
          <w:szCs w:val="24"/>
        </w:rPr>
        <w:t xml:space="preserve"> 1999). External factors that affected the bone remains can alter these percentages (e.g. humid acids or salts) (van </w:t>
      </w:r>
      <w:proofErr w:type="spellStart"/>
      <w:r w:rsidRPr="00A66FA9">
        <w:rPr>
          <w:szCs w:val="24"/>
        </w:rPr>
        <w:t>Klinken</w:t>
      </w:r>
      <w:proofErr w:type="spellEnd"/>
      <w:r w:rsidRPr="00A66FA9">
        <w:rPr>
          <w:szCs w:val="24"/>
        </w:rPr>
        <w:t xml:space="preserve"> 1999). The collagen yield is the percentage of collagen extracted from the bone and serves as an indicator of bone preservation quality. Fresh bone contains </w:t>
      </w:r>
      <w:r w:rsidR="00D12040" w:rsidRPr="00A66FA9">
        <w:rPr>
          <w:szCs w:val="24"/>
        </w:rPr>
        <w:t>approximately</w:t>
      </w:r>
      <w:r w:rsidRPr="00A66FA9">
        <w:rPr>
          <w:szCs w:val="24"/>
        </w:rPr>
        <w:t xml:space="preserve"> 20% collagen. Diagenesis can lead to a loss of collagen in the bone, to the point where the isotopic signature obtained from a low-yield sample is no longer representative of its original isotopic signature. The filtration of the sample helps to avoid residues but can be the cause of loss of yield (around 40 to 60%) (Jay 2005). Ambrose &amp; </w:t>
      </w:r>
      <w:proofErr w:type="spellStart"/>
      <w:r w:rsidRPr="00A66FA9">
        <w:rPr>
          <w:szCs w:val="24"/>
        </w:rPr>
        <w:t>Norr</w:t>
      </w:r>
      <w:proofErr w:type="spellEnd"/>
      <w:r w:rsidRPr="00A66FA9">
        <w:rPr>
          <w:szCs w:val="24"/>
        </w:rPr>
        <w:t xml:space="preserve"> (1993) established a limit of 1.2%. However, van </w:t>
      </w:r>
      <w:proofErr w:type="spellStart"/>
      <w:r w:rsidRPr="00A66FA9">
        <w:rPr>
          <w:szCs w:val="24"/>
        </w:rPr>
        <w:t>Klinken</w:t>
      </w:r>
      <w:proofErr w:type="spellEnd"/>
      <w:r w:rsidRPr="00A66FA9">
        <w:rPr>
          <w:szCs w:val="24"/>
        </w:rPr>
        <w:t xml:space="preserve"> (1999) determined a minimum of between 0.5–1.0% for archaeological bones. </w:t>
      </w:r>
    </w:p>
    <w:p w14:paraId="68A69C10" w14:textId="3A1FFE0D" w:rsidR="00823BB0" w:rsidRPr="00A66FA9" w:rsidRDefault="006E45E1" w:rsidP="002C59CD">
      <w:pPr>
        <w:spacing w:after="0" w:line="360" w:lineRule="auto"/>
        <w:ind w:left="0" w:firstLine="0"/>
        <w:jc w:val="left"/>
        <w:rPr>
          <w:szCs w:val="24"/>
        </w:rPr>
      </w:pPr>
      <w:r w:rsidRPr="00A66FA9">
        <w:rPr>
          <w:b/>
          <w:szCs w:val="24"/>
        </w:rPr>
        <w:t xml:space="preserve"> </w:t>
      </w:r>
    </w:p>
    <w:p w14:paraId="5ABE0DF8" w14:textId="2087176B" w:rsidR="00823BB0" w:rsidRPr="00A66FA9" w:rsidRDefault="00003A1F" w:rsidP="002C59CD">
      <w:pPr>
        <w:spacing w:after="0" w:line="360" w:lineRule="auto"/>
        <w:ind w:left="0" w:firstLine="0"/>
        <w:jc w:val="left"/>
        <w:rPr>
          <w:b/>
          <w:bCs/>
          <w:szCs w:val="24"/>
        </w:rPr>
      </w:pPr>
      <w:r w:rsidRPr="00A66FA9">
        <w:rPr>
          <w:b/>
          <w:bCs/>
          <w:szCs w:val="24"/>
        </w:rPr>
        <w:t>4</w:t>
      </w:r>
      <w:r w:rsidR="006E45E1" w:rsidRPr="00A66FA9">
        <w:rPr>
          <w:b/>
          <w:bCs/>
          <w:szCs w:val="24"/>
        </w:rPr>
        <w:t>. δ</w:t>
      </w:r>
      <w:r w:rsidR="006E45E1" w:rsidRPr="00A66FA9">
        <w:rPr>
          <w:b/>
          <w:bCs/>
          <w:szCs w:val="24"/>
          <w:vertAlign w:val="superscript"/>
        </w:rPr>
        <w:t>18</w:t>
      </w:r>
      <w:r w:rsidR="006E45E1" w:rsidRPr="00A66FA9">
        <w:rPr>
          <w:b/>
          <w:bCs/>
          <w:szCs w:val="24"/>
        </w:rPr>
        <w:t>O</w:t>
      </w:r>
      <w:r w:rsidR="006E45E1" w:rsidRPr="00A66FA9">
        <w:rPr>
          <w:b/>
          <w:bCs/>
          <w:szCs w:val="24"/>
          <w:vertAlign w:val="subscript"/>
        </w:rPr>
        <w:t>ap</w:t>
      </w:r>
      <w:r w:rsidR="006E45E1" w:rsidRPr="00A66FA9">
        <w:rPr>
          <w:b/>
          <w:bCs/>
          <w:szCs w:val="24"/>
        </w:rPr>
        <w:t xml:space="preserve"> and δ</w:t>
      </w:r>
      <w:r w:rsidR="006E45E1" w:rsidRPr="00A66FA9">
        <w:rPr>
          <w:b/>
          <w:bCs/>
          <w:szCs w:val="24"/>
          <w:vertAlign w:val="superscript"/>
        </w:rPr>
        <w:t>13</w:t>
      </w:r>
      <w:r w:rsidR="006E45E1" w:rsidRPr="00A66FA9">
        <w:rPr>
          <w:b/>
          <w:bCs/>
          <w:szCs w:val="24"/>
        </w:rPr>
        <w:t>C</w:t>
      </w:r>
      <w:r w:rsidR="006E45E1" w:rsidRPr="00A66FA9">
        <w:rPr>
          <w:b/>
          <w:bCs/>
          <w:szCs w:val="24"/>
          <w:vertAlign w:val="subscript"/>
        </w:rPr>
        <w:t>ap</w:t>
      </w:r>
      <w:r w:rsidR="006E45E1" w:rsidRPr="00A66FA9">
        <w:rPr>
          <w:b/>
          <w:bCs/>
          <w:szCs w:val="24"/>
        </w:rPr>
        <w:t xml:space="preserve"> analysis in tooth enamel </w:t>
      </w:r>
    </w:p>
    <w:p w14:paraId="2A7F4FEC" w14:textId="5CB980A2" w:rsidR="00823BB0" w:rsidRPr="00A66FA9" w:rsidRDefault="006E45E1" w:rsidP="002C59CD">
      <w:pPr>
        <w:spacing w:after="0" w:line="360" w:lineRule="auto"/>
        <w:ind w:left="0" w:firstLine="0"/>
        <w:jc w:val="left"/>
        <w:rPr>
          <w:szCs w:val="24"/>
        </w:rPr>
      </w:pPr>
      <w:r w:rsidRPr="00A66FA9">
        <w:rPr>
          <w:szCs w:val="24"/>
        </w:rPr>
        <w:t xml:space="preserve">Max Planck Institute for </w:t>
      </w:r>
      <w:proofErr w:type="spellStart"/>
      <w:r w:rsidRPr="00A66FA9">
        <w:rPr>
          <w:szCs w:val="24"/>
        </w:rPr>
        <w:t>Geoanthropology</w:t>
      </w:r>
      <w:proofErr w:type="spellEnd"/>
      <w:r w:rsidRPr="00A66FA9">
        <w:rPr>
          <w:szCs w:val="24"/>
        </w:rPr>
        <w:t xml:space="preserve"> (formerly Max Planck Institute for the Science of Human History), Jena, Germany </w:t>
      </w:r>
    </w:p>
    <w:p w14:paraId="6B533209" w14:textId="650CC07E" w:rsidR="00823BB0" w:rsidRPr="00A66FA9" w:rsidRDefault="006E45E1" w:rsidP="002C59CD">
      <w:pPr>
        <w:spacing w:after="0" w:line="360" w:lineRule="auto"/>
        <w:ind w:left="-15" w:firstLine="0"/>
        <w:jc w:val="left"/>
        <w:rPr>
          <w:szCs w:val="24"/>
        </w:rPr>
      </w:pPr>
      <w:r w:rsidRPr="00A66FA9">
        <w:rPr>
          <w:szCs w:val="24"/>
        </w:rPr>
        <w:t>The δ</w:t>
      </w:r>
      <w:r w:rsidRPr="00A66FA9">
        <w:rPr>
          <w:szCs w:val="24"/>
          <w:vertAlign w:val="superscript"/>
        </w:rPr>
        <w:t>18</w:t>
      </w:r>
      <w:r w:rsidRPr="00A66FA9">
        <w:rPr>
          <w:szCs w:val="24"/>
        </w:rPr>
        <w:t>O of human dental enamel bioapatite (δ</w:t>
      </w:r>
      <w:r w:rsidRPr="00A66FA9">
        <w:rPr>
          <w:szCs w:val="24"/>
          <w:vertAlign w:val="superscript"/>
        </w:rPr>
        <w:t>18</w:t>
      </w:r>
      <w:r w:rsidRPr="00A66FA9">
        <w:rPr>
          <w:szCs w:val="24"/>
        </w:rPr>
        <w:t>O</w:t>
      </w:r>
      <w:r w:rsidRPr="00A66FA9">
        <w:rPr>
          <w:szCs w:val="24"/>
          <w:vertAlign w:val="subscript"/>
        </w:rPr>
        <w:t>ap</w:t>
      </w:r>
      <w:r w:rsidRPr="00A66FA9">
        <w:rPr>
          <w:szCs w:val="24"/>
        </w:rPr>
        <w:t>) is closely related to the δ</w:t>
      </w:r>
      <w:r w:rsidRPr="00A66FA9">
        <w:rPr>
          <w:szCs w:val="24"/>
          <w:vertAlign w:val="superscript"/>
        </w:rPr>
        <w:t>18</w:t>
      </w:r>
      <w:r w:rsidRPr="00A66FA9">
        <w:rPr>
          <w:szCs w:val="24"/>
        </w:rPr>
        <w:t xml:space="preserve">O of groundwater and precipitation, which varies as a product of geographical factors such as distance from the coast, altitude and local climate (Webb </w:t>
      </w:r>
      <w:r w:rsidR="002C59CD" w:rsidRPr="00A66FA9">
        <w:rPr>
          <w:i/>
          <w:szCs w:val="24"/>
        </w:rPr>
        <w:t>et al</w:t>
      </w:r>
      <w:r w:rsidRPr="00A66FA9">
        <w:rPr>
          <w:i/>
          <w:szCs w:val="24"/>
        </w:rPr>
        <w:t>.</w:t>
      </w:r>
      <w:r w:rsidRPr="00A66FA9">
        <w:rPr>
          <w:szCs w:val="24"/>
        </w:rPr>
        <w:t xml:space="preserve"> 2014). The conversion of tooth enamel carbonate δ</w:t>
      </w:r>
      <w:r w:rsidRPr="00A66FA9">
        <w:rPr>
          <w:szCs w:val="24"/>
          <w:vertAlign w:val="superscript"/>
        </w:rPr>
        <w:t>18</w:t>
      </w:r>
      <w:r w:rsidRPr="00A66FA9">
        <w:rPr>
          <w:szCs w:val="24"/>
        </w:rPr>
        <w:t>O into drinking water δ</w:t>
      </w:r>
      <w:r w:rsidRPr="00A66FA9">
        <w:rPr>
          <w:szCs w:val="24"/>
          <w:vertAlign w:val="superscript"/>
        </w:rPr>
        <w:t>18</w:t>
      </w:r>
      <w:r w:rsidRPr="00A66FA9">
        <w:rPr>
          <w:szCs w:val="24"/>
        </w:rPr>
        <w:t xml:space="preserve">O values can be performed (e.g. </w:t>
      </w:r>
      <w:proofErr w:type="spellStart"/>
      <w:r w:rsidRPr="00A66FA9">
        <w:rPr>
          <w:szCs w:val="24"/>
        </w:rPr>
        <w:t>Longinelli</w:t>
      </w:r>
      <w:proofErr w:type="spellEnd"/>
      <w:r w:rsidRPr="00A66FA9">
        <w:rPr>
          <w:szCs w:val="24"/>
        </w:rPr>
        <w:t xml:space="preserve"> 1984; Levinson </w:t>
      </w:r>
      <w:r w:rsidR="002C59CD" w:rsidRPr="00A66FA9">
        <w:rPr>
          <w:i/>
          <w:szCs w:val="24"/>
        </w:rPr>
        <w:t>et al</w:t>
      </w:r>
      <w:r w:rsidRPr="00A66FA9">
        <w:rPr>
          <w:szCs w:val="24"/>
        </w:rPr>
        <w:t>.1987). This should, however, be applied with caution as errors and uncertainties are associated with the conversion (Lightfoot &amp; O’Connell 2016). In addition, human δ</w:t>
      </w:r>
      <w:r w:rsidRPr="00A66FA9">
        <w:rPr>
          <w:szCs w:val="24"/>
          <w:vertAlign w:val="superscript"/>
        </w:rPr>
        <w:t>18</w:t>
      </w:r>
      <w:r w:rsidRPr="00A66FA9">
        <w:rPr>
          <w:szCs w:val="24"/>
        </w:rPr>
        <w:t>O can be impacted by climatic changes through time as well as drink and food processing (e.g. fermentation). Intra-population variability can also be significant (Lightfoot &amp; O’Connell 2016). Tooth enamel δ</w:t>
      </w:r>
      <w:r w:rsidRPr="00A66FA9">
        <w:rPr>
          <w:szCs w:val="24"/>
          <w:vertAlign w:val="superscript"/>
        </w:rPr>
        <w:t>13</w:t>
      </w:r>
      <w:r w:rsidRPr="00A66FA9">
        <w:rPr>
          <w:szCs w:val="24"/>
        </w:rPr>
        <w:t>C</w:t>
      </w:r>
      <w:r w:rsidRPr="00A66FA9">
        <w:rPr>
          <w:szCs w:val="24"/>
          <w:vertAlign w:val="subscript"/>
        </w:rPr>
        <w:t>ap</w:t>
      </w:r>
      <w:r w:rsidRPr="00A66FA9">
        <w:rPr>
          <w:szCs w:val="24"/>
        </w:rPr>
        <w:t xml:space="preserve"> provides more completed diet contributions for the period of enamel formation (including carbohydrates, proteins and lipids) (Yoder 2012).</w:t>
      </w:r>
    </w:p>
    <w:p w14:paraId="0CBC623F" w14:textId="163D5571" w:rsidR="00823BB0" w:rsidRPr="00A66FA9" w:rsidRDefault="00AD7756" w:rsidP="009F30E5">
      <w:pPr>
        <w:spacing w:after="0" w:line="360" w:lineRule="auto"/>
        <w:ind w:left="-15" w:firstLine="0"/>
        <w:jc w:val="left"/>
        <w:rPr>
          <w:szCs w:val="24"/>
        </w:rPr>
      </w:pPr>
      <w:r w:rsidRPr="00A66FA9">
        <w:rPr>
          <w:szCs w:val="24"/>
        </w:rPr>
        <w:lastRenderedPageBreak/>
        <w:t xml:space="preserve">We used a tungsten drill to carefully remove enamel from specific clean locations. This process involved powdering enamel from the entire crown to analyse for a long-term average signal. </w:t>
      </w:r>
      <w:r w:rsidR="006E45E1" w:rsidRPr="00A66FA9">
        <w:rPr>
          <w:szCs w:val="24"/>
        </w:rPr>
        <w:t xml:space="preserve">The resulting enamel powder was collected and placed in a 1.5mL Eppendorf tube. The samples were treated with 1mL of 1% </w:t>
      </w:r>
      <w:proofErr w:type="spellStart"/>
      <w:r w:rsidR="006E45E1" w:rsidRPr="00A66FA9">
        <w:rPr>
          <w:szCs w:val="24"/>
        </w:rPr>
        <w:t>NaClO</w:t>
      </w:r>
      <w:proofErr w:type="spellEnd"/>
      <w:r w:rsidR="006E45E1" w:rsidRPr="00A66FA9">
        <w:rPr>
          <w:szCs w:val="24"/>
        </w:rPr>
        <w:t xml:space="preserve"> for 60 minutes, rinsed with deioni</w:t>
      </w:r>
      <w:r w:rsidR="005158FE" w:rsidRPr="00A66FA9">
        <w:rPr>
          <w:szCs w:val="24"/>
        </w:rPr>
        <w:t>s</w:t>
      </w:r>
      <w:r w:rsidR="006E45E1" w:rsidRPr="00A66FA9">
        <w:rPr>
          <w:szCs w:val="24"/>
        </w:rPr>
        <w:t>ed water, mixed, and centrifuged a total of 3 times. Samples were then treated again with 0.1M for 10 minutes, followed by rinsing with deioni</w:t>
      </w:r>
      <w:r w:rsidR="009E16F1" w:rsidRPr="00A66FA9">
        <w:rPr>
          <w:szCs w:val="24"/>
        </w:rPr>
        <w:t>s</w:t>
      </w:r>
      <w:r w:rsidR="006E45E1" w:rsidRPr="00A66FA9">
        <w:rPr>
          <w:szCs w:val="24"/>
        </w:rPr>
        <w:t>ed water, mixed, and centrifuged again 3 times, followed by the removal of all the water. Enamel samples were then frozen and placed in the freeze dryer for 4 hours. From each sample, 3.5mg was weighed into 12ml borosilicate glass vials and sealed with rubber septa. The vials were then flush</w:t>
      </w:r>
      <w:r w:rsidR="0080757C" w:rsidRPr="00A66FA9">
        <w:rPr>
          <w:szCs w:val="24"/>
        </w:rPr>
        <w:t>ed</w:t>
      </w:r>
      <w:r w:rsidR="006E45E1" w:rsidRPr="00A66FA9">
        <w:rPr>
          <w:szCs w:val="24"/>
        </w:rPr>
        <w:t xml:space="preserve">/filled with helium at 100ml/min for 10 minutes. </w:t>
      </w:r>
      <w:proofErr w:type="spellStart"/>
      <w:r w:rsidR="006E45E1" w:rsidRPr="00A66FA9">
        <w:rPr>
          <w:szCs w:val="24"/>
        </w:rPr>
        <w:t>Followingreaction</w:t>
      </w:r>
      <w:proofErr w:type="spellEnd"/>
      <w:r w:rsidR="006E45E1" w:rsidRPr="00A66FA9">
        <w:rPr>
          <w:szCs w:val="24"/>
        </w:rPr>
        <w:t xml:space="preserve"> with 100% phosphoric acid, gases evolved from the samples were analy</w:t>
      </w:r>
      <w:r w:rsidR="009E16F1" w:rsidRPr="00A66FA9">
        <w:rPr>
          <w:szCs w:val="24"/>
        </w:rPr>
        <w:t>s</w:t>
      </w:r>
      <w:r w:rsidR="006E45E1" w:rsidRPr="00A66FA9">
        <w:rPr>
          <w:szCs w:val="24"/>
        </w:rPr>
        <w:t xml:space="preserve">ed to stable carbon and oxygen isotopic composition using a </w:t>
      </w:r>
      <w:proofErr w:type="spellStart"/>
      <w:r w:rsidR="006E45E1" w:rsidRPr="00A66FA9">
        <w:rPr>
          <w:szCs w:val="24"/>
        </w:rPr>
        <w:t>Thermo</w:t>
      </w:r>
      <w:proofErr w:type="spellEnd"/>
      <w:r w:rsidR="006E45E1" w:rsidRPr="00A66FA9">
        <w:rPr>
          <w:szCs w:val="24"/>
        </w:rPr>
        <w:t xml:space="preserve"> Gas Bench 2 connected to a </w:t>
      </w:r>
      <w:proofErr w:type="spellStart"/>
      <w:r w:rsidR="006E45E1" w:rsidRPr="00A66FA9">
        <w:rPr>
          <w:szCs w:val="24"/>
        </w:rPr>
        <w:t>Thermo</w:t>
      </w:r>
      <w:proofErr w:type="spellEnd"/>
      <w:r w:rsidR="006E45E1" w:rsidRPr="00A66FA9">
        <w:rPr>
          <w:szCs w:val="24"/>
        </w:rPr>
        <w:t xml:space="preserve"> Delta V Advantage Mass Spectrometer at the Department of Archaeology, Max Planck Institute for </w:t>
      </w:r>
      <w:proofErr w:type="spellStart"/>
      <w:r w:rsidR="006E45E1" w:rsidRPr="00A66FA9">
        <w:rPr>
          <w:szCs w:val="24"/>
        </w:rPr>
        <w:t>Geoanthropology</w:t>
      </w:r>
      <w:proofErr w:type="spellEnd"/>
      <w:r w:rsidR="006E45E1" w:rsidRPr="00A66FA9">
        <w:rPr>
          <w:szCs w:val="24"/>
        </w:rPr>
        <w:t>. Stable oxygen (δ</w:t>
      </w:r>
      <w:r w:rsidR="006E45E1" w:rsidRPr="00A66FA9">
        <w:rPr>
          <w:szCs w:val="24"/>
          <w:vertAlign w:val="superscript"/>
        </w:rPr>
        <w:t>18</w:t>
      </w:r>
      <w:r w:rsidR="006E45E1" w:rsidRPr="00A66FA9">
        <w:rPr>
          <w:szCs w:val="24"/>
        </w:rPr>
        <w:t>O) and carbon isotope (δ</w:t>
      </w:r>
      <w:r w:rsidR="006E45E1" w:rsidRPr="00A66FA9">
        <w:rPr>
          <w:szCs w:val="24"/>
          <w:vertAlign w:val="superscript"/>
        </w:rPr>
        <w:t>13</w:t>
      </w:r>
      <w:r w:rsidR="006E45E1" w:rsidRPr="00A66FA9">
        <w:rPr>
          <w:szCs w:val="24"/>
        </w:rPr>
        <w:t>C) values were calibrated against international standards (IAEA NBS 18, IAEA 603, IAEA CO8) registered by the International Atomic Energy Agency: IAEA NBS 18: δ</w:t>
      </w:r>
      <w:r w:rsidR="006E45E1" w:rsidRPr="00A66FA9">
        <w:rPr>
          <w:szCs w:val="24"/>
          <w:vertAlign w:val="superscript"/>
        </w:rPr>
        <w:t>13</w:t>
      </w:r>
      <w:r w:rsidR="006E45E1" w:rsidRPr="00A66FA9">
        <w:rPr>
          <w:szCs w:val="24"/>
        </w:rPr>
        <w:t>C -5.014 ± 0.032‰, δ18O -23.2±0.1‰; IAEA 603: δ13C +2.46±0.01‰, δ</w:t>
      </w:r>
      <w:r w:rsidR="006E45E1" w:rsidRPr="00A66FA9">
        <w:rPr>
          <w:szCs w:val="24"/>
          <w:vertAlign w:val="superscript"/>
        </w:rPr>
        <w:t>18</w:t>
      </w:r>
      <w:r w:rsidR="006E45E1" w:rsidRPr="00A66FA9">
        <w:rPr>
          <w:szCs w:val="24"/>
        </w:rPr>
        <w:t>O -2.37±0.04‰; IAEA CO8: δ13C -5.764±0.032‰, δ</w:t>
      </w:r>
      <w:r w:rsidR="006E45E1" w:rsidRPr="00A66FA9">
        <w:rPr>
          <w:szCs w:val="24"/>
          <w:vertAlign w:val="superscript"/>
        </w:rPr>
        <w:t>18</w:t>
      </w:r>
      <w:r w:rsidR="006E45E1" w:rsidRPr="00A66FA9">
        <w:rPr>
          <w:szCs w:val="24"/>
        </w:rPr>
        <w:t>O 22.7±0.2‰; and USGS44: δ</w:t>
      </w:r>
      <w:r w:rsidR="006E45E1" w:rsidRPr="00A66FA9">
        <w:rPr>
          <w:szCs w:val="24"/>
          <w:vertAlign w:val="superscript"/>
        </w:rPr>
        <w:t>13</w:t>
      </w:r>
      <w:r w:rsidR="006E45E1" w:rsidRPr="00A66FA9">
        <w:rPr>
          <w:szCs w:val="24"/>
        </w:rPr>
        <w:t xml:space="preserve">C = ~ </w:t>
      </w:r>
      <w:r w:rsidRPr="00A66FA9">
        <w:rPr>
          <w:szCs w:val="24"/>
        </w:rPr>
        <w:t>-</w:t>
      </w:r>
      <w:r w:rsidR="006E45E1" w:rsidRPr="00A66FA9">
        <w:rPr>
          <w:szCs w:val="24"/>
        </w:rPr>
        <w:t>42.1‰. Replicate analyses of standards suggest that machine measurement error is ± 0.1‰ for δ</w:t>
      </w:r>
      <w:r w:rsidR="006E45E1" w:rsidRPr="00A66FA9">
        <w:rPr>
          <w:szCs w:val="24"/>
          <w:vertAlign w:val="superscript"/>
        </w:rPr>
        <w:t>13</w:t>
      </w:r>
      <w:r w:rsidR="006E45E1" w:rsidRPr="00A66FA9">
        <w:rPr>
          <w:szCs w:val="24"/>
        </w:rPr>
        <w:t>C and ± 0.2‰ for δ</w:t>
      </w:r>
      <w:r w:rsidR="006E45E1" w:rsidRPr="00A66FA9">
        <w:rPr>
          <w:szCs w:val="24"/>
          <w:vertAlign w:val="superscript"/>
        </w:rPr>
        <w:t>18</w:t>
      </w:r>
      <w:r w:rsidR="006E45E1" w:rsidRPr="00A66FA9">
        <w:rPr>
          <w:szCs w:val="24"/>
        </w:rPr>
        <w:t>O. Overall measurement precision was studied through the measurement of repeat extracts from a bovid tooth enamel standard (n = 20, ± 0.2‰ for δ</w:t>
      </w:r>
      <w:r w:rsidR="006E45E1" w:rsidRPr="00A66FA9">
        <w:rPr>
          <w:szCs w:val="24"/>
          <w:vertAlign w:val="superscript"/>
        </w:rPr>
        <w:t>13</w:t>
      </w:r>
      <w:r w:rsidR="006E45E1" w:rsidRPr="00A66FA9">
        <w:rPr>
          <w:szCs w:val="24"/>
        </w:rPr>
        <w:t>C and ± 0.4‰ for δ</w:t>
      </w:r>
      <w:r w:rsidR="006E45E1" w:rsidRPr="00A66FA9">
        <w:rPr>
          <w:szCs w:val="24"/>
          <w:vertAlign w:val="superscript"/>
        </w:rPr>
        <w:t>18</w:t>
      </w:r>
      <w:r w:rsidR="006E45E1" w:rsidRPr="00A66FA9">
        <w:rPr>
          <w:szCs w:val="24"/>
        </w:rPr>
        <w:t>O).</w:t>
      </w:r>
      <w:r w:rsidR="002C59CD" w:rsidRPr="00A66FA9">
        <w:rPr>
          <w:szCs w:val="24"/>
        </w:rPr>
        <w:t xml:space="preserve"> </w:t>
      </w:r>
    </w:p>
    <w:p w14:paraId="3211B3B9" w14:textId="17406BD6" w:rsidR="00823BB0" w:rsidRPr="00A66FA9" w:rsidRDefault="006E45E1" w:rsidP="002C59CD">
      <w:pPr>
        <w:spacing w:after="0" w:line="360" w:lineRule="auto"/>
        <w:ind w:left="-15" w:firstLine="0"/>
        <w:jc w:val="left"/>
        <w:rPr>
          <w:szCs w:val="24"/>
        </w:rPr>
      </w:pPr>
      <w:r w:rsidRPr="00A66FA9">
        <w:rPr>
          <w:szCs w:val="24"/>
        </w:rPr>
        <w:t>Based on the δ</w:t>
      </w:r>
      <w:r w:rsidRPr="00A66FA9">
        <w:rPr>
          <w:szCs w:val="24"/>
          <w:vertAlign w:val="superscript"/>
        </w:rPr>
        <w:t>13</w:t>
      </w:r>
      <w:r w:rsidRPr="00A66FA9">
        <w:rPr>
          <w:szCs w:val="24"/>
        </w:rPr>
        <w:t>C</w:t>
      </w:r>
      <w:r w:rsidRPr="00A66FA9">
        <w:rPr>
          <w:szCs w:val="24"/>
          <w:vertAlign w:val="subscript"/>
        </w:rPr>
        <w:t>ap</w:t>
      </w:r>
      <w:r w:rsidRPr="00A66FA9">
        <w:rPr>
          <w:szCs w:val="24"/>
        </w:rPr>
        <w:t xml:space="preserve"> carbonate results, we equate the average of bulk dietary intake following the diet-consumer fractionation of Ambrose &amp; </w:t>
      </w:r>
      <w:proofErr w:type="spellStart"/>
      <w:r w:rsidRPr="00A66FA9">
        <w:rPr>
          <w:szCs w:val="24"/>
        </w:rPr>
        <w:t>Norr</w:t>
      </w:r>
      <w:proofErr w:type="spellEnd"/>
      <w:r w:rsidRPr="00A66FA9">
        <w:rPr>
          <w:szCs w:val="24"/>
        </w:rPr>
        <w:t xml:space="preserve"> (1993) (</w:t>
      </w:r>
      <w:r w:rsidR="00EF2A1F" w:rsidRPr="00A66FA9">
        <w:rPr>
          <w:szCs w:val="24"/>
        </w:rPr>
        <w:t>approximately</w:t>
      </w:r>
      <w:r w:rsidRPr="00A66FA9">
        <w:rPr>
          <w:szCs w:val="24"/>
        </w:rPr>
        <w:t xml:space="preserve"> 9.5‰) (δ</w:t>
      </w:r>
      <w:r w:rsidRPr="00A66FA9">
        <w:rPr>
          <w:szCs w:val="24"/>
          <w:vertAlign w:val="superscript"/>
        </w:rPr>
        <w:t>13</w:t>
      </w:r>
      <w:r w:rsidRPr="00A66FA9">
        <w:rPr>
          <w:szCs w:val="24"/>
        </w:rPr>
        <w:t>C</w:t>
      </w:r>
      <w:r w:rsidRPr="00A66FA9">
        <w:rPr>
          <w:szCs w:val="24"/>
          <w:vertAlign w:val="subscript"/>
        </w:rPr>
        <w:t>ap</w:t>
      </w:r>
      <w:r w:rsidRPr="00A66FA9">
        <w:rPr>
          <w:szCs w:val="24"/>
        </w:rPr>
        <w:t xml:space="preserve">coll), and another with the enamel-bone apatite adjustment following </w:t>
      </w:r>
      <w:proofErr w:type="spellStart"/>
      <w:r w:rsidRPr="00A66FA9">
        <w:rPr>
          <w:szCs w:val="24"/>
        </w:rPr>
        <w:t>Warinner</w:t>
      </w:r>
      <w:proofErr w:type="spellEnd"/>
      <w:r w:rsidRPr="00A66FA9">
        <w:rPr>
          <w:szCs w:val="24"/>
        </w:rPr>
        <w:t xml:space="preserve"> &amp; </w:t>
      </w:r>
      <w:proofErr w:type="spellStart"/>
      <w:r w:rsidRPr="00A66FA9">
        <w:rPr>
          <w:szCs w:val="24"/>
        </w:rPr>
        <w:t>Tuross</w:t>
      </w:r>
      <w:proofErr w:type="spellEnd"/>
      <w:r w:rsidRPr="00A66FA9">
        <w:rPr>
          <w:szCs w:val="24"/>
        </w:rPr>
        <w:t xml:space="preserve"> </w:t>
      </w:r>
      <w:r w:rsidR="0080757C" w:rsidRPr="00A66FA9">
        <w:rPr>
          <w:szCs w:val="24"/>
        </w:rPr>
        <w:t>(</w:t>
      </w:r>
      <w:r w:rsidRPr="00A66FA9">
        <w:rPr>
          <w:szCs w:val="24"/>
        </w:rPr>
        <w:t>2009) (</w:t>
      </w:r>
      <w:r w:rsidR="00EF2A1F" w:rsidRPr="00A66FA9">
        <w:rPr>
          <w:szCs w:val="24"/>
        </w:rPr>
        <w:t>approximately</w:t>
      </w:r>
      <w:r w:rsidRPr="00A66FA9">
        <w:rPr>
          <w:szCs w:val="24"/>
        </w:rPr>
        <w:t xml:space="preserve"> 2.3‰). </w:t>
      </w:r>
    </w:p>
    <w:p w14:paraId="7C5618C2" w14:textId="77777777" w:rsidR="002C59CD" w:rsidRPr="00A66FA9" w:rsidRDefault="002C59CD" w:rsidP="002C59CD">
      <w:pPr>
        <w:spacing w:after="0" w:line="360" w:lineRule="auto"/>
        <w:ind w:left="0" w:firstLine="0"/>
        <w:jc w:val="left"/>
        <w:rPr>
          <w:szCs w:val="24"/>
        </w:rPr>
      </w:pPr>
    </w:p>
    <w:p w14:paraId="6CA1F06B" w14:textId="799A182B" w:rsidR="00823BB0" w:rsidRPr="00A66FA9" w:rsidRDefault="00003A1F" w:rsidP="002C59CD">
      <w:pPr>
        <w:spacing w:after="0" w:line="360" w:lineRule="auto"/>
        <w:ind w:left="0" w:firstLine="0"/>
        <w:jc w:val="left"/>
        <w:rPr>
          <w:b/>
          <w:bCs/>
          <w:szCs w:val="24"/>
        </w:rPr>
      </w:pPr>
      <w:r w:rsidRPr="00A66FA9">
        <w:rPr>
          <w:b/>
          <w:bCs/>
          <w:szCs w:val="24"/>
        </w:rPr>
        <w:t>5</w:t>
      </w:r>
      <w:r w:rsidR="006E45E1" w:rsidRPr="00A66FA9">
        <w:rPr>
          <w:b/>
          <w:bCs/>
          <w:szCs w:val="24"/>
        </w:rPr>
        <w:t xml:space="preserve">. DNA extraction </w:t>
      </w:r>
    </w:p>
    <w:p w14:paraId="1B911EB4" w14:textId="0CEBB196" w:rsidR="00823BB0" w:rsidRPr="00A66FA9" w:rsidRDefault="006E45E1" w:rsidP="002C59CD">
      <w:pPr>
        <w:spacing w:after="0" w:line="360" w:lineRule="auto"/>
        <w:ind w:left="0" w:firstLine="0"/>
        <w:jc w:val="left"/>
        <w:rPr>
          <w:szCs w:val="24"/>
        </w:rPr>
      </w:pPr>
      <w:r w:rsidRPr="00A66FA9">
        <w:rPr>
          <w:szCs w:val="24"/>
        </w:rPr>
        <w:t xml:space="preserve">Centre for </w:t>
      </w:r>
      <w:proofErr w:type="spellStart"/>
      <w:r w:rsidRPr="00A66FA9">
        <w:rPr>
          <w:szCs w:val="24"/>
        </w:rPr>
        <w:t>Palaeogenetics</w:t>
      </w:r>
      <w:proofErr w:type="spellEnd"/>
      <w:r w:rsidRPr="00A66FA9">
        <w:rPr>
          <w:szCs w:val="24"/>
        </w:rPr>
        <w:t xml:space="preserve"> (CPG), Stockholm University</w:t>
      </w:r>
      <w:r w:rsidR="00805E6B" w:rsidRPr="00A66FA9">
        <w:rPr>
          <w:szCs w:val="24"/>
        </w:rPr>
        <w:t>,</w:t>
      </w:r>
      <w:r w:rsidRPr="00A66FA9">
        <w:rPr>
          <w:szCs w:val="24"/>
        </w:rPr>
        <w:t xml:space="preserve"> Sweden </w:t>
      </w:r>
    </w:p>
    <w:p w14:paraId="29538D2C" w14:textId="1D75A4E5" w:rsidR="00823BB0" w:rsidRPr="00A66FA9" w:rsidRDefault="006E45E1" w:rsidP="002C59CD">
      <w:pPr>
        <w:spacing w:after="0" w:line="360" w:lineRule="auto"/>
        <w:ind w:left="-15" w:firstLine="0"/>
        <w:jc w:val="left"/>
        <w:rPr>
          <w:szCs w:val="24"/>
        </w:rPr>
      </w:pPr>
      <w:r w:rsidRPr="00A66FA9">
        <w:rPr>
          <w:szCs w:val="24"/>
        </w:rPr>
        <w:t>The tooth was sampled in the ancient DNA (</w:t>
      </w:r>
      <w:proofErr w:type="spellStart"/>
      <w:r w:rsidRPr="00A66FA9">
        <w:rPr>
          <w:szCs w:val="24"/>
        </w:rPr>
        <w:t>aDNA</w:t>
      </w:r>
      <w:proofErr w:type="spellEnd"/>
      <w:r w:rsidRPr="00A66FA9">
        <w:rPr>
          <w:szCs w:val="24"/>
        </w:rPr>
        <w:t xml:space="preserve">) facilities at the Centre for </w:t>
      </w:r>
      <w:proofErr w:type="spellStart"/>
      <w:r w:rsidRPr="00A66FA9">
        <w:rPr>
          <w:szCs w:val="24"/>
        </w:rPr>
        <w:t>Palaeogenetics</w:t>
      </w:r>
      <w:proofErr w:type="spellEnd"/>
      <w:r w:rsidRPr="00A66FA9">
        <w:rPr>
          <w:szCs w:val="24"/>
        </w:rPr>
        <w:t xml:space="preserve"> (CPG), Stockholm University (Sweden). The sample was decontaminated prior to analysis with a 0.5% sodium hypochlorite solution and UV irradiated (6 J/cm</w:t>
      </w:r>
      <w:r w:rsidRPr="00A66FA9">
        <w:rPr>
          <w:szCs w:val="24"/>
          <w:vertAlign w:val="superscript"/>
        </w:rPr>
        <w:t>2</w:t>
      </w:r>
      <w:r w:rsidRPr="00A66FA9">
        <w:rPr>
          <w:szCs w:val="24"/>
        </w:rPr>
        <w:t xml:space="preserve"> at 254 nm). The root tip of the tooth was cut with a multitool drill (Dremel) to get approximately 80 to 150mg of bone powder/root tip and placed in an Eppendorf tube in 1ml of pre-digestion buffer (0.45M EDTA pH 8.0) at 37</w:t>
      </w:r>
      <w:r w:rsidRPr="00A66FA9">
        <w:rPr>
          <w:szCs w:val="24"/>
          <w:vertAlign w:val="superscript"/>
        </w:rPr>
        <w:t>o</w:t>
      </w:r>
      <w:r w:rsidRPr="00A66FA9">
        <w:rPr>
          <w:szCs w:val="24"/>
        </w:rPr>
        <w:t>C in a hybridi</w:t>
      </w:r>
      <w:r w:rsidR="00872573" w:rsidRPr="00A66FA9">
        <w:rPr>
          <w:szCs w:val="24"/>
        </w:rPr>
        <w:t>s</w:t>
      </w:r>
      <w:r w:rsidRPr="00A66FA9">
        <w:rPr>
          <w:szCs w:val="24"/>
        </w:rPr>
        <w:t xml:space="preserve">ation oven. After 30 minutes the supernatant was removed to </w:t>
      </w:r>
      <w:r w:rsidRPr="00A66FA9">
        <w:rPr>
          <w:szCs w:val="24"/>
        </w:rPr>
        <w:lastRenderedPageBreak/>
        <w:t>reduce the microbial and exogenous DNA. Following this pre-digestion step, 1ml extraction buffer (0.45M EDTA pH 8.0 and 0.25mg/ml of proteinase K) was added to all the samples and they were incubated at 37</w:t>
      </w:r>
      <w:r w:rsidRPr="00A66FA9">
        <w:rPr>
          <w:szCs w:val="24"/>
          <w:vertAlign w:val="superscript"/>
        </w:rPr>
        <w:t>o</w:t>
      </w:r>
      <w:r w:rsidRPr="00A66FA9">
        <w:rPr>
          <w:szCs w:val="24"/>
        </w:rPr>
        <w:t>C in the hybridi</w:t>
      </w:r>
      <w:r w:rsidR="00872573" w:rsidRPr="00A66FA9">
        <w:rPr>
          <w:szCs w:val="24"/>
        </w:rPr>
        <w:t>s</w:t>
      </w:r>
      <w:r w:rsidRPr="00A66FA9">
        <w:rPr>
          <w:szCs w:val="24"/>
        </w:rPr>
        <w:t>ation oven for 1</w:t>
      </w:r>
      <w:r w:rsidR="00872573" w:rsidRPr="00A66FA9">
        <w:rPr>
          <w:szCs w:val="24"/>
        </w:rPr>
        <w:t xml:space="preserve"> </w:t>
      </w:r>
      <w:r w:rsidRPr="00A66FA9">
        <w:rPr>
          <w:szCs w:val="24"/>
        </w:rPr>
        <w:t xml:space="preserve">day until all root tip was dissolved. The extraction was conducted following Dabney </w:t>
      </w:r>
      <w:r w:rsidR="002C59CD" w:rsidRPr="00A66FA9">
        <w:rPr>
          <w:i/>
          <w:szCs w:val="24"/>
        </w:rPr>
        <w:t>et al</w:t>
      </w:r>
      <w:r w:rsidRPr="00A66FA9">
        <w:rPr>
          <w:szCs w:val="24"/>
        </w:rPr>
        <w:t>. (2013), with 1ml of digested extract being combined with 13ml of binding buffer containing 5M guanidine hydrochloride, 40% (vol/vol) isopropanol, 0.05% Tween-20 and 90mM sodium acetate (pH 5.2). 50ml silica columns (Roche, High Pure Viral Nucleic Acid Large Volume Kit) were used for purification and the DNA was eluted in 45μl of EB buffer (Qiagen).</w:t>
      </w:r>
      <w:r w:rsidRPr="00A66FA9">
        <w:rPr>
          <w:b/>
          <w:szCs w:val="24"/>
        </w:rPr>
        <w:t xml:space="preserve"> </w:t>
      </w:r>
      <w:r w:rsidRPr="00A66FA9">
        <w:rPr>
          <w:szCs w:val="24"/>
        </w:rPr>
        <w:t xml:space="preserve">Blank controls were used during every step of extraction, library preparation and amplification. </w:t>
      </w:r>
    </w:p>
    <w:p w14:paraId="6110DBD9" w14:textId="77777777" w:rsidR="002C59CD" w:rsidRPr="00A66FA9" w:rsidRDefault="002C59CD" w:rsidP="002C59CD">
      <w:pPr>
        <w:spacing w:after="0" w:line="360" w:lineRule="auto"/>
        <w:jc w:val="left"/>
        <w:rPr>
          <w:szCs w:val="24"/>
        </w:rPr>
      </w:pPr>
    </w:p>
    <w:p w14:paraId="055BAA27" w14:textId="181B0EBB" w:rsidR="00823BB0" w:rsidRPr="00A66FA9" w:rsidRDefault="006E45E1" w:rsidP="002C59CD">
      <w:pPr>
        <w:spacing w:after="0" w:line="360" w:lineRule="auto"/>
        <w:jc w:val="left"/>
        <w:rPr>
          <w:i/>
          <w:iCs/>
          <w:szCs w:val="24"/>
        </w:rPr>
      </w:pPr>
      <w:r w:rsidRPr="00A66FA9">
        <w:rPr>
          <w:i/>
          <w:iCs/>
          <w:szCs w:val="24"/>
        </w:rPr>
        <w:t xml:space="preserve">Library preparation and sequencing </w:t>
      </w:r>
    </w:p>
    <w:p w14:paraId="289B537D" w14:textId="1FE873E4" w:rsidR="00823BB0" w:rsidRPr="00A66FA9" w:rsidRDefault="006E45E1" w:rsidP="002C59CD">
      <w:pPr>
        <w:spacing w:after="0" w:line="360" w:lineRule="auto"/>
        <w:ind w:left="-15" w:firstLine="0"/>
        <w:jc w:val="left"/>
        <w:rPr>
          <w:szCs w:val="24"/>
        </w:rPr>
      </w:pPr>
      <w:r w:rsidRPr="00A66FA9">
        <w:rPr>
          <w:szCs w:val="24"/>
        </w:rPr>
        <w:t xml:space="preserve">20μl of extract was used to prepare blunt-end ligation DNA libraries coupled with P5 and P7 adapters and indexes as described in Meyer &amp; Kircher (2010). The amplification reactions had a total volume of 50μl, with 5μl DNA library, and the following in final concentrations: 1 X </w:t>
      </w:r>
      <w:proofErr w:type="spellStart"/>
      <w:r w:rsidRPr="00A66FA9">
        <w:rPr>
          <w:szCs w:val="24"/>
        </w:rPr>
        <w:t>AmpliTaq</w:t>
      </w:r>
      <w:proofErr w:type="spellEnd"/>
      <w:r w:rsidRPr="00A66FA9">
        <w:rPr>
          <w:szCs w:val="24"/>
        </w:rPr>
        <w:t xml:space="preserve"> Gold Buffer, 2.5mM MgCl</w:t>
      </w:r>
      <w:r w:rsidRPr="00A66FA9">
        <w:rPr>
          <w:szCs w:val="24"/>
          <w:vertAlign w:val="subscript"/>
        </w:rPr>
        <w:t>2</w:t>
      </w:r>
      <w:r w:rsidRPr="00A66FA9">
        <w:rPr>
          <w:szCs w:val="24"/>
        </w:rPr>
        <w:t xml:space="preserve">, 250μM of each dNTP, 2.5 U </w:t>
      </w:r>
      <w:proofErr w:type="spellStart"/>
      <w:r w:rsidRPr="00A66FA9">
        <w:rPr>
          <w:szCs w:val="24"/>
        </w:rPr>
        <w:t>AmpliTaq</w:t>
      </w:r>
      <w:proofErr w:type="spellEnd"/>
      <w:r w:rsidRPr="00A66FA9">
        <w:rPr>
          <w:szCs w:val="24"/>
        </w:rPr>
        <w:t xml:space="preserve"> Gold (</w:t>
      </w:r>
      <w:proofErr w:type="spellStart"/>
      <w:r w:rsidRPr="00A66FA9">
        <w:rPr>
          <w:szCs w:val="24"/>
        </w:rPr>
        <w:t>Thermo</w:t>
      </w:r>
      <w:proofErr w:type="spellEnd"/>
      <w:r w:rsidRPr="00A66FA9">
        <w:rPr>
          <w:szCs w:val="24"/>
        </w:rPr>
        <w:t xml:space="preserve"> Fisher Scientific, Waltham, MA), and 200nM of each of the index primers (Meyer &amp; Kircher 2010). The optimal number of PCR cycles for library amplification was determined with qPCR. PCR was done with the following conditions: an activation step at 94°C for 10 min followed by 8–13 cycles of 94°C for 30s, 60°C for 30s, and 72°C for 45s, and a final elongation step of 72°C for 10 min. Four amplification reactions with the same indexing primer were made for each library to increase complexity. Finally, the amplified libraries were pooled and purified with </w:t>
      </w:r>
      <w:proofErr w:type="spellStart"/>
      <w:r w:rsidRPr="00A66FA9">
        <w:rPr>
          <w:szCs w:val="24"/>
        </w:rPr>
        <w:t>AMPure</w:t>
      </w:r>
      <w:proofErr w:type="spellEnd"/>
      <w:r w:rsidRPr="00A66FA9">
        <w:rPr>
          <w:szCs w:val="24"/>
        </w:rPr>
        <w:t xml:space="preserve"> XP beads (</w:t>
      </w:r>
      <w:proofErr w:type="spellStart"/>
      <w:r w:rsidRPr="00A66FA9">
        <w:rPr>
          <w:szCs w:val="24"/>
        </w:rPr>
        <w:t>Agencourt</w:t>
      </w:r>
      <w:proofErr w:type="spellEnd"/>
      <w:r w:rsidRPr="00A66FA9">
        <w:rPr>
          <w:szCs w:val="24"/>
        </w:rPr>
        <w:t xml:space="preserve">; Beckman Coulter, Brea, CA), and the fragment size and concentration were checked using </w:t>
      </w:r>
      <w:proofErr w:type="spellStart"/>
      <w:r w:rsidRPr="00A66FA9">
        <w:rPr>
          <w:szCs w:val="24"/>
        </w:rPr>
        <w:t>BioAnalyzer</w:t>
      </w:r>
      <w:proofErr w:type="spellEnd"/>
      <w:r w:rsidRPr="00A66FA9">
        <w:rPr>
          <w:szCs w:val="24"/>
        </w:rPr>
        <w:t xml:space="preserve"> with the High Sensitivity Kit (Agilent Technologies, Cary, NC).</w:t>
      </w:r>
      <w:r w:rsidR="002C59CD" w:rsidRPr="00A66FA9">
        <w:rPr>
          <w:szCs w:val="24"/>
        </w:rPr>
        <w:t xml:space="preserve"> </w:t>
      </w:r>
    </w:p>
    <w:p w14:paraId="4327952A" w14:textId="77777777" w:rsidR="002C59CD" w:rsidRPr="00A66FA9" w:rsidRDefault="002C59CD" w:rsidP="002C59CD">
      <w:pPr>
        <w:spacing w:after="0" w:line="360" w:lineRule="auto"/>
        <w:jc w:val="left"/>
        <w:rPr>
          <w:szCs w:val="24"/>
        </w:rPr>
      </w:pPr>
    </w:p>
    <w:p w14:paraId="69DEBA86" w14:textId="5ECEEB59" w:rsidR="00823BB0" w:rsidRPr="00A66FA9" w:rsidRDefault="006E45E1" w:rsidP="002C59CD">
      <w:pPr>
        <w:spacing w:after="0" w:line="360" w:lineRule="auto"/>
        <w:jc w:val="left"/>
        <w:rPr>
          <w:i/>
          <w:iCs/>
          <w:szCs w:val="24"/>
        </w:rPr>
      </w:pPr>
      <w:r w:rsidRPr="00A66FA9">
        <w:rPr>
          <w:i/>
          <w:iCs/>
          <w:szCs w:val="24"/>
        </w:rPr>
        <w:t>Processing and alignment of sequencing reads</w:t>
      </w:r>
      <w:r w:rsidR="002C59CD" w:rsidRPr="00A66FA9">
        <w:rPr>
          <w:i/>
          <w:iCs/>
          <w:szCs w:val="24"/>
        </w:rPr>
        <w:t xml:space="preserve"> </w:t>
      </w:r>
    </w:p>
    <w:p w14:paraId="20A697E6" w14:textId="6FE11DC2" w:rsidR="00823BB0" w:rsidRPr="00A66FA9" w:rsidRDefault="006E45E1" w:rsidP="002C59CD">
      <w:pPr>
        <w:spacing w:after="0" w:line="360" w:lineRule="auto"/>
        <w:ind w:left="-15" w:firstLine="0"/>
        <w:jc w:val="left"/>
        <w:rPr>
          <w:szCs w:val="24"/>
        </w:rPr>
      </w:pPr>
      <w:r w:rsidRPr="00A66FA9">
        <w:rPr>
          <w:szCs w:val="24"/>
        </w:rPr>
        <w:t xml:space="preserve">Purified libraries were pooled in equimolar concentration and sequenced on </w:t>
      </w:r>
      <w:proofErr w:type="spellStart"/>
      <w:r w:rsidRPr="00A66FA9">
        <w:rPr>
          <w:szCs w:val="24"/>
        </w:rPr>
        <w:t>NovaSeq</w:t>
      </w:r>
      <w:proofErr w:type="spellEnd"/>
      <w:r w:rsidRPr="00A66FA9">
        <w:rPr>
          <w:szCs w:val="24"/>
        </w:rPr>
        <w:t xml:space="preserve"> 6000 at the </w:t>
      </w:r>
      <w:proofErr w:type="spellStart"/>
      <w:r w:rsidRPr="00A66FA9">
        <w:rPr>
          <w:szCs w:val="24"/>
        </w:rPr>
        <w:t>SciLife</w:t>
      </w:r>
      <w:proofErr w:type="spellEnd"/>
      <w:r w:rsidRPr="00A66FA9">
        <w:rPr>
          <w:szCs w:val="24"/>
        </w:rPr>
        <w:t xml:space="preserve"> Sequencing Centre in Stockholm. Sequencing reads were demultiplexed according to the pair of indexes of each sample sequence. </w:t>
      </w:r>
      <w:proofErr w:type="spellStart"/>
      <w:r w:rsidRPr="00A66FA9">
        <w:rPr>
          <w:szCs w:val="24"/>
        </w:rPr>
        <w:t>Cutadapt</w:t>
      </w:r>
      <w:proofErr w:type="spellEnd"/>
      <w:r w:rsidRPr="00A66FA9">
        <w:rPr>
          <w:szCs w:val="24"/>
        </w:rPr>
        <w:t xml:space="preserve"> v. 2.3 was used for trimming adapters and FLASH v. 1.2.11 for merging of </w:t>
      </w:r>
      <w:proofErr w:type="spellStart"/>
      <w:r w:rsidRPr="00A66FA9">
        <w:rPr>
          <w:szCs w:val="24"/>
        </w:rPr>
        <w:t>fastq</w:t>
      </w:r>
      <w:proofErr w:type="spellEnd"/>
      <w:r w:rsidRPr="00A66FA9">
        <w:rPr>
          <w:szCs w:val="24"/>
        </w:rPr>
        <w:t xml:space="preserve"> reads. The reads were mapped against the human reference genome build 37 (hg19) using the Burrows-Wheeler Algorithm, as implemented by BWA v. 0.7.10, (Li &amp; Durbin 2009) with the following parameters: </w:t>
      </w:r>
      <w:proofErr w:type="spellStart"/>
      <w:r w:rsidRPr="00A66FA9">
        <w:rPr>
          <w:szCs w:val="24"/>
        </w:rPr>
        <w:t>aln</w:t>
      </w:r>
      <w:proofErr w:type="spellEnd"/>
      <w:r w:rsidRPr="00A66FA9">
        <w:rPr>
          <w:szCs w:val="24"/>
        </w:rPr>
        <w:t xml:space="preserve"> (-l 16500 -n 0.01 -o 2). Next, a slightly modified version of FilterUniqueSAMCons.py (Kircher 2012) was used to condense the reads with identical start and end position into a consensus </w:t>
      </w:r>
      <w:r w:rsidRPr="00A66FA9">
        <w:rPr>
          <w:szCs w:val="24"/>
        </w:rPr>
        <w:lastRenderedPageBreak/>
        <w:t xml:space="preserve">read. Finally, reads shorter than 35 base pairs and reads with less than 90% consensus with the reference </w:t>
      </w:r>
      <w:r w:rsidR="0080757C" w:rsidRPr="00A66FA9">
        <w:rPr>
          <w:szCs w:val="24"/>
        </w:rPr>
        <w:t>we</w:t>
      </w:r>
      <w:r w:rsidRPr="00A66FA9">
        <w:rPr>
          <w:szCs w:val="24"/>
        </w:rPr>
        <w:t xml:space="preserve">re filtered out using percidentity_threshold.py (Skoglund </w:t>
      </w:r>
      <w:r w:rsidR="002C59CD" w:rsidRPr="00A66FA9">
        <w:rPr>
          <w:i/>
          <w:szCs w:val="24"/>
        </w:rPr>
        <w:t>et al</w:t>
      </w:r>
      <w:r w:rsidRPr="00A66FA9">
        <w:rPr>
          <w:i/>
          <w:szCs w:val="24"/>
        </w:rPr>
        <w:t>.</w:t>
      </w:r>
      <w:r w:rsidRPr="00A66FA9">
        <w:rPr>
          <w:szCs w:val="24"/>
        </w:rPr>
        <w:t xml:space="preserve"> 2012). Due to the low coverage of the ancient sample the sequencing depth was too low to call diploid genotypes. Therefore, we built pseudo-haploid genomes by randomly choosing one read at each heterogenous position with minimum mapping quality 30 and a base quality of 30. </w:t>
      </w:r>
    </w:p>
    <w:p w14:paraId="686C89AC" w14:textId="77777777" w:rsidR="002C59CD" w:rsidRPr="00A66FA9" w:rsidRDefault="002C59CD" w:rsidP="002C59CD">
      <w:pPr>
        <w:spacing w:after="0" w:line="360" w:lineRule="auto"/>
        <w:jc w:val="left"/>
        <w:rPr>
          <w:szCs w:val="24"/>
        </w:rPr>
      </w:pPr>
    </w:p>
    <w:p w14:paraId="477DB430" w14:textId="0BFE3325" w:rsidR="00823BB0" w:rsidRPr="00A66FA9" w:rsidRDefault="006E45E1" w:rsidP="002C59CD">
      <w:pPr>
        <w:spacing w:after="0" w:line="360" w:lineRule="auto"/>
        <w:jc w:val="left"/>
        <w:rPr>
          <w:i/>
          <w:iCs/>
          <w:szCs w:val="24"/>
        </w:rPr>
      </w:pPr>
      <w:r w:rsidRPr="00A66FA9">
        <w:rPr>
          <w:i/>
          <w:iCs/>
          <w:szCs w:val="24"/>
        </w:rPr>
        <w:t xml:space="preserve">Data validation </w:t>
      </w:r>
    </w:p>
    <w:p w14:paraId="3C766576" w14:textId="2015E29E" w:rsidR="00823BB0" w:rsidRPr="00A66FA9" w:rsidRDefault="006E45E1" w:rsidP="002C59CD">
      <w:pPr>
        <w:spacing w:after="0" w:line="360" w:lineRule="auto"/>
        <w:ind w:left="-15" w:firstLine="0"/>
        <w:jc w:val="left"/>
        <w:rPr>
          <w:szCs w:val="24"/>
        </w:rPr>
      </w:pPr>
      <w:r w:rsidRPr="00A66FA9">
        <w:rPr>
          <w:szCs w:val="24"/>
        </w:rPr>
        <w:t xml:space="preserve">We used several approaches to validate the dataset. Firstly, all libraries yielded short read lengths (~70 bp), and patterns of cytosine deamination were estimated using </w:t>
      </w:r>
      <w:proofErr w:type="spellStart"/>
      <w:r w:rsidRPr="00A66FA9">
        <w:rPr>
          <w:szCs w:val="24"/>
        </w:rPr>
        <w:t>PMDtools</w:t>
      </w:r>
      <w:proofErr w:type="spellEnd"/>
      <w:r w:rsidRPr="00A66FA9">
        <w:rPr>
          <w:szCs w:val="24"/>
        </w:rPr>
        <w:t xml:space="preserve"> (Skoglund </w:t>
      </w:r>
      <w:r w:rsidR="002C59CD" w:rsidRPr="00A66FA9">
        <w:rPr>
          <w:i/>
          <w:szCs w:val="24"/>
        </w:rPr>
        <w:t>et al</w:t>
      </w:r>
      <w:r w:rsidRPr="00A66FA9">
        <w:rPr>
          <w:i/>
          <w:szCs w:val="24"/>
        </w:rPr>
        <w:t>.</w:t>
      </w:r>
      <w:r w:rsidRPr="00A66FA9">
        <w:rPr>
          <w:szCs w:val="24"/>
        </w:rPr>
        <w:t xml:space="preserve"> 2014) (Table 1). We have applied one method based on the mitochondrial DNA to estimate contamination in our sample (Green </w:t>
      </w:r>
      <w:r w:rsidR="002C59CD" w:rsidRPr="00A66FA9">
        <w:rPr>
          <w:i/>
          <w:szCs w:val="24"/>
        </w:rPr>
        <w:t>et al</w:t>
      </w:r>
      <w:r w:rsidRPr="00A66FA9">
        <w:rPr>
          <w:i/>
          <w:szCs w:val="24"/>
        </w:rPr>
        <w:t>.</w:t>
      </w:r>
      <w:r w:rsidRPr="00A66FA9">
        <w:rPr>
          <w:szCs w:val="24"/>
        </w:rPr>
        <w:t xml:space="preserve"> 2008). In addition, we used the 'Contamination' program in ANGSD following </w:t>
      </w:r>
      <w:proofErr w:type="spellStart"/>
      <w:r w:rsidRPr="00A66FA9">
        <w:rPr>
          <w:szCs w:val="24"/>
        </w:rPr>
        <w:t>Korneliussen</w:t>
      </w:r>
      <w:proofErr w:type="spellEnd"/>
      <w:r w:rsidRPr="00A66FA9">
        <w:rPr>
          <w:szCs w:val="24"/>
        </w:rPr>
        <w:t xml:space="preserve"> </w:t>
      </w:r>
      <w:r w:rsidR="002C59CD" w:rsidRPr="00A66FA9">
        <w:rPr>
          <w:i/>
          <w:szCs w:val="24"/>
        </w:rPr>
        <w:t>et al</w:t>
      </w:r>
      <w:r w:rsidRPr="00A66FA9">
        <w:rPr>
          <w:szCs w:val="24"/>
        </w:rPr>
        <w:t>.</w:t>
      </w:r>
      <w:r w:rsidR="004B7886" w:rsidRPr="00A66FA9">
        <w:rPr>
          <w:szCs w:val="24"/>
        </w:rPr>
        <w:t xml:space="preserve"> </w:t>
      </w:r>
      <w:r w:rsidRPr="00A66FA9">
        <w:rPr>
          <w:szCs w:val="24"/>
        </w:rPr>
        <w:t xml:space="preserve">(2014) v.0.911 to estimate X-chromosome contamination </w:t>
      </w:r>
      <w:r w:rsidR="00FE6EC3" w:rsidRPr="00A66FA9">
        <w:rPr>
          <w:szCs w:val="24"/>
        </w:rPr>
        <w:t>(</w:t>
      </w:r>
      <w:r w:rsidRPr="00A66FA9">
        <w:rPr>
          <w:szCs w:val="24"/>
        </w:rPr>
        <w:t xml:space="preserve">as described in Rasmussen </w:t>
      </w:r>
      <w:r w:rsidR="002C59CD" w:rsidRPr="00A66FA9">
        <w:rPr>
          <w:i/>
          <w:szCs w:val="24"/>
        </w:rPr>
        <w:t>et al</w:t>
      </w:r>
      <w:r w:rsidRPr="00A66FA9">
        <w:rPr>
          <w:i/>
          <w:szCs w:val="24"/>
        </w:rPr>
        <w:t>.</w:t>
      </w:r>
      <w:r w:rsidRPr="00A66FA9">
        <w:rPr>
          <w:szCs w:val="24"/>
        </w:rPr>
        <w:t xml:space="preserve"> 2021). Contamination estimates are shown in Table 1. Finally, sex was assigned following the method described in Skoglund </w:t>
      </w:r>
      <w:r w:rsidR="002C59CD" w:rsidRPr="00A66FA9">
        <w:rPr>
          <w:i/>
          <w:szCs w:val="24"/>
        </w:rPr>
        <w:t>et al</w:t>
      </w:r>
      <w:r w:rsidRPr="00A66FA9">
        <w:rPr>
          <w:szCs w:val="24"/>
        </w:rPr>
        <w:t xml:space="preserve">. (2013) (Table 1). </w:t>
      </w:r>
    </w:p>
    <w:p w14:paraId="475BCFE6" w14:textId="77777777" w:rsidR="002C59CD" w:rsidRPr="00A66FA9" w:rsidRDefault="002C59CD" w:rsidP="002C59CD">
      <w:pPr>
        <w:spacing w:after="0" w:line="360" w:lineRule="auto"/>
        <w:jc w:val="left"/>
        <w:rPr>
          <w:szCs w:val="24"/>
        </w:rPr>
      </w:pPr>
    </w:p>
    <w:p w14:paraId="251F3969" w14:textId="31FCB941" w:rsidR="00823BB0" w:rsidRPr="00A66FA9" w:rsidRDefault="006E45E1" w:rsidP="002C59CD">
      <w:pPr>
        <w:spacing w:after="0" w:line="360" w:lineRule="auto"/>
        <w:jc w:val="left"/>
        <w:rPr>
          <w:i/>
          <w:iCs/>
          <w:szCs w:val="24"/>
        </w:rPr>
      </w:pPr>
      <w:proofErr w:type="spellStart"/>
      <w:r w:rsidRPr="00A66FA9">
        <w:rPr>
          <w:i/>
          <w:iCs/>
          <w:szCs w:val="24"/>
        </w:rPr>
        <w:t>PathPhynder</w:t>
      </w:r>
      <w:proofErr w:type="spellEnd"/>
      <w:r w:rsidR="002C59CD" w:rsidRPr="00A66FA9">
        <w:rPr>
          <w:i/>
          <w:iCs/>
          <w:szCs w:val="24"/>
        </w:rPr>
        <w:t xml:space="preserve"> </w:t>
      </w:r>
      <w:r w:rsidRPr="00A66FA9">
        <w:rPr>
          <w:i/>
          <w:iCs/>
          <w:szCs w:val="24"/>
        </w:rPr>
        <w:t xml:space="preserve"> </w:t>
      </w:r>
    </w:p>
    <w:p w14:paraId="39EA26F2" w14:textId="5907DE90" w:rsidR="00823BB0" w:rsidRPr="00A66FA9" w:rsidRDefault="006E45E1" w:rsidP="002C59CD">
      <w:pPr>
        <w:spacing w:after="0" w:line="360" w:lineRule="auto"/>
        <w:ind w:left="-15" w:firstLine="0"/>
        <w:jc w:val="left"/>
        <w:rPr>
          <w:szCs w:val="24"/>
        </w:rPr>
      </w:pPr>
      <w:r w:rsidRPr="00A66FA9">
        <w:rPr>
          <w:szCs w:val="24"/>
        </w:rPr>
        <w:t xml:space="preserve">We determined the Y chromosome haplogroup using </w:t>
      </w:r>
      <w:proofErr w:type="spellStart"/>
      <w:r w:rsidRPr="00A66FA9">
        <w:rPr>
          <w:szCs w:val="24"/>
        </w:rPr>
        <w:t>pathPhynder</w:t>
      </w:r>
      <w:proofErr w:type="spellEnd"/>
      <w:r w:rsidRPr="00A66FA9">
        <w:rPr>
          <w:szCs w:val="24"/>
        </w:rPr>
        <w:t xml:space="preserve"> v.1a (</w:t>
      </w:r>
      <w:proofErr w:type="spellStart"/>
      <w:r w:rsidRPr="00A66FA9">
        <w:rPr>
          <w:szCs w:val="24"/>
        </w:rPr>
        <w:t>Martiniano</w:t>
      </w:r>
      <w:proofErr w:type="spellEnd"/>
      <w:r w:rsidRPr="00A66FA9">
        <w:rPr>
          <w:szCs w:val="24"/>
        </w:rPr>
        <w:t xml:space="preserve"> </w:t>
      </w:r>
      <w:r w:rsidR="002C59CD" w:rsidRPr="00A66FA9">
        <w:rPr>
          <w:i/>
          <w:szCs w:val="24"/>
        </w:rPr>
        <w:t>et al</w:t>
      </w:r>
      <w:r w:rsidRPr="00A66FA9">
        <w:rPr>
          <w:i/>
          <w:szCs w:val="24"/>
        </w:rPr>
        <w:t>.</w:t>
      </w:r>
      <w:r w:rsidRPr="00A66FA9">
        <w:rPr>
          <w:szCs w:val="24"/>
        </w:rPr>
        <w:t xml:space="preserve"> 2022) (Table 1). The ‘</w:t>
      </w:r>
      <w:proofErr w:type="spellStart"/>
      <w:r w:rsidRPr="00A66FA9">
        <w:rPr>
          <w:szCs w:val="24"/>
        </w:rPr>
        <w:t>BigTree</w:t>
      </w:r>
      <w:proofErr w:type="spellEnd"/>
      <w:r w:rsidRPr="00A66FA9">
        <w:rPr>
          <w:szCs w:val="24"/>
        </w:rPr>
        <w:t xml:space="preserve">’ Y chromosome dataset (included with </w:t>
      </w:r>
      <w:proofErr w:type="spellStart"/>
      <w:r w:rsidRPr="00A66FA9">
        <w:rPr>
          <w:szCs w:val="24"/>
        </w:rPr>
        <w:t>pathPhynder</w:t>
      </w:r>
      <w:proofErr w:type="spellEnd"/>
      <w:r w:rsidRPr="00A66FA9">
        <w:rPr>
          <w:szCs w:val="24"/>
        </w:rPr>
        <w:t xml:space="preserve">) was used as the reference phylogeny, the minimum base quality was set at 20, and maximum tolerance was set both to default 3 and 100. Both “default” and “-m transversions” filtering modes were used, which generated comparable results. </w:t>
      </w:r>
    </w:p>
    <w:p w14:paraId="66E4D56C" w14:textId="77777777" w:rsidR="00823BB0" w:rsidRPr="00A66FA9" w:rsidRDefault="006E45E1" w:rsidP="002C59CD">
      <w:pPr>
        <w:spacing w:after="0" w:line="360" w:lineRule="auto"/>
        <w:ind w:left="0" w:firstLine="0"/>
        <w:jc w:val="left"/>
        <w:rPr>
          <w:szCs w:val="24"/>
        </w:rPr>
      </w:pPr>
      <w:r w:rsidRPr="00A66FA9">
        <w:rPr>
          <w:b/>
          <w:szCs w:val="24"/>
        </w:rPr>
        <w:t xml:space="preserve"> </w:t>
      </w:r>
    </w:p>
    <w:p w14:paraId="73DC8352" w14:textId="420CBEEC" w:rsidR="00823BB0" w:rsidRPr="00A66FA9" w:rsidRDefault="006E45E1" w:rsidP="002C59CD">
      <w:pPr>
        <w:spacing w:after="0" w:line="360" w:lineRule="auto"/>
        <w:jc w:val="left"/>
        <w:rPr>
          <w:i/>
          <w:iCs/>
          <w:szCs w:val="24"/>
        </w:rPr>
      </w:pPr>
      <w:r w:rsidRPr="00A66FA9">
        <w:rPr>
          <w:i/>
          <w:iCs/>
          <w:szCs w:val="24"/>
        </w:rPr>
        <w:t xml:space="preserve">Population genomics </w:t>
      </w:r>
      <w:r w:rsidR="002C59CD" w:rsidRPr="00A66FA9">
        <w:rPr>
          <w:i/>
          <w:iCs/>
          <w:szCs w:val="24"/>
        </w:rPr>
        <w:t>d</w:t>
      </w:r>
      <w:r w:rsidRPr="00A66FA9">
        <w:rPr>
          <w:i/>
          <w:iCs/>
          <w:szCs w:val="24"/>
        </w:rPr>
        <w:t xml:space="preserve">atasets </w:t>
      </w:r>
    </w:p>
    <w:p w14:paraId="6DA6E0FD" w14:textId="4FB18DDC" w:rsidR="00823BB0" w:rsidRPr="00A66FA9" w:rsidRDefault="006E45E1" w:rsidP="002C59CD">
      <w:pPr>
        <w:spacing w:after="0" w:line="360" w:lineRule="auto"/>
        <w:ind w:left="-15" w:firstLine="0"/>
        <w:jc w:val="left"/>
        <w:rPr>
          <w:szCs w:val="24"/>
        </w:rPr>
      </w:pPr>
      <w:r w:rsidRPr="00A66FA9">
        <w:rPr>
          <w:szCs w:val="24"/>
        </w:rPr>
        <w:t>We trimmed 10bp at the end of each read in our ancient individual to remove the ancient damage patterns characteristic of ancient and degraded DNA. Next, we merge</w:t>
      </w:r>
      <w:r w:rsidR="0080757C" w:rsidRPr="00A66FA9">
        <w:rPr>
          <w:szCs w:val="24"/>
        </w:rPr>
        <w:t>d</w:t>
      </w:r>
      <w:r w:rsidRPr="00A66FA9">
        <w:rPr>
          <w:szCs w:val="24"/>
        </w:rPr>
        <w:t xml:space="preserve"> the ancient individual with a 54.1.p1 version of the Allen Ancient DNA Resource (AADR)</w:t>
      </w:r>
      <w:r w:rsidR="0080757C" w:rsidRPr="00A66FA9">
        <w:rPr>
          <w:szCs w:val="24"/>
        </w:rPr>
        <w:t xml:space="preserve"> dataset,</w:t>
      </w:r>
      <w:r w:rsidRPr="00A66FA9">
        <w:rPr>
          <w:szCs w:val="24"/>
        </w:rPr>
        <w:t xml:space="preserve"> https://reich.hms.harvard.edu/allen-ancient-dna-resource-aadr-downloadable-genotypespresent-day-and-ancient-dna-data, where duplicate and related individuals were removed. Ancient individuals from Spain (n= 93) from the Iron Age to the </w:t>
      </w:r>
      <w:r w:rsidR="00432EE6" w:rsidRPr="00A66FA9">
        <w:rPr>
          <w:szCs w:val="24"/>
        </w:rPr>
        <w:t>l</w:t>
      </w:r>
      <w:r w:rsidRPr="00A66FA9">
        <w:rPr>
          <w:szCs w:val="24"/>
        </w:rPr>
        <w:t xml:space="preserve">ate </w:t>
      </w:r>
      <w:r w:rsidR="00432EE6" w:rsidRPr="00A66FA9">
        <w:rPr>
          <w:szCs w:val="24"/>
        </w:rPr>
        <w:t>m</w:t>
      </w:r>
      <w:r w:rsidRPr="00A66FA9">
        <w:rPr>
          <w:szCs w:val="24"/>
        </w:rPr>
        <w:t>edieval period (</w:t>
      </w:r>
      <w:proofErr w:type="spellStart"/>
      <w:r w:rsidRPr="00A66FA9">
        <w:rPr>
          <w:szCs w:val="24"/>
        </w:rPr>
        <w:t>Olalde</w:t>
      </w:r>
      <w:proofErr w:type="spellEnd"/>
      <w:r w:rsidRPr="00A66FA9">
        <w:rPr>
          <w:szCs w:val="24"/>
        </w:rPr>
        <w:t xml:space="preserve"> </w:t>
      </w:r>
      <w:r w:rsidR="002C59CD" w:rsidRPr="00A66FA9">
        <w:rPr>
          <w:i/>
          <w:szCs w:val="24"/>
        </w:rPr>
        <w:t>et al</w:t>
      </w:r>
      <w:r w:rsidRPr="00A66FA9">
        <w:rPr>
          <w:i/>
          <w:szCs w:val="24"/>
        </w:rPr>
        <w:t>.</w:t>
      </w:r>
      <w:r w:rsidRPr="00A66FA9">
        <w:rPr>
          <w:szCs w:val="24"/>
        </w:rPr>
        <w:t xml:space="preserve"> 2019; Patterson </w:t>
      </w:r>
      <w:r w:rsidR="002C59CD" w:rsidRPr="00A66FA9">
        <w:rPr>
          <w:i/>
          <w:szCs w:val="24"/>
        </w:rPr>
        <w:t>et al</w:t>
      </w:r>
      <w:r w:rsidRPr="00A66FA9">
        <w:rPr>
          <w:i/>
          <w:szCs w:val="24"/>
        </w:rPr>
        <w:t>.</w:t>
      </w:r>
      <w:r w:rsidRPr="00A66FA9">
        <w:rPr>
          <w:szCs w:val="24"/>
        </w:rPr>
        <w:t xml:space="preserve"> 2022) where used as comparative data in the population genetic analyses. </w:t>
      </w:r>
    </w:p>
    <w:p w14:paraId="7FE9A68C" w14:textId="77777777" w:rsidR="002C59CD" w:rsidRPr="00A66FA9" w:rsidRDefault="002C59CD" w:rsidP="002C59CD">
      <w:pPr>
        <w:spacing w:after="0" w:line="360" w:lineRule="auto"/>
        <w:jc w:val="left"/>
        <w:rPr>
          <w:szCs w:val="24"/>
        </w:rPr>
      </w:pPr>
    </w:p>
    <w:p w14:paraId="36124205" w14:textId="44B5722B" w:rsidR="00823BB0" w:rsidRPr="00A66FA9" w:rsidRDefault="006E45E1" w:rsidP="002C59CD">
      <w:pPr>
        <w:spacing w:after="0" w:line="360" w:lineRule="auto"/>
        <w:jc w:val="left"/>
        <w:rPr>
          <w:i/>
          <w:iCs/>
          <w:szCs w:val="24"/>
        </w:rPr>
      </w:pPr>
      <w:r w:rsidRPr="00A66FA9">
        <w:rPr>
          <w:i/>
          <w:iCs/>
          <w:szCs w:val="24"/>
        </w:rPr>
        <w:t xml:space="preserve">Principal components analysis </w:t>
      </w:r>
    </w:p>
    <w:p w14:paraId="757B9A3F" w14:textId="6067AB81" w:rsidR="00823BB0" w:rsidRPr="00A66FA9" w:rsidRDefault="006E45E1" w:rsidP="002C59CD">
      <w:pPr>
        <w:spacing w:after="0" w:line="360" w:lineRule="auto"/>
        <w:ind w:left="-15" w:firstLine="0"/>
        <w:jc w:val="left"/>
        <w:rPr>
          <w:szCs w:val="24"/>
        </w:rPr>
      </w:pPr>
      <w:r w:rsidRPr="00A66FA9">
        <w:rPr>
          <w:szCs w:val="24"/>
        </w:rPr>
        <w:lastRenderedPageBreak/>
        <w:t xml:space="preserve">Principal components analysis was performed on modern reference data using the </w:t>
      </w:r>
      <w:proofErr w:type="spellStart"/>
      <w:r w:rsidRPr="00A66FA9">
        <w:rPr>
          <w:szCs w:val="24"/>
        </w:rPr>
        <w:t>smartpca</w:t>
      </w:r>
      <w:proofErr w:type="spellEnd"/>
      <w:r w:rsidRPr="00A66FA9">
        <w:rPr>
          <w:szCs w:val="24"/>
        </w:rPr>
        <w:t xml:space="preserve"> module in EIGENSOFT (v.6.0.1) (Patterson </w:t>
      </w:r>
      <w:r w:rsidR="002C59CD" w:rsidRPr="00A66FA9">
        <w:rPr>
          <w:i/>
          <w:szCs w:val="24"/>
        </w:rPr>
        <w:t>et al</w:t>
      </w:r>
      <w:r w:rsidRPr="00A66FA9">
        <w:rPr>
          <w:i/>
          <w:szCs w:val="24"/>
        </w:rPr>
        <w:t>.</w:t>
      </w:r>
      <w:r w:rsidRPr="00A66FA9">
        <w:rPr>
          <w:szCs w:val="24"/>
        </w:rPr>
        <w:t xml:space="preserve"> 2006). No outlier iterations were performed, and the parameters “</w:t>
      </w:r>
      <w:proofErr w:type="spellStart"/>
      <w:r w:rsidRPr="00A66FA9">
        <w:rPr>
          <w:szCs w:val="24"/>
        </w:rPr>
        <w:t>ldregress</w:t>
      </w:r>
      <w:proofErr w:type="spellEnd"/>
      <w:r w:rsidRPr="00A66FA9">
        <w:rPr>
          <w:szCs w:val="24"/>
        </w:rPr>
        <w:t>: 200” and “</w:t>
      </w:r>
      <w:proofErr w:type="spellStart"/>
      <w:r w:rsidRPr="00A66FA9">
        <w:rPr>
          <w:szCs w:val="24"/>
        </w:rPr>
        <w:t>ldposlimit</w:t>
      </w:r>
      <w:proofErr w:type="spellEnd"/>
      <w:r w:rsidRPr="00A66FA9">
        <w:rPr>
          <w:szCs w:val="24"/>
        </w:rPr>
        <w:t>: 100000” were used to perform LD regression. The results were plotted with R (R Core Team 20</w:t>
      </w:r>
      <w:r w:rsidR="00326D1B" w:rsidRPr="00A66FA9">
        <w:rPr>
          <w:szCs w:val="24"/>
        </w:rPr>
        <w:t>21</w:t>
      </w:r>
      <w:r w:rsidRPr="00A66FA9">
        <w:rPr>
          <w:szCs w:val="24"/>
        </w:rPr>
        <w:t xml:space="preserve">). </w:t>
      </w:r>
    </w:p>
    <w:p w14:paraId="4799D45B" w14:textId="77777777" w:rsidR="002C59CD" w:rsidRPr="00A66FA9" w:rsidRDefault="002C59CD" w:rsidP="002C59CD">
      <w:pPr>
        <w:spacing w:after="0" w:line="360" w:lineRule="auto"/>
        <w:jc w:val="left"/>
        <w:rPr>
          <w:szCs w:val="24"/>
        </w:rPr>
      </w:pPr>
    </w:p>
    <w:p w14:paraId="21D95A53" w14:textId="41A73B46" w:rsidR="00823BB0" w:rsidRPr="00A66FA9" w:rsidRDefault="006E45E1" w:rsidP="002C59CD">
      <w:pPr>
        <w:spacing w:after="0" w:line="360" w:lineRule="auto"/>
        <w:jc w:val="left"/>
        <w:rPr>
          <w:i/>
          <w:iCs/>
          <w:szCs w:val="24"/>
        </w:rPr>
      </w:pPr>
      <w:r w:rsidRPr="00A66FA9">
        <w:rPr>
          <w:i/>
          <w:iCs/>
          <w:szCs w:val="24"/>
        </w:rPr>
        <w:t xml:space="preserve">Admixture estimations </w:t>
      </w:r>
    </w:p>
    <w:p w14:paraId="2A6AEA4F" w14:textId="49611F9A" w:rsidR="00823BB0" w:rsidRPr="00A66FA9" w:rsidRDefault="006E45E1" w:rsidP="002C59CD">
      <w:pPr>
        <w:spacing w:after="0" w:line="360" w:lineRule="auto"/>
        <w:ind w:left="-15" w:firstLine="0"/>
        <w:jc w:val="left"/>
        <w:rPr>
          <w:szCs w:val="24"/>
        </w:rPr>
      </w:pPr>
      <w:r w:rsidRPr="00A66FA9">
        <w:rPr>
          <w:szCs w:val="24"/>
        </w:rPr>
        <w:t xml:space="preserve">Unsupervised ADMIXTURE v.1.3 (Alexander </w:t>
      </w:r>
      <w:r w:rsidR="002C59CD" w:rsidRPr="00A66FA9">
        <w:rPr>
          <w:i/>
          <w:szCs w:val="24"/>
        </w:rPr>
        <w:t>et al</w:t>
      </w:r>
      <w:r w:rsidRPr="00A66FA9">
        <w:rPr>
          <w:i/>
          <w:szCs w:val="24"/>
        </w:rPr>
        <w:t>.</w:t>
      </w:r>
      <w:r w:rsidRPr="00A66FA9">
        <w:rPr>
          <w:szCs w:val="24"/>
        </w:rPr>
        <w:t xml:space="preserve"> 2009) was run on 93 ancient samples and 460 modern individuals from the dataset "1240K+HO" from the AADR (v. 54.1.p1). The dataset was pruned for linkage disequilibrium between markers using Plink v1.90 – </w:t>
      </w:r>
      <w:proofErr w:type="spellStart"/>
      <w:r w:rsidRPr="00A66FA9">
        <w:rPr>
          <w:szCs w:val="24"/>
        </w:rPr>
        <w:t>indep</w:t>
      </w:r>
      <w:proofErr w:type="spellEnd"/>
      <w:r w:rsidRPr="00A66FA9">
        <w:rPr>
          <w:szCs w:val="24"/>
        </w:rPr>
        <w:t xml:space="preserve">-pairwise 200 25 0.4 (Purcell </w:t>
      </w:r>
      <w:r w:rsidR="002C59CD" w:rsidRPr="00A66FA9">
        <w:rPr>
          <w:i/>
          <w:szCs w:val="24"/>
        </w:rPr>
        <w:t>et al</w:t>
      </w:r>
      <w:r w:rsidRPr="00A66FA9">
        <w:rPr>
          <w:i/>
          <w:szCs w:val="24"/>
        </w:rPr>
        <w:t>.</w:t>
      </w:r>
      <w:r w:rsidRPr="00A66FA9">
        <w:rPr>
          <w:szCs w:val="24"/>
        </w:rPr>
        <w:t xml:space="preserve"> 2007). The results were parsed, aligned and plotted with PONG (Behr </w:t>
      </w:r>
      <w:r w:rsidR="002C59CD" w:rsidRPr="00A66FA9">
        <w:rPr>
          <w:i/>
          <w:szCs w:val="24"/>
        </w:rPr>
        <w:t>et al</w:t>
      </w:r>
      <w:r w:rsidRPr="00A66FA9">
        <w:rPr>
          <w:i/>
          <w:szCs w:val="24"/>
        </w:rPr>
        <w:t>.</w:t>
      </w:r>
      <w:r w:rsidRPr="00A66FA9">
        <w:rPr>
          <w:szCs w:val="24"/>
        </w:rPr>
        <w:t xml:space="preserve"> 2016). </w:t>
      </w:r>
    </w:p>
    <w:p w14:paraId="24288AAA" w14:textId="27128A71" w:rsidR="00823BB0" w:rsidRPr="00A66FA9" w:rsidRDefault="006E45E1" w:rsidP="000E0DE9">
      <w:pPr>
        <w:spacing w:after="0" w:line="360" w:lineRule="auto"/>
        <w:ind w:left="0" w:firstLine="0"/>
        <w:jc w:val="left"/>
        <w:rPr>
          <w:b/>
          <w:bCs/>
          <w:szCs w:val="24"/>
        </w:rPr>
      </w:pPr>
      <w:r w:rsidRPr="00A66FA9">
        <w:rPr>
          <w:b/>
          <w:szCs w:val="24"/>
        </w:rPr>
        <w:t xml:space="preserve"> </w:t>
      </w:r>
      <w:r w:rsidRPr="00A66FA9">
        <w:rPr>
          <w:b/>
          <w:bCs/>
          <w:szCs w:val="24"/>
        </w:rPr>
        <w:t xml:space="preserve">References </w:t>
      </w:r>
    </w:p>
    <w:p w14:paraId="33D27938" w14:textId="77777777" w:rsidR="0095724A" w:rsidRPr="00A66FA9" w:rsidRDefault="0095724A" w:rsidP="0095724A">
      <w:pPr>
        <w:spacing w:after="0" w:line="360" w:lineRule="auto"/>
        <w:ind w:left="0" w:firstLine="0"/>
        <w:jc w:val="left"/>
        <w:rPr>
          <w:szCs w:val="24"/>
        </w:rPr>
      </w:pPr>
      <w:r w:rsidRPr="00A66FA9">
        <w:rPr>
          <w:smallCaps/>
          <w:szCs w:val="24"/>
        </w:rPr>
        <w:t>Alexander, D.H., J. Novembre &amp; K. Lange</w:t>
      </w:r>
      <w:r w:rsidRPr="00A66FA9">
        <w:rPr>
          <w:szCs w:val="24"/>
        </w:rPr>
        <w:t xml:space="preserve">. 2009. Fast model-based estimation of ancestry in unrelated individuals. </w:t>
      </w:r>
      <w:r w:rsidRPr="00A66FA9">
        <w:rPr>
          <w:i/>
          <w:szCs w:val="24"/>
        </w:rPr>
        <w:t>Genome Research</w:t>
      </w:r>
      <w:r w:rsidRPr="00A66FA9">
        <w:rPr>
          <w:szCs w:val="24"/>
        </w:rPr>
        <w:t xml:space="preserve"> 19: 1655–64. https://doi.org/10.1101/gr.094052.109</w:t>
      </w:r>
    </w:p>
    <w:p w14:paraId="2C8129AB" w14:textId="77777777" w:rsidR="0095724A" w:rsidRPr="00A66FA9" w:rsidRDefault="0095724A" w:rsidP="0095724A">
      <w:pPr>
        <w:spacing w:after="0" w:line="360" w:lineRule="auto"/>
        <w:ind w:left="0" w:firstLine="0"/>
        <w:jc w:val="left"/>
        <w:rPr>
          <w:szCs w:val="24"/>
        </w:rPr>
      </w:pPr>
      <w:r w:rsidRPr="00A66FA9">
        <w:rPr>
          <w:smallCaps/>
          <w:szCs w:val="24"/>
        </w:rPr>
        <w:t xml:space="preserve">Ambrose, S.H. &amp; L. </w:t>
      </w:r>
      <w:proofErr w:type="spellStart"/>
      <w:r w:rsidRPr="00A66FA9">
        <w:rPr>
          <w:smallCaps/>
          <w:szCs w:val="24"/>
        </w:rPr>
        <w:t>Norr</w:t>
      </w:r>
      <w:proofErr w:type="spellEnd"/>
      <w:r w:rsidRPr="00A66FA9">
        <w:rPr>
          <w:szCs w:val="24"/>
        </w:rPr>
        <w:t xml:space="preserve">. 1993. Experimental evidence for the relationship of the carbon isotope ratios of whole diet and dietary protein to those of bone collagen and carbonate, in J.B. Lambert &amp; G. </w:t>
      </w:r>
      <w:proofErr w:type="spellStart"/>
      <w:r w:rsidRPr="00A66FA9">
        <w:rPr>
          <w:szCs w:val="24"/>
        </w:rPr>
        <w:t>Grupe</w:t>
      </w:r>
      <w:proofErr w:type="spellEnd"/>
      <w:r w:rsidRPr="00A66FA9">
        <w:rPr>
          <w:szCs w:val="24"/>
        </w:rPr>
        <w:t xml:space="preserve"> (ed.) </w:t>
      </w:r>
      <w:r w:rsidRPr="00A66FA9">
        <w:rPr>
          <w:i/>
          <w:szCs w:val="24"/>
        </w:rPr>
        <w:t>Prehistoric human bone</w:t>
      </w:r>
      <w:r w:rsidRPr="00A66FA9">
        <w:rPr>
          <w:szCs w:val="24"/>
        </w:rPr>
        <w:t xml:space="preserve">: 1–37. Berlin: Springer. </w:t>
      </w:r>
    </w:p>
    <w:p w14:paraId="7228542B" w14:textId="77777777" w:rsidR="0095724A" w:rsidRPr="00A66FA9" w:rsidRDefault="0095724A" w:rsidP="0095724A">
      <w:pPr>
        <w:spacing w:after="0" w:line="360" w:lineRule="auto"/>
        <w:ind w:left="0" w:firstLine="0"/>
        <w:jc w:val="left"/>
        <w:rPr>
          <w:szCs w:val="24"/>
        </w:rPr>
      </w:pPr>
      <w:r w:rsidRPr="00A66FA9">
        <w:rPr>
          <w:smallCaps/>
          <w:szCs w:val="24"/>
        </w:rPr>
        <w:t xml:space="preserve">Behr, A.A., K.Z. Liu, G. Liu-Fang, P. </w:t>
      </w:r>
      <w:proofErr w:type="spellStart"/>
      <w:r w:rsidRPr="00A66FA9">
        <w:rPr>
          <w:smallCaps/>
          <w:szCs w:val="24"/>
        </w:rPr>
        <w:t>Nakka</w:t>
      </w:r>
      <w:proofErr w:type="spellEnd"/>
      <w:r w:rsidRPr="00A66FA9">
        <w:rPr>
          <w:smallCaps/>
          <w:szCs w:val="24"/>
        </w:rPr>
        <w:t xml:space="preserve"> &amp; S. Ramachandran</w:t>
      </w:r>
      <w:r w:rsidRPr="00A66FA9">
        <w:rPr>
          <w:szCs w:val="24"/>
        </w:rPr>
        <w:t xml:space="preserve">. 2016. pong: fast analysis and visualization of latent clusters in population genetic data. </w:t>
      </w:r>
      <w:r w:rsidRPr="00A66FA9">
        <w:rPr>
          <w:i/>
          <w:szCs w:val="24"/>
        </w:rPr>
        <w:t>Bioinformatics</w:t>
      </w:r>
      <w:r w:rsidRPr="00A66FA9">
        <w:rPr>
          <w:szCs w:val="24"/>
        </w:rPr>
        <w:t xml:space="preserve"> 32: 2817–23. https://doi.org/10.1093/bioinformatics/btw327</w:t>
      </w:r>
    </w:p>
    <w:p w14:paraId="1031E7AA" w14:textId="05DF42AF" w:rsidR="0095724A" w:rsidRPr="00A66FA9" w:rsidRDefault="0095724A" w:rsidP="0095724A">
      <w:pPr>
        <w:spacing w:after="0" w:line="360" w:lineRule="auto"/>
        <w:ind w:left="0" w:firstLine="0"/>
        <w:jc w:val="left"/>
        <w:rPr>
          <w:szCs w:val="24"/>
        </w:rPr>
      </w:pPr>
      <w:r w:rsidRPr="00A66FA9">
        <w:rPr>
          <w:smallCaps/>
          <w:szCs w:val="24"/>
        </w:rPr>
        <w:t>Brock, F., T. Higham &amp; C.</w:t>
      </w:r>
      <w:r w:rsidR="00E573AA" w:rsidRPr="00A66FA9">
        <w:rPr>
          <w:smallCaps/>
          <w:szCs w:val="24"/>
        </w:rPr>
        <w:t xml:space="preserve"> </w:t>
      </w:r>
      <w:proofErr w:type="spellStart"/>
      <w:r w:rsidRPr="00A66FA9">
        <w:rPr>
          <w:smallCaps/>
          <w:szCs w:val="24"/>
        </w:rPr>
        <w:t>B</w:t>
      </w:r>
      <w:r w:rsidR="00E573AA" w:rsidRPr="00A66FA9">
        <w:rPr>
          <w:smallCaps/>
          <w:szCs w:val="24"/>
        </w:rPr>
        <w:t>ronk</w:t>
      </w:r>
      <w:proofErr w:type="spellEnd"/>
      <w:r w:rsidRPr="00A66FA9">
        <w:rPr>
          <w:smallCaps/>
          <w:szCs w:val="24"/>
        </w:rPr>
        <w:t xml:space="preserve"> Ramsey.</w:t>
      </w:r>
      <w:r w:rsidRPr="00A66FA9">
        <w:rPr>
          <w:szCs w:val="24"/>
        </w:rPr>
        <w:t xml:space="preserve"> 2010. Pre-screening techniques for identification of samples suitable for radiocarbon dating of poorly preserved bones. </w:t>
      </w:r>
      <w:r w:rsidRPr="00A66FA9">
        <w:rPr>
          <w:i/>
          <w:szCs w:val="24"/>
        </w:rPr>
        <w:t>Journal of Archaeological Science</w:t>
      </w:r>
      <w:r w:rsidRPr="00A66FA9">
        <w:rPr>
          <w:szCs w:val="24"/>
        </w:rPr>
        <w:t xml:space="preserve"> 37: 855–65. https://doi.org/10.1016/j.jas.2009.11.015 </w:t>
      </w:r>
    </w:p>
    <w:p w14:paraId="659129EA" w14:textId="114DF401" w:rsidR="0095724A" w:rsidRPr="00A66FA9" w:rsidRDefault="0095724A" w:rsidP="0095724A">
      <w:pPr>
        <w:spacing w:after="0" w:line="360" w:lineRule="auto"/>
        <w:ind w:left="0" w:firstLine="0"/>
        <w:jc w:val="left"/>
        <w:rPr>
          <w:szCs w:val="24"/>
        </w:rPr>
      </w:pPr>
      <w:r w:rsidRPr="00A66FA9">
        <w:rPr>
          <w:smallCaps/>
          <w:szCs w:val="24"/>
        </w:rPr>
        <w:t xml:space="preserve">Brock, F., V. Geoghegan, B. Thomas, K. </w:t>
      </w:r>
      <w:proofErr w:type="spellStart"/>
      <w:r w:rsidRPr="00A66FA9">
        <w:rPr>
          <w:smallCaps/>
          <w:szCs w:val="24"/>
        </w:rPr>
        <w:t>Jurkschat</w:t>
      </w:r>
      <w:proofErr w:type="spellEnd"/>
      <w:r w:rsidRPr="00A66FA9">
        <w:rPr>
          <w:smallCaps/>
          <w:szCs w:val="24"/>
        </w:rPr>
        <w:t xml:space="preserve"> &amp; T.F.G. Higham</w:t>
      </w:r>
      <w:r w:rsidRPr="00A66FA9">
        <w:rPr>
          <w:szCs w:val="24"/>
        </w:rPr>
        <w:t xml:space="preserve">. 2013. Analysis of bone “collagen” extraction products for radiocarbon dating. </w:t>
      </w:r>
      <w:r w:rsidRPr="00A66FA9">
        <w:rPr>
          <w:i/>
          <w:szCs w:val="24"/>
        </w:rPr>
        <w:t>Radiocarbon</w:t>
      </w:r>
      <w:r w:rsidRPr="00A66FA9">
        <w:rPr>
          <w:szCs w:val="24"/>
        </w:rPr>
        <w:t xml:space="preserve"> 55: 445–63. </w:t>
      </w:r>
      <w:r w:rsidR="00E573AA" w:rsidRPr="00A66FA9">
        <w:rPr>
          <w:szCs w:val="24"/>
        </w:rPr>
        <w:t>https://doi.org/10.1017/S0033822200057581</w:t>
      </w:r>
    </w:p>
    <w:p w14:paraId="12FC4C5C" w14:textId="77777777" w:rsidR="00E573AA" w:rsidRPr="00A66FA9" w:rsidRDefault="00E573AA" w:rsidP="00E573AA">
      <w:pPr>
        <w:spacing w:after="0" w:line="360" w:lineRule="auto"/>
        <w:ind w:left="0" w:firstLine="0"/>
        <w:jc w:val="left"/>
        <w:rPr>
          <w:szCs w:val="24"/>
        </w:rPr>
      </w:pPr>
      <w:proofErr w:type="spellStart"/>
      <w:r w:rsidRPr="00A66FA9">
        <w:rPr>
          <w:smallCaps/>
          <w:szCs w:val="24"/>
        </w:rPr>
        <w:t>Bronk</w:t>
      </w:r>
      <w:proofErr w:type="spellEnd"/>
      <w:r w:rsidRPr="00A66FA9">
        <w:rPr>
          <w:smallCaps/>
          <w:szCs w:val="24"/>
        </w:rPr>
        <w:t xml:space="preserve"> Ramsey, C.</w:t>
      </w:r>
      <w:r w:rsidRPr="00A66FA9">
        <w:rPr>
          <w:szCs w:val="24"/>
        </w:rPr>
        <w:t xml:space="preserve"> 2017. Methods for summarizing radiocarbon datasets. </w:t>
      </w:r>
      <w:r w:rsidRPr="00A66FA9">
        <w:rPr>
          <w:i/>
          <w:szCs w:val="24"/>
        </w:rPr>
        <w:t>Radiocarbon</w:t>
      </w:r>
      <w:r w:rsidRPr="00A66FA9">
        <w:rPr>
          <w:szCs w:val="24"/>
        </w:rPr>
        <w:t xml:space="preserve"> 59: 1809–33. https://doi.org/10.1017/RDC.2017.108</w:t>
      </w:r>
    </w:p>
    <w:p w14:paraId="740A1D64" w14:textId="77777777" w:rsidR="00E573AA" w:rsidRPr="00672284" w:rsidRDefault="00E573AA" w:rsidP="00E573AA">
      <w:pPr>
        <w:spacing w:after="0" w:line="360" w:lineRule="auto"/>
        <w:ind w:left="0" w:firstLine="0"/>
        <w:jc w:val="left"/>
        <w:rPr>
          <w:szCs w:val="24"/>
        </w:rPr>
      </w:pPr>
      <w:proofErr w:type="spellStart"/>
      <w:r w:rsidRPr="00A66FA9">
        <w:rPr>
          <w:smallCaps/>
          <w:szCs w:val="24"/>
        </w:rPr>
        <w:t>Bronk</w:t>
      </w:r>
      <w:proofErr w:type="spellEnd"/>
      <w:r w:rsidRPr="00A66FA9">
        <w:rPr>
          <w:smallCaps/>
          <w:szCs w:val="24"/>
        </w:rPr>
        <w:t xml:space="preserve"> Ramsey, C., T. Higham &amp; P. Leach</w:t>
      </w:r>
      <w:r w:rsidRPr="00A66FA9">
        <w:rPr>
          <w:szCs w:val="24"/>
        </w:rPr>
        <w:t xml:space="preserve">. 2004. Towards high-precision AMS: progress and limitations. </w:t>
      </w:r>
      <w:r w:rsidRPr="00672284">
        <w:rPr>
          <w:i/>
          <w:szCs w:val="24"/>
        </w:rPr>
        <w:t>Radiocarbon</w:t>
      </w:r>
      <w:r w:rsidRPr="00672284">
        <w:rPr>
          <w:iCs/>
          <w:szCs w:val="24"/>
        </w:rPr>
        <w:t xml:space="preserve"> 46: 17–24</w:t>
      </w:r>
      <w:r w:rsidRPr="00672284">
        <w:rPr>
          <w:szCs w:val="24"/>
        </w:rPr>
        <w:t xml:space="preserve">. https://doi.org/10.1017/S0033822200039308 </w:t>
      </w:r>
    </w:p>
    <w:p w14:paraId="43167978" w14:textId="77777777" w:rsidR="00E573AA" w:rsidRPr="00A66FA9" w:rsidRDefault="00E573AA" w:rsidP="00E573AA">
      <w:pPr>
        <w:spacing w:after="0" w:line="360" w:lineRule="auto"/>
        <w:ind w:left="0" w:firstLine="0"/>
        <w:jc w:val="left"/>
        <w:rPr>
          <w:szCs w:val="24"/>
        </w:rPr>
      </w:pPr>
      <w:r w:rsidRPr="00672284">
        <w:rPr>
          <w:smallCaps/>
          <w:szCs w:val="24"/>
        </w:rPr>
        <w:t>Rasmussen, K.L</w:t>
      </w:r>
      <w:r w:rsidRPr="00672284">
        <w:rPr>
          <w:szCs w:val="24"/>
        </w:rPr>
        <w:t xml:space="preserve">. </w:t>
      </w:r>
      <w:r w:rsidRPr="00672284">
        <w:rPr>
          <w:i/>
          <w:szCs w:val="24"/>
        </w:rPr>
        <w:t>et al</w:t>
      </w:r>
      <w:r w:rsidRPr="00672284">
        <w:rPr>
          <w:szCs w:val="24"/>
        </w:rPr>
        <w:t xml:space="preserve">. 2021. </w:t>
      </w:r>
      <w:r w:rsidRPr="00A66FA9">
        <w:rPr>
          <w:szCs w:val="24"/>
        </w:rPr>
        <w:t xml:space="preserve">Investigations of the relics and altar materials relating to the apostles St James and St Philip at the Basilica </w:t>
      </w:r>
      <w:proofErr w:type="spellStart"/>
      <w:r w:rsidRPr="00A66FA9">
        <w:rPr>
          <w:szCs w:val="24"/>
        </w:rPr>
        <w:t>dei</w:t>
      </w:r>
      <w:proofErr w:type="spellEnd"/>
      <w:r w:rsidRPr="00A66FA9">
        <w:rPr>
          <w:szCs w:val="24"/>
        </w:rPr>
        <w:t xml:space="preserve"> Santi XII Apostoli in Rome. </w:t>
      </w:r>
      <w:r w:rsidRPr="00A66FA9">
        <w:rPr>
          <w:i/>
          <w:szCs w:val="24"/>
        </w:rPr>
        <w:t xml:space="preserve">Heritage Science </w:t>
      </w:r>
      <w:r w:rsidRPr="00A66FA9">
        <w:rPr>
          <w:iCs/>
          <w:szCs w:val="24"/>
        </w:rPr>
        <w:t>9</w:t>
      </w:r>
      <w:r w:rsidRPr="00A66FA9">
        <w:rPr>
          <w:szCs w:val="24"/>
        </w:rPr>
        <w:t xml:space="preserve">. https://doi.org/10.1186/s40494-021-00481-9 </w:t>
      </w:r>
    </w:p>
    <w:p w14:paraId="0D01E8F4" w14:textId="77777777" w:rsidR="0095724A" w:rsidRPr="00A66FA9" w:rsidRDefault="0095724A" w:rsidP="0095724A">
      <w:pPr>
        <w:spacing w:after="0" w:line="360" w:lineRule="auto"/>
        <w:ind w:left="0" w:firstLine="0"/>
        <w:jc w:val="left"/>
        <w:rPr>
          <w:szCs w:val="24"/>
        </w:rPr>
      </w:pPr>
      <w:r w:rsidRPr="00A66FA9">
        <w:rPr>
          <w:smallCaps/>
          <w:szCs w:val="24"/>
        </w:rPr>
        <w:lastRenderedPageBreak/>
        <w:t xml:space="preserve">Brown, T.A., D.E. Nelson, J.S. Vogel &amp; J.R. </w:t>
      </w:r>
      <w:proofErr w:type="spellStart"/>
      <w:r w:rsidRPr="00A66FA9">
        <w:rPr>
          <w:smallCaps/>
          <w:szCs w:val="24"/>
        </w:rPr>
        <w:t>Southon</w:t>
      </w:r>
      <w:proofErr w:type="spellEnd"/>
      <w:r w:rsidRPr="00A66FA9">
        <w:rPr>
          <w:szCs w:val="24"/>
        </w:rPr>
        <w:t xml:space="preserve">. 1988. Improved collagen extraction by modified </w:t>
      </w:r>
      <w:proofErr w:type="spellStart"/>
      <w:r w:rsidRPr="00A66FA9">
        <w:rPr>
          <w:szCs w:val="24"/>
        </w:rPr>
        <w:t>Longin</w:t>
      </w:r>
      <w:proofErr w:type="spellEnd"/>
      <w:r w:rsidRPr="00A66FA9">
        <w:rPr>
          <w:szCs w:val="24"/>
        </w:rPr>
        <w:t xml:space="preserve"> method. </w:t>
      </w:r>
      <w:r w:rsidRPr="00A66FA9">
        <w:rPr>
          <w:i/>
          <w:szCs w:val="24"/>
        </w:rPr>
        <w:t>Radiocarbon</w:t>
      </w:r>
      <w:r w:rsidRPr="00A66FA9">
        <w:rPr>
          <w:szCs w:val="24"/>
        </w:rPr>
        <w:t xml:space="preserve"> 30: 171–77. https://doi.org/10.1017/S0033822200044118</w:t>
      </w:r>
    </w:p>
    <w:p w14:paraId="1D527E2F" w14:textId="77777777" w:rsidR="0095724A" w:rsidRPr="00A66FA9" w:rsidRDefault="0095724A" w:rsidP="0095724A">
      <w:pPr>
        <w:spacing w:after="0" w:line="360" w:lineRule="auto"/>
        <w:ind w:left="0" w:firstLine="0"/>
        <w:jc w:val="left"/>
        <w:rPr>
          <w:szCs w:val="24"/>
        </w:rPr>
      </w:pPr>
      <w:r w:rsidRPr="00A66FA9">
        <w:rPr>
          <w:smallCaps/>
          <w:szCs w:val="24"/>
        </w:rPr>
        <w:t>Dabney, J.</w:t>
      </w:r>
      <w:r w:rsidRPr="00A66FA9">
        <w:rPr>
          <w:szCs w:val="24"/>
        </w:rPr>
        <w:t xml:space="preserve"> </w:t>
      </w:r>
      <w:r w:rsidRPr="00A66FA9">
        <w:rPr>
          <w:i/>
          <w:szCs w:val="24"/>
        </w:rPr>
        <w:t>et al</w:t>
      </w:r>
      <w:r w:rsidRPr="00A66FA9">
        <w:rPr>
          <w:szCs w:val="24"/>
        </w:rPr>
        <w:t xml:space="preserve">. 2013. Complete mitochondrial genome sequence of a Middle Pleistocene cave bear reconstructed from ultrashort DNA fragments. </w:t>
      </w:r>
      <w:r w:rsidRPr="00A66FA9">
        <w:rPr>
          <w:i/>
          <w:szCs w:val="24"/>
        </w:rPr>
        <w:t>Proceedings of the National Academy of Sciences</w:t>
      </w:r>
      <w:r w:rsidRPr="00A66FA9">
        <w:rPr>
          <w:szCs w:val="24"/>
        </w:rPr>
        <w:t xml:space="preserve"> 110: 15758–63. https://doi.org/10.1073/pnas.1314445110 </w:t>
      </w:r>
    </w:p>
    <w:p w14:paraId="00BF84A1" w14:textId="77777777" w:rsidR="0095724A" w:rsidRPr="00A66FA9" w:rsidRDefault="0095724A" w:rsidP="0095724A">
      <w:pPr>
        <w:spacing w:after="0" w:line="360" w:lineRule="auto"/>
        <w:ind w:left="0" w:firstLine="0"/>
        <w:jc w:val="left"/>
        <w:rPr>
          <w:szCs w:val="24"/>
        </w:rPr>
      </w:pPr>
      <w:proofErr w:type="spellStart"/>
      <w:r w:rsidRPr="00A66FA9">
        <w:rPr>
          <w:smallCaps/>
          <w:szCs w:val="24"/>
        </w:rPr>
        <w:t>Deniro</w:t>
      </w:r>
      <w:proofErr w:type="spellEnd"/>
      <w:r w:rsidRPr="00A66FA9">
        <w:rPr>
          <w:smallCaps/>
          <w:szCs w:val="24"/>
        </w:rPr>
        <w:t>, M.J.</w:t>
      </w:r>
      <w:r w:rsidRPr="00A66FA9">
        <w:rPr>
          <w:szCs w:val="24"/>
        </w:rPr>
        <w:t xml:space="preserve"> 1987. Stable isotopy and archaeology. </w:t>
      </w:r>
      <w:r w:rsidRPr="00A66FA9">
        <w:rPr>
          <w:i/>
          <w:szCs w:val="24"/>
        </w:rPr>
        <w:t>American Scientist</w:t>
      </w:r>
      <w:r w:rsidRPr="00A66FA9">
        <w:rPr>
          <w:szCs w:val="24"/>
        </w:rPr>
        <w:t xml:space="preserve"> 75:182–91. </w:t>
      </w:r>
    </w:p>
    <w:p w14:paraId="4E4FC6C4" w14:textId="77777777" w:rsidR="0095724A" w:rsidRPr="00672284" w:rsidRDefault="0095724A" w:rsidP="0095724A">
      <w:pPr>
        <w:spacing w:after="0" w:line="360" w:lineRule="auto"/>
        <w:ind w:left="0" w:firstLine="0"/>
        <w:jc w:val="left"/>
        <w:rPr>
          <w:szCs w:val="24"/>
        </w:rPr>
      </w:pPr>
      <w:proofErr w:type="spellStart"/>
      <w:r w:rsidRPr="00A66FA9">
        <w:rPr>
          <w:smallCaps/>
          <w:szCs w:val="24"/>
        </w:rPr>
        <w:t>Deniro</w:t>
      </w:r>
      <w:proofErr w:type="spellEnd"/>
      <w:r w:rsidRPr="00A66FA9">
        <w:rPr>
          <w:smallCaps/>
          <w:szCs w:val="24"/>
        </w:rPr>
        <w:t>, M.J. &amp; S. Epstein</w:t>
      </w:r>
      <w:r w:rsidRPr="00A66FA9">
        <w:rPr>
          <w:szCs w:val="24"/>
        </w:rPr>
        <w:t xml:space="preserve">. 1981. Influence of diet on the distribution of nitrogen isotopes in animals. </w:t>
      </w:r>
      <w:proofErr w:type="spellStart"/>
      <w:r w:rsidRPr="00672284">
        <w:rPr>
          <w:i/>
          <w:szCs w:val="24"/>
        </w:rPr>
        <w:t>Geochimica</w:t>
      </w:r>
      <w:proofErr w:type="spellEnd"/>
      <w:r w:rsidRPr="00672284">
        <w:rPr>
          <w:i/>
          <w:szCs w:val="24"/>
        </w:rPr>
        <w:t xml:space="preserve"> et </w:t>
      </w:r>
      <w:proofErr w:type="spellStart"/>
      <w:r w:rsidRPr="00672284">
        <w:rPr>
          <w:i/>
          <w:szCs w:val="24"/>
        </w:rPr>
        <w:t>Cosmochimica</w:t>
      </w:r>
      <w:proofErr w:type="spellEnd"/>
      <w:r w:rsidRPr="00672284">
        <w:rPr>
          <w:i/>
          <w:szCs w:val="24"/>
        </w:rPr>
        <w:t xml:space="preserve"> Acta</w:t>
      </w:r>
      <w:r w:rsidRPr="00672284">
        <w:rPr>
          <w:szCs w:val="24"/>
        </w:rPr>
        <w:t xml:space="preserve"> 45: 341–51. https://doi.org/10.1016/0016-7037(81)90244-1</w:t>
      </w:r>
    </w:p>
    <w:p w14:paraId="65892279" w14:textId="77777777" w:rsidR="0095724A" w:rsidRPr="00A66FA9" w:rsidRDefault="0095724A" w:rsidP="0095724A">
      <w:pPr>
        <w:spacing w:after="0" w:line="360" w:lineRule="auto"/>
        <w:ind w:left="0" w:firstLine="0"/>
        <w:jc w:val="left"/>
        <w:rPr>
          <w:szCs w:val="24"/>
        </w:rPr>
      </w:pPr>
      <w:r w:rsidRPr="00672284">
        <w:rPr>
          <w:smallCaps/>
          <w:szCs w:val="24"/>
        </w:rPr>
        <w:t xml:space="preserve">Dufour, E., H. </w:t>
      </w:r>
      <w:proofErr w:type="spellStart"/>
      <w:r w:rsidRPr="00672284">
        <w:rPr>
          <w:smallCaps/>
          <w:szCs w:val="24"/>
        </w:rPr>
        <w:t>Bocherens</w:t>
      </w:r>
      <w:proofErr w:type="spellEnd"/>
      <w:r w:rsidRPr="00672284">
        <w:rPr>
          <w:smallCaps/>
          <w:szCs w:val="24"/>
        </w:rPr>
        <w:t xml:space="preserve"> &amp; A. </w:t>
      </w:r>
      <w:proofErr w:type="spellStart"/>
      <w:r w:rsidRPr="00672284">
        <w:rPr>
          <w:smallCaps/>
          <w:szCs w:val="24"/>
        </w:rPr>
        <w:t>Mariotti</w:t>
      </w:r>
      <w:proofErr w:type="spellEnd"/>
      <w:r w:rsidRPr="00672284">
        <w:rPr>
          <w:szCs w:val="24"/>
        </w:rPr>
        <w:t xml:space="preserve">. </w:t>
      </w:r>
      <w:r w:rsidRPr="00A66FA9">
        <w:rPr>
          <w:szCs w:val="24"/>
        </w:rPr>
        <w:t xml:space="preserve">1999. Palaeodietary implications of isotopic variability in Eurasian lacustrine fish. </w:t>
      </w:r>
      <w:r w:rsidRPr="00A66FA9">
        <w:rPr>
          <w:i/>
          <w:szCs w:val="24"/>
        </w:rPr>
        <w:t>Journal of Archaeological Science</w:t>
      </w:r>
      <w:r w:rsidRPr="00A66FA9">
        <w:rPr>
          <w:szCs w:val="24"/>
        </w:rPr>
        <w:t xml:space="preserve"> 26: 617–27. https://doi.org/10.1006/jasc.1998.0379</w:t>
      </w:r>
    </w:p>
    <w:p w14:paraId="58FC5605" w14:textId="77777777" w:rsidR="0095724A" w:rsidRPr="00A66FA9" w:rsidRDefault="0095724A" w:rsidP="0095724A">
      <w:pPr>
        <w:spacing w:after="0" w:line="360" w:lineRule="auto"/>
        <w:ind w:left="0" w:firstLine="0"/>
        <w:jc w:val="left"/>
        <w:rPr>
          <w:szCs w:val="24"/>
        </w:rPr>
      </w:pPr>
      <w:r w:rsidRPr="00A66FA9">
        <w:rPr>
          <w:smallCaps/>
          <w:szCs w:val="24"/>
        </w:rPr>
        <w:t>Green, R.E.</w:t>
      </w:r>
      <w:r w:rsidRPr="00A66FA9">
        <w:rPr>
          <w:szCs w:val="24"/>
        </w:rPr>
        <w:t xml:space="preserve"> </w:t>
      </w:r>
      <w:r w:rsidRPr="00A66FA9">
        <w:rPr>
          <w:i/>
          <w:szCs w:val="24"/>
        </w:rPr>
        <w:t>et al</w:t>
      </w:r>
      <w:r w:rsidRPr="00A66FA9">
        <w:rPr>
          <w:szCs w:val="24"/>
        </w:rPr>
        <w:t xml:space="preserve">. 2008. A complete Neandertal mitochondrial genome sequence determined by high-throughput sequencing. </w:t>
      </w:r>
      <w:r w:rsidRPr="00A66FA9">
        <w:rPr>
          <w:i/>
          <w:szCs w:val="24"/>
        </w:rPr>
        <w:t>Cell</w:t>
      </w:r>
      <w:r w:rsidRPr="00A66FA9">
        <w:rPr>
          <w:szCs w:val="24"/>
        </w:rPr>
        <w:t xml:space="preserve"> 134: 416–26. https://doi.org/10.1016/j.cell.2008.06.021</w:t>
      </w:r>
    </w:p>
    <w:p w14:paraId="637CE464" w14:textId="52F714BC" w:rsidR="0095724A" w:rsidRPr="00A66FA9" w:rsidRDefault="0095724A" w:rsidP="0095724A">
      <w:pPr>
        <w:spacing w:after="0" w:line="360" w:lineRule="auto"/>
        <w:ind w:left="0" w:firstLine="0"/>
        <w:jc w:val="left"/>
        <w:rPr>
          <w:szCs w:val="24"/>
        </w:rPr>
      </w:pPr>
      <w:r w:rsidRPr="00A66FA9">
        <w:rPr>
          <w:smallCaps/>
          <w:szCs w:val="24"/>
        </w:rPr>
        <w:t>Higham, T., C.</w:t>
      </w:r>
      <w:r w:rsidR="00E573AA" w:rsidRPr="00A66FA9">
        <w:rPr>
          <w:smallCaps/>
          <w:szCs w:val="24"/>
        </w:rPr>
        <w:t xml:space="preserve"> </w:t>
      </w:r>
      <w:proofErr w:type="spellStart"/>
      <w:r w:rsidRPr="00A66FA9">
        <w:rPr>
          <w:smallCaps/>
          <w:szCs w:val="24"/>
        </w:rPr>
        <w:t>B</w:t>
      </w:r>
      <w:r w:rsidR="00E573AA" w:rsidRPr="00A66FA9">
        <w:rPr>
          <w:smallCaps/>
          <w:szCs w:val="24"/>
        </w:rPr>
        <w:t>ronk</w:t>
      </w:r>
      <w:proofErr w:type="spellEnd"/>
      <w:r w:rsidRPr="00A66FA9">
        <w:rPr>
          <w:smallCaps/>
          <w:szCs w:val="24"/>
        </w:rPr>
        <w:t xml:space="preserve"> Ramsey, I. </w:t>
      </w:r>
      <w:proofErr w:type="spellStart"/>
      <w:r w:rsidRPr="00A66FA9">
        <w:rPr>
          <w:smallCaps/>
          <w:szCs w:val="24"/>
        </w:rPr>
        <w:t>Karavanić</w:t>
      </w:r>
      <w:proofErr w:type="spellEnd"/>
      <w:r w:rsidRPr="00A66FA9">
        <w:rPr>
          <w:smallCaps/>
          <w:szCs w:val="24"/>
        </w:rPr>
        <w:t xml:space="preserve">, F.H. Smith &amp; E. </w:t>
      </w:r>
      <w:proofErr w:type="spellStart"/>
      <w:r w:rsidRPr="00A66FA9">
        <w:rPr>
          <w:smallCaps/>
          <w:szCs w:val="24"/>
        </w:rPr>
        <w:t>Trinkaus</w:t>
      </w:r>
      <w:proofErr w:type="spellEnd"/>
      <w:r w:rsidRPr="00A66FA9">
        <w:rPr>
          <w:szCs w:val="24"/>
        </w:rPr>
        <w:t xml:space="preserve">. 2006. Revised direct radiocarbon dating of the </w:t>
      </w:r>
      <w:proofErr w:type="spellStart"/>
      <w:r w:rsidRPr="00A66FA9">
        <w:rPr>
          <w:szCs w:val="24"/>
        </w:rPr>
        <w:t>Vindija</w:t>
      </w:r>
      <w:proofErr w:type="spellEnd"/>
      <w:r w:rsidRPr="00A66FA9">
        <w:rPr>
          <w:szCs w:val="24"/>
        </w:rPr>
        <w:t xml:space="preserve"> G</w:t>
      </w:r>
      <w:r w:rsidRPr="00A66FA9">
        <w:rPr>
          <w:szCs w:val="24"/>
          <w:vertAlign w:val="subscript"/>
        </w:rPr>
        <w:t>1</w:t>
      </w:r>
      <w:r w:rsidRPr="00A66FA9">
        <w:rPr>
          <w:szCs w:val="24"/>
        </w:rPr>
        <w:t xml:space="preserve"> Upper </w:t>
      </w:r>
      <w:proofErr w:type="spellStart"/>
      <w:r w:rsidRPr="00A66FA9">
        <w:rPr>
          <w:szCs w:val="24"/>
        </w:rPr>
        <w:t>Paleolithic</w:t>
      </w:r>
      <w:proofErr w:type="spellEnd"/>
      <w:r w:rsidRPr="00A66FA9">
        <w:rPr>
          <w:szCs w:val="24"/>
        </w:rPr>
        <w:t xml:space="preserve"> Neandertals. </w:t>
      </w:r>
      <w:r w:rsidRPr="00A66FA9">
        <w:rPr>
          <w:i/>
          <w:szCs w:val="24"/>
        </w:rPr>
        <w:t>Proceedings of the National Academy of Sciences</w:t>
      </w:r>
      <w:r w:rsidRPr="00A66FA9">
        <w:rPr>
          <w:iCs/>
          <w:szCs w:val="24"/>
        </w:rPr>
        <w:t xml:space="preserve"> 103: 553–7.</w:t>
      </w:r>
      <w:r w:rsidRPr="00A66FA9">
        <w:rPr>
          <w:i/>
          <w:szCs w:val="24"/>
        </w:rPr>
        <w:t xml:space="preserve"> </w:t>
      </w:r>
      <w:r w:rsidRPr="00A66FA9">
        <w:rPr>
          <w:szCs w:val="24"/>
        </w:rPr>
        <w:t xml:space="preserve">https://doi.org/10.1073/pnas.0510005103 </w:t>
      </w:r>
    </w:p>
    <w:p w14:paraId="4952C3B8" w14:textId="77777777" w:rsidR="0095724A" w:rsidRPr="00A66FA9" w:rsidRDefault="0095724A" w:rsidP="0095724A">
      <w:pPr>
        <w:spacing w:after="0" w:line="360" w:lineRule="auto"/>
        <w:ind w:left="0" w:firstLine="0"/>
        <w:jc w:val="left"/>
        <w:rPr>
          <w:szCs w:val="24"/>
        </w:rPr>
      </w:pPr>
      <w:r w:rsidRPr="00672284">
        <w:rPr>
          <w:smallCaps/>
          <w:szCs w:val="24"/>
        </w:rPr>
        <w:t xml:space="preserve">Jacob, E., D. </w:t>
      </w:r>
      <w:proofErr w:type="spellStart"/>
      <w:r w:rsidRPr="00672284">
        <w:rPr>
          <w:smallCaps/>
          <w:szCs w:val="24"/>
        </w:rPr>
        <w:t>Querci</w:t>
      </w:r>
      <w:proofErr w:type="spellEnd"/>
      <w:r w:rsidRPr="00672284">
        <w:rPr>
          <w:smallCaps/>
          <w:szCs w:val="24"/>
        </w:rPr>
        <w:t xml:space="preserve">, M. </w:t>
      </w:r>
      <w:proofErr w:type="spellStart"/>
      <w:r w:rsidRPr="00672284">
        <w:rPr>
          <w:smallCaps/>
          <w:szCs w:val="24"/>
        </w:rPr>
        <w:t>Caparros</w:t>
      </w:r>
      <w:proofErr w:type="spellEnd"/>
      <w:r w:rsidRPr="00672284">
        <w:rPr>
          <w:smallCaps/>
          <w:szCs w:val="24"/>
        </w:rPr>
        <w:t xml:space="preserve">, C. Barroso Ruiz, T. Higham &amp; T. </w:t>
      </w:r>
      <w:proofErr w:type="spellStart"/>
      <w:r w:rsidRPr="00672284">
        <w:rPr>
          <w:smallCaps/>
          <w:szCs w:val="24"/>
        </w:rPr>
        <w:t>Devièse</w:t>
      </w:r>
      <w:proofErr w:type="spellEnd"/>
      <w:r w:rsidRPr="00672284">
        <w:rPr>
          <w:szCs w:val="24"/>
        </w:rPr>
        <w:t xml:space="preserve">. </w:t>
      </w:r>
      <w:r w:rsidRPr="00A66FA9">
        <w:rPr>
          <w:szCs w:val="24"/>
        </w:rPr>
        <w:t xml:space="preserve">2018. Nitrogen content variation in archaeological bone and its implications for stable isotope analysis and radiocarbon dating. </w:t>
      </w:r>
      <w:r w:rsidRPr="00A66FA9">
        <w:rPr>
          <w:i/>
          <w:szCs w:val="24"/>
        </w:rPr>
        <w:t>Journal of Archaeological Science</w:t>
      </w:r>
      <w:r w:rsidRPr="00A66FA9">
        <w:rPr>
          <w:szCs w:val="24"/>
        </w:rPr>
        <w:t xml:space="preserve"> 93: 68–73. https://doi.org/10.1016/j.jas.2018.02.019</w:t>
      </w:r>
    </w:p>
    <w:p w14:paraId="072B3932" w14:textId="77777777" w:rsidR="0095724A" w:rsidRPr="00A66FA9" w:rsidRDefault="0095724A" w:rsidP="0095724A">
      <w:pPr>
        <w:spacing w:after="0" w:line="360" w:lineRule="auto"/>
        <w:ind w:left="0" w:firstLine="0"/>
        <w:jc w:val="left"/>
        <w:rPr>
          <w:szCs w:val="24"/>
        </w:rPr>
      </w:pPr>
      <w:r w:rsidRPr="00A66FA9">
        <w:rPr>
          <w:smallCaps/>
          <w:szCs w:val="24"/>
        </w:rPr>
        <w:t>Jay, M.</w:t>
      </w:r>
      <w:r w:rsidRPr="00A66FA9">
        <w:rPr>
          <w:szCs w:val="24"/>
        </w:rPr>
        <w:t xml:space="preserve"> 2005. Stable isotope evidence for British Iron Age diet. Inter- and intra-site variation in carbon and nitrogen from bone collagen at </w:t>
      </w:r>
      <w:proofErr w:type="spellStart"/>
      <w:r w:rsidRPr="00A66FA9">
        <w:rPr>
          <w:szCs w:val="24"/>
        </w:rPr>
        <w:t>Wetwang</w:t>
      </w:r>
      <w:proofErr w:type="spellEnd"/>
      <w:r w:rsidRPr="00A66FA9">
        <w:rPr>
          <w:szCs w:val="24"/>
        </w:rPr>
        <w:t xml:space="preserve"> in East Yorkshire and sites in East Lothian, Hampshire and Cornwall. Unpublished PhD dissertation, University of Bradford.</w:t>
      </w:r>
    </w:p>
    <w:p w14:paraId="203DF45B" w14:textId="77777777" w:rsidR="0095724A" w:rsidRPr="00A66FA9" w:rsidRDefault="0095724A" w:rsidP="0095724A">
      <w:pPr>
        <w:spacing w:after="0" w:line="360" w:lineRule="auto"/>
        <w:ind w:left="0" w:firstLine="0"/>
        <w:jc w:val="left"/>
        <w:rPr>
          <w:szCs w:val="24"/>
        </w:rPr>
      </w:pPr>
      <w:r w:rsidRPr="00A66FA9">
        <w:rPr>
          <w:smallCaps/>
          <w:szCs w:val="24"/>
        </w:rPr>
        <w:t>Kircher, M.</w:t>
      </w:r>
      <w:r w:rsidRPr="00A66FA9">
        <w:rPr>
          <w:szCs w:val="24"/>
        </w:rPr>
        <w:t xml:space="preserve"> 2012. Analysis of high-throughput ancient DNA sequencing data, in B Shapiro &amp; M. </w:t>
      </w:r>
      <w:proofErr w:type="spellStart"/>
      <w:r w:rsidRPr="00A66FA9">
        <w:rPr>
          <w:szCs w:val="24"/>
        </w:rPr>
        <w:t>Hofreiter</w:t>
      </w:r>
      <w:proofErr w:type="spellEnd"/>
      <w:r w:rsidRPr="00A66FA9">
        <w:rPr>
          <w:szCs w:val="24"/>
        </w:rPr>
        <w:t xml:space="preserve"> (ed.) </w:t>
      </w:r>
      <w:r w:rsidRPr="00A66FA9">
        <w:rPr>
          <w:i/>
          <w:iCs/>
          <w:szCs w:val="24"/>
        </w:rPr>
        <w:t>Ancient DNA: methods and protocols</w:t>
      </w:r>
      <w:r w:rsidRPr="00A66FA9">
        <w:rPr>
          <w:szCs w:val="24"/>
        </w:rPr>
        <w:t xml:space="preserve"> (Methods in Molecular Biology 840): 197–228. Totowa (NJ): Humana. https://doi.org/10.1007/978-1-61779-516-9_23 </w:t>
      </w:r>
    </w:p>
    <w:p w14:paraId="03D3FB96" w14:textId="77777777" w:rsidR="0095724A" w:rsidRPr="00A66FA9" w:rsidRDefault="0095724A" w:rsidP="0095724A">
      <w:pPr>
        <w:spacing w:after="0" w:line="360" w:lineRule="auto"/>
        <w:ind w:left="0" w:firstLine="0"/>
        <w:jc w:val="left"/>
        <w:rPr>
          <w:szCs w:val="24"/>
        </w:rPr>
      </w:pPr>
      <w:proofErr w:type="spellStart"/>
      <w:r w:rsidRPr="00A66FA9">
        <w:rPr>
          <w:smallCaps/>
          <w:szCs w:val="24"/>
        </w:rPr>
        <w:t>Korneliussen</w:t>
      </w:r>
      <w:proofErr w:type="spellEnd"/>
      <w:r w:rsidRPr="00A66FA9">
        <w:rPr>
          <w:smallCaps/>
          <w:szCs w:val="24"/>
        </w:rPr>
        <w:t xml:space="preserve">, T.S., A. </w:t>
      </w:r>
      <w:proofErr w:type="spellStart"/>
      <w:r w:rsidRPr="00A66FA9">
        <w:rPr>
          <w:smallCaps/>
          <w:szCs w:val="24"/>
        </w:rPr>
        <w:t>Albrechtsen</w:t>
      </w:r>
      <w:proofErr w:type="spellEnd"/>
      <w:r w:rsidRPr="00A66FA9">
        <w:rPr>
          <w:smallCaps/>
          <w:szCs w:val="24"/>
        </w:rPr>
        <w:t xml:space="preserve"> &amp; R. Nielsen</w:t>
      </w:r>
      <w:r w:rsidRPr="00A66FA9">
        <w:rPr>
          <w:szCs w:val="24"/>
        </w:rPr>
        <w:t xml:space="preserve">. 2014. ANGSD: analysis of next generation sequencing data. </w:t>
      </w:r>
      <w:r w:rsidRPr="00A66FA9">
        <w:rPr>
          <w:i/>
          <w:szCs w:val="24"/>
        </w:rPr>
        <w:t>BMC Bioinformatics</w:t>
      </w:r>
      <w:r w:rsidRPr="00A66FA9">
        <w:rPr>
          <w:szCs w:val="24"/>
        </w:rPr>
        <w:t xml:space="preserve"> 15: 356. https://doi.org/10.1186/s12859-014-0356-4</w:t>
      </w:r>
    </w:p>
    <w:p w14:paraId="766769A1" w14:textId="77777777" w:rsidR="0095724A" w:rsidRPr="00A66FA9" w:rsidRDefault="0095724A" w:rsidP="0095724A">
      <w:pPr>
        <w:spacing w:after="0" w:line="360" w:lineRule="auto"/>
        <w:ind w:left="0" w:firstLine="0"/>
        <w:jc w:val="left"/>
        <w:rPr>
          <w:szCs w:val="24"/>
        </w:rPr>
      </w:pPr>
      <w:r w:rsidRPr="00A66FA9">
        <w:rPr>
          <w:smallCaps/>
          <w:szCs w:val="24"/>
        </w:rPr>
        <w:t xml:space="preserve">Levinson, A.A., B. Luz &amp; Y. </w:t>
      </w:r>
      <w:proofErr w:type="spellStart"/>
      <w:r w:rsidRPr="00A66FA9">
        <w:rPr>
          <w:smallCaps/>
          <w:szCs w:val="24"/>
        </w:rPr>
        <w:t>Kolodny</w:t>
      </w:r>
      <w:proofErr w:type="spellEnd"/>
      <w:r w:rsidRPr="00A66FA9">
        <w:rPr>
          <w:smallCaps/>
          <w:szCs w:val="24"/>
        </w:rPr>
        <w:t>.</w:t>
      </w:r>
      <w:r w:rsidRPr="00A66FA9">
        <w:rPr>
          <w:szCs w:val="24"/>
        </w:rPr>
        <w:t xml:space="preserve"> 1987. Variations in oxygen isotopic compositions of human teeth and urinary stones. </w:t>
      </w:r>
      <w:r w:rsidRPr="00A66FA9">
        <w:rPr>
          <w:i/>
          <w:szCs w:val="24"/>
        </w:rPr>
        <w:t>Applied Geochemistry</w:t>
      </w:r>
      <w:r w:rsidRPr="00A66FA9">
        <w:rPr>
          <w:szCs w:val="24"/>
        </w:rPr>
        <w:t xml:space="preserve"> 2: 367–71. https://doi.org/10.1016/0883-2927(87)90021-7</w:t>
      </w:r>
    </w:p>
    <w:p w14:paraId="784C31E8" w14:textId="77777777" w:rsidR="0095724A" w:rsidRPr="00A66FA9" w:rsidRDefault="0095724A" w:rsidP="0095724A">
      <w:pPr>
        <w:spacing w:after="0" w:line="360" w:lineRule="auto"/>
        <w:ind w:left="0" w:firstLine="0"/>
        <w:jc w:val="left"/>
        <w:rPr>
          <w:szCs w:val="24"/>
        </w:rPr>
      </w:pPr>
      <w:r w:rsidRPr="00A66FA9">
        <w:rPr>
          <w:smallCaps/>
          <w:szCs w:val="24"/>
        </w:rPr>
        <w:lastRenderedPageBreak/>
        <w:t>Li, H. &amp; R. Durbin</w:t>
      </w:r>
      <w:r w:rsidRPr="00A66FA9">
        <w:rPr>
          <w:szCs w:val="24"/>
        </w:rPr>
        <w:t xml:space="preserve">. 2009. Fast and accurate short read alignment with Burrows–Wheeler transform. </w:t>
      </w:r>
      <w:r w:rsidRPr="00A66FA9">
        <w:rPr>
          <w:i/>
          <w:szCs w:val="24"/>
        </w:rPr>
        <w:t>Bioinformatics</w:t>
      </w:r>
      <w:r w:rsidRPr="00A66FA9">
        <w:rPr>
          <w:szCs w:val="24"/>
        </w:rPr>
        <w:t xml:space="preserve"> 25: 1754–60. https://doi.org/10.1093/bioinformatics/btp324</w:t>
      </w:r>
    </w:p>
    <w:p w14:paraId="1E238B31" w14:textId="77777777" w:rsidR="0095724A" w:rsidRPr="00672284" w:rsidRDefault="0095724A" w:rsidP="0095724A">
      <w:pPr>
        <w:spacing w:after="0" w:line="360" w:lineRule="auto"/>
        <w:ind w:left="0" w:firstLine="0"/>
        <w:jc w:val="left"/>
        <w:rPr>
          <w:szCs w:val="24"/>
        </w:rPr>
      </w:pPr>
      <w:r w:rsidRPr="00A66FA9">
        <w:rPr>
          <w:smallCaps/>
          <w:szCs w:val="24"/>
        </w:rPr>
        <w:t xml:space="preserve">Lightfoot, E. &amp; T.C. </w:t>
      </w:r>
      <w:proofErr w:type="spellStart"/>
      <w:r w:rsidRPr="00A66FA9">
        <w:rPr>
          <w:smallCaps/>
          <w:szCs w:val="24"/>
        </w:rPr>
        <w:t>O’connell</w:t>
      </w:r>
      <w:proofErr w:type="spellEnd"/>
      <w:r w:rsidRPr="00A66FA9">
        <w:rPr>
          <w:szCs w:val="24"/>
        </w:rPr>
        <w:t xml:space="preserve">. 2016. On the use of biomineral oxygen isotope data to identify human migrants in the archaeological record: intra-sample variation, statistical methods and geographical considerations. </w:t>
      </w:r>
      <w:proofErr w:type="spellStart"/>
      <w:r w:rsidRPr="00672284">
        <w:rPr>
          <w:i/>
          <w:szCs w:val="24"/>
        </w:rPr>
        <w:t>PLoS</w:t>
      </w:r>
      <w:proofErr w:type="spellEnd"/>
      <w:r w:rsidRPr="00672284">
        <w:rPr>
          <w:i/>
          <w:szCs w:val="24"/>
        </w:rPr>
        <w:t xml:space="preserve"> ONE</w:t>
      </w:r>
      <w:r w:rsidRPr="00672284">
        <w:rPr>
          <w:szCs w:val="24"/>
        </w:rPr>
        <w:t xml:space="preserve"> 11: e0153850. https://doi.org/10.1371/journal.pone.0153850</w:t>
      </w:r>
    </w:p>
    <w:p w14:paraId="549F9EA8" w14:textId="77777777" w:rsidR="0095724A" w:rsidRPr="00672284" w:rsidRDefault="0095724A" w:rsidP="0095724A">
      <w:pPr>
        <w:spacing w:after="0" w:line="360" w:lineRule="auto"/>
        <w:ind w:left="0" w:firstLine="0"/>
        <w:jc w:val="left"/>
        <w:rPr>
          <w:szCs w:val="24"/>
        </w:rPr>
      </w:pPr>
      <w:proofErr w:type="spellStart"/>
      <w:r w:rsidRPr="00672284">
        <w:rPr>
          <w:smallCaps/>
          <w:szCs w:val="24"/>
        </w:rPr>
        <w:t>Longinelli</w:t>
      </w:r>
      <w:proofErr w:type="spellEnd"/>
      <w:r w:rsidRPr="00672284">
        <w:rPr>
          <w:smallCaps/>
          <w:szCs w:val="24"/>
        </w:rPr>
        <w:t>, A.</w:t>
      </w:r>
      <w:r w:rsidRPr="00672284">
        <w:rPr>
          <w:szCs w:val="24"/>
        </w:rPr>
        <w:t xml:space="preserve"> 1984. </w:t>
      </w:r>
      <w:r w:rsidRPr="00A66FA9">
        <w:rPr>
          <w:szCs w:val="24"/>
        </w:rPr>
        <w:t xml:space="preserve">Oxygen isotopes in mammal bone phosphate: a new tool for </w:t>
      </w:r>
      <w:proofErr w:type="spellStart"/>
      <w:r w:rsidRPr="00A66FA9">
        <w:rPr>
          <w:szCs w:val="24"/>
        </w:rPr>
        <w:t>paleohydrological</w:t>
      </w:r>
      <w:proofErr w:type="spellEnd"/>
      <w:r w:rsidRPr="00A66FA9">
        <w:rPr>
          <w:szCs w:val="24"/>
        </w:rPr>
        <w:t xml:space="preserve"> and </w:t>
      </w:r>
      <w:proofErr w:type="spellStart"/>
      <w:r w:rsidRPr="00A66FA9">
        <w:rPr>
          <w:szCs w:val="24"/>
        </w:rPr>
        <w:t>paleoclimatological</w:t>
      </w:r>
      <w:proofErr w:type="spellEnd"/>
      <w:r w:rsidRPr="00A66FA9">
        <w:rPr>
          <w:szCs w:val="24"/>
        </w:rPr>
        <w:t xml:space="preserve"> research? </w:t>
      </w:r>
      <w:proofErr w:type="spellStart"/>
      <w:r w:rsidRPr="00672284">
        <w:rPr>
          <w:i/>
          <w:szCs w:val="24"/>
        </w:rPr>
        <w:t>Geochimica</w:t>
      </w:r>
      <w:proofErr w:type="spellEnd"/>
      <w:r w:rsidRPr="00672284">
        <w:rPr>
          <w:i/>
          <w:szCs w:val="24"/>
        </w:rPr>
        <w:t xml:space="preserve"> et </w:t>
      </w:r>
      <w:proofErr w:type="spellStart"/>
      <w:r w:rsidRPr="00672284">
        <w:rPr>
          <w:i/>
          <w:szCs w:val="24"/>
        </w:rPr>
        <w:t>Cosmochimica</w:t>
      </w:r>
      <w:proofErr w:type="spellEnd"/>
      <w:r w:rsidRPr="00672284">
        <w:rPr>
          <w:i/>
          <w:szCs w:val="24"/>
        </w:rPr>
        <w:t xml:space="preserve"> Acta</w:t>
      </w:r>
      <w:r w:rsidRPr="00672284">
        <w:rPr>
          <w:iCs/>
          <w:szCs w:val="24"/>
        </w:rPr>
        <w:t xml:space="preserve"> 48: 385–90</w:t>
      </w:r>
      <w:r w:rsidRPr="00672284">
        <w:rPr>
          <w:szCs w:val="24"/>
        </w:rPr>
        <w:t xml:space="preserve">. https://doi.org/10.1016/0016-7037(84)90259-X </w:t>
      </w:r>
    </w:p>
    <w:p w14:paraId="0A96744B" w14:textId="77777777" w:rsidR="0095724A" w:rsidRPr="00A66FA9" w:rsidRDefault="0095724A" w:rsidP="0095724A">
      <w:pPr>
        <w:spacing w:after="0" w:line="360" w:lineRule="auto"/>
        <w:ind w:left="0" w:firstLine="0"/>
        <w:jc w:val="left"/>
        <w:rPr>
          <w:szCs w:val="24"/>
        </w:rPr>
      </w:pPr>
      <w:proofErr w:type="spellStart"/>
      <w:r w:rsidRPr="00672284">
        <w:rPr>
          <w:smallCaps/>
          <w:szCs w:val="24"/>
        </w:rPr>
        <w:t>Martiniano</w:t>
      </w:r>
      <w:proofErr w:type="spellEnd"/>
      <w:r w:rsidRPr="00672284">
        <w:rPr>
          <w:smallCaps/>
          <w:szCs w:val="24"/>
        </w:rPr>
        <w:t xml:space="preserve">, R., B. De </w:t>
      </w:r>
      <w:proofErr w:type="spellStart"/>
      <w:r w:rsidRPr="00672284">
        <w:rPr>
          <w:smallCaps/>
          <w:szCs w:val="24"/>
        </w:rPr>
        <w:t>Sanctis</w:t>
      </w:r>
      <w:proofErr w:type="spellEnd"/>
      <w:r w:rsidRPr="00672284">
        <w:rPr>
          <w:smallCaps/>
          <w:szCs w:val="24"/>
        </w:rPr>
        <w:t xml:space="preserve">, P. </w:t>
      </w:r>
      <w:proofErr w:type="spellStart"/>
      <w:r w:rsidRPr="00672284">
        <w:rPr>
          <w:smallCaps/>
          <w:szCs w:val="24"/>
        </w:rPr>
        <w:t>Hallast</w:t>
      </w:r>
      <w:proofErr w:type="spellEnd"/>
      <w:r w:rsidRPr="00672284">
        <w:rPr>
          <w:smallCaps/>
          <w:szCs w:val="24"/>
        </w:rPr>
        <w:t xml:space="preserve"> &amp; R. Durbin. </w:t>
      </w:r>
      <w:r w:rsidRPr="00A66FA9">
        <w:rPr>
          <w:szCs w:val="24"/>
        </w:rPr>
        <w:t xml:space="preserve">2022. Placing ancient DNA sequences into reference phylogenies. </w:t>
      </w:r>
      <w:r w:rsidRPr="00A66FA9">
        <w:rPr>
          <w:i/>
          <w:szCs w:val="24"/>
        </w:rPr>
        <w:t>Molecular Biology and Evolution</w:t>
      </w:r>
      <w:r w:rsidRPr="00A66FA9">
        <w:rPr>
          <w:szCs w:val="24"/>
        </w:rPr>
        <w:t xml:space="preserve"> 39. https://doi.org/10.1093/molbev/msac017</w:t>
      </w:r>
    </w:p>
    <w:p w14:paraId="48F80BE1" w14:textId="77777777" w:rsidR="0095724A" w:rsidRPr="00A66FA9" w:rsidRDefault="0095724A" w:rsidP="0095724A">
      <w:pPr>
        <w:spacing w:after="0" w:line="360" w:lineRule="auto"/>
        <w:ind w:left="0" w:firstLine="0"/>
        <w:jc w:val="left"/>
        <w:rPr>
          <w:szCs w:val="24"/>
        </w:rPr>
      </w:pPr>
      <w:r w:rsidRPr="00A66FA9">
        <w:rPr>
          <w:smallCaps/>
          <w:szCs w:val="24"/>
        </w:rPr>
        <w:t>Meyer, M. &amp; M. Kircher</w:t>
      </w:r>
      <w:r w:rsidRPr="00A66FA9">
        <w:rPr>
          <w:szCs w:val="24"/>
        </w:rPr>
        <w:t xml:space="preserve">. 2010. Illumina sequencing library preparation for highly multiplexed target capture and sequencing. </w:t>
      </w:r>
      <w:r w:rsidRPr="00A66FA9">
        <w:rPr>
          <w:i/>
          <w:szCs w:val="24"/>
        </w:rPr>
        <w:t>Cold Spring Harbor Protocols</w:t>
      </w:r>
      <w:r w:rsidRPr="00A66FA9">
        <w:rPr>
          <w:szCs w:val="24"/>
        </w:rPr>
        <w:t xml:space="preserve"> 2010. https://doi.org/10.1101/pdb.prot5448. </w:t>
      </w:r>
    </w:p>
    <w:p w14:paraId="6EEC9E23" w14:textId="77777777" w:rsidR="0095724A" w:rsidRPr="00A66FA9" w:rsidRDefault="0095724A" w:rsidP="0095724A">
      <w:pPr>
        <w:spacing w:after="0" w:line="360" w:lineRule="auto"/>
        <w:ind w:left="0" w:firstLine="0"/>
        <w:jc w:val="left"/>
        <w:rPr>
          <w:szCs w:val="24"/>
        </w:rPr>
      </w:pPr>
      <w:proofErr w:type="spellStart"/>
      <w:r w:rsidRPr="00A66FA9">
        <w:rPr>
          <w:smallCaps/>
          <w:szCs w:val="24"/>
        </w:rPr>
        <w:t>Olalde</w:t>
      </w:r>
      <w:proofErr w:type="spellEnd"/>
      <w:r w:rsidRPr="00A66FA9">
        <w:rPr>
          <w:smallCaps/>
          <w:szCs w:val="24"/>
        </w:rPr>
        <w:t>, I.</w:t>
      </w:r>
      <w:r w:rsidRPr="00A66FA9">
        <w:rPr>
          <w:szCs w:val="24"/>
        </w:rPr>
        <w:t xml:space="preserve"> </w:t>
      </w:r>
      <w:r w:rsidRPr="00A66FA9">
        <w:rPr>
          <w:i/>
          <w:szCs w:val="24"/>
        </w:rPr>
        <w:t>et al</w:t>
      </w:r>
      <w:r w:rsidRPr="00A66FA9">
        <w:rPr>
          <w:szCs w:val="24"/>
        </w:rPr>
        <w:t xml:space="preserve">. 2019. The genomic history of the Iberian Peninsula over the past 8000 years. </w:t>
      </w:r>
      <w:r w:rsidRPr="00A66FA9">
        <w:rPr>
          <w:i/>
          <w:szCs w:val="24"/>
        </w:rPr>
        <w:t>Science</w:t>
      </w:r>
      <w:r w:rsidRPr="00A66FA9">
        <w:rPr>
          <w:szCs w:val="24"/>
        </w:rPr>
        <w:t xml:space="preserve"> 363: 1230–34. https://doi.org/10.1126/science.aav4040 </w:t>
      </w:r>
    </w:p>
    <w:p w14:paraId="067B9809" w14:textId="77777777" w:rsidR="0095724A" w:rsidRPr="00672284" w:rsidRDefault="0095724A" w:rsidP="0095724A">
      <w:pPr>
        <w:spacing w:after="0" w:line="360" w:lineRule="auto"/>
        <w:ind w:left="0" w:firstLine="0"/>
        <w:jc w:val="left"/>
        <w:rPr>
          <w:szCs w:val="24"/>
        </w:rPr>
      </w:pPr>
      <w:r w:rsidRPr="00A66FA9">
        <w:rPr>
          <w:smallCaps/>
          <w:szCs w:val="24"/>
        </w:rPr>
        <w:t>Patterson, N., A.L. Price &amp; D. Reich</w:t>
      </w:r>
      <w:r w:rsidRPr="00A66FA9">
        <w:rPr>
          <w:szCs w:val="24"/>
        </w:rPr>
        <w:t xml:space="preserve">. 2006. Population structure and </w:t>
      </w:r>
      <w:proofErr w:type="spellStart"/>
      <w:r w:rsidRPr="00A66FA9">
        <w:rPr>
          <w:szCs w:val="24"/>
        </w:rPr>
        <w:t>eigenanalysis</w:t>
      </w:r>
      <w:proofErr w:type="spellEnd"/>
      <w:r w:rsidRPr="00A66FA9">
        <w:rPr>
          <w:szCs w:val="24"/>
        </w:rPr>
        <w:t xml:space="preserve">. </w:t>
      </w:r>
      <w:proofErr w:type="spellStart"/>
      <w:r w:rsidRPr="00672284">
        <w:rPr>
          <w:i/>
          <w:szCs w:val="24"/>
        </w:rPr>
        <w:t>PLoS</w:t>
      </w:r>
      <w:proofErr w:type="spellEnd"/>
      <w:r w:rsidRPr="00672284">
        <w:rPr>
          <w:i/>
          <w:szCs w:val="24"/>
        </w:rPr>
        <w:t xml:space="preserve"> Genetics</w:t>
      </w:r>
      <w:r w:rsidRPr="00672284">
        <w:rPr>
          <w:szCs w:val="24"/>
        </w:rPr>
        <w:t xml:space="preserve"> 2: e190. https://doi.org/10.1371/journal.pgen.0020190</w:t>
      </w:r>
    </w:p>
    <w:p w14:paraId="4E84335D" w14:textId="77777777" w:rsidR="0095724A" w:rsidRPr="00672284" w:rsidRDefault="0095724A" w:rsidP="0095724A">
      <w:pPr>
        <w:spacing w:after="0" w:line="360" w:lineRule="auto"/>
        <w:ind w:left="0" w:firstLine="0"/>
        <w:jc w:val="left"/>
        <w:rPr>
          <w:szCs w:val="24"/>
        </w:rPr>
      </w:pPr>
      <w:r w:rsidRPr="00672284">
        <w:rPr>
          <w:smallCaps/>
          <w:szCs w:val="24"/>
        </w:rPr>
        <w:t>Patterson, N</w:t>
      </w:r>
      <w:r w:rsidRPr="00672284">
        <w:rPr>
          <w:szCs w:val="24"/>
        </w:rPr>
        <w:t xml:space="preserve">. </w:t>
      </w:r>
      <w:r w:rsidRPr="00672284">
        <w:rPr>
          <w:i/>
          <w:szCs w:val="24"/>
        </w:rPr>
        <w:t>et al</w:t>
      </w:r>
      <w:r w:rsidRPr="00672284">
        <w:rPr>
          <w:szCs w:val="24"/>
        </w:rPr>
        <w:t xml:space="preserve">. 2022. </w:t>
      </w:r>
      <w:r w:rsidRPr="00A66FA9">
        <w:rPr>
          <w:szCs w:val="24"/>
        </w:rPr>
        <w:t xml:space="preserve">Large-scale migration into Britain during the Middle to Late Bronze Age. </w:t>
      </w:r>
      <w:r w:rsidRPr="00672284">
        <w:rPr>
          <w:i/>
          <w:szCs w:val="24"/>
        </w:rPr>
        <w:t>Nature</w:t>
      </w:r>
      <w:r w:rsidRPr="00672284">
        <w:rPr>
          <w:szCs w:val="24"/>
        </w:rPr>
        <w:t xml:space="preserve"> 601: 588–94. https://doi.org/10.1038/s41586-021-04287-4</w:t>
      </w:r>
    </w:p>
    <w:p w14:paraId="40B34310" w14:textId="77777777" w:rsidR="0095724A" w:rsidRPr="00A66FA9" w:rsidRDefault="0095724A" w:rsidP="0095724A">
      <w:pPr>
        <w:spacing w:after="0" w:line="360" w:lineRule="auto"/>
        <w:ind w:left="0" w:firstLine="0"/>
        <w:jc w:val="left"/>
        <w:rPr>
          <w:szCs w:val="24"/>
        </w:rPr>
      </w:pPr>
      <w:r w:rsidRPr="00672284">
        <w:rPr>
          <w:smallCaps/>
          <w:szCs w:val="24"/>
        </w:rPr>
        <w:t>Pérez-</w:t>
      </w:r>
      <w:proofErr w:type="spellStart"/>
      <w:r w:rsidRPr="00672284">
        <w:rPr>
          <w:smallCaps/>
          <w:szCs w:val="24"/>
        </w:rPr>
        <w:t>Ramallo</w:t>
      </w:r>
      <w:proofErr w:type="spellEnd"/>
      <w:r w:rsidRPr="00672284">
        <w:rPr>
          <w:smallCaps/>
          <w:szCs w:val="24"/>
        </w:rPr>
        <w:t>, P.</w:t>
      </w:r>
      <w:r w:rsidRPr="00672284">
        <w:rPr>
          <w:szCs w:val="24"/>
        </w:rPr>
        <w:t xml:space="preserve"> </w:t>
      </w:r>
      <w:r w:rsidRPr="00672284">
        <w:rPr>
          <w:i/>
          <w:szCs w:val="24"/>
        </w:rPr>
        <w:t>et al</w:t>
      </w:r>
      <w:r w:rsidRPr="00672284">
        <w:rPr>
          <w:szCs w:val="24"/>
        </w:rPr>
        <w:t xml:space="preserve">. 2022. </w:t>
      </w:r>
      <w:r w:rsidRPr="00A66FA9">
        <w:rPr>
          <w:szCs w:val="24"/>
        </w:rPr>
        <w:t xml:space="preserve">Multi-isotopic study of the earliest mediaeval inhabitants of Santiago de Compostela (Galicia, Spain). </w:t>
      </w:r>
      <w:r w:rsidRPr="00A66FA9">
        <w:rPr>
          <w:i/>
          <w:szCs w:val="24"/>
        </w:rPr>
        <w:t>Archaeological and Anthropological Sciences</w:t>
      </w:r>
      <w:r w:rsidRPr="00A66FA9">
        <w:rPr>
          <w:szCs w:val="24"/>
        </w:rPr>
        <w:t xml:space="preserve"> 14: 214. https://doi.org/10.1007/s12520-022-01678-0</w:t>
      </w:r>
    </w:p>
    <w:p w14:paraId="38209335" w14:textId="77777777" w:rsidR="0095724A" w:rsidRPr="00A66FA9" w:rsidRDefault="0095724A" w:rsidP="0095724A">
      <w:pPr>
        <w:spacing w:after="0" w:line="360" w:lineRule="auto"/>
        <w:ind w:left="0" w:firstLine="0"/>
        <w:jc w:val="left"/>
        <w:rPr>
          <w:szCs w:val="24"/>
        </w:rPr>
      </w:pPr>
      <w:r w:rsidRPr="00A66FA9">
        <w:rPr>
          <w:smallCaps/>
          <w:szCs w:val="24"/>
        </w:rPr>
        <w:t>Purcell, S.</w:t>
      </w:r>
      <w:r w:rsidRPr="00A66FA9">
        <w:rPr>
          <w:szCs w:val="24"/>
        </w:rPr>
        <w:t xml:space="preserve"> </w:t>
      </w:r>
      <w:r w:rsidRPr="00A66FA9">
        <w:rPr>
          <w:i/>
          <w:szCs w:val="24"/>
        </w:rPr>
        <w:t>et al</w:t>
      </w:r>
      <w:r w:rsidRPr="00A66FA9">
        <w:rPr>
          <w:szCs w:val="24"/>
        </w:rPr>
        <w:t xml:space="preserve">. 2007. PLINK: a tool set for whole-genome association and population-based linkage analyses. </w:t>
      </w:r>
      <w:r w:rsidRPr="00A66FA9">
        <w:rPr>
          <w:i/>
          <w:szCs w:val="24"/>
        </w:rPr>
        <w:t>The American Journal of Human Genetics</w:t>
      </w:r>
      <w:r w:rsidRPr="00A66FA9">
        <w:rPr>
          <w:szCs w:val="24"/>
        </w:rPr>
        <w:t xml:space="preserve"> 81: 559–75. https://doi.org/10.1086/519795</w:t>
      </w:r>
    </w:p>
    <w:p w14:paraId="54BC1C4A" w14:textId="77777777" w:rsidR="0095724A" w:rsidRPr="00672284" w:rsidRDefault="0095724A" w:rsidP="0095724A">
      <w:pPr>
        <w:pStyle w:val="EndNoteBibliography"/>
        <w:spacing w:after="0" w:line="360" w:lineRule="auto"/>
        <w:rPr>
          <w:rFonts w:ascii="Times New Roman" w:hAnsi="Times New Roman" w:cs="Times New Roman"/>
          <w:sz w:val="24"/>
          <w:szCs w:val="24"/>
          <w:lang w:val="en-GB"/>
        </w:rPr>
      </w:pPr>
      <w:r w:rsidRPr="00672284">
        <w:rPr>
          <w:rFonts w:ascii="Times New Roman" w:hAnsi="Times New Roman" w:cs="Times New Roman"/>
          <w:smallCaps/>
          <w:sz w:val="24"/>
          <w:szCs w:val="24"/>
          <w:lang w:val="en-GB"/>
        </w:rPr>
        <w:t>R Core Team.</w:t>
      </w:r>
      <w:r w:rsidRPr="00672284">
        <w:rPr>
          <w:rFonts w:ascii="Times New Roman" w:hAnsi="Times New Roman" w:cs="Times New Roman"/>
          <w:sz w:val="24"/>
          <w:szCs w:val="24"/>
          <w:lang w:val="en-GB"/>
        </w:rPr>
        <w:t xml:space="preserve"> 2021. R: A language and environment for statistical computing. R Foundation for Statistical Computing, Vienna, Austria. Available at: https://www.R-project.org/</w:t>
      </w:r>
    </w:p>
    <w:p w14:paraId="0C4C0BEB" w14:textId="77777777" w:rsidR="0095724A" w:rsidRPr="00672284" w:rsidRDefault="0095724A" w:rsidP="0095724A">
      <w:pPr>
        <w:spacing w:after="0" w:line="360" w:lineRule="auto"/>
        <w:ind w:left="0" w:firstLine="0"/>
        <w:rPr>
          <w:rFonts w:eastAsiaTheme="minorEastAsia"/>
          <w:noProof/>
          <w:szCs w:val="24"/>
        </w:rPr>
      </w:pPr>
      <w:r w:rsidRPr="00672284">
        <w:rPr>
          <w:rFonts w:eastAsiaTheme="minorEastAsia"/>
          <w:smallCaps/>
          <w:noProof/>
          <w:szCs w:val="24"/>
        </w:rPr>
        <w:t>Reimer, P.J.</w:t>
      </w:r>
      <w:r w:rsidRPr="00672284">
        <w:rPr>
          <w:rFonts w:eastAsiaTheme="minorEastAsia"/>
          <w:noProof/>
          <w:szCs w:val="24"/>
        </w:rPr>
        <w:t xml:space="preserve"> </w:t>
      </w:r>
      <w:r w:rsidRPr="00672284">
        <w:rPr>
          <w:rFonts w:eastAsiaTheme="minorEastAsia"/>
          <w:i/>
          <w:noProof/>
          <w:szCs w:val="24"/>
        </w:rPr>
        <w:t xml:space="preserve">et al. </w:t>
      </w:r>
      <w:r w:rsidRPr="00672284">
        <w:rPr>
          <w:rFonts w:eastAsiaTheme="minorEastAsia"/>
          <w:noProof/>
          <w:szCs w:val="24"/>
        </w:rPr>
        <w:t xml:space="preserve">2013. IntCal13 and Marine13 radiocarbon age calibration curves 0–50,000 years cal BP. </w:t>
      </w:r>
      <w:r w:rsidRPr="00672284">
        <w:rPr>
          <w:rFonts w:eastAsiaTheme="minorEastAsia"/>
          <w:i/>
          <w:noProof/>
          <w:szCs w:val="24"/>
        </w:rPr>
        <w:t>Radiocarbon</w:t>
      </w:r>
      <w:r w:rsidRPr="00672284">
        <w:rPr>
          <w:rFonts w:eastAsiaTheme="minorEastAsia"/>
          <w:noProof/>
          <w:szCs w:val="24"/>
        </w:rPr>
        <w:t xml:space="preserve"> 55: 1869–87. https://doi.org/10.2458/azu_js_rc.55.16947</w:t>
      </w:r>
    </w:p>
    <w:p w14:paraId="5C71E773" w14:textId="77777777" w:rsidR="0095724A" w:rsidRPr="00672284" w:rsidRDefault="0095724A" w:rsidP="0095724A">
      <w:pPr>
        <w:spacing w:after="0" w:line="360" w:lineRule="auto"/>
        <w:ind w:left="0" w:firstLine="0"/>
        <w:jc w:val="left"/>
        <w:rPr>
          <w:szCs w:val="24"/>
        </w:rPr>
      </w:pPr>
      <w:proofErr w:type="spellStart"/>
      <w:r w:rsidRPr="00672284">
        <w:rPr>
          <w:smallCaps/>
          <w:szCs w:val="24"/>
        </w:rPr>
        <w:t>Schoeninger</w:t>
      </w:r>
      <w:proofErr w:type="spellEnd"/>
      <w:r w:rsidRPr="00672284">
        <w:rPr>
          <w:smallCaps/>
          <w:szCs w:val="24"/>
        </w:rPr>
        <w:t xml:space="preserve">, M.J. &amp; M.J. </w:t>
      </w:r>
      <w:proofErr w:type="spellStart"/>
      <w:r w:rsidRPr="00672284">
        <w:rPr>
          <w:smallCaps/>
          <w:szCs w:val="24"/>
        </w:rPr>
        <w:t>Deniro</w:t>
      </w:r>
      <w:proofErr w:type="spellEnd"/>
      <w:r w:rsidRPr="00672284">
        <w:rPr>
          <w:szCs w:val="24"/>
        </w:rPr>
        <w:t xml:space="preserve">. </w:t>
      </w:r>
      <w:r w:rsidRPr="00A66FA9">
        <w:rPr>
          <w:szCs w:val="24"/>
        </w:rPr>
        <w:t xml:space="preserve">1984. Nitrogen and carbon isotopic composition of bone collagen from marine and terrestrial animals. </w:t>
      </w:r>
      <w:proofErr w:type="spellStart"/>
      <w:r w:rsidRPr="00672284">
        <w:rPr>
          <w:i/>
          <w:szCs w:val="24"/>
        </w:rPr>
        <w:t>Geochimica</w:t>
      </w:r>
      <w:proofErr w:type="spellEnd"/>
      <w:r w:rsidRPr="00672284">
        <w:rPr>
          <w:i/>
          <w:szCs w:val="24"/>
        </w:rPr>
        <w:t xml:space="preserve"> et </w:t>
      </w:r>
      <w:proofErr w:type="spellStart"/>
      <w:r w:rsidRPr="00672284">
        <w:rPr>
          <w:i/>
          <w:szCs w:val="24"/>
        </w:rPr>
        <w:t>Cosmochimica</w:t>
      </w:r>
      <w:proofErr w:type="spellEnd"/>
      <w:r w:rsidRPr="00672284">
        <w:rPr>
          <w:i/>
          <w:szCs w:val="24"/>
        </w:rPr>
        <w:t xml:space="preserve"> Acta</w:t>
      </w:r>
      <w:r w:rsidRPr="00672284">
        <w:rPr>
          <w:szCs w:val="24"/>
        </w:rPr>
        <w:t xml:space="preserve"> 48: 625–39. </w:t>
      </w:r>
    </w:p>
    <w:p w14:paraId="18C8FFA5" w14:textId="77777777" w:rsidR="0095724A" w:rsidRPr="00672284" w:rsidRDefault="0095724A" w:rsidP="0095724A">
      <w:pPr>
        <w:spacing w:after="0" w:line="360" w:lineRule="auto"/>
        <w:ind w:left="5" w:firstLine="0"/>
        <w:jc w:val="left"/>
        <w:rPr>
          <w:szCs w:val="24"/>
        </w:rPr>
      </w:pPr>
      <w:r w:rsidRPr="00672284">
        <w:rPr>
          <w:szCs w:val="24"/>
        </w:rPr>
        <w:t>https://doi.org/10.1016/0016-7037(84)90091-7</w:t>
      </w:r>
    </w:p>
    <w:p w14:paraId="720420C0" w14:textId="77777777" w:rsidR="0095724A" w:rsidRPr="00A66FA9" w:rsidRDefault="0095724A" w:rsidP="0095724A">
      <w:pPr>
        <w:spacing w:after="0" w:line="360" w:lineRule="auto"/>
        <w:ind w:left="0" w:firstLine="0"/>
        <w:jc w:val="left"/>
        <w:rPr>
          <w:szCs w:val="24"/>
        </w:rPr>
      </w:pPr>
      <w:r w:rsidRPr="00672284">
        <w:rPr>
          <w:smallCaps/>
          <w:szCs w:val="24"/>
        </w:rPr>
        <w:lastRenderedPageBreak/>
        <w:t>Skoglund, P.</w:t>
      </w:r>
      <w:r w:rsidRPr="00672284">
        <w:rPr>
          <w:szCs w:val="24"/>
        </w:rPr>
        <w:t xml:space="preserve"> </w:t>
      </w:r>
      <w:r w:rsidRPr="00672284">
        <w:rPr>
          <w:i/>
          <w:iCs/>
          <w:szCs w:val="24"/>
        </w:rPr>
        <w:t xml:space="preserve">et al. </w:t>
      </w:r>
      <w:r w:rsidRPr="00672284">
        <w:rPr>
          <w:szCs w:val="24"/>
        </w:rPr>
        <w:t xml:space="preserve">2012. </w:t>
      </w:r>
      <w:r w:rsidRPr="00A66FA9">
        <w:rPr>
          <w:szCs w:val="24"/>
        </w:rPr>
        <w:t xml:space="preserve">Origins and genetic legacy of neolithic farmers and hunter-gatherers in Europe. </w:t>
      </w:r>
      <w:r w:rsidRPr="00A66FA9">
        <w:rPr>
          <w:i/>
          <w:szCs w:val="24"/>
        </w:rPr>
        <w:t>Science</w:t>
      </w:r>
      <w:r w:rsidRPr="00A66FA9">
        <w:rPr>
          <w:szCs w:val="24"/>
        </w:rPr>
        <w:t xml:space="preserve"> 336: 466–69. https://doi.org/10.1126/science.1216304</w:t>
      </w:r>
    </w:p>
    <w:p w14:paraId="23694E5A" w14:textId="77777777" w:rsidR="0095724A" w:rsidRPr="00A66FA9" w:rsidRDefault="0095724A" w:rsidP="0095724A">
      <w:pPr>
        <w:spacing w:after="0" w:line="360" w:lineRule="auto"/>
        <w:ind w:left="0" w:firstLine="0"/>
        <w:jc w:val="left"/>
        <w:rPr>
          <w:szCs w:val="24"/>
        </w:rPr>
      </w:pPr>
      <w:r w:rsidRPr="00A66FA9">
        <w:rPr>
          <w:smallCaps/>
          <w:szCs w:val="24"/>
        </w:rPr>
        <w:t xml:space="preserve">Skoglund, P., J. </w:t>
      </w:r>
      <w:proofErr w:type="spellStart"/>
      <w:r w:rsidRPr="00A66FA9">
        <w:rPr>
          <w:smallCaps/>
          <w:szCs w:val="24"/>
        </w:rPr>
        <w:t>Storå</w:t>
      </w:r>
      <w:proofErr w:type="spellEnd"/>
      <w:r w:rsidRPr="00A66FA9">
        <w:rPr>
          <w:smallCaps/>
          <w:szCs w:val="24"/>
        </w:rPr>
        <w:t xml:space="preserve">, A. </w:t>
      </w:r>
      <w:proofErr w:type="spellStart"/>
      <w:r w:rsidRPr="00A66FA9">
        <w:rPr>
          <w:smallCaps/>
          <w:szCs w:val="24"/>
        </w:rPr>
        <w:t>Götherström</w:t>
      </w:r>
      <w:proofErr w:type="spellEnd"/>
      <w:r w:rsidRPr="00A66FA9">
        <w:rPr>
          <w:smallCaps/>
          <w:szCs w:val="24"/>
        </w:rPr>
        <w:t xml:space="preserve"> &amp; M. Jakobsson</w:t>
      </w:r>
      <w:r w:rsidRPr="00A66FA9">
        <w:rPr>
          <w:szCs w:val="24"/>
        </w:rPr>
        <w:t xml:space="preserve">. 2013. Accurate sex identification of ancient human remains using DNA shotgun sequencing. </w:t>
      </w:r>
      <w:r w:rsidRPr="00A66FA9">
        <w:rPr>
          <w:i/>
          <w:szCs w:val="24"/>
        </w:rPr>
        <w:t>Journal of Archaeological Science</w:t>
      </w:r>
      <w:r w:rsidRPr="00A66FA9">
        <w:rPr>
          <w:szCs w:val="24"/>
        </w:rPr>
        <w:t xml:space="preserve"> 40: 4477–82. https://doi.org/10.1016/j.jas.2013.07.004</w:t>
      </w:r>
    </w:p>
    <w:p w14:paraId="19EF9C0E" w14:textId="77777777" w:rsidR="0095724A" w:rsidRPr="00A66FA9" w:rsidRDefault="0095724A" w:rsidP="0095724A">
      <w:pPr>
        <w:spacing w:after="0" w:line="360" w:lineRule="auto"/>
        <w:ind w:left="0" w:firstLine="0"/>
        <w:jc w:val="left"/>
        <w:rPr>
          <w:szCs w:val="24"/>
        </w:rPr>
      </w:pPr>
      <w:r w:rsidRPr="00A66FA9">
        <w:rPr>
          <w:smallCaps/>
          <w:szCs w:val="24"/>
        </w:rPr>
        <w:t xml:space="preserve">Skoglund, P., B.H. </w:t>
      </w:r>
      <w:proofErr w:type="spellStart"/>
      <w:r w:rsidRPr="00A66FA9">
        <w:rPr>
          <w:smallCaps/>
          <w:szCs w:val="24"/>
        </w:rPr>
        <w:t>Northoff</w:t>
      </w:r>
      <w:proofErr w:type="spellEnd"/>
      <w:r w:rsidRPr="00A66FA9">
        <w:rPr>
          <w:smallCaps/>
          <w:szCs w:val="24"/>
        </w:rPr>
        <w:t xml:space="preserve">, M. V. </w:t>
      </w:r>
      <w:proofErr w:type="spellStart"/>
      <w:r w:rsidRPr="00A66FA9">
        <w:rPr>
          <w:smallCaps/>
          <w:szCs w:val="24"/>
        </w:rPr>
        <w:t>Shunkov</w:t>
      </w:r>
      <w:proofErr w:type="spellEnd"/>
      <w:r w:rsidRPr="00A66FA9">
        <w:rPr>
          <w:smallCaps/>
          <w:szCs w:val="24"/>
        </w:rPr>
        <w:t xml:space="preserve">, A.P. </w:t>
      </w:r>
      <w:proofErr w:type="spellStart"/>
      <w:r w:rsidRPr="00A66FA9">
        <w:rPr>
          <w:smallCaps/>
          <w:szCs w:val="24"/>
        </w:rPr>
        <w:t>Derevianko</w:t>
      </w:r>
      <w:proofErr w:type="spellEnd"/>
      <w:r w:rsidRPr="00A66FA9">
        <w:rPr>
          <w:smallCaps/>
          <w:szCs w:val="24"/>
        </w:rPr>
        <w:t xml:space="preserve">, S. </w:t>
      </w:r>
      <w:proofErr w:type="spellStart"/>
      <w:r w:rsidRPr="00A66FA9">
        <w:rPr>
          <w:smallCaps/>
          <w:szCs w:val="24"/>
        </w:rPr>
        <w:t>Pääbo</w:t>
      </w:r>
      <w:proofErr w:type="spellEnd"/>
      <w:r w:rsidRPr="00A66FA9">
        <w:rPr>
          <w:smallCaps/>
          <w:szCs w:val="24"/>
        </w:rPr>
        <w:t>, J. Krause &amp; M. Jakobsson.</w:t>
      </w:r>
      <w:r w:rsidRPr="00A66FA9">
        <w:rPr>
          <w:szCs w:val="24"/>
        </w:rPr>
        <w:t xml:space="preserve"> 2014. Separating endogenous ancient DNA from modern day contamination in a Siberian Neandertal. </w:t>
      </w:r>
      <w:r w:rsidRPr="00A66FA9">
        <w:rPr>
          <w:i/>
          <w:szCs w:val="24"/>
        </w:rPr>
        <w:t>Proceedings of the National Academy of Sciences</w:t>
      </w:r>
      <w:r w:rsidRPr="00A66FA9">
        <w:rPr>
          <w:szCs w:val="24"/>
        </w:rPr>
        <w:t xml:space="preserve"> 111: 2229–34. https://doi.org/10.1073/pnas.1318934111</w:t>
      </w:r>
    </w:p>
    <w:p w14:paraId="184271E5" w14:textId="77777777" w:rsidR="0095724A" w:rsidRPr="00A66FA9" w:rsidRDefault="0095724A" w:rsidP="0095724A">
      <w:pPr>
        <w:spacing w:after="0" w:line="360" w:lineRule="auto"/>
        <w:ind w:left="0" w:firstLine="0"/>
        <w:jc w:val="left"/>
        <w:rPr>
          <w:szCs w:val="24"/>
        </w:rPr>
      </w:pPr>
      <w:r w:rsidRPr="00A66FA9">
        <w:rPr>
          <w:smallCaps/>
          <w:szCs w:val="24"/>
        </w:rPr>
        <w:t>Smith, B.N. &amp; S. Epstein</w:t>
      </w:r>
      <w:r w:rsidRPr="00A66FA9">
        <w:rPr>
          <w:szCs w:val="24"/>
        </w:rPr>
        <w:t xml:space="preserve">. 1971. Two categories of 13C/12C ratios for higher plants. </w:t>
      </w:r>
      <w:r w:rsidRPr="00A66FA9">
        <w:rPr>
          <w:i/>
          <w:szCs w:val="24"/>
        </w:rPr>
        <w:t>Plant Physiology</w:t>
      </w:r>
      <w:r w:rsidRPr="00A66FA9">
        <w:rPr>
          <w:szCs w:val="24"/>
        </w:rPr>
        <w:t xml:space="preserve"> 47: 380–84. https://doi.org/10.1104/pp.47.3.380</w:t>
      </w:r>
    </w:p>
    <w:p w14:paraId="4818297F" w14:textId="77777777" w:rsidR="0095724A" w:rsidRPr="00A66FA9" w:rsidRDefault="0095724A" w:rsidP="0095724A">
      <w:pPr>
        <w:spacing w:after="0" w:line="360" w:lineRule="auto"/>
        <w:ind w:left="0" w:firstLine="0"/>
        <w:jc w:val="left"/>
        <w:rPr>
          <w:szCs w:val="24"/>
        </w:rPr>
      </w:pPr>
      <w:r w:rsidRPr="00A66FA9">
        <w:rPr>
          <w:smallCaps/>
          <w:szCs w:val="24"/>
        </w:rPr>
        <w:t xml:space="preserve">van </w:t>
      </w:r>
      <w:proofErr w:type="spellStart"/>
      <w:r w:rsidRPr="00A66FA9">
        <w:rPr>
          <w:smallCaps/>
          <w:szCs w:val="24"/>
        </w:rPr>
        <w:t>Klinken</w:t>
      </w:r>
      <w:proofErr w:type="spellEnd"/>
      <w:r w:rsidRPr="00A66FA9">
        <w:rPr>
          <w:smallCaps/>
          <w:szCs w:val="24"/>
        </w:rPr>
        <w:t>, G.J.</w:t>
      </w:r>
      <w:r w:rsidRPr="00A66FA9">
        <w:rPr>
          <w:szCs w:val="24"/>
        </w:rPr>
        <w:t xml:space="preserve"> 1999. Bone collagen quality indicators for palaeodietary and radiocarbon measurements. </w:t>
      </w:r>
      <w:r w:rsidRPr="00A66FA9">
        <w:rPr>
          <w:i/>
          <w:szCs w:val="24"/>
        </w:rPr>
        <w:t>Journal of Archaeological Science</w:t>
      </w:r>
      <w:r w:rsidRPr="00A66FA9">
        <w:rPr>
          <w:szCs w:val="24"/>
        </w:rPr>
        <w:t xml:space="preserve"> 26: 687–95. https://doi.org/10.1006/jasc.1998.0385</w:t>
      </w:r>
    </w:p>
    <w:p w14:paraId="61FCB5AA" w14:textId="77777777" w:rsidR="0095724A" w:rsidRPr="00A66FA9" w:rsidRDefault="0095724A" w:rsidP="0095724A">
      <w:pPr>
        <w:spacing w:after="0" w:line="360" w:lineRule="auto"/>
        <w:ind w:left="0" w:firstLine="0"/>
        <w:jc w:val="left"/>
        <w:rPr>
          <w:szCs w:val="24"/>
        </w:rPr>
      </w:pPr>
      <w:r w:rsidRPr="00A66FA9">
        <w:rPr>
          <w:smallCaps/>
          <w:szCs w:val="24"/>
        </w:rPr>
        <w:t>Vogel, J.C. &amp; N.J. van der Merwe</w:t>
      </w:r>
      <w:r w:rsidRPr="00A66FA9">
        <w:rPr>
          <w:szCs w:val="24"/>
        </w:rPr>
        <w:t xml:space="preserve">. 1977. Isotopic evidence for early maize cultivation in New York State. </w:t>
      </w:r>
      <w:r w:rsidRPr="00A66FA9">
        <w:rPr>
          <w:i/>
          <w:szCs w:val="24"/>
        </w:rPr>
        <w:t>American Antiquity</w:t>
      </w:r>
      <w:r w:rsidRPr="00A66FA9">
        <w:rPr>
          <w:szCs w:val="24"/>
        </w:rPr>
        <w:t xml:space="preserve"> 42: 238–42. https://doi.org/10.2307/278984</w:t>
      </w:r>
    </w:p>
    <w:p w14:paraId="36D2345E" w14:textId="77777777" w:rsidR="0095724A" w:rsidRPr="00A66FA9" w:rsidRDefault="0095724A" w:rsidP="0095724A">
      <w:pPr>
        <w:spacing w:after="0" w:line="360" w:lineRule="auto"/>
        <w:ind w:left="0" w:firstLine="0"/>
        <w:jc w:val="left"/>
        <w:rPr>
          <w:szCs w:val="24"/>
        </w:rPr>
      </w:pPr>
      <w:proofErr w:type="spellStart"/>
      <w:r w:rsidRPr="00A66FA9">
        <w:rPr>
          <w:smallCaps/>
          <w:szCs w:val="24"/>
        </w:rPr>
        <w:t>Warinner</w:t>
      </w:r>
      <w:proofErr w:type="spellEnd"/>
      <w:r w:rsidRPr="00A66FA9">
        <w:rPr>
          <w:smallCaps/>
          <w:szCs w:val="24"/>
        </w:rPr>
        <w:t xml:space="preserve">, C. &amp; N. </w:t>
      </w:r>
      <w:proofErr w:type="spellStart"/>
      <w:r w:rsidRPr="00A66FA9">
        <w:rPr>
          <w:smallCaps/>
          <w:szCs w:val="24"/>
        </w:rPr>
        <w:t>Tuross</w:t>
      </w:r>
      <w:proofErr w:type="spellEnd"/>
      <w:r w:rsidRPr="00A66FA9">
        <w:rPr>
          <w:szCs w:val="24"/>
        </w:rPr>
        <w:t xml:space="preserve">. 2009. Alkaline cooking and stable isotope tissue-diet spacing in swine: archaeological implications. </w:t>
      </w:r>
      <w:r w:rsidRPr="00A66FA9">
        <w:rPr>
          <w:i/>
          <w:szCs w:val="24"/>
        </w:rPr>
        <w:t>Journal of Archaeological Science</w:t>
      </w:r>
      <w:r w:rsidRPr="00A66FA9">
        <w:rPr>
          <w:szCs w:val="24"/>
        </w:rPr>
        <w:t xml:space="preserve"> 36: 1690–97. https://doi.org/10.1016/j.jas.2009.03.034</w:t>
      </w:r>
    </w:p>
    <w:p w14:paraId="392FCC6C" w14:textId="77777777" w:rsidR="0095724A" w:rsidRPr="00A66FA9" w:rsidRDefault="0095724A" w:rsidP="0095724A">
      <w:pPr>
        <w:spacing w:after="0" w:line="360" w:lineRule="auto"/>
        <w:ind w:left="0" w:firstLine="0"/>
        <w:jc w:val="left"/>
        <w:rPr>
          <w:szCs w:val="24"/>
        </w:rPr>
      </w:pPr>
      <w:r w:rsidRPr="00A66FA9">
        <w:rPr>
          <w:smallCaps/>
          <w:szCs w:val="24"/>
        </w:rPr>
        <w:t xml:space="preserve">Webb, E.C., C.D. White &amp; F.J. </w:t>
      </w:r>
      <w:proofErr w:type="spellStart"/>
      <w:r w:rsidRPr="00A66FA9">
        <w:rPr>
          <w:smallCaps/>
          <w:szCs w:val="24"/>
        </w:rPr>
        <w:t>Longstaffe</w:t>
      </w:r>
      <w:proofErr w:type="spellEnd"/>
      <w:r w:rsidRPr="00A66FA9">
        <w:rPr>
          <w:szCs w:val="24"/>
        </w:rPr>
        <w:t xml:space="preserve">. 2014. Investigating inherent differences in isotopic composition between human bone and enamel bioapatite: implications for reconstructing residential histories. </w:t>
      </w:r>
      <w:r w:rsidRPr="00A66FA9">
        <w:rPr>
          <w:i/>
          <w:szCs w:val="24"/>
        </w:rPr>
        <w:t>Journal of Archaeological Science</w:t>
      </w:r>
      <w:r w:rsidRPr="00A66FA9">
        <w:rPr>
          <w:szCs w:val="24"/>
        </w:rPr>
        <w:t xml:space="preserve"> 50: 97–107. https://doi.org/10.1016/j.jas.2014.07.001</w:t>
      </w:r>
    </w:p>
    <w:p w14:paraId="79C20FA4" w14:textId="77777777" w:rsidR="0095724A" w:rsidRPr="00A66FA9" w:rsidRDefault="0095724A" w:rsidP="0095724A">
      <w:pPr>
        <w:spacing w:after="0" w:line="360" w:lineRule="auto"/>
        <w:ind w:left="0" w:firstLine="0"/>
        <w:jc w:val="left"/>
        <w:rPr>
          <w:szCs w:val="24"/>
        </w:rPr>
      </w:pPr>
      <w:r w:rsidRPr="00A66FA9">
        <w:rPr>
          <w:smallCaps/>
          <w:szCs w:val="24"/>
        </w:rPr>
        <w:t>Yoder, C</w:t>
      </w:r>
      <w:r w:rsidRPr="00A66FA9">
        <w:rPr>
          <w:szCs w:val="24"/>
        </w:rPr>
        <w:t xml:space="preserve">. 2012. Let them eat cake? Status-based differences in diet in medieval Denmark. </w:t>
      </w:r>
      <w:r w:rsidRPr="00A66FA9">
        <w:rPr>
          <w:i/>
          <w:szCs w:val="24"/>
        </w:rPr>
        <w:t>Journal of Archaeological Science</w:t>
      </w:r>
      <w:r w:rsidRPr="00A66FA9">
        <w:rPr>
          <w:szCs w:val="24"/>
        </w:rPr>
        <w:t xml:space="preserve"> 39: 1183–93. https://doi.org/https://doi.org/10.1016/j.jas.2011.12.029</w:t>
      </w:r>
    </w:p>
    <w:p w14:paraId="4320D167" w14:textId="1FAAD8A8" w:rsidR="00823BB0" w:rsidRPr="00A66FA9" w:rsidRDefault="00823BB0" w:rsidP="002C59CD">
      <w:pPr>
        <w:spacing w:after="0" w:line="360" w:lineRule="auto"/>
        <w:ind w:left="0" w:firstLine="0"/>
        <w:jc w:val="left"/>
        <w:rPr>
          <w:szCs w:val="24"/>
        </w:rPr>
      </w:pPr>
    </w:p>
    <w:sectPr w:rsidR="00823BB0" w:rsidRPr="00A66FA9" w:rsidSect="002C59CD">
      <w:footerReference w:type="even" r:id="rId7"/>
      <w:footerReference w:type="default" r:id="rId8"/>
      <w:footerReference w:type="first" r:id="rId9"/>
      <w:pgSz w:w="11906" w:h="16838"/>
      <w:pgMar w:top="1440" w:right="1440" w:bottom="1440" w:left="1440" w:header="720" w:footer="69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86FB7" w14:textId="77777777" w:rsidR="00915444" w:rsidRDefault="00915444">
      <w:pPr>
        <w:spacing w:after="0" w:line="240" w:lineRule="auto"/>
      </w:pPr>
      <w:r>
        <w:separator/>
      </w:r>
    </w:p>
  </w:endnote>
  <w:endnote w:type="continuationSeparator" w:id="0">
    <w:p w14:paraId="79D09140" w14:textId="77777777" w:rsidR="00915444" w:rsidRDefault="0091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8CA" w14:textId="77777777" w:rsidR="00823BB0" w:rsidRDefault="006E45E1">
    <w:pPr>
      <w:tabs>
        <w:tab w:val="right" w:pos="8507"/>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D9C3" w14:textId="66FBAF4D" w:rsidR="00823BB0" w:rsidRDefault="00823BB0">
    <w:pPr>
      <w:tabs>
        <w:tab w:val="right" w:pos="8507"/>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568E" w14:textId="77777777" w:rsidR="00823BB0" w:rsidRDefault="006E45E1">
    <w:pPr>
      <w:tabs>
        <w:tab w:val="right" w:pos="8507"/>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C47E2" w14:textId="77777777" w:rsidR="00915444" w:rsidRDefault="00915444">
      <w:pPr>
        <w:spacing w:after="0" w:line="240" w:lineRule="auto"/>
      </w:pPr>
      <w:r>
        <w:separator/>
      </w:r>
    </w:p>
  </w:footnote>
  <w:footnote w:type="continuationSeparator" w:id="0">
    <w:p w14:paraId="745957F2" w14:textId="77777777" w:rsidR="00915444" w:rsidRDefault="00915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4097B"/>
    <w:multiLevelType w:val="hybridMultilevel"/>
    <w:tmpl w:val="74D20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A76885"/>
    <w:multiLevelType w:val="hybridMultilevel"/>
    <w:tmpl w:val="9378E7E4"/>
    <w:lvl w:ilvl="0" w:tplc="040A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92212"/>
    <w:multiLevelType w:val="hybridMultilevel"/>
    <w:tmpl w:val="6A721C30"/>
    <w:lvl w:ilvl="0" w:tplc="C30E6AEE">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EC048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EA1A9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BA152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DA12A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58036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5A9FE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2AE4F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981AE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36551505">
    <w:abstractNumId w:val="2"/>
  </w:num>
  <w:num w:numId="2" w16cid:durableId="1000161949">
    <w:abstractNumId w:val="0"/>
  </w:num>
  <w:num w:numId="3" w16cid:durableId="1296834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BB0"/>
    <w:rsid w:val="000003B0"/>
    <w:rsid w:val="00003A1F"/>
    <w:rsid w:val="000233D5"/>
    <w:rsid w:val="00051A83"/>
    <w:rsid w:val="000625DC"/>
    <w:rsid w:val="00081202"/>
    <w:rsid w:val="00090AA2"/>
    <w:rsid w:val="0009206E"/>
    <w:rsid w:val="000B437A"/>
    <w:rsid w:val="000E0DE9"/>
    <w:rsid w:val="000E4833"/>
    <w:rsid w:val="000E521E"/>
    <w:rsid w:val="00157FF1"/>
    <w:rsid w:val="00167259"/>
    <w:rsid w:val="001742B9"/>
    <w:rsid w:val="00187092"/>
    <w:rsid w:val="001901E1"/>
    <w:rsid w:val="001974C1"/>
    <w:rsid w:val="001A7934"/>
    <w:rsid w:val="001E732C"/>
    <w:rsid w:val="001F7323"/>
    <w:rsid w:val="0027199B"/>
    <w:rsid w:val="002C0706"/>
    <w:rsid w:val="002C59CD"/>
    <w:rsid w:val="002D7FF6"/>
    <w:rsid w:val="002E3299"/>
    <w:rsid w:val="00307CA4"/>
    <w:rsid w:val="00326D1B"/>
    <w:rsid w:val="003630CE"/>
    <w:rsid w:val="00372A61"/>
    <w:rsid w:val="00393107"/>
    <w:rsid w:val="003A297A"/>
    <w:rsid w:val="003B52DF"/>
    <w:rsid w:val="003D1F51"/>
    <w:rsid w:val="003E6D5E"/>
    <w:rsid w:val="00416D26"/>
    <w:rsid w:val="00432EE6"/>
    <w:rsid w:val="00474195"/>
    <w:rsid w:val="0048701D"/>
    <w:rsid w:val="004B7886"/>
    <w:rsid w:val="004D1337"/>
    <w:rsid w:val="004E7BF8"/>
    <w:rsid w:val="005158FE"/>
    <w:rsid w:val="0051721E"/>
    <w:rsid w:val="00520704"/>
    <w:rsid w:val="005217FB"/>
    <w:rsid w:val="00542AEF"/>
    <w:rsid w:val="005574F0"/>
    <w:rsid w:val="00580E2A"/>
    <w:rsid w:val="00630D69"/>
    <w:rsid w:val="00672284"/>
    <w:rsid w:val="0068769C"/>
    <w:rsid w:val="006A7C65"/>
    <w:rsid w:val="006D58A1"/>
    <w:rsid w:val="006E45E1"/>
    <w:rsid w:val="006F036D"/>
    <w:rsid w:val="006F1457"/>
    <w:rsid w:val="00746078"/>
    <w:rsid w:val="00767E05"/>
    <w:rsid w:val="007B0325"/>
    <w:rsid w:val="007C7699"/>
    <w:rsid w:val="007F1EF9"/>
    <w:rsid w:val="00805E6B"/>
    <w:rsid w:val="0080757C"/>
    <w:rsid w:val="00823BB0"/>
    <w:rsid w:val="00862D37"/>
    <w:rsid w:val="00867E27"/>
    <w:rsid w:val="008710E1"/>
    <w:rsid w:val="00872573"/>
    <w:rsid w:val="008C4900"/>
    <w:rsid w:val="008D60BD"/>
    <w:rsid w:val="00915444"/>
    <w:rsid w:val="009277CA"/>
    <w:rsid w:val="00931CB1"/>
    <w:rsid w:val="009464B5"/>
    <w:rsid w:val="0095724A"/>
    <w:rsid w:val="00972D05"/>
    <w:rsid w:val="009B5DB9"/>
    <w:rsid w:val="009C09AE"/>
    <w:rsid w:val="009C35E6"/>
    <w:rsid w:val="009E0661"/>
    <w:rsid w:val="009E16F1"/>
    <w:rsid w:val="009F30E5"/>
    <w:rsid w:val="00A14945"/>
    <w:rsid w:val="00A2750C"/>
    <w:rsid w:val="00A66FA9"/>
    <w:rsid w:val="00A74E94"/>
    <w:rsid w:val="00A84910"/>
    <w:rsid w:val="00AD5503"/>
    <w:rsid w:val="00AD7756"/>
    <w:rsid w:val="00AE1541"/>
    <w:rsid w:val="00AF784C"/>
    <w:rsid w:val="00B06277"/>
    <w:rsid w:val="00B27F49"/>
    <w:rsid w:val="00B368DC"/>
    <w:rsid w:val="00B9275E"/>
    <w:rsid w:val="00BA5D34"/>
    <w:rsid w:val="00BC2408"/>
    <w:rsid w:val="00BC3348"/>
    <w:rsid w:val="00BF03F7"/>
    <w:rsid w:val="00BF50D9"/>
    <w:rsid w:val="00C344C7"/>
    <w:rsid w:val="00C94C63"/>
    <w:rsid w:val="00CA749E"/>
    <w:rsid w:val="00CC2723"/>
    <w:rsid w:val="00CD4A75"/>
    <w:rsid w:val="00CD4A81"/>
    <w:rsid w:val="00D12040"/>
    <w:rsid w:val="00D27416"/>
    <w:rsid w:val="00D43FE1"/>
    <w:rsid w:val="00D44E97"/>
    <w:rsid w:val="00D4519F"/>
    <w:rsid w:val="00D47D55"/>
    <w:rsid w:val="00D51A8D"/>
    <w:rsid w:val="00D53F90"/>
    <w:rsid w:val="00D57C10"/>
    <w:rsid w:val="00D62332"/>
    <w:rsid w:val="00D7783E"/>
    <w:rsid w:val="00D84D87"/>
    <w:rsid w:val="00DC1167"/>
    <w:rsid w:val="00DC19E4"/>
    <w:rsid w:val="00DC35A8"/>
    <w:rsid w:val="00E06760"/>
    <w:rsid w:val="00E573AA"/>
    <w:rsid w:val="00E74664"/>
    <w:rsid w:val="00E90F16"/>
    <w:rsid w:val="00EB6CCA"/>
    <w:rsid w:val="00EC68AC"/>
    <w:rsid w:val="00ED486B"/>
    <w:rsid w:val="00EE7FC1"/>
    <w:rsid w:val="00EF2A1F"/>
    <w:rsid w:val="00EF2A40"/>
    <w:rsid w:val="00EF33D1"/>
    <w:rsid w:val="00F11DE9"/>
    <w:rsid w:val="00F80B84"/>
    <w:rsid w:val="00F862B0"/>
    <w:rsid w:val="00FB080E"/>
    <w:rsid w:val="00FE6EC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11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490" w:hanging="49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2" w:line="249" w:lineRule="auto"/>
      <w:ind w:left="10" w:right="3" w:hanging="10"/>
      <w:jc w:val="both"/>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27" w:line="248" w:lineRule="auto"/>
      <w:ind w:left="37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BodyA">
    <w:name w:val="Body A"/>
    <w:rsid w:val="002C59CD"/>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eastAsia="es-ES"/>
      <w14:ligatures w14:val="none"/>
    </w:rPr>
  </w:style>
  <w:style w:type="character" w:styleId="CommentReference">
    <w:name w:val="annotation reference"/>
    <w:basedOn w:val="DefaultParagraphFont"/>
    <w:uiPriority w:val="99"/>
    <w:semiHidden/>
    <w:unhideWhenUsed/>
    <w:rsid w:val="002C59CD"/>
    <w:rPr>
      <w:sz w:val="16"/>
      <w:szCs w:val="16"/>
    </w:rPr>
  </w:style>
  <w:style w:type="paragraph" w:styleId="CommentText">
    <w:name w:val="annotation text"/>
    <w:basedOn w:val="Normal"/>
    <w:link w:val="CommentTextChar"/>
    <w:uiPriority w:val="99"/>
    <w:unhideWhenUsed/>
    <w:rsid w:val="002C59CD"/>
    <w:pPr>
      <w:spacing w:after="0" w:line="240" w:lineRule="auto"/>
      <w:ind w:left="0" w:firstLine="0"/>
      <w:jc w:val="left"/>
    </w:pPr>
    <w:rPr>
      <w:rFonts w:asciiTheme="minorHAnsi" w:eastAsiaTheme="minorHAnsi" w:hAnsiTheme="minorHAnsi" w:cstheme="minorBidi"/>
      <w:color w:val="auto"/>
      <w:kern w:val="0"/>
      <w:sz w:val="20"/>
      <w:szCs w:val="20"/>
      <w:lang w:val="es-ES" w:eastAsia="en-US"/>
      <w14:ligatures w14:val="none"/>
    </w:rPr>
  </w:style>
  <w:style w:type="character" w:customStyle="1" w:styleId="CommentTextChar">
    <w:name w:val="Comment Text Char"/>
    <w:basedOn w:val="DefaultParagraphFont"/>
    <w:link w:val="CommentText"/>
    <w:uiPriority w:val="99"/>
    <w:rsid w:val="002C59CD"/>
    <w:rPr>
      <w:rFonts w:eastAsiaTheme="minorHAnsi"/>
      <w:kern w:val="0"/>
      <w:sz w:val="20"/>
      <w:szCs w:val="20"/>
      <w:lang w:val="es-ES" w:eastAsia="en-US"/>
      <w14:ligatures w14:val="none"/>
    </w:rPr>
  </w:style>
  <w:style w:type="paragraph" w:styleId="ListParagraph">
    <w:name w:val="List Paragraph"/>
    <w:basedOn w:val="Normal"/>
    <w:uiPriority w:val="34"/>
    <w:qFormat/>
    <w:rsid w:val="002C59CD"/>
    <w:pPr>
      <w:ind w:left="720"/>
      <w:contextualSpacing/>
    </w:pPr>
  </w:style>
  <w:style w:type="paragraph" w:styleId="CommentSubject">
    <w:name w:val="annotation subject"/>
    <w:basedOn w:val="CommentText"/>
    <w:next w:val="CommentText"/>
    <w:link w:val="CommentSubjectChar"/>
    <w:uiPriority w:val="99"/>
    <w:semiHidden/>
    <w:unhideWhenUsed/>
    <w:rsid w:val="006E45E1"/>
    <w:pPr>
      <w:spacing w:after="5"/>
      <w:ind w:left="490" w:hanging="490"/>
      <w:jc w:val="both"/>
    </w:pPr>
    <w:rPr>
      <w:rFonts w:ascii="Times New Roman" w:eastAsia="Times New Roman" w:hAnsi="Times New Roman" w:cs="Times New Roman"/>
      <w:b/>
      <w:bCs/>
      <w:color w:val="000000"/>
      <w:kern w:val="2"/>
      <w:lang w:val="en-GB" w:eastAsia="en-GB"/>
      <w14:ligatures w14:val="standardContextual"/>
    </w:rPr>
  </w:style>
  <w:style w:type="character" w:customStyle="1" w:styleId="CommentSubjectChar">
    <w:name w:val="Comment Subject Char"/>
    <w:basedOn w:val="CommentTextChar"/>
    <w:link w:val="CommentSubject"/>
    <w:uiPriority w:val="99"/>
    <w:semiHidden/>
    <w:rsid w:val="006E45E1"/>
    <w:rPr>
      <w:rFonts w:ascii="Times New Roman" w:eastAsia="Times New Roman" w:hAnsi="Times New Roman" w:cs="Times New Roman"/>
      <w:b/>
      <w:bCs/>
      <w:color w:val="000000"/>
      <w:kern w:val="0"/>
      <w:sz w:val="20"/>
      <w:szCs w:val="20"/>
      <w:lang w:val="es-ES" w:eastAsia="en-US"/>
      <w14:ligatures w14:val="none"/>
    </w:rPr>
  </w:style>
  <w:style w:type="paragraph" w:customStyle="1" w:styleId="EndNoteBibliography">
    <w:name w:val="EndNote Bibliography"/>
    <w:basedOn w:val="Normal"/>
    <w:link w:val="EndNoteBibliographyChar"/>
    <w:rsid w:val="00AE1541"/>
    <w:pPr>
      <w:spacing w:after="200" w:line="240" w:lineRule="auto"/>
      <w:ind w:left="0" w:firstLine="0"/>
      <w:jc w:val="left"/>
    </w:pPr>
    <w:rPr>
      <w:rFonts w:ascii="Calibri" w:eastAsiaTheme="minorHAnsi" w:hAnsi="Calibri" w:cs="Calibri"/>
      <w:noProof/>
      <w:color w:val="auto"/>
      <w:kern w:val="0"/>
      <w:sz w:val="22"/>
      <w:lang w:val="en-US" w:eastAsia="en-US"/>
      <w14:ligatures w14:val="none"/>
    </w:rPr>
  </w:style>
  <w:style w:type="character" w:customStyle="1" w:styleId="EndNoteBibliographyChar">
    <w:name w:val="EndNote Bibliography Char"/>
    <w:basedOn w:val="DefaultParagraphFont"/>
    <w:link w:val="EndNoteBibliography"/>
    <w:rsid w:val="00AE1541"/>
    <w:rPr>
      <w:rFonts w:ascii="Calibri" w:eastAsiaTheme="minorHAnsi" w:hAnsi="Calibri" w:cs="Calibri"/>
      <w:noProof/>
      <w:kern w:val="0"/>
      <w:lang w:val="en-US" w:eastAsia="en-US"/>
      <w14:ligatures w14:val="none"/>
    </w:rPr>
  </w:style>
  <w:style w:type="paragraph" w:styleId="Revision">
    <w:name w:val="Revision"/>
    <w:hidden/>
    <w:uiPriority w:val="99"/>
    <w:semiHidden/>
    <w:rsid w:val="0080757C"/>
    <w:pPr>
      <w:spacing w:after="0" w:line="240" w:lineRule="auto"/>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E573AA"/>
    <w:rPr>
      <w:color w:val="0563C1" w:themeColor="hyperlink"/>
      <w:u w:val="single"/>
    </w:rPr>
  </w:style>
  <w:style w:type="character" w:styleId="UnresolvedMention">
    <w:name w:val="Unresolved Mention"/>
    <w:basedOn w:val="DefaultParagraphFont"/>
    <w:uiPriority w:val="99"/>
    <w:semiHidden/>
    <w:unhideWhenUsed/>
    <w:rsid w:val="00E573AA"/>
    <w:rPr>
      <w:color w:val="605E5C"/>
      <w:shd w:val="clear" w:color="auto" w:fill="E1DFDD"/>
    </w:rPr>
  </w:style>
  <w:style w:type="paragraph" w:styleId="Header">
    <w:name w:val="header"/>
    <w:basedOn w:val="Normal"/>
    <w:link w:val="HeaderChar"/>
    <w:uiPriority w:val="99"/>
    <w:unhideWhenUsed/>
    <w:rsid w:val="0086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D3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084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4327</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2024-05-17T09:15:00Z</dcterms:created>
  <dcterms:modified xsi:type="dcterms:W3CDTF">2024-05-17T09:15:00Z</dcterms:modified>
</cp:coreProperties>
</file>