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2E2C3" w14:textId="5560243D" w:rsidR="001F1446" w:rsidRPr="001F1446" w:rsidRDefault="001F1446" w:rsidP="001F1446">
      <w:pPr>
        <w:spacing w:after="0" w:line="360" w:lineRule="auto"/>
        <w:rPr>
          <w:rFonts w:ascii="Times New Roman" w:hAnsi="Times New Roman"/>
          <w:b/>
          <w:sz w:val="24"/>
          <w:szCs w:val="24"/>
        </w:rPr>
      </w:pPr>
      <w:r w:rsidRPr="001F1446">
        <w:rPr>
          <w:rFonts w:ascii="Times New Roman" w:hAnsi="Times New Roman"/>
          <w:b/>
          <w:sz w:val="24"/>
          <w:szCs w:val="24"/>
        </w:rPr>
        <w:t>[For SUPPLEMENTARY MATERIAL]</w:t>
      </w:r>
    </w:p>
    <w:p w14:paraId="73524374" w14:textId="2AF6EF00" w:rsidR="001F1446" w:rsidRPr="001F1446" w:rsidRDefault="001F1446" w:rsidP="001F1446">
      <w:pPr>
        <w:spacing w:after="0" w:line="360" w:lineRule="auto"/>
        <w:rPr>
          <w:rFonts w:ascii="Times New Roman" w:hAnsi="Times New Roman"/>
          <w:b/>
          <w:sz w:val="24"/>
          <w:szCs w:val="24"/>
        </w:rPr>
      </w:pPr>
      <w:r w:rsidRPr="001F1446">
        <w:rPr>
          <w:rFonts w:ascii="Times New Roman" w:hAnsi="Times New Roman"/>
          <w:b/>
          <w:sz w:val="24"/>
          <w:szCs w:val="24"/>
        </w:rPr>
        <w:t xml:space="preserve">The life and death of cremated infants and children from the Neo-Punic Tophet at </w:t>
      </w:r>
      <w:r w:rsidR="002E3425">
        <w:rPr>
          <w:rFonts w:ascii="Times New Roman" w:hAnsi="Times New Roman"/>
          <w:b/>
          <w:sz w:val="24"/>
          <w:szCs w:val="24"/>
        </w:rPr>
        <w:t>Zitha</w:t>
      </w:r>
      <w:r w:rsidRPr="001F1446">
        <w:rPr>
          <w:rFonts w:ascii="Times New Roman" w:hAnsi="Times New Roman"/>
          <w:b/>
          <w:sz w:val="24"/>
          <w:szCs w:val="24"/>
        </w:rPr>
        <w:t>, Tunisia</w:t>
      </w:r>
    </w:p>
    <w:p w14:paraId="35F2B992" w14:textId="1EFDB98A" w:rsidR="001F1446" w:rsidRPr="001F1446" w:rsidRDefault="001F1446" w:rsidP="001F1446">
      <w:pPr>
        <w:spacing w:after="0" w:line="360" w:lineRule="auto"/>
        <w:rPr>
          <w:rFonts w:ascii="Times New Roman" w:hAnsi="Times New Roman"/>
          <w:bCs/>
          <w:sz w:val="24"/>
          <w:szCs w:val="24"/>
        </w:rPr>
      </w:pPr>
      <w:r w:rsidRPr="001F1446">
        <w:rPr>
          <w:rFonts w:ascii="Times New Roman" w:hAnsi="Times New Roman"/>
          <w:bCs/>
          <w:sz w:val="24"/>
          <w:szCs w:val="24"/>
        </w:rPr>
        <w:t>Jessica I. Cerezo-Román</w:t>
      </w:r>
      <w:r w:rsidRPr="001F1446">
        <w:rPr>
          <w:rFonts w:ascii="Times New Roman" w:hAnsi="Times New Roman"/>
          <w:bCs/>
          <w:sz w:val="24"/>
          <w:szCs w:val="24"/>
          <w:vertAlign w:val="superscript"/>
        </w:rPr>
        <w:t>1,*</w:t>
      </w:r>
      <w:r w:rsidRPr="001F1446">
        <w:rPr>
          <w:rFonts w:ascii="Times New Roman" w:hAnsi="Times New Roman"/>
          <w:bCs/>
          <w:sz w:val="24"/>
          <w:szCs w:val="24"/>
        </w:rPr>
        <w:t xml:space="preserve"> [ORCID: 0000-0002-7752-8079], Brett Kaufman</w:t>
      </w:r>
      <w:r w:rsidRPr="001F1446">
        <w:rPr>
          <w:rFonts w:ascii="Times New Roman" w:hAnsi="Times New Roman"/>
          <w:bCs/>
          <w:sz w:val="24"/>
          <w:szCs w:val="24"/>
          <w:vertAlign w:val="superscript"/>
        </w:rPr>
        <w:t>2</w:t>
      </w:r>
      <w:r w:rsidRPr="001F1446">
        <w:rPr>
          <w:rFonts w:ascii="Times New Roman" w:hAnsi="Times New Roman"/>
          <w:bCs/>
          <w:sz w:val="24"/>
          <w:szCs w:val="24"/>
        </w:rPr>
        <w:t xml:space="preserve"> [ORCID: 0000-0001-9670-9054], Glenys McGowan</w:t>
      </w:r>
      <w:r w:rsidRPr="001F1446">
        <w:rPr>
          <w:rFonts w:ascii="Times New Roman" w:hAnsi="Times New Roman"/>
          <w:bCs/>
          <w:sz w:val="24"/>
          <w:szCs w:val="24"/>
          <w:vertAlign w:val="superscript"/>
        </w:rPr>
        <w:t>3</w:t>
      </w:r>
      <w:r w:rsidRPr="001F1446">
        <w:rPr>
          <w:rFonts w:ascii="Times New Roman" w:hAnsi="Times New Roman"/>
          <w:bCs/>
          <w:sz w:val="24"/>
          <w:szCs w:val="24"/>
        </w:rPr>
        <w:t>, Ali Drine</w:t>
      </w:r>
      <w:r w:rsidRPr="001F1446">
        <w:rPr>
          <w:rFonts w:ascii="Times New Roman" w:hAnsi="Times New Roman"/>
          <w:bCs/>
          <w:sz w:val="24"/>
          <w:szCs w:val="24"/>
          <w:vertAlign w:val="superscript"/>
        </w:rPr>
        <w:t>4</w:t>
      </w:r>
      <w:r w:rsidRPr="001F1446">
        <w:rPr>
          <w:rFonts w:ascii="Times New Roman" w:hAnsi="Times New Roman"/>
          <w:bCs/>
          <w:sz w:val="24"/>
          <w:szCs w:val="24"/>
        </w:rPr>
        <w:t>, Thomas R. Fenn</w:t>
      </w:r>
      <w:r w:rsidRPr="001F1446">
        <w:rPr>
          <w:rFonts w:ascii="Times New Roman" w:hAnsi="Times New Roman"/>
          <w:bCs/>
          <w:sz w:val="24"/>
          <w:szCs w:val="24"/>
          <w:vertAlign w:val="superscript"/>
        </w:rPr>
        <w:t>1</w:t>
      </w:r>
      <w:r w:rsidR="00F278E8" w:rsidRPr="00336EED">
        <w:rPr>
          <w:rFonts w:ascii="Times New Roman" w:hAnsi="Times New Roman"/>
          <w:bCs/>
          <w:sz w:val="24"/>
          <w:szCs w:val="24"/>
        </w:rPr>
        <w:t xml:space="preserve">[ORCID: </w:t>
      </w:r>
      <w:r w:rsidR="00F278E8" w:rsidRPr="003F567A">
        <w:rPr>
          <w:rFonts w:ascii="Times New Roman" w:hAnsi="Times New Roman"/>
          <w:sz w:val="24"/>
          <w:szCs w:val="24"/>
        </w:rPr>
        <w:t>0000-0001-8560-6797</w:t>
      </w:r>
      <w:r w:rsidR="00F278E8" w:rsidRPr="006E30B4">
        <w:rPr>
          <w:rFonts w:ascii="Times New Roman" w:hAnsi="Times New Roman"/>
          <w:bCs/>
          <w:sz w:val="24"/>
          <w:szCs w:val="24"/>
        </w:rPr>
        <w:t>]</w:t>
      </w:r>
      <w:r w:rsidRPr="001F1446">
        <w:rPr>
          <w:rFonts w:ascii="Times New Roman" w:hAnsi="Times New Roman"/>
          <w:bCs/>
          <w:sz w:val="24"/>
          <w:szCs w:val="24"/>
        </w:rPr>
        <w:t>, Hans Barnard</w:t>
      </w:r>
      <w:r w:rsidRPr="001F1446">
        <w:rPr>
          <w:rFonts w:ascii="Times New Roman" w:hAnsi="Times New Roman"/>
          <w:bCs/>
          <w:sz w:val="24"/>
          <w:szCs w:val="24"/>
          <w:vertAlign w:val="superscript"/>
        </w:rPr>
        <w:t>5</w:t>
      </w:r>
      <w:r w:rsidR="008E5E11" w:rsidRPr="00336EED">
        <w:rPr>
          <w:rFonts w:ascii="Times New Roman" w:hAnsi="Times New Roman"/>
          <w:bCs/>
          <w:sz w:val="24"/>
          <w:szCs w:val="24"/>
        </w:rPr>
        <w:t>[</w:t>
      </w:r>
      <w:r w:rsidR="008E5E11" w:rsidRPr="008F7CAF">
        <w:rPr>
          <w:rFonts w:ascii="Times New Roman" w:hAnsi="Times New Roman"/>
          <w:bCs/>
          <w:sz w:val="24"/>
          <w:szCs w:val="24"/>
        </w:rPr>
        <w:t>ORCID: 0000-0001-7356-1632</w:t>
      </w:r>
      <w:r w:rsidR="008E5E11" w:rsidRPr="006E30B4">
        <w:rPr>
          <w:rFonts w:ascii="Times New Roman" w:hAnsi="Times New Roman"/>
          <w:bCs/>
          <w:sz w:val="24"/>
          <w:szCs w:val="24"/>
        </w:rPr>
        <w:t>]</w:t>
      </w:r>
      <w:r w:rsidRPr="001F1446">
        <w:rPr>
          <w:rFonts w:ascii="Times New Roman" w:hAnsi="Times New Roman"/>
          <w:bCs/>
          <w:sz w:val="24"/>
          <w:szCs w:val="24"/>
        </w:rPr>
        <w:t>, Rayed Khedher</w:t>
      </w:r>
      <w:r w:rsidRPr="001F1446">
        <w:rPr>
          <w:rFonts w:ascii="Times New Roman" w:hAnsi="Times New Roman"/>
          <w:bCs/>
          <w:sz w:val="24"/>
          <w:szCs w:val="24"/>
          <w:vertAlign w:val="superscript"/>
        </w:rPr>
        <w:t>6</w:t>
      </w:r>
      <w:r w:rsidRPr="001F1446">
        <w:rPr>
          <w:rFonts w:ascii="Times New Roman" w:hAnsi="Times New Roman"/>
          <w:bCs/>
          <w:sz w:val="24"/>
          <w:szCs w:val="24"/>
        </w:rPr>
        <w:t>, Sami Ben Tahar</w:t>
      </w:r>
      <w:r w:rsidRPr="001F1446">
        <w:rPr>
          <w:rFonts w:ascii="Times New Roman" w:hAnsi="Times New Roman"/>
          <w:bCs/>
          <w:sz w:val="24"/>
          <w:szCs w:val="24"/>
          <w:vertAlign w:val="superscript"/>
        </w:rPr>
        <w:t>4</w:t>
      </w:r>
      <w:r w:rsidRPr="001F1446">
        <w:rPr>
          <w:rFonts w:ascii="Times New Roman" w:hAnsi="Times New Roman"/>
          <w:bCs/>
          <w:sz w:val="24"/>
          <w:szCs w:val="24"/>
        </w:rPr>
        <w:t>, Stacy Edington</w:t>
      </w:r>
      <w:r w:rsidRPr="001F1446">
        <w:rPr>
          <w:rFonts w:ascii="Times New Roman" w:hAnsi="Times New Roman"/>
          <w:bCs/>
          <w:sz w:val="24"/>
          <w:szCs w:val="24"/>
          <w:vertAlign w:val="superscript"/>
        </w:rPr>
        <w:t>7</w:t>
      </w:r>
      <w:r w:rsidRPr="001F1446">
        <w:rPr>
          <w:rFonts w:ascii="Times New Roman" w:hAnsi="Times New Roman"/>
          <w:bCs/>
          <w:sz w:val="24"/>
          <w:szCs w:val="24"/>
        </w:rPr>
        <w:t>, Elyssa Jerray</w:t>
      </w:r>
      <w:r w:rsidRPr="001F1446">
        <w:rPr>
          <w:rFonts w:ascii="Times New Roman" w:hAnsi="Times New Roman"/>
          <w:bCs/>
          <w:sz w:val="24"/>
          <w:szCs w:val="24"/>
          <w:vertAlign w:val="superscript"/>
        </w:rPr>
        <w:t>8</w:t>
      </w:r>
      <w:r w:rsidRPr="001F1446">
        <w:rPr>
          <w:rFonts w:ascii="Times New Roman" w:hAnsi="Times New Roman"/>
          <w:bCs/>
          <w:sz w:val="24"/>
          <w:szCs w:val="24"/>
        </w:rPr>
        <w:t xml:space="preserve"> &amp; Megan Daniels</w:t>
      </w:r>
      <w:r w:rsidRPr="001F1446">
        <w:rPr>
          <w:rFonts w:ascii="Times New Roman" w:hAnsi="Times New Roman"/>
          <w:bCs/>
          <w:sz w:val="24"/>
          <w:szCs w:val="24"/>
          <w:vertAlign w:val="superscript"/>
        </w:rPr>
        <w:t>9</w:t>
      </w:r>
    </w:p>
    <w:p w14:paraId="3BC5D667" w14:textId="77777777" w:rsidR="001F1446" w:rsidRPr="001F1446" w:rsidRDefault="001F1446" w:rsidP="001F1446">
      <w:pPr>
        <w:spacing w:after="0" w:line="360" w:lineRule="auto"/>
        <w:rPr>
          <w:rFonts w:ascii="Times New Roman" w:hAnsi="Times New Roman"/>
          <w:bCs/>
          <w:sz w:val="24"/>
          <w:szCs w:val="24"/>
        </w:rPr>
      </w:pPr>
    </w:p>
    <w:p w14:paraId="2FBF0862" w14:textId="77777777" w:rsidR="001F1446" w:rsidRPr="001F1446" w:rsidRDefault="001F1446" w:rsidP="001F1446">
      <w:pPr>
        <w:spacing w:after="0" w:line="360" w:lineRule="auto"/>
        <w:rPr>
          <w:rFonts w:ascii="Times New Roman" w:hAnsi="Times New Roman"/>
          <w:sz w:val="24"/>
          <w:szCs w:val="24"/>
        </w:rPr>
      </w:pPr>
      <w:r w:rsidRPr="001F1446">
        <w:rPr>
          <w:rFonts w:ascii="Times New Roman" w:hAnsi="Times New Roman"/>
          <w:sz w:val="24"/>
          <w:szCs w:val="24"/>
          <w:vertAlign w:val="superscript"/>
        </w:rPr>
        <w:t xml:space="preserve">1 </w:t>
      </w:r>
      <w:r w:rsidRPr="001F1446">
        <w:rPr>
          <w:rFonts w:ascii="Times New Roman" w:hAnsi="Times New Roman"/>
          <w:sz w:val="24"/>
          <w:szCs w:val="24"/>
        </w:rPr>
        <w:t>Department of Anthropology, University of Oklahoma, Norman, USA</w:t>
      </w:r>
    </w:p>
    <w:p w14:paraId="4EB15EB5" w14:textId="77777777" w:rsidR="001F1446" w:rsidRPr="001F1446" w:rsidRDefault="001F1446" w:rsidP="001F1446">
      <w:pPr>
        <w:spacing w:after="0" w:line="360" w:lineRule="auto"/>
        <w:rPr>
          <w:rFonts w:ascii="Times New Roman" w:hAnsi="Times New Roman"/>
          <w:sz w:val="24"/>
          <w:szCs w:val="24"/>
        </w:rPr>
      </w:pPr>
      <w:r w:rsidRPr="001F1446">
        <w:rPr>
          <w:rFonts w:ascii="Times New Roman" w:hAnsi="Times New Roman"/>
          <w:sz w:val="24"/>
          <w:szCs w:val="24"/>
          <w:vertAlign w:val="superscript"/>
        </w:rPr>
        <w:t xml:space="preserve">2 </w:t>
      </w:r>
      <w:r w:rsidRPr="001F1446">
        <w:rPr>
          <w:rFonts w:ascii="Times New Roman" w:hAnsi="Times New Roman"/>
          <w:sz w:val="24"/>
          <w:szCs w:val="24"/>
        </w:rPr>
        <w:t>Department of the Classics, University of Illinois at Urbana-Champaign, USA</w:t>
      </w:r>
    </w:p>
    <w:p w14:paraId="058B2E0F" w14:textId="77777777" w:rsidR="001F1446" w:rsidRDefault="001F1446" w:rsidP="001F1446">
      <w:pPr>
        <w:spacing w:after="0" w:line="360" w:lineRule="auto"/>
        <w:rPr>
          <w:rFonts w:ascii="Times New Roman" w:hAnsi="Times New Roman"/>
          <w:bCs/>
          <w:sz w:val="24"/>
          <w:szCs w:val="24"/>
        </w:rPr>
      </w:pPr>
      <w:r w:rsidRPr="001F1446">
        <w:rPr>
          <w:rFonts w:ascii="Times New Roman" w:hAnsi="Times New Roman"/>
          <w:sz w:val="24"/>
          <w:szCs w:val="24"/>
          <w:vertAlign w:val="superscript"/>
        </w:rPr>
        <w:t xml:space="preserve">3 </w:t>
      </w:r>
      <w:r w:rsidRPr="001F1446">
        <w:rPr>
          <w:rFonts w:ascii="Times New Roman" w:hAnsi="Times New Roman"/>
          <w:sz w:val="24"/>
          <w:szCs w:val="24"/>
        </w:rPr>
        <w:t>School of Social Science, The University of Queensland, Saint Lucia, Australia</w:t>
      </w:r>
      <w:r w:rsidRPr="001F1446">
        <w:rPr>
          <w:rFonts w:ascii="Times New Roman" w:hAnsi="Times New Roman"/>
          <w:sz w:val="24"/>
          <w:szCs w:val="24"/>
        </w:rPr>
        <w:br/>
      </w:r>
      <w:r w:rsidRPr="001F1446">
        <w:rPr>
          <w:rFonts w:ascii="Times New Roman" w:hAnsi="Times New Roman"/>
          <w:bCs/>
          <w:sz w:val="24"/>
          <w:szCs w:val="24"/>
          <w:vertAlign w:val="superscript"/>
        </w:rPr>
        <w:t xml:space="preserve">4 </w:t>
      </w:r>
      <w:r w:rsidRPr="001F1446">
        <w:rPr>
          <w:rFonts w:ascii="Times New Roman" w:hAnsi="Times New Roman"/>
          <w:bCs/>
          <w:sz w:val="24"/>
          <w:szCs w:val="24"/>
        </w:rPr>
        <w:t>Institut National du Patrimoine Tunisie - Archaeology, Tunis, Tunisia</w:t>
      </w:r>
    </w:p>
    <w:p w14:paraId="4810B5D4" w14:textId="77777777" w:rsidR="008E5E11" w:rsidRPr="00977522" w:rsidRDefault="008E5E11" w:rsidP="008E5E11">
      <w:pPr>
        <w:spacing w:after="0" w:line="360" w:lineRule="auto"/>
        <w:rPr>
          <w:rFonts w:ascii="Times New Roman" w:hAnsi="Times New Roman"/>
          <w:bCs/>
          <w:sz w:val="24"/>
          <w:szCs w:val="24"/>
        </w:rPr>
      </w:pPr>
      <w:r>
        <w:rPr>
          <w:rFonts w:ascii="Times New Roman" w:hAnsi="Times New Roman"/>
          <w:bCs/>
          <w:sz w:val="24"/>
          <w:szCs w:val="24"/>
          <w:vertAlign w:val="superscript"/>
        </w:rPr>
        <w:t xml:space="preserve">5 </w:t>
      </w:r>
      <w:r w:rsidRPr="00287475">
        <w:rPr>
          <w:rFonts w:ascii="Times New Roman" w:eastAsia="Aptos" w:hAnsi="Times New Roman"/>
          <w:sz w:val="24"/>
          <w:szCs w:val="24"/>
        </w:rPr>
        <w:t xml:space="preserve">Professor Emeritus, </w:t>
      </w:r>
      <w:r w:rsidRPr="00287475">
        <w:rPr>
          <w:rFonts w:ascii="Times New Roman" w:hAnsi="Times New Roman"/>
          <w:bCs/>
          <w:sz w:val="24"/>
          <w:szCs w:val="24"/>
        </w:rPr>
        <w:t>Cotsen Institute of Archaeology at UCLA</w:t>
      </w:r>
    </w:p>
    <w:p w14:paraId="4772A2EE" w14:textId="77777777" w:rsidR="001F1446" w:rsidRPr="001F1446" w:rsidRDefault="001F1446" w:rsidP="001F1446">
      <w:pPr>
        <w:spacing w:after="0" w:line="360" w:lineRule="auto"/>
        <w:rPr>
          <w:rFonts w:ascii="Times New Roman" w:hAnsi="Times New Roman"/>
          <w:bCs/>
          <w:sz w:val="24"/>
          <w:szCs w:val="24"/>
        </w:rPr>
      </w:pPr>
      <w:r w:rsidRPr="001F1446">
        <w:rPr>
          <w:rFonts w:ascii="Times New Roman" w:hAnsi="Times New Roman"/>
          <w:bCs/>
          <w:sz w:val="24"/>
          <w:szCs w:val="24"/>
          <w:vertAlign w:val="superscript"/>
        </w:rPr>
        <w:t xml:space="preserve">6 </w:t>
      </w:r>
      <w:r w:rsidRPr="001F1446">
        <w:rPr>
          <w:rFonts w:ascii="Times New Roman" w:hAnsi="Times New Roman"/>
          <w:bCs/>
          <w:sz w:val="24"/>
          <w:szCs w:val="24"/>
        </w:rPr>
        <w:t>Middle East and South Asia Studies,</w:t>
      </w:r>
      <w:r w:rsidRPr="001F1446">
        <w:rPr>
          <w:rFonts w:ascii="Times New Roman" w:hAnsi="Times New Roman"/>
          <w:bCs/>
          <w:sz w:val="24"/>
          <w:szCs w:val="24"/>
          <w:vertAlign w:val="superscript"/>
        </w:rPr>
        <w:t xml:space="preserve"> </w:t>
      </w:r>
      <w:r w:rsidRPr="001F1446">
        <w:rPr>
          <w:rFonts w:ascii="Times New Roman" w:hAnsi="Times New Roman"/>
          <w:bCs/>
          <w:sz w:val="24"/>
          <w:szCs w:val="24"/>
        </w:rPr>
        <w:t>Wake Forest University, Winston-Salem, USA</w:t>
      </w:r>
    </w:p>
    <w:p w14:paraId="13E1681E" w14:textId="77777777" w:rsidR="001F1446" w:rsidRPr="001F1446" w:rsidRDefault="001F1446" w:rsidP="001F1446">
      <w:pPr>
        <w:spacing w:after="0" w:line="360" w:lineRule="auto"/>
        <w:rPr>
          <w:rFonts w:ascii="Times New Roman" w:hAnsi="Times New Roman"/>
          <w:sz w:val="24"/>
          <w:szCs w:val="24"/>
        </w:rPr>
      </w:pPr>
      <w:r w:rsidRPr="001F1446">
        <w:rPr>
          <w:rFonts w:ascii="Times New Roman" w:hAnsi="Times New Roman"/>
          <w:sz w:val="24"/>
          <w:szCs w:val="24"/>
          <w:vertAlign w:val="superscript"/>
        </w:rPr>
        <w:t xml:space="preserve">7 </w:t>
      </w:r>
      <w:r w:rsidRPr="001F1446">
        <w:rPr>
          <w:rFonts w:ascii="Times New Roman" w:hAnsi="Times New Roman"/>
          <w:sz w:val="24"/>
          <w:szCs w:val="24"/>
        </w:rPr>
        <w:t>Department of Anthropology, Baylor University, Waco, USA</w:t>
      </w:r>
      <w:r w:rsidRPr="001F1446">
        <w:rPr>
          <w:rFonts w:ascii="Times New Roman" w:hAnsi="Times New Roman"/>
          <w:sz w:val="24"/>
          <w:szCs w:val="24"/>
        </w:rPr>
        <w:br/>
      </w:r>
      <w:r w:rsidRPr="001F1446">
        <w:rPr>
          <w:rFonts w:ascii="Times New Roman" w:hAnsi="Times New Roman"/>
          <w:sz w:val="24"/>
          <w:szCs w:val="24"/>
          <w:vertAlign w:val="superscript"/>
        </w:rPr>
        <w:t xml:space="preserve">8 </w:t>
      </w:r>
      <w:r w:rsidRPr="001F1446">
        <w:rPr>
          <w:rFonts w:ascii="Times New Roman" w:hAnsi="Times New Roman"/>
          <w:sz w:val="24"/>
          <w:szCs w:val="24"/>
        </w:rPr>
        <w:t xml:space="preserve">Centre Camille </w:t>
      </w:r>
      <w:proofErr w:type="spellStart"/>
      <w:r w:rsidRPr="001F1446">
        <w:rPr>
          <w:rFonts w:ascii="Times New Roman" w:hAnsi="Times New Roman"/>
          <w:sz w:val="24"/>
          <w:szCs w:val="24"/>
        </w:rPr>
        <w:t>Jullian</w:t>
      </w:r>
      <w:proofErr w:type="spellEnd"/>
      <w:r w:rsidRPr="001F1446">
        <w:rPr>
          <w:rFonts w:ascii="Times New Roman" w:hAnsi="Times New Roman"/>
          <w:sz w:val="24"/>
          <w:szCs w:val="24"/>
        </w:rPr>
        <w:t xml:space="preserve">, Aix-Marseille </w:t>
      </w:r>
      <w:proofErr w:type="spellStart"/>
      <w:r w:rsidRPr="001F1446">
        <w:rPr>
          <w:rFonts w:ascii="Times New Roman" w:hAnsi="Times New Roman"/>
          <w:sz w:val="24"/>
          <w:szCs w:val="24"/>
        </w:rPr>
        <w:t>Universite</w:t>
      </w:r>
      <w:proofErr w:type="spellEnd"/>
      <w:r w:rsidRPr="001F1446">
        <w:rPr>
          <w:rFonts w:ascii="Times New Roman" w:hAnsi="Times New Roman"/>
          <w:sz w:val="24"/>
          <w:szCs w:val="24"/>
        </w:rPr>
        <w:t>, France</w:t>
      </w:r>
    </w:p>
    <w:p w14:paraId="496410B4" w14:textId="77777777" w:rsidR="001F1446" w:rsidRPr="001F1446" w:rsidRDefault="001F1446" w:rsidP="001F1446">
      <w:pPr>
        <w:spacing w:after="0" w:line="360" w:lineRule="auto"/>
        <w:rPr>
          <w:rFonts w:ascii="Times New Roman" w:hAnsi="Times New Roman"/>
          <w:sz w:val="24"/>
          <w:szCs w:val="24"/>
        </w:rPr>
      </w:pPr>
      <w:r w:rsidRPr="001F1446">
        <w:rPr>
          <w:rFonts w:ascii="Times New Roman" w:hAnsi="Times New Roman"/>
          <w:sz w:val="24"/>
          <w:szCs w:val="24"/>
          <w:vertAlign w:val="superscript"/>
        </w:rPr>
        <w:t xml:space="preserve">9 </w:t>
      </w:r>
      <w:r w:rsidRPr="001F1446">
        <w:rPr>
          <w:rFonts w:ascii="Times New Roman" w:hAnsi="Times New Roman"/>
          <w:sz w:val="24"/>
          <w:szCs w:val="24"/>
        </w:rPr>
        <w:t>Department of Classics and Ancient History, University of New England, Armidale, USA</w:t>
      </w:r>
    </w:p>
    <w:p w14:paraId="1EE1A003" w14:textId="77777777" w:rsidR="001F1446" w:rsidRPr="001F1446" w:rsidRDefault="001F1446" w:rsidP="001F1446">
      <w:pPr>
        <w:spacing w:after="0" w:line="360" w:lineRule="auto"/>
        <w:rPr>
          <w:rFonts w:ascii="Times New Roman" w:eastAsia="Times New Roman" w:hAnsi="Times New Roman"/>
          <w:sz w:val="24"/>
          <w:szCs w:val="24"/>
        </w:rPr>
      </w:pPr>
      <w:r w:rsidRPr="001F1446">
        <w:rPr>
          <w:rFonts w:ascii="Times New Roman" w:eastAsia="Times New Roman" w:hAnsi="Times New Roman"/>
          <w:sz w:val="24"/>
          <w:szCs w:val="24"/>
          <w:vertAlign w:val="superscript"/>
        </w:rPr>
        <w:t xml:space="preserve">* </w:t>
      </w:r>
      <w:r w:rsidRPr="001F1446">
        <w:rPr>
          <w:rFonts w:ascii="Times New Roman" w:eastAsia="Times New Roman" w:hAnsi="Times New Roman"/>
          <w:sz w:val="24"/>
          <w:szCs w:val="24"/>
        </w:rPr>
        <w:t xml:space="preserve">Author for correspondence </w:t>
      </w:r>
      <w:r w:rsidRPr="001F1446">
        <w:rPr>
          <w:rFonts w:ascii="Segoe UI Symbol" w:eastAsia="Arial Unicode MS" w:hAnsi="Segoe UI Symbol" w:cs="Segoe UI Symbol"/>
          <w:color w:val="000000"/>
          <w:sz w:val="24"/>
          <w:szCs w:val="24"/>
          <w:bdr w:val="nil"/>
          <w:lang w:eastAsia="en-GB"/>
        </w:rPr>
        <w:t>✉</w:t>
      </w:r>
      <w:r w:rsidRPr="001F1446">
        <w:rPr>
          <w:rFonts w:ascii="Times New Roman" w:eastAsia="Arial Unicode MS" w:hAnsi="Times New Roman"/>
          <w:color w:val="000000"/>
          <w:sz w:val="24"/>
          <w:szCs w:val="24"/>
          <w:bdr w:val="nil"/>
          <w:lang w:eastAsia="en-GB"/>
        </w:rPr>
        <w:t xml:space="preserve"> jessica.cerezoroman@ou.edu</w:t>
      </w:r>
    </w:p>
    <w:p w14:paraId="50C445AA" w14:textId="77777777" w:rsidR="001F1446" w:rsidRPr="001F1446" w:rsidRDefault="001F1446" w:rsidP="001F1446">
      <w:pPr>
        <w:pBdr>
          <w:top w:val="nil"/>
          <w:left w:val="nil"/>
          <w:bottom w:val="nil"/>
          <w:right w:val="nil"/>
          <w:between w:val="nil"/>
          <w:bar w:val="nil"/>
        </w:pBdr>
        <w:spacing w:after="0" w:line="360" w:lineRule="auto"/>
        <w:rPr>
          <w:rFonts w:ascii="Times New Roman" w:eastAsia="Arial Unicode MS" w:hAnsi="Times New Roman"/>
          <w:i/>
          <w:iCs/>
          <w:sz w:val="24"/>
          <w:szCs w:val="24"/>
          <w:bdr w:val="nil"/>
          <w:lang w:eastAsia="en-GB"/>
        </w:rPr>
      </w:pPr>
      <w:r w:rsidRPr="001F1446">
        <w:rPr>
          <w:rFonts w:ascii="Times New Roman" w:eastAsia="Arial Unicode MS" w:hAnsi="Times New Roman"/>
          <w:i/>
          <w:iCs/>
          <w:sz w:val="24"/>
          <w:szCs w:val="24"/>
          <w:bdr w:val="nil"/>
          <w:lang w:eastAsia="en-GB"/>
        </w:rPr>
        <w:t>Received: 16 July 2022; Revised: 30 October 2023; Accepted: 5 December 2023</w:t>
      </w:r>
    </w:p>
    <w:p w14:paraId="2729645D" w14:textId="77777777" w:rsidR="001F1446" w:rsidRPr="001F1446" w:rsidRDefault="001F1446" w:rsidP="001F1446">
      <w:pPr>
        <w:pStyle w:val="Caption"/>
        <w:keepNext/>
        <w:spacing w:after="0" w:line="360" w:lineRule="auto"/>
        <w:rPr>
          <w:rFonts w:ascii="Times New Roman" w:hAnsi="Times New Roman"/>
          <w:b/>
          <w:i w:val="0"/>
          <w:color w:val="auto"/>
          <w:sz w:val="24"/>
          <w:szCs w:val="24"/>
        </w:rPr>
      </w:pPr>
    </w:p>
    <w:p w14:paraId="47DC6955" w14:textId="422182C5" w:rsidR="005902FA" w:rsidRPr="001F1446" w:rsidRDefault="005902FA" w:rsidP="001F1446">
      <w:pPr>
        <w:spacing w:after="0" w:line="360" w:lineRule="auto"/>
        <w:rPr>
          <w:rFonts w:ascii="Times New Roman" w:hAnsi="Times New Roman"/>
          <w:b/>
          <w:iCs/>
          <w:sz w:val="24"/>
          <w:szCs w:val="24"/>
        </w:rPr>
      </w:pPr>
      <w:r w:rsidRPr="001F1446">
        <w:rPr>
          <w:rFonts w:ascii="Times New Roman" w:hAnsi="Times New Roman"/>
          <w:b/>
          <w:iCs/>
          <w:sz w:val="24"/>
          <w:szCs w:val="24"/>
        </w:rPr>
        <w:t>Se</w:t>
      </w:r>
      <w:r w:rsidR="00503157" w:rsidRPr="001F1446">
        <w:rPr>
          <w:rFonts w:ascii="Times New Roman" w:hAnsi="Times New Roman"/>
          <w:b/>
          <w:iCs/>
          <w:sz w:val="24"/>
          <w:szCs w:val="24"/>
        </w:rPr>
        <w:t>ct</w:t>
      </w:r>
      <w:r w:rsidRPr="001F1446">
        <w:rPr>
          <w:rFonts w:ascii="Times New Roman" w:hAnsi="Times New Roman"/>
          <w:b/>
          <w:iCs/>
          <w:sz w:val="24"/>
          <w:szCs w:val="24"/>
        </w:rPr>
        <w:t xml:space="preserve">ion </w:t>
      </w:r>
      <w:r w:rsidR="001F1446" w:rsidRPr="001F1446">
        <w:rPr>
          <w:rFonts w:ascii="Times New Roman" w:hAnsi="Times New Roman"/>
          <w:b/>
          <w:iCs/>
          <w:sz w:val="24"/>
          <w:szCs w:val="24"/>
        </w:rPr>
        <w:t>1</w:t>
      </w:r>
      <w:r w:rsidRPr="001F1446">
        <w:rPr>
          <w:rFonts w:ascii="Times New Roman" w:hAnsi="Times New Roman"/>
          <w:b/>
          <w:iCs/>
          <w:sz w:val="24"/>
          <w:szCs w:val="24"/>
        </w:rPr>
        <w:t xml:space="preserve">: </w:t>
      </w:r>
      <w:bookmarkStart w:id="0" w:name="_Hlk148961476"/>
      <w:r w:rsidRPr="001F1446">
        <w:rPr>
          <w:rFonts w:ascii="Times New Roman" w:hAnsi="Times New Roman"/>
          <w:b/>
          <w:iCs/>
          <w:sz w:val="24"/>
          <w:szCs w:val="24"/>
        </w:rPr>
        <w:t xml:space="preserve">Summary of the tophet infant sacrifice debate </w:t>
      </w:r>
      <w:bookmarkEnd w:id="0"/>
    </w:p>
    <w:p w14:paraId="6DC1B81E" w14:textId="0D3AEE0D" w:rsidR="005902FA" w:rsidRPr="001F1446" w:rsidRDefault="005902FA" w:rsidP="001F1446">
      <w:pPr>
        <w:autoSpaceDE w:val="0"/>
        <w:autoSpaceDN w:val="0"/>
        <w:adjustRightInd w:val="0"/>
        <w:spacing w:after="0" w:line="360" w:lineRule="auto"/>
        <w:rPr>
          <w:rFonts w:ascii="Times New Roman" w:hAnsi="Times New Roman"/>
          <w:sz w:val="24"/>
          <w:szCs w:val="24"/>
        </w:rPr>
      </w:pPr>
      <w:bookmarkStart w:id="1" w:name="_Hlk148961710"/>
      <w:r w:rsidRPr="001F1446">
        <w:rPr>
          <w:rFonts w:ascii="Times New Roman" w:hAnsi="Times New Roman"/>
          <w:sz w:val="24"/>
          <w:szCs w:val="24"/>
        </w:rPr>
        <w:t xml:space="preserve">Several authors have published on infant sacrifice and </w:t>
      </w:r>
      <w:r w:rsidRPr="001F1446">
        <w:rPr>
          <w:rFonts w:ascii="Times New Roman" w:hAnsi="Times New Roman"/>
          <w:i/>
          <w:iCs/>
          <w:sz w:val="24"/>
          <w:szCs w:val="24"/>
        </w:rPr>
        <w:t>tophets</w:t>
      </w:r>
      <w:r w:rsidRPr="001F1446">
        <w:rPr>
          <w:rFonts w:ascii="Times New Roman" w:hAnsi="Times New Roman"/>
          <w:sz w:val="24"/>
          <w:szCs w:val="24"/>
        </w:rPr>
        <w:t xml:space="preserve"> in general</w:t>
      </w:r>
      <w:r w:rsidR="006C30E2" w:rsidRPr="001F1446">
        <w:rPr>
          <w:rFonts w:ascii="Times New Roman" w:hAnsi="Times New Roman"/>
          <w:sz w:val="24"/>
          <w:szCs w:val="24"/>
        </w:rPr>
        <w:t>.</w:t>
      </w:r>
      <w:r w:rsidRPr="001F1446">
        <w:rPr>
          <w:rFonts w:ascii="Times New Roman" w:hAnsi="Times New Roman"/>
          <w:sz w:val="24"/>
          <w:szCs w:val="24"/>
        </w:rPr>
        <w:t xml:space="preserve"> </w:t>
      </w:r>
      <w:r w:rsidR="006C30E2" w:rsidRPr="001F1446">
        <w:rPr>
          <w:rFonts w:ascii="Times New Roman" w:hAnsi="Times New Roman"/>
          <w:sz w:val="24"/>
          <w:szCs w:val="24"/>
        </w:rPr>
        <w:t>D’</w:t>
      </w:r>
      <w:r w:rsidR="004E4A9B" w:rsidRPr="001F1446">
        <w:rPr>
          <w:rFonts w:ascii="Times New Roman" w:hAnsi="Times New Roman"/>
          <w:sz w:val="24"/>
          <w:szCs w:val="24"/>
        </w:rPr>
        <w:t>A</w:t>
      </w:r>
      <w:r w:rsidR="006C30E2" w:rsidRPr="001F1446">
        <w:rPr>
          <w:rFonts w:ascii="Times New Roman" w:hAnsi="Times New Roman"/>
          <w:sz w:val="24"/>
          <w:szCs w:val="24"/>
        </w:rPr>
        <w:t xml:space="preserve">ndrea (2014) </w:t>
      </w:r>
      <w:r w:rsidR="009C2316" w:rsidRPr="001F1446">
        <w:rPr>
          <w:rFonts w:ascii="Times New Roman" w:hAnsi="Times New Roman"/>
          <w:sz w:val="24"/>
          <w:szCs w:val="24"/>
        </w:rPr>
        <w:t>questions</w:t>
      </w:r>
      <w:r w:rsidR="006C30E2" w:rsidRPr="001F1446">
        <w:rPr>
          <w:rFonts w:ascii="Times New Roman" w:hAnsi="Times New Roman"/>
          <w:sz w:val="24"/>
          <w:szCs w:val="24"/>
        </w:rPr>
        <w:t xml:space="preserve"> the nature of the </w:t>
      </w:r>
      <w:r w:rsidR="006C30E2" w:rsidRPr="00172C39">
        <w:rPr>
          <w:rFonts w:ascii="Times New Roman" w:hAnsi="Times New Roman"/>
          <w:i/>
          <w:iCs/>
          <w:sz w:val="24"/>
          <w:szCs w:val="24"/>
        </w:rPr>
        <w:t xml:space="preserve">tophet </w:t>
      </w:r>
      <w:r w:rsidR="006C30E2" w:rsidRPr="001F1446">
        <w:rPr>
          <w:rFonts w:ascii="Times New Roman" w:hAnsi="Times New Roman"/>
          <w:sz w:val="24"/>
          <w:szCs w:val="24"/>
        </w:rPr>
        <w:t xml:space="preserve">as one that </w:t>
      </w:r>
      <w:r w:rsidR="00E6214F" w:rsidRPr="001F1446">
        <w:rPr>
          <w:rFonts w:ascii="Times New Roman" w:hAnsi="Times New Roman"/>
          <w:sz w:val="24"/>
          <w:szCs w:val="24"/>
        </w:rPr>
        <w:t>does</w:t>
      </w:r>
      <w:r w:rsidR="006C30E2" w:rsidRPr="001F1446">
        <w:rPr>
          <w:rFonts w:ascii="Times New Roman" w:hAnsi="Times New Roman"/>
          <w:sz w:val="24"/>
          <w:szCs w:val="24"/>
        </w:rPr>
        <w:t xml:space="preserve"> not reflect simple dichotomies between a burial ground or a sacrificial precinct. </w:t>
      </w:r>
      <w:r w:rsidRPr="001F1446">
        <w:rPr>
          <w:rFonts w:ascii="Times New Roman" w:hAnsi="Times New Roman"/>
          <w:sz w:val="24"/>
          <w:szCs w:val="24"/>
        </w:rPr>
        <w:t xml:space="preserve">Schwartz </w:t>
      </w:r>
      <w:r w:rsidRPr="00297A4F">
        <w:rPr>
          <w:rFonts w:ascii="Times New Roman" w:hAnsi="Times New Roman"/>
          <w:i/>
          <w:iCs/>
          <w:sz w:val="24"/>
          <w:szCs w:val="24"/>
        </w:rPr>
        <w:t>et al.</w:t>
      </w:r>
      <w:r w:rsidRPr="001F1446">
        <w:rPr>
          <w:rFonts w:ascii="Times New Roman" w:hAnsi="Times New Roman"/>
          <w:sz w:val="24"/>
          <w:szCs w:val="24"/>
        </w:rPr>
        <w:t xml:space="preserve"> </w:t>
      </w:r>
      <w:r w:rsidRPr="001F1446">
        <w:rPr>
          <w:rFonts w:ascii="Times New Roman" w:hAnsi="Times New Roman"/>
          <w:noProof/>
          <w:sz w:val="24"/>
          <w:szCs w:val="24"/>
        </w:rPr>
        <w:t>(</w:t>
      </w:r>
      <w:r w:rsidR="001F4B67" w:rsidRPr="001F1446">
        <w:rPr>
          <w:rFonts w:ascii="Times New Roman" w:hAnsi="Times New Roman"/>
          <w:noProof/>
          <w:sz w:val="24"/>
          <w:szCs w:val="24"/>
        </w:rPr>
        <w:t xml:space="preserve">2010, </w:t>
      </w:r>
      <w:r w:rsidRPr="001F1446">
        <w:rPr>
          <w:rFonts w:ascii="Times New Roman" w:hAnsi="Times New Roman"/>
          <w:noProof/>
          <w:sz w:val="24"/>
          <w:szCs w:val="24"/>
        </w:rPr>
        <w:t>2012, 2017)</w:t>
      </w:r>
      <w:r w:rsidRPr="001F1446">
        <w:rPr>
          <w:rFonts w:ascii="Times New Roman" w:hAnsi="Times New Roman"/>
          <w:sz w:val="24"/>
          <w:szCs w:val="24"/>
        </w:rPr>
        <w:t xml:space="preserve">, </w:t>
      </w:r>
      <w:r w:rsidRPr="001F1446">
        <w:rPr>
          <w:rFonts w:ascii="Times New Roman" w:hAnsi="Times New Roman"/>
          <w:noProof/>
          <w:sz w:val="24"/>
          <w:szCs w:val="24"/>
        </w:rPr>
        <w:t xml:space="preserve">upon reviewing the evidence from the </w:t>
      </w:r>
      <w:r w:rsidRPr="001F1446">
        <w:rPr>
          <w:rFonts w:ascii="Times New Roman" w:hAnsi="Times New Roman"/>
          <w:i/>
          <w:noProof/>
          <w:sz w:val="24"/>
          <w:szCs w:val="24"/>
        </w:rPr>
        <w:t>tophet</w:t>
      </w:r>
      <w:r w:rsidRPr="001F1446">
        <w:rPr>
          <w:rFonts w:ascii="Times New Roman" w:hAnsi="Times New Roman"/>
          <w:noProof/>
          <w:sz w:val="24"/>
          <w:szCs w:val="24"/>
        </w:rPr>
        <w:t xml:space="preserve"> at Carthage and </w:t>
      </w:r>
      <w:r w:rsidRPr="001F1446">
        <w:rPr>
          <w:rFonts w:ascii="Times New Roman" w:hAnsi="Times New Roman"/>
          <w:i/>
          <w:noProof/>
          <w:sz w:val="24"/>
          <w:szCs w:val="24"/>
        </w:rPr>
        <w:t>tophets</w:t>
      </w:r>
      <w:r w:rsidRPr="001F1446" w:rsidDel="00505FF8">
        <w:rPr>
          <w:rFonts w:ascii="Times New Roman" w:hAnsi="Times New Roman"/>
          <w:noProof/>
          <w:sz w:val="24"/>
          <w:szCs w:val="24"/>
        </w:rPr>
        <w:t xml:space="preserve"> </w:t>
      </w:r>
      <w:r w:rsidRPr="001F1446">
        <w:rPr>
          <w:rFonts w:ascii="Times New Roman" w:hAnsi="Times New Roman"/>
          <w:noProof/>
          <w:sz w:val="24"/>
          <w:szCs w:val="24"/>
        </w:rPr>
        <w:t>at sites in Cyprus and Sardinia</w:t>
      </w:r>
      <w:r w:rsidRPr="001F1446">
        <w:rPr>
          <w:rFonts w:ascii="Times New Roman" w:hAnsi="Times New Roman"/>
          <w:sz w:val="24"/>
          <w:szCs w:val="24"/>
        </w:rPr>
        <w:t xml:space="preserve">, proposed that humans occasionally may have been sacrificed, but that this was not the primary factor explaining the presence of human interments in the </w:t>
      </w:r>
      <w:r w:rsidRPr="001F1446">
        <w:rPr>
          <w:rFonts w:ascii="Times New Roman" w:hAnsi="Times New Roman"/>
          <w:i/>
          <w:noProof/>
          <w:sz w:val="24"/>
          <w:szCs w:val="24"/>
        </w:rPr>
        <w:t>tophet</w:t>
      </w:r>
      <w:r w:rsidRPr="001F1446">
        <w:rPr>
          <w:rFonts w:ascii="Times New Roman" w:hAnsi="Times New Roman"/>
          <w:sz w:val="24"/>
          <w:szCs w:val="24"/>
        </w:rPr>
        <w:t xml:space="preserve">. </w:t>
      </w:r>
      <w:bookmarkEnd w:id="1"/>
      <w:r w:rsidRPr="001F1446">
        <w:rPr>
          <w:rFonts w:ascii="Times New Roman" w:hAnsi="Times New Roman"/>
          <w:noProof/>
          <w:sz w:val="24"/>
          <w:szCs w:val="24"/>
        </w:rPr>
        <w:t xml:space="preserve">More recently, Schwartz </w:t>
      </w:r>
      <w:r w:rsidRPr="004559BE">
        <w:rPr>
          <w:rFonts w:ascii="Times New Roman" w:hAnsi="Times New Roman"/>
          <w:i/>
          <w:iCs/>
          <w:noProof/>
          <w:sz w:val="24"/>
          <w:szCs w:val="24"/>
        </w:rPr>
        <w:t>et al</w:t>
      </w:r>
      <w:r w:rsidRPr="001F1446">
        <w:rPr>
          <w:rFonts w:ascii="Times New Roman" w:hAnsi="Times New Roman"/>
          <w:noProof/>
          <w:sz w:val="24"/>
          <w:szCs w:val="24"/>
        </w:rPr>
        <w:t>. (2017)</w:t>
      </w:r>
      <w:r w:rsidR="000D75C5" w:rsidRPr="001F1446">
        <w:rPr>
          <w:rFonts w:ascii="Times New Roman" w:hAnsi="Times New Roman"/>
          <w:noProof/>
          <w:sz w:val="24"/>
          <w:szCs w:val="24"/>
        </w:rPr>
        <w:t>, among others (</w:t>
      </w:r>
      <w:proofErr w:type="spellStart"/>
      <w:r w:rsidR="000D75C5" w:rsidRPr="001F1446">
        <w:rPr>
          <w:rFonts w:ascii="Times New Roman" w:eastAsiaTheme="minorHAnsi" w:hAnsi="Times New Roman"/>
          <w:sz w:val="24"/>
          <w:szCs w:val="24"/>
          <w:lang w:eastAsia="en-US"/>
        </w:rPr>
        <w:t>Benichou</w:t>
      </w:r>
      <w:proofErr w:type="spellEnd"/>
      <w:r w:rsidR="000D75C5" w:rsidRPr="001F1446">
        <w:rPr>
          <w:rFonts w:ascii="Times New Roman" w:eastAsiaTheme="minorHAnsi" w:hAnsi="Times New Roman"/>
          <w:sz w:val="24"/>
          <w:szCs w:val="24"/>
          <w:lang w:eastAsia="en-US"/>
        </w:rPr>
        <w:t>-Safar 1982</w:t>
      </w:r>
      <w:r w:rsidR="0024679D" w:rsidRPr="001F1446">
        <w:rPr>
          <w:rFonts w:ascii="Times New Roman" w:eastAsiaTheme="minorHAnsi" w:hAnsi="Times New Roman"/>
          <w:sz w:val="24"/>
          <w:szCs w:val="24"/>
          <w:lang w:eastAsia="en-US"/>
        </w:rPr>
        <w:t>, 2004,</w:t>
      </w:r>
      <w:r w:rsidR="000D75C5" w:rsidRPr="001F1446">
        <w:rPr>
          <w:rFonts w:ascii="Times New Roman" w:eastAsiaTheme="minorHAnsi" w:hAnsi="Times New Roman"/>
          <w:sz w:val="24"/>
          <w:szCs w:val="24"/>
          <w:lang w:eastAsia="en-US"/>
        </w:rPr>
        <w:t xml:space="preserve"> 2005)</w:t>
      </w:r>
      <w:r w:rsidR="000D75C5" w:rsidRPr="001F1446">
        <w:rPr>
          <w:rFonts w:ascii="Times New Roman" w:hAnsi="Times New Roman"/>
          <w:noProof/>
          <w:sz w:val="24"/>
          <w:szCs w:val="24"/>
        </w:rPr>
        <w:t>,</w:t>
      </w:r>
      <w:r w:rsidRPr="001F1446">
        <w:rPr>
          <w:rFonts w:ascii="Times New Roman" w:hAnsi="Times New Roman"/>
          <w:noProof/>
          <w:sz w:val="24"/>
          <w:szCs w:val="24"/>
        </w:rPr>
        <w:t xml:space="preserve"> suggest that rather than conceiving the Carthage </w:t>
      </w:r>
      <w:r w:rsidRPr="001F1446">
        <w:rPr>
          <w:rFonts w:ascii="Times New Roman" w:hAnsi="Times New Roman"/>
          <w:i/>
          <w:iCs/>
          <w:noProof/>
          <w:sz w:val="24"/>
          <w:szCs w:val="24"/>
        </w:rPr>
        <w:t>tophet</w:t>
      </w:r>
      <w:r w:rsidRPr="001F1446">
        <w:rPr>
          <w:rFonts w:ascii="Times New Roman" w:hAnsi="Times New Roman"/>
          <w:noProof/>
          <w:sz w:val="24"/>
          <w:szCs w:val="24"/>
        </w:rPr>
        <w:t xml:space="preserve"> as a sanctuary solely for the sacrificed, it</w:t>
      </w:r>
      <w:r w:rsidRPr="001F1446">
        <w:rPr>
          <w:rFonts w:ascii="Times New Roman" w:eastAsia="Times New Roman" w:hAnsi="Times New Roman"/>
          <w:noProof/>
          <w:sz w:val="24"/>
          <w:szCs w:val="24"/>
          <w:lang w:val="x-none" w:eastAsia="es-ES"/>
        </w:rPr>
        <w:t xml:space="preserve"> </w:t>
      </w:r>
      <w:r w:rsidRPr="001F1446">
        <w:rPr>
          <w:rFonts w:ascii="Times New Roman" w:hAnsi="Times New Roman"/>
          <w:noProof/>
          <w:sz w:val="24"/>
          <w:szCs w:val="24"/>
        </w:rPr>
        <w:t>should be viewed as a cemetery for infants who die</w:t>
      </w:r>
      <w:r w:rsidRPr="001F1446">
        <w:rPr>
          <w:rFonts w:ascii="Times New Roman" w:hAnsi="Times New Roman"/>
          <w:noProof/>
          <w:sz w:val="24"/>
          <w:szCs w:val="24"/>
          <w:lang w:val="en-AU"/>
        </w:rPr>
        <w:t>d</w:t>
      </w:r>
      <w:r w:rsidRPr="001F1446">
        <w:rPr>
          <w:rFonts w:ascii="Times New Roman" w:hAnsi="Times New Roman"/>
          <w:noProof/>
          <w:sz w:val="24"/>
          <w:szCs w:val="24"/>
        </w:rPr>
        <w:t xml:space="preserve"> before formal acceptance into society. </w:t>
      </w:r>
      <w:r w:rsidRPr="001F1446">
        <w:rPr>
          <w:rFonts w:ascii="Times New Roman" w:hAnsi="Times New Roman"/>
          <w:noProof/>
          <w:sz w:val="24"/>
          <w:szCs w:val="24"/>
          <w:lang w:val="en-AU"/>
        </w:rPr>
        <w:t>That t</w:t>
      </w:r>
      <w:r w:rsidRPr="001F1446">
        <w:rPr>
          <w:rFonts w:ascii="Times New Roman" w:hAnsi="Times New Roman"/>
          <w:noProof/>
          <w:sz w:val="24"/>
          <w:szCs w:val="24"/>
        </w:rPr>
        <w:t>hey were all cremated (as opposed to inhum</w:t>
      </w:r>
      <w:r w:rsidR="009E15A9" w:rsidRPr="001F1446">
        <w:rPr>
          <w:rFonts w:ascii="Times New Roman" w:hAnsi="Times New Roman"/>
          <w:noProof/>
          <w:sz w:val="24"/>
          <w:szCs w:val="24"/>
          <w:lang w:val="en-AU"/>
        </w:rPr>
        <w:t>ed</w:t>
      </w:r>
      <w:r w:rsidRPr="001F1446">
        <w:rPr>
          <w:rFonts w:ascii="Times New Roman" w:hAnsi="Times New Roman"/>
          <w:noProof/>
          <w:sz w:val="24"/>
          <w:szCs w:val="24"/>
        </w:rPr>
        <w:t xml:space="preserve">, which is found among adult burials) was simply a difference in burial practices </w:t>
      </w:r>
      <w:r w:rsidRPr="001F1446">
        <w:rPr>
          <w:rFonts w:ascii="Times New Roman" w:hAnsi="Times New Roman"/>
          <w:noProof/>
          <w:sz w:val="24"/>
          <w:szCs w:val="24"/>
        </w:rPr>
        <w:lastRenderedPageBreak/>
        <w:t>according to age and social identity.</w:t>
      </w:r>
      <w:r w:rsidRPr="001F1446">
        <w:rPr>
          <w:rFonts w:ascii="Times New Roman" w:hAnsi="Times New Roman"/>
          <w:sz w:val="24"/>
          <w:szCs w:val="24"/>
        </w:rPr>
        <w:t xml:space="preserve"> However, other researchers disagree </w:t>
      </w:r>
      <w:r w:rsidR="003F1CA5" w:rsidRPr="001F1446">
        <w:rPr>
          <w:rFonts w:ascii="Times New Roman" w:hAnsi="Times New Roman"/>
          <w:noProof/>
          <w:sz w:val="24"/>
          <w:szCs w:val="24"/>
        </w:rPr>
        <w:t>(</w:t>
      </w:r>
      <w:r w:rsidR="009E15A9" w:rsidRPr="001F1446">
        <w:rPr>
          <w:rFonts w:ascii="Times New Roman" w:hAnsi="Times New Roman"/>
          <w:noProof/>
          <w:sz w:val="24"/>
          <w:szCs w:val="24"/>
          <w:lang w:val="en-AU"/>
        </w:rPr>
        <w:t xml:space="preserve">e.g. </w:t>
      </w:r>
      <w:r w:rsidR="003F1CA5" w:rsidRPr="001F1446">
        <w:rPr>
          <w:rFonts w:ascii="Times New Roman" w:hAnsi="Times New Roman"/>
          <w:noProof/>
          <w:sz w:val="24"/>
          <w:szCs w:val="24"/>
        </w:rPr>
        <w:t xml:space="preserve">Stager 1980; Stager &amp; Wolf 1984; Gras </w:t>
      </w:r>
      <w:r w:rsidR="003F1CA5" w:rsidRPr="001F1446">
        <w:rPr>
          <w:rFonts w:ascii="Times New Roman" w:hAnsi="Times New Roman"/>
          <w:i/>
          <w:iCs/>
          <w:noProof/>
          <w:sz w:val="24"/>
          <w:szCs w:val="24"/>
        </w:rPr>
        <w:t>et al.</w:t>
      </w:r>
      <w:r w:rsidR="003F1CA5" w:rsidRPr="001F1446">
        <w:rPr>
          <w:rFonts w:ascii="Times New Roman" w:hAnsi="Times New Roman"/>
          <w:noProof/>
          <w:sz w:val="24"/>
          <w:szCs w:val="24"/>
        </w:rPr>
        <w:t xml:space="preserve"> 1989; Brown 1991; Xella 2009</w:t>
      </w:r>
      <w:r w:rsidR="00766EE7">
        <w:rPr>
          <w:rFonts w:ascii="Times New Roman" w:hAnsi="Times New Roman"/>
          <w:noProof/>
          <w:sz w:val="24"/>
          <w:szCs w:val="24"/>
        </w:rPr>
        <w:t>, 2012–2013, 2013</w:t>
      </w:r>
      <w:r w:rsidR="003F1CA5" w:rsidRPr="001F1446">
        <w:rPr>
          <w:rFonts w:ascii="Times New Roman" w:hAnsi="Times New Roman"/>
          <w:noProof/>
          <w:sz w:val="24"/>
          <w:szCs w:val="24"/>
        </w:rPr>
        <w:t xml:space="preserve">; Quinn 2011; Smith </w:t>
      </w:r>
      <w:r w:rsidR="003F1CA5" w:rsidRPr="001F1446">
        <w:rPr>
          <w:rFonts w:ascii="Times New Roman" w:hAnsi="Times New Roman"/>
          <w:i/>
          <w:iCs/>
          <w:noProof/>
          <w:sz w:val="24"/>
          <w:szCs w:val="24"/>
        </w:rPr>
        <w:t>et al.</w:t>
      </w:r>
      <w:r w:rsidR="003F1CA5" w:rsidRPr="001F1446">
        <w:rPr>
          <w:rFonts w:ascii="Times New Roman" w:hAnsi="Times New Roman"/>
          <w:noProof/>
          <w:sz w:val="24"/>
          <w:szCs w:val="24"/>
        </w:rPr>
        <w:t xml:space="preserve"> 2011</w:t>
      </w:r>
      <w:r w:rsidR="00A535C3">
        <w:rPr>
          <w:rFonts w:ascii="Times New Roman" w:hAnsi="Times New Roman"/>
          <w:noProof/>
          <w:sz w:val="24"/>
          <w:szCs w:val="24"/>
        </w:rPr>
        <w:t>,</w:t>
      </w:r>
      <w:r w:rsidR="003F1CA5" w:rsidRPr="001F1446">
        <w:rPr>
          <w:rFonts w:ascii="Times New Roman" w:hAnsi="Times New Roman"/>
          <w:noProof/>
          <w:sz w:val="24"/>
          <w:szCs w:val="24"/>
        </w:rPr>
        <w:t xml:space="preserve"> 2013; Xella </w:t>
      </w:r>
      <w:r w:rsidR="003F1CA5" w:rsidRPr="001F1446">
        <w:rPr>
          <w:rFonts w:ascii="Times New Roman" w:hAnsi="Times New Roman"/>
          <w:i/>
          <w:iCs/>
          <w:noProof/>
          <w:sz w:val="24"/>
          <w:szCs w:val="24"/>
        </w:rPr>
        <w:t>et al.</w:t>
      </w:r>
      <w:r w:rsidRPr="001F1446">
        <w:rPr>
          <w:rFonts w:ascii="Times New Roman" w:hAnsi="Times New Roman"/>
          <w:noProof/>
          <w:sz w:val="24"/>
          <w:szCs w:val="24"/>
        </w:rPr>
        <w:t xml:space="preserve"> 2013)</w:t>
      </w:r>
      <w:r w:rsidRPr="001F1446">
        <w:rPr>
          <w:rFonts w:ascii="Times New Roman" w:hAnsi="Times New Roman"/>
          <w:sz w:val="24"/>
          <w:szCs w:val="24"/>
        </w:rPr>
        <w:t xml:space="preserve">. </w:t>
      </w:r>
      <w:r w:rsidR="00ED3014">
        <w:rPr>
          <w:rFonts w:ascii="Times New Roman" w:hAnsi="Times New Roman"/>
          <w:sz w:val="24"/>
          <w:szCs w:val="24"/>
        </w:rPr>
        <w:t xml:space="preserve">Similar debate surrounds the use of </w:t>
      </w:r>
      <w:r w:rsidR="00ED3014" w:rsidRPr="0022006C">
        <w:rPr>
          <w:rFonts w:ascii="Times New Roman" w:hAnsi="Times New Roman"/>
          <w:i/>
          <w:iCs/>
          <w:sz w:val="24"/>
          <w:szCs w:val="24"/>
        </w:rPr>
        <w:t>tophets</w:t>
      </w:r>
      <w:r w:rsidR="00ED3014">
        <w:rPr>
          <w:rFonts w:ascii="Times New Roman" w:hAnsi="Times New Roman"/>
          <w:sz w:val="24"/>
          <w:szCs w:val="24"/>
        </w:rPr>
        <w:t xml:space="preserve"> at other </w:t>
      </w:r>
      <w:r w:rsidR="00531B6B">
        <w:rPr>
          <w:rFonts w:ascii="Times New Roman" w:hAnsi="Times New Roman"/>
          <w:sz w:val="24"/>
          <w:szCs w:val="24"/>
        </w:rPr>
        <w:t xml:space="preserve">Mediterranean </w:t>
      </w:r>
      <w:r w:rsidR="00ED3014">
        <w:rPr>
          <w:rFonts w:ascii="Times New Roman" w:hAnsi="Times New Roman"/>
          <w:sz w:val="24"/>
          <w:szCs w:val="24"/>
        </w:rPr>
        <w:t xml:space="preserve">sites </w:t>
      </w:r>
      <w:r w:rsidR="00531B6B">
        <w:rPr>
          <w:rFonts w:ascii="Times New Roman" w:hAnsi="Times New Roman"/>
          <w:sz w:val="24"/>
          <w:szCs w:val="24"/>
        </w:rPr>
        <w:t xml:space="preserve">(e.g. Fedele &amp; Foster 1988; </w:t>
      </w:r>
      <w:proofErr w:type="spellStart"/>
      <w:r w:rsidR="00531B6B">
        <w:rPr>
          <w:rFonts w:ascii="Times New Roman" w:hAnsi="Times New Roman"/>
          <w:sz w:val="24"/>
          <w:szCs w:val="24"/>
        </w:rPr>
        <w:t>Ciasca</w:t>
      </w:r>
      <w:proofErr w:type="spellEnd"/>
      <w:r w:rsidR="00531B6B">
        <w:rPr>
          <w:rFonts w:ascii="Times New Roman" w:hAnsi="Times New Roman"/>
          <w:sz w:val="24"/>
          <w:szCs w:val="24"/>
        </w:rPr>
        <w:t xml:space="preserve"> </w:t>
      </w:r>
      <w:r w:rsidR="00531B6B">
        <w:rPr>
          <w:rFonts w:ascii="Times New Roman" w:hAnsi="Times New Roman"/>
          <w:i/>
          <w:iCs/>
          <w:sz w:val="24"/>
          <w:szCs w:val="24"/>
        </w:rPr>
        <w:t xml:space="preserve">et al. </w:t>
      </w:r>
      <w:r w:rsidR="00531B6B">
        <w:rPr>
          <w:rFonts w:ascii="Times New Roman" w:hAnsi="Times New Roman"/>
          <w:sz w:val="24"/>
          <w:szCs w:val="24"/>
        </w:rPr>
        <w:t xml:space="preserve">1996; </w:t>
      </w:r>
      <w:r w:rsidR="005E656F">
        <w:rPr>
          <w:rFonts w:ascii="Times New Roman" w:hAnsi="Times New Roman"/>
          <w:sz w:val="24"/>
          <w:szCs w:val="24"/>
        </w:rPr>
        <w:t xml:space="preserve">Melchiorri 2010). </w:t>
      </w:r>
      <w:r w:rsidRPr="001F1446">
        <w:rPr>
          <w:rFonts w:ascii="Times New Roman" w:hAnsi="Times New Roman"/>
          <w:sz w:val="24"/>
          <w:szCs w:val="24"/>
          <w:lang w:val="en-AU"/>
        </w:rPr>
        <w:t>To inform their interpretations, m</w:t>
      </w:r>
      <w:r w:rsidRPr="001F1446">
        <w:rPr>
          <w:rFonts w:ascii="Times New Roman" w:hAnsi="Times New Roman"/>
          <w:sz w:val="24"/>
          <w:szCs w:val="24"/>
        </w:rPr>
        <w:t>any scholars, including the present authors, use ancient accounts, written records and inscriptions of events which can be highly informative. However, the</w:t>
      </w:r>
      <w:r w:rsidRPr="001F1446">
        <w:rPr>
          <w:rFonts w:ascii="Times New Roman" w:hAnsi="Times New Roman"/>
          <w:sz w:val="24"/>
          <w:szCs w:val="24"/>
          <w:lang w:val="en-AU"/>
        </w:rPr>
        <w:t>se sources</w:t>
      </w:r>
      <w:r w:rsidRPr="001F1446">
        <w:rPr>
          <w:rFonts w:ascii="Times New Roman" w:hAnsi="Times New Roman"/>
          <w:sz w:val="24"/>
          <w:szCs w:val="24"/>
        </w:rPr>
        <w:t xml:space="preserve"> should not be used as purely direct analogs</w:t>
      </w:r>
      <w:r w:rsidRPr="001F1446">
        <w:rPr>
          <w:rFonts w:ascii="Times New Roman" w:hAnsi="Times New Roman"/>
          <w:sz w:val="24"/>
          <w:szCs w:val="24"/>
          <w:lang w:val="en-AU"/>
        </w:rPr>
        <w:t>,</w:t>
      </w:r>
      <w:r w:rsidRPr="001F1446">
        <w:rPr>
          <w:rFonts w:ascii="Times New Roman" w:hAnsi="Times New Roman"/>
          <w:sz w:val="24"/>
          <w:szCs w:val="24"/>
        </w:rPr>
        <w:t xml:space="preserve"> but rather to show the different ways through which the living treated the deceased during the transition process from life to death. Variation in rituals reflecting local group identities and divergences in shared belief systems within the Phoenician and Punic worlds </w:t>
      </w:r>
      <w:r w:rsidR="009E15A9" w:rsidRPr="001F1446">
        <w:rPr>
          <w:rFonts w:ascii="Times New Roman" w:hAnsi="Times New Roman"/>
          <w:sz w:val="24"/>
          <w:szCs w:val="24"/>
          <w:lang w:val="en-AU"/>
        </w:rPr>
        <w:t xml:space="preserve">probably existed but are </w:t>
      </w:r>
      <w:r w:rsidRPr="001F1446">
        <w:rPr>
          <w:rFonts w:ascii="Times New Roman" w:hAnsi="Times New Roman"/>
          <w:sz w:val="24"/>
          <w:szCs w:val="24"/>
        </w:rPr>
        <w:t xml:space="preserve">not recorded in the historical accounts </w:t>
      </w:r>
      <w:r w:rsidRPr="001F1446">
        <w:rPr>
          <w:rFonts w:ascii="Times New Roman" w:hAnsi="Times New Roman"/>
          <w:noProof/>
          <w:sz w:val="24"/>
          <w:szCs w:val="24"/>
        </w:rPr>
        <w:t>(Vella</w:t>
      </w:r>
      <w:r w:rsidR="003F1CA5" w:rsidRPr="001F1446">
        <w:rPr>
          <w:rFonts w:ascii="Times New Roman" w:hAnsi="Times New Roman"/>
          <w:noProof/>
          <w:sz w:val="24"/>
          <w:szCs w:val="24"/>
        </w:rPr>
        <w:t xml:space="preserve"> 1996; </w:t>
      </w:r>
      <w:r w:rsidR="001F4B67" w:rsidRPr="001F1446">
        <w:rPr>
          <w:rFonts w:ascii="Times New Roman" w:hAnsi="Times New Roman"/>
          <w:noProof/>
          <w:sz w:val="24"/>
          <w:szCs w:val="24"/>
        </w:rPr>
        <w:t>Xella 2012</w:t>
      </w:r>
      <w:r w:rsidR="00A63263">
        <w:rPr>
          <w:rFonts w:ascii="Times New Roman" w:hAnsi="Times New Roman"/>
          <w:noProof/>
          <w:sz w:val="24"/>
          <w:szCs w:val="24"/>
        </w:rPr>
        <w:t>–</w:t>
      </w:r>
      <w:r w:rsidR="001F4B67" w:rsidRPr="001F1446">
        <w:rPr>
          <w:rFonts w:ascii="Times New Roman" w:hAnsi="Times New Roman"/>
          <w:noProof/>
          <w:sz w:val="24"/>
          <w:szCs w:val="24"/>
        </w:rPr>
        <w:t>2013</w:t>
      </w:r>
      <w:r w:rsidR="00A63263">
        <w:rPr>
          <w:rFonts w:ascii="Times New Roman" w:hAnsi="Times New Roman"/>
          <w:noProof/>
          <w:sz w:val="24"/>
          <w:szCs w:val="24"/>
        </w:rPr>
        <w:t>, 2013</w:t>
      </w:r>
      <w:r w:rsidR="001F4B67" w:rsidRPr="001F1446">
        <w:rPr>
          <w:rFonts w:ascii="Times New Roman" w:hAnsi="Times New Roman"/>
          <w:noProof/>
          <w:sz w:val="24"/>
          <w:szCs w:val="24"/>
        </w:rPr>
        <w:t>;</w:t>
      </w:r>
      <w:r w:rsidR="003F1CA5" w:rsidRPr="001F1446">
        <w:rPr>
          <w:rFonts w:ascii="Times New Roman" w:hAnsi="Times New Roman"/>
          <w:noProof/>
          <w:sz w:val="24"/>
          <w:szCs w:val="24"/>
        </w:rPr>
        <w:t xml:space="preserve"> Xella </w:t>
      </w:r>
      <w:r w:rsidR="003F1CA5" w:rsidRPr="001F1446">
        <w:rPr>
          <w:rFonts w:ascii="Times New Roman" w:hAnsi="Times New Roman"/>
          <w:i/>
          <w:iCs/>
          <w:noProof/>
          <w:sz w:val="24"/>
          <w:szCs w:val="24"/>
        </w:rPr>
        <w:t>et al.</w:t>
      </w:r>
      <w:r w:rsidRPr="001F1446">
        <w:rPr>
          <w:rFonts w:ascii="Times New Roman" w:hAnsi="Times New Roman"/>
          <w:noProof/>
          <w:sz w:val="24"/>
          <w:szCs w:val="24"/>
        </w:rPr>
        <w:t xml:space="preserve"> 2013)</w:t>
      </w:r>
      <w:r w:rsidRPr="001F1446">
        <w:rPr>
          <w:rFonts w:ascii="Times New Roman" w:hAnsi="Times New Roman"/>
          <w:sz w:val="24"/>
          <w:szCs w:val="24"/>
        </w:rPr>
        <w:t xml:space="preserve">. </w:t>
      </w:r>
      <w:r w:rsidR="005C3D5C" w:rsidRPr="001F1446">
        <w:rPr>
          <w:rFonts w:ascii="Times New Roman" w:hAnsi="Times New Roman"/>
          <w:sz w:val="24"/>
          <w:szCs w:val="24"/>
        </w:rPr>
        <w:t>Roman authors, such as Diodorus Siculus and Plutarch, among others, state that the Carthaginians sacrificed their children (</w:t>
      </w:r>
      <w:r w:rsidR="00A76F09" w:rsidRPr="001F1446">
        <w:rPr>
          <w:rFonts w:ascii="Times New Roman" w:hAnsi="Times New Roman"/>
          <w:sz w:val="24"/>
          <w:szCs w:val="24"/>
        </w:rPr>
        <w:t>Diodorus Siculus 20.14; Plutarch, On Superstition 13</w:t>
      </w:r>
      <w:r w:rsidR="00A76F09">
        <w:rPr>
          <w:rFonts w:ascii="Times New Roman" w:hAnsi="Times New Roman"/>
          <w:sz w:val="24"/>
          <w:szCs w:val="24"/>
        </w:rPr>
        <w:t>;</w:t>
      </w:r>
      <w:r w:rsidR="005C3D5C" w:rsidRPr="001F1446">
        <w:rPr>
          <w:rFonts w:ascii="Times New Roman" w:hAnsi="Times New Roman"/>
          <w:sz w:val="24"/>
          <w:szCs w:val="24"/>
        </w:rPr>
        <w:t xml:space="preserve">Stager </w:t>
      </w:r>
      <w:r w:rsidR="003C4E5C">
        <w:rPr>
          <w:rFonts w:ascii="Times New Roman" w:hAnsi="Times New Roman"/>
          <w:sz w:val="24"/>
          <w:szCs w:val="24"/>
        </w:rPr>
        <w:t>&amp;</w:t>
      </w:r>
      <w:r w:rsidR="005C3D5C" w:rsidRPr="001F1446">
        <w:rPr>
          <w:rFonts w:ascii="Times New Roman" w:hAnsi="Times New Roman"/>
          <w:sz w:val="24"/>
          <w:szCs w:val="24"/>
        </w:rPr>
        <w:t xml:space="preserve"> Wolff 1984;). Carroll (2018</w:t>
      </w:r>
      <w:r w:rsidR="00B53494">
        <w:rPr>
          <w:rFonts w:ascii="Times New Roman" w:hAnsi="Times New Roman"/>
          <w:sz w:val="24"/>
          <w:szCs w:val="24"/>
        </w:rPr>
        <w:t>:</w:t>
      </w:r>
      <w:r w:rsidR="005C3D5C" w:rsidRPr="001F1446">
        <w:rPr>
          <w:rFonts w:ascii="Times New Roman" w:hAnsi="Times New Roman"/>
          <w:sz w:val="24"/>
          <w:szCs w:val="24"/>
        </w:rPr>
        <w:t xml:space="preserve"> 166) caution</w:t>
      </w:r>
      <w:r w:rsidR="009E15A9" w:rsidRPr="001F1446">
        <w:rPr>
          <w:rFonts w:ascii="Times New Roman" w:hAnsi="Times New Roman"/>
          <w:sz w:val="24"/>
          <w:szCs w:val="24"/>
        </w:rPr>
        <w:t>s</w:t>
      </w:r>
      <w:r w:rsidR="005C3D5C" w:rsidRPr="001F1446">
        <w:rPr>
          <w:rFonts w:ascii="Times New Roman" w:hAnsi="Times New Roman"/>
          <w:sz w:val="24"/>
          <w:szCs w:val="24"/>
        </w:rPr>
        <w:t xml:space="preserve"> that these Roman authors consider</w:t>
      </w:r>
      <w:r w:rsidR="009E15A9" w:rsidRPr="001F1446">
        <w:rPr>
          <w:rFonts w:ascii="Times New Roman" w:hAnsi="Times New Roman"/>
          <w:sz w:val="24"/>
          <w:szCs w:val="24"/>
        </w:rPr>
        <w:t>ed</w:t>
      </w:r>
      <w:r w:rsidR="005C3D5C" w:rsidRPr="001F1446">
        <w:rPr>
          <w:rFonts w:ascii="Times New Roman" w:hAnsi="Times New Roman"/>
          <w:sz w:val="24"/>
          <w:szCs w:val="24"/>
        </w:rPr>
        <w:t xml:space="preserve"> the Carthaginians as enemies and “their character and habits could have enormous bias, written long after events or customs had occurred, and, without a Carthaginian literary or historical narrative, the Roman written record is to be used with caution”. </w:t>
      </w:r>
      <w:r w:rsidRPr="001F1446">
        <w:rPr>
          <w:rFonts w:ascii="Times New Roman" w:hAnsi="Times New Roman"/>
          <w:noProof/>
          <w:sz w:val="24"/>
          <w:szCs w:val="24"/>
        </w:rPr>
        <w:t>In addition</w:t>
      </w:r>
      <w:r w:rsidRPr="001F1446">
        <w:rPr>
          <w:rFonts w:ascii="Times New Roman" w:hAnsi="Times New Roman"/>
          <w:sz w:val="24"/>
          <w:szCs w:val="24"/>
        </w:rPr>
        <w:t xml:space="preserve">, ancient </w:t>
      </w:r>
      <w:r w:rsidRPr="001F1446">
        <w:rPr>
          <w:rFonts w:ascii="Times New Roman" w:hAnsi="Times New Roman"/>
          <w:noProof/>
          <w:sz w:val="24"/>
          <w:szCs w:val="24"/>
        </w:rPr>
        <w:t>accounts</w:t>
      </w:r>
      <w:r w:rsidRPr="001F1446">
        <w:rPr>
          <w:rFonts w:ascii="Times New Roman" w:hAnsi="Times New Roman"/>
          <w:sz w:val="24"/>
          <w:szCs w:val="24"/>
        </w:rPr>
        <w:t xml:space="preserve"> and inscriptions present several limitations inherent in evaluating historical written records </w:t>
      </w:r>
      <w:r w:rsidR="003F1CA5" w:rsidRPr="001F1446">
        <w:rPr>
          <w:rFonts w:ascii="Times New Roman" w:hAnsi="Times New Roman"/>
          <w:noProof/>
          <w:sz w:val="24"/>
          <w:szCs w:val="24"/>
        </w:rPr>
        <w:t>(Vansina</w:t>
      </w:r>
      <w:r w:rsidRPr="001F1446">
        <w:rPr>
          <w:rFonts w:ascii="Times New Roman" w:hAnsi="Times New Roman"/>
          <w:noProof/>
          <w:sz w:val="24"/>
          <w:szCs w:val="24"/>
        </w:rPr>
        <w:t xml:space="preserve"> 1985</w:t>
      </w:r>
      <w:r w:rsidR="003F1CA5" w:rsidRPr="001F1446">
        <w:rPr>
          <w:rFonts w:ascii="Times New Roman" w:hAnsi="Times New Roman"/>
          <w:noProof/>
          <w:sz w:val="24"/>
          <w:szCs w:val="24"/>
        </w:rPr>
        <w:t>;</w:t>
      </w:r>
      <w:r w:rsidRPr="001F1446">
        <w:rPr>
          <w:rFonts w:ascii="Times New Roman" w:hAnsi="Times New Roman"/>
          <w:noProof/>
          <w:sz w:val="24"/>
          <w:szCs w:val="24"/>
        </w:rPr>
        <w:t xml:space="preserve"> Wylie 1985)</w:t>
      </w:r>
      <w:r w:rsidRPr="001F1446">
        <w:rPr>
          <w:rFonts w:ascii="Times New Roman" w:hAnsi="Times New Roman"/>
          <w:sz w:val="24"/>
          <w:szCs w:val="24"/>
        </w:rPr>
        <w:t xml:space="preserve"> when related to ritual and funeral customs. In mortuary cases, monuments, headstones and stelae associated or found with the dead are made or commissioned by mourners and highlight certain aspects of the ritual or the identity of the deceased and their family </w:t>
      </w:r>
      <w:r w:rsidR="003F1CA5" w:rsidRPr="001F1446">
        <w:rPr>
          <w:rFonts w:ascii="Times New Roman" w:hAnsi="Times New Roman"/>
          <w:noProof/>
          <w:sz w:val="24"/>
          <w:szCs w:val="24"/>
        </w:rPr>
        <w:t>(e.g. Cannon</w:t>
      </w:r>
      <w:r w:rsidRPr="001F1446">
        <w:rPr>
          <w:rFonts w:ascii="Times New Roman" w:hAnsi="Times New Roman"/>
          <w:noProof/>
          <w:sz w:val="24"/>
          <w:szCs w:val="24"/>
        </w:rPr>
        <w:t xml:space="preserve"> 2005</w:t>
      </w:r>
      <w:r w:rsidR="003F1CA5" w:rsidRPr="001F1446">
        <w:rPr>
          <w:rFonts w:ascii="Times New Roman" w:hAnsi="Times New Roman"/>
          <w:noProof/>
          <w:sz w:val="24"/>
          <w:szCs w:val="24"/>
        </w:rPr>
        <w:t>;</w:t>
      </w:r>
      <w:r w:rsidRPr="001F1446">
        <w:rPr>
          <w:rFonts w:ascii="Times New Roman" w:hAnsi="Times New Roman"/>
          <w:noProof/>
          <w:sz w:val="24"/>
          <w:szCs w:val="24"/>
        </w:rPr>
        <w:t xml:space="preserve"> </w:t>
      </w:r>
      <w:r w:rsidR="003F1CA5" w:rsidRPr="001F1446">
        <w:rPr>
          <w:rFonts w:ascii="Times New Roman" w:hAnsi="Times New Roman"/>
          <w:noProof/>
          <w:sz w:val="24"/>
          <w:szCs w:val="24"/>
        </w:rPr>
        <w:t xml:space="preserve">Danielsson 2011; </w:t>
      </w:r>
      <w:r w:rsidRPr="001F1446">
        <w:rPr>
          <w:rFonts w:ascii="Times New Roman" w:hAnsi="Times New Roman"/>
          <w:noProof/>
          <w:sz w:val="24"/>
          <w:szCs w:val="24"/>
        </w:rPr>
        <w:t>Carroll 2013)</w:t>
      </w:r>
      <w:r w:rsidRPr="001F1446">
        <w:rPr>
          <w:rFonts w:ascii="Times New Roman" w:hAnsi="Times New Roman"/>
          <w:sz w:val="24"/>
          <w:szCs w:val="24"/>
        </w:rPr>
        <w:t xml:space="preserve">. Additionally, whereas historical texts tend to describe </w:t>
      </w:r>
      <w:r w:rsidRPr="001F1446">
        <w:rPr>
          <w:rFonts w:ascii="Times New Roman" w:hAnsi="Times New Roman"/>
          <w:i/>
          <w:iCs/>
          <w:noProof/>
          <w:sz w:val="24"/>
          <w:szCs w:val="24"/>
        </w:rPr>
        <w:t>tophet</w:t>
      </w:r>
      <w:r w:rsidRPr="001F1446">
        <w:rPr>
          <w:rFonts w:ascii="Times New Roman" w:hAnsi="Times New Roman"/>
          <w:i/>
          <w:iCs/>
          <w:sz w:val="24"/>
          <w:szCs w:val="24"/>
        </w:rPr>
        <w:t xml:space="preserve"> </w:t>
      </w:r>
      <w:r w:rsidRPr="001F1446">
        <w:rPr>
          <w:rFonts w:ascii="Times New Roman" w:hAnsi="Times New Roman"/>
          <w:sz w:val="24"/>
          <w:szCs w:val="24"/>
        </w:rPr>
        <w:t xml:space="preserve">sacrifice conducted as </w:t>
      </w:r>
      <w:r w:rsidRPr="001F1446">
        <w:rPr>
          <w:rFonts w:ascii="Times New Roman" w:hAnsi="Times New Roman"/>
          <w:noProof/>
          <w:sz w:val="24"/>
          <w:szCs w:val="24"/>
        </w:rPr>
        <w:t>a communal</w:t>
      </w:r>
      <w:r w:rsidRPr="001F1446">
        <w:rPr>
          <w:rFonts w:ascii="Times New Roman" w:hAnsi="Times New Roman"/>
          <w:sz w:val="24"/>
          <w:szCs w:val="24"/>
        </w:rPr>
        <w:t xml:space="preserve"> spectacle, parts of funeral rituals can and may have been more private, restricted only to relatives or particular sectors of society, and not portrayed in the ancient texts </w:t>
      </w:r>
      <w:r w:rsidRPr="001F1446">
        <w:rPr>
          <w:rFonts w:ascii="Times New Roman" w:hAnsi="Times New Roman"/>
          <w:noProof/>
          <w:sz w:val="24"/>
          <w:szCs w:val="24"/>
        </w:rPr>
        <w:t>(Hope 2009)</w:t>
      </w:r>
      <w:r w:rsidRPr="001F1446">
        <w:rPr>
          <w:rFonts w:ascii="Times New Roman" w:hAnsi="Times New Roman"/>
          <w:sz w:val="24"/>
          <w:szCs w:val="24"/>
        </w:rPr>
        <w:t>.</w:t>
      </w:r>
    </w:p>
    <w:p w14:paraId="3BC159B9" w14:textId="77777777" w:rsidR="005902FA" w:rsidRPr="001F1446" w:rsidRDefault="005902FA" w:rsidP="001F1446">
      <w:pPr>
        <w:spacing w:after="0" w:line="360" w:lineRule="auto"/>
        <w:rPr>
          <w:rFonts w:ascii="Times New Roman" w:eastAsiaTheme="minorHAnsi" w:hAnsi="Times New Roman"/>
          <w:sz w:val="24"/>
          <w:szCs w:val="24"/>
          <w:lang w:eastAsia="en-US"/>
        </w:rPr>
      </w:pPr>
    </w:p>
    <w:p w14:paraId="0FFC5C35" w14:textId="3637B5B0" w:rsidR="005902FA" w:rsidRPr="001F1446" w:rsidRDefault="001F1446" w:rsidP="001F1446">
      <w:pPr>
        <w:spacing w:after="0" w:line="360" w:lineRule="auto"/>
        <w:rPr>
          <w:rFonts w:ascii="Times New Roman" w:eastAsiaTheme="minorHAnsi" w:hAnsi="Times New Roman"/>
          <w:b/>
          <w:iCs/>
          <w:sz w:val="24"/>
          <w:szCs w:val="24"/>
          <w:lang w:eastAsia="en-US"/>
        </w:rPr>
      </w:pPr>
      <w:r w:rsidRPr="001F1446">
        <w:rPr>
          <w:rFonts w:ascii="Times New Roman" w:eastAsiaTheme="minorHAnsi" w:hAnsi="Times New Roman"/>
          <w:b/>
          <w:iCs/>
          <w:sz w:val="24"/>
          <w:szCs w:val="24"/>
          <w:lang w:eastAsia="en-US"/>
        </w:rPr>
        <w:t>Section 2</w:t>
      </w:r>
      <w:r w:rsidR="005902FA" w:rsidRPr="001F1446">
        <w:rPr>
          <w:rFonts w:ascii="Times New Roman" w:eastAsiaTheme="minorHAnsi" w:hAnsi="Times New Roman"/>
          <w:b/>
          <w:iCs/>
          <w:sz w:val="24"/>
          <w:szCs w:val="24"/>
          <w:lang w:eastAsia="en-US"/>
        </w:rPr>
        <w:t>: Methods</w:t>
      </w:r>
    </w:p>
    <w:p w14:paraId="5F6A09FC" w14:textId="77777777" w:rsidR="005902FA" w:rsidRPr="001F1446" w:rsidRDefault="005902FA" w:rsidP="001F1446">
      <w:pPr>
        <w:spacing w:after="0" w:line="360" w:lineRule="auto"/>
        <w:rPr>
          <w:rFonts w:ascii="Times New Roman" w:hAnsi="Times New Roman"/>
          <w:i/>
          <w:sz w:val="24"/>
          <w:szCs w:val="24"/>
        </w:rPr>
      </w:pPr>
      <w:r w:rsidRPr="001F1446">
        <w:rPr>
          <w:rFonts w:ascii="Times New Roman" w:hAnsi="Times New Roman"/>
          <w:i/>
          <w:sz w:val="24"/>
          <w:szCs w:val="24"/>
        </w:rPr>
        <w:t>Biological data</w:t>
      </w:r>
    </w:p>
    <w:p w14:paraId="6C398489" w14:textId="521AB4ED" w:rsidR="005902FA" w:rsidRPr="001F1446" w:rsidRDefault="000F5F6C" w:rsidP="001F1446">
      <w:pPr>
        <w:autoSpaceDE w:val="0"/>
        <w:autoSpaceDN w:val="0"/>
        <w:adjustRightInd w:val="0"/>
        <w:spacing w:after="0" w:line="360" w:lineRule="auto"/>
        <w:rPr>
          <w:rFonts w:ascii="Times New Roman" w:hAnsi="Times New Roman"/>
          <w:sz w:val="24"/>
          <w:szCs w:val="24"/>
        </w:rPr>
      </w:pPr>
      <w:r w:rsidRPr="001F1446">
        <w:rPr>
          <w:rFonts w:ascii="Times New Roman" w:hAnsi="Times New Roman"/>
          <w:sz w:val="24"/>
          <w:szCs w:val="24"/>
        </w:rPr>
        <w:t>T</w:t>
      </w:r>
      <w:r w:rsidR="005902FA" w:rsidRPr="001F1446">
        <w:rPr>
          <w:rFonts w:ascii="Times New Roman" w:hAnsi="Times New Roman"/>
          <w:sz w:val="24"/>
          <w:szCs w:val="24"/>
        </w:rPr>
        <w:t xml:space="preserve">he human skeletal remains recovered consisted of burned bones. The protocols for osteological data collection were based on Buikstra and Ubelaker </w:t>
      </w:r>
      <w:r w:rsidR="005902FA" w:rsidRPr="001F1446">
        <w:rPr>
          <w:rFonts w:ascii="Times New Roman" w:hAnsi="Times New Roman"/>
          <w:noProof/>
          <w:sz w:val="24"/>
          <w:szCs w:val="24"/>
        </w:rPr>
        <w:t>(1994)</w:t>
      </w:r>
      <w:r w:rsidR="005902FA" w:rsidRPr="001F1446">
        <w:rPr>
          <w:rFonts w:ascii="Times New Roman" w:hAnsi="Times New Roman"/>
          <w:sz w:val="24"/>
          <w:szCs w:val="24"/>
        </w:rPr>
        <w:t xml:space="preserve"> and subsequent revisions </w:t>
      </w:r>
      <w:r w:rsidR="003F1CA5" w:rsidRPr="001F1446">
        <w:rPr>
          <w:rFonts w:ascii="Times New Roman" w:hAnsi="Times New Roman"/>
          <w:noProof/>
          <w:sz w:val="24"/>
          <w:szCs w:val="24"/>
        </w:rPr>
        <w:t xml:space="preserve">(e.g. </w:t>
      </w:r>
      <w:r w:rsidR="009E5A09" w:rsidRPr="001F1446">
        <w:rPr>
          <w:rFonts w:ascii="Times New Roman" w:hAnsi="Times New Roman"/>
          <w:noProof/>
          <w:sz w:val="24"/>
          <w:szCs w:val="24"/>
        </w:rPr>
        <w:t xml:space="preserve">Cunningham </w:t>
      </w:r>
      <w:r w:rsidR="009E5A09" w:rsidRPr="001F1446">
        <w:rPr>
          <w:rFonts w:ascii="Times New Roman" w:hAnsi="Times New Roman"/>
          <w:i/>
          <w:iCs/>
          <w:noProof/>
          <w:sz w:val="24"/>
          <w:szCs w:val="24"/>
        </w:rPr>
        <w:t>et al.</w:t>
      </w:r>
      <w:r w:rsidR="009E5A09" w:rsidRPr="001F1446">
        <w:rPr>
          <w:rFonts w:ascii="Times New Roman" w:hAnsi="Times New Roman"/>
          <w:noProof/>
          <w:sz w:val="24"/>
          <w:szCs w:val="24"/>
        </w:rPr>
        <w:t xml:space="preserve"> 2016</w:t>
      </w:r>
      <w:r w:rsidR="009E5A09">
        <w:rPr>
          <w:rFonts w:ascii="Times New Roman" w:hAnsi="Times New Roman"/>
          <w:noProof/>
          <w:sz w:val="24"/>
          <w:szCs w:val="24"/>
        </w:rPr>
        <w:t xml:space="preserve">; </w:t>
      </w:r>
      <w:r w:rsidR="003F1CA5" w:rsidRPr="001F1446">
        <w:rPr>
          <w:rFonts w:ascii="Times New Roman" w:hAnsi="Times New Roman"/>
          <w:noProof/>
          <w:sz w:val="24"/>
          <w:szCs w:val="24"/>
        </w:rPr>
        <w:t xml:space="preserve">Langley </w:t>
      </w:r>
      <w:r w:rsidR="003F1CA5" w:rsidRPr="001F1446">
        <w:rPr>
          <w:rFonts w:ascii="Times New Roman" w:hAnsi="Times New Roman"/>
          <w:i/>
          <w:iCs/>
          <w:noProof/>
          <w:sz w:val="24"/>
          <w:szCs w:val="24"/>
        </w:rPr>
        <w:t>et al.</w:t>
      </w:r>
      <w:r w:rsidR="003F1CA5" w:rsidRPr="001F1446">
        <w:rPr>
          <w:rFonts w:ascii="Times New Roman" w:hAnsi="Times New Roman"/>
          <w:noProof/>
          <w:sz w:val="24"/>
          <w:szCs w:val="24"/>
        </w:rPr>
        <w:t xml:space="preserve"> 2016</w:t>
      </w:r>
      <w:r w:rsidR="005902FA" w:rsidRPr="001F1446">
        <w:rPr>
          <w:rFonts w:ascii="Times New Roman" w:hAnsi="Times New Roman"/>
          <w:noProof/>
          <w:sz w:val="24"/>
          <w:szCs w:val="24"/>
        </w:rPr>
        <w:t>)</w:t>
      </w:r>
      <w:r w:rsidR="005902FA" w:rsidRPr="001F1446">
        <w:rPr>
          <w:rFonts w:ascii="Times New Roman" w:hAnsi="Times New Roman"/>
          <w:sz w:val="24"/>
          <w:szCs w:val="24"/>
        </w:rPr>
        <w:t xml:space="preserve">. Skeletal data collection consisted of </w:t>
      </w:r>
      <w:bookmarkStart w:id="2" w:name="_Hlk126326528"/>
      <w:r w:rsidR="005902FA" w:rsidRPr="001F1446">
        <w:rPr>
          <w:rFonts w:ascii="Times New Roman" w:hAnsi="Times New Roman"/>
          <w:sz w:val="24"/>
          <w:szCs w:val="24"/>
        </w:rPr>
        <w:t xml:space="preserve">documenting metric and morphological observations </w:t>
      </w:r>
      <w:bookmarkEnd w:id="2"/>
      <w:r w:rsidR="005902FA" w:rsidRPr="001F1446">
        <w:rPr>
          <w:rFonts w:ascii="Times New Roman" w:hAnsi="Times New Roman"/>
          <w:sz w:val="24"/>
          <w:szCs w:val="24"/>
        </w:rPr>
        <w:t>of remains</w:t>
      </w:r>
      <w:r w:rsidR="005902FA" w:rsidRPr="001F1446">
        <w:rPr>
          <w:rFonts w:ascii="Times New Roman" w:hAnsi="Times New Roman"/>
          <w:noProof/>
          <w:sz w:val="24"/>
          <w:szCs w:val="24"/>
        </w:rPr>
        <w:t>. First, a</w:t>
      </w:r>
      <w:r w:rsidR="005902FA" w:rsidRPr="001F1446">
        <w:rPr>
          <w:rFonts w:ascii="Times New Roman" w:hAnsi="Times New Roman"/>
          <w:sz w:val="24"/>
          <w:szCs w:val="24"/>
        </w:rPr>
        <w:t xml:space="preserve"> detailed skeletal inventory of each </w:t>
      </w:r>
      <w:r w:rsidR="005902FA" w:rsidRPr="001F1446">
        <w:rPr>
          <w:rFonts w:ascii="Times New Roman" w:hAnsi="Times New Roman"/>
          <w:sz w:val="24"/>
          <w:szCs w:val="24"/>
        </w:rPr>
        <w:lastRenderedPageBreak/>
        <w:t>burial was</w:t>
      </w:r>
      <w:r w:rsidR="005902FA" w:rsidRPr="001F1446">
        <w:rPr>
          <w:rFonts w:ascii="Times New Roman" w:hAnsi="Times New Roman"/>
          <w:noProof/>
          <w:sz w:val="24"/>
          <w:szCs w:val="24"/>
        </w:rPr>
        <w:t xml:space="preserve"> generated</w:t>
      </w:r>
      <w:r w:rsidR="005902FA" w:rsidRPr="001F1446">
        <w:rPr>
          <w:rFonts w:ascii="Times New Roman" w:hAnsi="Times New Roman"/>
          <w:sz w:val="24"/>
          <w:szCs w:val="24"/>
        </w:rPr>
        <w:t xml:space="preserve">, including recording elements present and preservation conditions. These analyses allowed for interpretations of body completeness at the moment of burial and the </w:t>
      </w:r>
      <w:r w:rsidR="005902FA" w:rsidRPr="001F1446">
        <w:rPr>
          <w:rFonts w:ascii="Times New Roman" w:hAnsi="Times New Roman"/>
          <w:noProof/>
          <w:sz w:val="24"/>
          <w:szCs w:val="24"/>
        </w:rPr>
        <w:t>number</w:t>
      </w:r>
      <w:r w:rsidR="005902FA" w:rsidRPr="001F1446">
        <w:rPr>
          <w:rFonts w:ascii="Times New Roman" w:hAnsi="Times New Roman"/>
          <w:sz w:val="24"/>
          <w:szCs w:val="24"/>
        </w:rPr>
        <w:t xml:space="preserve"> of individuals represented in each deposit. </w:t>
      </w:r>
      <w:bookmarkStart w:id="3" w:name="_Hlk126317467"/>
      <w:r w:rsidR="005902FA" w:rsidRPr="001F1446">
        <w:rPr>
          <w:rFonts w:ascii="Times New Roman" w:hAnsi="Times New Roman"/>
          <w:sz w:val="24"/>
          <w:szCs w:val="24"/>
        </w:rPr>
        <w:t xml:space="preserve">Second, age-at-death was estimated using dental development, calcification and eruption, diaphyseal length of unburned and complete long bones, and the appearance and union of the epiphyses, following accepted standards </w:t>
      </w:r>
      <w:r w:rsidR="003F1CA5" w:rsidRPr="001F1446">
        <w:rPr>
          <w:rFonts w:ascii="Times New Roman" w:hAnsi="Times New Roman"/>
          <w:noProof/>
          <w:sz w:val="24"/>
          <w:szCs w:val="24"/>
        </w:rPr>
        <w:t xml:space="preserve">(Buikstra &amp; Ubelaker 1994; Schaefer </w:t>
      </w:r>
      <w:r w:rsidR="003F1CA5" w:rsidRPr="001F1446">
        <w:rPr>
          <w:rFonts w:ascii="Times New Roman" w:hAnsi="Times New Roman"/>
          <w:i/>
          <w:iCs/>
          <w:noProof/>
          <w:sz w:val="24"/>
          <w:szCs w:val="24"/>
        </w:rPr>
        <w:t>et al.</w:t>
      </w:r>
      <w:r w:rsidR="003F1CA5" w:rsidRPr="001F1446">
        <w:rPr>
          <w:rFonts w:ascii="Times New Roman" w:hAnsi="Times New Roman"/>
          <w:noProof/>
          <w:sz w:val="24"/>
          <w:szCs w:val="24"/>
        </w:rPr>
        <w:t xml:space="preserve"> 2009; AlQahtani </w:t>
      </w:r>
      <w:r w:rsidR="003F1CA5" w:rsidRPr="001F1446">
        <w:rPr>
          <w:rFonts w:ascii="Times New Roman" w:hAnsi="Times New Roman"/>
          <w:i/>
          <w:iCs/>
          <w:noProof/>
          <w:sz w:val="24"/>
          <w:szCs w:val="24"/>
        </w:rPr>
        <w:t>et al</w:t>
      </w:r>
      <w:r w:rsidR="003F1CA5" w:rsidRPr="001F1446">
        <w:rPr>
          <w:rFonts w:ascii="Times New Roman" w:hAnsi="Times New Roman"/>
          <w:noProof/>
          <w:sz w:val="24"/>
          <w:szCs w:val="24"/>
        </w:rPr>
        <w:t>.</w:t>
      </w:r>
      <w:r w:rsidR="005902FA" w:rsidRPr="001F1446">
        <w:rPr>
          <w:rFonts w:ascii="Times New Roman" w:hAnsi="Times New Roman"/>
          <w:noProof/>
          <w:sz w:val="24"/>
          <w:szCs w:val="24"/>
        </w:rPr>
        <w:t xml:space="preserve"> 2014</w:t>
      </w:r>
      <w:r w:rsidR="003F1CA5" w:rsidRPr="001F1446">
        <w:rPr>
          <w:rFonts w:ascii="Times New Roman" w:hAnsi="Times New Roman"/>
          <w:noProof/>
          <w:sz w:val="24"/>
          <w:szCs w:val="24"/>
        </w:rPr>
        <w:t xml:space="preserve">; </w:t>
      </w:r>
      <w:r w:rsidR="005902FA" w:rsidRPr="001F1446">
        <w:rPr>
          <w:rFonts w:ascii="Times New Roman" w:hAnsi="Times New Roman"/>
          <w:noProof/>
          <w:sz w:val="24"/>
          <w:szCs w:val="24"/>
        </w:rPr>
        <w:t xml:space="preserve">Cunningham </w:t>
      </w:r>
      <w:r w:rsidR="005902FA" w:rsidRPr="001F1446">
        <w:rPr>
          <w:rFonts w:ascii="Times New Roman" w:hAnsi="Times New Roman"/>
          <w:i/>
          <w:iCs/>
          <w:noProof/>
          <w:sz w:val="24"/>
          <w:szCs w:val="24"/>
        </w:rPr>
        <w:t>et al.</w:t>
      </w:r>
      <w:r w:rsidR="005902FA" w:rsidRPr="001F1446">
        <w:rPr>
          <w:rFonts w:ascii="Times New Roman" w:hAnsi="Times New Roman"/>
          <w:noProof/>
          <w:sz w:val="24"/>
          <w:szCs w:val="24"/>
        </w:rPr>
        <w:t xml:space="preserve"> 2016)</w:t>
      </w:r>
      <w:bookmarkEnd w:id="3"/>
      <w:r w:rsidR="005902FA" w:rsidRPr="001F1446">
        <w:rPr>
          <w:rFonts w:ascii="Times New Roman" w:hAnsi="Times New Roman"/>
          <w:sz w:val="24"/>
          <w:szCs w:val="24"/>
        </w:rPr>
        <w:t xml:space="preserve">. </w:t>
      </w:r>
      <w:bookmarkStart w:id="4" w:name="_Hlk126317428"/>
      <w:r w:rsidR="005902FA" w:rsidRPr="001F1446">
        <w:rPr>
          <w:rFonts w:ascii="Times New Roman" w:hAnsi="Times New Roman"/>
          <w:noProof/>
          <w:sz w:val="24"/>
          <w:szCs w:val="24"/>
        </w:rPr>
        <w:t>E</w:t>
      </w:r>
      <w:proofErr w:type="spellStart"/>
      <w:r w:rsidR="005902FA" w:rsidRPr="001F1446">
        <w:rPr>
          <w:rFonts w:ascii="Times New Roman" w:hAnsi="Times New Roman"/>
          <w:sz w:val="24"/>
          <w:szCs w:val="24"/>
        </w:rPr>
        <w:t>vidence</w:t>
      </w:r>
      <w:proofErr w:type="spellEnd"/>
      <w:r w:rsidR="005902FA" w:rsidRPr="001F1446">
        <w:rPr>
          <w:rFonts w:ascii="Times New Roman" w:hAnsi="Times New Roman"/>
          <w:sz w:val="24"/>
          <w:szCs w:val="24"/>
        </w:rPr>
        <w:t xml:space="preserve"> of pathological conditions</w:t>
      </w:r>
      <w:r w:rsidR="003F1CA5" w:rsidRPr="001F1446">
        <w:rPr>
          <w:rFonts w:ascii="Times New Roman" w:hAnsi="Times New Roman"/>
          <w:sz w:val="24"/>
          <w:szCs w:val="24"/>
        </w:rPr>
        <w:t xml:space="preserve"> </w:t>
      </w:r>
      <w:r w:rsidR="005902FA" w:rsidRPr="001F1446">
        <w:rPr>
          <w:rFonts w:ascii="Times New Roman" w:hAnsi="Times New Roman"/>
          <w:sz w:val="24"/>
          <w:szCs w:val="24"/>
        </w:rPr>
        <w:t xml:space="preserve">and skeletal </w:t>
      </w:r>
      <w:r w:rsidR="003F1CA5" w:rsidRPr="001F1446">
        <w:rPr>
          <w:rFonts w:ascii="Times New Roman" w:hAnsi="Times New Roman"/>
          <w:sz w:val="24"/>
          <w:szCs w:val="24"/>
        </w:rPr>
        <w:t>trauma were</w:t>
      </w:r>
      <w:r w:rsidR="00AF43B9" w:rsidRPr="001F1446">
        <w:rPr>
          <w:rFonts w:ascii="Times New Roman" w:hAnsi="Times New Roman"/>
          <w:sz w:val="24"/>
          <w:szCs w:val="24"/>
        </w:rPr>
        <w:t xml:space="preserve"> evaluated </w:t>
      </w:r>
      <w:r w:rsidR="004227F2" w:rsidRPr="001F1446">
        <w:rPr>
          <w:rFonts w:ascii="Times New Roman" w:hAnsi="Times New Roman"/>
          <w:sz w:val="24"/>
          <w:szCs w:val="24"/>
        </w:rPr>
        <w:t>macroscopically</w:t>
      </w:r>
      <w:r w:rsidR="00AF43B9" w:rsidRPr="001F1446">
        <w:rPr>
          <w:rFonts w:ascii="Times New Roman" w:hAnsi="Times New Roman"/>
          <w:sz w:val="24"/>
          <w:szCs w:val="24"/>
        </w:rPr>
        <w:t xml:space="preserve"> and</w:t>
      </w:r>
      <w:r w:rsidR="005902FA" w:rsidRPr="001F1446">
        <w:rPr>
          <w:rFonts w:ascii="Times New Roman" w:hAnsi="Times New Roman"/>
          <w:noProof/>
          <w:sz w:val="24"/>
          <w:szCs w:val="24"/>
        </w:rPr>
        <w:t xml:space="preserve"> recorded</w:t>
      </w:r>
      <w:r w:rsidR="005902FA" w:rsidRPr="001F1446">
        <w:rPr>
          <w:rFonts w:ascii="Times New Roman" w:hAnsi="Times New Roman"/>
          <w:sz w:val="24"/>
          <w:szCs w:val="24"/>
        </w:rPr>
        <w:t xml:space="preserve"> when present using accepted protocols</w:t>
      </w:r>
      <w:r w:rsidR="003F1CA5" w:rsidRPr="001F1446">
        <w:rPr>
          <w:rFonts w:ascii="Times New Roman" w:hAnsi="Times New Roman"/>
          <w:noProof/>
          <w:sz w:val="24"/>
          <w:szCs w:val="24"/>
        </w:rPr>
        <w:t xml:space="preserve"> (Buikstra &amp; Ubelaker</w:t>
      </w:r>
      <w:r w:rsidR="005902FA" w:rsidRPr="001F1446">
        <w:rPr>
          <w:rFonts w:ascii="Times New Roman" w:hAnsi="Times New Roman"/>
          <w:noProof/>
          <w:sz w:val="24"/>
          <w:szCs w:val="24"/>
        </w:rPr>
        <w:t xml:space="preserve"> 1994</w:t>
      </w:r>
      <w:r w:rsidR="003F1CA5" w:rsidRPr="001F1446">
        <w:rPr>
          <w:rFonts w:ascii="Times New Roman" w:hAnsi="Times New Roman"/>
          <w:noProof/>
          <w:sz w:val="24"/>
          <w:szCs w:val="24"/>
        </w:rPr>
        <w:t>;</w:t>
      </w:r>
      <w:r w:rsidR="005902FA" w:rsidRPr="001F1446">
        <w:rPr>
          <w:rFonts w:ascii="Times New Roman" w:hAnsi="Times New Roman"/>
          <w:noProof/>
          <w:sz w:val="24"/>
          <w:szCs w:val="24"/>
        </w:rPr>
        <w:t xml:space="preserve"> Ortner 2003</w:t>
      </w:r>
      <w:r w:rsidR="003F1CA5" w:rsidRPr="001F1446">
        <w:rPr>
          <w:rFonts w:ascii="Times New Roman" w:hAnsi="Times New Roman"/>
          <w:noProof/>
          <w:sz w:val="24"/>
          <w:szCs w:val="24"/>
        </w:rPr>
        <w:t>;</w:t>
      </w:r>
      <w:r w:rsidR="00AF43B9" w:rsidRPr="001F1446">
        <w:rPr>
          <w:rFonts w:ascii="Times New Roman" w:hAnsi="Times New Roman"/>
          <w:noProof/>
          <w:sz w:val="24"/>
          <w:szCs w:val="24"/>
        </w:rPr>
        <w:t xml:space="preserve"> Lewis 201</w:t>
      </w:r>
      <w:r w:rsidR="001D2D0F" w:rsidRPr="001F1446">
        <w:rPr>
          <w:rFonts w:ascii="Times New Roman" w:hAnsi="Times New Roman"/>
          <w:noProof/>
          <w:sz w:val="24"/>
          <w:szCs w:val="24"/>
        </w:rPr>
        <w:t>8</w:t>
      </w:r>
      <w:r w:rsidR="00AF43B9" w:rsidRPr="001F1446">
        <w:rPr>
          <w:rFonts w:ascii="Times New Roman" w:hAnsi="Times New Roman"/>
          <w:noProof/>
          <w:sz w:val="24"/>
          <w:szCs w:val="24"/>
        </w:rPr>
        <w:t xml:space="preserve">; </w:t>
      </w:r>
      <w:r w:rsidR="003F1CA5" w:rsidRPr="001F1446">
        <w:rPr>
          <w:rFonts w:ascii="Times New Roman" w:hAnsi="Times New Roman"/>
          <w:noProof/>
          <w:sz w:val="24"/>
          <w:szCs w:val="24"/>
        </w:rPr>
        <w:t>Buikstra 2019</w:t>
      </w:r>
      <w:r w:rsidR="005902FA" w:rsidRPr="001F1446">
        <w:rPr>
          <w:rFonts w:ascii="Times New Roman" w:hAnsi="Times New Roman"/>
          <w:noProof/>
          <w:sz w:val="24"/>
          <w:szCs w:val="24"/>
        </w:rPr>
        <w:t>)</w:t>
      </w:r>
      <w:r w:rsidR="005902FA" w:rsidRPr="001F1446">
        <w:rPr>
          <w:rFonts w:ascii="Times New Roman" w:hAnsi="Times New Roman"/>
          <w:sz w:val="24"/>
          <w:szCs w:val="24"/>
        </w:rPr>
        <w:t xml:space="preserve">. </w:t>
      </w:r>
      <w:bookmarkEnd w:id="4"/>
      <w:r w:rsidR="00AF43B9" w:rsidRPr="001F1446">
        <w:rPr>
          <w:rFonts w:ascii="Times New Roman" w:hAnsi="Times New Roman"/>
          <w:sz w:val="24"/>
          <w:szCs w:val="24"/>
        </w:rPr>
        <w:t xml:space="preserve">The location, extent, severity, </w:t>
      </w:r>
      <w:r w:rsidR="004227F2" w:rsidRPr="001F1446">
        <w:rPr>
          <w:rFonts w:ascii="Times New Roman" w:hAnsi="Times New Roman"/>
          <w:sz w:val="24"/>
          <w:szCs w:val="24"/>
        </w:rPr>
        <w:t>nature,</w:t>
      </w:r>
      <w:r w:rsidR="00AF43B9" w:rsidRPr="001F1446">
        <w:rPr>
          <w:rFonts w:ascii="Times New Roman" w:hAnsi="Times New Roman"/>
          <w:sz w:val="24"/>
          <w:szCs w:val="24"/>
        </w:rPr>
        <w:t xml:space="preserve"> and the type of bone formation of pathological changes were documented in detail</w:t>
      </w:r>
      <w:r w:rsidR="00AF4626">
        <w:rPr>
          <w:rFonts w:ascii="Times New Roman" w:hAnsi="Times New Roman"/>
          <w:sz w:val="24"/>
          <w:szCs w:val="24"/>
        </w:rPr>
        <w:t xml:space="preserve"> (Table S1)</w:t>
      </w:r>
      <w:r w:rsidR="00AF43B9" w:rsidRPr="001F1446">
        <w:rPr>
          <w:rFonts w:ascii="Times New Roman" w:hAnsi="Times New Roman"/>
          <w:sz w:val="24"/>
          <w:szCs w:val="24"/>
        </w:rPr>
        <w:t xml:space="preserve">. In addition, care was taken to distinguish abnormal porosity and bone formation that could have a pathological association and normal skeletal bone growth and porosity related to growth and development and areas of ligament and </w:t>
      </w:r>
      <w:r w:rsidR="004227F2" w:rsidRPr="001F1446">
        <w:rPr>
          <w:rFonts w:ascii="Times New Roman" w:hAnsi="Times New Roman"/>
          <w:sz w:val="24"/>
          <w:szCs w:val="24"/>
        </w:rPr>
        <w:t>muscle</w:t>
      </w:r>
      <w:r w:rsidR="00AF43B9" w:rsidRPr="001F1446">
        <w:rPr>
          <w:rFonts w:ascii="Times New Roman" w:hAnsi="Times New Roman"/>
          <w:sz w:val="24"/>
          <w:szCs w:val="24"/>
        </w:rPr>
        <w:t xml:space="preserve"> attachment. When it was unclear whether the porosity and bone growth was normal, the skeletal elements were compared with other individuals of similar age following recommendations of B</w:t>
      </w:r>
      <w:r w:rsidR="001D2D0F" w:rsidRPr="001F1446">
        <w:rPr>
          <w:rFonts w:ascii="Times New Roman" w:hAnsi="Times New Roman"/>
          <w:sz w:val="24"/>
          <w:szCs w:val="24"/>
        </w:rPr>
        <w:t>r</w:t>
      </w:r>
      <w:r w:rsidR="00AF43B9" w:rsidRPr="001F1446">
        <w:rPr>
          <w:rFonts w:ascii="Times New Roman" w:hAnsi="Times New Roman"/>
          <w:sz w:val="24"/>
          <w:szCs w:val="24"/>
        </w:rPr>
        <w:t>ick</w:t>
      </w:r>
      <w:r w:rsidR="001D2D0F" w:rsidRPr="001F1446">
        <w:rPr>
          <w:rFonts w:ascii="Times New Roman" w:hAnsi="Times New Roman"/>
          <w:sz w:val="24"/>
          <w:szCs w:val="24"/>
        </w:rPr>
        <w:t>l</w:t>
      </w:r>
      <w:r w:rsidR="00AF43B9" w:rsidRPr="001F1446">
        <w:rPr>
          <w:rFonts w:ascii="Times New Roman" w:hAnsi="Times New Roman"/>
          <w:sz w:val="24"/>
          <w:szCs w:val="24"/>
        </w:rPr>
        <w:t>ey and May</w:t>
      </w:r>
      <w:r w:rsidR="00662F03">
        <w:rPr>
          <w:rFonts w:ascii="Times New Roman" w:hAnsi="Times New Roman"/>
          <w:sz w:val="24"/>
          <w:szCs w:val="24"/>
        </w:rPr>
        <w:t>s</w:t>
      </w:r>
      <w:r w:rsidR="00AF43B9" w:rsidRPr="001F1446">
        <w:rPr>
          <w:rFonts w:ascii="Times New Roman" w:hAnsi="Times New Roman"/>
          <w:sz w:val="24"/>
          <w:szCs w:val="24"/>
        </w:rPr>
        <w:t xml:space="preserve"> (2019). </w:t>
      </w:r>
      <w:r w:rsidR="00465078" w:rsidRPr="001F1446">
        <w:rPr>
          <w:rFonts w:ascii="Times New Roman" w:hAnsi="Times New Roman"/>
          <w:sz w:val="24"/>
          <w:szCs w:val="24"/>
        </w:rPr>
        <w:t>A</w:t>
      </w:r>
      <w:r w:rsidR="00AF43B9" w:rsidRPr="001F1446">
        <w:rPr>
          <w:rFonts w:ascii="Times New Roman" w:hAnsi="Times New Roman"/>
          <w:sz w:val="24"/>
          <w:szCs w:val="24"/>
        </w:rPr>
        <w:t xml:space="preserve">bnormal bone formation in the skull was evaluated in terms of the location (skeletal elements), affected surface (endocranial vs ectocranial), characteristics (diffuse or isolated), </w:t>
      </w:r>
      <w:r w:rsidR="004227F2" w:rsidRPr="001F1446">
        <w:rPr>
          <w:rFonts w:ascii="Times New Roman" w:hAnsi="Times New Roman"/>
          <w:sz w:val="24"/>
          <w:szCs w:val="24"/>
        </w:rPr>
        <w:t>dimensions</w:t>
      </w:r>
      <w:r w:rsidR="00AF43B9" w:rsidRPr="001F1446">
        <w:rPr>
          <w:rFonts w:ascii="Times New Roman" w:hAnsi="Times New Roman"/>
          <w:sz w:val="24"/>
          <w:szCs w:val="24"/>
        </w:rPr>
        <w:t xml:space="preserve"> (</w:t>
      </w:r>
      <w:r w:rsidR="004227F2" w:rsidRPr="001F1446">
        <w:rPr>
          <w:rFonts w:ascii="Times New Roman" w:hAnsi="Times New Roman"/>
          <w:sz w:val="24"/>
          <w:szCs w:val="24"/>
        </w:rPr>
        <w:t>length</w:t>
      </w:r>
      <w:r w:rsidR="00AF43B9" w:rsidRPr="001F1446">
        <w:rPr>
          <w:rFonts w:ascii="Times New Roman" w:hAnsi="Times New Roman"/>
          <w:sz w:val="24"/>
          <w:szCs w:val="24"/>
        </w:rPr>
        <w:t xml:space="preserve"> and width), degree of healing (active, healed or </w:t>
      </w:r>
      <w:r w:rsidR="00465078" w:rsidRPr="001F1446">
        <w:rPr>
          <w:rFonts w:ascii="Times New Roman" w:hAnsi="Times New Roman"/>
          <w:sz w:val="24"/>
          <w:szCs w:val="24"/>
        </w:rPr>
        <w:t>mixed</w:t>
      </w:r>
      <w:r w:rsidR="00AF43B9" w:rsidRPr="001F1446">
        <w:rPr>
          <w:rFonts w:ascii="Times New Roman" w:hAnsi="Times New Roman"/>
          <w:sz w:val="24"/>
          <w:szCs w:val="24"/>
        </w:rPr>
        <w:t xml:space="preserve">), the </w:t>
      </w:r>
      <w:r w:rsidR="004227F2" w:rsidRPr="001F1446">
        <w:rPr>
          <w:rFonts w:ascii="Times New Roman" w:hAnsi="Times New Roman"/>
          <w:sz w:val="24"/>
          <w:szCs w:val="24"/>
        </w:rPr>
        <w:t>involvement</w:t>
      </w:r>
      <w:r w:rsidR="00AF43B9" w:rsidRPr="001F1446">
        <w:rPr>
          <w:rFonts w:ascii="Times New Roman" w:hAnsi="Times New Roman"/>
          <w:sz w:val="24"/>
          <w:szCs w:val="24"/>
        </w:rPr>
        <w:t xml:space="preserve"> of lamina, </w:t>
      </w:r>
      <w:r w:rsidRPr="001F1446">
        <w:rPr>
          <w:rFonts w:ascii="Times New Roman" w:hAnsi="Times New Roman"/>
          <w:sz w:val="24"/>
          <w:szCs w:val="24"/>
        </w:rPr>
        <w:t xml:space="preserve">and </w:t>
      </w:r>
      <w:r w:rsidR="00AF43B9" w:rsidRPr="001F1446">
        <w:rPr>
          <w:rFonts w:ascii="Times New Roman" w:hAnsi="Times New Roman"/>
          <w:sz w:val="24"/>
          <w:szCs w:val="24"/>
        </w:rPr>
        <w:t xml:space="preserve">the presence of ‘hair-on-end’ extensions of the diploe that could be associated with porotic hyperostosis. </w:t>
      </w:r>
      <w:r w:rsidRPr="001F1446">
        <w:rPr>
          <w:rFonts w:ascii="Times New Roman" w:hAnsi="Times New Roman"/>
          <w:sz w:val="24"/>
          <w:szCs w:val="24"/>
        </w:rPr>
        <w:t>T</w:t>
      </w:r>
      <w:r w:rsidR="00AF43B9" w:rsidRPr="001F1446">
        <w:rPr>
          <w:rFonts w:ascii="Times New Roman" w:hAnsi="Times New Roman"/>
          <w:sz w:val="24"/>
          <w:szCs w:val="24"/>
        </w:rPr>
        <w:t xml:space="preserve">he endocranial surface of the skull vault was evaluated </w:t>
      </w:r>
      <w:r w:rsidR="00465078" w:rsidRPr="001F1446">
        <w:rPr>
          <w:rFonts w:ascii="Times New Roman" w:hAnsi="Times New Roman"/>
          <w:sz w:val="24"/>
          <w:szCs w:val="24"/>
        </w:rPr>
        <w:t>for</w:t>
      </w:r>
      <w:r w:rsidRPr="001F1446">
        <w:rPr>
          <w:rFonts w:ascii="Times New Roman" w:hAnsi="Times New Roman"/>
          <w:sz w:val="24"/>
          <w:szCs w:val="24"/>
        </w:rPr>
        <w:t xml:space="preserve"> </w:t>
      </w:r>
      <w:r w:rsidR="00AF43B9" w:rsidRPr="001F1446">
        <w:rPr>
          <w:rFonts w:ascii="Times New Roman" w:hAnsi="Times New Roman"/>
          <w:sz w:val="24"/>
          <w:szCs w:val="24"/>
        </w:rPr>
        <w:t xml:space="preserve">the presence and characteristics of the blood vessel </w:t>
      </w:r>
      <w:r w:rsidR="004227F2" w:rsidRPr="001F1446">
        <w:rPr>
          <w:rFonts w:ascii="Times New Roman" w:hAnsi="Times New Roman"/>
          <w:sz w:val="24"/>
          <w:szCs w:val="24"/>
        </w:rPr>
        <w:t>impressions</w:t>
      </w:r>
      <w:r w:rsidR="00AF43B9" w:rsidRPr="001F1446">
        <w:rPr>
          <w:rFonts w:ascii="Times New Roman" w:hAnsi="Times New Roman"/>
          <w:sz w:val="24"/>
          <w:szCs w:val="24"/>
        </w:rPr>
        <w:t xml:space="preserve"> and abnormal bone formation to </w:t>
      </w:r>
      <w:r w:rsidR="004227F2" w:rsidRPr="001F1446">
        <w:rPr>
          <w:rFonts w:ascii="Times New Roman" w:hAnsi="Times New Roman"/>
          <w:sz w:val="24"/>
          <w:szCs w:val="24"/>
        </w:rPr>
        <w:t>facilitate</w:t>
      </w:r>
      <w:r w:rsidR="00AF43B9" w:rsidRPr="001F1446">
        <w:rPr>
          <w:rFonts w:ascii="Times New Roman" w:hAnsi="Times New Roman"/>
          <w:sz w:val="24"/>
          <w:szCs w:val="24"/>
        </w:rPr>
        <w:t xml:space="preserve"> the </w:t>
      </w:r>
      <w:r w:rsidR="004227F2" w:rsidRPr="001F1446">
        <w:rPr>
          <w:rFonts w:ascii="Times New Roman" w:hAnsi="Times New Roman"/>
          <w:sz w:val="24"/>
          <w:szCs w:val="24"/>
        </w:rPr>
        <w:t>distinction</w:t>
      </w:r>
      <w:r w:rsidR="00AF43B9" w:rsidRPr="001F1446">
        <w:rPr>
          <w:rFonts w:ascii="Times New Roman" w:hAnsi="Times New Roman"/>
          <w:sz w:val="24"/>
          <w:szCs w:val="24"/>
        </w:rPr>
        <w:t xml:space="preserve"> between disruption of the venous drainage system, </w:t>
      </w:r>
      <w:r w:rsidR="004227F2" w:rsidRPr="001F1446">
        <w:rPr>
          <w:rFonts w:ascii="Times New Roman" w:hAnsi="Times New Roman"/>
          <w:sz w:val="24"/>
          <w:szCs w:val="24"/>
        </w:rPr>
        <w:t>meningeal</w:t>
      </w:r>
      <w:r w:rsidR="00AF43B9" w:rsidRPr="001F1446">
        <w:rPr>
          <w:rFonts w:ascii="Times New Roman" w:hAnsi="Times New Roman"/>
          <w:sz w:val="24"/>
          <w:szCs w:val="24"/>
        </w:rPr>
        <w:t xml:space="preserve"> reaction and subdural hematoma (Lewis 2018). All abnormal bone formation was recorded following protocols of Buikstra and Ubelaker (1994) and Ortner (2003). In the skull</w:t>
      </w:r>
      <w:r w:rsidR="00465078" w:rsidRPr="001F1446">
        <w:rPr>
          <w:rFonts w:ascii="Times New Roman" w:hAnsi="Times New Roman"/>
          <w:sz w:val="24"/>
          <w:szCs w:val="24"/>
        </w:rPr>
        <w:t>,</w:t>
      </w:r>
      <w:r w:rsidR="00AF43B9" w:rsidRPr="001F1446">
        <w:rPr>
          <w:rFonts w:ascii="Times New Roman" w:hAnsi="Times New Roman"/>
          <w:sz w:val="24"/>
          <w:szCs w:val="24"/>
        </w:rPr>
        <w:t xml:space="preserve"> protocols of Lewis (</w:t>
      </w:r>
      <w:r w:rsidR="001D2D0F" w:rsidRPr="001F1446">
        <w:rPr>
          <w:rFonts w:ascii="Times New Roman" w:hAnsi="Times New Roman"/>
          <w:sz w:val="24"/>
          <w:szCs w:val="24"/>
        </w:rPr>
        <w:t>2004</w:t>
      </w:r>
      <w:r w:rsidR="00773FE6" w:rsidRPr="001F1446">
        <w:rPr>
          <w:rFonts w:ascii="Times New Roman" w:hAnsi="Times New Roman"/>
          <w:sz w:val="24"/>
          <w:szCs w:val="24"/>
        </w:rPr>
        <w:t>,</w:t>
      </w:r>
      <w:r w:rsidR="001D2D0F" w:rsidRPr="001F1446">
        <w:rPr>
          <w:rFonts w:ascii="Times New Roman" w:hAnsi="Times New Roman"/>
          <w:sz w:val="24"/>
          <w:szCs w:val="24"/>
        </w:rPr>
        <w:t xml:space="preserve"> </w:t>
      </w:r>
      <w:r w:rsidR="00AF43B9" w:rsidRPr="001F1446">
        <w:rPr>
          <w:rFonts w:ascii="Times New Roman" w:hAnsi="Times New Roman"/>
          <w:sz w:val="24"/>
          <w:szCs w:val="24"/>
        </w:rPr>
        <w:t>20</w:t>
      </w:r>
      <w:r w:rsidR="001D2D0F" w:rsidRPr="001F1446">
        <w:rPr>
          <w:rFonts w:ascii="Times New Roman" w:hAnsi="Times New Roman"/>
          <w:sz w:val="24"/>
          <w:szCs w:val="24"/>
        </w:rPr>
        <w:t>18</w:t>
      </w:r>
      <w:r w:rsidR="00AF43B9" w:rsidRPr="001F1446">
        <w:rPr>
          <w:rFonts w:ascii="Times New Roman" w:hAnsi="Times New Roman"/>
          <w:sz w:val="24"/>
          <w:szCs w:val="24"/>
        </w:rPr>
        <w:t>) and B</w:t>
      </w:r>
      <w:r w:rsidR="001D2D0F" w:rsidRPr="001F1446">
        <w:rPr>
          <w:rFonts w:ascii="Times New Roman" w:hAnsi="Times New Roman"/>
          <w:sz w:val="24"/>
          <w:szCs w:val="24"/>
        </w:rPr>
        <w:t>r</w:t>
      </w:r>
      <w:r w:rsidR="00AF43B9" w:rsidRPr="001F1446">
        <w:rPr>
          <w:rFonts w:ascii="Times New Roman" w:hAnsi="Times New Roman"/>
          <w:sz w:val="24"/>
          <w:szCs w:val="24"/>
        </w:rPr>
        <w:t>ick</w:t>
      </w:r>
      <w:r w:rsidR="001D2D0F" w:rsidRPr="001F1446">
        <w:rPr>
          <w:rFonts w:ascii="Times New Roman" w:hAnsi="Times New Roman"/>
          <w:sz w:val="24"/>
          <w:szCs w:val="24"/>
        </w:rPr>
        <w:t>l</w:t>
      </w:r>
      <w:r w:rsidR="00AF43B9" w:rsidRPr="001F1446">
        <w:rPr>
          <w:rFonts w:ascii="Times New Roman" w:hAnsi="Times New Roman"/>
          <w:sz w:val="24"/>
          <w:szCs w:val="24"/>
        </w:rPr>
        <w:t>ey and May</w:t>
      </w:r>
      <w:r w:rsidR="001D2D0F" w:rsidRPr="001F1446">
        <w:rPr>
          <w:rFonts w:ascii="Times New Roman" w:hAnsi="Times New Roman"/>
          <w:sz w:val="24"/>
          <w:szCs w:val="24"/>
        </w:rPr>
        <w:t>s</w:t>
      </w:r>
      <w:r w:rsidR="00AF43B9" w:rsidRPr="001F1446">
        <w:rPr>
          <w:rFonts w:ascii="Times New Roman" w:hAnsi="Times New Roman"/>
          <w:sz w:val="24"/>
          <w:szCs w:val="24"/>
        </w:rPr>
        <w:t xml:space="preserve"> (2019) were also </w:t>
      </w:r>
      <w:r w:rsidR="004227F2" w:rsidRPr="001F1446">
        <w:rPr>
          <w:rFonts w:ascii="Times New Roman" w:hAnsi="Times New Roman"/>
          <w:sz w:val="24"/>
          <w:szCs w:val="24"/>
        </w:rPr>
        <w:t>considered</w:t>
      </w:r>
      <w:r w:rsidR="00AF43B9" w:rsidRPr="001F1446">
        <w:rPr>
          <w:rFonts w:ascii="Times New Roman" w:hAnsi="Times New Roman"/>
          <w:sz w:val="24"/>
          <w:szCs w:val="24"/>
        </w:rPr>
        <w:t>. Abnormal bone formation was document</w:t>
      </w:r>
      <w:r w:rsidR="00465078" w:rsidRPr="001F1446">
        <w:rPr>
          <w:rFonts w:ascii="Times New Roman" w:hAnsi="Times New Roman"/>
          <w:sz w:val="24"/>
          <w:szCs w:val="24"/>
        </w:rPr>
        <w:t>ed</w:t>
      </w:r>
      <w:r w:rsidR="00AF43B9" w:rsidRPr="001F1446">
        <w:rPr>
          <w:rFonts w:ascii="Times New Roman" w:hAnsi="Times New Roman"/>
          <w:sz w:val="24"/>
          <w:szCs w:val="24"/>
        </w:rPr>
        <w:t xml:space="preserve"> by recording the location, length, wi</w:t>
      </w:r>
      <w:r w:rsidR="006A0E29">
        <w:rPr>
          <w:rFonts w:ascii="Times New Roman" w:hAnsi="Times New Roman"/>
          <w:sz w:val="24"/>
          <w:szCs w:val="24"/>
        </w:rPr>
        <w:t>dth</w:t>
      </w:r>
      <w:r w:rsidR="00AF43B9" w:rsidRPr="001F1446">
        <w:rPr>
          <w:rFonts w:ascii="Times New Roman" w:hAnsi="Times New Roman"/>
          <w:sz w:val="24"/>
          <w:szCs w:val="24"/>
        </w:rPr>
        <w:t xml:space="preserve"> and thickness, shape, form, type involvement of the marrow cavity, and degree of healing (active, </w:t>
      </w:r>
      <w:proofErr w:type="gramStart"/>
      <w:r w:rsidR="004227F2" w:rsidRPr="001F1446">
        <w:rPr>
          <w:rFonts w:ascii="Times New Roman" w:hAnsi="Times New Roman"/>
          <w:sz w:val="24"/>
          <w:szCs w:val="24"/>
        </w:rPr>
        <w:t>healed</w:t>
      </w:r>
      <w:proofErr w:type="gramEnd"/>
      <w:r w:rsidR="00AF43B9" w:rsidRPr="001F1446">
        <w:rPr>
          <w:rFonts w:ascii="Times New Roman" w:hAnsi="Times New Roman"/>
          <w:sz w:val="24"/>
          <w:szCs w:val="24"/>
        </w:rPr>
        <w:t xml:space="preserve"> or mixed). </w:t>
      </w:r>
    </w:p>
    <w:p w14:paraId="4E344155" w14:textId="77777777" w:rsidR="00AF43B9" w:rsidRPr="001F1446" w:rsidRDefault="00AF43B9" w:rsidP="001F1446">
      <w:pPr>
        <w:autoSpaceDE w:val="0"/>
        <w:autoSpaceDN w:val="0"/>
        <w:adjustRightInd w:val="0"/>
        <w:spacing w:after="0" w:line="360" w:lineRule="auto"/>
        <w:rPr>
          <w:rFonts w:ascii="Times New Roman" w:hAnsi="Times New Roman"/>
          <w:i/>
          <w:sz w:val="24"/>
          <w:szCs w:val="24"/>
        </w:rPr>
      </w:pPr>
    </w:p>
    <w:p w14:paraId="759E7501" w14:textId="0F8BF163" w:rsidR="005902FA" w:rsidRPr="001F1446" w:rsidRDefault="005902FA" w:rsidP="001F1446">
      <w:pPr>
        <w:autoSpaceDE w:val="0"/>
        <w:autoSpaceDN w:val="0"/>
        <w:adjustRightInd w:val="0"/>
        <w:spacing w:after="0" w:line="360" w:lineRule="auto"/>
        <w:rPr>
          <w:rFonts w:ascii="Times New Roman" w:hAnsi="Times New Roman"/>
          <w:i/>
          <w:sz w:val="24"/>
          <w:szCs w:val="24"/>
        </w:rPr>
      </w:pPr>
      <w:r w:rsidRPr="001F1446">
        <w:rPr>
          <w:rFonts w:ascii="Times New Roman" w:hAnsi="Times New Roman"/>
          <w:i/>
          <w:sz w:val="24"/>
          <w:szCs w:val="24"/>
        </w:rPr>
        <w:t>Posthumous treatment of bodies and archaeological context</w:t>
      </w:r>
    </w:p>
    <w:p w14:paraId="5AFB943C" w14:textId="181FD283" w:rsidR="005902FA" w:rsidRPr="001F1446" w:rsidRDefault="005902FA" w:rsidP="001F1446">
      <w:pPr>
        <w:autoSpaceDE w:val="0"/>
        <w:autoSpaceDN w:val="0"/>
        <w:adjustRightInd w:val="0"/>
        <w:spacing w:after="0" w:line="360" w:lineRule="auto"/>
        <w:rPr>
          <w:rFonts w:ascii="Times New Roman" w:hAnsi="Times New Roman"/>
          <w:sz w:val="24"/>
          <w:szCs w:val="24"/>
        </w:rPr>
      </w:pPr>
      <w:r w:rsidRPr="001F1446">
        <w:rPr>
          <w:rFonts w:ascii="Times New Roman" w:hAnsi="Times New Roman"/>
          <w:sz w:val="24"/>
          <w:szCs w:val="24"/>
        </w:rPr>
        <w:t>The posthumous treatment of the body was</w:t>
      </w:r>
      <w:r w:rsidRPr="001F1446">
        <w:rPr>
          <w:rFonts w:ascii="Times New Roman" w:hAnsi="Times New Roman"/>
          <w:noProof/>
          <w:sz w:val="24"/>
          <w:szCs w:val="24"/>
        </w:rPr>
        <w:t xml:space="preserve"> analy</w:t>
      </w:r>
      <w:r w:rsidR="00E02C80">
        <w:rPr>
          <w:rFonts w:ascii="Times New Roman" w:hAnsi="Times New Roman"/>
          <w:noProof/>
          <w:sz w:val="24"/>
          <w:szCs w:val="24"/>
        </w:rPr>
        <w:t>s</w:t>
      </w:r>
      <w:r w:rsidRPr="001F1446">
        <w:rPr>
          <w:rFonts w:ascii="Times New Roman" w:hAnsi="Times New Roman"/>
          <w:noProof/>
          <w:sz w:val="24"/>
          <w:szCs w:val="24"/>
        </w:rPr>
        <w:t>ed</w:t>
      </w:r>
      <w:r w:rsidRPr="001F1446">
        <w:rPr>
          <w:rFonts w:ascii="Times New Roman" w:hAnsi="Times New Roman"/>
          <w:sz w:val="24"/>
          <w:szCs w:val="24"/>
        </w:rPr>
        <w:t xml:space="preserve"> by use of primary and secondary data. The primary data were</w:t>
      </w:r>
      <w:r w:rsidRPr="001F1446">
        <w:rPr>
          <w:rFonts w:ascii="Times New Roman" w:hAnsi="Times New Roman"/>
          <w:noProof/>
          <w:sz w:val="24"/>
          <w:szCs w:val="24"/>
        </w:rPr>
        <w:t xml:space="preserve"> generated</w:t>
      </w:r>
      <w:r w:rsidRPr="001F1446">
        <w:rPr>
          <w:rFonts w:ascii="Times New Roman" w:hAnsi="Times New Roman"/>
          <w:sz w:val="24"/>
          <w:szCs w:val="24"/>
        </w:rPr>
        <w:t xml:space="preserve"> by </w:t>
      </w:r>
      <w:r w:rsidR="001D1F6A" w:rsidRPr="001F1446">
        <w:rPr>
          <w:rFonts w:ascii="Times New Roman" w:hAnsi="Times New Roman"/>
          <w:sz w:val="24"/>
          <w:szCs w:val="24"/>
        </w:rPr>
        <w:t>analy</w:t>
      </w:r>
      <w:r w:rsidR="001D1F6A">
        <w:rPr>
          <w:rFonts w:ascii="Times New Roman" w:hAnsi="Times New Roman"/>
          <w:sz w:val="24"/>
          <w:szCs w:val="24"/>
        </w:rPr>
        <w:t>z</w:t>
      </w:r>
      <w:r w:rsidR="001D1F6A" w:rsidRPr="001F1446">
        <w:rPr>
          <w:rFonts w:ascii="Times New Roman" w:hAnsi="Times New Roman"/>
          <w:sz w:val="24"/>
          <w:szCs w:val="24"/>
        </w:rPr>
        <w:t>ing</w:t>
      </w:r>
      <w:r w:rsidRPr="001F1446">
        <w:rPr>
          <w:rFonts w:ascii="Times New Roman" w:hAnsi="Times New Roman"/>
          <w:sz w:val="24"/>
          <w:szCs w:val="24"/>
        </w:rPr>
        <w:t xml:space="preserve"> the </w:t>
      </w:r>
      <w:r w:rsidRPr="001F1446">
        <w:rPr>
          <w:rFonts w:ascii="Times New Roman" w:hAnsi="Times New Roman"/>
          <w:noProof/>
          <w:sz w:val="24"/>
          <w:szCs w:val="24"/>
        </w:rPr>
        <w:t>posthumous</w:t>
      </w:r>
      <w:r w:rsidRPr="001F1446">
        <w:rPr>
          <w:rFonts w:ascii="Times New Roman" w:hAnsi="Times New Roman"/>
          <w:sz w:val="24"/>
          <w:szCs w:val="24"/>
        </w:rPr>
        <w:t xml:space="preserve"> practices performed directly or </w:t>
      </w:r>
      <w:r w:rsidRPr="001F1446">
        <w:rPr>
          <w:rFonts w:ascii="Times New Roman" w:hAnsi="Times New Roman"/>
          <w:sz w:val="24"/>
          <w:szCs w:val="24"/>
        </w:rPr>
        <w:lastRenderedPageBreak/>
        <w:t xml:space="preserve">indirectly </w:t>
      </w:r>
      <w:r w:rsidR="00465078" w:rsidRPr="001F1446">
        <w:rPr>
          <w:rFonts w:ascii="Times New Roman" w:hAnsi="Times New Roman"/>
          <w:sz w:val="24"/>
          <w:szCs w:val="24"/>
        </w:rPr>
        <w:t xml:space="preserve">on </w:t>
      </w:r>
      <w:r w:rsidRPr="001F1446">
        <w:rPr>
          <w:rFonts w:ascii="Times New Roman" w:hAnsi="Times New Roman"/>
          <w:sz w:val="24"/>
          <w:szCs w:val="24"/>
        </w:rPr>
        <w:t xml:space="preserve">the body by the mourners or person(s) in charge of the burials </w:t>
      </w:r>
      <w:r w:rsidRPr="001F1446">
        <w:rPr>
          <w:rFonts w:ascii="Times New Roman" w:hAnsi="Times New Roman"/>
          <w:noProof/>
          <w:sz w:val="24"/>
          <w:szCs w:val="24"/>
        </w:rPr>
        <w:t>evidenced</w:t>
      </w:r>
      <w:r w:rsidRPr="001F1446">
        <w:rPr>
          <w:rFonts w:ascii="Times New Roman" w:hAnsi="Times New Roman"/>
          <w:sz w:val="24"/>
          <w:szCs w:val="24"/>
        </w:rPr>
        <w:t xml:space="preserve"> in the human skeletal remains. Secondary data was</w:t>
      </w:r>
      <w:r w:rsidRPr="001F1446">
        <w:rPr>
          <w:rFonts w:ascii="Times New Roman" w:hAnsi="Times New Roman"/>
          <w:noProof/>
          <w:sz w:val="24"/>
          <w:szCs w:val="24"/>
        </w:rPr>
        <w:t xml:space="preserve"> collected</w:t>
      </w:r>
      <w:r w:rsidRPr="001F1446">
        <w:rPr>
          <w:rFonts w:ascii="Times New Roman" w:hAnsi="Times New Roman"/>
          <w:sz w:val="24"/>
          <w:szCs w:val="24"/>
        </w:rPr>
        <w:t xml:space="preserve"> from macro- and micro-excavation information. </w:t>
      </w:r>
      <w:r w:rsidR="00BF5602" w:rsidRPr="001F1446">
        <w:rPr>
          <w:rFonts w:ascii="Times New Roman" w:hAnsi="Times New Roman"/>
          <w:sz w:val="24"/>
          <w:szCs w:val="24"/>
        </w:rPr>
        <w:t xml:space="preserve">Micro-excavation, </w:t>
      </w:r>
      <w:r w:rsidR="00BF5602" w:rsidRPr="001F1446">
        <w:rPr>
          <w:rFonts w:ascii="Times New Roman" w:eastAsiaTheme="minorHAnsi" w:hAnsi="Times New Roman"/>
          <w:sz w:val="24"/>
          <w:szCs w:val="24"/>
          <w:lang w:eastAsia="en-US"/>
        </w:rPr>
        <w:t>photographic record and annotated scale drawings were made at each level following protocols suggested by McKinley and Roberts (1993).</w:t>
      </w:r>
      <w:r w:rsidR="00BF5602" w:rsidRPr="001F1446">
        <w:rPr>
          <w:rFonts w:ascii="Times New Roman" w:hAnsi="Times New Roman"/>
          <w:sz w:val="24"/>
          <w:szCs w:val="24"/>
        </w:rPr>
        <w:t xml:space="preserve"> </w:t>
      </w:r>
      <w:r w:rsidRPr="001F1446">
        <w:rPr>
          <w:rFonts w:ascii="Times New Roman" w:hAnsi="Times New Roman"/>
          <w:sz w:val="24"/>
          <w:szCs w:val="24"/>
        </w:rPr>
        <w:t xml:space="preserve">Thermal alteration and body manipulation were </w:t>
      </w:r>
      <w:r w:rsidR="001D1F6A" w:rsidRPr="001D1F6A">
        <w:rPr>
          <w:rFonts w:ascii="Times New Roman" w:hAnsi="Times New Roman"/>
          <w:sz w:val="24"/>
          <w:szCs w:val="24"/>
        </w:rPr>
        <w:t>analyzed</w:t>
      </w:r>
      <w:r w:rsidRPr="001F1446">
        <w:rPr>
          <w:rFonts w:ascii="Times New Roman" w:hAnsi="Times New Roman"/>
          <w:sz w:val="24"/>
          <w:szCs w:val="24"/>
        </w:rPr>
        <w:t xml:space="preserve"> to produce a detailed reconstruction of </w:t>
      </w:r>
      <w:r w:rsidRPr="001F1446">
        <w:rPr>
          <w:rFonts w:ascii="Times New Roman" w:hAnsi="Times New Roman"/>
          <w:noProof/>
          <w:sz w:val="24"/>
          <w:szCs w:val="24"/>
        </w:rPr>
        <w:t>posthumous</w:t>
      </w:r>
      <w:r w:rsidRPr="001F1446">
        <w:rPr>
          <w:rFonts w:ascii="Times New Roman" w:hAnsi="Times New Roman"/>
          <w:sz w:val="24"/>
          <w:szCs w:val="24"/>
        </w:rPr>
        <w:t xml:space="preserve"> practices of cremated bones from primary and secondary deposits. These variables </w:t>
      </w:r>
      <w:r w:rsidR="00465078" w:rsidRPr="001F1446">
        <w:rPr>
          <w:rFonts w:ascii="Times New Roman" w:hAnsi="Times New Roman"/>
          <w:sz w:val="24"/>
          <w:szCs w:val="24"/>
        </w:rPr>
        <w:t xml:space="preserve">were </w:t>
      </w:r>
      <w:r w:rsidRPr="001F1446">
        <w:rPr>
          <w:rFonts w:ascii="Times New Roman" w:hAnsi="Times New Roman"/>
          <w:sz w:val="24"/>
          <w:szCs w:val="24"/>
        </w:rPr>
        <w:t xml:space="preserve">predominant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w:t>
      </w:r>
      <w:r w:rsidRPr="001F1446">
        <w:rPr>
          <w:rFonts w:ascii="Times New Roman" w:hAnsi="Times New Roman"/>
          <w:noProof/>
          <w:sz w:val="24"/>
          <w:szCs w:val="24"/>
        </w:rPr>
        <w:t>degree</w:t>
      </w:r>
      <w:r w:rsidRPr="001F1446">
        <w:rPr>
          <w:rFonts w:ascii="Times New Roman" w:hAnsi="Times New Roman"/>
          <w:sz w:val="24"/>
          <w:szCs w:val="24"/>
        </w:rPr>
        <w:t xml:space="preserve"> of shrinkage and degree and pattern of fracture. These observations provided evidence on variation in the exposure to fire on the cremation pyre, and if bones were dry when burned </w:t>
      </w:r>
      <w:r w:rsidRPr="001F1446">
        <w:rPr>
          <w:rFonts w:ascii="Times New Roman" w:hAnsi="Times New Roman"/>
          <w:noProof/>
          <w:sz w:val="24"/>
          <w:szCs w:val="24"/>
        </w:rPr>
        <w:t>(e.g. Baby 1954</w:t>
      </w:r>
      <w:r w:rsidR="006E7911">
        <w:rPr>
          <w:rFonts w:ascii="Times New Roman" w:hAnsi="Times New Roman"/>
          <w:noProof/>
          <w:sz w:val="24"/>
          <w:szCs w:val="24"/>
        </w:rPr>
        <w:t>;</w:t>
      </w:r>
      <w:r w:rsidRPr="001F1446">
        <w:rPr>
          <w:rFonts w:ascii="Times New Roman" w:hAnsi="Times New Roman"/>
          <w:noProof/>
          <w:sz w:val="24"/>
          <w:szCs w:val="24"/>
        </w:rPr>
        <w:t xml:space="preserve"> Buikstra </w:t>
      </w:r>
      <w:r w:rsidR="003F1CA5" w:rsidRPr="001F1446">
        <w:rPr>
          <w:rFonts w:ascii="Times New Roman" w:hAnsi="Times New Roman"/>
          <w:noProof/>
          <w:sz w:val="24"/>
          <w:szCs w:val="24"/>
        </w:rPr>
        <w:t>&amp;</w:t>
      </w:r>
      <w:r w:rsidRPr="001F1446">
        <w:rPr>
          <w:rFonts w:ascii="Times New Roman" w:hAnsi="Times New Roman"/>
          <w:noProof/>
          <w:sz w:val="24"/>
          <w:szCs w:val="24"/>
        </w:rPr>
        <w:t xml:space="preserve"> Swegle 1989</w:t>
      </w:r>
      <w:r w:rsidR="002C3E13">
        <w:rPr>
          <w:rFonts w:ascii="Times New Roman" w:hAnsi="Times New Roman"/>
          <w:noProof/>
          <w:sz w:val="24"/>
          <w:szCs w:val="24"/>
        </w:rPr>
        <w:t>;</w:t>
      </w:r>
      <w:r w:rsidRPr="001F1446">
        <w:rPr>
          <w:rFonts w:ascii="Times New Roman" w:hAnsi="Times New Roman"/>
          <w:noProof/>
          <w:sz w:val="24"/>
          <w:szCs w:val="24"/>
        </w:rPr>
        <w:t xml:space="preserve"> Symes </w:t>
      </w:r>
      <w:r w:rsidRPr="001F1446">
        <w:rPr>
          <w:rFonts w:ascii="Times New Roman" w:hAnsi="Times New Roman"/>
          <w:i/>
          <w:iCs/>
          <w:noProof/>
          <w:sz w:val="24"/>
          <w:szCs w:val="24"/>
        </w:rPr>
        <w:t>et al.</w:t>
      </w:r>
      <w:r w:rsidRPr="001F1446">
        <w:rPr>
          <w:rFonts w:ascii="Times New Roman" w:hAnsi="Times New Roman"/>
          <w:noProof/>
          <w:sz w:val="24"/>
          <w:szCs w:val="24"/>
        </w:rPr>
        <w:t xml:space="preserve"> 2015</w:t>
      </w:r>
      <w:r w:rsidR="002C3E13">
        <w:rPr>
          <w:rFonts w:ascii="Times New Roman" w:hAnsi="Times New Roman"/>
          <w:noProof/>
          <w:sz w:val="24"/>
          <w:szCs w:val="24"/>
        </w:rPr>
        <w:t>;</w:t>
      </w:r>
      <w:r w:rsidRPr="001F1446">
        <w:rPr>
          <w:rFonts w:ascii="Times New Roman" w:hAnsi="Times New Roman"/>
          <w:noProof/>
          <w:sz w:val="24"/>
          <w:szCs w:val="24"/>
        </w:rPr>
        <w:t xml:space="preserve"> Thompson 2015)</w:t>
      </w:r>
      <w:r w:rsidRPr="001F1446">
        <w:rPr>
          <w:rFonts w:ascii="Times New Roman" w:hAnsi="Times New Roman"/>
          <w:sz w:val="24"/>
          <w:szCs w:val="24"/>
        </w:rPr>
        <w:t>. Cremation bone weights were</w:t>
      </w:r>
      <w:r w:rsidRPr="001F1446">
        <w:rPr>
          <w:rFonts w:ascii="Times New Roman" w:hAnsi="Times New Roman"/>
          <w:noProof/>
          <w:sz w:val="24"/>
          <w:szCs w:val="24"/>
        </w:rPr>
        <w:t xml:space="preserve"> taken</w:t>
      </w:r>
      <w:r w:rsidRPr="001F1446">
        <w:rPr>
          <w:rFonts w:ascii="Times New Roman" w:hAnsi="Times New Roman"/>
          <w:sz w:val="24"/>
          <w:szCs w:val="24"/>
        </w:rPr>
        <w:t xml:space="preserve"> by anatomical </w:t>
      </w:r>
      <w:r w:rsidRPr="001F1446">
        <w:rPr>
          <w:rFonts w:ascii="Times New Roman" w:hAnsi="Times New Roman"/>
          <w:noProof/>
          <w:sz w:val="24"/>
          <w:szCs w:val="24"/>
        </w:rPr>
        <w:t>region</w:t>
      </w:r>
      <w:r w:rsidRPr="001F1446">
        <w:rPr>
          <w:rFonts w:ascii="Times New Roman" w:hAnsi="Times New Roman"/>
          <w:sz w:val="24"/>
          <w:szCs w:val="24"/>
        </w:rPr>
        <w:t xml:space="preserve"> and the totality of all bone for an individual. Cremation bone weights, in conjunction with the skeletal inventory, informed on the division and fragmentation of remains as a whole and by anatomical region in the primary cremation fire, or removal into secondary deposit(s) </w:t>
      </w:r>
      <w:r w:rsidR="003F1CA5" w:rsidRPr="001F1446">
        <w:rPr>
          <w:rFonts w:ascii="Times New Roman" w:hAnsi="Times New Roman"/>
          <w:noProof/>
          <w:sz w:val="24"/>
          <w:szCs w:val="24"/>
        </w:rPr>
        <w:t>(e.g.</w:t>
      </w:r>
      <w:r w:rsidR="00E31A13">
        <w:rPr>
          <w:rFonts w:ascii="Times New Roman" w:hAnsi="Times New Roman"/>
          <w:noProof/>
          <w:sz w:val="24"/>
          <w:szCs w:val="24"/>
        </w:rPr>
        <w:t xml:space="preserve"> </w:t>
      </w:r>
      <w:r w:rsidR="003F1CA5" w:rsidRPr="001F1446">
        <w:rPr>
          <w:rFonts w:ascii="Times New Roman" w:hAnsi="Times New Roman"/>
          <w:noProof/>
          <w:sz w:val="24"/>
          <w:szCs w:val="24"/>
        </w:rPr>
        <w:t>Baby</w:t>
      </w:r>
      <w:r w:rsidRPr="001F1446">
        <w:rPr>
          <w:rFonts w:ascii="Times New Roman" w:hAnsi="Times New Roman"/>
          <w:noProof/>
          <w:sz w:val="24"/>
          <w:szCs w:val="24"/>
        </w:rPr>
        <w:t xml:space="preserve"> 1954</w:t>
      </w:r>
      <w:r w:rsidR="003F1CA5" w:rsidRPr="001F1446">
        <w:rPr>
          <w:rFonts w:ascii="Times New Roman" w:hAnsi="Times New Roman"/>
          <w:noProof/>
          <w:sz w:val="24"/>
          <w:szCs w:val="24"/>
        </w:rPr>
        <w:t xml:space="preserve">; Trotter </w:t>
      </w:r>
      <w:r w:rsidR="00773FE6" w:rsidRPr="001F1446">
        <w:rPr>
          <w:rFonts w:ascii="Times New Roman" w:hAnsi="Times New Roman"/>
          <w:noProof/>
          <w:sz w:val="24"/>
          <w:szCs w:val="24"/>
        </w:rPr>
        <w:t>&amp;</w:t>
      </w:r>
      <w:r w:rsidR="003F1CA5" w:rsidRPr="001F1446">
        <w:rPr>
          <w:rFonts w:ascii="Times New Roman" w:hAnsi="Times New Roman"/>
          <w:noProof/>
          <w:sz w:val="24"/>
          <w:szCs w:val="24"/>
        </w:rPr>
        <w:t xml:space="preserve"> Hixon 1974;</w:t>
      </w:r>
      <w:r w:rsidRPr="001F1446">
        <w:rPr>
          <w:rFonts w:ascii="Times New Roman" w:hAnsi="Times New Roman"/>
          <w:noProof/>
          <w:sz w:val="24"/>
          <w:szCs w:val="24"/>
        </w:rPr>
        <w:t xml:space="preserve"> </w:t>
      </w:r>
      <w:r w:rsidR="003F1CA5" w:rsidRPr="001F1446">
        <w:rPr>
          <w:rFonts w:ascii="Times New Roman" w:hAnsi="Times New Roman"/>
          <w:noProof/>
          <w:sz w:val="24"/>
          <w:szCs w:val="24"/>
        </w:rPr>
        <w:t xml:space="preserve">McKinley 1993; </w:t>
      </w:r>
      <w:r w:rsidRPr="001F1446">
        <w:rPr>
          <w:rFonts w:ascii="Times New Roman" w:hAnsi="Times New Roman"/>
          <w:noProof/>
          <w:sz w:val="24"/>
          <w:szCs w:val="24"/>
        </w:rPr>
        <w:t xml:space="preserve">Bass </w:t>
      </w:r>
      <w:r w:rsidR="003F1CA5" w:rsidRPr="001F1446">
        <w:rPr>
          <w:rFonts w:ascii="Times New Roman" w:hAnsi="Times New Roman"/>
          <w:noProof/>
          <w:sz w:val="24"/>
          <w:szCs w:val="24"/>
        </w:rPr>
        <w:t>&amp; Jantz</w:t>
      </w:r>
      <w:r w:rsidRPr="001F1446">
        <w:rPr>
          <w:rFonts w:ascii="Times New Roman" w:hAnsi="Times New Roman"/>
          <w:noProof/>
          <w:sz w:val="24"/>
          <w:szCs w:val="24"/>
        </w:rPr>
        <w:t xml:space="preserve"> 2004)</w:t>
      </w:r>
      <w:r w:rsidRPr="001F1446">
        <w:rPr>
          <w:rFonts w:ascii="Times New Roman" w:hAnsi="Times New Roman"/>
          <w:sz w:val="24"/>
          <w:szCs w:val="24"/>
        </w:rPr>
        <w:t xml:space="preserve">. </w:t>
      </w:r>
      <w:r w:rsidRPr="001F1446">
        <w:rPr>
          <w:rFonts w:ascii="Times New Roman" w:hAnsi="Times New Roman"/>
          <w:noProof/>
          <w:sz w:val="24"/>
          <w:szCs w:val="24"/>
        </w:rPr>
        <w:t>Maximum length measurements (in mm) allowed for evaluating the degree of element fragmentation</w:t>
      </w:r>
      <w:r w:rsidRPr="001F1446">
        <w:rPr>
          <w:rFonts w:ascii="Times New Roman" w:hAnsi="Times New Roman"/>
          <w:sz w:val="24"/>
          <w:szCs w:val="24"/>
        </w:rPr>
        <w:t xml:space="preserve"> and the </w:t>
      </w:r>
      <w:r w:rsidRPr="001F1446">
        <w:rPr>
          <w:rFonts w:ascii="Times New Roman" w:hAnsi="Times New Roman"/>
          <w:noProof/>
          <w:sz w:val="24"/>
          <w:szCs w:val="24"/>
        </w:rPr>
        <w:t>degree</w:t>
      </w:r>
      <w:r w:rsidRPr="001F1446">
        <w:rPr>
          <w:rFonts w:ascii="Times New Roman" w:hAnsi="Times New Roman"/>
          <w:sz w:val="24"/>
          <w:szCs w:val="24"/>
        </w:rPr>
        <w:t xml:space="preserve"> of element preservation. </w:t>
      </w:r>
      <w:r w:rsidRPr="001F1446">
        <w:rPr>
          <w:rFonts w:ascii="Times New Roman" w:hAnsi="Times New Roman"/>
          <w:noProof/>
          <w:sz w:val="24"/>
          <w:szCs w:val="24"/>
        </w:rPr>
        <w:t>The degree</w:t>
      </w:r>
      <w:r w:rsidRPr="001F1446">
        <w:rPr>
          <w:rFonts w:ascii="Times New Roman" w:hAnsi="Times New Roman"/>
          <w:sz w:val="24"/>
          <w:szCs w:val="24"/>
        </w:rPr>
        <w:t xml:space="preserve"> of fragmentation provided information about pyre construction and technology, manipulation of remains and post-handling care </w:t>
      </w:r>
      <w:r w:rsidR="003F1CA5" w:rsidRPr="001F1446">
        <w:rPr>
          <w:rFonts w:ascii="Times New Roman" w:hAnsi="Times New Roman"/>
          <w:noProof/>
          <w:sz w:val="24"/>
          <w:szCs w:val="24"/>
        </w:rPr>
        <w:t>(McKinley 1989, 1993, 1994</w:t>
      </w:r>
      <w:r w:rsidRPr="001F1446">
        <w:rPr>
          <w:rFonts w:ascii="Times New Roman" w:hAnsi="Times New Roman"/>
          <w:noProof/>
          <w:sz w:val="24"/>
          <w:szCs w:val="24"/>
        </w:rPr>
        <w:t>)</w:t>
      </w:r>
      <w:r w:rsidRPr="001F1446">
        <w:rPr>
          <w:rFonts w:ascii="Times New Roman" w:hAnsi="Times New Roman"/>
          <w:sz w:val="24"/>
          <w:szCs w:val="24"/>
        </w:rPr>
        <w:t>. Intentional deposits that contain human bone are</w:t>
      </w:r>
      <w:r w:rsidRPr="001F1446">
        <w:rPr>
          <w:rFonts w:ascii="Times New Roman" w:hAnsi="Times New Roman"/>
          <w:noProof/>
          <w:sz w:val="24"/>
          <w:szCs w:val="24"/>
        </w:rPr>
        <w:t xml:space="preserve"> classified</w:t>
      </w:r>
      <w:r w:rsidRPr="001F1446">
        <w:rPr>
          <w:rFonts w:ascii="Times New Roman" w:hAnsi="Times New Roman"/>
          <w:sz w:val="24"/>
          <w:szCs w:val="24"/>
        </w:rPr>
        <w:t xml:space="preserve"> as either pyres, burials, secondary cremations in an urn or secondary cremations not in an urn </w:t>
      </w:r>
      <w:r w:rsidRPr="001F1446">
        <w:rPr>
          <w:rFonts w:ascii="Times New Roman" w:hAnsi="Times New Roman"/>
          <w:noProof/>
          <w:sz w:val="24"/>
          <w:szCs w:val="24"/>
        </w:rPr>
        <w:t>(</w:t>
      </w:r>
      <w:r w:rsidR="00FE3777" w:rsidRPr="001F1446">
        <w:rPr>
          <w:rFonts w:ascii="Times New Roman" w:hAnsi="Times New Roman"/>
          <w:noProof/>
          <w:sz w:val="24"/>
          <w:szCs w:val="24"/>
        </w:rPr>
        <w:t>Roksandic 2002</w:t>
      </w:r>
      <w:r w:rsidR="00AA224D" w:rsidRPr="001F1446">
        <w:rPr>
          <w:rFonts w:ascii="Times New Roman" w:hAnsi="Times New Roman"/>
          <w:noProof/>
          <w:sz w:val="24"/>
          <w:szCs w:val="24"/>
        </w:rPr>
        <w:t>; Knüsel 2014</w:t>
      </w:r>
      <w:r w:rsidR="00FE3777" w:rsidRPr="001F1446">
        <w:rPr>
          <w:rFonts w:ascii="Times New Roman" w:hAnsi="Times New Roman"/>
          <w:noProof/>
          <w:sz w:val="24"/>
          <w:szCs w:val="24"/>
        </w:rPr>
        <w:t>; Knüsel &amp; Robb 2016</w:t>
      </w:r>
      <w:r w:rsidRPr="001F1446">
        <w:rPr>
          <w:rFonts w:ascii="Times New Roman" w:hAnsi="Times New Roman"/>
          <w:noProof/>
          <w:sz w:val="24"/>
          <w:szCs w:val="24"/>
        </w:rPr>
        <w:t>)</w:t>
      </w:r>
      <w:r w:rsidRPr="001F1446">
        <w:rPr>
          <w:rFonts w:ascii="Times New Roman" w:hAnsi="Times New Roman"/>
          <w:sz w:val="24"/>
          <w:szCs w:val="24"/>
        </w:rPr>
        <w:t>. Secondary deposits refer to deposits with recoverable bone but where human remains were relocated after removal from the pyre or crematorium. These deposits can have a wide range of bone in them and yet not reflect anatomical relationships. They can consist of (1) simple pits that lack burned soil but have bone in them or (2) urns that contain cremated human remains.</w:t>
      </w:r>
    </w:p>
    <w:p w14:paraId="007298CB" w14:textId="77777777" w:rsidR="005902FA" w:rsidRPr="001F1446" w:rsidRDefault="005902FA" w:rsidP="001F1446">
      <w:pPr>
        <w:spacing w:after="0" w:line="360" w:lineRule="auto"/>
        <w:rPr>
          <w:rFonts w:ascii="Times New Roman" w:hAnsi="Times New Roman"/>
          <w:sz w:val="24"/>
          <w:szCs w:val="24"/>
        </w:rPr>
      </w:pPr>
    </w:p>
    <w:p w14:paraId="3BE15F03" w14:textId="06026FB4" w:rsidR="005902FA" w:rsidRPr="001F1446" w:rsidRDefault="005902FA" w:rsidP="001F1446">
      <w:pPr>
        <w:spacing w:after="0" w:line="360" w:lineRule="auto"/>
        <w:rPr>
          <w:rFonts w:ascii="Times New Roman" w:hAnsi="Times New Roman"/>
          <w:bCs/>
          <w:i/>
          <w:sz w:val="24"/>
          <w:szCs w:val="24"/>
        </w:rPr>
      </w:pPr>
      <w:r w:rsidRPr="001F1446">
        <w:rPr>
          <w:rFonts w:ascii="Times New Roman" w:eastAsiaTheme="minorHAnsi" w:hAnsi="Times New Roman"/>
          <w:bCs/>
          <w:i/>
          <w:sz w:val="24"/>
          <w:szCs w:val="24"/>
          <w:lang w:eastAsia="en-US"/>
        </w:rPr>
        <w:t xml:space="preserve">Summary of </w:t>
      </w:r>
      <w:r w:rsidRPr="001F1446">
        <w:rPr>
          <w:rFonts w:ascii="Times New Roman" w:hAnsi="Times New Roman"/>
          <w:bCs/>
          <w:i/>
          <w:sz w:val="24"/>
          <w:szCs w:val="24"/>
        </w:rPr>
        <w:t>health implications</w:t>
      </w:r>
      <w:r w:rsidRPr="001F1446">
        <w:rPr>
          <w:rFonts w:ascii="Times New Roman" w:eastAsiaTheme="minorHAnsi" w:hAnsi="Times New Roman"/>
          <w:bCs/>
          <w:i/>
          <w:sz w:val="24"/>
          <w:szCs w:val="24"/>
          <w:lang w:eastAsia="en-US"/>
        </w:rPr>
        <w:t xml:space="preserve"> of selected p</w:t>
      </w:r>
      <w:r w:rsidRPr="001F1446">
        <w:rPr>
          <w:rFonts w:ascii="Times New Roman" w:hAnsi="Times New Roman"/>
          <w:bCs/>
          <w:i/>
          <w:sz w:val="24"/>
          <w:szCs w:val="24"/>
        </w:rPr>
        <w:t>athological conditions</w:t>
      </w:r>
      <w:r w:rsidR="00CA1410" w:rsidRPr="001F1446">
        <w:rPr>
          <w:rFonts w:ascii="Times New Roman" w:hAnsi="Times New Roman"/>
          <w:bCs/>
          <w:i/>
          <w:sz w:val="24"/>
          <w:szCs w:val="24"/>
        </w:rPr>
        <w:t xml:space="preserve"> </w:t>
      </w:r>
    </w:p>
    <w:p w14:paraId="5006C18B" w14:textId="77777777" w:rsidR="005902FA" w:rsidRPr="001F1446" w:rsidRDefault="005902FA" w:rsidP="001F1446">
      <w:pPr>
        <w:spacing w:after="0" w:line="360" w:lineRule="auto"/>
        <w:rPr>
          <w:rFonts w:ascii="Times New Roman" w:hAnsi="Times New Roman"/>
          <w:iCs/>
          <w:sz w:val="24"/>
          <w:szCs w:val="24"/>
          <w:u w:val="single"/>
        </w:rPr>
      </w:pPr>
      <w:r w:rsidRPr="001F1446">
        <w:rPr>
          <w:rFonts w:ascii="Times New Roman" w:hAnsi="Times New Roman"/>
          <w:iCs/>
          <w:sz w:val="24"/>
          <w:szCs w:val="24"/>
          <w:u w:val="single"/>
        </w:rPr>
        <w:t>Vitamin C</w:t>
      </w:r>
    </w:p>
    <w:p w14:paraId="2E3BC7F7" w14:textId="5461FDAD"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Vitamin C is necessary for osteoid synthesis through the hydroxylation of the amino acid proline to hydroxyproline within collagen </w:t>
      </w:r>
      <w:r w:rsidRPr="001F1446">
        <w:rPr>
          <w:rFonts w:ascii="Times New Roman" w:hAnsi="Times New Roman"/>
          <w:noProof/>
          <w:sz w:val="24"/>
          <w:szCs w:val="24"/>
        </w:rPr>
        <w:t>(Lewis 2018)</w:t>
      </w:r>
      <w:r w:rsidRPr="001F1446">
        <w:rPr>
          <w:rFonts w:ascii="Times New Roman" w:hAnsi="Times New Roman"/>
          <w:sz w:val="24"/>
          <w:szCs w:val="24"/>
        </w:rPr>
        <w:t xml:space="preserve">. Type 1 collagen forms the basis of all connective tissues for the skin, blood vessels, cartilage and bone and regulates the biological process of other enzymes </w:t>
      </w:r>
      <w:r w:rsidR="00FE3777" w:rsidRPr="001F1446">
        <w:rPr>
          <w:rFonts w:ascii="Times New Roman" w:hAnsi="Times New Roman"/>
          <w:noProof/>
          <w:sz w:val="24"/>
          <w:szCs w:val="24"/>
        </w:rPr>
        <w:t>(Steinbock 1976; Stuart-Macadam</w:t>
      </w:r>
      <w:r w:rsidRPr="001F1446">
        <w:rPr>
          <w:rFonts w:ascii="Times New Roman" w:hAnsi="Times New Roman"/>
          <w:noProof/>
          <w:sz w:val="24"/>
          <w:szCs w:val="24"/>
        </w:rPr>
        <w:t xml:space="preserve"> 1989</w:t>
      </w:r>
      <w:r w:rsidR="00FE3777" w:rsidRPr="001F1446">
        <w:rPr>
          <w:rFonts w:ascii="Times New Roman" w:hAnsi="Times New Roman"/>
          <w:noProof/>
          <w:sz w:val="24"/>
          <w:szCs w:val="24"/>
        </w:rPr>
        <w:t>; Lewis 2018</w:t>
      </w:r>
      <w:r w:rsidRPr="001F1446">
        <w:rPr>
          <w:rFonts w:ascii="Times New Roman" w:hAnsi="Times New Roman"/>
          <w:noProof/>
          <w:sz w:val="24"/>
          <w:szCs w:val="24"/>
        </w:rPr>
        <w:t>)</w:t>
      </w:r>
      <w:r w:rsidRPr="001F1446">
        <w:rPr>
          <w:rFonts w:ascii="Times New Roman" w:hAnsi="Times New Roman"/>
          <w:sz w:val="24"/>
          <w:szCs w:val="24"/>
        </w:rPr>
        <w:t>. Cases of scurvy have been recogni</w:t>
      </w:r>
      <w:r w:rsidR="004F36EC">
        <w:rPr>
          <w:rFonts w:ascii="Times New Roman" w:hAnsi="Times New Roman"/>
          <w:sz w:val="24"/>
          <w:szCs w:val="24"/>
        </w:rPr>
        <w:t>s</w:t>
      </w:r>
      <w:r w:rsidRPr="001F1446">
        <w:rPr>
          <w:rFonts w:ascii="Times New Roman" w:hAnsi="Times New Roman"/>
          <w:sz w:val="24"/>
          <w:szCs w:val="24"/>
        </w:rPr>
        <w:t xml:space="preserve">ed in individuals as early as five days old from malnourished mothers </w:t>
      </w:r>
      <w:r w:rsidR="00FE3777" w:rsidRPr="001F1446">
        <w:rPr>
          <w:rFonts w:ascii="Times New Roman" w:hAnsi="Times New Roman"/>
          <w:noProof/>
          <w:sz w:val="24"/>
          <w:szCs w:val="24"/>
        </w:rPr>
        <w:lastRenderedPageBreak/>
        <w:t xml:space="preserve">(Snoddy </w:t>
      </w:r>
      <w:r w:rsidR="00FE3777" w:rsidRPr="001F1446">
        <w:rPr>
          <w:rFonts w:ascii="Times New Roman" w:hAnsi="Times New Roman"/>
          <w:i/>
          <w:iCs/>
          <w:noProof/>
          <w:sz w:val="24"/>
          <w:szCs w:val="24"/>
        </w:rPr>
        <w:t>et al.</w:t>
      </w:r>
      <w:r w:rsidRPr="001F1446">
        <w:rPr>
          <w:rFonts w:ascii="Times New Roman" w:hAnsi="Times New Roman"/>
          <w:noProof/>
          <w:sz w:val="24"/>
          <w:szCs w:val="24"/>
        </w:rPr>
        <w:t xml:space="preserve"> 2017)</w:t>
      </w:r>
      <w:r w:rsidRPr="001F1446">
        <w:rPr>
          <w:rFonts w:ascii="Times New Roman" w:hAnsi="Times New Roman"/>
          <w:sz w:val="24"/>
          <w:szCs w:val="24"/>
        </w:rPr>
        <w:t xml:space="preserve">. However, it is most common in individuals between </w:t>
      </w:r>
      <w:r w:rsidR="005A666F">
        <w:rPr>
          <w:rFonts w:ascii="Times New Roman" w:hAnsi="Times New Roman"/>
          <w:sz w:val="24"/>
          <w:szCs w:val="24"/>
        </w:rPr>
        <w:t>six</w:t>
      </w:r>
      <w:r w:rsidRPr="001F1446">
        <w:rPr>
          <w:rFonts w:ascii="Times New Roman" w:hAnsi="Times New Roman"/>
          <w:sz w:val="24"/>
          <w:szCs w:val="24"/>
        </w:rPr>
        <w:t xml:space="preserve"> months to </w:t>
      </w:r>
      <w:r w:rsidR="005A666F">
        <w:rPr>
          <w:rFonts w:ascii="Times New Roman" w:hAnsi="Times New Roman"/>
          <w:sz w:val="24"/>
          <w:szCs w:val="24"/>
        </w:rPr>
        <w:t>two</w:t>
      </w:r>
      <w:r w:rsidRPr="001F1446">
        <w:rPr>
          <w:rFonts w:ascii="Times New Roman" w:hAnsi="Times New Roman"/>
          <w:sz w:val="24"/>
          <w:szCs w:val="24"/>
        </w:rPr>
        <w:t xml:space="preserve"> years after the reserves accumulated </w:t>
      </w:r>
      <w:r w:rsidRPr="0080284E">
        <w:rPr>
          <w:rFonts w:ascii="Times New Roman" w:hAnsi="Times New Roman"/>
          <w:i/>
          <w:iCs/>
          <w:sz w:val="24"/>
          <w:szCs w:val="24"/>
        </w:rPr>
        <w:t>in utero</w:t>
      </w:r>
      <w:r w:rsidRPr="001F1446">
        <w:rPr>
          <w:rFonts w:ascii="Times New Roman" w:hAnsi="Times New Roman"/>
          <w:sz w:val="24"/>
          <w:szCs w:val="24"/>
        </w:rPr>
        <w:t xml:space="preserve"> and from breastfeeding are depleted </w:t>
      </w:r>
      <w:r w:rsidRPr="001F1446">
        <w:rPr>
          <w:rFonts w:ascii="Times New Roman" w:hAnsi="Times New Roman"/>
          <w:noProof/>
          <w:sz w:val="24"/>
          <w:szCs w:val="24"/>
        </w:rPr>
        <w:t>(</w:t>
      </w:r>
      <w:r w:rsidR="00FE3777" w:rsidRPr="001F1446">
        <w:rPr>
          <w:rFonts w:ascii="Times New Roman" w:hAnsi="Times New Roman"/>
          <w:noProof/>
          <w:sz w:val="24"/>
          <w:szCs w:val="24"/>
        </w:rPr>
        <w:t xml:space="preserve">Jackson </w:t>
      </w:r>
      <w:r w:rsidR="00773FE6" w:rsidRPr="001F1446">
        <w:rPr>
          <w:rFonts w:ascii="Times New Roman" w:hAnsi="Times New Roman"/>
          <w:noProof/>
          <w:sz w:val="24"/>
          <w:szCs w:val="24"/>
        </w:rPr>
        <w:t>&amp;</w:t>
      </w:r>
      <w:r w:rsidR="00FE3777" w:rsidRPr="001F1446">
        <w:rPr>
          <w:rFonts w:ascii="Times New Roman" w:hAnsi="Times New Roman"/>
          <w:noProof/>
          <w:sz w:val="24"/>
          <w:szCs w:val="24"/>
        </w:rPr>
        <w:t xml:space="preserve"> Park 1935; </w:t>
      </w:r>
      <w:r w:rsidRPr="001F1446">
        <w:rPr>
          <w:rFonts w:ascii="Times New Roman" w:hAnsi="Times New Roman"/>
          <w:noProof/>
          <w:sz w:val="24"/>
          <w:szCs w:val="24"/>
        </w:rPr>
        <w:t xml:space="preserve">Hirsch </w:t>
      </w:r>
      <w:r w:rsidRPr="001F1446">
        <w:rPr>
          <w:rFonts w:ascii="Times New Roman" w:hAnsi="Times New Roman"/>
          <w:i/>
          <w:iCs/>
          <w:noProof/>
          <w:sz w:val="24"/>
          <w:szCs w:val="24"/>
        </w:rPr>
        <w:t>et al.</w:t>
      </w:r>
      <w:r w:rsidR="00FE3777" w:rsidRPr="001F1446">
        <w:rPr>
          <w:rFonts w:ascii="Times New Roman" w:hAnsi="Times New Roman"/>
          <w:noProof/>
          <w:sz w:val="24"/>
          <w:szCs w:val="24"/>
        </w:rPr>
        <w:t xml:space="preserve"> 1976; </w:t>
      </w:r>
      <w:r w:rsidRPr="001F1446">
        <w:rPr>
          <w:rFonts w:ascii="Times New Roman" w:hAnsi="Times New Roman"/>
          <w:noProof/>
          <w:sz w:val="24"/>
          <w:szCs w:val="24"/>
        </w:rPr>
        <w:t xml:space="preserve">Nicholls </w:t>
      </w:r>
      <w:r w:rsidRPr="001F1446">
        <w:rPr>
          <w:rFonts w:ascii="Times New Roman" w:hAnsi="Times New Roman"/>
          <w:i/>
          <w:iCs/>
          <w:noProof/>
          <w:sz w:val="24"/>
          <w:szCs w:val="24"/>
        </w:rPr>
        <w:t>et al.</w:t>
      </w:r>
      <w:r w:rsidRPr="001F1446">
        <w:rPr>
          <w:rFonts w:ascii="Times New Roman" w:hAnsi="Times New Roman"/>
          <w:noProof/>
          <w:sz w:val="24"/>
          <w:szCs w:val="24"/>
        </w:rPr>
        <w:t xml:space="preserve"> 2020)</w:t>
      </w:r>
      <w:r w:rsidRPr="001F1446">
        <w:rPr>
          <w:rFonts w:ascii="Times New Roman" w:hAnsi="Times New Roman"/>
          <w:sz w:val="24"/>
          <w:szCs w:val="24"/>
        </w:rPr>
        <w:t xml:space="preserve">. Vitamin C is mostly available in fruits, uncooked vegetables, milk and fish, with low amounts gained from meat </w:t>
      </w:r>
      <w:r w:rsidR="00FE3777" w:rsidRPr="001F1446">
        <w:rPr>
          <w:rFonts w:ascii="Times New Roman" w:hAnsi="Times New Roman"/>
          <w:noProof/>
          <w:sz w:val="24"/>
          <w:szCs w:val="24"/>
        </w:rPr>
        <w:t>(Lewis</w:t>
      </w:r>
      <w:r w:rsidRPr="001F1446">
        <w:rPr>
          <w:rFonts w:ascii="Times New Roman" w:hAnsi="Times New Roman"/>
          <w:noProof/>
          <w:sz w:val="24"/>
          <w:szCs w:val="24"/>
        </w:rPr>
        <w:t xml:space="preserve"> 2018)</w:t>
      </w:r>
      <w:r w:rsidRPr="001F1446">
        <w:rPr>
          <w:rFonts w:ascii="Times New Roman" w:hAnsi="Times New Roman"/>
          <w:sz w:val="24"/>
          <w:szCs w:val="24"/>
        </w:rPr>
        <w:t>.</w:t>
      </w:r>
      <w:r w:rsidR="00CA1410" w:rsidRPr="001F1446">
        <w:rPr>
          <w:rFonts w:ascii="Times New Roman" w:hAnsi="Times New Roman"/>
          <w:sz w:val="24"/>
          <w:szCs w:val="24"/>
        </w:rPr>
        <w:t xml:space="preserve"> </w:t>
      </w:r>
    </w:p>
    <w:p w14:paraId="0E515C55" w14:textId="700E4D11" w:rsidR="00CA1410" w:rsidRPr="001F1446" w:rsidRDefault="004227F2" w:rsidP="001F1446">
      <w:pPr>
        <w:spacing w:after="0" w:line="360" w:lineRule="auto"/>
        <w:rPr>
          <w:rFonts w:ascii="Times New Roman" w:hAnsi="Times New Roman"/>
          <w:sz w:val="24"/>
          <w:szCs w:val="24"/>
        </w:rPr>
      </w:pPr>
      <w:r w:rsidRPr="001F1446">
        <w:rPr>
          <w:rFonts w:ascii="Times New Roman" w:hAnsi="Times New Roman"/>
          <w:sz w:val="24"/>
          <w:szCs w:val="24"/>
        </w:rPr>
        <w:t>Typically,</w:t>
      </w:r>
      <w:r w:rsidR="00CA1410" w:rsidRPr="001F1446">
        <w:rPr>
          <w:rFonts w:ascii="Times New Roman" w:hAnsi="Times New Roman"/>
          <w:sz w:val="24"/>
          <w:szCs w:val="24"/>
        </w:rPr>
        <w:t xml:space="preserve"> the lesions associated with vitamin C deficiency </w:t>
      </w:r>
      <w:r w:rsidR="00E7614A" w:rsidRPr="001F1446">
        <w:rPr>
          <w:rFonts w:ascii="Times New Roman" w:hAnsi="Times New Roman"/>
          <w:sz w:val="24"/>
          <w:szCs w:val="24"/>
        </w:rPr>
        <w:t xml:space="preserve">have </w:t>
      </w:r>
      <w:r w:rsidR="00137F89" w:rsidRPr="001F1446">
        <w:rPr>
          <w:rFonts w:ascii="Times New Roman" w:hAnsi="Times New Roman"/>
          <w:sz w:val="24"/>
          <w:szCs w:val="24"/>
        </w:rPr>
        <w:t>been outline</w:t>
      </w:r>
      <w:r w:rsidR="00B9193A" w:rsidRPr="001F1446">
        <w:rPr>
          <w:rFonts w:ascii="Times New Roman" w:hAnsi="Times New Roman"/>
          <w:sz w:val="24"/>
          <w:szCs w:val="24"/>
        </w:rPr>
        <w:t>d</w:t>
      </w:r>
      <w:r w:rsidR="00137F89" w:rsidRPr="001F1446">
        <w:rPr>
          <w:rFonts w:ascii="Times New Roman" w:hAnsi="Times New Roman"/>
          <w:sz w:val="24"/>
          <w:szCs w:val="24"/>
        </w:rPr>
        <w:t xml:space="preserve"> by several authors </w:t>
      </w:r>
      <w:r w:rsidR="000F5F6C" w:rsidRPr="001F1446">
        <w:rPr>
          <w:rFonts w:ascii="Times New Roman" w:hAnsi="Times New Roman"/>
          <w:sz w:val="24"/>
          <w:szCs w:val="24"/>
        </w:rPr>
        <w:t>and consider</w:t>
      </w:r>
      <w:r w:rsidR="00B9193A" w:rsidRPr="001F1446">
        <w:rPr>
          <w:rFonts w:ascii="Times New Roman" w:hAnsi="Times New Roman"/>
          <w:sz w:val="24"/>
          <w:szCs w:val="24"/>
        </w:rPr>
        <w:t>ed</w:t>
      </w:r>
      <w:r w:rsidR="000F5F6C" w:rsidRPr="001F1446">
        <w:rPr>
          <w:rFonts w:ascii="Times New Roman" w:hAnsi="Times New Roman"/>
          <w:sz w:val="24"/>
          <w:szCs w:val="24"/>
        </w:rPr>
        <w:t xml:space="preserve"> in this study </w:t>
      </w:r>
      <w:r w:rsidR="00137F89" w:rsidRPr="001F1446">
        <w:rPr>
          <w:rFonts w:ascii="Times New Roman" w:hAnsi="Times New Roman"/>
          <w:sz w:val="24"/>
          <w:szCs w:val="24"/>
        </w:rPr>
        <w:t xml:space="preserve">(e.g. </w:t>
      </w:r>
      <w:r w:rsidR="00A158A1" w:rsidRPr="001F1446">
        <w:rPr>
          <w:rFonts w:ascii="Times New Roman" w:hAnsi="Times New Roman"/>
          <w:sz w:val="24"/>
          <w:szCs w:val="24"/>
        </w:rPr>
        <w:t xml:space="preserve">Ortner </w:t>
      </w:r>
      <w:r w:rsidR="00773FE6" w:rsidRPr="001F1446">
        <w:rPr>
          <w:rFonts w:ascii="Times New Roman" w:hAnsi="Times New Roman"/>
          <w:sz w:val="24"/>
          <w:szCs w:val="24"/>
        </w:rPr>
        <w:t>&amp;</w:t>
      </w:r>
      <w:r w:rsidR="00A158A1" w:rsidRPr="001F1446">
        <w:rPr>
          <w:rFonts w:ascii="Times New Roman" w:hAnsi="Times New Roman"/>
          <w:sz w:val="24"/>
          <w:szCs w:val="24"/>
        </w:rPr>
        <w:t xml:space="preserve"> Ericksen 1997; Ortner </w:t>
      </w:r>
      <w:r w:rsidR="00A158A1" w:rsidRPr="001F1446">
        <w:rPr>
          <w:rFonts w:ascii="Times New Roman" w:hAnsi="Times New Roman"/>
          <w:i/>
          <w:iCs/>
          <w:sz w:val="24"/>
          <w:szCs w:val="24"/>
        </w:rPr>
        <w:t>et al.</w:t>
      </w:r>
      <w:r w:rsidR="00A158A1" w:rsidRPr="001F1446">
        <w:rPr>
          <w:rFonts w:ascii="Times New Roman" w:hAnsi="Times New Roman"/>
          <w:sz w:val="24"/>
          <w:szCs w:val="24"/>
        </w:rPr>
        <w:t xml:space="preserve"> 2001; Ortner 2003; Geber </w:t>
      </w:r>
      <w:r w:rsidR="00773FE6" w:rsidRPr="001F1446">
        <w:rPr>
          <w:rFonts w:ascii="Times New Roman" w:hAnsi="Times New Roman"/>
          <w:sz w:val="24"/>
          <w:szCs w:val="24"/>
        </w:rPr>
        <w:t>&amp;</w:t>
      </w:r>
      <w:r w:rsidR="00A158A1" w:rsidRPr="001F1446">
        <w:rPr>
          <w:rFonts w:ascii="Times New Roman" w:hAnsi="Times New Roman"/>
          <w:sz w:val="24"/>
          <w:szCs w:val="24"/>
        </w:rPr>
        <w:t xml:space="preserve"> Murphy 2012; </w:t>
      </w:r>
      <w:bookmarkStart w:id="5" w:name="_Hlk166576957"/>
      <w:proofErr w:type="spellStart"/>
      <w:r w:rsidR="00137F89" w:rsidRPr="001F1446">
        <w:rPr>
          <w:rFonts w:ascii="Times New Roman" w:hAnsi="Times New Roman"/>
          <w:sz w:val="24"/>
          <w:szCs w:val="24"/>
        </w:rPr>
        <w:t>Brickley</w:t>
      </w:r>
      <w:bookmarkEnd w:id="5"/>
      <w:proofErr w:type="spellEnd"/>
      <w:r w:rsidR="00137F89" w:rsidRPr="001F1446">
        <w:rPr>
          <w:rFonts w:ascii="Times New Roman" w:hAnsi="Times New Roman"/>
          <w:sz w:val="24"/>
          <w:szCs w:val="24"/>
        </w:rPr>
        <w:t xml:space="preserve"> </w:t>
      </w:r>
      <w:r w:rsidR="00773FE6" w:rsidRPr="001F1446">
        <w:rPr>
          <w:rFonts w:ascii="Times New Roman" w:hAnsi="Times New Roman"/>
          <w:sz w:val="24"/>
          <w:szCs w:val="24"/>
        </w:rPr>
        <w:t>&amp;</w:t>
      </w:r>
      <w:r w:rsidR="00137F89" w:rsidRPr="001F1446">
        <w:rPr>
          <w:rFonts w:ascii="Times New Roman" w:hAnsi="Times New Roman"/>
          <w:sz w:val="24"/>
          <w:szCs w:val="24"/>
        </w:rPr>
        <w:t xml:space="preserve"> Ives 2006</w:t>
      </w:r>
      <w:r w:rsidR="002E3425" w:rsidRPr="002E3425">
        <w:rPr>
          <w:rStyle w:val="CommentReference"/>
          <w:rFonts w:ascii="Times New Roman" w:eastAsiaTheme="minorEastAsia" w:hAnsi="Times New Roman"/>
          <w:sz w:val="24"/>
          <w:szCs w:val="24"/>
          <w:lang w:eastAsia="en-US"/>
        </w:rPr>
        <w:t>;</w:t>
      </w:r>
      <w:r w:rsidR="00CE018F" w:rsidRPr="00CE018F">
        <w:rPr>
          <w:rFonts w:ascii="Times New Roman" w:hAnsi="Times New Roman"/>
          <w:sz w:val="24"/>
          <w:szCs w:val="24"/>
        </w:rPr>
        <w:t xml:space="preserve"> </w:t>
      </w:r>
      <w:proofErr w:type="spellStart"/>
      <w:r w:rsidR="00CE018F" w:rsidRPr="001F1446">
        <w:rPr>
          <w:rFonts w:ascii="Times New Roman" w:hAnsi="Times New Roman"/>
          <w:sz w:val="24"/>
          <w:szCs w:val="24"/>
        </w:rPr>
        <w:t>Brickley</w:t>
      </w:r>
      <w:proofErr w:type="spellEnd"/>
      <w:r w:rsidR="00CE018F">
        <w:rPr>
          <w:rFonts w:ascii="Times New Roman" w:hAnsi="Times New Roman"/>
          <w:sz w:val="24"/>
          <w:szCs w:val="24"/>
        </w:rPr>
        <w:t xml:space="preserve"> </w:t>
      </w:r>
      <w:r w:rsidR="00CE018F" w:rsidRPr="002E3425">
        <w:rPr>
          <w:rFonts w:ascii="Times New Roman" w:hAnsi="Times New Roman"/>
          <w:i/>
          <w:iCs/>
          <w:sz w:val="24"/>
          <w:szCs w:val="24"/>
        </w:rPr>
        <w:t>et al.</w:t>
      </w:r>
      <w:r w:rsidR="003E1FE5" w:rsidRPr="001F1446">
        <w:rPr>
          <w:rFonts w:ascii="Times New Roman" w:hAnsi="Times New Roman"/>
          <w:sz w:val="24"/>
          <w:szCs w:val="24"/>
        </w:rPr>
        <w:t xml:space="preserve"> 2020</w:t>
      </w:r>
      <w:r w:rsidR="00137F89" w:rsidRPr="001F1446">
        <w:rPr>
          <w:rFonts w:ascii="Times New Roman" w:hAnsi="Times New Roman"/>
          <w:sz w:val="24"/>
          <w:szCs w:val="24"/>
        </w:rPr>
        <w:t xml:space="preserve">; </w:t>
      </w:r>
      <w:r w:rsidR="00196185" w:rsidRPr="001F1446">
        <w:rPr>
          <w:rFonts w:ascii="Times New Roman" w:hAnsi="Times New Roman"/>
          <w:noProof/>
          <w:sz w:val="24"/>
          <w:szCs w:val="24"/>
        </w:rPr>
        <w:t>Lewis 2018</w:t>
      </w:r>
      <w:r w:rsidR="00196185">
        <w:rPr>
          <w:rFonts w:ascii="Times New Roman" w:hAnsi="Times New Roman"/>
          <w:noProof/>
          <w:sz w:val="24"/>
          <w:szCs w:val="24"/>
        </w:rPr>
        <w:t>;</w:t>
      </w:r>
      <w:r w:rsidR="00196185" w:rsidRPr="001F1446">
        <w:rPr>
          <w:rFonts w:ascii="Times New Roman" w:hAnsi="Times New Roman"/>
          <w:noProof/>
          <w:sz w:val="24"/>
          <w:szCs w:val="24"/>
        </w:rPr>
        <w:t xml:space="preserve"> </w:t>
      </w:r>
      <w:proofErr w:type="spellStart"/>
      <w:r w:rsidR="00137F89" w:rsidRPr="001F1446">
        <w:rPr>
          <w:rFonts w:ascii="Times New Roman" w:hAnsi="Times New Roman"/>
          <w:sz w:val="24"/>
          <w:szCs w:val="24"/>
        </w:rPr>
        <w:t>Snoddy</w:t>
      </w:r>
      <w:proofErr w:type="spellEnd"/>
      <w:r w:rsidR="00137F89" w:rsidRPr="001F1446">
        <w:rPr>
          <w:rFonts w:ascii="Times New Roman" w:hAnsi="Times New Roman"/>
          <w:sz w:val="24"/>
          <w:szCs w:val="24"/>
        </w:rPr>
        <w:t xml:space="preserve"> </w:t>
      </w:r>
      <w:r w:rsidR="00137F89" w:rsidRPr="001F1446">
        <w:rPr>
          <w:rFonts w:ascii="Times New Roman" w:hAnsi="Times New Roman"/>
          <w:i/>
          <w:iCs/>
          <w:sz w:val="24"/>
          <w:szCs w:val="24"/>
        </w:rPr>
        <w:t>et al.</w:t>
      </w:r>
      <w:r w:rsidR="00137F89" w:rsidRPr="001F1446">
        <w:rPr>
          <w:rFonts w:ascii="Times New Roman" w:hAnsi="Times New Roman"/>
          <w:sz w:val="24"/>
          <w:szCs w:val="24"/>
        </w:rPr>
        <w:t xml:space="preserve"> 2018; </w:t>
      </w:r>
      <w:proofErr w:type="spellStart"/>
      <w:r w:rsidR="00137F89" w:rsidRPr="001F1446">
        <w:rPr>
          <w:rFonts w:ascii="Times New Roman" w:hAnsi="Times New Roman"/>
          <w:sz w:val="24"/>
          <w:szCs w:val="24"/>
        </w:rPr>
        <w:t>B</w:t>
      </w:r>
      <w:r w:rsidR="00A158A1" w:rsidRPr="001F1446">
        <w:rPr>
          <w:rFonts w:ascii="Times New Roman" w:hAnsi="Times New Roman"/>
          <w:sz w:val="24"/>
          <w:szCs w:val="24"/>
        </w:rPr>
        <w:t>r</w:t>
      </w:r>
      <w:r w:rsidR="00137F89" w:rsidRPr="001F1446">
        <w:rPr>
          <w:rFonts w:ascii="Times New Roman" w:hAnsi="Times New Roman"/>
          <w:sz w:val="24"/>
          <w:szCs w:val="24"/>
        </w:rPr>
        <w:t>ick</w:t>
      </w:r>
      <w:r w:rsidR="00A158A1" w:rsidRPr="001F1446">
        <w:rPr>
          <w:rFonts w:ascii="Times New Roman" w:hAnsi="Times New Roman"/>
          <w:sz w:val="24"/>
          <w:szCs w:val="24"/>
        </w:rPr>
        <w:t>l</w:t>
      </w:r>
      <w:r w:rsidR="00137F89" w:rsidRPr="001F1446">
        <w:rPr>
          <w:rFonts w:ascii="Times New Roman" w:hAnsi="Times New Roman"/>
          <w:sz w:val="24"/>
          <w:szCs w:val="24"/>
        </w:rPr>
        <w:t>ey</w:t>
      </w:r>
      <w:proofErr w:type="spellEnd"/>
      <w:r w:rsidR="00137F89" w:rsidRPr="001F1446">
        <w:rPr>
          <w:rFonts w:ascii="Times New Roman" w:hAnsi="Times New Roman"/>
          <w:sz w:val="24"/>
          <w:szCs w:val="24"/>
        </w:rPr>
        <w:t xml:space="preserve"> </w:t>
      </w:r>
      <w:r w:rsidR="00773FE6" w:rsidRPr="001F1446">
        <w:rPr>
          <w:rFonts w:ascii="Times New Roman" w:hAnsi="Times New Roman"/>
          <w:sz w:val="24"/>
          <w:szCs w:val="24"/>
        </w:rPr>
        <w:t>&amp;</w:t>
      </w:r>
      <w:r w:rsidR="00137F89" w:rsidRPr="001F1446">
        <w:rPr>
          <w:rFonts w:ascii="Times New Roman" w:hAnsi="Times New Roman"/>
          <w:sz w:val="24"/>
          <w:szCs w:val="24"/>
        </w:rPr>
        <w:t xml:space="preserve"> May</w:t>
      </w:r>
      <w:r w:rsidR="00196185">
        <w:rPr>
          <w:rFonts w:ascii="Times New Roman" w:hAnsi="Times New Roman"/>
          <w:sz w:val="24"/>
          <w:szCs w:val="24"/>
        </w:rPr>
        <w:t>s</w:t>
      </w:r>
      <w:r w:rsidR="00137F89" w:rsidRPr="001F1446">
        <w:rPr>
          <w:rFonts w:ascii="Times New Roman" w:hAnsi="Times New Roman"/>
          <w:sz w:val="24"/>
          <w:szCs w:val="24"/>
        </w:rPr>
        <w:t xml:space="preserve"> 2019). Abnormal bone </w:t>
      </w:r>
      <w:r w:rsidR="005C3D5C" w:rsidRPr="001F1446">
        <w:rPr>
          <w:rFonts w:ascii="Times New Roman" w:hAnsi="Times New Roman"/>
          <w:sz w:val="24"/>
          <w:szCs w:val="24"/>
        </w:rPr>
        <w:t>lesions</w:t>
      </w:r>
      <w:r w:rsidR="00137F89" w:rsidRPr="001F1446">
        <w:rPr>
          <w:rFonts w:ascii="Times New Roman" w:hAnsi="Times New Roman"/>
          <w:sz w:val="24"/>
          <w:szCs w:val="24"/>
        </w:rPr>
        <w:t xml:space="preserve"> related to vitamin C deficiency </w:t>
      </w:r>
      <w:r w:rsidR="00CA1410" w:rsidRPr="001F1446">
        <w:rPr>
          <w:rFonts w:ascii="Times New Roman" w:hAnsi="Times New Roman"/>
          <w:sz w:val="24"/>
          <w:szCs w:val="24"/>
        </w:rPr>
        <w:t>are located in the following areas of the cranium; sphenoid (external surface, greater wing), zygomatic bone (medial surface/posteromedial surface of maxillary zygomatic process), posterior surface of maxilla, coronoid process and medial surface</w:t>
      </w:r>
      <w:r w:rsidR="00CE018F" w:rsidRPr="00CE018F">
        <w:rPr>
          <w:rFonts w:ascii="Times New Roman" w:hAnsi="Times New Roman"/>
          <w:sz w:val="24"/>
          <w:szCs w:val="24"/>
        </w:rPr>
        <w:t xml:space="preserve"> </w:t>
      </w:r>
      <w:r w:rsidR="00CE018F" w:rsidRPr="001F1446">
        <w:rPr>
          <w:rFonts w:ascii="Times New Roman" w:hAnsi="Times New Roman"/>
          <w:sz w:val="24"/>
          <w:szCs w:val="24"/>
        </w:rPr>
        <w:t>of mandible</w:t>
      </w:r>
      <w:r w:rsidR="00CA1410" w:rsidRPr="001F1446">
        <w:rPr>
          <w:rFonts w:ascii="Times New Roman" w:hAnsi="Times New Roman"/>
          <w:sz w:val="24"/>
          <w:szCs w:val="24"/>
        </w:rPr>
        <w:t xml:space="preserve">, inferior surface of the palatine processes of maxillae, maxillary and/or mandibular alveolar bone, orbital walls, cranial vault, infraorbital foramen of maxilla, and foramen rotundum. In the </w:t>
      </w:r>
      <w:r w:rsidR="009D4F9C">
        <w:rPr>
          <w:rFonts w:ascii="Times New Roman" w:hAnsi="Times New Roman"/>
          <w:sz w:val="24"/>
          <w:szCs w:val="24"/>
        </w:rPr>
        <w:t>postcran</w:t>
      </w:r>
      <w:r w:rsidR="002C167B">
        <w:rPr>
          <w:rFonts w:ascii="Times New Roman" w:hAnsi="Times New Roman"/>
          <w:sz w:val="24"/>
          <w:szCs w:val="24"/>
        </w:rPr>
        <w:t xml:space="preserve">ial skeleton, </w:t>
      </w:r>
      <w:r w:rsidR="00E7614A" w:rsidRPr="001F1446">
        <w:rPr>
          <w:rFonts w:ascii="Times New Roman" w:hAnsi="Times New Roman"/>
          <w:sz w:val="24"/>
          <w:szCs w:val="24"/>
        </w:rPr>
        <w:t xml:space="preserve">vitamin C </w:t>
      </w:r>
      <w:r w:rsidR="00DB717F" w:rsidRPr="001F1446">
        <w:rPr>
          <w:rFonts w:ascii="Times New Roman" w:hAnsi="Times New Roman"/>
          <w:sz w:val="24"/>
          <w:szCs w:val="24"/>
        </w:rPr>
        <w:t>deficiency</w:t>
      </w:r>
      <w:r w:rsidR="00CA1410" w:rsidRPr="001F1446">
        <w:rPr>
          <w:rFonts w:ascii="Times New Roman" w:hAnsi="Times New Roman"/>
          <w:sz w:val="24"/>
          <w:szCs w:val="24"/>
        </w:rPr>
        <w:t xml:space="preserve"> </w:t>
      </w:r>
      <w:r w:rsidR="00B9193A" w:rsidRPr="001F1446">
        <w:rPr>
          <w:rFonts w:ascii="Times New Roman" w:hAnsi="Times New Roman"/>
          <w:sz w:val="24"/>
          <w:szCs w:val="24"/>
        </w:rPr>
        <w:t xml:space="preserve">lesions are </w:t>
      </w:r>
      <w:r w:rsidR="00CA1410" w:rsidRPr="001F1446">
        <w:rPr>
          <w:rFonts w:ascii="Times New Roman" w:hAnsi="Times New Roman"/>
          <w:sz w:val="24"/>
          <w:szCs w:val="24"/>
        </w:rPr>
        <w:t xml:space="preserve">usually observed on the </w:t>
      </w:r>
      <w:proofErr w:type="spellStart"/>
      <w:r w:rsidRPr="001F1446">
        <w:rPr>
          <w:rFonts w:ascii="Times New Roman" w:hAnsi="Times New Roman"/>
          <w:sz w:val="24"/>
          <w:szCs w:val="24"/>
        </w:rPr>
        <w:t>metaphys</w:t>
      </w:r>
      <w:r w:rsidR="002C167B">
        <w:rPr>
          <w:rFonts w:ascii="Times New Roman" w:hAnsi="Times New Roman"/>
          <w:sz w:val="24"/>
          <w:szCs w:val="24"/>
        </w:rPr>
        <w:t>e</w:t>
      </w:r>
      <w:r w:rsidRPr="001F1446">
        <w:rPr>
          <w:rFonts w:ascii="Times New Roman" w:hAnsi="Times New Roman"/>
          <w:sz w:val="24"/>
          <w:szCs w:val="24"/>
        </w:rPr>
        <w:t>s</w:t>
      </w:r>
      <w:proofErr w:type="spellEnd"/>
      <w:r w:rsidR="002C167B">
        <w:rPr>
          <w:rFonts w:ascii="Times New Roman" w:hAnsi="Times New Roman"/>
          <w:sz w:val="24"/>
          <w:szCs w:val="24"/>
        </w:rPr>
        <w:t xml:space="preserve"> of the long bones</w:t>
      </w:r>
      <w:r w:rsidR="00085946">
        <w:rPr>
          <w:rFonts w:ascii="Times New Roman" w:hAnsi="Times New Roman"/>
          <w:sz w:val="24"/>
          <w:szCs w:val="24"/>
        </w:rPr>
        <w:t>,</w:t>
      </w:r>
      <w:r w:rsidR="00CA1410" w:rsidRPr="001F1446">
        <w:rPr>
          <w:rFonts w:ascii="Times New Roman" w:hAnsi="Times New Roman"/>
          <w:sz w:val="24"/>
          <w:szCs w:val="24"/>
        </w:rPr>
        <w:t xml:space="preserve"> </w:t>
      </w:r>
      <w:r w:rsidR="0061303B">
        <w:rPr>
          <w:rFonts w:ascii="Times New Roman" w:hAnsi="Times New Roman"/>
          <w:sz w:val="24"/>
          <w:szCs w:val="24"/>
        </w:rPr>
        <w:t xml:space="preserve">on the </w:t>
      </w:r>
      <w:r w:rsidR="00CA1410" w:rsidRPr="001F1446">
        <w:rPr>
          <w:rFonts w:ascii="Times New Roman" w:hAnsi="Times New Roman"/>
          <w:sz w:val="24"/>
          <w:szCs w:val="24"/>
        </w:rPr>
        <w:t xml:space="preserve">supra- and infraspinous fossae of scapulae and </w:t>
      </w:r>
      <w:r w:rsidR="00085946">
        <w:rPr>
          <w:rFonts w:ascii="Times New Roman" w:hAnsi="Times New Roman"/>
          <w:sz w:val="24"/>
          <w:szCs w:val="24"/>
        </w:rPr>
        <w:t xml:space="preserve">on the </w:t>
      </w:r>
      <w:r w:rsidR="00CA1410" w:rsidRPr="001F1446">
        <w:rPr>
          <w:rFonts w:ascii="Times New Roman" w:hAnsi="Times New Roman"/>
          <w:sz w:val="24"/>
          <w:szCs w:val="24"/>
        </w:rPr>
        <w:t xml:space="preserve">ilia (Hirsh </w:t>
      </w:r>
      <w:r w:rsidR="00CA1410" w:rsidRPr="001F1446">
        <w:rPr>
          <w:rFonts w:ascii="Times New Roman" w:hAnsi="Times New Roman"/>
          <w:i/>
          <w:iCs/>
          <w:sz w:val="24"/>
          <w:szCs w:val="24"/>
        </w:rPr>
        <w:t>et al.</w:t>
      </w:r>
      <w:r w:rsidR="00CA1410" w:rsidRPr="001F1446">
        <w:rPr>
          <w:rFonts w:ascii="Times New Roman" w:hAnsi="Times New Roman"/>
          <w:sz w:val="24"/>
          <w:szCs w:val="24"/>
        </w:rPr>
        <w:t xml:space="preserve"> 1976; Ortner </w:t>
      </w:r>
      <w:r w:rsidR="00934811">
        <w:rPr>
          <w:rFonts w:ascii="Times New Roman" w:hAnsi="Times New Roman"/>
          <w:sz w:val="24"/>
          <w:szCs w:val="24"/>
        </w:rPr>
        <w:t>&amp;</w:t>
      </w:r>
      <w:r w:rsidR="00CA1410" w:rsidRPr="001F1446">
        <w:rPr>
          <w:rFonts w:ascii="Times New Roman" w:hAnsi="Times New Roman"/>
          <w:sz w:val="24"/>
          <w:szCs w:val="24"/>
        </w:rPr>
        <w:t xml:space="preserve"> Ericksen 1997; Ortner </w:t>
      </w:r>
      <w:r w:rsidR="00CA1410" w:rsidRPr="001F1446">
        <w:rPr>
          <w:rFonts w:ascii="Times New Roman" w:hAnsi="Times New Roman"/>
          <w:i/>
          <w:iCs/>
          <w:sz w:val="24"/>
          <w:szCs w:val="24"/>
        </w:rPr>
        <w:t>et al.</w:t>
      </w:r>
      <w:r w:rsidR="00CA1410" w:rsidRPr="001F1446">
        <w:rPr>
          <w:rFonts w:ascii="Times New Roman" w:hAnsi="Times New Roman"/>
          <w:sz w:val="24"/>
          <w:szCs w:val="24"/>
        </w:rPr>
        <w:t xml:space="preserve"> 2001; </w:t>
      </w:r>
      <w:r w:rsidR="00CA1410" w:rsidRPr="001F1446">
        <w:rPr>
          <w:rFonts w:ascii="Times New Roman" w:eastAsiaTheme="minorHAnsi" w:hAnsi="Times New Roman"/>
          <w:sz w:val="24"/>
          <w:szCs w:val="24"/>
          <w:lang w:eastAsia="en-US"/>
        </w:rPr>
        <w:t xml:space="preserve">Zuckerman </w:t>
      </w:r>
      <w:r w:rsidR="00CA1410" w:rsidRPr="001F1446">
        <w:rPr>
          <w:rFonts w:ascii="Times New Roman" w:eastAsiaTheme="minorHAnsi" w:hAnsi="Times New Roman"/>
          <w:i/>
          <w:iCs/>
          <w:sz w:val="24"/>
          <w:szCs w:val="24"/>
          <w:lang w:eastAsia="en-US"/>
        </w:rPr>
        <w:t>et al.</w:t>
      </w:r>
      <w:r w:rsidR="00CA1410" w:rsidRPr="001F1446">
        <w:rPr>
          <w:rFonts w:ascii="Times New Roman" w:eastAsiaTheme="minorHAnsi" w:hAnsi="Times New Roman"/>
          <w:sz w:val="24"/>
          <w:szCs w:val="24"/>
          <w:lang w:eastAsia="en-US"/>
        </w:rPr>
        <w:t xml:space="preserve"> 2014; </w:t>
      </w:r>
      <w:r w:rsidR="00CA1410" w:rsidRPr="001F1446">
        <w:rPr>
          <w:rFonts w:ascii="Times New Roman" w:hAnsi="Times New Roman"/>
          <w:sz w:val="24"/>
          <w:szCs w:val="24"/>
        </w:rPr>
        <w:t>Klaus 2017</w:t>
      </w:r>
      <w:r w:rsidR="00CA1410" w:rsidRPr="001F1446">
        <w:rPr>
          <w:rFonts w:ascii="Times New Roman" w:eastAsiaTheme="minorHAnsi" w:hAnsi="Times New Roman"/>
          <w:sz w:val="24"/>
          <w:szCs w:val="24"/>
          <w:lang w:eastAsia="en-US"/>
        </w:rPr>
        <w:t>;</w:t>
      </w:r>
      <w:r w:rsidR="00CA1410" w:rsidRPr="001F1446">
        <w:rPr>
          <w:rFonts w:ascii="Times New Roman" w:hAnsi="Times New Roman"/>
          <w:sz w:val="24"/>
          <w:szCs w:val="24"/>
        </w:rPr>
        <w:t xml:space="preserve"> Snoddy </w:t>
      </w:r>
      <w:r w:rsidR="00CA1410" w:rsidRPr="001F1446">
        <w:rPr>
          <w:rFonts w:ascii="Times New Roman" w:hAnsi="Times New Roman"/>
          <w:i/>
          <w:iCs/>
          <w:sz w:val="24"/>
          <w:szCs w:val="24"/>
        </w:rPr>
        <w:t>et al.</w:t>
      </w:r>
      <w:r w:rsidR="00CA1410" w:rsidRPr="001F1446">
        <w:rPr>
          <w:rFonts w:ascii="Times New Roman" w:hAnsi="Times New Roman"/>
          <w:sz w:val="24"/>
          <w:szCs w:val="24"/>
        </w:rPr>
        <w:t xml:space="preserve"> 2018;</w:t>
      </w:r>
      <w:r w:rsidR="00CA1410" w:rsidRPr="001F1446">
        <w:rPr>
          <w:rFonts w:ascii="Times New Roman" w:eastAsiaTheme="minorHAnsi" w:hAnsi="Times New Roman"/>
          <w:sz w:val="24"/>
          <w:szCs w:val="24"/>
          <w:lang w:eastAsia="en-US"/>
        </w:rPr>
        <w:t xml:space="preserve"> </w:t>
      </w:r>
      <w:r w:rsidR="00CA1410" w:rsidRPr="001F1446">
        <w:rPr>
          <w:rFonts w:ascii="Times New Roman" w:hAnsi="Times New Roman"/>
          <w:sz w:val="24"/>
          <w:szCs w:val="24"/>
        </w:rPr>
        <w:t>Bick</w:t>
      </w:r>
      <w:r w:rsidR="00440349" w:rsidRPr="001F1446">
        <w:rPr>
          <w:rFonts w:ascii="Times New Roman" w:hAnsi="Times New Roman"/>
          <w:sz w:val="24"/>
          <w:szCs w:val="24"/>
        </w:rPr>
        <w:t>l</w:t>
      </w:r>
      <w:r w:rsidR="00CA1410" w:rsidRPr="001F1446">
        <w:rPr>
          <w:rFonts w:ascii="Times New Roman" w:hAnsi="Times New Roman"/>
          <w:sz w:val="24"/>
          <w:szCs w:val="24"/>
        </w:rPr>
        <w:t xml:space="preserve">ey </w:t>
      </w:r>
      <w:r w:rsidR="00773FE6" w:rsidRPr="001F1446">
        <w:rPr>
          <w:rFonts w:ascii="Times New Roman" w:hAnsi="Times New Roman"/>
          <w:sz w:val="24"/>
          <w:szCs w:val="24"/>
        </w:rPr>
        <w:t>&amp;</w:t>
      </w:r>
      <w:r w:rsidR="00CA1410" w:rsidRPr="001F1446">
        <w:rPr>
          <w:rFonts w:ascii="Times New Roman" w:hAnsi="Times New Roman"/>
          <w:sz w:val="24"/>
          <w:szCs w:val="24"/>
        </w:rPr>
        <w:t xml:space="preserve"> May</w:t>
      </w:r>
      <w:r w:rsidR="009A6C51">
        <w:rPr>
          <w:rFonts w:ascii="Times New Roman" w:hAnsi="Times New Roman"/>
          <w:sz w:val="24"/>
          <w:szCs w:val="24"/>
        </w:rPr>
        <w:t>s</w:t>
      </w:r>
      <w:r w:rsidR="00CA1410" w:rsidRPr="001F1446">
        <w:rPr>
          <w:rFonts w:ascii="Times New Roman" w:hAnsi="Times New Roman"/>
          <w:sz w:val="24"/>
          <w:szCs w:val="24"/>
        </w:rPr>
        <w:t xml:space="preserve"> 2019). </w:t>
      </w:r>
    </w:p>
    <w:p w14:paraId="565EF4D7" w14:textId="77777777" w:rsidR="00FE41F3" w:rsidRPr="001F1446" w:rsidRDefault="00FE41F3" w:rsidP="001F1446">
      <w:pPr>
        <w:spacing w:after="0" w:line="360" w:lineRule="auto"/>
        <w:rPr>
          <w:rFonts w:ascii="Times New Roman" w:hAnsi="Times New Roman"/>
          <w:i/>
          <w:sz w:val="24"/>
          <w:szCs w:val="24"/>
        </w:rPr>
      </w:pPr>
    </w:p>
    <w:p w14:paraId="467319BC" w14:textId="32951C66" w:rsidR="005902FA" w:rsidRPr="001F1446" w:rsidRDefault="005902FA" w:rsidP="001F1446">
      <w:pPr>
        <w:spacing w:after="0" w:line="360" w:lineRule="auto"/>
        <w:rPr>
          <w:rFonts w:ascii="Times New Roman" w:hAnsi="Times New Roman"/>
          <w:iCs/>
          <w:sz w:val="24"/>
          <w:szCs w:val="24"/>
          <w:u w:val="single"/>
        </w:rPr>
      </w:pPr>
      <w:r w:rsidRPr="001F1446">
        <w:rPr>
          <w:rFonts w:ascii="Times New Roman" w:hAnsi="Times New Roman"/>
          <w:iCs/>
          <w:sz w:val="24"/>
          <w:szCs w:val="24"/>
          <w:u w:val="single"/>
        </w:rPr>
        <w:t>Meningitis</w:t>
      </w:r>
    </w:p>
    <w:p w14:paraId="48AF1451" w14:textId="3A0697F6" w:rsidR="005902FA"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The meninges are three fibrous membrane layers (the </w:t>
      </w:r>
      <w:r w:rsidRPr="001F1446">
        <w:rPr>
          <w:rFonts w:ascii="Times New Roman" w:hAnsi="Times New Roman"/>
          <w:i/>
          <w:iCs/>
          <w:sz w:val="24"/>
          <w:szCs w:val="24"/>
        </w:rPr>
        <w:t>dura mater</w:t>
      </w:r>
      <w:r w:rsidRPr="001F1446">
        <w:rPr>
          <w:rFonts w:ascii="Times New Roman" w:hAnsi="Times New Roman"/>
          <w:sz w:val="24"/>
          <w:szCs w:val="24"/>
        </w:rPr>
        <w:t xml:space="preserve">, the arachnoid and the </w:t>
      </w:r>
      <w:r w:rsidRPr="001F1446">
        <w:rPr>
          <w:rFonts w:ascii="Times New Roman" w:hAnsi="Times New Roman"/>
          <w:i/>
          <w:iCs/>
          <w:sz w:val="24"/>
          <w:szCs w:val="24"/>
        </w:rPr>
        <w:t>pia mater</w:t>
      </w:r>
      <w:r w:rsidRPr="001F1446">
        <w:rPr>
          <w:rFonts w:ascii="Times New Roman" w:hAnsi="Times New Roman"/>
          <w:sz w:val="24"/>
          <w:szCs w:val="24"/>
        </w:rPr>
        <w:t xml:space="preserve">) that separate the brain from the cranial vault. When new bone formation occurs </w:t>
      </w:r>
      <w:r w:rsidR="003D1D5B">
        <w:rPr>
          <w:rFonts w:ascii="Times New Roman" w:hAnsi="Times New Roman"/>
          <w:sz w:val="24"/>
          <w:szCs w:val="24"/>
        </w:rPr>
        <w:t>o</w:t>
      </w:r>
      <w:r w:rsidRPr="001F1446">
        <w:rPr>
          <w:rFonts w:ascii="Times New Roman" w:hAnsi="Times New Roman"/>
          <w:sz w:val="24"/>
          <w:szCs w:val="24"/>
        </w:rPr>
        <w:t xml:space="preserve">n the endocranial surface, it is usually associated with the disruption of the venous drainage system, inflammation of the meninges, a </w:t>
      </w:r>
      <w:proofErr w:type="spellStart"/>
      <w:r w:rsidRPr="001F1446">
        <w:rPr>
          <w:rFonts w:ascii="Times New Roman" w:hAnsi="Times New Roman"/>
          <w:sz w:val="24"/>
          <w:szCs w:val="24"/>
        </w:rPr>
        <w:t>tumo</w:t>
      </w:r>
      <w:r w:rsidR="003F5C0F">
        <w:rPr>
          <w:rFonts w:ascii="Times New Roman" w:hAnsi="Times New Roman"/>
          <w:sz w:val="24"/>
          <w:szCs w:val="24"/>
        </w:rPr>
        <w:t>u</w:t>
      </w:r>
      <w:r w:rsidRPr="001F1446">
        <w:rPr>
          <w:rFonts w:ascii="Times New Roman" w:hAnsi="Times New Roman"/>
          <w:sz w:val="24"/>
          <w:szCs w:val="24"/>
        </w:rPr>
        <w:t>r</w:t>
      </w:r>
      <w:proofErr w:type="spellEnd"/>
      <w:r w:rsidRPr="001F1446">
        <w:rPr>
          <w:rFonts w:ascii="Times New Roman" w:hAnsi="Times New Roman"/>
          <w:sz w:val="24"/>
          <w:szCs w:val="24"/>
        </w:rPr>
        <w:t xml:space="preserve"> or the ossification of a subdural hematoma </w:t>
      </w:r>
      <w:r w:rsidRPr="001F1446">
        <w:rPr>
          <w:rFonts w:ascii="Times New Roman" w:hAnsi="Times New Roman"/>
          <w:noProof/>
          <w:sz w:val="24"/>
          <w:szCs w:val="24"/>
        </w:rPr>
        <w:t>(Lewis 2018)</w:t>
      </w:r>
      <w:r w:rsidRPr="001F1446">
        <w:rPr>
          <w:rFonts w:ascii="Times New Roman" w:hAnsi="Times New Roman"/>
          <w:sz w:val="24"/>
          <w:szCs w:val="24"/>
        </w:rPr>
        <w:t>.</w:t>
      </w:r>
      <w:r w:rsidR="006501AD" w:rsidRPr="001F1446">
        <w:rPr>
          <w:rFonts w:ascii="Times New Roman" w:hAnsi="Times New Roman"/>
          <w:sz w:val="24"/>
          <w:szCs w:val="24"/>
        </w:rPr>
        <w:t xml:space="preserve"> </w:t>
      </w:r>
    </w:p>
    <w:p w14:paraId="2297D1F0" w14:textId="77777777" w:rsidR="003D1D5B" w:rsidRPr="001F1446" w:rsidRDefault="003D1D5B" w:rsidP="001F1446">
      <w:pPr>
        <w:spacing w:after="0" w:line="360" w:lineRule="auto"/>
        <w:rPr>
          <w:rFonts w:ascii="Times New Roman" w:hAnsi="Times New Roman"/>
          <w:sz w:val="24"/>
          <w:szCs w:val="24"/>
        </w:rPr>
      </w:pPr>
    </w:p>
    <w:p w14:paraId="7FAB4B27" w14:textId="77777777" w:rsidR="005902FA" w:rsidRPr="001F1446" w:rsidRDefault="005902FA" w:rsidP="001F1446">
      <w:pPr>
        <w:spacing w:after="0" w:line="360" w:lineRule="auto"/>
        <w:rPr>
          <w:rFonts w:ascii="Times New Roman" w:hAnsi="Times New Roman"/>
          <w:iCs/>
          <w:sz w:val="24"/>
          <w:szCs w:val="24"/>
          <w:u w:val="single"/>
        </w:rPr>
      </w:pPr>
      <w:r w:rsidRPr="001F1446">
        <w:rPr>
          <w:rFonts w:ascii="Times New Roman" w:hAnsi="Times New Roman"/>
          <w:iCs/>
          <w:sz w:val="24"/>
          <w:szCs w:val="24"/>
          <w:u w:val="single"/>
        </w:rPr>
        <w:t>Periosteal lesions</w:t>
      </w:r>
    </w:p>
    <w:p w14:paraId="696F0E4D" w14:textId="121DD0E1" w:rsidR="005902FA"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Periosteal lesions form by stimuli that </w:t>
      </w:r>
      <w:proofErr w:type="spellStart"/>
      <w:r w:rsidRPr="001F1446">
        <w:rPr>
          <w:rFonts w:ascii="Times New Roman" w:hAnsi="Times New Roman"/>
          <w:sz w:val="24"/>
          <w:szCs w:val="24"/>
        </w:rPr>
        <w:t>traumati</w:t>
      </w:r>
      <w:r w:rsidR="003D1D5B">
        <w:rPr>
          <w:rFonts w:ascii="Times New Roman" w:hAnsi="Times New Roman"/>
          <w:sz w:val="24"/>
          <w:szCs w:val="24"/>
        </w:rPr>
        <w:t>s</w:t>
      </w:r>
      <w:r w:rsidRPr="001F1446">
        <w:rPr>
          <w:rFonts w:ascii="Times New Roman" w:hAnsi="Times New Roman"/>
          <w:sz w:val="24"/>
          <w:szCs w:val="24"/>
        </w:rPr>
        <w:t>e</w:t>
      </w:r>
      <w:proofErr w:type="spellEnd"/>
      <w:r w:rsidRPr="001F1446">
        <w:rPr>
          <w:rFonts w:ascii="Times New Roman" w:hAnsi="Times New Roman"/>
          <w:sz w:val="24"/>
          <w:szCs w:val="24"/>
        </w:rPr>
        <w:t xml:space="preserve"> the periosteum, local or systemic infection or inflammation, and nutritional imbalances, such as vitamin C deficiencies</w:t>
      </w:r>
      <w:r w:rsidR="004D1C65">
        <w:rPr>
          <w:rFonts w:ascii="Times New Roman" w:hAnsi="Times New Roman"/>
          <w:sz w:val="24"/>
          <w:szCs w:val="24"/>
        </w:rPr>
        <w:t>,</w:t>
      </w:r>
      <w:r w:rsidRPr="001F1446">
        <w:rPr>
          <w:rFonts w:ascii="Times New Roman" w:hAnsi="Times New Roman"/>
          <w:sz w:val="24"/>
          <w:szCs w:val="24"/>
        </w:rPr>
        <w:t xml:space="preserve"> that increase the risk of hemorrhages and hematoma formation and which trigger inflammatory responses that can lead to the formation of new bone </w:t>
      </w:r>
      <w:r w:rsidR="00FE3777" w:rsidRPr="001F1446">
        <w:rPr>
          <w:rFonts w:ascii="Times New Roman" w:hAnsi="Times New Roman"/>
          <w:noProof/>
          <w:sz w:val="24"/>
          <w:szCs w:val="24"/>
        </w:rPr>
        <w:t xml:space="preserve">(Ortner 2003; Roberts </w:t>
      </w:r>
      <w:r w:rsidR="00206B83" w:rsidRPr="001F1446">
        <w:rPr>
          <w:rFonts w:ascii="Times New Roman" w:hAnsi="Times New Roman"/>
          <w:noProof/>
          <w:sz w:val="24"/>
          <w:szCs w:val="24"/>
        </w:rPr>
        <w:t>&amp;</w:t>
      </w:r>
      <w:r w:rsidR="00FE3777" w:rsidRPr="001F1446">
        <w:rPr>
          <w:rFonts w:ascii="Times New Roman" w:hAnsi="Times New Roman"/>
          <w:noProof/>
          <w:sz w:val="24"/>
          <w:szCs w:val="24"/>
        </w:rPr>
        <w:t xml:space="preserve"> Manchester 2005; Weston</w:t>
      </w:r>
      <w:r w:rsidRPr="001F1446">
        <w:rPr>
          <w:rFonts w:ascii="Times New Roman" w:hAnsi="Times New Roman"/>
          <w:noProof/>
          <w:sz w:val="24"/>
          <w:szCs w:val="24"/>
        </w:rPr>
        <w:t xml:space="preserve"> 2008</w:t>
      </w:r>
      <w:r w:rsidR="00440349" w:rsidRPr="001F1446">
        <w:rPr>
          <w:rFonts w:ascii="Times New Roman" w:hAnsi="Times New Roman"/>
          <w:noProof/>
          <w:sz w:val="24"/>
          <w:szCs w:val="24"/>
        </w:rPr>
        <w:t>;</w:t>
      </w:r>
      <w:r w:rsidR="00FE3777" w:rsidRPr="001F1446">
        <w:rPr>
          <w:rFonts w:ascii="Times New Roman" w:hAnsi="Times New Roman"/>
          <w:noProof/>
          <w:sz w:val="24"/>
          <w:szCs w:val="24"/>
        </w:rPr>
        <w:t xml:space="preserve"> Geber </w:t>
      </w:r>
      <w:r w:rsidR="00206B83" w:rsidRPr="001F1446">
        <w:rPr>
          <w:rFonts w:ascii="Times New Roman" w:hAnsi="Times New Roman"/>
          <w:noProof/>
          <w:sz w:val="24"/>
          <w:szCs w:val="24"/>
        </w:rPr>
        <w:t>&amp;</w:t>
      </w:r>
      <w:r w:rsidR="00FE3777" w:rsidRPr="001F1446">
        <w:rPr>
          <w:rFonts w:ascii="Times New Roman" w:hAnsi="Times New Roman"/>
          <w:noProof/>
          <w:sz w:val="24"/>
          <w:szCs w:val="24"/>
        </w:rPr>
        <w:t xml:space="preserve"> Murphy 2012</w:t>
      </w:r>
      <w:r w:rsidRPr="001F1446">
        <w:rPr>
          <w:rFonts w:ascii="Times New Roman" w:hAnsi="Times New Roman"/>
          <w:noProof/>
          <w:sz w:val="24"/>
          <w:szCs w:val="24"/>
        </w:rPr>
        <w:t>)</w:t>
      </w:r>
      <w:r w:rsidRPr="001F1446">
        <w:rPr>
          <w:rFonts w:ascii="Times New Roman" w:hAnsi="Times New Roman"/>
          <w:sz w:val="24"/>
          <w:szCs w:val="24"/>
        </w:rPr>
        <w:t xml:space="preserve">. In addition, lesions caused by the elevation of the fibrous outer layer of the </w:t>
      </w:r>
      <w:r w:rsidRPr="001F1446">
        <w:rPr>
          <w:rFonts w:ascii="Times New Roman" w:hAnsi="Times New Roman"/>
          <w:sz w:val="24"/>
          <w:szCs w:val="24"/>
        </w:rPr>
        <w:lastRenderedPageBreak/>
        <w:t xml:space="preserve">periosteum are formed when the compression and stretch of blood vessels </w:t>
      </w:r>
      <w:r w:rsidR="00A362F9" w:rsidRPr="001F1446">
        <w:rPr>
          <w:rFonts w:ascii="Times New Roman" w:hAnsi="Times New Roman"/>
          <w:sz w:val="24"/>
          <w:szCs w:val="24"/>
        </w:rPr>
        <w:t>are</w:t>
      </w:r>
      <w:r w:rsidRPr="001F1446">
        <w:rPr>
          <w:rFonts w:ascii="Times New Roman" w:hAnsi="Times New Roman"/>
          <w:sz w:val="24"/>
          <w:szCs w:val="24"/>
        </w:rPr>
        <w:t xml:space="preserve"> altered by agents such as blood, pus, granulation tissue, neoplasm</w:t>
      </w:r>
      <w:r w:rsidR="00F73576">
        <w:rPr>
          <w:rFonts w:ascii="Times New Roman" w:hAnsi="Times New Roman"/>
          <w:sz w:val="24"/>
          <w:szCs w:val="24"/>
        </w:rPr>
        <w:t xml:space="preserve"> and</w:t>
      </w:r>
      <w:r w:rsidRPr="001F1446">
        <w:rPr>
          <w:rFonts w:ascii="Times New Roman" w:hAnsi="Times New Roman"/>
          <w:sz w:val="24"/>
          <w:szCs w:val="24"/>
        </w:rPr>
        <w:t xml:space="preserve"> congenital and genetic diseases (Weston 2008).</w:t>
      </w:r>
      <w:r w:rsidR="003C2E46" w:rsidRPr="001F1446">
        <w:rPr>
          <w:rFonts w:ascii="Times New Roman" w:hAnsi="Times New Roman"/>
          <w:sz w:val="24"/>
          <w:szCs w:val="24"/>
        </w:rPr>
        <w:t xml:space="preserve"> </w:t>
      </w:r>
    </w:p>
    <w:p w14:paraId="492B7168" w14:textId="77777777" w:rsidR="00F73576" w:rsidRPr="001F1446" w:rsidRDefault="00F73576" w:rsidP="001F1446">
      <w:pPr>
        <w:spacing w:after="0" w:line="360" w:lineRule="auto"/>
        <w:rPr>
          <w:rFonts w:ascii="Times New Roman" w:hAnsi="Times New Roman"/>
          <w:sz w:val="24"/>
          <w:szCs w:val="24"/>
        </w:rPr>
      </w:pPr>
    </w:p>
    <w:p w14:paraId="648498FB" w14:textId="26840DE1" w:rsidR="005902FA" w:rsidRPr="001F1446" w:rsidRDefault="005902FA" w:rsidP="001F1446">
      <w:pPr>
        <w:spacing w:after="0" w:line="360" w:lineRule="auto"/>
        <w:rPr>
          <w:rFonts w:ascii="Times New Roman" w:hAnsi="Times New Roman"/>
          <w:iCs/>
          <w:sz w:val="24"/>
          <w:szCs w:val="24"/>
          <w:u w:val="single"/>
        </w:rPr>
      </w:pPr>
      <w:r w:rsidRPr="001F1446">
        <w:rPr>
          <w:rFonts w:ascii="Times New Roman" w:hAnsi="Times New Roman"/>
          <w:iCs/>
          <w:sz w:val="24"/>
          <w:szCs w:val="24"/>
          <w:u w:val="single"/>
        </w:rPr>
        <w:t>Enamel hypoplasia</w:t>
      </w:r>
    </w:p>
    <w:p w14:paraId="4DEDBC6F" w14:textId="3A564E14"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Enamel </w:t>
      </w:r>
      <w:r w:rsidR="004227F2" w:rsidRPr="001F1446">
        <w:rPr>
          <w:rFonts w:ascii="Times New Roman" w:hAnsi="Times New Roman"/>
          <w:sz w:val="24"/>
          <w:szCs w:val="24"/>
        </w:rPr>
        <w:t>hypoplasia</w:t>
      </w:r>
      <w:r w:rsidRPr="001F1446">
        <w:rPr>
          <w:rFonts w:ascii="Times New Roman" w:hAnsi="Times New Roman"/>
          <w:sz w:val="24"/>
          <w:szCs w:val="24"/>
        </w:rPr>
        <w:t xml:space="preserve"> are areas of</w:t>
      </w:r>
      <w:r w:rsidR="00700E2C">
        <w:rPr>
          <w:rFonts w:ascii="Times New Roman" w:hAnsi="Times New Roman"/>
          <w:sz w:val="24"/>
          <w:szCs w:val="24"/>
        </w:rPr>
        <w:t xml:space="preserve"> decreased</w:t>
      </w:r>
      <w:r w:rsidRPr="001F1446">
        <w:rPr>
          <w:rFonts w:ascii="Times New Roman" w:hAnsi="Times New Roman"/>
          <w:sz w:val="24"/>
          <w:szCs w:val="24"/>
        </w:rPr>
        <w:t xml:space="preserve"> enamel thickness that occur during a disturbance of ameloblast deposition on the developing crowns of teeth</w:t>
      </w:r>
      <w:r w:rsidR="00A362F9" w:rsidRPr="001F1446">
        <w:rPr>
          <w:rFonts w:ascii="Times New Roman" w:hAnsi="Times New Roman"/>
          <w:sz w:val="24"/>
          <w:szCs w:val="24"/>
        </w:rPr>
        <w:t>,</w:t>
      </w:r>
      <w:r w:rsidRPr="001F1446">
        <w:rPr>
          <w:rFonts w:ascii="Times New Roman" w:hAnsi="Times New Roman"/>
          <w:sz w:val="24"/>
          <w:szCs w:val="24"/>
        </w:rPr>
        <w:t xml:space="preserve"> usually associated with stress episodes such as severe malnutrition, zinc deficiency, </w:t>
      </w:r>
      <w:r w:rsidR="005C3D5C" w:rsidRPr="001F1446">
        <w:rPr>
          <w:rFonts w:ascii="Times New Roman" w:hAnsi="Times New Roman"/>
          <w:sz w:val="24"/>
          <w:szCs w:val="24"/>
        </w:rPr>
        <w:t>rickets, congenital syphilis</w:t>
      </w:r>
      <w:r w:rsidR="00790978">
        <w:rPr>
          <w:rFonts w:ascii="Times New Roman" w:hAnsi="Times New Roman"/>
          <w:sz w:val="24"/>
          <w:szCs w:val="24"/>
        </w:rPr>
        <w:t xml:space="preserve"> and</w:t>
      </w:r>
      <w:r w:rsidR="005C3D5C" w:rsidRPr="001F1446">
        <w:rPr>
          <w:rFonts w:ascii="Times New Roman" w:hAnsi="Times New Roman"/>
          <w:sz w:val="24"/>
          <w:szCs w:val="24"/>
        </w:rPr>
        <w:t xml:space="preserve"> </w:t>
      </w:r>
      <w:r w:rsidRPr="001F1446">
        <w:rPr>
          <w:rFonts w:ascii="Times New Roman" w:hAnsi="Times New Roman"/>
          <w:sz w:val="24"/>
          <w:szCs w:val="24"/>
        </w:rPr>
        <w:t>tuberculosis,</w:t>
      </w:r>
      <w:r w:rsidR="005C3D5C" w:rsidRPr="001F1446">
        <w:rPr>
          <w:rFonts w:ascii="Times New Roman" w:hAnsi="Times New Roman"/>
          <w:sz w:val="24"/>
          <w:szCs w:val="24"/>
        </w:rPr>
        <w:t xml:space="preserve"> among others</w:t>
      </w:r>
      <w:r w:rsidRPr="001F1446">
        <w:rPr>
          <w:rFonts w:ascii="Times New Roman" w:hAnsi="Times New Roman"/>
          <w:sz w:val="24"/>
          <w:szCs w:val="24"/>
        </w:rPr>
        <w:t xml:space="preserve"> </w:t>
      </w:r>
      <w:r w:rsidR="00FE3777" w:rsidRPr="001F1446">
        <w:rPr>
          <w:rFonts w:ascii="Times New Roman" w:hAnsi="Times New Roman"/>
          <w:noProof/>
          <w:sz w:val="24"/>
          <w:szCs w:val="24"/>
        </w:rPr>
        <w:t>(</w:t>
      </w:r>
      <w:proofErr w:type="spellStart"/>
      <w:r w:rsidR="005C3D5C" w:rsidRPr="001F1446">
        <w:rPr>
          <w:rFonts w:ascii="Times New Roman" w:hAnsi="Times New Roman"/>
          <w:sz w:val="24"/>
          <w:szCs w:val="24"/>
        </w:rPr>
        <w:t>Sarnat</w:t>
      </w:r>
      <w:proofErr w:type="spellEnd"/>
      <w:r w:rsidR="005C3D5C" w:rsidRPr="001F1446">
        <w:rPr>
          <w:rFonts w:ascii="Times New Roman" w:hAnsi="Times New Roman"/>
          <w:sz w:val="24"/>
          <w:szCs w:val="24"/>
        </w:rPr>
        <w:t xml:space="preserve"> </w:t>
      </w:r>
      <w:r w:rsidR="00206B83" w:rsidRPr="001F1446">
        <w:rPr>
          <w:rFonts w:ascii="Times New Roman" w:hAnsi="Times New Roman"/>
          <w:sz w:val="24"/>
          <w:szCs w:val="24"/>
        </w:rPr>
        <w:t>&amp;</w:t>
      </w:r>
      <w:r w:rsidR="005C3D5C" w:rsidRPr="001F1446">
        <w:rPr>
          <w:rFonts w:ascii="Times New Roman" w:hAnsi="Times New Roman"/>
          <w:sz w:val="24"/>
          <w:szCs w:val="24"/>
        </w:rPr>
        <w:t xml:space="preserve"> </w:t>
      </w:r>
      <w:proofErr w:type="spellStart"/>
      <w:r w:rsidR="005C3D5C" w:rsidRPr="001F1446">
        <w:rPr>
          <w:rFonts w:ascii="Times New Roman" w:hAnsi="Times New Roman"/>
          <w:sz w:val="24"/>
          <w:szCs w:val="24"/>
        </w:rPr>
        <w:t>Schour</w:t>
      </w:r>
      <w:proofErr w:type="spellEnd"/>
      <w:r w:rsidR="005C3D5C" w:rsidRPr="001F1446">
        <w:rPr>
          <w:rFonts w:ascii="Times New Roman" w:hAnsi="Times New Roman"/>
          <w:sz w:val="24"/>
          <w:szCs w:val="24"/>
        </w:rPr>
        <w:t xml:space="preserve"> 1941; </w:t>
      </w:r>
      <w:r w:rsidR="00FE3777" w:rsidRPr="001F1446">
        <w:rPr>
          <w:rFonts w:ascii="Times New Roman" w:hAnsi="Times New Roman"/>
          <w:noProof/>
          <w:sz w:val="24"/>
          <w:szCs w:val="24"/>
        </w:rPr>
        <w:t xml:space="preserve">Sweeney </w:t>
      </w:r>
      <w:r w:rsidR="00FE3777" w:rsidRPr="001F1446">
        <w:rPr>
          <w:rFonts w:ascii="Times New Roman" w:hAnsi="Times New Roman"/>
          <w:i/>
          <w:iCs/>
          <w:noProof/>
          <w:sz w:val="24"/>
          <w:szCs w:val="24"/>
        </w:rPr>
        <w:t>et al.</w:t>
      </w:r>
      <w:r w:rsidR="00FE3777" w:rsidRPr="001F1446">
        <w:rPr>
          <w:rFonts w:ascii="Times New Roman" w:hAnsi="Times New Roman"/>
          <w:noProof/>
          <w:sz w:val="24"/>
          <w:szCs w:val="24"/>
        </w:rPr>
        <w:t xml:space="preserve"> 1971; Rose </w:t>
      </w:r>
      <w:r w:rsidR="00FE3777" w:rsidRPr="001F1446">
        <w:rPr>
          <w:rFonts w:ascii="Times New Roman" w:hAnsi="Times New Roman"/>
          <w:i/>
          <w:iCs/>
          <w:noProof/>
          <w:sz w:val="24"/>
          <w:szCs w:val="24"/>
        </w:rPr>
        <w:t>et al.</w:t>
      </w:r>
      <w:r w:rsidR="00FE3777" w:rsidRPr="001F1446">
        <w:rPr>
          <w:rFonts w:ascii="Times New Roman" w:hAnsi="Times New Roman"/>
          <w:noProof/>
          <w:sz w:val="24"/>
          <w:szCs w:val="24"/>
        </w:rPr>
        <w:t xml:space="preserve"> 1985; Lewis 2018</w:t>
      </w:r>
      <w:r w:rsidRPr="001F1446">
        <w:rPr>
          <w:rFonts w:ascii="Times New Roman" w:hAnsi="Times New Roman"/>
          <w:noProof/>
          <w:sz w:val="24"/>
          <w:szCs w:val="24"/>
        </w:rPr>
        <w:t>)</w:t>
      </w:r>
      <w:r w:rsidRPr="001F1446">
        <w:rPr>
          <w:rFonts w:ascii="Times New Roman" w:hAnsi="Times New Roman"/>
          <w:sz w:val="24"/>
          <w:szCs w:val="24"/>
        </w:rPr>
        <w:t>.</w:t>
      </w:r>
      <w:r w:rsidR="006501AD" w:rsidRPr="001F1446">
        <w:rPr>
          <w:rFonts w:ascii="Times New Roman" w:hAnsi="Times New Roman"/>
          <w:sz w:val="24"/>
          <w:szCs w:val="24"/>
        </w:rPr>
        <w:t xml:space="preserve"> Enamel hypoplasia were recorded by type and location in each </w:t>
      </w:r>
      <w:r w:rsidR="00206B83" w:rsidRPr="001F1446">
        <w:rPr>
          <w:rFonts w:ascii="Times New Roman" w:hAnsi="Times New Roman"/>
          <w:sz w:val="24"/>
          <w:szCs w:val="24"/>
        </w:rPr>
        <w:t>tooth</w:t>
      </w:r>
      <w:r w:rsidR="006501AD" w:rsidRPr="001F1446">
        <w:rPr>
          <w:rFonts w:ascii="Times New Roman" w:hAnsi="Times New Roman"/>
          <w:sz w:val="24"/>
          <w:szCs w:val="24"/>
        </w:rPr>
        <w:t xml:space="preserve"> that was present following protocols of Buikstra and Ubelaker (1994).</w:t>
      </w:r>
    </w:p>
    <w:p w14:paraId="56395D67" w14:textId="77777777" w:rsidR="006501AD" w:rsidRPr="001F1446" w:rsidRDefault="006501AD" w:rsidP="001F1446">
      <w:pPr>
        <w:spacing w:after="0" w:line="360" w:lineRule="auto"/>
        <w:rPr>
          <w:rFonts w:ascii="Times New Roman" w:hAnsi="Times New Roman"/>
          <w:sz w:val="24"/>
          <w:szCs w:val="24"/>
        </w:rPr>
      </w:pPr>
    </w:p>
    <w:p w14:paraId="50946B81" w14:textId="71DA4224" w:rsidR="00D55B74" w:rsidRPr="001F1446" w:rsidRDefault="001C1F26" w:rsidP="001F1446">
      <w:pPr>
        <w:spacing w:after="0" w:line="360" w:lineRule="auto"/>
        <w:rPr>
          <w:rFonts w:ascii="Times New Roman" w:hAnsi="Times New Roman"/>
          <w:sz w:val="24"/>
          <w:szCs w:val="24"/>
        </w:rPr>
      </w:pPr>
      <w:r>
        <w:rPr>
          <w:rFonts w:ascii="Times New Roman" w:hAnsi="Times New Roman"/>
          <w:sz w:val="24"/>
          <w:szCs w:val="24"/>
        </w:rPr>
        <w:pict w14:anchorId="6170D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64.25pt">
            <v:imagedata r:id="rId8" o:title="Figure 1 new"/>
          </v:shape>
        </w:pict>
      </w:r>
    </w:p>
    <w:p w14:paraId="4E607103" w14:textId="054640B9" w:rsidR="005902FA" w:rsidRPr="00D44B70" w:rsidRDefault="005902FA" w:rsidP="001F1446">
      <w:pPr>
        <w:spacing w:after="0" w:line="360" w:lineRule="auto"/>
        <w:rPr>
          <w:rFonts w:ascii="Times New Roman" w:hAnsi="Times New Roman"/>
          <w:i/>
          <w:iCs/>
          <w:sz w:val="24"/>
          <w:szCs w:val="24"/>
        </w:rPr>
      </w:pPr>
      <w:r w:rsidRPr="00D44B70">
        <w:rPr>
          <w:rFonts w:ascii="Times New Roman" w:hAnsi="Times New Roman"/>
          <w:i/>
          <w:iCs/>
          <w:sz w:val="24"/>
          <w:szCs w:val="24"/>
        </w:rPr>
        <w:t xml:space="preserve">Figure </w:t>
      </w:r>
      <w:r w:rsidR="00D44B70" w:rsidRPr="00D44B70">
        <w:rPr>
          <w:rFonts w:ascii="Times New Roman" w:hAnsi="Times New Roman"/>
          <w:i/>
          <w:iCs/>
          <w:sz w:val="24"/>
          <w:szCs w:val="24"/>
        </w:rPr>
        <w:t>S</w:t>
      </w:r>
      <w:r w:rsidRPr="00D44B70">
        <w:rPr>
          <w:rFonts w:ascii="Times New Roman" w:hAnsi="Times New Roman"/>
          <w:i/>
          <w:iCs/>
          <w:sz w:val="24"/>
          <w:szCs w:val="24"/>
        </w:rPr>
        <w:fldChar w:fldCharType="begin"/>
      </w:r>
      <w:r w:rsidRPr="00D44B70">
        <w:rPr>
          <w:rFonts w:ascii="Times New Roman" w:hAnsi="Times New Roman"/>
          <w:i/>
          <w:iCs/>
          <w:sz w:val="24"/>
          <w:szCs w:val="24"/>
        </w:rPr>
        <w:instrText xml:space="preserve"> SEQ Table \* ARABIC </w:instrText>
      </w:r>
      <w:r w:rsidRPr="00D44B70">
        <w:rPr>
          <w:rFonts w:ascii="Times New Roman" w:hAnsi="Times New Roman"/>
          <w:i/>
          <w:iCs/>
          <w:sz w:val="24"/>
          <w:szCs w:val="24"/>
        </w:rPr>
        <w:fldChar w:fldCharType="separate"/>
      </w:r>
      <w:r w:rsidRPr="00D44B70">
        <w:rPr>
          <w:rFonts w:ascii="Times New Roman" w:hAnsi="Times New Roman"/>
          <w:i/>
          <w:iCs/>
          <w:noProof/>
          <w:sz w:val="24"/>
          <w:szCs w:val="24"/>
        </w:rPr>
        <w:t>1</w:t>
      </w:r>
      <w:r w:rsidRPr="00D44B70">
        <w:rPr>
          <w:rFonts w:ascii="Times New Roman" w:hAnsi="Times New Roman"/>
          <w:i/>
          <w:iCs/>
          <w:noProof/>
          <w:sz w:val="24"/>
          <w:szCs w:val="24"/>
        </w:rPr>
        <w:fldChar w:fldCharType="end"/>
      </w:r>
      <w:r w:rsidRPr="00D44B70">
        <w:rPr>
          <w:rFonts w:ascii="Times New Roman" w:hAnsi="Times New Roman"/>
          <w:i/>
          <w:iCs/>
          <w:sz w:val="24"/>
          <w:szCs w:val="24"/>
        </w:rPr>
        <w:t xml:space="preserve">. </w:t>
      </w:r>
      <w:r w:rsidR="00D55B74" w:rsidRPr="00D44B70">
        <w:rPr>
          <w:rFonts w:ascii="Times New Roman" w:hAnsi="Times New Roman"/>
          <w:i/>
          <w:iCs/>
          <w:sz w:val="24"/>
          <w:szCs w:val="24"/>
        </w:rPr>
        <w:t>Radiographs of urns</w:t>
      </w:r>
      <w:r w:rsidR="00200A72">
        <w:rPr>
          <w:rFonts w:ascii="Times New Roman" w:hAnsi="Times New Roman"/>
          <w:i/>
          <w:iCs/>
          <w:sz w:val="24"/>
          <w:szCs w:val="24"/>
        </w:rPr>
        <w:t xml:space="preserve"> (</w:t>
      </w:r>
      <w:r w:rsidR="009A7098">
        <w:rPr>
          <w:rFonts w:ascii="Times New Roman" w:hAnsi="Times New Roman"/>
          <w:i/>
          <w:iCs/>
          <w:sz w:val="24"/>
          <w:szCs w:val="24"/>
        </w:rPr>
        <w:t xml:space="preserve">X rays taken by </w:t>
      </w:r>
      <w:r w:rsidR="009A7098" w:rsidRPr="009A7098">
        <w:rPr>
          <w:rFonts w:ascii="Times New Roman" w:hAnsi="Times New Roman"/>
          <w:i/>
          <w:iCs/>
          <w:sz w:val="24"/>
          <w:szCs w:val="24"/>
        </w:rPr>
        <w:t xml:space="preserve">Abdelaziz </w:t>
      </w:r>
      <w:proofErr w:type="spellStart"/>
      <w:r w:rsidR="009A7098" w:rsidRPr="009A7098">
        <w:rPr>
          <w:rFonts w:ascii="Times New Roman" w:hAnsi="Times New Roman"/>
          <w:i/>
          <w:iCs/>
          <w:sz w:val="24"/>
          <w:szCs w:val="24"/>
        </w:rPr>
        <w:t>Guerfala</w:t>
      </w:r>
      <w:proofErr w:type="spellEnd"/>
      <w:r w:rsidR="009A7098">
        <w:rPr>
          <w:rFonts w:ascii="Times New Roman" w:hAnsi="Times New Roman"/>
          <w:i/>
          <w:iCs/>
          <w:sz w:val="24"/>
          <w:szCs w:val="24"/>
        </w:rPr>
        <w:t xml:space="preserve"> and </w:t>
      </w:r>
      <w:r w:rsidR="00200A72">
        <w:rPr>
          <w:rFonts w:ascii="Times New Roman" w:hAnsi="Times New Roman"/>
          <w:i/>
          <w:iCs/>
          <w:sz w:val="24"/>
          <w:szCs w:val="24"/>
        </w:rPr>
        <w:t>figure</w:t>
      </w:r>
      <w:r w:rsidR="009A7098">
        <w:rPr>
          <w:rFonts w:ascii="Times New Roman" w:hAnsi="Times New Roman"/>
          <w:i/>
          <w:iCs/>
          <w:sz w:val="24"/>
          <w:szCs w:val="24"/>
        </w:rPr>
        <w:t xml:space="preserve"> modified </w:t>
      </w:r>
      <w:r w:rsidR="00200A72">
        <w:rPr>
          <w:rFonts w:ascii="Times New Roman" w:hAnsi="Times New Roman"/>
          <w:i/>
          <w:iCs/>
          <w:sz w:val="24"/>
          <w:szCs w:val="24"/>
        </w:rPr>
        <w:t>by</w:t>
      </w:r>
      <w:r w:rsidR="009A7098">
        <w:rPr>
          <w:rFonts w:ascii="Times New Roman" w:hAnsi="Times New Roman"/>
          <w:i/>
          <w:iCs/>
          <w:sz w:val="24"/>
          <w:szCs w:val="24"/>
        </w:rPr>
        <w:t xml:space="preserve"> Jessica Cerezo-Román</w:t>
      </w:r>
      <w:r w:rsidR="00200A72">
        <w:rPr>
          <w:rFonts w:ascii="Times New Roman" w:hAnsi="Times New Roman"/>
          <w:i/>
          <w:iCs/>
          <w:sz w:val="24"/>
          <w:szCs w:val="24"/>
        </w:rPr>
        <w:t>).</w:t>
      </w:r>
    </w:p>
    <w:p w14:paraId="64DC6B03" w14:textId="77777777" w:rsidR="005902FA" w:rsidRPr="001F1446" w:rsidRDefault="005902FA" w:rsidP="001F1446">
      <w:pPr>
        <w:keepNext/>
        <w:spacing w:after="0" w:line="360" w:lineRule="auto"/>
        <w:rPr>
          <w:rFonts w:ascii="Times New Roman" w:hAnsi="Times New Roman"/>
          <w:i/>
          <w:iCs/>
          <w:color w:val="44546A" w:themeColor="text2"/>
          <w:sz w:val="24"/>
          <w:szCs w:val="24"/>
        </w:rPr>
      </w:pPr>
      <w:r w:rsidRPr="001F1446">
        <w:rPr>
          <w:rFonts w:ascii="Times New Roman" w:hAnsi="Times New Roman"/>
          <w:noProof/>
          <w:sz w:val="24"/>
          <w:szCs w:val="24"/>
          <w:lang w:eastAsia="en-US"/>
        </w:rPr>
        <w:lastRenderedPageBreak/>
        <w:drawing>
          <wp:inline distT="0" distB="0" distL="0" distR="0" wp14:anchorId="7761309E" wp14:editId="66930326">
            <wp:extent cx="5613991" cy="3757822"/>
            <wp:effectExtent l="0" t="0" r="6350" b="0"/>
            <wp:docPr id="4" name="Picture 4" descr="A picture containing rock, nature, cliff,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ock, nature, cliff, valle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0053" cy="3761880"/>
                    </a:xfrm>
                    <a:prstGeom prst="rect">
                      <a:avLst/>
                    </a:prstGeom>
                    <a:noFill/>
                    <a:ln>
                      <a:noFill/>
                    </a:ln>
                  </pic:spPr>
                </pic:pic>
              </a:graphicData>
            </a:graphic>
          </wp:inline>
        </w:drawing>
      </w:r>
    </w:p>
    <w:p w14:paraId="770233A5" w14:textId="601E2193" w:rsidR="005902FA" w:rsidRPr="00D44B70" w:rsidRDefault="005902FA" w:rsidP="001F1446">
      <w:pPr>
        <w:keepNext/>
        <w:spacing w:after="0" w:line="360" w:lineRule="auto"/>
        <w:rPr>
          <w:rFonts w:ascii="Times New Roman" w:hAnsi="Times New Roman"/>
          <w:i/>
          <w:iCs/>
          <w:sz w:val="24"/>
          <w:szCs w:val="24"/>
        </w:rPr>
      </w:pPr>
      <w:r w:rsidRPr="00D44B70">
        <w:rPr>
          <w:rFonts w:ascii="Times New Roman" w:hAnsi="Times New Roman"/>
          <w:i/>
          <w:iCs/>
          <w:sz w:val="24"/>
          <w:szCs w:val="24"/>
        </w:rPr>
        <w:t xml:space="preserve">Figure </w:t>
      </w:r>
      <w:r w:rsidR="00D44B70" w:rsidRPr="00D44B70">
        <w:rPr>
          <w:rFonts w:ascii="Times New Roman" w:hAnsi="Times New Roman"/>
          <w:i/>
          <w:iCs/>
          <w:sz w:val="24"/>
          <w:szCs w:val="24"/>
        </w:rPr>
        <w:t>S</w:t>
      </w:r>
      <w:r w:rsidRPr="00D44B70">
        <w:rPr>
          <w:rFonts w:ascii="Times New Roman" w:hAnsi="Times New Roman"/>
          <w:i/>
          <w:iCs/>
          <w:sz w:val="24"/>
          <w:szCs w:val="24"/>
        </w:rPr>
        <w:t xml:space="preserve">2. Urns with stelae at </w:t>
      </w:r>
      <w:r w:rsidR="002E3425">
        <w:rPr>
          <w:rFonts w:ascii="Times New Roman" w:hAnsi="Times New Roman"/>
          <w:i/>
          <w:iCs/>
          <w:sz w:val="24"/>
          <w:szCs w:val="24"/>
        </w:rPr>
        <w:t>Zitha</w:t>
      </w:r>
      <w:r w:rsidR="00E7614A" w:rsidRPr="00D44B70">
        <w:rPr>
          <w:rFonts w:ascii="Times New Roman" w:hAnsi="Times New Roman"/>
          <w:i/>
          <w:iCs/>
          <w:sz w:val="24"/>
          <w:szCs w:val="24"/>
        </w:rPr>
        <w:t xml:space="preserve"> (photo by Brett Kaufman)</w:t>
      </w:r>
      <w:r w:rsidR="00D44B70">
        <w:rPr>
          <w:rFonts w:ascii="Times New Roman" w:hAnsi="Times New Roman"/>
          <w:i/>
          <w:iCs/>
          <w:sz w:val="24"/>
          <w:szCs w:val="24"/>
        </w:rPr>
        <w:t>.</w:t>
      </w:r>
    </w:p>
    <w:p w14:paraId="2A842DD0" w14:textId="77777777" w:rsidR="005902FA" w:rsidRPr="001F1446" w:rsidRDefault="005902FA" w:rsidP="001F1446">
      <w:pPr>
        <w:keepNext/>
        <w:spacing w:after="0" w:line="360" w:lineRule="auto"/>
        <w:rPr>
          <w:rFonts w:ascii="Times New Roman" w:hAnsi="Times New Roman"/>
          <w:sz w:val="24"/>
          <w:szCs w:val="24"/>
        </w:rPr>
      </w:pPr>
      <w:r w:rsidRPr="001F1446">
        <w:rPr>
          <w:rFonts w:ascii="Times New Roman" w:hAnsi="Times New Roman"/>
          <w:noProof/>
          <w:sz w:val="24"/>
          <w:szCs w:val="24"/>
          <w:lang w:eastAsia="en-US"/>
        </w:rPr>
        <w:drawing>
          <wp:inline distT="0" distB="0" distL="0" distR="0" wp14:anchorId="30ECBC6C" wp14:editId="05053921">
            <wp:extent cx="4906577" cy="3284302"/>
            <wp:effectExtent l="0" t="0" r="8890" b="0"/>
            <wp:docPr id="3" name="Picture 3" descr="A picture containing ground, brick, building materia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brick, building material, build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0644" cy="3287025"/>
                    </a:xfrm>
                    <a:prstGeom prst="rect">
                      <a:avLst/>
                    </a:prstGeom>
                    <a:noFill/>
                    <a:ln>
                      <a:noFill/>
                    </a:ln>
                  </pic:spPr>
                </pic:pic>
              </a:graphicData>
            </a:graphic>
          </wp:inline>
        </w:drawing>
      </w:r>
    </w:p>
    <w:p w14:paraId="2BDE5B8E" w14:textId="2952F27E" w:rsidR="005902FA" w:rsidRPr="00C944C4" w:rsidRDefault="005902FA" w:rsidP="001F1446">
      <w:pPr>
        <w:keepNext/>
        <w:spacing w:after="0" w:line="360" w:lineRule="auto"/>
        <w:rPr>
          <w:rFonts w:ascii="Times New Roman" w:hAnsi="Times New Roman"/>
          <w:i/>
          <w:iCs/>
          <w:sz w:val="24"/>
          <w:szCs w:val="24"/>
        </w:rPr>
      </w:pPr>
      <w:r w:rsidRPr="00C944C4">
        <w:rPr>
          <w:rFonts w:ascii="Times New Roman" w:hAnsi="Times New Roman"/>
          <w:i/>
          <w:iCs/>
          <w:sz w:val="24"/>
          <w:szCs w:val="24"/>
        </w:rPr>
        <w:t xml:space="preserve">Figure </w:t>
      </w:r>
      <w:r w:rsidR="00200A72" w:rsidRPr="00C944C4">
        <w:rPr>
          <w:rFonts w:ascii="Times New Roman" w:hAnsi="Times New Roman"/>
          <w:i/>
          <w:iCs/>
          <w:sz w:val="24"/>
          <w:szCs w:val="24"/>
        </w:rPr>
        <w:t>S</w:t>
      </w:r>
      <w:r w:rsidRPr="00C944C4">
        <w:rPr>
          <w:rFonts w:ascii="Times New Roman" w:hAnsi="Times New Roman"/>
          <w:i/>
          <w:iCs/>
          <w:sz w:val="24"/>
          <w:szCs w:val="24"/>
        </w:rPr>
        <w:t>3. Carefully lined pit with broken pot sherds around an urn</w:t>
      </w:r>
      <w:r w:rsidR="00E7614A" w:rsidRPr="00C944C4">
        <w:rPr>
          <w:rFonts w:ascii="Times New Roman" w:hAnsi="Times New Roman"/>
          <w:i/>
          <w:iCs/>
          <w:sz w:val="24"/>
          <w:szCs w:val="24"/>
        </w:rPr>
        <w:t xml:space="preserve"> (photo by Brett Kaufman)</w:t>
      </w:r>
      <w:r w:rsidR="00E30701" w:rsidRPr="00C944C4">
        <w:rPr>
          <w:rFonts w:ascii="Times New Roman" w:hAnsi="Times New Roman"/>
          <w:i/>
          <w:iCs/>
          <w:sz w:val="24"/>
          <w:szCs w:val="24"/>
        </w:rPr>
        <w:t>.</w:t>
      </w:r>
    </w:p>
    <w:p w14:paraId="0C6B2C02" w14:textId="77777777" w:rsidR="005902FA" w:rsidRPr="001F1446" w:rsidRDefault="005902FA" w:rsidP="001F1446">
      <w:pPr>
        <w:keepNext/>
        <w:spacing w:after="0" w:line="360" w:lineRule="auto"/>
        <w:rPr>
          <w:rFonts w:ascii="Times New Roman" w:hAnsi="Times New Roman"/>
          <w:sz w:val="24"/>
          <w:szCs w:val="24"/>
        </w:rPr>
      </w:pPr>
      <w:r w:rsidRPr="001F1446">
        <w:rPr>
          <w:rFonts w:ascii="Times New Roman" w:hAnsi="Times New Roman"/>
          <w:sz w:val="24"/>
          <w:szCs w:val="24"/>
        </w:rPr>
        <w:lastRenderedPageBreak/>
        <w:t xml:space="preserve"> </w:t>
      </w:r>
      <w:r w:rsidRPr="001F1446">
        <w:rPr>
          <w:rFonts w:ascii="Times New Roman" w:hAnsi="Times New Roman"/>
          <w:noProof/>
          <w:sz w:val="24"/>
          <w:szCs w:val="24"/>
          <w:lang w:eastAsia="en-US"/>
        </w:rPr>
        <w:drawing>
          <wp:inline distT="0" distB="0" distL="0" distR="0" wp14:anchorId="346D5BD0" wp14:editId="62681693">
            <wp:extent cx="6181344" cy="4139020"/>
            <wp:effectExtent l="0" t="0" r="0" b="0"/>
            <wp:docPr id="5" name="Picture 5" descr="A picture containing text, wall, brick,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brick, building materi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5543" cy="4141832"/>
                    </a:xfrm>
                    <a:prstGeom prst="rect">
                      <a:avLst/>
                    </a:prstGeom>
                    <a:noFill/>
                    <a:ln>
                      <a:noFill/>
                    </a:ln>
                  </pic:spPr>
                </pic:pic>
              </a:graphicData>
            </a:graphic>
          </wp:inline>
        </w:drawing>
      </w:r>
    </w:p>
    <w:p w14:paraId="0683FEE7" w14:textId="45DAFA35" w:rsidR="005902FA" w:rsidRPr="00546A9D" w:rsidRDefault="005902FA" w:rsidP="001F1446">
      <w:pPr>
        <w:pStyle w:val="Caption"/>
        <w:spacing w:after="0" w:line="360" w:lineRule="auto"/>
        <w:rPr>
          <w:rFonts w:ascii="Times New Roman" w:hAnsi="Times New Roman"/>
          <w:color w:val="auto"/>
          <w:sz w:val="24"/>
          <w:szCs w:val="24"/>
        </w:rPr>
      </w:pPr>
      <w:r w:rsidRPr="00546A9D">
        <w:rPr>
          <w:rFonts w:ascii="Times New Roman" w:hAnsi="Times New Roman"/>
          <w:color w:val="auto"/>
          <w:sz w:val="24"/>
          <w:szCs w:val="24"/>
        </w:rPr>
        <w:t xml:space="preserve">Figure </w:t>
      </w:r>
      <w:r w:rsidR="00C944C4" w:rsidRPr="00546A9D">
        <w:rPr>
          <w:rFonts w:ascii="Times New Roman" w:hAnsi="Times New Roman"/>
          <w:color w:val="auto"/>
          <w:sz w:val="24"/>
          <w:szCs w:val="24"/>
        </w:rPr>
        <w:t>S</w:t>
      </w:r>
      <w:r w:rsidRPr="00546A9D">
        <w:rPr>
          <w:rFonts w:ascii="Times New Roman" w:hAnsi="Times New Roman"/>
          <w:color w:val="auto"/>
          <w:sz w:val="24"/>
          <w:szCs w:val="24"/>
        </w:rPr>
        <w:t>4. Carefully lined the pit with broken pot sherds around an urn</w:t>
      </w:r>
      <w:r w:rsidR="003F5C0F">
        <w:rPr>
          <w:rFonts w:ascii="Times New Roman" w:hAnsi="Times New Roman"/>
          <w:color w:val="auto"/>
          <w:sz w:val="24"/>
          <w:szCs w:val="24"/>
        </w:rPr>
        <w:t>;</w:t>
      </w:r>
      <w:r w:rsidRPr="00546A9D">
        <w:rPr>
          <w:rFonts w:ascii="Times New Roman" w:hAnsi="Times New Roman"/>
          <w:color w:val="auto"/>
          <w:sz w:val="24"/>
          <w:szCs w:val="24"/>
        </w:rPr>
        <w:t xml:space="preserve"> superior view</w:t>
      </w:r>
      <w:r w:rsidR="00E7614A" w:rsidRPr="00546A9D">
        <w:rPr>
          <w:rFonts w:ascii="Times New Roman" w:hAnsi="Times New Roman"/>
          <w:color w:val="auto"/>
          <w:sz w:val="24"/>
          <w:szCs w:val="24"/>
        </w:rPr>
        <w:t xml:space="preserve"> (photo by Brett Kaufman)</w:t>
      </w:r>
      <w:r w:rsidR="00E30701" w:rsidRPr="00546A9D">
        <w:rPr>
          <w:rFonts w:ascii="Times New Roman" w:hAnsi="Times New Roman"/>
          <w:color w:val="auto"/>
          <w:sz w:val="24"/>
          <w:szCs w:val="24"/>
        </w:rPr>
        <w:t>.</w:t>
      </w:r>
    </w:p>
    <w:p w14:paraId="10D6A3E9" w14:textId="03102198" w:rsidR="00E30701" w:rsidRPr="001F1446" w:rsidRDefault="00E30701" w:rsidP="001F1446">
      <w:pPr>
        <w:spacing w:after="0" w:line="360" w:lineRule="auto"/>
        <w:rPr>
          <w:rFonts w:ascii="Times New Roman" w:hAnsi="Times New Roman"/>
          <w:sz w:val="24"/>
          <w:szCs w:val="24"/>
        </w:rPr>
      </w:pPr>
    </w:p>
    <w:p w14:paraId="1CE570E1" w14:textId="2928251C" w:rsidR="004227F2" w:rsidRPr="001F1446" w:rsidRDefault="004227F2" w:rsidP="001F1446">
      <w:pPr>
        <w:spacing w:after="0" w:line="360" w:lineRule="auto"/>
        <w:rPr>
          <w:rFonts w:ascii="Times New Roman" w:hAnsi="Times New Roman"/>
          <w:sz w:val="24"/>
          <w:szCs w:val="24"/>
        </w:rPr>
      </w:pPr>
    </w:p>
    <w:p w14:paraId="04246497" w14:textId="033397ED" w:rsidR="004227F2" w:rsidRPr="001F1446" w:rsidRDefault="004227F2" w:rsidP="001F1446">
      <w:pPr>
        <w:spacing w:after="0" w:line="360" w:lineRule="auto"/>
        <w:rPr>
          <w:rFonts w:ascii="Times New Roman" w:hAnsi="Times New Roman"/>
          <w:sz w:val="24"/>
          <w:szCs w:val="24"/>
        </w:rPr>
      </w:pPr>
    </w:p>
    <w:p w14:paraId="6D5812DF" w14:textId="66D8E28F" w:rsidR="004227F2" w:rsidRPr="001F1446" w:rsidRDefault="004227F2" w:rsidP="001F1446">
      <w:pPr>
        <w:spacing w:after="0" w:line="360" w:lineRule="auto"/>
        <w:rPr>
          <w:rFonts w:ascii="Times New Roman" w:hAnsi="Times New Roman"/>
          <w:sz w:val="24"/>
          <w:szCs w:val="24"/>
        </w:rPr>
      </w:pPr>
    </w:p>
    <w:p w14:paraId="297867EF" w14:textId="0B380974" w:rsidR="004227F2" w:rsidRPr="001F1446" w:rsidRDefault="004227F2" w:rsidP="001F1446">
      <w:pPr>
        <w:spacing w:after="0" w:line="360" w:lineRule="auto"/>
        <w:rPr>
          <w:rFonts w:ascii="Times New Roman" w:hAnsi="Times New Roman"/>
          <w:sz w:val="24"/>
          <w:szCs w:val="24"/>
        </w:rPr>
      </w:pPr>
    </w:p>
    <w:p w14:paraId="7FCF6182" w14:textId="51DCA52C" w:rsidR="004227F2" w:rsidRPr="001F1446" w:rsidRDefault="004227F2" w:rsidP="001F1446">
      <w:pPr>
        <w:spacing w:after="0" w:line="360" w:lineRule="auto"/>
        <w:rPr>
          <w:rFonts w:ascii="Times New Roman" w:hAnsi="Times New Roman"/>
          <w:sz w:val="24"/>
          <w:szCs w:val="24"/>
        </w:rPr>
      </w:pPr>
    </w:p>
    <w:p w14:paraId="18B96706" w14:textId="1BB20316" w:rsidR="004227F2" w:rsidRPr="001F1446" w:rsidRDefault="004227F2" w:rsidP="001F1446">
      <w:pPr>
        <w:spacing w:after="0" w:line="360" w:lineRule="auto"/>
        <w:rPr>
          <w:rFonts w:ascii="Times New Roman" w:hAnsi="Times New Roman"/>
          <w:sz w:val="24"/>
          <w:szCs w:val="24"/>
        </w:rPr>
      </w:pPr>
    </w:p>
    <w:p w14:paraId="172D156C" w14:textId="379B8D14" w:rsidR="004227F2" w:rsidRPr="001F1446" w:rsidRDefault="004227F2" w:rsidP="001F1446">
      <w:pPr>
        <w:spacing w:after="0" w:line="360" w:lineRule="auto"/>
        <w:rPr>
          <w:rFonts w:ascii="Times New Roman" w:hAnsi="Times New Roman"/>
          <w:sz w:val="24"/>
          <w:szCs w:val="24"/>
        </w:rPr>
      </w:pPr>
    </w:p>
    <w:p w14:paraId="657FFE9F" w14:textId="7A58091A" w:rsidR="004227F2" w:rsidRPr="001F1446" w:rsidRDefault="004227F2" w:rsidP="001F1446">
      <w:pPr>
        <w:spacing w:after="0" w:line="360" w:lineRule="auto"/>
        <w:rPr>
          <w:rFonts w:ascii="Times New Roman" w:hAnsi="Times New Roman"/>
          <w:sz w:val="24"/>
          <w:szCs w:val="24"/>
        </w:rPr>
      </w:pPr>
    </w:p>
    <w:p w14:paraId="1E622781" w14:textId="77777777" w:rsidR="004227F2" w:rsidRPr="001F1446" w:rsidRDefault="004227F2" w:rsidP="001F1446">
      <w:pPr>
        <w:spacing w:after="0" w:line="360" w:lineRule="auto"/>
        <w:rPr>
          <w:rFonts w:ascii="Times New Roman" w:hAnsi="Times New Roman"/>
          <w:sz w:val="24"/>
          <w:szCs w:val="24"/>
        </w:rPr>
      </w:pPr>
    </w:p>
    <w:p w14:paraId="3EFD09A9" w14:textId="77777777" w:rsidR="004227F2" w:rsidRPr="001F1446" w:rsidRDefault="004227F2" w:rsidP="001F1446">
      <w:pPr>
        <w:pStyle w:val="Caption"/>
        <w:keepNext/>
        <w:spacing w:after="0" w:line="360" w:lineRule="auto"/>
        <w:rPr>
          <w:rFonts w:ascii="Times New Roman" w:hAnsi="Times New Roman"/>
          <w:color w:val="auto"/>
          <w:sz w:val="24"/>
          <w:szCs w:val="24"/>
        </w:rPr>
        <w:sectPr w:rsidR="004227F2" w:rsidRPr="001F1446" w:rsidSect="00FE3777">
          <w:pgSz w:w="12240" w:h="15840"/>
          <w:pgMar w:top="1440" w:right="1440" w:bottom="1440" w:left="1440" w:header="720" w:footer="720" w:gutter="0"/>
          <w:cols w:space="720"/>
          <w:docGrid w:linePitch="360"/>
        </w:sectPr>
      </w:pPr>
    </w:p>
    <w:p w14:paraId="155AD9C5" w14:textId="687E2B89" w:rsidR="005902FA" w:rsidRPr="001F1446" w:rsidRDefault="005902FA" w:rsidP="001F1446">
      <w:pPr>
        <w:pStyle w:val="Caption"/>
        <w:keepNext/>
        <w:spacing w:after="0" w:line="360" w:lineRule="auto"/>
        <w:rPr>
          <w:rFonts w:ascii="Times New Roman" w:hAnsi="Times New Roman"/>
          <w:b/>
          <w:bCs/>
          <w:i w:val="0"/>
          <w:iCs w:val="0"/>
          <w:color w:val="auto"/>
          <w:sz w:val="24"/>
          <w:szCs w:val="24"/>
        </w:rPr>
      </w:pPr>
      <w:r w:rsidRPr="001F1446">
        <w:rPr>
          <w:rFonts w:ascii="Times New Roman" w:hAnsi="Times New Roman"/>
          <w:b/>
          <w:bCs/>
          <w:i w:val="0"/>
          <w:iCs w:val="0"/>
          <w:color w:val="auto"/>
          <w:sz w:val="24"/>
          <w:szCs w:val="24"/>
        </w:rPr>
        <w:lastRenderedPageBreak/>
        <w:t xml:space="preserve">Table </w:t>
      </w:r>
      <w:r w:rsidR="001F1446" w:rsidRPr="001F1446">
        <w:rPr>
          <w:rFonts w:ascii="Times New Roman" w:hAnsi="Times New Roman"/>
          <w:b/>
          <w:bCs/>
          <w:i w:val="0"/>
          <w:iCs w:val="0"/>
          <w:color w:val="auto"/>
          <w:sz w:val="24"/>
          <w:szCs w:val="24"/>
        </w:rPr>
        <w:t>S</w:t>
      </w:r>
      <w:r w:rsidRPr="001F1446">
        <w:rPr>
          <w:rFonts w:ascii="Times New Roman" w:hAnsi="Times New Roman"/>
          <w:b/>
          <w:bCs/>
          <w:i w:val="0"/>
          <w:iCs w:val="0"/>
          <w:color w:val="auto"/>
          <w:sz w:val="24"/>
          <w:szCs w:val="24"/>
        </w:rPr>
        <w:fldChar w:fldCharType="begin"/>
      </w:r>
      <w:r w:rsidRPr="001F1446">
        <w:rPr>
          <w:rFonts w:ascii="Times New Roman" w:hAnsi="Times New Roman"/>
          <w:b/>
          <w:bCs/>
          <w:i w:val="0"/>
          <w:iCs w:val="0"/>
          <w:color w:val="auto"/>
          <w:sz w:val="24"/>
          <w:szCs w:val="24"/>
        </w:rPr>
        <w:instrText xml:space="preserve"> SEQ Table \* ARABIC </w:instrText>
      </w:r>
      <w:r w:rsidRPr="001F1446">
        <w:rPr>
          <w:rFonts w:ascii="Times New Roman" w:hAnsi="Times New Roman"/>
          <w:b/>
          <w:bCs/>
          <w:i w:val="0"/>
          <w:iCs w:val="0"/>
          <w:color w:val="auto"/>
          <w:sz w:val="24"/>
          <w:szCs w:val="24"/>
        </w:rPr>
        <w:fldChar w:fldCharType="separate"/>
      </w:r>
      <w:r w:rsidRPr="001F1446">
        <w:rPr>
          <w:rFonts w:ascii="Times New Roman" w:hAnsi="Times New Roman"/>
          <w:b/>
          <w:bCs/>
          <w:i w:val="0"/>
          <w:iCs w:val="0"/>
          <w:noProof/>
          <w:color w:val="auto"/>
          <w:sz w:val="24"/>
          <w:szCs w:val="24"/>
        </w:rPr>
        <w:t>1</w:t>
      </w:r>
      <w:r w:rsidRPr="001F1446">
        <w:rPr>
          <w:rFonts w:ascii="Times New Roman" w:hAnsi="Times New Roman"/>
          <w:b/>
          <w:bCs/>
          <w:i w:val="0"/>
          <w:iCs w:val="0"/>
          <w:noProof/>
          <w:color w:val="auto"/>
          <w:sz w:val="24"/>
          <w:szCs w:val="24"/>
        </w:rPr>
        <w:fldChar w:fldCharType="end"/>
      </w:r>
      <w:r w:rsidRPr="001F1446">
        <w:rPr>
          <w:rFonts w:ascii="Times New Roman" w:hAnsi="Times New Roman"/>
          <w:b/>
          <w:bCs/>
          <w:i w:val="0"/>
          <w:iCs w:val="0"/>
          <w:color w:val="auto"/>
          <w:sz w:val="24"/>
          <w:szCs w:val="24"/>
        </w:rPr>
        <w:t xml:space="preserve">. </w:t>
      </w:r>
      <w:r w:rsidR="001F1446" w:rsidRPr="001F1446">
        <w:rPr>
          <w:rFonts w:ascii="Times New Roman" w:hAnsi="Times New Roman"/>
          <w:b/>
          <w:bCs/>
          <w:i w:val="0"/>
          <w:iCs w:val="0"/>
          <w:color w:val="auto"/>
          <w:sz w:val="24"/>
          <w:szCs w:val="24"/>
        </w:rPr>
        <w:t>Detailed o</w:t>
      </w:r>
      <w:r w:rsidRPr="001F1446">
        <w:rPr>
          <w:rFonts w:ascii="Times New Roman" w:hAnsi="Times New Roman"/>
          <w:b/>
          <w:bCs/>
          <w:i w:val="0"/>
          <w:iCs w:val="0"/>
          <w:color w:val="auto"/>
          <w:sz w:val="24"/>
          <w:szCs w:val="24"/>
        </w:rPr>
        <w:t xml:space="preserve">steological analysis </w:t>
      </w:r>
      <w:r w:rsidR="001F1446" w:rsidRPr="001F1446">
        <w:rPr>
          <w:rFonts w:ascii="Times New Roman" w:hAnsi="Times New Roman"/>
          <w:b/>
          <w:bCs/>
          <w:i w:val="0"/>
          <w:iCs w:val="0"/>
          <w:color w:val="auto"/>
          <w:sz w:val="24"/>
          <w:szCs w:val="24"/>
        </w:rPr>
        <w:t>of remains.</w:t>
      </w:r>
    </w:p>
    <w:tbl>
      <w:tblPr>
        <w:tblStyle w:val="TableGrid"/>
        <w:tblW w:w="5000" w:type="pct"/>
        <w:tblLook w:val="04A0" w:firstRow="1" w:lastRow="0" w:firstColumn="1" w:lastColumn="0" w:noHBand="0" w:noVBand="1"/>
      </w:tblPr>
      <w:tblGrid>
        <w:gridCol w:w="2362"/>
        <w:gridCol w:w="10588"/>
      </w:tblGrid>
      <w:tr w:rsidR="005902FA" w:rsidRPr="001F1446" w14:paraId="207C09C8" w14:textId="77777777" w:rsidTr="004227F2">
        <w:tc>
          <w:tcPr>
            <w:tcW w:w="912" w:type="pct"/>
          </w:tcPr>
          <w:p w14:paraId="59610FEA"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t>Results</w:t>
            </w:r>
          </w:p>
        </w:tc>
        <w:tc>
          <w:tcPr>
            <w:tcW w:w="4088" w:type="pct"/>
          </w:tcPr>
          <w:p w14:paraId="7BAC6A6E"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Osteological observations</w:t>
            </w:r>
          </w:p>
        </w:tc>
      </w:tr>
      <w:tr w:rsidR="005902FA" w:rsidRPr="001F1446" w14:paraId="309FD81A" w14:textId="77777777" w:rsidTr="004227F2">
        <w:tc>
          <w:tcPr>
            <w:tcW w:w="912" w:type="pct"/>
          </w:tcPr>
          <w:p w14:paraId="518FEF09"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t xml:space="preserve">Individual: </w:t>
            </w:r>
          </w:p>
          <w:p w14:paraId="19D1FAA6"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t>L 1023</w:t>
            </w:r>
          </w:p>
          <w:p w14:paraId="278965A2"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Dates: </w:t>
            </w:r>
          </w:p>
          <w:p w14:paraId="5D0CBB96" w14:textId="41FE3D5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sz w:val="24"/>
                <w:szCs w:val="24"/>
              </w:rPr>
              <w:t>50</w:t>
            </w:r>
            <w:r w:rsidR="00312E70">
              <w:rPr>
                <w:rFonts w:ascii="Times New Roman" w:hAnsi="Times New Roman"/>
                <w:sz w:val="24"/>
                <w:szCs w:val="24"/>
              </w:rPr>
              <w:t>–</w:t>
            </w:r>
            <w:r w:rsidRPr="001F1446">
              <w:rPr>
                <w:rFonts w:ascii="Times New Roman" w:hAnsi="Times New Roman"/>
                <w:sz w:val="24"/>
                <w:szCs w:val="24"/>
              </w:rPr>
              <w:t>25 BC</w:t>
            </w:r>
          </w:p>
        </w:tc>
        <w:tc>
          <w:tcPr>
            <w:tcW w:w="4088" w:type="pct"/>
          </w:tcPr>
          <w:p w14:paraId="4C854B20" w14:textId="77777777" w:rsidR="005902FA" w:rsidRPr="001F1446" w:rsidRDefault="005902FA" w:rsidP="001F1446">
            <w:pPr>
              <w:tabs>
                <w:tab w:val="left" w:pos="1620"/>
              </w:tabs>
              <w:spacing w:after="0" w:line="360" w:lineRule="auto"/>
              <w:rPr>
                <w:rFonts w:ascii="Times New Roman" w:eastAsia="Times New Roman" w:hAnsi="Times New Roman"/>
                <w:sz w:val="24"/>
                <w:szCs w:val="24"/>
              </w:rPr>
            </w:pPr>
            <w:r w:rsidRPr="001F1446">
              <w:rPr>
                <w:rFonts w:ascii="Times New Roman" w:eastAsia="Times New Roman" w:hAnsi="Times New Roman"/>
                <w:sz w:val="24"/>
                <w:szCs w:val="24"/>
              </w:rPr>
              <w:t>The cranium is represented by the frontal, parietal, occipital, temporal, and maxillae. The axial part of the body is represented by fragments of three cervical vertebrae, four thoracic vertebrae, one lumbar vertebra, six right ribs, and eight left ribs. The appendicular part of the body is represented by one left clavicle, one midshaft fragment of the right humerus, fragments of the right radius, fragments of the left ulna, fragments of the right and left femurs, and fragments of the right tibia.</w:t>
            </w:r>
          </w:p>
        </w:tc>
      </w:tr>
      <w:tr w:rsidR="005902FA" w:rsidRPr="001F1446" w14:paraId="547EE4F7" w14:textId="77777777" w:rsidTr="004227F2">
        <w:tc>
          <w:tcPr>
            <w:tcW w:w="912" w:type="pct"/>
          </w:tcPr>
          <w:p w14:paraId="7F32303D" w14:textId="69C14D80"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Age: ≥ Newborn (NB) ± 2 months (omnibus skeletal age)</w:t>
            </w:r>
          </w:p>
          <w:p w14:paraId="43718959"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88" w:type="pct"/>
            <w:vAlign w:val="center"/>
          </w:tcPr>
          <w:p w14:paraId="75AEF877"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neural arches to the centrum of the cervical are unfused. Dental development and eruption were also used to estimate the age-at-death of the remains.</w:t>
            </w:r>
          </w:p>
        </w:tc>
      </w:tr>
      <w:tr w:rsidR="005902FA" w:rsidRPr="001F1446" w14:paraId="14755F08" w14:textId="77777777" w:rsidTr="004227F2">
        <w:tc>
          <w:tcPr>
            <w:tcW w:w="912" w:type="pct"/>
          </w:tcPr>
          <w:p w14:paraId="2322BBC3"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Dentition: present</w:t>
            </w:r>
          </w:p>
          <w:p w14:paraId="0689EE20"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88" w:type="pct"/>
            <w:vAlign w:val="center"/>
          </w:tcPr>
          <w:p w14:paraId="748103A2"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observable deciduous dentition was the first mandibular incisor (#66) with the crown partially developed (stage five), as well as the right mandibular canine (#68) with a crown partially developed.</w:t>
            </w:r>
          </w:p>
        </w:tc>
      </w:tr>
      <w:tr w:rsidR="005902FA" w:rsidRPr="001F1446" w14:paraId="7BEE69AA" w14:textId="77777777" w:rsidTr="004227F2">
        <w:tc>
          <w:tcPr>
            <w:tcW w:w="912" w:type="pct"/>
          </w:tcPr>
          <w:p w14:paraId="75CB6F13"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088" w:type="pct"/>
            <w:vAlign w:val="center"/>
          </w:tcPr>
          <w:p w14:paraId="18711C73" w14:textId="394CC4FF"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Porotic hyperostosis, active periosteal reaction (porosity and woven bone formation) on </w:t>
            </w:r>
            <w:r w:rsidR="006D4D31" w:rsidRPr="001F1446">
              <w:rPr>
                <w:rFonts w:ascii="Times New Roman" w:hAnsi="Times New Roman"/>
                <w:sz w:val="24"/>
                <w:szCs w:val="24"/>
              </w:rPr>
              <w:t xml:space="preserve">the </w:t>
            </w:r>
            <w:r w:rsidRPr="001F1446">
              <w:rPr>
                <w:rFonts w:ascii="Times New Roman" w:hAnsi="Times New Roman"/>
                <w:sz w:val="24"/>
                <w:szCs w:val="24"/>
              </w:rPr>
              <w:t>cranial vault</w:t>
            </w:r>
          </w:p>
          <w:p w14:paraId="465D14A9" w14:textId="19AC53A6"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Active periosteal reaction on </w:t>
            </w:r>
            <w:r w:rsidR="00B9193A" w:rsidRPr="001F1446">
              <w:rPr>
                <w:rFonts w:ascii="Times New Roman" w:hAnsi="Times New Roman"/>
                <w:sz w:val="24"/>
                <w:szCs w:val="24"/>
              </w:rPr>
              <w:t>two</w:t>
            </w:r>
            <w:r w:rsidRPr="001F1446">
              <w:rPr>
                <w:rFonts w:ascii="Times New Roman" w:hAnsi="Times New Roman"/>
                <w:sz w:val="24"/>
                <w:szCs w:val="24"/>
              </w:rPr>
              <w:t xml:space="preserve"> vertebral arches, on 36 long bones shaft fragments, and 11 unidentified bone fragments.</w:t>
            </w:r>
          </w:p>
        </w:tc>
      </w:tr>
      <w:tr w:rsidR="005902FA" w:rsidRPr="001F1446" w14:paraId="61A78D29" w14:textId="77777777" w:rsidTr="004227F2">
        <w:tc>
          <w:tcPr>
            <w:tcW w:w="912" w:type="pct"/>
          </w:tcPr>
          <w:p w14:paraId="04588989"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Thermal alterations: present</w:t>
            </w:r>
          </w:p>
        </w:tc>
        <w:tc>
          <w:tcPr>
            <w:tcW w:w="4088" w:type="pct"/>
            <w:vAlign w:val="center"/>
          </w:tcPr>
          <w:p w14:paraId="53A0FA1A" w14:textId="62B58494"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eastAsia="Times New Roman" w:hAnsi="Times New Roman"/>
                <w:sz w:val="24"/>
                <w:szCs w:val="24"/>
              </w:rPr>
              <w:t>The bones weigh 16.6 grams</w:t>
            </w:r>
            <w:r w:rsidR="00E7614A" w:rsidRPr="001F1446">
              <w:rPr>
                <w:rFonts w:ascii="Times New Roman" w:eastAsia="Times New Roman" w:hAnsi="Times New Roman"/>
                <w:sz w:val="24"/>
                <w:szCs w:val="24"/>
              </w:rPr>
              <w:t>;</w:t>
            </w:r>
            <w:r w:rsidRPr="001F1446">
              <w:rPr>
                <w:rFonts w:ascii="Times New Roman" w:eastAsia="Times New Roman" w:hAnsi="Times New Roman"/>
                <w:sz w:val="24"/>
                <w:szCs w:val="24"/>
              </w:rPr>
              <w:t xml:space="preserve"> most of the remains are black, the secondary </w:t>
            </w:r>
            <w:proofErr w:type="spellStart"/>
            <w:r w:rsidR="003F5C0F">
              <w:rPr>
                <w:rFonts w:ascii="Times New Roman" w:eastAsia="Times New Roman" w:hAnsi="Times New Roman"/>
                <w:sz w:val="24"/>
                <w:szCs w:val="24"/>
              </w:rPr>
              <w:t>colour</w:t>
            </w:r>
            <w:proofErr w:type="spellEnd"/>
            <w:r w:rsidRPr="001F1446">
              <w:rPr>
                <w:rFonts w:ascii="Times New Roman" w:eastAsia="Times New Roman" w:hAnsi="Times New Roman"/>
                <w:sz w:val="24"/>
                <w:szCs w:val="24"/>
              </w:rPr>
              <w:t xml:space="preserve"> is </w:t>
            </w:r>
            <w:r w:rsidR="003F5C0F">
              <w:rPr>
                <w:rFonts w:ascii="Times New Roman" w:eastAsia="Times New Roman" w:hAnsi="Times New Roman"/>
                <w:sz w:val="24"/>
                <w:szCs w:val="24"/>
              </w:rPr>
              <w:t>grey</w:t>
            </w:r>
            <w:r w:rsidRPr="001F1446">
              <w:rPr>
                <w:rFonts w:ascii="Times New Roman" w:eastAsia="Times New Roman" w:hAnsi="Times New Roman"/>
                <w:sz w:val="24"/>
                <w:szCs w:val="24"/>
              </w:rPr>
              <w:t>, and only a few areas are unburned. The bones also have horizontal and vertical cracks and are heavily fragmented.</w:t>
            </w:r>
          </w:p>
        </w:tc>
      </w:tr>
      <w:tr w:rsidR="005902FA" w:rsidRPr="001F1446" w14:paraId="6B618583" w14:textId="77777777" w:rsidTr="004227F2">
        <w:tc>
          <w:tcPr>
            <w:tcW w:w="912" w:type="pct"/>
          </w:tcPr>
          <w:p w14:paraId="73DF564D"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t>Individual: L 1025</w:t>
            </w:r>
          </w:p>
          <w:p w14:paraId="59FEC434"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Dates: </w:t>
            </w:r>
          </w:p>
          <w:p w14:paraId="1DB9DF07" w14:textId="422C81F5"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sz w:val="24"/>
                <w:szCs w:val="24"/>
              </w:rPr>
              <w:t>50</w:t>
            </w:r>
            <w:r w:rsidR="001F65A6">
              <w:rPr>
                <w:rFonts w:ascii="Times New Roman" w:hAnsi="Times New Roman"/>
                <w:sz w:val="24"/>
                <w:szCs w:val="24"/>
              </w:rPr>
              <w:t>–</w:t>
            </w:r>
            <w:r w:rsidRPr="001F1446">
              <w:rPr>
                <w:rFonts w:ascii="Times New Roman" w:hAnsi="Times New Roman"/>
                <w:sz w:val="24"/>
                <w:szCs w:val="24"/>
              </w:rPr>
              <w:t>25 BC</w:t>
            </w:r>
          </w:p>
        </w:tc>
        <w:tc>
          <w:tcPr>
            <w:tcW w:w="4088" w:type="pct"/>
          </w:tcPr>
          <w:p w14:paraId="7EADC4BD" w14:textId="27A67842"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cranial area is represented by the frontal, occipital, temporals, mandible, zygomatic, maxillae, nasals, </w:t>
            </w:r>
            <w:proofErr w:type="spellStart"/>
            <w:r w:rsidRPr="001F1446">
              <w:rPr>
                <w:rFonts w:ascii="Times New Roman" w:hAnsi="Times New Roman"/>
                <w:sz w:val="24"/>
                <w:szCs w:val="24"/>
              </w:rPr>
              <w:t>lacrimals</w:t>
            </w:r>
            <w:proofErr w:type="spellEnd"/>
            <w:r w:rsidRPr="001F1446">
              <w:rPr>
                <w:rFonts w:ascii="Times New Roman" w:hAnsi="Times New Roman"/>
                <w:sz w:val="24"/>
                <w:szCs w:val="24"/>
              </w:rPr>
              <w:t>, inferior nasal concha</w:t>
            </w:r>
            <w:r w:rsidR="00C17952">
              <w:rPr>
                <w:rFonts w:ascii="Times New Roman" w:hAnsi="Times New Roman"/>
                <w:sz w:val="24"/>
                <w:szCs w:val="24"/>
              </w:rPr>
              <w:t>e</w:t>
            </w:r>
            <w:r w:rsidRPr="001F1446">
              <w:rPr>
                <w:rFonts w:ascii="Times New Roman" w:hAnsi="Times New Roman"/>
                <w:sz w:val="24"/>
                <w:szCs w:val="24"/>
              </w:rPr>
              <w:t xml:space="preserve">, palatines, and sphenoid. The axial part of the body is represented by skeletal elements in a fragmentary state of preservation. The bones that are present are the first cervical vertebra, the second cervical, four cervical vertebrae, the seventh cervical, and four thoracic vertebrae. </w:t>
            </w:r>
            <w:r w:rsidRPr="001F1446">
              <w:rPr>
                <w:rFonts w:ascii="Times New Roman" w:hAnsi="Times New Roman"/>
                <w:sz w:val="24"/>
                <w:szCs w:val="24"/>
              </w:rPr>
              <w:lastRenderedPageBreak/>
              <w:t>There are three left ribs and four right ribs identified. The appendicular area of the body is represented by several elements in a fragmentary state of preservation. These elements are the humeri, radii, ulnae, femora, tibias, and unsided fibula, along with the scapula</w:t>
            </w:r>
            <w:r w:rsidR="00C17952">
              <w:rPr>
                <w:rFonts w:ascii="Times New Roman" w:hAnsi="Times New Roman"/>
                <w:sz w:val="24"/>
                <w:szCs w:val="24"/>
              </w:rPr>
              <w:t>e</w:t>
            </w:r>
            <w:r w:rsidRPr="001F1446">
              <w:rPr>
                <w:rFonts w:ascii="Times New Roman" w:hAnsi="Times New Roman"/>
                <w:sz w:val="24"/>
                <w:szCs w:val="24"/>
              </w:rPr>
              <w:t xml:space="preserve"> and right clavicle. There are three metacarpals found that are fragmentary, two proximal phalanges found in partial condition, and one mid-phalange found in complete condition. The right talus is found in </w:t>
            </w:r>
            <w:r w:rsidR="00B9193A" w:rsidRPr="001F1446">
              <w:rPr>
                <w:rFonts w:ascii="Times New Roman" w:hAnsi="Times New Roman"/>
                <w:sz w:val="24"/>
                <w:szCs w:val="24"/>
              </w:rPr>
              <w:t xml:space="preserve">a </w:t>
            </w:r>
            <w:r w:rsidRPr="001F1446">
              <w:rPr>
                <w:rFonts w:ascii="Times New Roman" w:hAnsi="Times New Roman"/>
                <w:sz w:val="24"/>
                <w:szCs w:val="24"/>
              </w:rPr>
              <w:t>partial condition. There are two identified metatarsals found in partial condition, as well as one mid-phalange found in partial condition</w:t>
            </w:r>
            <w:r w:rsidR="003F5C0F">
              <w:rPr>
                <w:rFonts w:ascii="Times New Roman" w:hAnsi="Times New Roman"/>
                <w:sz w:val="24"/>
                <w:szCs w:val="24"/>
              </w:rPr>
              <w:t>.</w:t>
            </w:r>
            <w:r w:rsidRPr="001F1446">
              <w:rPr>
                <w:rFonts w:ascii="Times New Roman" w:hAnsi="Times New Roman"/>
                <w:sz w:val="24"/>
                <w:szCs w:val="24"/>
              </w:rPr>
              <w:t xml:space="preserve"> </w:t>
            </w:r>
          </w:p>
        </w:tc>
      </w:tr>
      <w:tr w:rsidR="005902FA" w:rsidRPr="001F1446" w14:paraId="57842C07" w14:textId="77777777" w:rsidTr="004227F2">
        <w:tc>
          <w:tcPr>
            <w:tcW w:w="912" w:type="pct"/>
          </w:tcPr>
          <w:p w14:paraId="174BE05D" w14:textId="6A6EDCCD"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Age: 4.5 months ± 3 months (omnibus skeletal age)</w:t>
            </w:r>
          </w:p>
        </w:tc>
        <w:tc>
          <w:tcPr>
            <w:tcW w:w="4088" w:type="pct"/>
            <w:vAlign w:val="center"/>
          </w:tcPr>
          <w:p w14:paraId="54EB074E" w14:textId="0AFD895D" w:rsidR="005902FA" w:rsidRPr="001F1446" w:rsidRDefault="005902FA" w:rsidP="001F1446">
            <w:pPr>
              <w:tabs>
                <w:tab w:val="left" w:pos="1620"/>
              </w:tabs>
              <w:spacing w:after="0" w:line="360" w:lineRule="auto"/>
              <w:rPr>
                <w:rFonts w:ascii="Times New Roman" w:eastAsia="Times New Roman" w:hAnsi="Times New Roman"/>
                <w:bCs/>
                <w:sz w:val="24"/>
                <w:szCs w:val="24"/>
              </w:rPr>
            </w:pPr>
            <w:r w:rsidRPr="001F1446">
              <w:rPr>
                <w:rFonts w:ascii="Times New Roman" w:hAnsi="Times New Roman"/>
                <w:sz w:val="24"/>
                <w:szCs w:val="24"/>
              </w:rPr>
              <w:t xml:space="preserve">The features that were present for age estimation are the right proximal epiphysis of the radius, which showed open union, as well as the left proximal epiphysis of the ulna showing an open union. Also, the right distal epiphysis of the femur is unfused. Both the left and right distal epiphyses of the tibias are unfused. The neural arches of the cervical vertebrae are unfused, both the arches to each other and the arches to the centrum. Neural arches of both the thoracic and lumbar vertebrae are unfused. All of these features were considered for the age estimation. </w:t>
            </w:r>
          </w:p>
        </w:tc>
      </w:tr>
      <w:tr w:rsidR="005902FA" w:rsidRPr="001F1446" w14:paraId="3A4F5B53" w14:textId="77777777" w:rsidTr="004227F2">
        <w:tc>
          <w:tcPr>
            <w:tcW w:w="912" w:type="pct"/>
          </w:tcPr>
          <w:p w14:paraId="0499E994"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Dentition: present</w:t>
            </w:r>
          </w:p>
        </w:tc>
        <w:tc>
          <w:tcPr>
            <w:tcW w:w="4088" w:type="pct"/>
            <w:vAlign w:val="center"/>
          </w:tcPr>
          <w:p w14:paraId="1FA28EDC" w14:textId="63AA83D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For the deciduous teeth, beginning with the maxillary right deciduous second molar (#51), there is no wear on this tooth, it is not in occlusion</w:t>
            </w:r>
            <w:r w:rsidR="006D4D31" w:rsidRPr="001F1446">
              <w:rPr>
                <w:rFonts w:ascii="Times New Roman" w:hAnsi="Times New Roman"/>
                <w:sz w:val="24"/>
                <w:szCs w:val="24"/>
              </w:rPr>
              <w:t>,</w:t>
            </w:r>
            <w:r w:rsidRPr="001F1446">
              <w:rPr>
                <w:rFonts w:ascii="Times New Roman" w:hAnsi="Times New Roman"/>
                <w:sz w:val="24"/>
                <w:szCs w:val="24"/>
              </w:rPr>
              <w:t xml:space="preserve"> and the crown is half complete, and there are no roots present. The maxillary right deciduous first molar (#5) has no wear, it is not in occlusion</w:t>
            </w:r>
            <w:r w:rsidR="006D4D31" w:rsidRPr="001F1446">
              <w:rPr>
                <w:rFonts w:ascii="Times New Roman" w:hAnsi="Times New Roman"/>
                <w:sz w:val="24"/>
                <w:szCs w:val="24"/>
              </w:rPr>
              <w:t>,</w:t>
            </w:r>
            <w:r w:rsidRPr="001F1446">
              <w:rPr>
                <w:rFonts w:ascii="Times New Roman" w:hAnsi="Times New Roman"/>
                <w:sz w:val="24"/>
                <w:szCs w:val="24"/>
              </w:rPr>
              <w:t xml:space="preserve"> and the crown is 3/4 complete, and there are no roots present on the tooth. The maxillary right deciduous central incisor (#55), as well as the maxillary left deciduous central incisor, have complete crowns. There is slight wear on the incisors. The maxillary left deciduous first molar (#59) has wear that is not in occlusion, and the crown is 3/4 complete. The final tooth on the maxilla, the left deciduous second molar (#60), has wear, not in occlusion with the crown being half complete. There is minimal wear on any of the maxilla</w:t>
            </w:r>
            <w:r w:rsidR="00DA72D4" w:rsidRPr="001F1446">
              <w:rPr>
                <w:rFonts w:ascii="Times New Roman" w:hAnsi="Times New Roman"/>
                <w:sz w:val="24"/>
                <w:szCs w:val="24"/>
              </w:rPr>
              <w:t>ry</w:t>
            </w:r>
            <w:r w:rsidRPr="001F1446">
              <w:rPr>
                <w:rFonts w:ascii="Times New Roman" w:hAnsi="Times New Roman"/>
                <w:sz w:val="24"/>
                <w:szCs w:val="24"/>
              </w:rPr>
              <w:t xml:space="preserve"> molars. On the mandible, starting on the left side, the mandibular left deciduous second molar is not present, and the loss category is unknown. The mandibular deciduous first molar is un-sided. The mandibular left deciduous lateral incisor </w:t>
            </w:r>
            <w:r w:rsidRPr="001F1446">
              <w:rPr>
                <w:rFonts w:ascii="Times New Roman" w:hAnsi="Times New Roman"/>
                <w:sz w:val="24"/>
                <w:szCs w:val="24"/>
              </w:rPr>
              <w:lastRenderedPageBreak/>
              <w:t xml:space="preserve">(#64), central incisor (#65), mandibular right deciduous central incisor (#66), and mandibular right lateral incisor (#67) all have complete crowns. There is also slight wear on the mandibular incisors. The mandibular right deciduous second molar has wear, and the crown is half complete. There is also minimal, if any, wear on the mandibular molars. </w:t>
            </w:r>
          </w:p>
        </w:tc>
      </w:tr>
      <w:tr w:rsidR="005902FA" w:rsidRPr="001F1446" w14:paraId="1A675C93" w14:textId="77777777" w:rsidTr="004227F2">
        <w:tc>
          <w:tcPr>
            <w:tcW w:w="912" w:type="pct"/>
          </w:tcPr>
          <w:p w14:paraId="116F4AFC"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Pathologies: present</w:t>
            </w:r>
          </w:p>
        </w:tc>
        <w:tc>
          <w:tcPr>
            <w:tcW w:w="4088" w:type="pct"/>
            <w:vAlign w:val="center"/>
          </w:tcPr>
          <w:p w14:paraId="759C5220" w14:textId="2DE6F4C5"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Endocranial</w:t>
            </w:r>
            <w:r w:rsidR="00AF43B9" w:rsidRPr="001F1446">
              <w:rPr>
                <w:rFonts w:ascii="Times New Roman" w:hAnsi="Times New Roman"/>
                <w:sz w:val="24"/>
                <w:szCs w:val="24"/>
              </w:rPr>
              <w:t xml:space="preserve"> abnormal</w:t>
            </w:r>
            <w:r w:rsidRPr="001F1446">
              <w:rPr>
                <w:rFonts w:ascii="Times New Roman" w:hAnsi="Times New Roman"/>
                <w:sz w:val="24"/>
                <w:szCs w:val="24"/>
              </w:rPr>
              <w:t xml:space="preserve"> bone growth </w:t>
            </w:r>
            <w:r w:rsidR="00AF43B9" w:rsidRPr="001F1446">
              <w:rPr>
                <w:rFonts w:ascii="Times New Roman" w:hAnsi="Times New Roman"/>
                <w:sz w:val="24"/>
                <w:szCs w:val="24"/>
              </w:rPr>
              <w:t xml:space="preserve">in </w:t>
            </w:r>
            <w:r w:rsidR="00DA72D4" w:rsidRPr="001F1446">
              <w:rPr>
                <w:rFonts w:ascii="Times New Roman" w:hAnsi="Times New Roman"/>
                <w:sz w:val="24"/>
                <w:szCs w:val="24"/>
              </w:rPr>
              <w:t xml:space="preserve">the </w:t>
            </w:r>
            <w:r w:rsidR="00AF43B9" w:rsidRPr="001F1446">
              <w:rPr>
                <w:rFonts w:ascii="Times New Roman" w:hAnsi="Times New Roman"/>
                <w:sz w:val="24"/>
                <w:szCs w:val="24"/>
              </w:rPr>
              <w:t xml:space="preserve">form of ‘capillary’ impressions extending into the inner lamina at the meningeal grooves of the cranium </w:t>
            </w:r>
            <w:r w:rsidRPr="001F1446">
              <w:rPr>
                <w:rFonts w:ascii="Times New Roman" w:hAnsi="Times New Roman"/>
                <w:sz w:val="24"/>
                <w:szCs w:val="24"/>
              </w:rPr>
              <w:t>and porotic hyperostosis on a cranial vault fragment</w:t>
            </w:r>
            <w:r w:rsidR="00AF43B9" w:rsidRPr="001F1446">
              <w:rPr>
                <w:rFonts w:ascii="Times New Roman" w:hAnsi="Times New Roman"/>
                <w:sz w:val="24"/>
                <w:szCs w:val="24"/>
              </w:rPr>
              <w:t>.</w:t>
            </w:r>
          </w:p>
          <w:p w14:paraId="090798C1" w14:textId="7B94A26A"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Active periosteal reaction on four ribs (bilateral)</w:t>
            </w:r>
            <w:r w:rsidR="003F5C0F">
              <w:rPr>
                <w:rFonts w:ascii="Times New Roman" w:hAnsi="Times New Roman"/>
                <w:sz w:val="24"/>
                <w:szCs w:val="24"/>
              </w:rPr>
              <w:t>.</w:t>
            </w:r>
          </w:p>
          <w:p w14:paraId="037BD2CC" w14:textId="6EC5A2FB"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Periosteal reaction (pitting, new bone formation with longitudinal striations) on shaft of left ulna, shafts of humeri, and unidentified long bones</w:t>
            </w:r>
            <w:r w:rsidR="003F5C0F">
              <w:rPr>
                <w:rFonts w:ascii="Times New Roman" w:hAnsi="Times New Roman"/>
                <w:sz w:val="24"/>
                <w:szCs w:val="24"/>
              </w:rPr>
              <w:t>.</w:t>
            </w:r>
          </w:p>
          <w:p w14:paraId="405295CE" w14:textId="46B82B3B"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Porosity and woven bone growth on clavicle</w:t>
            </w:r>
            <w:r w:rsidR="003F5C0F">
              <w:rPr>
                <w:rFonts w:ascii="Times New Roman" w:hAnsi="Times New Roman"/>
                <w:sz w:val="24"/>
                <w:szCs w:val="24"/>
              </w:rPr>
              <w:t>.</w:t>
            </w:r>
          </w:p>
          <w:p w14:paraId="3B49D46E" w14:textId="09BC15D3"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Woven bone growth associated with nutrient foramen of right first metatarsal</w:t>
            </w:r>
            <w:r w:rsidR="003F5C0F">
              <w:rPr>
                <w:rFonts w:ascii="Times New Roman" w:hAnsi="Times New Roman"/>
                <w:sz w:val="24"/>
                <w:szCs w:val="24"/>
              </w:rPr>
              <w:t>.</w:t>
            </w:r>
          </w:p>
        </w:tc>
      </w:tr>
      <w:tr w:rsidR="005902FA" w:rsidRPr="001F1446" w14:paraId="3258BC1C" w14:textId="77777777" w:rsidTr="004227F2">
        <w:tc>
          <w:tcPr>
            <w:tcW w:w="912" w:type="pct"/>
          </w:tcPr>
          <w:p w14:paraId="0A573A5D"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Thermal alterations: present</w:t>
            </w:r>
          </w:p>
        </w:tc>
        <w:tc>
          <w:tcPr>
            <w:tcW w:w="4088" w:type="pct"/>
            <w:vAlign w:val="center"/>
          </w:tcPr>
          <w:p w14:paraId="4F66B5C9" w14:textId="0F9E0065"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main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is white. The maximum length for the remains is 39.3mm and was identified as the left ulna fragment. The average length of a bone in this burial is 12.1mm. </w:t>
            </w:r>
          </w:p>
        </w:tc>
      </w:tr>
      <w:tr w:rsidR="005902FA" w:rsidRPr="001F1446" w14:paraId="4D816CDF" w14:textId="77777777" w:rsidTr="004227F2">
        <w:tc>
          <w:tcPr>
            <w:tcW w:w="912" w:type="pct"/>
          </w:tcPr>
          <w:p w14:paraId="11353AB8" w14:textId="1EFD248F" w:rsidR="005902FA" w:rsidRPr="001F1446" w:rsidRDefault="005902FA" w:rsidP="001F1446">
            <w:pPr>
              <w:tabs>
                <w:tab w:val="left" w:pos="1620"/>
              </w:tabs>
              <w:spacing w:after="0" w:line="360" w:lineRule="auto"/>
              <w:rPr>
                <w:rFonts w:ascii="Times New Roman" w:hAnsi="Times New Roman"/>
                <w:b/>
                <w:sz w:val="24"/>
                <w:szCs w:val="24"/>
                <w:lang w:val="fr-FR"/>
              </w:rPr>
            </w:pPr>
            <w:proofErr w:type="spellStart"/>
            <w:r w:rsidRPr="001F1446">
              <w:rPr>
                <w:rFonts w:ascii="Times New Roman" w:hAnsi="Times New Roman"/>
                <w:b/>
                <w:sz w:val="24"/>
                <w:szCs w:val="24"/>
                <w:lang w:val="fr-FR"/>
              </w:rPr>
              <w:t>Individual</w:t>
            </w:r>
            <w:proofErr w:type="spellEnd"/>
            <w:r w:rsidR="003F5C0F">
              <w:rPr>
                <w:rFonts w:ascii="Times New Roman" w:hAnsi="Times New Roman"/>
                <w:b/>
                <w:sz w:val="24"/>
                <w:szCs w:val="24"/>
                <w:lang w:val="fr-FR"/>
              </w:rPr>
              <w:t> </w:t>
            </w:r>
            <w:r w:rsidRPr="001F1446">
              <w:rPr>
                <w:rFonts w:ascii="Times New Roman" w:hAnsi="Times New Roman"/>
                <w:b/>
                <w:sz w:val="24"/>
                <w:szCs w:val="24"/>
                <w:lang w:val="fr-FR"/>
              </w:rPr>
              <w:t>: L 1033</w:t>
            </w:r>
          </w:p>
          <w:p w14:paraId="421A4F54" w14:textId="228F2DB5" w:rsidR="005902FA" w:rsidRPr="001F1446" w:rsidRDefault="005902FA" w:rsidP="001F1446">
            <w:pPr>
              <w:tabs>
                <w:tab w:val="left" w:pos="1620"/>
              </w:tabs>
              <w:spacing w:after="0" w:line="360" w:lineRule="auto"/>
              <w:rPr>
                <w:rFonts w:ascii="Times New Roman" w:hAnsi="Times New Roman"/>
                <w:sz w:val="24"/>
                <w:szCs w:val="24"/>
                <w:lang w:val="fr-FR"/>
              </w:rPr>
            </w:pPr>
            <w:r w:rsidRPr="001F1446">
              <w:rPr>
                <w:rFonts w:ascii="Times New Roman" w:hAnsi="Times New Roman"/>
                <w:sz w:val="24"/>
                <w:szCs w:val="24"/>
                <w:lang w:val="fr-FR"/>
              </w:rPr>
              <w:t>Dates</w:t>
            </w:r>
            <w:r w:rsidR="003F5C0F">
              <w:rPr>
                <w:rFonts w:ascii="Times New Roman" w:hAnsi="Times New Roman"/>
                <w:sz w:val="24"/>
                <w:szCs w:val="24"/>
                <w:lang w:val="fr-FR"/>
              </w:rPr>
              <w:t> </w:t>
            </w:r>
            <w:r w:rsidRPr="001F1446">
              <w:rPr>
                <w:rFonts w:ascii="Times New Roman" w:hAnsi="Times New Roman"/>
                <w:sz w:val="24"/>
                <w:szCs w:val="24"/>
                <w:lang w:val="fr-FR"/>
              </w:rPr>
              <w:t>:</w:t>
            </w:r>
          </w:p>
          <w:p w14:paraId="066222FC" w14:textId="4EE03ECE" w:rsidR="005902FA" w:rsidRPr="001F1446" w:rsidRDefault="005902FA" w:rsidP="001F1446">
            <w:pPr>
              <w:tabs>
                <w:tab w:val="left" w:pos="1620"/>
              </w:tabs>
              <w:spacing w:after="0" w:line="360" w:lineRule="auto"/>
              <w:rPr>
                <w:rFonts w:ascii="Times New Roman" w:hAnsi="Times New Roman"/>
                <w:b/>
                <w:sz w:val="24"/>
                <w:szCs w:val="24"/>
                <w:lang w:val="fr-FR"/>
              </w:rPr>
            </w:pPr>
            <w:r w:rsidRPr="001F1446">
              <w:rPr>
                <w:rFonts w:ascii="Times New Roman" w:hAnsi="Times New Roman"/>
                <w:sz w:val="24"/>
                <w:szCs w:val="24"/>
                <w:lang w:val="fr-FR"/>
              </w:rPr>
              <w:t>27</w:t>
            </w:r>
            <w:r w:rsidR="004227F2" w:rsidRPr="001F1446">
              <w:rPr>
                <w:rFonts w:ascii="Times New Roman" w:hAnsi="Times New Roman"/>
                <w:sz w:val="24"/>
                <w:szCs w:val="24"/>
                <w:lang w:val="fr-FR"/>
              </w:rPr>
              <w:t xml:space="preserve"> </w:t>
            </w:r>
            <w:r w:rsidRPr="001F1446">
              <w:rPr>
                <w:rFonts w:ascii="Times New Roman" w:hAnsi="Times New Roman"/>
                <w:sz w:val="24"/>
                <w:szCs w:val="24"/>
                <w:lang w:val="fr-FR"/>
              </w:rPr>
              <w:t>BC</w:t>
            </w:r>
            <w:r w:rsidR="00FD792F">
              <w:rPr>
                <w:rFonts w:ascii="Times New Roman" w:hAnsi="Times New Roman"/>
                <w:sz w:val="24"/>
                <w:szCs w:val="24"/>
                <w:lang w:val="fr-FR"/>
              </w:rPr>
              <w:t xml:space="preserve">–AD </w:t>
            </w:r>
            <w:r w:rsidRPr="001F1446">
              <w:rPr>
                <w:rFonts w:ascii="Times New Roman" w:hAnsi="Times New Roman"/>
                <w:sz w:val="24"/>
                <w:szCs w:val="24"/>
                <w:lang w:val="fr-FR"/>
              </w:rPr>
              <w:t>14</w:t>
            </w:r>
          </w:p>
        </w:tc>
        <w:tc>
          <w:tcPr>
            <w:tcW w:w="4088" w:type="pct"/>
          </w:tcPr>
          <w:p w14:paraId="7DE4CC60" w14:textId="66AB636B"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Starting with the cranial inventory, the left and right frontal bones are in a fragmentary state of preservation, as </w:t>
            </w:r>
            <w:r w:rsidR="00DA72D4" w:rsidRPr="001F1446">
              <w:rPr>
                <w:rFonts w:ascii="Times New Roman" w:hAnsi="Times New Roman"/>
                <w:sz w:val="24"/>
                <w:szCs w:val="24"/>
              </w:rPr>
              <w:t>are</w:t>
            </w:r>
            <w:r w:rsidRPr="001F1446">
              <w:rPr>
                <w:rFonts w:ascii="Times New Roman" w:hAnsi="Times New Roman"/>
                <w:sz w:val="24"/>
                <w:szCs w:val="24"/>
              </w:rPr>
              <w:t xml:space="preserve"> the left and right parietals, occipitals, and temporals. The left mandible is fragmentary. The left and right zygomatic and the left and right maxilla are in a fragmentary state of preservation. The left and right sphenoid are in a fragmentary state of preservation. </w:t>
            </w:r>
            <w:r w:rsidRPr="001F1446">
              <w:rPr>
                <w:rFonts w:ascii="Times New Roman" w:eastAsia="Times New Roman" w:hAnsi="Times New Roman"/>
                <w:sz w:val="24"/>
                <w:szCs w:val="24"/>
              </w:rPr>
              <w:t xml:space="preserve">The second cervical vertebrae are </w:t>
            </w:r>
            <w:r w:rsidRPr="001F1446">
              <w:rPr>
                <w:rFonts w:ascii="Times New Roman" w:hAnsi="Times New Roman"/>
                <w:sz w:val="24"/>
                <w:szCs w:val="24"/>
              </w:rPr>
              <w:t>in a fragmentary state of preservation</w:t>
            </w:r>
            <w:r w:rsidRPr="001F1446">
              <w:rPr>
                <w:rFonts w:ascii="Times New Roman" w:eastAsia="Times New Roman" w:hAnsi="Times New Roman"/>
                <w:sz w:val="24"/>
                <w:szCs w:val="24"/>
              </w:rPr>
              <w:t xml:space="preserve">. For the third through sixth vertebrae, there are two identified, and they are </w:t>
            </w:r>
            <w:r w:rsidRPr="001F1446">
              <w:rPr>
                <w:rFonts w:ascii="Times New Roman" w:hAnsi="Times New Roman"/>
                <w:sz w:val="24"/>
                <w:szCs w:val="24"/>
              </w:rPr>
              <w:t>in a fragmentary state of preservation</w:t>
            </w:r>
            <w:r w:rsidRPr="001F1446">
              <w:rPr>
                <w:rFonts w:ascii="Times New Roman" w:eastAsia="Times New Roman" w:hAnsi="Times New Roman"/>
                <w:sz w:val="24"/>
                <w:szCs w:val="24"/>
              </w:rPr>
              <w:t xml:space="preserve">. For the first through the ninth thoracic vertebrae, there are three identified, and they are </w:t>
            </w:r>
            <w:r w:rsidRPr="001F1446">
              <w:rPr>
                <w:rFonts w:ascii="Times New Roman" w:hAnsi="Times New Roman"/>
                <w:sz w:val="24"/>
                <w:szCs w:val="24"/>
              </w:rPr>
              <w:t>in a fragmentary state of preservation</w:t>
            </w:r>
            <w:r w:rsidRPr="001F1446">
              <w:rPr>
                <w:rFonts w:ascii="Times New Roman" w:eastAsia="Times New Roman" w:hAnsi="Times New Roman"/>
                <w:sz w:val="24"/>
                <w:szCs w:val="24"/>
              </w:rPr>
              <w:t xml:space="preserve">. </w:t>
            </w:r>
            <w:r w:rsidRPr="001F1446">
              <w:rPr>
                <w:rFonts w:ascii="Times New Roman" w:hAnsi="Times New Roman"/>
                <w:sz w:val="24"/>
                <w:szCs w:val="24"/>
              </w:rPr>
              <w:t xml:space="preserve">For the left ribs, there are four identified in a fragmentary state of preservation. For the right ribs of this individual, there are three identified fragments and are in a fragmentary state of preservation. </w:t>
            </w:r>
            <w:r w:rsidRPr="001F1446">
              <w:rPr>
                <w:rFonts w:ascii="Times New Roman" w:eastAsia="Times New Roman" w:hAnsi="Times New Roman"/>
                <w:sz w:val="24"/>
                <w:szCs w:val="24"/>
              </w:rPr>
              <w:t xml:space="preserve">Regarding the appendicular skeleton, the humeri, radii, </w:t>
            </w:r>
            <w:r w:rsidRPr="001F1446">
              <w:rPr>
                <w:rFonts w:ascii="Times New Roman" w:eastAsia="Times New Roman" w:hAnsi="Times New Roman"/>
                <w:sz w:val="24"/>
                <w:szCs w:val="24"/>
              </w:rPr>
              <w:lastRenderedPageBreak/>
              <w:t xml:space="preserve">ulnae, femora, and tibiae are identified but fragmentary. For the left fibula, neither the proximal or distal epiphysis is present, but the proximal, mid, and distal shaft are </w:t>
            </w:r>
            <w:r w:rsidRPr="001F1446">
              <w:rPr>
                <w:rFonts w:ascii="Times New Roman" w:hAnsi="Times New Roman"/>
                <w:sz w:val="24"/>
                <w:szCs w:val="24"/>
              </w:rPr>
              <w:t>in a fragmentary state of preservation</w:t>
            </w:r>
            <w:r w:rsidRPr="001F1446">
              <w:rPr>
                <w:rFonts w:ascii="Times New Roman" w:eastAsia="Times New Roman" w:hAnsi="Times New Roman"/>
                <w:sz w:val="24"/>
                <w:szCs w:val="24"/>
              </w:rPr>
              <w:t xml:space="preserve">. For the right femur, neither the proximal or distal epiphysis is present, but the proximal, mid, and distal shaft are </w:t>
            </w:r>
            <w:r w:rsidRPr="001F1446">
              <w:rPr>
                <w:rFonts w:ascii="Times New Roman" w:hAnsi="Times New Roman"/>
                <w:sz w:val="24"/>
                <w:szCs w:val="24"/>
              </w:rPr>
              <w:t>in a fragmentary state of preservation</w:t>
            </w:r>
            <w:r w:rsidRPr="001F1446">
              <w:rPr>
                <w:rFonts w:ascii="Times New Roman" w:eastAsia="Times New Roman" w:hAnsi="Times New Roman"/>
                <w:sz w:val="24"/>
                <w:szCs w:val="24"/>
              </w:rPr>
              <w:t xml:space="preserve">. Neither the left or right scapula, nor the left or right glenoid are present. The left and right clavicle are both </w:t>
            </w:r>
            <w:r w:rsidRPr="001F1446">
              <w:rPr>
                <w:rFonts w:ascii="Times New Roman" w:hAnsi="Times New Roman"/>
                <w:sz w:val="24"/>
                <w:szCs w:val="24"/>
              </w:rPr>
              <w:t>in a fragmentary state of preservation</w:t>
            </w:r>
            <w:r w:rsidRPr="001F1446">
              <w:rPr>
                <w:rFonts w:ascii="Times New Roman" w:eastAsia="Times New Roman" w:hAnsi="Times New Roman"/>
                <w:sz w:val="24"/>
                <w:szCs w:val="24"/>
              </w:rPr>
              <w:t xml:space="preserve">. The left ilium is </w:t>
            </w:r>
            <w:r w:rsidRPr="001F1446">
              <w:rPr>
                <w:rFonts w:ascii="Times New Roman" w:hAnsi="Times New Roman"/>
                <w:sz w:val="24"/>
                <w:szCs w:val="24"/>
              </w:rPr>
              <w:t>in a fragmentary state of preservation</w:t>
            </w:r>
            <w:r w:rsidRPr="001F1446">
              <w:rPr>
                <w:rFonts w:ascii="Times New Roman" w:eastAsia="Times New Roman" w:hAnsi="Times New Roman"/>
                <w:sz w:val="24"/>
                <w:szCs w:val="24"/>
              </w:rPr>
              <w:t>. The only extremities feature identified are two metacarpals that are fragmentary.</w:t>
            </w:r>
          </w:p>
        </w:tc>
      </w:tr>
      <w:tr w:rsidR="005902FA" w:rsidRPr="001F1446" w14:paraId="03076B1B" w14:textId="77777777" w:rsidTr="004227F2">
        <w:tc>
          <w:tcPr>
            <w:tcW w:w="912" w:type="pct"/>
          </w:tcPr>
          <w:p w14:paraId="793A735C" w14:textId="3A19A4AD"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 xml:space="preserve">Age: 4.5 months ± 3 months </w:t>
            </w:r>
            <w:r w:rsidR="00605B1A" w:rsidRPr="001F1446">
              <w:rPr>
                <w:rFonts w:ascii="Times New Roman" w:hAnsi="Times New Roman"/>
                <w:i/>
                <w:sz w:val="24"/>
                <w:szCs w:val="24"/>
              </w:rPr>
              <w:t>(omnibus skeletal age)</w:t>
            </w:r>
          </w:p>
          <w:p w14:paraId="52689425"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88" w:type="pct"/>
            <w:vAlign w:val="center"/>
          </w:tcPr>
          <w:p w14:paraId="110835DF" w14:textId="447753C6" w:rsidR="005902FA" w:rsidRPr="001F1446" w:rsidRDefault="005902FA" w:rsidP="001F1446">
            <w:pPr>
              <w:tabs>
                <w:tab w:val="left" w:pos="1620"/>
              </w:tabs>
              <w:spacing w:after="0" w:line="360" w:lineRule="auto"/>
              <w:rPr>
                <w:rFonts w:ascii="Times New Roman" w:eastAsia="Times New Roman" w:hAnsi="Times New Roman"/>
                <w:sz w:val="24"/>
                <w:szCs w:val="24"/>
              </w:rPr>
            </w:pPr>
            <w:r w:rsidRPr="001F1446">
              <w:rPr>
                <w:rFonts w:ascii="Times New Roman" w:hAnsi="Times New Roman"/>
                <w:sz w:val="24"/>
                <w:szCs w:val="24"/>
              </w:rPr>
              <w:t>The superior and inferior unions of the cervical vertebrae are unfused, as well as the superior and inferior unions of the thoracic vertebrae, and the superior and inferior unions of the lumbar vertebrae. Both the left and right sternal epiphyseal unions are unfused as well as the proximal (1</w:t>
            </w:r>
            <w:r w:rsidRPr="003F5C0F">
              <w:rPr>
                <w:rFonts w:ascii="Times New Roman" w:hAnsi="Times New Roman"/>
                <w:sz w:val="24"/>
                <w:szCs w:val="24"/>
              </w:rPr>
              <w:t>st</w:t>
            </w:r>
            <w:r w:rsidRPr="001F1446">
              <w:rPr>
                <w:rFonts w:ascii="Times New Roman" w:hAnsi="Times New Roman"/>
                <w:sz w:val="24"/>
                <w:szCs w:val="24"/>
              </w:rPr>
              <w:t>) and distal (</w:t>
            </w:r>
            <w:r w:rsidR="00243B7E">
              <w:rPr>
                <w:rFonts w:ascii="Times New Roman" w:hAnsi="Times New Roman"/>
                <w:sz w:val="24"/>
                <w:szCs w:val="24"/>
              </w:rPr>
              <w:t>2</w:t>
            </w:r>
            <w:r w:rsidR="00243B7E" w:rsidRPr="003F5C0F">
              <w:rPr>
                <w:rFonts w:ascii="Times New Roman" w:hAnsi="Times New Roman"/>
                <w:sz w:val="24"/>
                <w:szCs w:val="24"/>
              </w:rPr>
              <w:t>nd</w:t>
            </w:r>
            <w:r w:rsidR="00243B7E">
              <w:rPr>
                <w:rFonts w:ascii="Times New Roman" w:hAnsi="Times New Roman"/>
                <w:sz w:val="24"/>
                <w:szCs w:val="24"/>
              </w:rPr>
              <w:t>–</w:t>
            </w:r>
            <w:r w:rsidRPr="001F1446">
              <w:rPr>
                <w:rFonts w:ascii="Times New Roman" w:hAnsi="Times New Roman"/>
                <w:sz w:val="24"/>
                <w:szCs w:val="24"/>
              </w:rPr>
              <w:t>5</w:t>
            </w:r>
            <w:r w:rsidRPr="003F5C0F">
              <w:rPr>
                <w:rFonts w:ascii="Times New Roman" w:hAnsi="Times New Roman"/>
                <w:sz w:val="24"/>
                <w:szCs w:val="24"/>
              </w:rPr>
              <w:t>th</w:t>
            </w:r>
            <w:r w:rsidRPr="001F1446">
              <w:rPr>
                <w:rFonts w:ascii="Times New Roman" w:hAnsi="Times New Roman"/>
                <w:sz w:val="24"/>
                <w:szCs w:val="24"/>
              </w:rPr>
              <w:t xml:space="preserve">) metatarsals. The neural arches of the cervical vertebrae are unfused, both the arches to each other and the arches to the centrum. Neural arches of both the thoracic and lumbar vertebrae are unfused. The age estimation was based on epiphyseal fusion, primary ossification centers, and dental development. </w:t>
            </w:r>
          </w:p>
        </w:tc>
      </w:tr>
      <w:tr w:rsidR="005902FA" w:rsidRPr="001F1446" w14:paraId="7DB96D3D" w14:textId="77777777" w:rsidTr="004227F2">
        <w:tc>
          <w:tcPr>
            <w:tcW w:w="912" w:type="pct"/>
          </w:tcPr>
          <w:p w14:paraId="4EA49C09"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 xml:space="preserve">Dentition: present </w:t>
            </w:r>
          </w:p>
          <w:p w14:paraId="1C02EC13"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88" w:type="pct"/>
            <w:vAlign w:val="center"/>
          </w:tcPr>
          <w:p w14:paraId="37276779" w14:textId="7BF2F733" w:rsidR="005902FA" w:rsidRPr="001F1446" w:rsidRDefault="005902FA" w:rsidP="001F1446">
            <w:pPr>
              <w:tabs>
                <w:tab w:val="left" w:pos="1620"/>
              </w:tabs>
              <w:spacing w:after="0" w:line="360" w:lineRule="auto"/>
              <w:rPr>
                <w:rFonts w:ascii="Times New Roman" w:eastAsia="Times New Roman" w:hAnsi="Times New Roman"/>
                <w:bCs/>
                <w:sz w:val="24"/>
                <w:szCs w:val="24"/>
              </w:rPr>
            </w:pPr>
            <w:r w:rsidRPr="001F1446">
              <w:rPr>
                <w:rFonts w:ascii="Times New Roman" w:hAnsi="Times New Roman"/>
                <w:sz w:val="24"/>
                <w:szCs w:val="24"/>
              </w:rPr>
              <w:t xml:space="preserve">The only deciduous teeth present are the maxillary left deciduous first molar (#59), and the maxillary left deciduous second molar (#60). </w:t>
            </w:r>
            <w:r w:rsidR="00DA72D4" w:rsidRPr="001F1446">
              <w:rPr>
                <w:rFonts w:ascii="Times New Roman" w:hAnsi="Times New Roman"/>
                <w:sz w:val="24"/>
                <w:szCs w:val="24"/>
              </w:rPr>
              <w:t>T</w:t>
            </w:r>
            <w:r w:rsidRPr="001F1446">
              <w:rPr>
                <w:rFonts w:ascii="Times New Roman" w:hAnsi="Times New Roman"/>
                <w:sz w:val="24"/>
                <w:szCs w:val="24"/>
              </w:rPr>
              <w:t xml:space="preserve">he maxillary left deciduous first molar (#59), presents a half-crown, and the tooth appeared to be unerupted. For the maxillary left deciduous second molar (#60), there are unobservable stages of wear, and the initial cusp </w:t>
            </w:r>
            <w:r w:rsidR="00265C5E" w:rsidRPr="001F1446">
              <w:rPr>
                <w:rFonts w:ascii="Times New Roman" w:hAnsi="Times New Roman"/>
                <w:sz w:val="24"/>
                <w:szCs w:val="24"/>
              </w:rPr>
              <w:t>i</w:t>
            </w:r>
            <w:r w:rsidRPr="001F1446">
              <w:rPr>
                <w:rFonts w:ascii="Times New Roman" w:hAnsi="Times New Roman"/>
                <w:sz w:val="24"/>
                <w:szCs w:val="24"/>
              </w:rPr>
              <w:t>s beginning to form.</w:t>
            </w:r>
          </w:p>
        </w:tc>
      </w:tr>
      <w:tr w:rsidR="005902FA" w:rsidRPr="001F1446" w14:paraId="67685F73" w14:textId="77777777" w:rsidTr="004227F2">
        <w:tc>
          <w:tcPr>
            <w:tcW w:w="912" w:type="pct"/>
          </w:tcPr>
          <w:p w14:paraId="4DA0A6A9"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088" w:type="pct"/>
            <w:vAlign w:val="center"/>
          </w:tcPr>
          <w:p w14:paraId="272671A5" w14:textId="3437E17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Cribra orbitalia, porotic hyperostosis, and </w:t>
            </w:r>
            <w:bookmarkStart w:id="6" w:name="_Hlk126926316"/>
            <w:r w:rsidRPr="001F1446">
              <w:rPr>
                <w:rFonts w:ascii="Times New Roman" w:hAnsi="Times New Roman"/>
                <w:sz w:val="24"/>
                <w:szCs w:val="24"/>
              </w:rPr>
              <w:t xml:space="preserve">widespread active (and some healed) </w:t>
            </w:r>
            <w:r w:rsidR="00137F89" w:rsidRPr="001F1446">
              <w:rPr>
                <w:rFonts w:ascii="Times New Roman" w:hAnsi="Times New Roman"/>
                <w:sz w:val="24"/>
                <w:szCs w:val="24"/>
              </w:rPr>
              <w:t xml:space="preserve">woven bone </w:t>
            </w:r>
            <w:r w:rsidRPr="001F1446">
              <w:rPr>
                <w:rFonts w:ascii="Times New Roman" w:hAnsi="Times New Roman"/>
                <w:sz w:val="24"/>
                <w:szCs w:val="24"/>
              </w:rPr>
              <w:t xml:space="preserve">on </w:t>
            </w:r>
            <w:bookmarkEnd w:id="6"/>
            <w:r w:rsidRPr="001F1446">
              <w:rPr>
                <w:rFonts w:ascii="Times New Roman" w:hAnsi="Times New Roman"/>
                <w:sz w:val="24"/>
                <w:szCs w:val="24"/>
              </w:rPr>
              <w:t>all cranial bones.</w:t>
            </w:r>
          </w:p>
          <w:p w14:paraId="08E28F07" w14:textId="010CABB3"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Healed periosteal reaction on three </w:t>
            </w:r>
            <w:r w:rsidR="004227F2" w:rsidRPr="001F1446">
              <w:rPr>
                <w:rFonts w:ascii="Times New Roman" w:hAnsi="Times New Roman"/>
                <w:sz w:val="24"/>
                <w:szCs w:val="24"/>
              </w:rPr>
              <w:t>ribs.</w:t>
            </w:r>
            <w:r w:rsidRPr="001F1446">
              <w:rPr>
                <w:rFonts w:ascii="Times New Roman" w:hAnsi="Times New Roman"/>
                <w:sz w:val="24"/>
                <w:szCs w:val="24"/>
              </w:rPr>
              <w:t xml:space="preserve"> </w:t>
            </w:r>
          </w:p>
          <w:p w14:paraId="7695A8FA" w14:textId="5E23B15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Active periosteal reaction on one metacarpal</w:t>
            </w:r>
            <w:r w:rsidR="004227F2" w:rsidRPr="001F1446">
              <w:rPr>
                <w:rFonts w:ascii="Times New Roman" w:hAnsi="Times New Roman"/>
                <w:sz w:val="24"/>
                <w:szCs w:val="24"/>
              </w:rPr>
              <w:t>.</w:t>
            </w:r>
            <w:r w:rsidRPr="001F1446">
              <w:rPr>
                <w:rFonts w:ascii="Times New Roman" w:hAnsi="Times New Roman"/>
                <w:sz w:val="24"/>
                <w:szCs w:val="24"/>
              </w:rPr>
              <w:t xml:space="preserve"> </w:t>
            </w:r>
          </w:p>
          <w:p w14:paraId="668069D1" w14:textId="19A59F9C"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lastRenderedPageBreak/>
              <w:t xml:space="preserve">Periosteal reaction on 10 unidentified long bone shaft fragments, one left femur shaft and one </w:t>
            </w:r>
            <w:r w:rsidR="00031D0C" w:rsidRPr="001F1446">
              <w:rPr>
                <w:rFonts w:ascii="Times New Roman" w:hAnsi="Times New Roman"/>
                <w:sz w:val="24"/>
                <w:szCs w:val="24"/>
              </w:rPr>
              <w:t xml:space="preserve">unidentifiable </w:t>
            </w:r>
            <w:r w:rsidRPr="001F1446">
              <w:rPr>
                <w:rFonts w:ascii="Times New Roman" w:hAnsi="Times New Roman"/>
                <w:sz w:val="24"/>
                <w:szCs w:val="24"/>
              </w:rPr>
              <w:t xml:space="preserve">bone fragment. </w:t>
            </w:r>
          </w:p>
        </w:tc>
      </w:tr>
      <w:tr w:rsidR="005902FA" w:rsidRPr="001F1446" w14:paraId="2249572C" w14:textId="77777777" w:rsidTr="004227F2">
        <w:tc>
          <w:tcPr>
            <w:tcW w:w="912" w:type="pct"/>
          </w:tcPr>
          <w:p w14:paraId="2A22A787"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Thermal alterations: present</w:t>
            </w:r>
          </w:p>
        </w:tc>
        <w:tc>
          <w:tcPr>
            <w:tcW w:w="4088" w:type="pct"/>
            <w:vAlign w:val="center"/>
          </w:tcPr>
          <w:p w14:paraId="0E81BD56" w14:textId="729F25A5"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deposit type for this feature was a secondary deposit</w:t>
            </w:r>
            <w:r w:rsidR="00DA72D4" w:rsidRPr="001F1446">
              <w:rPr>
                <w:rFonts w:ascii="Times New Roman" w:hAnsi="Times New Roman"/>
                <w:sz w:val="24"/>
                <w:szCs w:val="24"/>
              </w:rPr>
              <w:t xml:space="preserve">. The </w:t>
            </w:r>
            <w:r w:rsidRPr="001F1446">
              <w:rPr>
                <w:rFonts w:ascii="Times New Roman" w:hAnsi="Times New Roman"/>
                <w:sz w:val="24"/>
                <w:szCs w:val="24"/>
              </w:rPr>
              <w:t xml:space="preserve">primary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w:t>
            </w:r>
            <w:r w:rsidR="00DA72D4" w:rsidRPr="001F1446">
              <w:rPr>
                <w:rFonts w:ascii="Times New Roman" w:hAnsi="Times New Roman"/>
                <w:sz w:val="24"/>
                <w:szCs w:val="24"/>
              </w:rPr>
              <w:t xml:space="preserve">of the bones </w:t>
            </w:r>
            <w:r w:rsidR="00265C5E" w:rsidRPr="001F1446">
              <w:rPr>
                <w:rFonts w:ascii="Times New Roman" w:hAnsi="Times New Roman"/>
                <w:sz w:val="24"/>
                <w:szCs w:val="24"/>
              </w:rPr>
              <w:t>i</w:t>
            </w:r>
            <w:r w:rsidR="00DA72D4" w:rsidRPr="001F1446">
              <w:rPr>
                <w:rFonts w:ascii="Times New Roman" w:hAnsi="Times New Roman"/>
                <w:sz w:val="24"/>
                <w:szCs w:val="24"/>
              </w:rPr>
              <w:t xml:space="preserve">s </w:t>
            </w:r>
            <w:r w:rsidR="00243B7E" w:rsidRPr="001F1446">
              <w:rPr>
                <w:rFonts w:ascii="Times New Roman" w:hAnsi="Times New Roman"/>
                <w:sz w:val="24"/>
                <w:szCs w:val="24"/>
              </w:rPr>
              <w:t>white,</w:t>
            </w:r>
            <w:r w:rsidRPr="001F1446">
              <w:rPr>
                <w:rFonts w:ascii="Times New Roman" w:hAnsi="Times New Roman"/>
                <w:sz w:val="24"/>
                <w:szCs w:val="24"/>
              </w:rPr>
              <w:t xml:space="preserve"> and the secondary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observed </w:t>
            </w:r>
            <w:r w:rsidR="00265C5E" w:rsidRPr="001F1446">
              <w:rPr>
                <w:rFonts w:ascii="Times New Roman" w:hAnsi="Times New Roman"/>
                <w:sz w:val="24"/>
                <w:szCs w:val="24"/>
              </w:rPr>
              <w:t>i</w:t>
            </w:r>
            <w:r w:rsidRPr="001F1446">
              <w:rPr>
                <w:rFonts w:ascii="Times New Roman" w:hAnsi="Times New Roman"/>
                <w:sz w:val="24"/>
                <w:szCs w:val="24"/>
              </w:rPr>
              <w:t xml:space="preserve">s light </w:t>
            </w:r>
            <w:r w:rsidR="003F5C0F">
              <w:rPr>
                <w:rFonts w:ascii="Times New Roman" w:hAnsi="Times New Roman"/>
                <w:sz w:val="24"/>
                <w:szCs w:val="24"/>
              </w:rPr>
              <w:t>grey</w:t>
            </w:r>
            <w:r w:rsidRPr="001F1446">
              <w:rPr>
                <w:rFonts w:ascii="Times New Roman" w:hAnsi="Times New Roman"/>
                <w:sz w:val="24"/>
                <w:szCs w:val="24"/>
              </w:rPr>
              <w:t xml:space="preserve">. The bones are calcined. There is moderate warping observed and moderate horizontal, vertical, and concentric cracking on the bones. The maximum </w:t>
            </w:r>
            <w:r w:rsidR="00DA72D4" w:rsidRPr="001F1446">
              <w:rPr>
                <w:rFonts w:ascii="Times New Roman" w:hAnsi="Times New Roman"/>
                <w:sz w:val="24"/>
                <w:szCs w:val="24"/>
              </w:rPr>
              <w:t xml:space="preserve">bone </w:t>
            </w:r>
            <w:r w:rsidRPr="001F1446">
              <w:rPr>
                <w:rFonts w:ascii="Times New Roman" w:hAnsi="Times New Roman"/>
                <w:sz w:val="24"/>
                <w:szCs w:val="24"/>
              </w:rPr>
              <w:t xml:space="preserve">length is 26.93 mm, and the </w:t>
            </w:r>
            <w:r w:rsidR="00265C5E" w:rsidRPr="001F1446">
              <w:rPr>
                <w:rFonts w:ascii="Times New Roman" w:hAnsi="Times New Roman"/>
                <w:sz w:val="24"/>
                <w:szCs w:val="24"/>
              </w:rPr>
              <w:t>largest sized</w:t>
            </w:r>
            <w:r w:rsidRPr="001F1446">
              <w:rPr>
                <w:rFonts w:ascii="Times New Roman" w:hAnsi="Times New Roman"/>
                <w:sz w:val="24"/>
                <w:szCs w:val="24"/>
              </w:rPr>
              <w:t xml:space="preserve"> fragment is the right petrous temporal.</w:t>
            </w:r>
          </w:p>
        </w:tc>
      </w:tr>
    </w:tbl>
    <w:tbl>
      <w:tblPr>
        <w:tblStyle w:val="TableGrid1"/>
        <w:tblW w:w="5051" w:type="pct"/>
        <w:tblLook w:val="04A0" w:firstRow="1" w:lastRow="0" w:firstColumn="1" w:lastColumn="0" w:noHBand="0" w:noVBand="1"/>
      </w:tblPr>
      <w:tblGrid>
        <w:gridCol w:w="2363"/>
        <w:gridCol w:w="10719"/>
      </w:tblGrid>
      <w:tr w:rsidR="005902FA" w:rsidRPr="001F1446" w14:paraId="464F51F7" w14:textId="77777777" w:rsidTr="004227F2">
        <w:tc>
          <w:tcPr>
            <w:tcW w:w="903" w:type="pct"/>
          </w:tcPr>
          <w:p w14:paraId="72A1FF09" w14:textId="044D719D" w:rsidR="005902FA" w:rsidRPr="001F1446" w:rsidRDefault="005902FA" w:rsidP="001F1446">
            <w:pPr>
              <w:tabs>
                <w:tab w:val="left" w:pos="1620"/>
              </w:tabs>
              <w:spacing w:after="0" w:line="360" w:lineRule="auto"/>
              <w:rPr>
                <w:rFonts w:ascii="Times New Roman" w:hAnsi="Times New Roman"/>
                <w:b/>
                <w:sz w:val="24"/>
                <w:szCs w:val="24"/>
                <w:lang w:val="fr-FR"/>
              </w:rPr>
            </w:pPr>
            <w:proofErr w:type="spellStart"/>
            <w:r w:rsidRPr="001F1446">
              <w:rPr>
                <w:rFonts w:ascii="Times New Roman" w:hAnsi="Times New Roman"/>
                <w:b/>
                <w:sz w:val="24"/>
                <w:szCs w:val="24"/>
                <w:lang w:val="fr-FR"/>
              </w:rPr>
              <w:t>Individual</w:t>
            </w:r>
            <w:proofErr w:type="spellEnd"/>
            <w:r w:rsidR="003F5C0F">
              <w:rPr>
                <w:rFonts w:ascii="Times New Roman" w:hAnsi="Times New Roman"/>
                <w:b/>
                <w:sz w:val="24"/>
                <w:szCs w:val="24"/>
                <w:lang w:val="fr-FR"/>
              </w:rPr>
              <w:t> </w:t>
            </w:r>
            <w:r w:rsidRPr="001F1446">
              <w:rPr>
                <w:rFonts w:ascii="Times New Roman" w:hAnsi="Times New Roman"/>
                <w:b/>
                <w:sz w:val="24"/>
                <w:szCs w:val="24"/>
                <w:lang w:val="fr-FR"/>
              </w:rPr>
              <w:t>: L 2064</w:t>
            </w:r>
          </w:p>
          <w:p w14:paraId="4BC1E41F" w14:textId="395BF0AF" w:rsidR="005902FA" w:rsidRPr="001F1446" w:rsidRDefault="005902FA" w:rsidP="001F1446">
            <w:pPr>
              <w:tabs>
                <w:tab w:val="left" w:pos="1620"/>
              </w:tabs>
              <w:spacing w:after="0" w:line="360" w:lineRule="auto"/>
              <w:rPr>
                <w:rFonts w:ascii="Times New Roman" w:hAnsi="Times New Roman"/>
                <w:sz w:val="24"/>
                <w:szCs w:val="24"/>
                <w:lang w:val="fr-FR"/>
              </w:rPr>
            </w:pPr>
            <w:r w:rsidRPr="001F1446">
              <w:rPr>
                <w:rFonts w:ascii="Times New Roman" w:hAnsi="Times New Roman"/>
                <w:sz w:val="24"/>
                <w:szCs w:val="24"/>
                <w:lang w:val="fr-FR"/>
              </w:rPr>
              <w:t>Dates</w:t>
            </w:r>
            <w:r w:rsidR="003F5C0F">
              <w:rPr>
                <w:rFonts w:ascii="Times New Roman" w:hAnsi="Times New Roman"/>
                <w:sz w:val="24"/>
                <w:szCs w:val="24"/>
                <w:lang w:val="fr-FR"/>
              </w:rPr>
              <w:t> </w:t>
            </w:r>
            <w:r w:rsidRPr="001F1446">
              <w:rPr>
                <w:rFonts w:ascii="Times New Roman" w:hAnsi="Times New Roman"/>
                <w:sz w:val="24"/>
                <w:szCs w:val="24"/>
                <w:lang w:val="fr-FR"/>
              </w:rPr>
              <w:t>:</w:t>
            </w:r>
          </w:p>
          <w:p w14:paraId="685949CF" w14:textId="760D5ADF" w:rsidR="005902FA" w:rsidRPr="001F1446" w:rsidRDefault="005902FA" w:rsidP="001F1446">
            <w:pPr>
              <w:spacing w:after="0" w:line="360" w:lineRule="auto"/>
              <w:rPr>
                <w:rFonts w:ascii="Times New Roman" w:hAnsi="Times New Roman"/>
                <w:sz w:val="24"/>
                <w:szCs w:val="24"/>
                <w:lang w:val="fr-FR"/>
              </w:rPr>
            </w:pPr>
            <w:r w:rsidRPr="001F1446">
              <w:rPr>
                <w:rFonts w:ascii="Times New Roman" w:hAnsi="Times New Roman"/>
                <w:sz w:val="24"/>
                <w:szCs w:val="24"/>
                <w:lang w:val="fr-FR"/>
              </w:rPr>
              <w:t>27 BC</w:t>
            </w:r>
            <w:r w:rsidR="00243B7E">
              <w:rPr>
                <w:rFonts w:ascii="Times New Roman" w:hAnsi="Times New Roman"/>
                <w:sz w:val="24"/>
                <w:szCs w:val="24"/>
                <w:lang w:val="fr-FR"/>
              </w:rPr>
              <w:t xml:space="preserve">–AD </w:t>
            </w:r>
            <w:r w:rsidRPr="001F1446">
              <w:rPr>
                <w:rFonts w:ascii="Times New Roman" w:hAnsi="Times New Roman"/>
                <w:sz w:val="24"/>
                <w:szCs w:val="24"/>
                <w:lang w:val="fr-FR"/>
              </w:rPr>
              <w:t>14</w:t>
            </w:r>
          </w:p>
          <w:p w14:paraId="44716E27" w14:textId="77777777" w:rsidR="005902FA" w:rsidRPr="001F1446" w:rsidRDefault="005902FA" w:rsidP="001F1446">
            <w:pPr>
              <w:tabs>
                <w:tab w:val="left" w:pos="1620"/>
              </w:tabs>
              <w:spacing w:after="0" w:line="360" w:lineRule="auto"/>
              <w:rPr>
                <w:rFonts w:ascii="Times New Roman" w:hAnsi="Times New Roman"/>
                <w:b/>
                <w:sz w:val="24"/>
                <w:szCs w:val="24"/>
                <w:lang w:val="fr-FR"/>
              </w:rPr>
            </w:pPr>
          </w:p>
        </w:tc>
        <w:tc>
          <w:tcPr>
            <w:tcW w:w="4097" w:type="pct"/>
          </w:tcPr>
          <w:p w14:paraId="4E9BB3D8" w14:textId="2032B62F" w:rsidR="005902FA" w:rsidRPr="001F1446" w:rsidRDefault="005902FA" w:rsidP="001F1446">
            <w:pPr>
              <w:tabs>
                <w:tab w:val="left" w:pos="1620"/>
              </w:tabs>
              <w:spacing w:after="0" w:line="360" w:lineRule="auto"/>
              <w:rPr>
                <w:rFonts w:ascii="Times New Roman" w:eastAsia="Times New Roman" w:hAnsi="Times New Roman"/>
                <w:bCs/>
                <w:sz w:val="24"/>
                <w:szCs w:val="24"/>
              </w:rPr>
            </w:pPr>
            <w:r w:rsidRPr="001F1446">
              <w:rPr>
                <w:rFonts w:ascii="Times New Roman" w:hAnsi="Times New Roman"/>
                <w:sz w:val="24"/>
                <w:szCs w:val="24"/>
              </w:rPr>
              <w:t xml:space="preserve">The cranial area of the skeleton is represented by skeletal elements in a fragmentary state of preservation. Elements identified in the analysis comprise both the left and right frontal bones, both left and right parietal, left and right occipital, and left and right temporal, all found in a fragmentary state of preservation. The left and right sides of the mandible are both present, as well as the left and right zygomatic and maxillae. The right nasal bone is present. The left and right palatine are present, as well as the left and right sphenoids. The vomer is in a fragmentary state of preservation. </w:t>
            </w:r>
            <w:r w:rsidRPr="001F1446">
              <w:rPr>
                <w:rFonts w:ascii="Times New Roman" w:eastAsia="Times New Roman" w:hAnsi="Times New Roman"/>
                <w:sz w:val="24"/>
                <w:szCs w:val="24"/>
              </w:rPr>
              <w:t xml:space="preserve">In the axial skeleton, the first and second cervical vertebrae are present. There are two </w:t>
            </w:r>
            <w:r w:rsidR="003F5C0F">
              <w:rPr>
                <w:rFonts w:ascii="Times New Roman" w:eastAsia="Times New Roman" w:hAnsi="Times New Roman"/>
                <w:sz w:val="24"/>
                <w:szCs w:val="24"/>
              </w:rPr>
              <w:t>I</w:t>
            </w:r>
            <w:r w:rsidRPr="001F1446">
              <w:rPr>
                <w:rFonts w:ascii="Times New Roman" w:eastAsia="Times New Roman" w:hAnsi="Times New Roman"/>
                <w:sz w:val="24"/>
                <w:szCs w:val="24"/>
              </w:rPr>
              <w:t xml:space="preserve">dentified cervical vertebrae, and both are in a fragmentary state of preservation. There are six identified thoracic vertebrae. All five lumbar vertebrae are present, but they are all fragmentary. There are two elements identified to be fragmentary sacrum. The manubrium is complete as well as the sternal body. There are six left ribs identified, and all are in a fragmentary state of preservation, and eight right ribs identified as fragmentary as well. The appendicular part of the skeleton is represented by several elements in a fragmentary state of preservation. Identified skeletal elements are the humeri, radii, ulnae, femora, tibiae, right fibula, </w:t>
            </w:r>
            <w:r w:rsidRPr="001F1446">
              <w:rPr>
                <w:rFonts w:ascii="Times New Roman" w:hAnsi="Times New Roman"/>
                <w:sz w:val="24"/>
                <w:szCs w:val="24"/>
              </w:rPr>
              <w:t xml:space="preserve">right scapula, ilia, pubes, and ischia. There are four metacarpals identified in the fragmentary state of preservation condition, as well as one proximal phalange found in fragmentary condition and a mid-phalange found in complete condition. There is one calcaneus identified in complete </w:t>
            </w:r>
            <w:r w:rsidRPr="001F1446">
              <w:rPr>
                <w:rFonts w:ascii="Times New Roman" w:hAnsi="Times New Roman"/>
                <w:sz w:val="24"/>
                <w:szCs w:val="24"/>
              </w:rPr>
              <w:lastRenderedPageBreak/>
              <w:t>condition and one talus identified in fragmentary condition. Along with these, there are two metatarsals identified in fragmentary condition as well as four middle phalanges in fragmentary condition.</w:t>
            </w:r>
          </w:p>
        </w:tc>
      </w:tr>
      <w:tr w:rsidR="005902FA" w:rsidRPr="001F1446" w14:paraId="555701D0" w14:textId="77777777" w:rsidTr="004227F2">
        <w:tc>
          <w:tcPr>
            <w:tcW w:w="903" w:type="pct"/>
          </w:tcPr>
          <w:p w14:paraId="6C084B2B" w14:textId="65510BFE"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 xml:space="preserve">Age: </w:t>
            </w:r>
          </w:p>
          <w:p w14:paraId="153893AE" w14:textId="67D81B33"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 xml:space="preserve">18 months </w:t>
            </w:r>
            <w:r w:rsidR="00A53262">
              <w:rPr>
                <w:rFonts w:ascii="Times New Roman" w:hAnsi="Times New Roman"/>
                <w:i/>
                <w:sz w:val="24"/>
                <w:szCs w:val="24"/>
              </w:rPr>
              <w:t>±</w:t>
            </w:r>
            <w:r w:rsidRPr="001F1446">
              <w:rPr>
                <w:rFonts w:ascii="Times New Roman" w:hAnsi="Times New Roman"/>
                <w:i/>
                <w:sz w:val="24"/>
                <w:szCs w:val="24"/>
              </w:rPr>
              <w:t xml:space="preserve"> 6</w:t>
            </w:r>
            <w:r w:rsidR="004227F2" w:rsidRPr="001F1446">
              <w:rPr>
                <w:rFonts w:ascii="Times New Roman" w:hAnsi="Times New Roman"/>
                <w:i/>
                <w:sz w:val="24"/>
                <w:szCs w:val="24"/>
              </w:rPr>
              <w:t xml:space="preserve"> </w:t>
            </w:r>
            <w:r w:rsidRPr="001F1446">
              <w:rPr>
                <w:rFonts w:ascii="Times New Roman" w:hAnsi="Times New Roman"/>
                <w:i/>
                <w:sz w:val="24"/>
                <w:szCs w:val="24"/>
              </w:rPr>
              <w:t>month</w:t>
            </w:r>
            <w:r w:rsidR="00A53262">
              <w:rPr>
                <w:rFonts w:ascii="Times New Roman" w:hAnsi="Times New Roman"/>
                <w:i/>
                <w:sz w:val="24"/>
                <w:szCs w:val="24"/>
              </w:rPr>
              <w:t>s</w:t>
            </w:r>
            <w:r w:rsidRPr="001F1446">
              <w:rPr>
                <w:rFonts w:ascii="Times New Roman" w:hAnsi="Times New Roman"/>
                <w:i/>
                <w:sz w:val="24"/>
                <w:szCs w:val="24"/>
              </w:rPr>
              <w:t xml:space="preserve"> to 2 </w:t>
            </w:r>
            <w:r w:rsidR="004227F2" w:rsidRPr="001F1446">
              <w:rPr>
                <w:rFonts w:ascii="Times New Roman" w:hAnsi="Times New Roman"/>
                <w:i/>
                <w:sz w:val="24"/>
                <w:szCs w:val="24"/>
              </w:rPr>
              <w:t>y</w:t>
            </w:r>
            <w:r w:rsidR="00A53262">
              <w:rPr>
                <w:rFonts w:ascii="Times New Roman" w:hAnsi="Times New Roman"/>
                <w:i/>
                <w:sz w:val="24"/>
                <w:szCs w:val="24"/>
              </w:rPr>
              <w:t>ears</w:t>
            </w:r>
            <w:r w:rsidRPr="001F1446">
              <w:rPr>
                <w:rFonts w:ascii="Times New Roman" w:hAnsi="Times New Roman"/>
                <w:i/>
                <w:sz w:val="24"/>
                <w:szCs w:val="24"/>
              </w:rPr>
              <w:t xml:space="preserve"> </w:t>
            </w:r>
            <w:r w:rsidR="00A53262">
              <w:rPr>
                <w:rFonts w:ascii="Times New Roman" w:hAnsi="Times New Roman"/>
                <w:i/>
                <w:sz w:val="24"/>
                <w:szCs w:val="24"/>
              </w:rPr>
              <w:t>±</w:t>
            </w:r>
            <w:r w:rsidRPr="001F1446">
              <w:rPr>
                <w:rFonts w:ascii="Times New Roman" w:hAnsi="Times New Roman"/>
                <w:i/>
                <w:sz w:val="24"/>
                <w:szCs w:val="24"/>
              </w:rPr>
              <w:t xml:space="preserve"> 8 month</w:t>
            </w:r>
            <w:r w:rsidR="00A53262">
              <w:rPr>
                <w:rFonts w:ascii="Times New Roman" w:hAnsi="Times New Roman"/>
                <w:i/>
                <w:sz w:val="24"/>
                <w:szCs w:val="24"/>
              </w:rPr>
              <w:t>s</w:t>
            </w:r>
            <w:r w:rsidRPr="001F1446">
              <w:rPr>
                <w:rFonts w:ascii="Times New Roman" w:hAnsi="Times New Roman"/>
                <w:i/>
                <w:sz w:val="24"/>
                <w:szCs w:val="24"/>
              </w:rPr>
              <w:t xml:space="preserve"> (omnibus skeletal age)</w:t>
            </w:r>
          </w:p>
        </w:tc>
        <w:tc>
          <w:tcPr>
            <w:tcW w:w="4097" w:type="pct"/>
            <w:vAlign w:val="center"/>
          </w:tcPr>
          <w:p w14:paraId="368632C8" w14:textId="5838C60B"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Looking at the epiphyseal unions, the superior and inferior epiphyses of the cervical vertebrae are unfused, as are those for the thoracic vertebra</w:t>
            </w:r>
            <w:r w:rsidR="003F5C0F">
              <w:rPr>
                <w:rFonts w:ascii="Times New Roman" w:hAnsi="Times New Roman"/>
                <w:sz w:val="24"/>
                <w:szCs w:val="24"/>
              </w:rPr>
              <w:t>’</w:t>
            </w:r>
            <w:r w:rsidRPr="001F1446">
              <w:rPr>
                <w:rFonts w:ascii="Times New Roman" w:hAnsi="Times New Roman"/>
                <w:sz w:val="24"/>
                <w:szCs w:val="24"/>
              </w:rPr>
              <w:t>s superior and inferior unions, and the lumbar vertebra</w:t>
            </w:r>
            <w:r w:rsidR="003F5C0F">
              <w:rPr>
                <w:rFonts w:ascii="Times New Roman" w:hAnsi="Times New Roman"/>
                <w:sz w:val="24"/>
                <w:szCs w:val="24"/>
              </w:rPr>
              <w:t>’</w:t>
            </w:r>
            <w:r w:rsidRPr="001F1446">
              <w:rPr>
                <w:rFonts w:ascii="Times New Roman" w:hAnsi="Times New Roman"/>
                <w:sz w:val="24"/>
                <w:szCs w:val="24"/>
              </w:rPr>
              <w:t>s superior and inferior unions. The neural arches are fused both the cervical and thoracic vertebrae. The mandibular symphysis is fused. The left and right humeri heads both are unfused, as are the epiphyses for the radii, ulnae, femora, tibiae, fibulae, and the innominates. The epiphyses for the distal metacarpals are unfused, also observed in the tarsal phalange proximal epiphysis. The basilar suture of the cranium is unfused. The age estimation for this individual was based on dental development, size, epiphyseal union, and primary ossification center.</w:t>
            </w:r>
          </w:p>
        </w:tc>
      </w:tr>
      <w:tr w:rsidR="005902FA" w:rsidRPr="001F1446" w14:paraId="59EB4695" w14:textId="77777777" w:rsidTr="004227F2">
        <w:tc>
          <w:tcPr>
            <w:tcW w:w="903" w:type="pct"/>
          </w:tcPr>
          <w:p w14:paraId="05ED7CA1"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Dentition: present</w:t>
            </w:r>
          </w:p>
          <w:p w14:paraId="02D2EDD4"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97" w:type="pct"/>
            <w:vAlign w:val="center"/>
          </w:tcPr>
          <w:p w14:paraId="70FAA079" w14:textId="6A3D44BF"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From the maxillary right deciduous second molar (#51) to the maxillary left deciduous second molar (#60) are all found to be un-sided with unobservable development stages. The same observation was made for the mandibular deciduous teeth (#61</w:t>
            </w:r>
            <w:r w:rsidR="003A7D64">
              <w:rPr>
                <w:rFonts w:ascii="Times New Roman" w:hAnsi="Times New Roman"/>
                <w:sz w:val="24"/>
                <w:szCs w:val="24"/>
              </w:rPr>
              <w:t>–</w:t>
            </w:r>
            <w:r w:rsidRPr="001F1446">
              <w:rPr>
                <w:rFonts w:ascii="Times New Roman" w:hAnsi="Times New Roman"/>
                <w:sz w:val="24"/>
                <w:szCs w:val="24"/>
              </w:rPr>
              <w:t>#70). There is an unidentified canine fragment that is un-sided and missing the root. The maxillary right permanent first molar (#3) is missing the roots but had a possible cavity on the occlusal side of the tooth as well as initial root formation present. The maxillary right permanent central incisor (#8) has no wear, and a complete crown. The maxillary left permanent first molar (#14) has no wear and has an initial root formation. On the mandibular teeth, there are a total of five unerupted teeth. The mandibular left permanent first molar (#19) has no wear and has an initial cleft formation. The mandibular right permanent central and lateral incisors (#25, #26) both have no wear, and have complete crowns. The mandibular right permanent first molar (#30) is unerupted with initial cleft formation.</w:t>
            </w:r>
          </w:p>
        </w:tc>
      </w:tr>
      <w:tr w:rsidR="005902FA" w:rsidRPr="001F1446" w14:paraId="5ABB4BCE" w14:textId="77777777" w:rsidTr="004227F2">
        <w:tc>
          <w:tcPr>
            <w:tcW w:w="903" w:type="pct"/>
          </w:tcPr>
          <w:p w14:paraId="31FFA004"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097" w:type="pct"/>
            <w:vAlign w:val="center"/>
          </w:tcPr>
          <w:p w14:paraId="36AA83C8" w14:textId="441C4904"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Cribra orbitalia on right and left orbits, porotic hyperostosis</w:t>
            </w:r>
            <w:r w:rsidR="004227F2" w:rsidRPr="001F1446">
              <w:rPr>
                <w:rFonts w:ascii="Times New Roman" w:hAnsi="Times New Roman"/>
                <w:sz w:val="24"/>
                <w:szCs w:val="24"/>
              </w:rPr>
              <w:t>.</w:t>
            </w:r>
          </w:p>
          <w:p w14:paraId="468E70B0" w14:textId="77B05E3D"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Microporosity on basilar part of occipital and on right sphenoid</w:t>
            </w:r>
            <w:r w:rsidR="004227F2" w:rsidRPr="001F1446">
              <w:rPr>
                <w:rFonts w:ascii="Times New Roman" w:hAnsi="Times New Roman"/>
                <w:sz w:val="24"/>
                <w:szCs w:val="24"/>
              </w:rPr>
              <w:t>.</w:t>
            </w:r>
          </w:p>
          <w:p w14:paraId="6185F264" w14:textId="3F77D076"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lastRenderedPageBreak/>
              <w:t>Some cranial microporosity,</w:t>
            </w:r>
            <w:r w:rsidR="005F2A5F">
              <w:rPr>
                <w:rFonts w:ascii="Times New Roman" w:hAnsi="Times New Roman"/>
                <w:sz w:val="24"/>
                <w:szCs w:val="24"/>
              </w:rPr>
              <w:t xml:space="preserve"> </w:t>
            </w:r>
            <w:r w:rsidR="001D1F6A">
              <w:rPr>
                <w:rFonts w:ascii="Times New Roman" w:hAnsi="Times New Roman"/>
                <w:sz w:val="24"/>
                <w:szCs w:val="24"/>
              </w:rPr>
              <w:t>macroporosity</w:t>
            </w:r>
            <w:r w:rsidRPr="001F1446">
              <w:rPr>
                <w:rFonts w:ascii="Times New Roman" w:hAnsi="Times New Roman"/>
                <w:sz w:val="24"/>
                <w:szCs w:val="24"/>
              </w:rPr>
              <w:t xml:space="preserve"> and sclerotic bone growth</w:t>
            </w:r>
            <w:r w:rsidR="004227F2" w:rsidRPr="001F1446">
              <w:rPr>
                <w:rFonts w:ascii="Times New Roman" w:hAnsi="Times New Roman"/>
                <w:sz w:val="24"/>
                <w:szCs w:val="24"/>
              </w:rPr>
              <w:t>.</w:t>
            </w:r>
            <w:r w:rsidRPr="001F1446">
              <w:rPr>
                <w:rFonts w:ascii="Times New Roman" w:hAnsi="Times New Roman"/>
                <w:sz w:val="24"/>
                <w:szCs w:val="24"/>
              </w:rPr>
              <w:t xml:space="preserve"> </w:t>
            </w:r>
          </w:p>
          <w:p w14:paraId="6AB0DA17" w14:textId="06508B60"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Sclerotic bone growth on orbital part of maxilla</w:t>
            </w:r>
            <w:r w:rsidR="004227F2" w:rsidRPr="001F1446">
              <w:rPr>
                <w:rFonts w:ascii="Times New Roman" w:hAnsi="Times New Roman"/>
                <w:sz w:val="24"/>
                <w:szCs w:val="24"/>
              </w:rPr>
              <w:t>.</w:t>
            </w:r>
            <w:r w:rsidRPr="001F1446">
              <w:rPr>
                <w:rFonts w:ascii="Times New Roman" w:hAnsi="Times New Roman"/>
                <w:sz w:val="24"/>
                <w:szCs w:val="24"/>
              </w:rPr>
              <w:t xml:space="preserve"> </w:t>
            </w:r>
          </w:p>
          <w:p w14:paraId="1DAB968C" w14:textId="0C29E5DD"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Healed periosteal reaction on tibia shaft fragment</w:t>
            </w:r>
            <w:r w:rsidR="004227F2" w:rsidRPr="001F1446">
              <w:rPr>
                <w:rFonts w:ascii="Times New Roman" w:hAnsi="Times New Roman"/>
                <w:sz w:val="24"/>
                <w:szCs w:val="24"/>
              </w:rPr>
              <w:t>.</w:t>
            </w:r>
          </w:p>
        </w:tc>
      </w:tr>
      <w:tr w:rsidR="005902FA" w:rsidRPr="001F1446" w14:paraId="528DDE71" w14:textId="77777777" w:rsidTr="004227F2">
        <w:tc>
          <w:tcPr>
            <w:tcW w:w="903" w:type="pct"/>
          </w:tcPr>
          <w:p w14:paraId="5E57FA98"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Thermal alterations: present</w:t>
            </w:r>
          </w:p>
        </w:tc>
        <w:tc>
          <w:tcPr>
            <w:tcW w:w="4097" w:type="pct"/>
            <w:vAlign w:val="center"/>
          </w:tcPr>
          <w:p w14:paraId="70359479" w14:textId="10233804"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deposit type for this feature is a secondary cremation deposit with the primary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of the bones found to be white with a secondary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of dark </w:t>
            </w:r>
            <w:r w:rsidR="003F5C0F">
              <w:rPr>
                <w:rFonts w:ascii="Times New Roman" w:hAnsi="Times New Roman"/>
                <w:sz w:val="24"/>
                <w:szCs w:val="24"/>
              </w:rPr>
              <w:t>grey</w:t>
            </w:r>
            <w:r w:rsidRPr="001F1446">
              <w:rPr>
                <w:rFonts w:ascii="Times New Roman" w:hAnsi="Times New Roman"/>
                <w:sz w:val="24"/>
                <w:szCs w:val="24"/>
              </w:rPr>
              <w:t>. There is calcination on the bones. There is moderate warping with moderate horizontal, vertical, and concentric cracking on the bones as well. The maximum length for a bone found in this feature is 49.90mm identified as a part of a major long bone. The average length for a bone is 8.53mm.</w:t>
            </w:r>
          </w:p>
        </w:tc>
      </w:tr>
    </w:tbl>
    <w:tbl>
      <w:tblPr>
        <w:tblStyle w:val="TableGrid2"/>
        <w:tblW w:w="5051" w:type="pct"/>
        <w:tblLook w:val="04A0" w:firstRow="1" w:lastRow="0" w:firstColumn="1" w:lastColumn="0" w:noHBand="0" w:noVBand="1"/>
      </w:tblPr>
      <w:tblGrid>
        <w:gridCol w:w="2363"/>
        <w:gridCol w:w="10719"/>
      </w:tblGrid>
      <w:tr w:rsidR="005902FA" w:rsidRPr="001F1446" w14:paraId="37793999" w14:textId="77777777" w:rsidTr="004227F2">
        <w:tc>
          <w:tcPr>
            <w:tcW w:w="903" w:type="pct"/>
          </w:tcPr>
          <w:p w14:paraId="279B71E4" w14:textId="1982E9BF" w:rsidR="005902FA" w:rsidRPr="001F1446" w:rsidRDefault="005902FA" w:rsidP="001F1446">
            <w:pPr>
              <w:tabs>
                <w:tab w:val="left" w:pos="1620"/>
              </w:tabs>
              <w:spacing w:after="0" w:line="360" w:lineRule="auto"/>
              <w:rPr>
                <w:rFonts w:ascii="Times New Roman" w:hAnsi="Times New Roman"/>
                <w:b/>
                <w:sz w:val="24"/>
                <w:szCs w:val="24"/>
                <w:lang w:val="fr-FR"/>
              </w:rPr>
            </w:pPr>
            <w:r w:rsidRPr="001F1446">
              <w:rPr>
                <w:rFonts w:ascii="Times New Roman" w:hAnsi="Times New Roman"/>
                <w:b/>
                <w:sz w:val="24"/>
                <w:szCs w:val="24"/>
                <w:lang w:val="fr-FR"/>
              </w:rPr>
              <w:t>Individua</w:t>
            </w:r>
            <w:r w:rsidR="003F5C0F">
              <w:rPr>
                <w:rFonts w:ascii="Times New Roman" w:hAnsi="Times New Roman"/>
                <w:b/>
                <w:sz w:val="24"/>
                <w:szCs w:val="24"/>
                <w:lang w:val="fr-FR"/>
              </w:rPr>
              <w:t> </w:t>
            </w:r>
            <w:r w:rsidRPr="001F1446">
              <w:rPr>
                <w:rFonts w:ascii="Times New Roman" w:hAnsi="Times New Roman"/>
                <w:b/>
                <w:sz w:val="24"/>
                <w:szCs w:val="24"/>
                <w:lang w:val="fr-FR"/>
              </w:rPr>
              <w:t xml:space="preserve">l: L 2068 </w:t>
            </w:r>
          </w:p>
          <w:p w14:paraId="116CED55" w14:textId="4E4E062C" w:rsidR="005902FA" w:rsidRPr="001F1446" w:rsidRDefault="005902FA" w:rsidP="001F1446">
            <w:pPr>
              <w:tabs>
                <w:tab w:val="left" w:pos="1620"/>
              </w:tabs>
              <w:spacing w:after="0" w:line="360" w:lineRule="auto"/>
              <w:rPr>
                <w:rFonts w:ascii="Times New Roman" w:hAnsi="Times New Roman"/>
                <w:sz w:val="24"/>
                <w:szCs w:val="24"/>
                <w:lang w:val="fr-FR"/>
              </w:rPr>
            </w:pPr>
            <w:r w:rsidRPr="001F1446">
              <w:rPr>
                <w:rFonts w:ascii="Times New Roman" w:hAnsi="Times New Roman"/>
                <w:sz w:val="24"/>
                <w:szCs w:val="24"/>
                <w:lang w:val="fr-FR"/>
              </w:rPr>
              <w:t>Date</w:t>
            </w:r>
            <w:r w:rsidR="003F5C0F">
              <w:rPr>
                <w:rFonts w:ascii="Times New Roman" w:hAnsi="Times New Roman"/>
                <w:sz w:val="24"/>
                <w:szCs w:val="24"/>
                <w:lang w:val="fr-FR"/>
              </w:rPr>
              <w:t> </w:t>
            </w:r>
            <w:r w:rsidRPr="001F1446">
              <w:rPr>
                <w:rFonts w:ascii="Times New Roman" w:hAnsi="Times New Roman"/>
                <w:sz w:val="24"/>
                <w:szCs w:val="24"/>
                <w:lang w:val="fr-FR"/>
              </w:rPr>
              <w:t>s:</w:t>
            </w:r>
          </w:p>
          <w:p w14:paraId="1AD97D85" w14:textId="7ED28E61" w:rsidR="005902FA" w:rsidRPr="001F1446" w:rsidRDefault="005902FA" w:rsidP="001F1446">
            <w:pPr>
              <w:tabs>
                <w:tab w:val="left" w:pos="1620"/>
              </w:tabs>
              <w:spacing w:after="0" w:line="360" w:lineRule="auto"/>
              <w:rPr>
                <w:rFonts w:ascii="Times New Roman" w:hAnsi="Times New Roman"/>
                <w:b/>
                <w:sz w:val="24"/>
                <w:szCs w:val="24"/>
                <w:lang w:val="fr-FR"/>
              </w:rPr>
            </w:pPr>
            <w:r w:rsidRPr="001F1446">
              <w:rPr>
                <w:rFonts w:ascii="Times New Roman" w:hAnsi="Times New Roman"/>
                <w:sz w:val="24"/>
                <w:szCs w:val="24"/>
                <w:lang w:val="fr-FR"/>
              </w:rPr>
              <w:t>27 BC</w:t>
            </w:r>
            <w:r w:rsidR="00073B62">
              <w:rPr>
                <w:rFonts w:ascii="Times New Roman" w:hAnsi="Times New Roman"/>
                <w:sz w:val="24"/>
                <w:szCs w:val="24"/>
                <w:lang w:val="fr-FR"/>
              </w:rPr>
              <w:t xml:space="preserve">–AD </w:t>
            </w:r>
            <w:r w:rsidRPr="001F1446">
              <w:rPr>
                <w:rFonts w:ascii="Times New Roman" w:hAnsi="Times New Roman"/>
                <w:sz w:val="24"/>
                <w:szCs w:val="24"/>
                <w:lang w:val="fr-FR"/>
              </w:rPr>
              <w:t>14</w:t>
            </w:r>
          </w:p>
        </w:tc>
        <w:tc>
          <w:tcPr>
            <w:tcW w:w="4097" w:type="pct"/>
          </w:tcPr>
          <w:p w14:paraId="24B10E2A" w14:textId="0296440F" w:rsidR="005902FA" w:rsidRPr="001F1446" w:rsidRDefault="005902FA" w:rsidP="001F1446">
            <w:pPr>
              <w:tabs>
                <w:tab w:val="left" w:pos="1620"/>
              </w:tabs>
              <w:spacing w:after="0" w:line="360" w:lineRule="auto"/>
              <w:rPr>
                <w:rFonts w:ascii="Times New Roman" w:eastAsia="Times New Roman" w:hAnsi="Times New Roman"/>
                <w:bCs/>
                <w:sz w:val="24"/>
                <w:szCs w:val="24"/>
              </w:rPr>
            </w:pPr>
            <w:r w:rsidRPr="001F1446">
              <w:rPr>
                <w:rFonts w:ascii="Times New Roman" w:hAnsi="Times New Roman"/>
                <w:sz w:val="24"/>
                <w:szCs w:val="24"/>
              </w:rPr>
              <w:t xml:space="preserve">Beginning with the cranial features of the skeleton, both the left and right frontal bones are in a fragmentary state of preservation, as are the left and right sides of the parietal, occipital, temporals, mandible, zygomatic, maxillae, palatines, and the sphenoid. The vomer is present. There is also one incomplete ossicle. </w:t>
            </w:r>
            <w:r w:rsidRPr="001F1446">
              <w:rPr>
                <w:rFonts w:ascii="Times New Roman" w:eastAsia="Times New Roman" w:hAnsi="Times New Roman"/>
                <w:sz w:val="24"/>
                <w:szCs w:val="24"/>
              </w:rPr>
              <w:t>In the axial skeleton, the first and second cervical vertebrae are both found to be fragmentary. There are two identified cervical vertebrae (C3</w:t>
            </w:r>
            <w:r w:rsidR="00073B62">
              <w:rPr>
                <w:rFonts w:ascii="Times New Roman" w:eastAsia="Times New Roman" w:hAnsi="Times New Roman"/>
                <w:sz w:val="24"/>
                <w:szCs w:val="24"/>
              </w:rPr>
              <w:t>–</w:t>
            </w:r>
            <w:r w:rsidRPr="001F1446">
              <w:rPr>
                <w:rFonts w:ascii="Times New Roman" w:eastAsia="Times New Roman" w:hAnsi="Times New Roman"/>
                <w:sz w:val="24"/>
                <w:szCs w:val="24"/>
              </w:rPr>
              <w:t xml:space="preserve">C6), and both are fragmentary. The first through the tenth thoracic vertebrae are all found to be fragmentary. There are three identified lumbar vertebrae, and they are in fragmentary condition as well. There is one element identified to be part of the sacrum, and it is in fragmentary condition. There are twelve left ribs and ten right ribs identified in fragmentary condition. The appendicular area of the skeleton is represented by the following fragmented bones: the humeri, </w:t>
            </w:r>
            <w:r w:rsidRPr="001F1446">
              <w:rPr>
                <w:rFonts w:ascii="Times New Roman" w:hAnsi="Times New Roman"/>
                <w:sz w:val="24"/>
                <w:szCs w:val="24"/>
              </w:rPr>
              <w:t xml:space="preserve">radii, left ulna, an un-sided ulna, femora, tibiae, and left fibula. The extremities are represented by skeletal elements in a fragmented state of preservation. The elements that were identified are </w:t>
            </w:r>
            <w:r w:rsidRPr="001F1446">
              <w:rPr>
                <w:rFonts w:ascii="Times New Roman" w:eastAsia="Times New Roman" w:hAnsi="Times New Roman"/>
                <w:sz w:val="24"/>
                <w:szCs w:val="24"/>
              </w:rPr>
              <w:t>three metacarpal</w:t>
            </w:r>
            <w:r w:rsidR="00C10F11" w:rsidRPr="001F1446">
              <w:rPr>
                <w:rFonts w:ascii="Times New Roman" w:eastAsia="Times New Roman" w:hAnsi="Times New Roman"/>
                <w:sz w:val="24"/>
                <w:szCs w:val="24"/>
              </w:rPr>
              <w:t>s</w:t>
            </w:r>
            <w:r w:rsidRPr="001F1446">
              <w:rPr>
                <w:rFonts w:ascii="Times New Roman" w:eastAsia="Times New Roman" w:hAnsi="Times New Roman"/>
                <w:sz w:val="24"/>
                <w:szCs w:val="24"/>
              </w:rPr>
              <w:t>, and three proximal phalanges in partial condition. Three mid phalanges are also identified. There are also five metatarsals identified in fragmentary condition.</w:t>
            </w:r>
          </w:p>
        </w:tc>
      </w:tr>
      <w:tr w:rsidR="005902FA" w:rsidRPr="001F1446" w14:paraId="7423C9BA" w14:textId="77777777" w:rsidTr="004227F2">
        <w:tc>
          <w:tcPr>
            <w:tcW w:w="903" w:type="pct"/>
          </w:tcPr>
          <w:p w14:paraId="40A38257" w14:textId="59BDB5C2"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Age: 10.5 months ± 3 months (omnibus skeletal age)</w:t>
            </w:r>
          </w:p>
          <w:p w14:paraId="5BCC22B0"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97" w:type="pct"/>
            <w:vAlign w:val="center"/>
          </w:tcPr>
          <w:p w14:paraId="415BA709"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epiphyses of the cervical, thoracic, and lumbar vertebrae all are unfused. The epiphyses present in the axial and appendicular features are all unfused. The cranial epiphyses present are unfused except the mandibular symphysis having a complete fusion. The age estimation of this individual was based on dental development, epiphyseal union, and primary ossification centers.</w:t>
            </w:r>
          </w:p>
        </w:tc>
      </w:tr>
      <w:tr w:rsidR="005902FA" w:rsidRPr="001F1446" w14:paraId="2321E6F9" w14:textId="77777777" w:rsidTr="004227F2">
        <w:tc>
          <w:tcPr>
            <w:tcW w:w="903" w:type="pct"/>
          </w:tcPr>
          <w:p w14:paraId="1BFECD06"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Dentition: present</w:t>
            </w:r>
          </w:p>
          <w:p w14:paraId="190C1AC0"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97" w:type="pct"/>
            <w:vAlign w:val="center"/>
          </w:tcPr>
          <w:p w14:paraId="006AFABD" w14:textId="3399FAE0"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maxillary right deciduous second molar (#51) has no wear and presents initial cleft formation. The maxillary right deciduous canine (#53) has wear, is not in occlusion, and has a crown that is</w:t>
            </w:r>
            <w:r w:rsidR="003F5C0F">
              <w:rPr>
                <w:rFonts w:ascii="Times New Roman" w:hAnsi="Times New Roman"/>
                <w:sz w:val="24"/>
                <w:szCs w:val="24"/>
              </w:rPr>
              <w:t>¾</w:t>
            </w:r>
            <w:r w:rsidRPr="001F1446">
              <w:rPr>
                <w:rFonts w:ascii="Times New Roman" w:hAnsi="Times New Roman"/>
                <w:sz w:val="24"/>
                <w:szCs w:val="24"/>
              </w:rPr>
              <w:t>4 complete. The maxillary right deciduous central incisor (#55) has initial cleft formation with no wear and is not in occlusion. The maxillary left deciduous canine has</w:t>
            </w:r>
            <w:r w:rsidR="003F5C0F">
              <w:rPr>
                <w:rFonts w:ascii="Times New Roman" w:hAnsi="Times New Roman"/>
                <w:sz w:val="24"/>
                <w:szCs w:val="24"/>
              </w:rPr>
              <w:t>¼</w:t>
            </w:r>
            <w:r w:rsidRPr="001F1446">
              <w:rPr>
                <w:rFonts w:ascii="Times New Roman" w:hAnsi="Times New Roman"/>
                <w:sz w:val="24"/>
                <w:szCs w:val="24"/>
              </w:rPr>
              <w:t>4 root length with no wear and is not in occlusion. Lastly, for the maxillary deciduous teeth, the maxillary left deciduous second molar (#60) has initial cleft formation, no wear and is not in occlusion. In the mandibular deciduous teeth, the mandibular left deciduous second molar (#61) has unobservable wear but has initial cleft formation. For the mandibular left deciduous first molar (#62), the wear is unobservable due to breakage. The mandibular left deciduous canine (#63), mandibular left deciduous central incisor (#65), and all of the right mandibular deciduous teeth (#66</w:t>
            </w:r>
            <w:r w:rsidR="00B25106">
              <w:rPr>
                <w:rFonts w:ascii="Times New Roman" w:hAnsi="Times New Roman"/>
                <w:sz w:val="24"/>
                <w:szCs w:val="24"/>
              </w:rPr>
              <w:t>–</w:t>
            </w:r>
            <w:r w:rsidRPr="001F1446">
              <w:rPr>
                <w:rFonts w:ascii="Times New Roman" w:hAnsi="Times New Roman"/>
                <w:sz w:val="24"/>
                <w:szCs w:val="24"/>
              </w:rPr>
              <w:t>#69), except the second molar, have wear that is unobservable due to breakage. The mandibular left deciduous lateral incisor (#64) has</w:t>
            </w:r>
            <w:r w:rsidR="003F5C0F">
              <w:rPr>
                <w:rFonts w:ascii="Times New Roman" w:hAnsi="Times New Roman"/>
                <w:sz w:val="24"/>
                <w:szCs w:val="24"/>
              </w:rPr>
              <w:t>½</w:t>
            </w:r>
            <w:r w:rsidRPr="001F1446">
              <w:rPr>
                <w:rFonts w:ascii="Times New Roman" w:hAnsi="Times New Roman"/>
                <w:sz w:val="24"/>
                <w:szCs w:val="24"/>
              </w:rPr>
              <w:t>2 root length. The mandibular right deciduous second molar (#70) has unobservable wear but the initial left cleft formation.</w:t>
            </w:r>
          </w:p>
        </w:tc>
      </w:tr>
      <w:tr w:rsidR="005902FA" w:rsidRPr="001F1446" w14:paraId="4671C590" w14:textId="77777777" w:rsidTr="004227F2">
        <w:tc>
          <w:tcPr>
            <w:tcW w:w="903" w:type="pct"/>
          </w:tcPr>
          <w:p w14:paraId="66A6AEC8"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097" w:type="pct"/>
            <w:vAlign w:val="center"/>
          </w:tcPr>
          <w:p w14:paraId="238C0936" w14:textId="78A64DA1"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Cribra orbitalia</w:t>
            </w:r>
            <w:r w:rsidR="003F5C0F">
              <w:rPr>
                <w:rFonts w:ascii="Times New Roman" w:hAnsi="Times New Roman"/>
                <w:sz w:val="24"/>
                <w:szCs w:val="24"/>
              </w:rPr>
              <w:t>.</w:t>
            </w:r>
            <w:r w:rsidRPr="001F1446">
              <w:rPr>
                <w:rFonts w:ascii="Times New Roman" w:hAnsi="Times New Roman"/>
                <w:sz w:val="24"/>
                <w:szCs w:val="24"/>
              </w:rPr>
              <w:t xml:space="preserve"> </w:t>
            </w:r>
          </w:p>
          <w:p w14:paraId="4E4A109E" w14:textId="35C81775"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Porotic hyperostosis</w:t>
            </w:r>
            <w:r w:rsidR="003F5C0F">
              <w:rPr>
                <w:rFonts w:ascii="Times New Roman" w:hAnsi="Times New Roman"/>
                <w:sz w:val="24"/>
                <w:szCs w:val="24"/>
              </w:rPr>
              <w:t>.</w:t>
            </w:r>
            <w:r w:rsidRPr="001F1446">
              <w:rPr>
                <w:rFonts w:ascii="Times New Roman" w:hAnsi="Times New Roman"/>
                <w:sz w:val="24"/>
                <w:szCs w:val="24"/>
              </w:rPr>
              <w:t xml:space="preserve"> </w:t>
            </w:r>
          </w:p>
          <w:p w14:paraId="0A6C597D" w14:textId="51081A1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Microporosity and sclerotic bone on basilar part of occipital</w:t>
            </w:r>
            <w:r w:rsidR="003F5C0F">
              <w:rPr>
                <w:rFonts w:ascii="Times New Roman" w:hAnsi="Times New Roman"/>
                <w:sz w:val="24"/>
                <w:szCs w:val="24"/>
              </w:rPr>
              <w:t>.</w:t>
            </w:r>
            <w:r w:rsidRPr="001F1446">
              <w:rPr>
                <w:rFonts w:ascii="Times New Roman" w:hAnsi="Times New Roman"/>
                <w:sz w:val="24"/>
                <w:szCs w:val="24"/>
              </w:rPr>
              <w:t xml:space="preserve"> </w:t>
            </w:r>
          </w:p>
          <w:p w14:paraId="79B1CCF3" w14:textId="27485BD3"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Microporosity and </w:t>
            </w:r>
            <w:r w:rsidR="001D1F6A">
              <w:rPr>
                <w:rFonts w:ascii="Times New Roman" w:hAnsi="Times New Roman"/>
                <w:sz w:val="24"/>
                <w:szCs w:val="24"/>
              </w:rPr>
              <w:t>macroporosity</w:t>
            </w:r>
            <w:r w:rsidRPr="001F1446">
              <w:rPr>
                <w:rFonts w:ascii="Times New Roman" w:hAnsi="Times New Roman"/>
                <w:sz w:val="24"/>
                <w:szCs w:val="24"/>
              </w:rPr>
              <w:t xml:space="preserve"> at frontal/zygomatic articulation, part basilaris and all ectocranial surfaces, mental eminence. Active periosteal reaction on frontals</w:t>
            </w:r>
            <w:r w:rsidR="004227F2" w:rsidRPr="001F1446">
              <w:rPr>
                <w:rFonts w:ascii="Times New Roman" w:hAnsi="Times New Roman"/>
                <w:sz w:val="24"/>
                <w:szCs w:val="24"/>
              </w:rPr>
              <w:t>.</w:t>
            </w:r>
            <w:r w:rsidRPr="001F1446">
              <w:rPr>
                <w:rFonts w:ascii="Times New Roman" w:hAnsi="Times New Roman"/>
                <w:sz w:val="24"/>
                <w:szCs w:val="24"/>
              </w:rPr>
              <w:t xml:space="preserve"> </w:t>
            </w:r>
          </w:p>
          <w:p w14:paraId="35107D7D" w14:textId="2E439B75"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Active periosteal reaction and minor healing on some endocranial fragments</w:t>
            </w:r>
            <w:r w:rsidR="004227F2" w:rsidRPr="001F1446">
              <w:rPr>
                <w:rFonts w:ascii="Times New Roman" w:hAnsi="Times New Roman"/>
                <w:sz w:val="24"/>
                <w:szCs w:val="24"/>
              </w:rPr>
              <w:t>.</w:t>
            </w:r>
            <w:r w:rsidRPr="001F1446">
              <w:rPr>
                <w:rFonts w:ascii="Times New Roman" w:hAnsi="Times New Roman"/>
                <w:sz w:val="24"/>
                <w:szCs w:val="24"/>
              </w:rPr>
              <w:t xml:space="preserve"> </w:t>
            </w:r>
          </w:p>
          <w:p w14:paraId="54AAFDF3" w14:textId="49CF3C2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lastRenderedPageBreak/>
              <w:t xml:space="preserve">Sclerotic bone on right lingual surface of mandible and </w:t>
            </w:r>
            <w:r w:rsidR="004227F2" w:rsidRPr="001F1446">
              <w:rPr>
                <w:rFonts w:ascii="Times New Roman" w:hAnsi="Times New Roman"/>
                <w:sz w:val="24"/>
                <w:szCs w:val="24"/>
              </w:rPr>
              <w:t>left</w:t>
            </w:r>
            <w:r w:rsidRPr="001F1446">
              <w:rPr>
                <w:rFonts w:ascii="Times New Roman" w:hAnsi="Times New Roman"/>
                <w:sz w:val="24"/>
                <w:szCs w:val="24"/>
              </w:rPr>
              <w:t xml:space="preserve"> mandibular condyle</w:t>
            </w:r>
            <w:r w:rsidR="004227F2" w:rsidRPr="001F1446">
              <w:rPr>
                <w:rFonts w:ascii="Times New Roman" w:hAnsi="Times New Roman"/>
                <w:sz w:val="24"/>
                <w:szCs w:val="24"/>
              </w:rPr>
              <w:t>.</w:t>
            </w:r>
            <w:r w:rsidRPr="001F1446">
              <w:rPr>
                <w:rFonts w:ascii="Times New Roman" w:hAnsi="Times New Roman"/>
                <w:sz w:val="24"/>
                <w:szCs w:val="24"/>
              </w:rPr>
              <w:t xml:space="preserve"> </w:t>
            </w:r>
          </w:p>
          <w:p w14:paraId="3EDD2F71" w14:textId="72AF9192"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Periosteal reactions on shaft of right rib, 21 unidentified long bones shaft fragments, right shaft of humerus anterior and medial, right shaft of radius, left ulna shaft, fibula, right tibia, left femur</w:t>
            </w:r>
            <w:r w:rsidR="004227F2" w:rsidRPr="001F1446">
              <w:rPr>
                <w:rFonts w:ascii="Times New Roman" w:hAnsi="Times New Roman"/>
                <w:sz w:val="24"/>
                <w:szCs w:val="24"/>
              </w:rPr>
              <w:t>.</w:t>
            </w:r>
          </w:p>
        </w:tc>
      </w:tr>
      <w:tr w:rsidR="005902FA" w:rsidRPr="001F1446" w14:paraId="40474AA1" w14:textId="77777777" w:rsidTr="004227F2">
        <w:tc>
          <w:tcPr>
            <w:tcW w:w="903" w:type="pct"/>
          </w:tcPr>
          <w:p w14:paraId="15B4F20B"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Thermal alterations: present</w:t>
            </w:r>
          </w:p>
        </w:tc>
        <w:tc>
          <w:tcPr>
            <w:tcW w:w="4097" w:type="pct"/>
            <w:vAlign w:val="center"/>
          </w:tcPr>
          <w:p w14:paraId="59B64378" w14:textId="143BCB4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primary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being </w:t>
            </w:r>
            <w:r w:rsidR="003F5C0F">
              <w:rPr>
                <w:rFonts w:ascii="Times New Roman" w:hAnsi="Times New Roman"/>
                <w:sz w:val="24"/>
                <w:szCs w:val="24"/>
              </w:rPr>
              <w:t>grey</w:t>
            </w:r>
            <w:r w:rsidRPr="001F1446">
              <w:rPr>
                <w:rFonts w:ascii="Times New Roman" w:hAnsi="Times New Roman"/>
                <w:sz w:val="24"/>
                <w:szCs w:val="24"/>
              </w:rPr>
              <w:t xml:space="preserve"> with the secondary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being </w:t>
            </w:r>
            <w:r w:rsidR="003F5C0F">
              <w:rPr>
                <w:rFonts w:ascii="Times New Roman" w:hAnsi="Times New Roman"/>
                <w:sz w:val="24"/>
                <w:szCs w:val="24"/>
              </w:rPr>
              <w:t>grey</w:t>
            </w:r>
            <w:r w:rsidRPr="001F1446">
              <w:rPr>
                <w:rFonts w:ascii="Times New Roman" w:hAnsi="Times New Roman"/>
                <w:sz w:val="24"/>
                <w:szCs w:val="24"/>
              </w:rPr>
              <w:t>. There is moderate warping on the bones as well as moderate horizontal, vertical, and concentric cracking. The maximum length of a bone was recorded at 36.33mm.</w:t>
            </w:r>
          </w:p>
        </w:tc>
      </w:tr>
    </w:tbl>
    <w:tbl>
      <w:tblPr>
        <w:tblStyle w:val="TableGrid3"/>
        <w:tblW w:w="5051" w:type="pct"/>
        <w:tblLook w:val="04A0" w:firstRow="1" w:lastRow="0" w:firstColumn="1" w:lastColumn="0" w:noHBand="0" w:noVBand="1"/>
      </w:tblPr>
      <w:tblGrid>
        <w:gridCol w:w="2363"/>
        <w:gridCol w:w="10719"/>
      </w:tblGrid>
      <w:tr w:rsidR="005902FA" w:rsidRPr="001F1446" w14:paraId="7F4EEF0F" w14:textId="77777777" w:rsidTr="004227F2">
        <w:tc>
          <w:tcPr>
            <w:tcW w:w="903" w:type="pct"/>
          </w:tcPr>
          <w:p w14:paraId="0A06DBE2"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t>Individual: L 2099</w:t>
            </w:r>
          </w:p>
          <w:p w14:paraId="442E14F7"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Dates: </w:t>
            </w:r>
          </w:p>
          <w:p w14:paraId="36E7137C" w14:textId="71DA5D95" w:rsidR="005902FA" w:rsidRPr="001F1446" w:rsidRDefault="00B25106" w:rsidP="001F1446">
            <w:pPr>
              <w:tabs>
                <w:tab w:val="left" w:pos="1620"/>
              </w:tabs>
              <w:spacing w:after="0" w:line="360" w:lineRule="auto"/>
              <w:rPr>
                <w:rFonts w:ascii="Times New Roman" w:hAnsi="Times New Roman"/>
                <w:b/>
                <w:sz w:val="24"/>
                <w:szCs w:val="24"/>
              </w:rPr>
            </w:pPr>
            <w:r>
              <w:rPr>
                <w:rFonts w:ascii="Times New Roman" w:hAnsi="Times New Roman"/>
                <w:sz w:val="24"/>
                <w:szCs w:val="24"/>
                <w:lang w:val="fr-FR"/>
              </w:rPr>
              <w:t xml:space="preserve">AD </w:t>
            </w:r>
            <w:r w:rsidR="005902FA" w:rsidRPr="001F1446">
              <w:rPr>
                <w:rFonts w:ascii="Times New Roman" w:hAnsi="Times New Roman"/>
                <w:sz w:val="24"/>
                <w:szCs w:val="24"/>
                <w:lang w:val="fr-FR"/>
              </w:rPr>
              <w:t>15</w:t>
            </w:r>
            <w:r>
              <w:rPr>
                <w:rFonts w:ascii="Times New Roman" w:hAnsi="Times New Roman"/>
                <w:sz w:val="24"/>
                <w:szCs w:val="24"/>
                <w:lang w:val="fr-FR"/>
              </w:rPr>
              <w:t>–</w:t>
            </w:r>
            <w:r w:rsidR="005902FA" w:rsidRPr="001F1446">
              <w:rPr>
                <w:rFonts w:ascii="Times New Roman" w:hAnsi="Times New Roman"/>
                <w:sz w:val="24"/>
                <w:szCs w:val="24"/>
                <w:lang w:val="fr-FR"/>
              </w:rPr>
              <w:t>50</w:t>
            </w:r>
          </w:p>
        </w:tc>
        <w:tc>
          <w:tcPr>
            <w:tcW w:w="4097" w:type="pct"/>
          </w:tcPr>
          <w:p w14:paraId="59E34806" w14:textId="42F9EEBB"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All cranial elements are in fragmentary condition except the left and right zygomatic, which are complete. Cranial fragments found are the left and right frontal bone, left and right side of the parietal, left and right occipital, and right and left temporal. Also observed are left and right mandible and maxillae, left and right nasal, </w:t>
            </w:r>
            <w:r w:rsidR="00D30538" w:rsidRPr="001F1446">
              <w:rPr>
                <w:rFonts w:ascii="Times New Roman" w:hAnsi="Times New Roman"/>
                <w:sz w:val="24"/>
                <w:szCs w:val="24"/>
              </w:rPr>
              <w:t>left,</w:t>
            </w:r>
            <w:r w:rsidRPr="001F1446">
              <w:rPr>
                <w:rFonts w:ascii="Times New Roman" w:hAnsi="Times New Roman"/>
                <w:sz w:val="24"/>
                <w:szCs w:val="24"/>
              </w:rPr>
              <w:t xml:space="preserve"> and right palatine, left and right sphenoid, and the vomer. Several elements from the axial portion of the skeleton are in a fragmentary state of preservation. Recovered axial elements comprise the first and second cervical vertebra, four cervical vertebrae, nine thoracic vertebrae, one lumbar vertebra, and the fifth lumbar vertebra. Also observed are five vertebrae in the sacrum, the manubrium, the sternal body, and twelve of the left and right ribs. The appendicular part of the body also is represented, and most remains are in a fragmentary state of preservation. The appendicular part of the skeleton is represented by both scapulae, with the left glenoid and the right glenoid being complete. The clavicles and the left medial epicondyle of the clavicle are complete. Also observed are the left and right ilium, with the left and right auricular surface partially preserved. The left and right pubis and left and right ischium also are present, with left acetabulum being partial and right acetabulum being fragmentary. The humeri, radii, and ulnae also are present but fragmentary. The lower appendicular part of the body is represented by a partially preserved femur. The tibiae and fibulae also are present. Recovered extremities are the complete left pisiform, four fragmentary metacarpals, and three complete proximal phalanges. The left talus is fragmentary, while the right talus is </w:t>
            </w:r>
            <w:r w:rsidRPr="001F1446">
              <w:rPr>
                <w:rFonts w:ascii="Times New Roman" w:hAnsi="Times New Roman"/>
                <w:sz w:val="24"/>
                <w:szCs w:val="24"/>
              </w:rPr>
              <w:lastRenderedPageBreak/>
              <w:t>complete. The right navicular, the medial cuneiform, and the intermedial cuneiform are complete. The left 1</w:t>
            </w:r>
            <w:r w:rsidRPr="003F5C0F">
              <w:rPr>
                <w:rFonts w:ascii="Times New Roman" w:hAnsi="Times New Roman"/>
                <w:sz w:val="24"/>
                <w:szCs w:val="24"/>
              </w:rPr>
              <w:t>st</w:t>
            </w:r>
            <w:r w:rsidRPr="001F1446">
              <w:rPr>
                <w:rFonts w:ascii="Times New Roman" w:hAnsi="Times New Roman"/>
                <w:sz w:val="24"/>
                <w:szCs w:val="24"/>
              </w:rPr>
              <w:t xml:space="preserve"> and 5</w:t>
            </w:r>
            <w:r w:rsidRPr="003F5C0F">
              <w:rPr>
                <w:rFonts w:ascii="Times New Roman" w:hAnsi="Times New Roman"/>
                <w:sz w:val="24"/>
                <w:szCs w:val="24"/>
              </w:rPr>
              <w:t>th</w:t>
            </w:r>
            <w:r w:rsidRPr="001F1446">
              <w:rPr>
                <w:rFonts w:ascii="Times New Roman" w:hAnsi="Times New Roman"/>
                <w:sz w:val="24"/>
                <w:szCs w:val="24"/>
              </w:rPr>
              <w:t xml:space="preserve"> metatarsals are in a partial state of preservation, while the right 3</w:t>
            </w:r>
            <w:r w:rsidRPr="003F5C0F">
              <w:rPr>
                <w:rFonts w:ascii="Times New Roman" w:hAnsi="Times New Roman"/>
                <w:sz w:val="24"/>
                <w:szCs w:val="24"/>
              </w:rPr>
              <w:t>rd</w:t>
            </w:r>
            <w:r w:rsidRPr="001F1446">
              <w:rPr>
                <w:rFonts w:ascii="Times New Roman" w:hAnsi="Times New Roman"/>
                <w:sz w:val="24"/>
                <w:szCs w:val="24"/>
              </w:rPr>
              <w:t xml:space="preserve"> and 4</w:t>
            </w:r>
            <w:r w:rsidRPr="003F5C0F">
              <w:rPr>
                <w:rFonts w:ascii="Times New Roman" w:hAnsi="Times New Roman"/>
                <w:sz w:val="24"/>
                <w:szCs w:val="24"/>
              </w:rPr>
              <w:t>th</w:t>
            </w:r>
            <w:r w:rsidRPr="001F1446">
              <w:rPr>
                <w:rFonts w:ascii="Times New Roman" w:hAnsi="Times New Roman"/>
                <w:sz w:val="24"/>
                <w:szCs w:val="24"/>
              </w:rPr>
              <w:t xml:space="preserve"> metatarsals and one left proximal phalange are fragmentary. An unsided sesamoid </w:t>
            </w:r>
            <w:r w:rsidR="002D5CDB" w:rsidRPr="001F1446">
              <w:rPr>
                <w:rFonts w:ascii="Times New Roman" w:hAnsi="Times New Roman"/>
                <w:sz w:val="24"/>
                <w:szCs w:val="24"/>
              </w:rPr>
              <w:t xml:space="preserve">is </w:t>
            </w:r>
            <w:r w:rsidRPr="001F1446">
              <w:rPr>
                <w:rFonts w:ascii="Times New Roman" w:hAnsi="Times New Roman"/>
                <w:sz w:val="24"/>
                <w:szCs w:val="24"/>
              </w:rPr>
              <w:t>also in a fragmentary state of preservation.</w:t>
            </w:r>
          </w:p>
        </w:tc>
      </w:tr>
      <w:tr w:rsidR="005902FA" w:rsidRPr="001F1446" w14:paraId="3948D277" w14:textId="77777777" w:rsidTr="004227F2">
        <w:tc>
          <w:tcPr>
            <w:tcW w:w="903" w:type="pct"/>
          </w:tcPr>
          <w:p w14:paraId="12360D56" w14:textId="706A8AD4"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Age: 7.5 years ± 3 months (omnibus skeletal age)</w:t>
            </w:r>
          </w:p>
          <w:p w14:paraId="3EAA4B86"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97" w:type="pct"/>
            <w:vAlign w:val="center"/>
          </w:tcPr>
          <w:p w14:paraId="26201EC2" w14:textId="54DF1910"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There is a fully developed root of a deciduous molar. The first permanent molar has a fully developed crown. The cranial length measurement for the left greater wing of the sphenoid is 55.66mm. The length of the right greater wing of the sphenoid is 52.68mm. The left petrous/mastoid portion of temporal length is 41.53mm, and the width is about 21.55mm. The length right petrous/mastoid portion of the temporal is 42.29mm. The width of the basilar part of the occipital is 19.22mm. The left zygomatic has a length of about 31.66mm, and a width of 16.04mm. The right zygomatic length is about 31.46mm. Fusion of the superior and inferior epiphyses of the cervical, thoracic, and lumbar vertebrae are open. The coracoid epiphysis on the scapulae is unfused. The sternal epiphyses on clavicles are unfused. The head and distal epiphyses of the humeri are open. The proximal and distal epiphyses of the radii are open. The proximal epiphyses of the ulnae are open. The epiphyseal union is open on the left and right ischial tuberosity epiphysis. The head and distal epiphyses of the femora are open. The proximal and distal epiphyses of the tibiae are open. The stage of union is open on the distal epiphysis of the left fibula. The stage of union is complete in the distal (2</w:t>
            </w:r>
            <w:r w:rsidR="001A25D9">
              <w:rPr>
                <w:rFonts w:ascii="Times New Roman" w:hAnsi="Times New Roman"/>
                <w:sz w:val="24"/>
                <w:szCs w:val="24"/>
              </w:rPr>
              <w:t>–</w:t>
            </w:r>
            <w:r w:rsidRPr="001F1446">
              <w:rPr>
                <w:rFonts w:ascii="Times New Roman" w:hAnsi="Times New Roman"/>
                <w:sz w:val="24"/>
                <w:szCs w:val="24"/>
              </w:rPr>
              <w:t>5) epiphysis of the metatarsals. The epiphysis proximal of the carpal and tarsal phalanges is in the opening stage of union. The primary ossification centers show the ilium-pubis, ischium-pubis, and ischium-ilium areas are unfused. The stage of union is open in the sacrum 1</w:t>
            </w:r>
            <w:r w:rsidR="001A25D9">
              <w:rPr>
                <w:rFonts w:ascii="Times New Roman" w:hAnsi="Times New Roman"/>
                <w:sz w:val="24"/>
                <w:szCs w:val="24"/>
              </w:rPr>
              <w:t>–</w:t>
            </w:r>
            <w:r w:rsidRPr="001F1446">
              <w:rPr>
                <w:rFonts w:ascii="Times New Roman" w:hAnsi="Times New Roman"/>
                <w:sz w:val="24"/>
                <w:szCs w:val="24"/>
              </w:rPr>
              <w:t>2, 2</w:t>
            </w:r>
            <w:r w:rsidR="001A25D9">
              <w:rPr>
                <w:rFonts w:ascii="Times New Roman" w:hAnsi="Times New Roman"/>
                <w:sz w:val="24"/>
                <w:szCs w:val="24"/>
              </w:rPr>
              <w:t>–</w:t>
            </w:r>
            <w:r w:rsidRPr="001F1446">
              <w:rPr>
                <w:rFonts w:ascii="Times New Roman" w:hAnsi="Times New Roman"/>
                <w:sz w:val="24"/>
                <w:szCs w:val="24"/>
              </w:rPr>
              <w:t>3, 3</w:t>
            </w:r>
            <w:r w:rsidR="001A25D9">
              <w:rPr>
                <w:rFonts w:ascii="Times New Roman" w:hAnsi="Times New Roman"/>
                <w:sz w:val="24"/>
                <w:szCs w:val="24"/>
              </w:rPr>
              <w:t>–</w:t>
            </w:r>
            <w:r w:rsidRPr="001F1446">
              <w:rPr>
                <w:rFonts w:ascii="Times New Roman" w:hAnsi="Times New Roman"/>
                <w:sz w:val="24"/>
                <w:szCs w:val="24"/>
              </w:rPr>
              <w:t>4, and 4</w:t>
            </w:r>
            <w:r w:rsidR="001A25D9">
              <w:rPr>
                <w:rFonts w:ascii="Times New Roman" w:hAnsi="Times New Roman"/>
                <w:sz w:val="24"/>
                <w:szCs w:val="24"/>
              </w:rPr>
              <w:t>–</w:t>
            </w:r>
            <w:r w:rsidRPr="001F1446">
              <w:rPr>
                <w:rFonts w:ascii="Times New Roman" w:hAnsi="Times New Roman"/>
                <w:sz w:val="24"/>
                <w:szCs w:val="24"/>
              </w:rPr>
              <w:t>5 at the area of union. Neural arches to the centrum of cervical vertebrae are fused. The neural arch to each other and to the centrum in thoracic vertebrae are fused. The neural arches to the centrum in lumbar vertebrae are fused. The basilar suture is open. The age was estimated based on dental development, osteological measurements, epiphyseal fusion, and primary ossification centers.</w:t>
            </w:r>
          </w:p>
        </w:tc>
      </w:tr>
      <w:tr w:rsidR="005902FA" w:rsidRPr="001F1446" w14:paraId="494848B7" w14:textId="77777777" w:rsidTr="004227F2">
        <w:tc>
          <w:tcPr>
            <w:tcW w:w="903" w:type="pct"/>
          </w:tcPr>
          <w:p w14:paraId="39BEFED7"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Dentition: present</w:t>
            </w:r>
          </w:p>
          <w:p w14:paraId="6F434F40"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097" w:type="pct"/>
            <w:vAlign w:val="center"/>
          </w:tcPr>
          <w:p w14:paraId="04443F97"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left maxillary first deciduous molar (#59) is present, not in occlusion, and has an initial cleft formation of development in the crown. The left maxillary second deciduous molar (#60) is present but not in occlusion and has an initial cleft formation of development on the crown. The right maxillary permanent second premolar (#4) is present, is not in occlusion, and its developmental stage is unobservable. The following teeth are present, not in occlusion and the developmental stage is unobservable: right maxillary permanent first premolar (#5), maxillary right permanent canine (#6), maxillary left permanent canine (#11), maxillary right first premolar (#12), maxillary right second premolar (#13), mandibular left first molar (#19), maxillary right first molar (#14), mandibular left second premolar (#20), mandibular left first premolar (#21), mandibular right first premolar (#28). The maxillary right permanent central incisor (#8) is present, not in occlusion, and has an apex half closed. The left mandibular canine (#22) is present.</w:t>
            </w:r>
          </w:p>
        </w:tc>
      </w:tr>
      <w:tr w:rsidR="005902FA" w:rsidRPr="001F1446" w14:paraId="7A45800E" w14:textId="77777777" w:rsidTr="004227F2">
        <w:tc>
          <w:tcPr>
            <w:tcW w:w="903" w:type="pct"/>
          </w:tcPr>
          <w:p w14:paraId="751A6B8B"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097" w:type="pct"/>
            <w:vAlign w:val="center"/>
          </w:tcPr>
          <w:p w14:paraId="119CB640" w14:textId="77777777" w:rsidR="005902FA" w:rsidRPr="001F1446" w:rsidRDefault="005902FA" w:rsidP="001F1446">
            <w:pPr>
              <w:tabs>
                <w:tab w:val="left" w:pos="1620"/>
              </w:tabs>
              <w:spacing w:after="0" w:line="360" w:lineRule="auto"/>
              <w:rPr>
                <w:rFonts w:ascii="Times New Roman" w:hAnsi="Times New Roman"/>
                <w:i/>
                <w:iCs/>
                <w:sz w:val="24"/>
                <w:szCs w:val="24"/>
              </w:rPr>
            </w:pPr>
            <w:r w:rsidRPr="001F1446">
              <w:rPr>
                <w:rFonts w:ascii="Times New Roman" w:hAnsi="Times New Roman"/>
                <w:i/>
                <w:iCs/>
                <w:sz w:val="24"/>
                <w:szCs w:val="24"/>
              </w:rPr>
              <w:t xml:space="preserve">Cribra orbitalia </w:t>
            </w:r>
          </w:p>
          <w:p w14:paraId="44086761" w14:textId="136302D6"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Minor areas of micro- and macro-porosity on left side of nasal cavity, classified as </w:t>
            </w:r>
            <w:r w:rsidR="003F5C0F">
              <w:rPr>
                <w:rFonts w:ascii="Times New Roman" w:hAnsi="Times New Roman"/>
                <w:sz w:val="24"/>
                <w:szCs w:val="24"/>
              </w:rPr>
              <w:t>“</w:t>
            </w:r>
            <w:r w:rsidRPr="001F1446">
              <w:rPr>
                <w:rFonts w:ascii="Times New Roman" w:hAnsi="Times New Roman"/>
                <w:sz w:val="24"/>
                <w:szCs w:val="24"/>
              </w:rPr>
              <w:t>pitting</w:t>
            </w:r>
            <w:r w:rsidR="003F5C0F">
              <w:rPr>
                <w:rFonts w:ascii="Times New Roman" w:hAnsi="Times New Roman"/>
                <w:sz w:val="24"/>
                <w:szCs w:val="24"/>
              </w:rPr>
              <w:t>”</w:t>
            </w:r>
            <w:r w:rsidRPr="001F1446">
              <w:rPr>
                <w:rFonts w:ascii="Times New Roman" w:hAnsi="Times New Roman"/>
                <w:sz w:val="24"/>
                <w:szCs w:val="24"/>
              </w:rPr>
              <w:t xml:space="preserve"> following Boocock </w:t>
            </w:r>
            <w:r w:rsidRPr="001F1446">
              <w:rPr>
                <w:rFonts w:ascii="Times New Roman" w:hAnsi="Times New Roman"/>
                <w:i/>
                <w:iCs/>
                <w:sz w:val="24"/>
                <w:szCs w:val="24"/>
              </w:rPr>
              <w:t>et al.</w:t>
            </w:r>
            <w:r w:rsidRPr="001F1446">
              <w:rPr>
                <w:rFonts w:ascii="Times New Roman" w:hAnsi="Times New Roman"/>
                <w:sz w:val="24"/>
                <w:szCs w:val="24"/>
              </w:rPr>
              <w:t xml:space="preserve"> (1995).</w:t>
            </w:r>
          </w:p>
          <w:p w14:paraId="1172BB93" w14:textId="69924D3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Healed periosteal reaction close to nutrient foramen in right </w:t>
            </w:r>
            <w:r w:rsidR="004227F2" w:rsidRPr="001F1446">
              <w:rPr>
                <w:rFonts w:ascii="Times New Roman" w:hAnsi="Times New Roman"/>
                <w:sz w:val="24"/>
                <w:szCs w:val="24"/>
              </w:rPr>
              <w:t>tibia.</w:t>
            </w:r>
            <w:r w:rsidR="00550B36">
              <w:rPr>
                <w:rFonts w:ascii="Times New Roman" w:hAnsi="Times New Roman"/>
                <w:sz w:val="24"/>
                <w:szCs w:val="24"/>
              </w:rPr>
              <w:t xml:space="preserve"> </w:t>
            </w:r>
          </w:p>
          <w:p w14:paraId="7992A6E1" w14:textId="05C105ED"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Healed and active periosteal reaction in left tibia, right tibia shaft fragment and healed periosteal reaction on ulna and </w:t>
            </w:r>
            <w:r w:rsidR="004227F2" w:rsidRPr="001F1446">
              <w:rPr>
                <w:rFonts w:ascii="Times New Roman" w:hAnsi="Times New Roman"/>
                <w:sz w:val="24"/>
                <w:szCs w:val="24"/>
              </w:rPr>
              <w:t>humerus.</w:t>
            </w:r>
            <w:r w:rsidRPr="001F1446">
              <w:rPr>
                <w:rFonts w:ascii="Times New Roman" w:hAnsi="Times New Roman"/>
                <w:sz w:val="24"/>
                <w:szCs w:val="24"/>
              </w:rPr>
              <w:t xml:space="preserve"> </w:t>
            </w:r>
          </w:p>
          <w:p w14:paraId="0A18F396" w14:textId="2FE3D236"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left mandibular canine (#22) is present a hypoplasia that measures at 5.87mm from the cementoenamel junction (CEJ).</w:t>
            </w:r>
          </w:p>
        </w:tc>
      </w:tr>
      <w:tr w:rsidR="005902FA" w:rsidRPr="001F1446" w14:paraId="6D766231" w14:textId="77777777" w:rsidTr="004227F2">
        <w:tc>
          <w:tcPr>
            <w:tcW w:w="903" w:type="pct"/>
          </w:tcPr>
          <w:p w14:paraId="574E8CA0"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Thermal alterations: present</w:t>
            </w:r>
          </w:p>
        </w:tc>
        <w:tc>
          <w:tcPr>
            <w:tcW w:w="4097" w:type="pct"/>
            <w:vAlign w:val="center"/>
          </w:tcPr>
          <w:p w14:paraId="7B75B38F" w14:textId="18327F90"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remains are cremated. The primary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is white, and the secondary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is light </w:t>
            </w:r>
            <w:r w:rsidR="003F5C0F">
              <w:rPr>
                <w:rFonts w:ascii="Times New Roman" w:hAnsi="Times New Roman"/>
                <w:sz w:val="24"/>
                <w:szCs w:val="24"/>
              </w:rPr>
              <w:t>grey</w:t>
            </w:r>
            <w:r w:rsidRPr="001F1446">
              <w:rPr>
                <w:rFonts w:ascii="Times New Roman" w:hAnsi="Times New Roman"/>
                <w:sz w:val="24"/>
                <w:szCs w:val="24"/>
              </w:rPr>
              <w:t>. There is evidence of calcination. There is heavy warping, with horizontal, vertical, and concentric cracking found on the remains. The maximum length of any bone is 115.65mm from the right femur shaft. The average length for the collection is 24.94mm.</w:t>
            </w:r>
          </w:p>
        </w:tc>
      </w:tr>
    </w:tbl>
    <w:tbl>
      <w:tblPr>
        <w:tblStyle w:val="TableGrid4"/>
        <w:tblW w:w="5071" w:type="pct"/>
        <w:tblLook w:val="04A0" w:firstRow="1" w:lastRow="0" w:firstColumn="1" w:lastColumn="0" w:noHBand="0" w:noVBand="1"/>
      </w:tblPr>
      <w:tblGrid>
        <w:gridCol w:w="2361"/>
        <w:gridCol w:w="10773"/>
      </w:tblGrid>
      <w:tr w:rsidR="005902FA" w:rsidRPr="001F1446" w14:paraId="2B58377D" w14:textId="77777777" w:rsidTr="004227F2">
        <w:tc>
          <w:tcPr>
            <w:tcW w:w="899" w:type="pct"/>
          </w:tcPr>
          <w:p w14:paraId="71A1EBB5"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lastRenderedPageBreak/>
              <w:t>Individual: L 2120</w:t>
            </w:r>
          </w:p>
          <w:p w14:paraId="6BDC6CF9"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Dates:</w:t>
            </w:r>
          </w:p>
          <w:p w14:paraId="024D6DCB" w14:textId="003D8B57" w:rsidR="005902FA" w:rsidRPr="001F1446" w:rsidRDefault="00695C61" w:rsidP="001F1446">
            <w:pPr>
              <w:tabs>
                <w:tab w:val="left" w:pos="1620"/>
              </w:tabs>
              <w:spacing w:after="0" w:line="360" w:lineRule="auto"/>
              <w:rPr>
                <w:rFonts w:ascii="Times New Roman" w:hAnsi="Times New Roman"/>
                <w:b/>
                <w:sz w:val="24"/>
                <w:szCs w:val="24"/>
              </w:rPr>
            </w:pPr>
            <w:r>
              <w:rPr>
                <w:rFonts w:ascii="Times New Roman" w:hAnsi="Times New Roman"/>
                <w:sz w:val="24"/>
                <w:szCs w:val="24"/>
                <w:lang w:val="fr-FR"/>
              </w:rPr>
              <w:t xml:space="preserve">AD </w:t>
            </w:r>
            <w:r w:rsidR="005902FA" w:rsidRPr="001F1446">
              <w:rPr>
                <w:rFonts w:ascii="Times New Roman" w:hAnsi="Times New Roman"/>
                <w:sz w:val="24"/>
                <w:szCs w:val="24"/>
                <w:lang w:val="fr-FR"/>
              </w:rPr>
              <w:t>15</w:t>
            </w:r>
            <w:r>
              <w:rPr>
                <w:rFonts w:ascii="Times New Roman" w:hAnsi="Times New Roman"/>
                <w:sz w:val="24"/>
                <w:szCs w:val="24"/>
                <w:lang w:val="fr-FR"/>
              </w:rPr>
              <w:t>–</w:t>
            </w:r>
            <w:r w:rsidR="005902FA" w:rsidRPr="001F1446">
              <w:rPr>
                <w:rFonts w:ascii="Times New Roman" w:hAnsi="Times New Roman"/>
                <w:sz w:val="24"/>
                <w:szCs w:val="24"/>
                <w:lang w:val="fr-FR"/>
              </w:rPr>
              <w:t>50</w:t>
            </w:r>
          </w:p>
        </w:tc>
        <w:tc>
          <w:tcPr>
            <w:tcW w:w="4101" w:type="pct"/>
          </w:tcPr>
          <w:p w14:paraId="6F79B66C" w14:textId="11C4E8C6"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cranial </w:t>
            </w:r>
            <w:r w:rsidR="002D5CDB" w:rsidRPr="001F1446">
              <w:rPr>
                <w:rFonts w:ascii="Times New Roman" w:hAnsi="Times New Roman"/>
                <w:sz w:val="24"/>
                <w:szCs w:val="24"/>
              </w:rPr>
              <w:t xml:space="preserve">bones </w:t>
            </w:r>
            <w:r w:rsidRPr="001F1446">
              <w:rPr>
                <w:rFonts w:ascii="Times New Roman" w:hAnsi="Times New Roman"/>
                <w:sz w:val="24"/>
                <w:szCs w:val="24"/>
              </w:rPr>
              <w:t xml:space="preserve">are in a fragmentary state of preservation. The cranial part of the skeleton is represented by an unsided maxilla, and the sphenoid is present. The axial skeleton </w:t>
            </w:r>
            <w:r w:rsidR="002D5CDB" w:rsidRPr="001F1446">
              <w:rPr>
                <w:rFonts w:ascii="Times New Roman" w:hAnsi="Times New Roman"/>
                <w:sz w:val="24"/>
                <w:szCs w:val="24"/>
              </w:rPr>
              <w:t xml:space="preserve">is </w:t>
            </w:r>
            <w:r w:rsidRPr="001F1446">
              <w:rPr>
                <w:rFonts w:ascii="Times New Roman" w:hAnsi="Times New Roman"/>
                <w:sz w:val="24"/>
                <w:szCs w:val="24"/>
              </w:rPr>
              <w:t>represented by the second cervical vertebra, two cervical vertebrae, one thoracic vertebra, one lumbar vertebra, two vertebrae of the sacrum, and left and right ribs. The appendicular part of the skeleton is represented by the left ilium with auricular surface and a partial right ilium. The right pubis is in a fragmentary state of preservation, and a partial right ischium also is identified. Also documented are the right epi-proximal, proximal, and middle shaft of the right femur in a fragmentary state of preservation.</w:t>
            </w:r>
          </w:p>
        </w:tc>
      </w:tr>
      <w:tr w:rsidR="005902FA" w:rsidRPr="001F1446" w14:paraId="524D9679" w14:textId="77777777" w:rsidTr="004227F2">
        <w:tc>
          <w:tcPr>
            <w:tcW w:w="899" w:type="pct"/>
          </w:tcPr>
          <w:p w14:paraId="72557054" w14:textId="1B3DF0CC"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Age: ≥ Newborn (NB) ± 2 months (omnibus skeletal age)</w:t>
            </w:r>
          </w:p>
          <w:p w14:paraId="52C33004"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101" w:type="pct"/>
            <w:vAlign w:val="center"/>
          </w:tcPr>
          <w:p w14:paraId="2515D9B4" w14:textId="4BF163DD"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postcranial measurements for the ilium length are 56.57mm with a width of 50.20mm. The right iliac crest and right ischial tuberosity are unfused. The stage of union is open on the right femur head epiphysis. The ischium-pubis and the ischium-ilium are unfused.</w:t>
            </w:r>
          </w:p>
        </w:tc>
      </w:tr>
      <w:tr w:rsidR="005902FA" w:rsidRPr="001F1446" w14:paraId="1A63016B" w14:textId="77777777" w:rsidTr="004227F2">
        <w:tc>
          <w:tcPr>
            <w:tcW w:w="899" w:type="pct"/>
          </w:tcPr>
          <w:p w14:paraId="05926FC2"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Dentition: present</w:t>
            </w:r>
          </w:p>
          <w:p w14:paraId="5DD62A1C"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101" w:type="pct"/>
            <w:vAlign w:val="center"/>
          </w:tcPr>
          <w:p w14:paraId="7C1A5CB2"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One unidentified tooth fragment was present.</w:t>
            </w:r>
          </w:p>
        </w:tc>
      </w:tr>
      <w:tr w:rsidR="005902FA" w:rsidRPr="001F1446" w14:paraId="5E7AE38D" w14:textId="77777777" w:rsidTr="004227F2">
        <w:tc>
          <w:tcPr>
            <w:tcW w:w="899" w:type="pct"/>
          </w:tcPr>
          <w:p w14:paraId="633A16F3"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101" w:type="pct"/>
            <w:vAlign w:val="center"/>
          </w:tcPr>
          <w:p w14:paraId="468F4124" w14:textId="18772235" w:rsidR="005902FA" w:rsidRPr="001F1446" w:rsidRDefault="00137F89"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Abnormal woven bone (active) and micro and macroporosity on the </w:t>
            </w:r>
            <w:r w:rsidR="005902FA" w:rsidRPr="001F1446">
              <w:rPr>
                <w:rFonts w:ascii="Times New Roman" w:hAnsi="Times New Roman"/>
                <w:sz w:val="24"/>
                <w:szCs w:val="24"/>
              </w:rPr>
              <w:t xml:space="preserve">right </w:t>
            </w:r>
            <w:r w:rsidR="002D5CDB" w:rsidRPr="001F1446">
              <w:rPr>
                <w:rFonts w:ascii="Times New Roman" w:hAnsi="Times New Roman"/>
                <w:sz w:val="24"/>
                <w:szCs w:val="24"/>
              </w:rPr>
              <w:t xml:space="preserve">greater </w:t>
            </w:r>
            <w:r w:rsidR="005902FA" w:rsidRPr="001F1446">
              <w:rPr>
                <w:rFonts w:ascii="Times New Roman" w:hAnsi="Times New Roman"/>
                <w:sz w:val="24"/>
                <w:szCs w:val="24"/>
              </w:rPr>
              <w:t>wing of sphenoid</w:t>
            </w:r>
            <w:r w:rsidRPr="001F1446">
              <w:rPr>
                <w:rFonts w:ascii="Times New Roman" w:hAnsi="Times New Roman"/>
                <w:sz w:val="24"/>
                <w:szCs w:val="24"/>
              </w:rPr>
              <w:t>.</w:t>
            </w:r>
          </w:p>
          <w:p w14:paraId="00C2EC41" w14:textId="6D31B64F"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Micro- and macro-porosity on small section of cranial vault</w:t>
            </w:r>
            <w:r w:rsidR="003F5C0F">
              <w:rPr>
                <w:rFonts w:ascii="Times New Roman" w:hAnsi="Times New Roman"/>
                <w:sz w:val="24"/>
                <w:szCs w:val="24"/>
              </w:rPr>
              <w:t>.</w:t>
            </w:r>
            <w:r w:rsidRPr="001F1446">
              <w:rPr>
                <w:rFonts w:ascii="Times New Roman" w:hAnsi="Times New Roman"/>
                <w:sz w:val="24"/>
                <w:szCs w:val="24"/>
              </w:rPr>
              <w:t xml:space="preserve"> </w:t>
            </w:r>
          </w:p>
          <w:p w14:paraId="50EE3BD9" w14:textId="70BFD151"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Active and healed periosteal reaction on anterior and lower margin of a rib</w:t>
            </w:r>
            <w:r w:rsidR="003F5C0F">
              <w:rPr>
                <w:rFonts w:ascii="Times New Roman" w:hAnsi="Times New Roman"/>
                <w:sz w:val="24"/>
                <w:szCs w:val="24"/>
              </w:rPr>
              <w:t>.</w:t>
            </w:r>
          </w:p>
        </w:tc>
      </w:tr>
      <w:tr w:rsidR="005902FA" w:rsidRPr="001F1446" w14:paraId="5F266470" w14:textId="77777777" w:rsidTr="004227F2">
        <w:tc>
          <w:tcPr>
            <w:tcW w:w="899" w:type="pct"/>
          </w:tcPr>
          <w:p w14:paraId="2B7876DC"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Thermal alterations: present</w:t>
            </w:r>
          </w:p>
        </w:tc>
        <w:tc>
          <w:tcPr>
            <w:tcW w:w="4101" w:type="pct"/>
            <w:vAlign w:val="center"/>
          </w:tcPr>
          <w:p w14:paraId="47749935" w14:textId="1DE529D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main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of the remains is black, and white is a secondary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There is some calcination, and chalky appearance is observed. There is moderate warping and moderate levels of horizontal, vertical, and concentric cracking are observed. The maximum bone length </w:t>
            </w:r>
            <w:r w:rsidR="002D5CDB" w:rsidRPr="001F1446">
              <w:rPr>
                <w:rFonts w:ascii="Times New Roman" w:hAnsi="Times New Roman"/>
                <w:sz w:val="24"/>
                <w:szCs w:val="24"/>
              </w:rPr>
              <w:t>i</w:t>
            </w:r>
            <w:r w:rsidRPr="001F1446">
              <w:rPr>
                <w:rFonts w:ascii="Times New Roman" w:hAnsi="Times New Roman"/>
                <w:sz w:val="24"/>
                <w:szCs w:val="24"/>
              </w:rPr>
              <w:t>s from a tibia measuring 83.79mm, while the average length is 15.48mm.</w:t>
            </w:r>
          </w:p>
        </w:tc>
      </w:tr>
    </w:tbl>
    <w:tbl>
      <w:tblPr>
        <w:tblStyle w:val="TableGrid5"/>
        <w:tblW w:w="5099" w:type="pct"/>
        <w:tblLook w:val="04A0" w:firstRow="1" w:lastRow="0" w:firstColumn="1" w:lastColumn="0" w:noHBand="0" w:noVBand="1"/>
      </w:tblPr>
      <w:tblGrid>
        <w:gridCol w:w="2361"/>
        <w:gridCol w:w="10845"/>
      </w:tblGrid>
      <w:tr w:rsidR="005902FA" w:rsidRPr="001F1446" w14:paraId="71EFB3CB" w14:textId="77777777" w:rsidTr="004227F2">
        <w:tc>
          <w:tcPr>
            <w:tcW w:w="894" w:type="pct"/>
          </w:tcPr>
          <w:p w14:paraId="5EE802E3"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t>Individual: L 2141</w:t>
            </w:r>
          </w:p>
          <w:p w14:paraId="05C3B561" w14:textId="7777777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Dates:</w:t>
            </w:r>
          </w:p>
          <w:p w14:paraId="401207D4" w14:textId="5AB2CB00" w:rsidR="005902FA" w:rsidRPr="001F1446" w:rsidRDefault="00B92E75" w:rsidP="001F1446">
            <w:pPr>
              <w:tabs>
                <w:tab w:val="left" w:pos="1620"/>
              </w:tabs>
              <w:spacing w:after="0" w:line="360" w:lineRule="auto"/>
              <w:rPr>
                <w:rFonts w:ascii="Times New Roman" w:hAnsi="Times New Roman"/>
                <w:b/>
                <w:sz w:val="24"/>
                <w:szCs w:val="24"/>
              </w:rPr>
            </w:pPr>
            <w:r>
              <w:rPr>
                <w:rFonts w:ascii="Times New Roman" w:hAnsi="Times New Roman"/>
                <w:sz w:val="24"/>
                <w:szCs w:val="24"/>
                <w:lang w:val="fr-FR"/>
              </w:rPr>
              <w:lastRenderedPageBreak/>
              <w:t xml:space="preserve">AD </w:t>
            </w:r>
            <w:r w:rsidR="005902FA" w:rsidRPr="001F1446">
              <w:rPr>
                <w:rFonts w:ascii="Times New Roman" w:hAnsi="Times New Roman"/>
                <w:sz w:val="24"/>
                <w:szCs w:val="24"/>
                <w:lang w:val="fr-FR"/>
              </w:rPr>
              <w:t>15</w:t>
            </w:r>
            <w:r>
              <w:rPr>
                <w:rFonts w:ascii="Times New Roman" w:hAnsi="Times New Roman"/>
                <w:sz w:val="24"/>
                <w:szCs w:val="24"/>
                <w:lang w:val="fr-FR"/>
              </w:rPr>
              <w:t>–</w:t>
            </w:r>
            <w:r w:rsidR="005902FA" w:rsidRPr="001F1446">
              <w:rPr>
                <w:rFonts w:ascii="Times New Roman" w:hAnsi="Times New Roman"/>
                <w:sz w:val="24"/>
                <w:szCs w:val="24"/>
                <w:lang w:val="fr-FR"/>
              </w:rPr>
              <w:t>50</w:t>
            </w:r>
          </w:p>
        </w:tc>
        <w:tc>
          <w:tcPr>
            <w:tcW w:w="4106" w:type="pct"/>
          </w:tcPr>
          <w:p w14:paraId="0EC335B2" w14:textId="7387376F"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lastRenderedPageBreak/>
              <w:t xml:space="preserve">All cranial elements are in a fragmentary state of preservation. The cranial area of the skeleton is represented by a frontal, an unsided parietal, an occipital, the temporals, a mandible, an unsided zygomatic, the left and </w:t>
            </w:r>
            <w:r w:rsidRPr="001F1446">
              <w:rPr>
                <w:rFonts w:ascii="Times New Roman" w:hAnsi="Times New Roman"/>
                <w:sz w:val="24"/>
                <w:szCs w:val="24"/>
              </w:rPr>
              <w:lastRenderedPageBreak/>
              <w:t>right maxilla, an unsided sphenoid, the right side of a sphenoid, a vomer, ossicles, and 124 unidentified cranial fragments. The axial part of the skeleton is in a fragmentary state of preservation. Documented elements are the first cervical, three cervical vertebrae, one thoracic vertebra, two lumbar vertebrae, and 27 unidentified vertebrae fragments. There are five left and four right rib fragments and 85 unidentified rib fragments. The appendicular part of the skeleton also is represented. Elements recovered are the proximal and middle shaft of the left humerus. The distal shaft of the left humerus is partial. The proximal, middle, and distal shaft of the right humerus are in a fragmentary state of preservation. The left ulna is fragmentary. The proximal shaft of the right ulna is partial, and the middle shaft of the right ulna is fragmentary. The proximal and middle shaft of the left femur is fragmentary, while the distal shaft of the left femur is partial. It was also found that several elements were in a fragmentary state of preservation such as the right femur, the tibiae, an unsided fibula, and 23 unidentified long bones. The extremities are represented by one partially preserved carpal proximal phalange and two partially preserved tarsal proximal phalanges. The deposit include</w:t>
            </w:r>
            <w:r w:rsidR="002D5CDB" w:rsidRPr="001F1446">
              <w:rPr>
                <w:rFonts w:ascii="Times New Roman" w:hAnsi="Times New Roman"/>
                <w:sz w:val="24"/>
                <w:szCs w:val="24"/>
              </w:rPr>
              <w:t>s</w:t>
            </w:r>
            <w:r w:rsidRPr="001F1446">
              <w:rPr>
                <w:rFonts w:ascii="Times New Roman" w:hAnsi="Times New Roman"/>
                <w:sz w:val="24"/>
                <w:szCs w:val="24"/>
              </w:rPr>
              <w:t xml:space="preserve"> 1725 unidentified bone fragments.</w:t>
            </w:r>
          </w:p>
        </w:tc>
      </w:tr>
      <w:tr w:rsidR="005902FA" w:rsidRPr="001F1446" w14:paraId="06043DDD" w14:textId="77777777" w:rsidTr="004227F2">
        <w:tc>
          <w:tcPr>
            <w:tcW w:w="894" w:type="pct"/>
          </w:tcPr>
          <w:p w14:paraId="13D1738D" w14:textId="443B8433"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Age: 9 month</w:t>
            </w:r>
            <w:r w:rsidR="00865001">
              <w:rPr>
                <w:rFonts w:ascii="Times New Roman" w:hAnsi="Times New Roman"/>
                <w:i/>
                <w:sz w:val="24"/>
                <w:szCs w:val="24"/>
              </w:rPr>
              <w:t>s</w:t>
            </w:r>
            <w:r w:rsidRPr="001F1446">
              <w:rPr>
                <w:rFonts w:ascii="Times New Roman" w:hAnsi="Times New Roman"/>
                <w:i/>
                <w:sz w:val="24"/>
                <w:szCs w:val="24"/>
              </w:rPr>
              <w:t xml:space="preserve"> </w:t>
            </w:r>
            <w:r w:rsidR="00865001">
              <w:rPr>
                <w:rFonts w:ascii="Times New Roman" w:hAnsi="Times New Roman"/>
                <w:i/>
                <w:sz w:val="24"/>
                <w:szCs w:val="24"/>
              </w:rPr>
              <w:t xml:space="preserve">± </w:t>
            </w:r>
            <w:r w:rsidRPr="001F1446">
              <w:rPr>
                <w:rFonts w:ascii="Times New Roman" w:hAnsi="Times New Roman"/>
                <w:i/>
                <w:sz w:val="24"/>
                <w:szCs w:val="24"/>
              </w:rPr>
              <w:t>3 month</w:t>
            </w:r>
            <w:r w:rsidR="00865001">
              <w:rPr>
                <w:rFonts w:ascii="Times New Roman" w:hAnsi="Times New Roman"/>
                <w:i/>
                <w:sz w:val="24"/>
                <w:szCs w:val="24"/>
              </w:rPr>
              <w:t>s</w:t>
            </w:r>
            <w:r w:rsidRPr="001F1446">
              <w:rPr>
                <w:rFonts w:ascii="Times New Roman" w:hAnsi="Times New Roman"/>
                <w:i/>
                <w:sz w:val="24"/>
                <w:szCs w:val="24"/>
              </w:rPr>
              <w:t xml:space="preserve"> (omnibus skeletal age)</w:t>
            </w:r>
          </w:p>
          <w:p w14:paraId="654AA4FD"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106" w:type="pct"/>
            <w:vAlign w:val="center"/>
          </w:tcPr>
          <w:p w14:paraId="7BA863A9" w14:textId="441198A3"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The cranial length measure for the left petrous/mastoid portions of the temporal is 20.90mm, and the width is 10.35mm. The right petrous/mastoid portions of the temporal are 25.27mm long and 11.71mm wide. Postcranial measurement of the right humerus width is 5.74mm. The left ulna proximal epiphysis is unfused. The metatarsals distal (2</w:t>
            </w:r>
            <w:r w:rsidR="00865001">
              <w:rPr>
                <w:rFonts w:ascii="Times New Roman" w:hAnsi="Times New Roman"/>
                <w:sz w:val="24"/>
                <w:szCs w:val="24"/>
              </w:rPr>
              <w:t>–</w:t>
            </w:r>
            <w:r w:rsidRPr="001F1446">
              <w:rPr>
                <w:rFonts w:ascii="Times New Roman" w:hAnsi="Times New Roman"/>
                <w:sz w:val="24"/>
                <w:szCs w:val="24"/>
              </w:rPr>
              <w:t>5) epiphyses are unfused. The carpal phalanges proximal epiphyses are unfused. The age estimation was based on dental development, epiphysial union, and osteological measurements.</w:t>
            </w:r>
          </w:p>
        </w:tc>
      </w:tr>
      <w:tr w:rsidR="005902FA" w:rsidRPr="001F1446" w14:paraId="57F61015" w14:textId="77777777" w:rsidTr="004227F2">
        <w:tc>
          <w:tcPr>
            <w:tcW w:w="894" w:type="pct"/>
          </w:tcPr>
          <w:p w14:paraId="6BC5F750"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Dentition: present</w:t>
            </w:r>
          </w:p>
          <w:p w14:paraId="24ADA276"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106" w:type="pct"/>
            <w:vAlign w:val="center"/>
          </w:tcPr>
          <w:p w14:paraId="343E6003" w14:textId="7C6715F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maxillary right deciduous second molar (#51) of the teeth has no wear, is not in occlusion, and the crown has an initial cleft formation. Several teeth were either not present and could not be evaluated (maxillary right deciduous first molar to maxillary left deciduous second molar </w:t>
            </w:r>
            <w:r w:rsidR="006C0955">
              <w:rPr>
                <w:rFonts w:ascii="Times New Roman" w:hAnsi="Times New Roman"/>
                <w:sz w:val="24"/>
                <w:szCs w:val="24"/>
              </w:rPr>
              <w:t>(</w:t>
            </w:r>
            <w:r w:rsidRPr="001F1446">
              <w:rPr>
                <w:rFonts w:ascii="Times New Roman" w:hAnsi="Times New Roman"/>
                <w:sz w:val="24"/>
                <w:szCs w:val="24"/>
              </w:rPr>
              <w:t>#52</w:t>
            </w:r>
            <w:r w:rsidR="006C0955">
              <w:rPr>
                <w:rFonts w:ascii="Times New Roman" w:hAnsi="Times New Roman"/>
                <w:sz w:val="24"/>
                <w:szCs w:val="24"/>
              </w:rPr>
              <w:t>–</w:t>
            </w:r>
            <w:r w:rsidRPr="001F1446">
              <w:rPr>
                <w:rFonts w:ascii="Times New Roman" w:hAnsi="Times New Roman"/>
                <w:sz w:val="24"/>
                <w:szCs w:val="24"/>
              </w:rPr>
              <w:t>60</w:t>
            </w:r>
            <w:r w:rsidR="006C0955">
              <w:rPr>
                <w:rFonts w:ascii="Times New Roman" w:hAnsi="Times New Roman"/>
                <w:sz w:val="24"/>
                <w:szCs w:val="24"/>
              </w:rPr>
              <w:t>)</w:t>
            </w:r>
            <w:r w:rsidRPr="001F1446">
              <w:rPr>
                <w:rFonts w:ascii="Times New Roman" w:hAnsi="Times New Roman"/>
                <w:sz w:val="24"/>
                <w:szCs w:val="24"/>
              </w:rPr>
              <w:t xml:space="preserve"> and mandibular left deciduous first molar to mandibular right deciduous first molar </w:t>
            </w:r>
            <w:r w:rsidR="006C0955">
              <w:rPr>
                <w:rFonts w:ascii="Times New Roman" w:hAnsi="Times New Roman"/>
                <w:sz w:val="24"/>
                <w:szCs w:val="24"/>
              </w:rPr>
              <w:t>(</w:t>
            </w:r>
            <w:r w:rsidRPr="001F1446">
              <w:rPr>
                <w:rFonts w:ascii="Times New Roman" w:hAnsi="Times New Roman"/>
                <w:sz w:val="24"/>
                <w:szCs w:val="24"/>
              </w:rPr>
              <w:t>#62-69</w:t>
            </w:r>
            <w:r w:rsidR="006C0955">
              <w:rPr>
                <w:rFonts w:ascii="Times New Roman" w:hAnsi="Times New Roman"/>
                <w:sz w:val="24"/>
                <w:szCs w:val="24"/>
              </w:rPr>
              <w:t>)</w:t>
            </w:r>
            <w:r w:rsidRPr="001F1446">
              <w:rPr>
                <w:rFonts w:ascii="Times New Roman" w:hAnsi="Times New Roman"/>
                <w:sz w:val="24"/>
                <w:szCs w:val="24"/>
              </w:rPr>
              <w:t xml:space="preserve">). The mandibular left deciduous second molar (#61) </w:t>
            </w:r>
            <w:r w:rsidRPr="001F1446">
              <w:rPr>
                <w:rFonts w:ascii="Times New Roman" w:hAnsi="Times New Roman"/>
                <w:sz w:val="24"/>
                <w:szCs w:val="24"/>
              </w:rPr>
              <w:lastRenderedPageBreak/>
              <w:t>and mandibular right deciduous second molar (#70) had no wear, was not in occlusion, and the crown has a development of an initial cleft formation.</w:t>
            </w:r>
          </w:p>
        </w:tc>
      </w:tr>
      <w:tr w:rsidR="005902FA" w:rsidRPr="001F1446" w14:paraId="1B1639EA" w14:textId="77777777" w:rsidTr="004227F2">
        <w:tc>
          <w:tcPr>
            <w:tcW w:w="894" w:type="pct"/>
          </w:tcPr>
          <w:p w14:paraId="15D3C9ED"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Pathologies: present</w:t>
            </w:r>
          </w:p>
        </w:tc>
        <w:tc>
          <w:tcPr>
            <w:tcW w:w="4106" w:type="pct"/>
            <w:vAlign w:val="center"/>
          </w:tcPr>
          <w:p w14:paraId="78F649D5" w14:textId="6B1B5A86" w:rsidR="005902FA" w:rsidRPr="00FC514C" w:rsidRDefault="005902FA" w:rsidP="001F1446">
            <w:pPr>
              <w:tabs>
                <w:tab w:val="left" w:pos="1620"/>
              </w:tabs>
              <w:spacing w:after="0" w:line="360" w:lineRule="auto"/>
              <w:rPr>
                <w:rFonts w:ascii="Times New Roman" w:hAnsi="Times New Roman"/>
                <w:sz w:val="24"/>
                <w:szCs w:val="24"/>
              </w:rPr>
            </w:pPr>
            <w:r w:rsidRPr="00FC514C">
              <w:rPr>
                <w:rFonts w:ascii="Times New Roman" w:hAnsi="Times New Roman"/>
                <w:sz w:val="24"/>
                <w:szCs w:val="24"/>
              </w:rPr>
              <w:t>Cribra orbitalia</w:t>
            </w:r>
            <w:r w:rsidR="003F5C0F">
              <w:rPr>
                <w:rFonts w:ascii="Times New Roman" w:hAnsi="Times New Roman"/>
                <w:sz w:val="24"/>
                <w:szCs w:val="24"/>
              </w:rPr>
              <w:t>.</w:t>
            </w:r>
            <w:r w:rsidRPr="00FC514C">
              <w:rPr>
                <w:rFonts w:ascii="Times New Roman" w:hAnsi="Times New Roman"/>
                <w:sz w:val="24"/>
                <w:szCs w:val="24"/>
              </w:rPr>
              <w:t xml:space="preserve"> </w:t>
            </w:r>
          </w:p>
          <w:p w14:paraId="1B7B6E30" w14:textId="2A624E17"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Minor periosteal reaction on endocranial fragment.</w:t>
            </w:r>
          </w:p>
          <w:p w14:paraId="693EDA03" w14:textId="327D2EC3"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Active (woven) and healed (sclerotic) periosteal reaction on right and left tibia, right and left femur, left ulna, right and left humerus, and left maxilla alveol</w:t>
            </w:r>
            <w:r w:rsidR="00AA21C2">
              <w:rPr>
                <w:rFonts w:ascii="Times New Roman" w:hAnsi="Times New Roman"/>
                <w:sz w:val="24"/>
                <w:szCs w:val="24"/>
              </w:rPr>
              <w:t>us</w:t>
            </w:r>
            <w:r w:rsidR="003F5C0F">
              <w:rPr>
                <w:rFonts w:ascii="Times New Roman" w:hAnsi="Times New Roman"/>
                <w:sz w:val="24"/>
                <w:szCs w:val="24"/>
              </w:rPr>
              <w:t>.</w:t>
            </w:r>
            <w:r w:rsidRPr="001F1446">
              <w:rPr>
                <w:rFonts w:ascii="Times New Roman" w:hAnsi="Times New Roman"/>
                <w:sz w:val="24"/>
                <w:szCs w:val="24"/>
              </w:rPr>
              <w:t xml:space="preserve"> </w:t>
            </w:r>
          </w:p>
          <w:p w14:paraId="2B3E963C" w14:textId="02E40B3F"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Healed periosteal reaction on fibula</w:t>
            </w:r>
            <w:r w:rsidR="003F5C0F">
              <w:rPr>
                <w:rFonts w:ascii="Times New Roman" w:hAnsi="Times New Roman"/>
                <w:sz w:val="24"/>
                <w:szCs w:val="24"/>
              </w:rPr>
              <w:t>.</w:t>
            </w:r>
            <w:r w:rsidRPr="001F1446">
              <w:rPr>
                <w:rFonts w:ascii="Times New Roman" w:hAnsi="Times New Roman"/>
                <w:sz w:val="24"/>
                <w:szCs w:val="24"/>
              </w:rPr>
              <w:t xml:space="preserve"> </w:t>
            </w:r>
          </w:p>
        </w:tc>
      </w:tr>
      <w:tr w:rsidR="005902FA" w:rsidRPr="001F1446" w14:paraId="459154C3" w14:textId="77777777" w:rsidTr="004227F2">
        <w:tc>
          <w:tcPr>
            <w:tcW w:w="894" w:type="pct"/>
          </w:tcPr>
          <w:p w14:paraId="3EB88FBD"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Thermal alterations: present</w:t>
            </w:r>
          </w:p>
        </w:tc>
        <w:tc>
          <w:tcPr>
            <w:tcW w:w="4106" w:type="pct"/>
            <w:vAlign w:val="center"/>
          </w:tcPr>
          <w:p w14:paraId="496F154F" w14:textId="31AB4DF3"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primary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of the remains is white, with the secondary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being light </w:t>
            </w:r>
            <w:r w:rsidR="003F5C0F">
              <w:rPr>
                <w:rFonts w:ascii="Times New Roman" w:hAnsi="Times New Roman"/>
                <w:sz w:val="24"/>
                <w:szCs w:val="24"/>
              </w:rPr>
              <w:t>grey</w:t>
            </w:r>
            <w:r w:rsidRPr="001F1446">
              <w:rPr>
                <w:rFonts w:ascii="Times New Roman" w:hAnsi="Times New Roman"/>
                <w:sz w:val="24"/>
                <w:szCs w:val="24"/>
              </w:rPr>
              <w:t xml:space="preserve">. There is moderate warping to the remains, and there is horizontal, vertical, and concentric cracking. The maximum </w:t>
            </w:r>
            <w:r w:rsidR="002D5CDB" w:rsidRPr="001F1446">
              <w:rPr>
                <w:rFonts w:ascii="Times New Roman" w:hAnsi="Times New Roman"/>
                <w:sz w:val="24"/>
                <w:szCs w:val="24"/>
              </w:rPr>
              <w:t xml:space="preserve">bone </w:t>
            </w:r>
            <w:r w:rsidRPr="001F1446">
              <w:rPr>
                <w:rFonts w:ascii="Times New Roman" w:hAnsi="Times New Roman"/>
                <w:sz w:val="24"/>
                <w:szCs w:val="24"/>
              </w:rPr>
              <w:t xml:space="preserve">length is from the left tibia shaft measuring 48.80mm. </w:t>
            </w:r>
          </w:p>
        </w:tc>
      </w:tr>
    </w:tbl>
    <w:tbl>
      <w:tblPr>
        <w:tblStyle w:val="TableGrid6"/>
        <w:tblW w:w="5096" w:type="pct"/>
        <w:tblLayout w:type="fixed"/>
        <w:tblLook w:val="04A0" w:firstRow="1" w:lastRow="0" w:firstColumn="1" w:lastColumn="0" w:noHBand="0" w:noVBand="1"/>
      </w:tblPr>
      <w:tblGrid>
        <w:gridCol w:w="2363"/>
        <w:gridCol w:w="10836"/>
      </w:tblGrid>
      <w:tr w:rsidR="005902FA" w:rsidRPr="001F1446" w14:paraId="670A933A" w14:textId="77777777" w:rsidTr="004227F2">
        <w:tc>
          <w:tcPr>
            <w:tcW w:w="895" w:type="pct"/>
          </w:tcPr>
          <w:p w14:paraId="736D873E" w14:textId="77777777" w:rsidR="005902FA" w:rsidRPr="001F1446" w:rsidRDefault="005902FA" w:rsidP="001F1446">
            <w:pPr>
              <w:tabs>
                <w:tab w:val="left" w:pos="1620"/>
              </w:tabs>
              <w:spacing w:after="0" w:line="360" w:lineRule="auto"/>
              <w:rPr>
                <w:rFonts w:ascii="Times New Roman" w:hAnsi="Times New Roman"/>
                <w:b/>
                <w:sz w:val="24"/>
                <w:szCs w:val="24"/>
              </w:rPr>
            </w:pPr>
            <w:r w:rsidRPr="001F1446">
              <w:rPr>
                <w:rFonts w:ascii="Times New Roman" w:hAnsi="Times New Roman"/>
                <w:b/>
                <w:sz w:val="24"/>
                <w:szCs w:val="24"/>
              </w:rPr>
              <w:t>Individual: L 2153</w:t>
            </w:r>
          </w:p>
          <w:p w14:paraId="4BEA3D86" w14:textId="01F1964E"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Dates: undetermine</w:t>
            </w:r>
            <w:r w:rsidR="004227F2" w:rsidRPr="001F1446">
              <w:rPr>
                <w:rFonts w:ascii="Times New Roman" w:hAnsi="Times New Roman"/>
                <w:sz w:val="24"/>
                <w:szCs w:val="24"/>
              </w:rPr>
              <w:t>d</w:t>
            </w:r>
          </w:p>
        </w:tc>
        <w:tc>
          <w:tcPr>
            <w:tcW w:w="4105" w:type="pct"/>
          </w:tcPr>
          <w:p w14:paraId="74471C03" w14:textId="15A91AD0"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cranial area of the skeleton is represented by several elements in a fragmentary state of preservation. These </w:t>
            </w:r>
            <w:r w:rsidR="002D5CDB" w:rsidRPr="001F1446">
              <w:rPr>
                <w:rFonts w:ascii="Times New Roman" w:hAnsi="Times New Roman"/>
                <w:sz w:val="24"/>
                <w:szCs w:val="24"/>
              </w:rPr>
              <w:t>are</w:t>
            </w:r>
            <w:r w:rsidRPr="001F1446">
              <w:rPr>
                <w:rFonts w:ascii="Times New Roman" w:hAnsi="Times New Roman"/>
                <w:sz w:val="24"/>
                <w:szCs w:val="24"/>
              </w:rPr>
              <w:t xml:space="preserve"> the frontal, parietal, occipital, temporals, mandible, zygomatic, maxillae, and sphenoids. The axial part of the skeleton is represented by several bones in a fragmentary state of preservation. These skeletal elements are the first and second cervical vertebrae, two cervical vertebrae, one thoracic vertebra, four lumbar vertebrae, the fifth lumbar vertebra, two vertebrae of the sacrum and 14 unidentified rib fragments. The appendicular part of the skeleton is represented by skeletal elements in a fragmentary state of preservation. These elements are the right scapula, ilia, ischia, radii, ulnae, femora, left tibia, and fibulas.</w:t>
            </w:r>
          </w:p>
        </w:tc>
      </w:tr>
      <w:tr w:rsidR="005902FA" w:rsidRPr="001F1446" w14:paraId="7868B5EC" w14:textId="77777777" w:rsidTr="004227F2">
        <w:tc>
          <w:tcPr>
            <w:tcW w:w="895" w:type="pct"/>
          </w:tcPr>
          <w:p w14:paraId="1BBF06E4" w14:textId="28A499C5"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Age: 5.5 years ± 3 months (omnibus skeletal age)</w:t>
            </w:r>
          </w:p>
          <w:p w14:paraId="0A78251C"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105" w:type="pct"/>
            <w:vAlign w:val="center"/>
          </w:tcPr>
          <w:p w14:paraId="3E345334" w14:textId="491375B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cranial measurements of the left petrous/mastoid portions of temporal length are estimated </w:t>
            </w:r>
            <w:r w:rsidR="002D5CDB" w:rsidRPr="001F1446">
              <w:rPr>
                <w:rFonts w:ascii="Times New Roman" w:hAnsi="Times New Roman"/>
                <w:sz w:val="24"/>
                <w:szCs w:val="24"/>
              </w:rPr>
              <w:t xml:space="preserve">at </w:t>
            </w:r>
            <w:r w:rsidRPr="001F1446">
              <w:rPr>
                <w:rFonts w:ascii="Times New Roman" w:hAnsi="Times New Roman"/>
                <w:sz w:val="24"/>
                <w:szCs w:val="24"/>
              </w:rPr>
              <w:t xml:space="preserve">29.10mm, and the width is 14.01mm. The right petrous/mastoid portions of temporal are 28.71mm in length and 10.81mm in width. The length of the basilar part of occipital is 13.60mm and the width is 23.18mm. The superior and inferior of the thoracic and lumbar vertebrae are unfused. The right scapula at the acromion is unfused. The proximal epiphysis of the left ulna is unfused. The right innominate ischial tuberosity is unfused. </w:t>
            </w:r>
            <w:r w:rsidRPr="001F1446">
              <w:rPr>
                <w:rFonts w:ascii="Times New Roman" w:hAnsi="Times New Roman"/>
                <w:sz w:val="24"/>
                <w:szCs w:val="24"/>
              </w:rPr>
              <w:lastRenderedPageBreak/>
              <w:t>The right femur head is unfused. The left and right femur, greater trochanter, and lesser trochanter are unfused. The left femur distal epiphysis is unfused, as well as the left tibia distal. The ilium-pubis, ischium-pubis, and ischium-ilium are unfused. The sacrum vertebrae 1</w:t>
            </w:r>
            <w:r w:rsidR="00AA21C2">
              <w:rPr>
                <w:rFonts w:ascii="Times New Roman" w:hAnsi="Times New Roman"/>
                <w:sz w:val="24"/>
                <w:szCs w:val="24"/>
              </w:rPr>
              <w:t>–</w:t>
            </w:r>
            <w:r w:rsidRPr="001F1446">
              <w:rPr>
                <w:rFonts w:ascii="Times New Roman" w:hAnsi="Times New Roman"/>
                <w:sz w:val="24"/>
                <w:szCs w:val="24"/>
              </w:rPr>
              <w:t>2 and 2</w:t>
            </w:r>
            <w:r w:rsidR="00AA21C2">
              <w:rPr>
                <w:rFonts w:ascii="Times New Roman" w:hAnsi="Times New Roman"/>
                <w:sz w:val="24"/>
                <w:szCs w:val="24"/>
              </w:rPr>
              <w:t>–</w:t>
            </w:r>
            <w:r w:rsidRPr="001F1446">
              <w:rPr>
                <w:rFonts w:ascii="Times New Roman" w:hAnsi="Times New Roman"/>
                <w:sz w:val="24"/>
                <w:szCs w:val="24"/>
              </w:rPr>
              <w:t xml:space="preserve">3 are unfused. The age estimation </w:t>
            </w:r>
            <w:r w:rsidR="00123902" w:rsidRPr="001F1446">
              <w:rPr>
                <w:rFonts w:ascii="Times New Roman" w:hAnsi="Times New Roman"/>
                <w:sz w:val="24"/>
                <w:szCs w:val="24"/>
              </w:rPr>
              <w:t xml:space="preserve">is </w:t>
            </w:r>
            <w:r w:rsidRPr="001F1446">
              <w:rPr>
                <w:rFonts w:ascii="Times New Roman" w:hAnsi="Times New Roman"/>
                <w:sz w:val="24"/>
                <w:szCs w:val="24"/>
              </w:rPr>
              <w:t>based on dental development, osteological measurements, epiphyseal union, and presence of primary ossification centers.</w:t>
            </w:r>
          </w:p>
        </w:tc>
      </w:tr>
      <w:tr w:rsidR="005902FA" w:rsidRPr="001F1446" w14:paraId="5A2C78E1" w14:textId="77777777" w:rsidTr="004227F2">
        <w:tc>
          <w:tcPr>
            <w:tcW w:w="895" w:type="pct"/>
          </w:tcPr>
          <w:p w14:paraId="64181C3D"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Dentition: present</w:t>
            </w:r>
          </w:p>
          <w:p w14:paraId="0C003398"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105" w:type="pct"/>
            <w:vAlign w:val="center"/>
          </w:tcPr>
          <w:p w14:paraId="7EC8031D" w14:textId="5417F90F"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All of the permanent teeth </w:t>
            </w:r>
            <w:r w:rsidR="00123902" w:rsidRPr="001F1446">
              <w:rPr>
                <w:rFonts w:ascii="Times New Roman" w:hAnsi="Times New Roman"/>
                <w:sz w:val="24"/>
                <w:szCs w:val="24"/>
              </w:rPr>
              <w:t xml:space="preserve">are </w:t>
            </w:r>
            <w:r w:rsidRPr="001F1446">
              <w:rPr>
                <w:rFonts w:ascii="Times New Roman" w:hAnsi="Times New Roman"/>
                <w:sz w:val="24"/>
                <w:szCs w:val="24"/>
              </w:rPr>
              <w:t>unerupted, and only the teeth that are present are described. The maxillary right first permanent premolar (#5) has a ¾ crown completely developed. The maxillary right permanent canine (#6) has an initial cleft formation on the crown. The maxillary left permanent lateral incisor (#10) has developed the root length ¼. The maxillary left permanent canine (#11) has an initial cleft formation in the crown. The maxillary left permanent second molar (#15) has a crown that is ¾ completely developed. The mandibular left permanent first premolar (#21) is not in occlusion, and the crown is completely developed. The mandibular left permanent canine (#22) has a crown completely developed. The mandibular left permanent lateral incisor (#23) has a root ¼ developed. The mandibular left permanent central incisor (#24) has a root ¼ developed. The mandibular right permanent canine (#27) has a crown completely developed. The mandibular right permanent first premolar (#28) has a crown completely developed.</w:t>
            </w:r>
          </w:p>
        </w:tc>
      </w:tr>
      <w:tr w:rsidR="005902FA" w:rsidRPr="001F1446" w14:paraId="2E6E5774" w14:textId="77777777" w:rsidTr="004227F2">
        <w:tc>
          <w:tcPr>
            <w:tcW w:w="895" w:type="pct"/>
            <w:tcBorders>
              <w:bottom w:val="single" w:sz="4" w:space="0" w:color="auto"/>
            </w:tcBorders>
          </w:tcPr>
          <w:p w14:paraId="772627A0"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105" w:type="pct"/>
            <w:vAlign w:val="center"/>
          </w:tcPr>
          <w:p w14:paraId="0DCB27CE" w14:textId="19D150FC" w:rsidR="005902FA" w:rsidRPr="001F1446" w:rsidRDefault="005902FA" w:rsidP="001F1446">
            <w:pPr>
              <w:tabs>
                <w:tab w:val="left" w:pos="1620"/>
              </w:tabs>
              <w:spacing w:after="0" w:line="360" w:lineRule="auto"/>
              <w:rPr>
                <w:rFonts w:ascii="Times New Roman" w:hAnsi="Times New Roman"/>
                <w:sz w:val="24"/>
                <w:szCs w:val="24"/>
              </w:rPr>
            </w:pPr>
            <w:r w:rsidRPr="006E5763">
              <w:rPr>
                <w:rFonts w:ascii="Times New Roman" w:hAnsi="Times New Roman"/>
                <w:sz w:val="24"/>
                <w:szCs w:val="24"/>
              </w:rPr>
              <w:t>Cribra orbitalia</w:t>
            </w:r>
            <w:r w:rsidRPr="001F1446">
              <w:rPr>
                <w:rFonts w:ascii="Times New Roman" w:hAnsi="Times New Roman"/>
                <w:sz w:val="24"/>
                <w:szCs w:val="24"/>
              </w:rPr>
              <w:t xml:space="preserve"> on right and left orbit</w:t>
            </w:r>
            <w:r w:rsidR="003F5C0F">
              <w:rPr>
                <w:rFonts w:ascii="Times New Roman" w:hAnsi="Times New Roman"/>
                <w:sz w:val="24"/>
                <w:szCs w:val="24"/>
              </w:rPr>
              <w:t>.</w:t>
            </w:r>
          </w:p>
          <w:p w14:paraId="45C2B4EB" w14:textId="3F3ADC1E"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Porotic hyperostosis</w:t>
            </w:r>
            <w:r w:rsidR="003F5C0F">
              <w:rPr>
                <w:rFonts w:ascii="Times New Roman" w:hAnsi="Times New Roman"/>
                <w:sz w:val="24"/>
                <w:szCs w:val="24"/>
              </w:rPr>
              <w:t>.</w:t>
            </w:r>
            <w:r w:rsidRPr="001F1446">
              <w:rPr>
                <w:rFonts w:ascii="Times New Roman" w:hAnsi="Times New Roman"/>
                <w:sz w:val="24"/>
                <w:szCs w:val="24"/>
              </w:rPr>
              <w:t xml:space="preserve"> </w:t>
            </w:r>
          </w:p>
          <w:p w14:paraId="59A38638" w14:textId="2C122096" w:rsidR="005902FA" w:rsidRPr="001F1446" w:rsidRDefault="00137F89" w:rsidP="001F1446">
            <w:pPr>
              <w:tabs>
                <w:tab w:val="left" w:pos="1620"/>
              </w:tabs>
              <w:spacing w:after="0" w:line="360" w:lineRule="auto"/>
              <w:rPr>
                <w:rFonts w:ascii="Times New Roman" w:hAnsi="Times New Roman"/>
                <w:sz w:val="24"/>
                <w:szCs w:val="24"/>
              </w:rPr>
            </w:pPr>
            <w:bookmarkStart w:id="7" w:name="_Hlk126932090"/>
            <w:r w:rsidRPr="001F1446">
              <w:rPr>
                <w:rFonts w:ascii="Times New Roman" w:hAnsi="Times New Roman"/>
                <w:sz w:val="24"/>
                <w:szCs w:val="24"/>
              </w:rPr>
              <w:t>Microporosity and macroporosity</w:t>
            </w:r>
            <w:r w:rsidR="005902FA" w:rsidRPr="001F1446">
              <w:rPr>
                <w:rFonts w:ascii="Times New Roman" w:hAnsi="Times New Roman"/>
                <w:sz w:val="24"/>
                <w:szCs w:val="24"/>
              </w:rPr>
              <w:t xml:space="preserve"> on frontal, </w:t>
            </w:r>
            <w:bookmarkEnd w:id="7"/>
            <w:r w:rsidR="005902FA" w:rsidRPr="001F1446">
              <w:rPr>
                <w:rFonts w:ascii="Times New Roman" w:hAnsi="Times New Roman"/>
                <w:sz w:val="24"/>
                <w:szCs w:val="24"/>
              </w:rPr>
              <w:t xml:space="preserve">left temporal </w:t>
            </w:r>
            <w:r w:rsidRPr="001F1446">
              <w:rPr>
                <w:rFonts w:ascii="Times New Roman" w:hAnsi="Times New Roman"/>
                <w:sz w:val="24"/>
                <w:szCs w:val="24"/>
              </w:rPr>
              <w:t xml:space="preserve">in the endocranial surface and </w:t>
            </w:r>
            <w:r w:rsidR="005902FA" w:rsidRPr="001F1446">
              <w:rPr>
                <w:rFonts w:ascii="Times New Roman" w:hAnsi="Times New Roman"/>
                <w:sz w:val="24"/>
                <w:szCs w:val="24"/>
              </w:rPr>
              <w:t>at zygomatic process</w:t>
            </w:r>
            <w:r w:rsidRPr="001F1446">
              <w:rPr>
                <w:rFonts w:ascii="Times New Roman" w:hAnsi="Times New Roman"/>
                <w:sz w:val="24"/>
                <w:szCs w:val="24"/>
              </w:rPr>
              <w:t xml:space="preserve">, </w:t>
            </w:r>
            <w:r w:rsidR="005902FA" w:rsidRPr="001F1446">
              <w:rPr>
                <w:rFonts w:ascii="Times New Roman" w:hAnsi="Times New Roman"/>
                <w:sz w:val="24"/>
                <w:szCs w:val="24"/>
              </w:rPr>
              <w:t>and part basilaris</w:t>
            </w:r>
            <w:r w:rsidRPr="001F1446">
              <w:rPr>
                <w:rFonts w:ascii="Times New Roman" w:hAnsi="Times New Roman"/>
                <w:sz w:val="24"/>
                <w:szCs w:val="24"/>
              </w:rPr>
              <w:t xml:space="preserve"> of the occipital.</w:t>
            </w:r>
          </w:p>
          <w:p w14:paraId="7160ECEE" w14:textId="5559FA7C"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Active and healed periosteal reaction on a long bone fragment, and sclerotic bone on tibia shaft fragment</w:t>
            </w:r>
            <w:r w:rsidR="00137F89" w:rsidRPr="001F1446">
              <w:rPr>
                <w:rFonts w:ascii="Times New Roman" w:hAnsi="Times New Roman"/>
                <w:sz w:val="24"/>
                <w:szCs w:val="24"/>
              </w:rPr>
              <w:t>.</w:t>
            </w:r>
          </w:p>
        </w:tc>
      </w:tr>
    </w:tbl>
    <w:tbl>
      <w:tblPr>
        <w:tblStyle w:val="TableGrid"/>
        <w:tblW w:w="5106" w:type="pct"/>
        <w:tblLook w:val="04A0" w:firstRow="1" w:lastRow="0" w:firstColumn="1" w:lastColumn="0" w:noHBand="0" w:noVBand="1"/>
      </w:tblPr>
      <w:tblGrid>
        <w:gridCol w:w="2336"/>
        <w:gridCol w:w="10889"/>
      </w:tblGrid>
      <w:tr w:rsidR="005902FA" w:rsidRPr="001F1446" w14:paraId="772473C1" w14:textId="77777777" w:rsidTr="000F5F6C">
        <w:tc>
          <w:tcPr>
            <w:tcW w:w="883" w:type="pct"/>
          </w:tcPr>
          <w:p w14:paraId="5A1DD3AE"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lastRenderedPageBreak/>
              <w:t>Thermal alterations: present</w:t>
            </w:r>
          </w:p>
        </w:tc>
        <w:tc>
          <w:tcPr>
            <w:tcW w:w="4117" w:type="pct"/>
            <w:vAlign w:val="center"/>
          </w:tcPr>
          <w:p w14:paraId="454EB28C" w14:textId="3A888368"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primary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of the remains is white, </w:t>
            </w:r>
            <w:r w:rsidR="00123902" w:rsidRPr="001F1446">
              <w:rPr>
                <w:rFonts w:ascii="Times New Roman" w:hAnsi="Times New Roman"/>
                <w:sz w:val="24"/>
                <w:szCs w:val="24"/>
              </w:rPr>
              <w:t xml:space="preserve">and </w:t>
            </w:r>
            <w:r w:rsidRPr="001F1446">
              <w:rPr>
                <w:rFonts w:ascii="Times New Roman" w:hAnsi="Times New Roman"/>
                <w:sz w:val="24"/>
                <w:szCs w:val="24"/>
              </w:rPr>
              <w:t xml:space="preserve">the secondary </w:t>
            </w:r>
            <w:proofErr w:type="spellStart"/>
            <w:r w:rsidR="003F5C0F">
              <w:rPr>
                <w:rFonts w:ascii="Times New Roman" w:hAnsi="Times New Roman"/>
                <w:sz w:val="24"/>
                <w:szCs w:val="24"/>
              </w:rPr>
              <w:t>colour</w:t>
            </w:r>
            <w:proofErr w:type="spellEnd"/>
            <w:r w:rsidRPr="001F1446">
              <w:rPr>
                <w:rFonts w:ascii="Times New Roman" w:hAnsi="Times New Roman"/>
                <w:sz w:val="24"/>
                <w:szCs w:val="24"/>
              </w:rPr>
              <w:t xml:space="preserve"> </w:t>
            </w:r>
            <w:r w:rsidR="00CD36E2" w:rsidRPr="001F1446">
              <w:rPr>
                <w:rFonts w:ascii="Times New Roman" w:hAnsi="Times New Roman"/>
                <w:sz w:val="24"/>
                <w:szCs w:val="24"/>
              </w:rPr>
              <w:t xml:space="preserve">is </w:t>
            </w:r>
            <w:r w:rsidR="003F5C0F">
              <w:rPr>
                <w:rFonts w:ascii="Times New Roman" w:hAnsi="Times New Roman"/>
                <w:sz w:val="24"/>
                <w:szCs w:val="24"/>
              </w:rPr>
              <w:t>grey</w:t>
            </w:r>
            <w:r w:rsidRPr="001F1446">
              <w:rPr>
                <w:rFonts w:ascii="Times New Roman" w:hAnsi="Times New Roman"/>
                <w:sz w:val="24"/>
                <w:szCs w:val="24"/>
              </w:rPr>
              <w:t xml:space="preserve">. There is evidence of calcination. There is heavy warping and heavy horizontal, vertical, and concentric cracks. The maximum </w:t>
            </w:r>
            <w:r w:rsidR="00123902" w:rsidRPr="001F1446">
              <w:rPr>
                <w:rFonts w:ascii="Times New Roman" w:hAnsi="Times New Roman"/>
                <w:sz w:val="24"/>
                <w:szCs w:val="24"/>
              </w:rPr>
              <w:t xml:space="preserve">bone </w:t>
            </w:r>
            <w:r w:rsidRPr="001F1446">
              <w:rPr>
                <w:rFonts w:ascii="Times New Roman" w:hAnsi="Times New Roman"/>
                <w:sz w:val="24"/>
                <w:szCs w:val="24"/>
              </w:rPr>
              <w:t>length is a right ilium fragment at 54.61mm, while the average length is 15.46mm.</w:t>
            </w:r>
          </w:p>
        </w:tc>
      </w:tr>
      <w:tr w:rsidR="005902FA" w:rsidRPr="001F1446" w14:paraId="443EF01C" w14:textId="77777777" w:rsidTr="000F5F6C">
        <w:tc>
          <w:tcPr>
            <w:tcW w:w="883" w:type="pct"/>
          </w:tcPr>
          <w:p w14:paraId="4C79BD95" w14:textId="77777777" w:rsidR="005902FA" w:rsidRPr="001F1446" w:rsidRDefault="005902FA" w:rsidP="001F1446">
            <w:pPr>
              <w:tabs>
                <w:tab w:val="left" w:pos="1620"/>
              </w:tabs>
              <w:spacing w:after="0" w:line="360" w:lineRule="auto"/>
              <w:rPr>
                <w:rFonts w:ascii="Times New Roman" w:hAnsi="Times New Roman"/>
                <w:b/>
                <w:i/>
                <w:sz w:val="24"/>
                <w:szCs w:val="24"/>
              </w:rPr>
            </w:pPr>
            <w:r w:rsidRPr="001F1446">
              <w:rPr>
                <w:rFonts w:ascii="Times New Roman" w:hAnsi="Times New Roman"/>
                <w:b/>
                <w:i/>
                <w:sz w:val="24"/>
                <w:szCs w:val="24"/>
              </w:rPr>
              <w:t>Secondary cremation not in urn L. 1008</w:t>
            </w:r>
          </w:p>
          <w:p w14:paraId="756ACA61"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Dates:</w:t>
            </w:r>
            <w:r w:rsidRPr="001F1446">
              <w:rPr>
                <w:rFonts w:ascii="Times New Roman" w:hAnsi="Times New Roman"/>
                <w:sz w:val="24"/>
                <w:szCs w:val="24"/>
              </w:rPr>
              <w:t xml:space="preserve"> </w:t>
            </w:r>
            <w:r w:rsidRPr="001F1446">
              <w:rPr>
                <w:rFonts w:ascii="Times New Roman" w:hAnsi="Times New Roman"/>
                <w:i/>
                <w:sz w:val="24"/>
                <w:szCs w:val="24"/>
              </w:rPr>
              <w:t>undetermined</w:t>
            </w:r>
          </w:p>
        </w:tc>
        <w:tc>
          <w:tcPr>
            <w:tcW w:w="4117" w:type="pct"/>
            <w:vAlign w:val="center"/>
          </w:tcPr>
          <w:p w14:paraId="1CE2CF7F" w14:textId="3591986C" w:rsidR="00C46326" w:rsidRPr="001F1446" w:rsidRDefault="00C46326"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Six cranial vault fragments</w:t>
            </w:r>
            <w:r w:rsidR="006D4D31" w:rsidRPr="001F1446">
              <w:rPr>
                <w:rFonts w:ascii="Times New Roman" w:hAnsi="Times New Roman"/>
                <w:sz w:val="24"/>
                <w:szCs w:val="24"/>
              </w:rPr>
              <w:t>,</w:t>
            </w:r>
            <w:r w:rsidRPr="001F1446">
              <w:rPr>
                <w:rFonts w:ascii="Times New Roman" w:hAnsi="Times New Roman"/>
                <w:sz w:val="24"/>
                <w:szCs w:val="24"/>
              </w:rPr>
              <w:t xml:space="preserve"> including an alveolar bone, 20 long bone fragments unidentified, and 16 unide</w:t>
            </w:r>
            <w:r w:rsidR="006D4D31" w:rsidRPr="001F1446">
              <w:rPr>
                <w:rFonts w:ascii="Times New Roman" w:hAnsi="Times New Roman"/>
                <w:sz w:val="24"/>
                <w:szCs w:val="24"/>
              </w:rPr>
              <w:t>n</w:t>
            </w:r>
            <w:r w:rsidRPr="001F1446">
              <w:rPr>
                <w:rFonts w:ascii="Times New Roman" w:hAnsi="Times New Roman"/>
                <w:sz w:val="24"/>
                <w:szCs w:val="24"/>
              </w:rPr>
              <w:t xml:space="preserve">tified bone fragments </w:t>
            </w:r>
            <w:r w:rsidR="00123902" w:rsidRPr="001F1446">
              <w:rPr>
                <w:rFonts w:ascii="Times New Roman" w:hAnsi="Times New Roman"/>
                <w:sz w:val="24"/>
                <w:szCs w:val="24"/>
              </w:rPr>
              <w:t xml:space="preserve">are </w:t>
            </w:r>
            <w:r w:rsidRPr="001F1446">
              <w:rPr>
                <w:rFonts w:ascii="Times New Roman" w:hAnsi="Times New Roman"/>
                <w:sz w:val="24"/>
                <w:szCs w:val="24"/>
              </w:rPr>
              <w:t xml:space="preserve">present. </w:t>
            </w:r>
          </w:p>
        </w:tc>
      </w:tr>
      <w:tr w:rsidR="005902FA" w:rsidRPr="001F1446" w14:paraId="08671B42" w14:textId="77777777" w:rsidTr="000F5F6C">
        <w:trPr>
          <w:trHeight w:val="1619"/>
        </w:trPr>
        <w:tc>
          <w:tcPr>
            <w:tcW w:w="883" w:type="pct"/>
          </w:tcPr>
          <w:p w14:paraId="3D8E4C1F" w14:textId="5550AE46"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Age: Child (2 to 12 y</w:t>
            </w:r>
            <w:r w:rsidR="006E5763">
              <w:rPr>
                <w:rFonts w:ascii="Times New Roman" w:hAnsi="Times New Roman"/>
                <w:i/>
                <w:sz w:val="24"/>
                <w:szCs w:val="24"/>
              </w:rPr>
              <w:t>ears</w:t>
            </w:r>
            <w:r w:rsidRPr="001F1446">
              <w:rPr>
                <w:rFonts w:ascii="Times New Roman" w:hAnsi="Times New Roman"/>
                <w:i/>
                <w:sz w:val="24"/>
                <w:szCs w:val="24"/>
              </w:rPr>
              <w:t xml:space="preserve"> at death) (omnibus skeletal age)</w:t>
            </w:r>
          </w:p>
          <w:p w14:paraId="170B14F6" w14:textId="77777777" w:rsidR="005902FA" w:rsidRPr="001F1446" w:rsidRDefault="005902FA" w:rsidP="001F1446">
            <w:pPr>
              <w:tabs>
                <w:tab w:val="left" w:pos="1620"/>
              </w:tabs>
              <w:spacing w:after="0" w:line="360" w:lineRule="auto"/>
              <w:rPr>
                <w:rFonts w:ascii="Times New Roman" w:hAnsi="Times New Roman"/>
                <w:i/>
                <w:sz w:val="24"/>
                <w:szCs w:val="24"/>
              </w:rPr>
            </w:pPr>
          </w:p>
        </w:tc>
        <w:tc>
          <w:tcPr>
            <w:tcW w:w="4117" w:type="pct"/>
            <w:vAlign w:val="center"/>
          </w:tcPr>
          <w:p w14:paraId="1F2FD0B9" w14:textId="7D8F3222" w:rsidR="005902FA" w:rsidRPr="001F1446" w:rsidRDefault="00C46326"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age estimation of this individual </w:t>
            </w:r>
            <w:r w:rsidR="00123902" w:rsidRPr="001F1446">
              <w:rPr>
                <w:rFonts w:ascii="Times New Roman" w:hAnsi="Times New Roman"/>
                <w:sz w:val="24"/>
                <w:szCs w:val="24"/>
              </w:rPr>
              <w:t xml:space="preserve">is </w:t>
            </w:r>
            <w:r w:rsidRPr="001F1446">
              <w:rPr>
                <w:rFonts w:ascii="Times New Roman" w:hAnsi="Times New Roman"/>
                <w:sz w:val="24"/>
                <w:szCs w:val="24"/>
              </w:rPr>
              <w:t>based on epiphyseal union and overall size.</w:t>
            </w:r>
          </w:p>
        </w:tc>
      </w:tr>
      <w:tr w:rsidR="005902FA" w:rsidRPr="001F1446" w14:paraId="2F75B5D3" w14:textId="77777777" w:rsidTr="000F5F6C">
        <w:tc>
          <w:tcPr>
            <w:tcW w:w="883" w:type="pct"/>
          </w:tcPr>
          <w:p w14:paraId="768D627A"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117" w:type="pct"/>
            <w:vAlign w:val="center"/>
          </w:tcPr>
          <w:p w14:paraId="2907E8AB" w14:textId="21A01BEA" w:rsidR="005902FA" w:rsidRPr="001F1446" w:rsidRDefault="005902FA"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Two cranial vault fragments have healed</w:t>
            </w:r>
            <w:r w:rsidR="00137F89" w:rsidRPr="001F1446">
              <w:rPr>
                <w:rFonts w:ascii="Times New Roman" w:hAnsi="Times New Roman"/>
                <w:sz w:val="24"/>
                <w:szCs w:val="24"/>
              </w:rPr>
              <w:t xml:space="preserve"> sclerotic bone</w:t>
            </w:r>
            <w:r w:rsidRPr="001F1446">
              <w:rPr>
                <w:rFonts w:ascii="Times New Roman" w:hAnsi="Times New Roman"/>
                <w:sz w:val="24"/>
                <w:szCs w:val="24"/>
              </w:rPr>
              <w:t>, periosteal reaction</w:t>
            </w:r>
            <w:r w:rsidR="00137F89" w:rsidRPr="001F1446">
              <w:rPr>
                <w:rFonts w:ascii="Times New Roman" w:hAnsi="Times New Roman"/>
                <w:sz w:val="24"/>
                <w:szCs w:val="24"/>
              </w:rPr>
              <w:t xml:space="preserve"> in form of abnormal woven bone and sclerotic bone</w:t>
            </w:r>
            <w:r w:rsidRPr="001F1446">
              <w:rPr>
                <w:rFonts w:ascii="Times New Roman" w:hAnsi="Times New Roman"/>
                <w:sz w:val="24"/>
                <w:szCs w:val="24"/>
              </w:rPr>
              <w:t xml:space="preserve"> is observed on the ectocranial surface, four long bones have </w:t>
            </w:r>
            <w:r w:rsidR="006D4D31" w:rsidRPr="001F1446">
              <w:rPr>
                <w:rFonts w:ascii="Times New Roman" w:hAnsi="Times New Roman"/>
                <w:sz w:val="24"/>
                <w:szCs w:val="24"/>
              </w:rPr>
              <w:t xml:space="preserve">an </w:t>
            </w:r>
            <w:r w:rsidRPr="001F1446">
              <w:rPr>
                <w:rFonts w:ascii="Times New Roman" w:hAnsi="Times New Roman"/>
                <w:sz w:val="24"/>
                <w:szCs w:val="24"/>
              </w:rPr>
              <w:t>active periosteal reaction</w:t>
            </w:r>
            <w:r w:rsidR="00137F89" w:rsidRPr="001F1446">
              <w:rPr>
                <w:rFonts w:ascii="Times New Roman" w:hAnsi="Times New Roman"/>
                <w:sz w:val="24"/>
                <w:szCs w:val="24"/>
              </w:rPr>
              <w:t xml:space="preserve"> in form of abnormal woven bone</w:t>
            </w:r>
            <w:r w:rsidRPr="001F1446">
              <w:rPr>
                <w:rFonts w:ascii="Times New Roman" w:hAnsi="Times New Roman"/>
                <w:sz w:val="24"/>
                <w:szCs w:val="24"/>
              </w:rPr>
              <w:t>, and four long bones have healed periosteal reaction</w:t>
            </w:r>
            <w:r w:rsidR="00137F89" w:rsidRPr="001F1446">
              <w:rPr>
                <w:rFonts w:ascii="Times New Roman" w:hAnsi="Times New Roman"/>
                <w:sz w:val="24"/>
                <w:szCs w:val="24"/>
              </w:rPr>
              <w:t xml:space="preserve"> in form of abnormal sclerotic bone</w:t>
            </w:r>
            <w:r w:rsidRPr="001F1446">
              <w:rPr>
                <w:rFonts w:ascii="Times New Roman" w:hAnsi="Times New Roman"/>
                <w:sz w:val="24"/>
                <w:szCs w:val="24"/>
              </w:rPr>
              <w:t>.</w:t>
            </w:r>
          </w:p>
        </w:tc>
      </w:tr>
      <w:tr w:rsidR="005902FA" w:rsidRPr="001F1446" w14:paraId="587958C1" w14:textId="77777777" w:rsidTr="000F5F6C">
        <w:tc>
          <w:tcPr>
            <w:tcW w:w="883" w:type="pct"/>
          </w:tcPr>
          <w:p w14:paraId="51CD20FD" w14:textId="77777777" w:rsidR="005902FA" w:rsidRPr="001F1446" w:rsidRDefault="005902FA" w:rsidP="001F1446">
            <w:pPr>
              <w:tabs>
                <w:tab w:val="left" w:pos="1620"/>
              </w:tabs>
              <w:spacing w:after="0" w:line="360" w:lineRule="auto"/>
              <w:rPr>
                <w:rFonts w:ascii="Times New Roman" w:hAnsi="Times New Roman"/>
                <w:b/>
                <w:i/>
                <w:sz w:val="24"/>
                <w:szCs w:val="24"/>
              </w:rPr>
            </w:pPr>
            <w:r w:rsidRPr="001F1446">
              <w:rPr>
                <w:rFonts w:ascii="Times New Roman" w:hAnsi="Times New Roman"/>
                <w:b/>
                <w:i/>
                <w:sz w:val="24"/>
                <w:szCs w:val="24"/>
              </w:rPr>
              <w:t>Secondary cremation not in urn L. 1020</w:t>
            </w:r>
          </w:p>
          <w:p w14:paraId="457772BC"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 xml:space="preserve">Dates: </w:t>
            </w:r>
            <w:r w:rsidRPr="001F1446">
              <w:rPr>
                <w:rFonts w:ascii="Times New Roman" w:hAnsi="Times New Roman"/>
                <w:sz w:val="24"/>
                <w:szCs w:val="24"/>
              </w:rPr>
              <w:t>undetermined</w:t>
            </w:r>
          </w:p>
        </w:tc>
        <w:tc>
          <w:tcPr>
            <w:tcW w:w="4117" w:type="pct"/>
            <w:vAlign w:val="center"/>
          </w:tcPr>
          <w:p w14:paraId="1279748F" w14:textId="640C166C" w:rsidR="005902FA" w:rsidRPr="001F1446" w:rsidRDefault="00C46326"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One fragment of a mandible, one sphenoid fragment, one maxilla fragment, 44 cranial va</w:t>
            </w:r>
            <w:r w:rsidR="006D4D31" w:rsidRPr="001F1446">
              <w:rPr>
                <w:rFonts w:ascii="Times New Roman" w:hAnsi="Times New Roman"/>
                <w:sz w:val="24"/>
                <w:szCs w:val="24"/>
              </w:rPr>
              <w:t>ult</w:t>
            </w:r>
            <w:r w:rsidRPr="001F1446">
              <w:rPr>
                <w:rFonts w:ascii="Times New Roman" w:hAnsi="Times New Roman"/>
                <w:sz w:val="24"/>
                <w:szCs w:val="24"/>
              </w:rPr>
              <w:t xml:space="preserve"> fragment</w:t>
            </w:r>
            <w:r w:rsidR="00123902" w:rsidRPr="001F1446">
              <w:rPr>
                <w:rFonts w:ascii="Times New Roman" w:hAnsi="Times New Roman"/>
                <w:sz w:val="24"/>
                <w:szCs w:val="24"/>
              </w:rPr>
              <w:t>s</w:t>
            </w:r>
            <w:r w:rsidRPr="001F1446">
              <w:rPr>
                <w:rFonts w:ascii="Times New Roman" w:hAnsi="Times New Roman"/>
                <w:sz w:val="24"/>
                <w:szCs w:val="24"/>
              </w:rPr>
              <w:t>, one tooth root, first and second permanent molars, one fragment of a scapula, two rib shaft fragments, one fragment of a humerus, 39 long bone fragments, one radius fragment, distal epiphysis of a middle carpal p</w:t>
            </w:r>
            <w:r w:rsidR="006D4D31" w:rsidRPr="001F1446">
              <w:rPr>
                <w:rFonts w:ascii="Times New Roman" w:hAnsi="Times New Roman"/>
                <w:sz w:val="24"/>
                <w:szCs w:val="24"/>
              </w:rPr>
              <w:t>ha</w:t>
            </w:r>
            <w:r w:rsidRPr="001F1446">
              <w:rPr>
                <w:rFonts w:ascii="Times New Roman" w:hAnsi="Times New Roman"/>
                <w:sz w:val="24"/>
                <w:szCs w:val="24"/>
              </w:rPr>
              <w:t>lange, 85 unidentified bone fragments present.</w:t>
            </w:r>
          </w:p>
        </w:tc>
      </w:tr>
      <w:tr w:rsidR="005902FA" w:rsidRPr="001F1446" w14:paraId="7688930A" w14:textId="77777777" w:rsidTr="000F5F6C">
        <w:tc>
          <w:tcPr>
            <w:tcW w:w="883" w:type="pct"/>
          </w:tcPr>
          <w:p w14:paraId="424ED6E7" w14:textId="6ED8865A"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sz w:val="24"/>
                <w:szCs w:val="24"/>
              </w:rPr>
              <w:t>Age: 12 years ± 2.5 months</w:t>
            </w:r>
          </w:p>
        </w:tc>
        <w:tc>
          <w:tcPr>
            <w:tcW w:w="4117" w:type="pct"/>
            <w:vAlign w:val="center"/>
          </w:tcPr>
          <w:p w14:paraId="6597403F" w14:textId="1320FFC2" w:rsidR="005902FA" w:rsidRPr="001F1446" w:rsidRDefault="00C46326"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First and second permanent molars with apex closed. The age estimation of this individual </w:t>
            </w:r>
            <w:r w:rsidR="00123902" w:rsidRPr="001F1446">
              <w:rPr>
                <w:rFonts w:ascii="Times New Roman" w:hAnsi="Times New Roman"/>
                <w:sz w:val="24"/>
                <w:szCs w:val="24"/>
              </w:rPr>
              <w:t xml:space="preserve">is </w:t>
            </w:r>
            <w:r w:rsidRPr="001F1446">
              <w:rPr>
                <w:rFonts w:ascii="Times New Roman" w:hAnsi="Times New Roman"/>
                <w:sz w:val="24"/>
                <w:szCs w:val="24"/>
              </w:rPr>
              <w:t>based on dental development, epiphyseal union, and overall size.</w:t>
            </w:r>
          </w:p>
        </w:tc>
      </w:tr>
      <w:tr w:rsidR="005902FA" w:rsidRPr="001F1446" w14:paraId="50A0E7AF" w14:textId="77777777" w:rsidTr="000F5F6C">
        <w:tc>
          <w:tcPr>
            <w:tcW w:w="883" w:type="pct"/>
          </w:tcPr>
          <w:p w14:paraId="707DE4E2" w14:textId="13553FC1"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117" w:type="pct"/>
            <w:vAlign w:val="center"/>
          </w:tcPr>
          <w:p w14:paraId="28C2B4DA" w14:textId="705F7BC0" w:rsidR="005902FA" w:rsidRPr="001F1446" w:rsidRDefault="00C10F11"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None.</w:t>
            </w:r>
          </w:p>
        </w:tc>
      </w:tr>
      <w:tr w:rsidR="005902FA" w:rsidRPr="001F1446" w14:paraId="37C60968" w14:textId="77777777" w:rsidTr="000F5F6C">
        <w:tc>
          <w:tcPr>
            <w:tcW w:w="883" w:type="pct"/>
            <w:tcBorders>
              <w:bottom w:val="single" w:sz="4" w:space="0" w:color="auto"/>
            </w:tcBorders>
          </w:tcPr>
          <w:p w14:paraId="47E51245" w14:textId="77777777" w:rsidR="005902FA" w:rsidRPr="001F1446" w:rsidRDefault="005902FA" w:rsidP="001F1446">
            <w:pPr>
              <w:tabs>
                <w:tab w:val="left" w:pos="1620"/>
              </w:tabs>
              <w:spacing w:after="0" w:line="360" w:lineRule="auto"/>
              <w:rPr>
                <w:rFonts w:ascii="Times New Roman" w:hAnsi="Times New Roman"/>
                <w:b/>
                <w:i/>
                <w:sz w:val="24"/>
                <w:szCs w:val="24"/>
              </w:rPr>
            </w:pPr>
            <w:r w:rsidRPr="001F1446">
              <w:rPr>
                <w:rFonts w:ascii="Times New Roman" w:hAnsi="Times New Roman"/>
                <w:b/>
                <w:i/>
                <w:sz w:val="24"/>
                <w:szCs w:val="24"/>
              </w:rPr>
              <w:lastRenderedPageBreak/>
              <w:t>Secondary cremation not in urn L. 1016</w:t>
            </w:r>
          </w:p>
          <w:p w14:paraId="39FAB7E9" w14:textId="77777777"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 xml:space="preserve">Dates: </w:t>
            </w:r>
            <w:r w:rsidRPr="001F1446">
              <w:rPr>
                <w:rFonts w:ascii="Times New Roman" w:hAnsi="Times New Roman"/>
                <w:sz w:val="24"/>
                <w:szCs w:val="24"/>
              </w:rPr>
              <w:t>undetermined</w:t>
            </w:r>
          </w:p>
        </w:tc>
        <w:tc>
          <w:tcPr>
            <w:tcW w:w="4117" w:type="pct"/>
            <w:vAlign w:val="center"/>
          </w:tcPr>
          <w:p w14:paraId="626E2D20" w14:textId="4FA7BB1D" w:rsidR="005902FA" w:rsidRPr="001F1446" w:rsidRDefault="00C46326"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A total of 19 cranial vault fragments, four ribs, 34 long bone bones</w:t>
            </w:r>
            <w:r w:rsidR="006D4D31" w:rsidRPr="001F1446">
              <w:rPr>
                <w:rFonts w:ascii="Times New Roman" w:hAnsi="Times New Roman"/>
                <w:sz w:val="24"/>
                <w:szCs w:val="24"/>
              </w:rPr>
              <w:t>,</w:t>
            </w:r>
            <w:r w:rsidRPr="001F1446">
              <w:rPr>
                <w:rFonts w:ascii="Times New Roman" w:hAnsi="Times New Roman"/>
                <w:sz w:val="24"/>
                <w:szCs w:val="24"/>
              </w:rPr>
              <w:t xml:space="preserve"> and 47 unidentified ling bone f</w:t>
            </w:r>
            <w:r w:rsidR="006D4D31" w:rsidRPr="001F1446">
              <w:rPr>
                <w:rFonts w:ascii="Times New Roman" w:hAnsi="Times New Roman"/>
                <w:sz w:val="24"/>
                <w:szCs w:val="24"/>
              </w:rPr>
              <w:t>rag</w:t>
            </w:r>
            <w:r w:rsidRPr="001F1446">
              <w:rPr>
                <w:rFonts w:ascii="Times New Roman" w:hAnsi="Times New Roman"/>
                <w:sz w:val="24"/>
                <w:szCs w:val="24"/>
              </w:rPr>
              <w:t>m</w:t>
            </w:r>
            <w:r w:rsidR="006D4D31" w:rsidRPr="001F1446">
              <w:rPr>
                <w:rFonts w:ascii="Times New Roman" w:hAnsi="Times New Roman"/>
                <w:sz w:val="24"/>
                <w:szCs w:val="24"/>
              </w:rPr>
              <w:t>e</w:t>
            </w:r>
            <w:r w:rsidRPr="001F1446">
              <w:rPr>
                <w:rFonts w:ascii="Times New Roman" w:hAnsi="Times New Roman"/>
                <w:sz w:val="24"/>
                <w:szCs w:val="24"/>
              </w:rPr>
              <w:t>n</w:t>
            </w:r>
            <w:r w:rsidR="006D4D31" w:rsidRPr="001F1446">
              <w:rPr>
                <w:rFonts w:ascii="Times New Roman" w:hAnsi="Times New Roman"/>
                <w:sz w:val="24"/>
                <w:szCs w:val="24"/>
              </w:rPr>
              <w:t>t</w:t>
            </w:r>
            <w:r w:rsidRPr="001F1446">
              <w:rPr>
                <w:rFonts w:ascii="Times New Roman" w:hAnsi="Times New Roman"/>
                <w:sz w:val="24"/>
                <w:szCs w:val="24"/>
              </w:rPr>
              <w:t xml:space="preserve">s </w:t>
            </w:r>
            <w:r w:rsidR="00123902" w:rsidRPr="001F1446">
              <w:rPr>
                <w:rFonts w:ascii="Times New Roman" w:hAnsi="Times New Roman"/>
                <w:sz w:val="24"/>
                <w:szCs w:val="24"/>
              </w:rPr>
              <w:t>are present</w:t>
            </w:r>
            <w:r w:rsidRPr="001F1446">
              <w:rPr>
                <w:rFonts w:ascii="Times New Roman" w:hAnsi="Times New Roman"/>
                <w:sz w:val="24"/>
                <w:szCs w:val="24"/>
              </w:rPr>
              <w:t xml:space="preserve">. </w:t>
            </w:r>
          </w:p>
        </w:tc>
      </w:tr>
      <w:tr w:rsidR="005902FA" w:rsidRPr="001F1446" w14:paraId="4D72E987" w14:textId="77777777" w:rsidTr="000F5F6C">
        <w:tc>
          <w:tcPr>
            <w:tcW w:w="883" w:type="pct"/>
            <w:tcBorders>
              <w:bottom w:val="single" w:sz="4" w:space="0" w:color="auto"/>
            </w:tcBorders>
          </w:tcPr>
          <w:p w14:paraId="43639A05" w14:textId="401FD748"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sz w:val="24"/>
                <w:szCs w:val="24"/>
              </w:rPr>
              <w:t>Age: Child (2 to 12 y</w:t>
            </w:r>
            <w:r w:rsidR="00C40696">
              <w:rPr>
                <w:rFonts w:ascii="Times New Roman" w:hAnsi="Times New Roman"/>
                <w:sz w:val="24"/>
                <w:szCs w:val="24"/>
              </w:rPr>
              <w:t>ears</w:t>
            </w:r>
            <w:r w:rsidRPr="001F1446">
              <w:rPr>
                <w:rFonts w:ascii="Times New Roman" w:hAnsi="Times New Roman"/>
                <w:sz w:val="24"/>
                <w:szCs w:val="24"/>
              </w:rPr>
              <w:t xml:space="preserve"> at death) (omnibus skeletal age)</w:t>
            </w:r>
          </w:p>
        </w:tc>
        <w:tc>
          <w:tcPr>
            <w:tcW w:w="4117" w:type="pct"/>
            <w:vAlign w:val="center"/>
          </w:tcPr>
          <w:p w14:paraId="5F189758" w14:textId="395AAAB8" w:rsidR="005902FA" w:rsidRPr="001F1446" w:rsidRDefault="00C46326"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 xml:space="preserve">The age estimation of this individual </w:t>
            </w:r>
            <w:r w:rsidR="00123902" w:rsidRPr="001F1446">
              <w:rPr>
                <w:rFonts w:ascii="Times New Roman" w:hAnsi="Times New Roman"/>
                <w:sz w:val="24"/>
                <w:szCs w:val="24"/>
              </w:rPr>
              <w:t xml:space="preserve">is </w:t>
            </w:r>
            <w:r w:rsidRPr="001F1446">
              <w:rPr>
                <w:rFonts w:ascii="Times New Roman" w:hAnsi="Times New Roman"/>
                <w:sz w:val="24"/>
                <w:szCs w:val="24"/>
              </w:rPr>
              <w:t>based on epiphyseal union and overall size.</w:t>
            </w:r>
          </w:p>
        </w:tc>
      </w:tr>
      <w:tr w:rsidR="005902FA" w:rsidRPr="001F1446" w14:paraId="3692286B" w14:textId="77777777" w:rsidTr="000F5F6C">
        <w:tc>
          <w:tcPr>
            <w:tcW w:w="883" w:type="pct"/>
            <w:tcBorders>
              <w:bottom w:val="single" w:sz="4" w:space="0" w:color="auto"/>
            </w:tcBorders>
          </w:tcPr>
          <w:p w14:paraId="4C75C2B9" w14:textId="23ED20D5" w:rsidR="005902FA" w:rsidRPr="001F1446" w:rsidRDefault="005902FA" w:rsidP="001F1446">
            <w:pPr>
              <w:tabs>
                <w:tab w:val="left" w:pos="1620"/>
              </w:tabs>
              <w:spacing w:after="0" w:line="360" w:lineRule="auto"/>
              <w:rPr>
                <w:rFonts w:ascii="Times New Roman" w:hAnsi="Times New Roman"/>
                <w:i/>
                <w:sz w:val="24"/>
                <w:szCs w:val="24"/>
              </w:rPr>
            </w:pPr>
            <w:r w:rsidRPr="001F1446">
              <w:rPr>
                <w:rFonts w:ascii="Times New Roman" w:hAnsi="Times New Roman"/>
                <w:i/>
                <w:sz w:val="24"/>
                <w:szCs w:val="24"/>
              </w:rPr>
              <w:t>Pathologies: present</w:t>
            </w:r>
          </w:p>
        </w:tc>
        <w:tc>
          <w:tcPr>
            <w:tcW w:w="4117" w:type="pct"/>
            <w:vAlign w:val="center"/>
          </w:tcPr>
          <w:p w14:paraId="5CBC1583" w14:textId="4CD1BA60" w:rsidR="005902FA" w:rsidRPr="001F1446" w:rsidRDefault="00C10F11" w:rsidP="001F1446">
            <w:pPr>
              <w:tabs>
                <w:tab w:val="left" w:pos="1620"/>
              </w:tabs>
              <w:spacing w:after="0" w:line="360" w:lineRule="auto"/>
              <w:rPr>
                <w:rFonts w:ascii="Times New Roman" w:hAnsi="Times New Roman"/>
                <w:sz w:val="24"/>
                <w:szCs w:val="24"/>
              </w:rPr>
            </w:pPr>
            <w:r w:rsidRPr="001F1446">
              <w:rPr>
                <w:rFonts w:ascii="Times New Roman" w:hAnsi="Times New Roman"/>
                <w:sz w:val="24"/>
                <w:szCs w:val="24"/>
              </w:rPr>
              <w:t>None.</w:t>
            </w:r>
          </w:p>
        </w:tc>
      </w:tr>
    </w:tbl>
    <w:p w14:paraId="0C686F17" w14:textId="77777777" w:rsidR="004227F2" w:rsidRPr="001F1446" w:rsidRDefault="004227F2" w:rsidP="001F1446">
      <w:pPr>
        <w:tabs>
          <w:tab w:val="left" w:pos="1620"/>
        </w:tabs>
        <w:spacing w:after="0" w:line="360" w:lineRule="auto"/>
        <w:rPr>
          <w:rFonts w:ascii="Times New Roman" w:hAnsi="Times New Roman"/>
          <w:sz w:val="24"/>
          <w:szCs w:val="24"/>
        </w:rPr>
        <w:sectPr w:rsidR="004227F2" w:rsidRPr="001F1446" w:rsidSect="004227F2">
          <w:pgSz w:w="15840" w:h="12240" w:orient="landscape"/>
          <w:pgMar w:top="1440" w:right="1440" w:bottom="1440" w:left="1440" w:header="720" w:footer="720" w:gutter="0"/>
          <w:cols w:space="720"/>
          <w:docGrid w:linePitch="360"/>
        </w:sectPr>
      </w:pPr>
    </w:p>
    <w:p w14:paraId="302EDFDF" w14:textId="6C7C8219" w:rsidR="005902FA" w:rsidRPr="001F1446" w:rsidRDefault="005902FA" w:rsidP="001F1446">
      <w:pPr>
        <w:pStyle w:val="Caption"/>
        <w:keepNext/>
        <w:spacing w:after="0" w:line="360" w:lineRule="auto"/>
        <w:rPr>
          <w:rFonts w:ascii="Times New Roman" w:hAnsi="Times New Roman"/>
          <w:b/>
          <w:bCs/>
          <w:i w:val="0"/>
          <w:color w:val="auto"/>
          <w:sz w:val="24"/>
          <w:szCs w:val="24"/>
        </w:rPr>
      </w:pPr>
      <w:r w:rsidRPr="001F1446">
        <w:rPr>
          <w:rFonts w:ascii="Times New Roman" w:hAnsi="Times New Roman"/>
          <w:b/>
          <w:bCs/>
          <w:i w:val="0"/>
          <w:color w:val="auto"/>
          <w:sz w:val="24"/>
          <w:szCs w:val="24"/>
        </w:rPr>
        <w:lastRenderedPageBreak/>
        <w:t xml:space="preserve">Table </w:t>
      </w:r>
      <w:r w:rsidR="001F1446" w:rsidRPr="001F1446">
        <w:rPr>
          <w:rFonts w:ascii="Times New Roman" w:hAnsi="Times New Roman"/>
          <w:b/>
          <w:bCs/>
          <w:i w:val="0"/>
          <w:color w:val="auto"/>
          <w:sz w:val="24"/>
          <w:szCs w:val="24"/>
        </w:rPr>
        <w:t>S</w:t>
      </w:r>
      <w:r w:rsidRPr="001F1446">
        <w:rPr>
          <w:rFonts w:ascii="Times New Roman" w:hAnsi="Times New Roman"/>
          <w:b/>
          <w:bCs/>
          <w:i w:val="0"/>
          <w:color w:val="auto"/>
          <w:sz w:val="24"/>
          <w:szCs w:val="24"/>
        </w:rPr>
        <w:t>2. Anatomical position</w:t>
      </w:r>
      <w:r w:rsidR="001F1446" w:rsidRPr="001F1446">
        <w:rPr>
          <w:rFonts w:ascii="Times New Roman" w:hAnsi="Times New Roman"/>
          <w:b/>
          <w:bCs/>
          <w:i w:val="0"/>
          <w:color w:val="auto"/>
          <w:sz w:val="24"/>
          <w:szCs w:val="24"/>
        </w:rPr>
        <w:t>.</w:t>
      </w:r>
    </w:p>
    <w:tbl>
      <w:tblPr>
        <w:tblStyle w:val="TableGrid"/>
        <w:tblW w:w="5000" w:type="pct"/>
        <w:tblLook w:val="04A0" w:firstRow="1" w:lastRow="0" w:firstColumn="1" w:lastColumn="0" w:noHBand="0" w:noVBand="1"/>
      </w:tblPr>
      <w:tblGrid>
        <w:gridCol w:w="696"/>
        <w:gridCol w:w="1310"/>
        <w:gridCol w:w="5116"/>
        <w:gridCol w:w="2228"/>
      </w:tblGrid>
      <w:tr w:rsidR="005902FA" w:rsidRPr="001F1446" w14:paraId="72F4FF15" w14:textId="77777777" w:rsidTr="00FE3777">
        <w:trPr>
          <w:trHeight w:val="20"/>
        </w:trPr>
        <w:tc>
          <w:tcPr>
            <w:tcW w:w="329" w:type="pct"/>
          </w:tcPr>
          <w:p w14:paraId="114F47B4" w14:textId="77777777" w:rsidR="005902FA" w:rsidRPr="001F1446" w:rsidRDefault="005902FA" w:rsidP="001F1446">
            <w:pPr>
              <w:spacing w:after="0" w:line="360" w:lineRule="auto"/>
              <w:rPr>
                <w:rFonts w:ascii="Times New Roman" w:hAnsi="Times New Roman"/>
                <w:b/>
                <w:sz w:val="24"/>
                <w:szCs w:val="24"/>
              </w:rPr>
            </w:pPr>
            <w:r w:rsidRPr="001F1446">
              <w:rPr>
                <w:rFonts w:ascii="Times New Roman" w:hAnsi="Times New Roman"/>
                <w:b/>
                <w:sz w:val="24"/>
                <w:szCs w:val="24"/>
              </w:rPr>
              <w:t>Urn</w:t>
            </w:r>
          </w:p>
        </w:tc>
        <w:tc>
          <w:tcPr>
            <w:tcW w:w="628" w:type="pct"/>
          </w:tcPr>
          <w:p w14:paraId="297E8821" w14:textId="77777777" w:rsidR="005902FA" w:rsidRPr="001F1446" w:rsidRDefault="005902FA" w:rsidP="001F1446">
            <w:pPr>
              <w:spacing w:after="0" w:line="360" w:lineRule="auto"/>
              <w:rPr>
                <w:rFonts w:ascii="Times New Roman" w:hAnsi="Times New Roman"/>
                <w:b/>
                <w:sz w:val="24"/>
                <w:szCs w:val="24"/>
              </w:rPr>
            </w:pPr>
            <w:r w:rsidRPr="001F1446">
              <w:rPr>
                <w:rFonts w:ascii="Times New Roman" w:hAnsi="Times New Roman"/>
                <w:b/>
                <w:sz w:val="24"/>
                <w:szCs w:val="24"/>
              </w:rPr>
              <w:t>Associated objects</w:t>
            </w:r>
          </w:p>
        </w:tc>
        <w:tc>
          <w:tcPr>
            <w:tcW w:w="2794" w:type="pct"/>
          </w:tcPr>
          <w:p w14:paraId="76391541" w14:textId="77777777" w:rsidR="005902FA" w:rsidRPr="001F1446" w:rsidRDefault="005902FA" w:rsidP="001F1446">
            <w:pPr>
              <w:spacing w:after="0" w:line="360" w:lineRule="auto"/>
              <w:rPr>
                <w:rFonts w:ascii="Times New Roman" w:hAnsi="Times New Roman"/>
                <w:b/>
                <w:sz w:val="24"/>
                <w:szCs w:val="24"/>
              </w:rPr>
            </w:pPr>
            <w:r w:rsidRPr="001F1446">
              <w:rPr>
                <w:rFonts w:ascii="Times New Roman" w:hAnsi="Times New Roman"/>
                <w:b/>
                <w:sz w:val="24"/>
                <w:szCs w:val="24"/>
              </w:rPr>
              <w:t>Anatomical position</w:t>
            </w:r>
          </w:p>
        </w:tc>
        <w:tc>
          <w:tcPr>
            <w:tcW w:w="1249" w:type="pct"/>
          </w:tcPr>
          <w:p w14:paraId="06F15275" w14:textId="77777777" w:rsidR="005902FA" w:rsidRPr="001F1446" w:rsidRDefault="005902FA" w:rsidP="001F1446">
            <w:pPr>
              <w:spacing w:after="0" w:line="360" w:lineRule="auto"/>
              <w:rPr>
                <w:rFonts w:ascii="Times New Roman" w:hAnsi="Times New Roman"/>
                <w:b/>
                <w:noProof/>
                <w:sz w:val="24"/>
                <w:szCs w:val="24"/>
              </w:rPr>
            </w:pPr>
            <w:r w:rsidRPr="001F1446">
              <w:rPr>
                <w:rFonts w:ascii="Times New Roman" w:hAnsi="Times New Roman"/>
                <w:b/>
                <w:noProof/>
                <w:sz w:val="24"/>
                <w:szCs w:val="24"/>
              </w:rPr>
              <w:t>Other observations</w:t>
            </w:r>
          </w:p>
        </w:tc>
      </w:tr>
      <w:tr w:rsidR="005902FA" w:rsidRPr="001F1446" w14:paraId="08096764" w14:textId="77777777" w:rsidTr="00FE3777">
        <w:trPr>
          <w:trHeight w:val="20"/>
        </w:trPr>
        <w:tc>
          <w:tcPr>
            <w:tcW w:w="329" w:type="pct"/>
          </w:tcPr>
          <w:p w14:paraId="3BEACBC1"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1023</w:t>
            </w:r>
          </w:p>
        </w:tc>
        <w:tc>
          <w:tcPr>
            <w:tcW w:w="628" w:type="pct"/>
          </w:tcPr>
          <w:p w14:paraId="39978028"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Pr>
          <w:p w14:paraId="041C5E98" w14:textId="5E8995EF"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No clear anatomical order. Elements were concentrated in the middle and </w:t>
            </w:r>
            <w:r w:rsidR="00E7614A" w:rsidRPr="001F1446">
              <w:rPr>
                <w:rFonts w:ascii="Times New Roman" w:hAnsi="Times New Roman"/>
                <w:sz w:val="24"/>
                <w:szCs w:val="24"/>
              </w:rPr>
              <w:t xml:space="preserve">bottom </w:t>
            </w:r>
            <w:r w:rsidRPr="001F1446">
              <w:rPr>
                <w:rFonts w:ascii="Times New Roman" w:hAnsi="Times New Roman"/>
                <w:sz w:val="24"/>
                <w:szCs w:val="24"/>
              </w:rPr>
              <w:t>of vessel</w:t>
            </w:r>
          </w:p>
        </w:tc>
        <w:tc>
          <w:tcPr>
            <w:tcW w:w="1249" w:type="pct"/>
          </w:tcPr>
          <w:p w14:paraId="4F659B73" w14:textId="77777777" w:rsidR="005902FA" w:rsidRPr="001F1446" w:rsidRDefault="005902FA" w:rsidP="001F1446">
            <w:pPr>
              <w:spacing w:after="0" w:line="360" w:lineRule="auto"/>
              <w:rPr>
                <w:rFonts w:ascii="Times New Roman" w:hAnsi="Times New Roman"/>
                <w:sz w:val="24"/>
                <w:szCs w:val="24"/>
              </w:rPr>
            </w:pPr>
          </w:p>
        </w:tc>
      </w:tr>
      <w:tr w:rsidR="005902FA" w:rsidRPr="001F1446" w14:paraId="08AAA29A" w14:textId="77777777" w:rsidTr="00FE3777">
        <w:trPr>
          <w:trHeight w:val="20"/>
        </w:trPr>
        <w:tc>
          <w:tcPr>
            <w:tcW w:w="329" w:type="pct"/>
          </w:tcPr>
          <w:p w14:paraId="6BD02E48"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1025</w:t>
            </w:r>
          </w:p>
        </w:tc>
        <w:tc>
          <w:tcPr>
            <w:tcW w:w="628" w:type="pct"/>
          </w:tcPr>
          <w:p w14:paraId="2C8C80E2"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bead </w:t>
            </w:r>
          </w:p>
        </w:tc>
        <w:tc>
          <w:tcPr>
            <w:tcW w:w="2794" w:type="pct"/>
          </w:tcPr>
          <w:p w14:paraId="25393A57"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 clear anatomical order. Elements were concentrated in the middle of vessel</w:t>
            </w:r>
          </w:p>
        </w:tc>
        <w:tc>
          <w:tcPr>
            <w:tcW w:w="1249" w:type="pct"/>
          </w:tcPr>
          <w:p w14:paraId="1F7FE616"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Sand at the bottom of vessel</w:t>
            </w:r>
          </w:p>
        </w:tc>
      </w:tr>
      <w:tr w:rsidR="005902FA" w:rsidRPr="001F1446" w14:paraId="03608076" w14:textId="77777777" w:rsidTr="00FE3777">
        <w:trPr>
          <w:trHeight w:val="20"/>
        </w:trPr>
        <w:tc>
          <w:tcPr>
            <w:tcW w:w="329" w:type="pct"/>
          </w:tcPr>
          <w:p w14:paraId="152CA1CC"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1033</w:t>
            </w:r>
          </w:p>
        </w:tc>
        <w:tc>
          <w:tcPr>
            <w:tcW w:w="628" w:type="pct"/>
          </w:tcPr>
          <w:p w14:paraId="6C47DD42"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Pr>
          <w:p w14:paraId="1C001820"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 clear anatomical order. Remains were placed in the middle and bottom of vessel</w:t>
            </w:r>
          </w:p>
        </w:tc>
        <w:tc>
          <w:tcPr>
            <w:tcW w:w="1249" w:type="pct"/>
          </w:tcPr>
          <w:p w14:paraId="4AAA53DF" w14:textId="77777777" w:rsidR="005902FA" w:rsidRPr="001F1446" w:rsidRDefault="005902FA" w:rsidP="001F1446">
            <w:pPr>
              <w:spacing w:after="0" w:line="360" w:lineRule="auto"/>
              <w:rPr>
                <w:rFonts w:ascii="Times New Roman" w:hAnsi="Times New Roman"/>
                <w:sz w:val="24"/>
                <w:szCs w:val="24"/>
              </w:rPr>
            </w:pPr>
          </w:p>
        </w:tc>
      </w:tr>
      <w:tr w:rsidR="005902FA" w:rsidRPr="001F1446" w14:paraId="3AD9C519" w14:textId="77777777" w:rsidTr="00FE3777">
        <w:trPr>
          <w:trHeight w:val="20"/>
        </w:trPr>
        <w:tc>
          <w:tcPr>
            <w:tcW w:w="329" w:type="pct"/>
          </w:tcPr>
          <w:p w14:paraId="282CD84E"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2064</w:t>
            </w:r>
          </w:p>
        </w:tc>
        <w:tc>
          <w:tcPr>
            <w:tcW w:w="628" w:type="pct"/>
          </w:tcPr>
          <w:p w14:paraId="5B72ECF8"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Pr>
          <w:p w14:paraId="62F9CE9E"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Long bones were mainly placed first followed by axial and cranial areas of the body.</w:t>
            </w:r>
          </w:p>
        </w:tc>
        <w:tc>
          <w:tcPr>
            <w:tcW w:w="1249" w:type="pct"/>
          </w:tcPr>
          <w:p w14:paraId="24786C26" w14:textId="77777777" w:rsidR="005902FA" w:rsidRPr="001F1446" w:rsidRDefault="005902FA" w:rsidP="001F1446">
            <w:pPr>
              <w:spacing w:after="0" w:line="360" w:lineRule="auto"/>
              <w:rPr>
                <w:rFonts w:ascii="Times New Roman" w:hAnsi="Times New Roman"/>
                <w:sz w:val="24"/>
                <w:szCs w:val="24"/>
              </w:rPr>
            </w:pPr>
          </w:p>
        </w:tc>
      </w:tr>
      <w:tr w:rsidR="005902FA" w:rsidRPr="001F1446" w14:paraId="41281204" w14:textId="77777777" w:rsidTr="00FE3777">
        <w:trPr>
          <w:trHeight w:val="20"/>
        </w:trPr>
        <w:tc>
          <w:tcPr>
            <w:tcW w:w="329" w:type="pct"/>
          </w:tcPr>
          <w:p w14:paraId="4F6B1B02"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2068</w:t>
            </w:r>
          </w:p>
        </w:tc>
        <w:tc>
          <w:tcPr>
            <w:tcW w:w="628" w:type="pct"/>
          </w:tcPr>
          <w:p w14:paraId="5AF80E24"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Pr>
          <w:p w14:paraId="794362ED" w14:textId="1EABAD28"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No clear anatomical order. Elements were concentrated in the middle and </w:t>
            </w:r>
            <w:r w:rsidR="00E7614A" w:rsidRPr="001F1446">
              <w:rPr>
                <w:rFonts w:ascii="Times New Roman" w:hAnsi="Times New Roman"/>
                <w:sz w:val="24"/>
                <w:szCs w:val="24"/>
              </w:rPr>
              <w:t xml:space="preserve">bottom </w:t>
            </w:r>
            <w:r w:rsidRPr="001F1446">
              <w:rPr>
                <w:rFonts w:ascii="Times New Roman" w:hAnsi="Times New Roman"/>
                <w:sz w:val="24"/>
                <w:szCs w:val="24"/>
              </w:rPr>
              <w:t>of vessel</w:t>
            </w:r>
          </w:p>
        </w:tc>
        <w:tc>
          <w:tcPr>
            <w:tcW w:w="1249" w:type="pct"/>
          </w:tcPr>
          <w:p w14:paraId="293714DC" w14:textId="77777777" w:rsidR="005902FA" w:rsidRPr="001F1446" w:rsidRDefault="005902FA" w:rsidP="001F1446">
            <w:pPr>
              <w:spacing w:after="0" w:line="360" w:lineRule="auto"/>
              <w:rPr>
                <w:rFonts w:ascii="Times New Roman" w:hAnsi="Times New Roman"/>
                <w:sz w:val="24"/>
                <w:szCs w:val="24"/>
              </w:rPr>
            </w:pPr>
          </w:p>
        </w:tc>
      </w:tr>
      <w:tr w:rsidR="005902FA" w:rsidRPr="001F1446" w14:paraId="49043D36" w14:textId="77777777" w:rsidTr="00FE3777">
        <w:trPr>
          <w:trHeight w:val="20"/>
        </w:trPr>
        <w:tc>
          <w:tcPr>
            <w:tcW w:w="329" w:type="pct"/>
          </w:tcPr>
          <w:p w14:paraId="3947F1FB"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2099</w:t>
            </w:r>
          </w:p>
        </w:tc>
        <w:tc>
          <w:tcPr>
            <w:tcW w:w="628" w:type="pct"/>
          </w:tcPr>
          <w:p w14:paraId="181AEB73"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Pr>
          <w:p w14:paraId="5BC75645" w14:textId="5B8CCF2C"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No clear anatomical order. Elements were concentrated in the middle and </w:t>
            </w:r>
            <w:r w:rsidR="00E7614A" w:rsidRPr="001F1446">
              <w:rPr>
                <w:rFonts w:ascii="Times New Roman" w:hAnsi="Times New Roman"/>
                <w:sz w:val="24"/>
                <w:szCs w:val="24"/>
              </w:rPr>
              <w:t xml:space="preserve">bottom </w:t>
            </w:r>
            <w:r w:rsidRPr="001F1446">
              <w:rPr>
                <w:rFonts w:ascii="Times New Roman" w:hAnsi="Times New Roman"/>
                <w:sz w:val="24"/>
                <w:szCs w:val="24"/>
              </w:rPr>
              <w:t>of vessel</w:t>
            </w:r>
          </w:p>
        </w:tc>
        <w:tc>
          <w:tcPr>
            <w:tcW w:w="1249" w:type="pct"/>
          </w:tcPr>
          <w:p w14:paraId="09457773"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Sand at the bottom of vessel</w:t>
            </w:r>
          </w:p>
        </w:tc>
      </w:tr>
      <w:tr w:rsidR="005902FA" w:rsidRPr="001F1446" w14:paraId="4B7CEE82" w14:textId="77777777" w:rsidTr="00FE3777">
        <w:trPr>
          <w:trHeight w:val="20"/>
        </w:trPr>
        <w:tc>
          <w:tcPr>
            <w:tcW w:w="329" w:type="pct"/>
          </w:tcPr>
          <w:p w14:paraId="42AD1091"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2120</w:t>
            </w:r>
          </w:p>
        </w:tc>
        <w:tc>
          <w:tcPr>
            <w:tcW w:w="628" w:type="pct"/>
          </w:tcPr>
          <w:p w14:paraId="04615D40"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Pr>
          <w:p w14:paraId="26431A2C" w14:textId="64ADA809"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No clear anatomical order. Elements were concentrated in the middle and </w:t>
            </w:r>
            <w:r w:rsidR="00E7614A" w:rsidRPr="001F1446">
              <w:rPr>
                <w:rFonts w:ascii="Times New Roman" w:hAnsi="Times New Roman"/>
                <w:sz w:val="24"/>
                <w:szCs w:val="24"/>
              </w:rPr>
              <w:t xml:space="preserve">bottom </w:t>
            </w:r>
            <w:r w:rsidRPr="001F1446">
              <w:rPr>
                <w:rFonts w:ascii="Times New Roman" w:hAnsi="Times New Roman"/>
                <w:sz w:val="24"/>
                <w:szCs w:val="24"/>
              </w:rPr>
              <w:t>of vessel</w:t>
            </w:r>
          </w:p>
        </w:tc>
        <w:tc>
          <w:tcPr>
            <w:tcW w:w="1249" w:type="pct"/>
          </w:tcPr>
          <w:p w14:paraId="774FCD1E" w14:textId="77777777" w:rsidR="005902FA" w:rsidRPr="001F1446" w:rsidRDefault="005902FA" w:rsidP="001F1446">
            <w:pPr>
              <w:spacing w:after="0" w:line="360" w:lineRule="auto"/>
              <w:rPr>
                <w:rFonts w:ascii="Times New Roman" w:hAnsi="Times New Roman"/>
                <w:sz w:val="24"/>
                <w:szCs w:val="24"/>
              </w:rPr>
            </w:pPr>
          </w:p>
        </w:tc>
      </w:tr>
      <w:tr w:rsidR="005902FA" w:rsidRPr="001F1446" w14:paraId="156C206C" w14:textId="77777777" w:rsidTr="00FE3777">
        <w:trPr>
          <w:trHeight w:val="20"/>
        </w:trPr>
        <w:tc>
          <w:tcPr>
            <w:tcW w:w="329" w:type="pct"/>
            <w:tcBorders>
              <w:bottom w:val="single" w:sz="4" w:space="0" w:color="auto"/>
            </w:tcBorders>
          </w:tcPr>
          <w:p w14:paraId="12D6DFC0"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2141</w:t>
            </w:r>
          </w:p>
        </w:tc>
        <w:tc>
          <w:tcPr>
            <w:tcW w:w="628" w:type="pct"/>
            <w:tcBorders>
              <w:bottom w:val="single" w:sz="4" w:space="0" w:color="auto"/>
            </w:tcBorders>
          </w:tcPr>
          <w:p w14:paraId="58527927"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Borders>
              <w:bottom w:val="single" w:sz="4" w:space="0" w:color="auto"/>
            </w:tcBorders>
          </w:tcPr>
          <w:p w14:paraId="6EFEB40B" w14:textId="5CF8A8B1"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No clear anatomical order. Elements were concentrated in the middle and </w:t>
            </w:r>
            <w:r w:rsidR="00E7614A" w:rsidRPr="001F1446">
              <w:rPr>
                <w:rFonts w:ascii="Times New Roman" w:hAnsi="Times New Roman"/>
                <w:sz w:val="24"/>
                <w:szCs w:val="24"/>
              </w:rPr>
              <w:t>bottom</w:t>
            </w:r>
            <w:r w:rsidRPr="001F1446">
              <w:rPr>
                <w:rFonts w:ascii="Times New Roman" w:hAnsi="Times New Roman"/>
                <w:sz w:val="24"/>
                <w:szCs w:val="24"/>
              </w:rPr>
              <w:t xml:space="preserve"> of vessel</w:t>
            </w:r>
          </w:p>
        </w:tc>
        <w:tc>
          <w:tcPr>
            <w:tcW w:w="1249" w:type="pct"/>
            <w:tcBorders>
              <w:bottom w:val="single" w:sz="4" w:space="0" w:color="auto"/>
            </w:tcBorders>
          </w:tcPr>
          <w:p w14:paraId="3C4DF2E5" w14:textId="77777777" w:rsidR="005902FA" w:rsidRPr="001F1446" w:rsidRDefault="005902FA" w:rsidP="001F1446">
            <w:pPr>
              <w:spacing w:after="0" w:line="360" w:lineRule="auto"/>
              <w:rPr>
                <w:rFonts w:ascii="Times New Roman" w:hAnsi="Times New Roman"/>
                <w:sz w:val="24"/>
                <w:szCs w:val="24"/>
              </w:rPr>
            </w:pPr>
          </w:p>
        </w:tc>
      </w:tr>
      <w:tr w:rsidR="005902FA" w:rsidRPr="001F1446" w14:paraId="504B7114" w14:textId="77777777" w:rsidTr="00FE3777">
        <w:trPr>
          <w:trHeight w:val="20"/>
        </w:trPr>
        <w:tc>
          <w:tcPr>
            <w:tcW w:w="329" w:type="pct"/>
            <w:tcBorders>
              <w:bottom w:val="single" w:sz="4" w:space="0" w:color="auto"/>
            </w:tcBorders>
          </w:tcPr>
          <w:p w14:paraId="702491EB"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2153</w:t>
            </w:r>
          </w:p>
        </w:tc>
        <w:tc>
          <w:tcPr>
            <w:tcW w:w="628" w:type="pct"/>
            <w:tcBorders>
              <w:bottom w:val="single" w:sz="4" w:space="0" w:color="auto"/>
            </w:tcBorders>
          </w:tcPr>
          <w:p w14:paraId="45FED789" w14:textId="77777777"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none</w:t>
            </w:r>
          </w:p>
        </w:tc>
        <w:tc>
          <w:tcPr>
            <w:tcW w:w="2794" w:type="pct"/>
            <w:tcBorders>
              <w:bottom w:val="single" w:sz="4" w:space="0" w:color="auto"/>
            </w:tcBorders>
          </w:tcPr>
          <w:p w14:paraId="5C9F83A7" w14:textId="77407098" w:rsidR="005902FA" w:rsidRPr="001F1446" w:rsidRDefault="005902FA" w:rsidP="001F1446">
            <w:pPr>
              <w:spacing w:after="0" w:line="360" w:lineRule="auto"/>
              <w:rPr>
                <w:rFonts w:ascii="Times New Roman" w:hAnsi="Times New Roman"/>
                <w:sz w:val="24"/>
                <w:szCs w:val="24"/>
              </w:rPr>
            </w:pPr>
            <w:r w:rsidRPr="001F1446">
              <w:rPr>
                <w:rFonts w:ascii="Times New Roman" w:hAnsi="Times New Roman"/>
                <w:sz w:val="24"/>
                <w:szCs w:val="24"/>
              </w:rPr>
              <w:t xml:space="preserve">No clear anatomical order. Elements were concentrated in the middle and </w:t>
            </w:r>
            <w:r w:rsidR="00E7614A" w:rsidRPr="001F1446">
              <w:rPr>
                <w:rFonts w:ascii="Times New Roman" w:hAnsi="Times New Roman"/>
                <w:sz w:val="24"/>
                <w:szCs w:val="24"/>
              </w:rPr>
              <w:t xml:space="preserve">bottom </w:t>
            </w:r>
            <w:r w:rsidRPr="001F1446">
              <w:rPr>
                <w:rFonts w:ascii="Times New Roman" w:hAnsi="Times New Roman"/>
                <w:sz w:val="24"/>
                <w:szCs w:val="24"/>
              </w:rPr>
              <w:t>of vessel</w:t>
            </w:r>
          </w:p>
        </w:tc>
        <w:tc>
          <w:tcPr>
            <w:tcW w:w="1249" w:type="pct"/>
            <w:tcBorders>
              <w:bottom w:val="single" w:sz="4" w:space="0" w:color="auto"/>
            </w:tcBorders>
          </w:tcPr>
          <w:p w14:paraId="6E8A722F" w14:textId="77777777" w:rsidR="005902FA" w:rsidRPr="001F1446" w:rsidRDefault="005902FA" w:rsidP="001F1446">
            <w:pPr>
              <w:spacing w:after="0" w:line="360" w:lineRule="auto"/>
              <w:rPr>
                <w:rFonts w:ascii="Times New Roman" w:hAnsi="Times New Roman"/>
                <w:sz w:val="24"/>
                <w:szCs w:val="24"/>
              </w:rPr>
            </w:pPr>
          </w:p>
        </w:tc>
      </w:tr>
    </w:tbl>
    <w:p w14:paraId="793DFDC7" w14:textId="6A783B8C" w:rsidR="00E30701" w:rsidRPr="001F1446" w:rsidRDefault="00E30701" w:rsidP="001F1446">
      <w:pPr>
        <w:tabs>
          <w:tab w:val="left" w:pos="1620"/>
        </w:tabs>
        <w:spacing w:after="0" w:line="360" w:lineRule="auto"/>
        <w:rPr>
          <w:rFonts w:ascii="Times New Roman" w:hAnsi="Times New Roman"/>
          <w:sz w:val="24"/>
          <w:szCs w:val="24"/>
        </w:rPr>
      </w:pPr>
    </w:p>
    <w:p w14:paraId="21915083" w14:textId="77777777" w:rsidR="00E30701" w:rsidRPr="001F1446" w:rsidRDefault="00E30701" w:rsidP="001F1446">
      <w:pPr>
        <w:spacing w:after="0" w:line="360" w:lineRule="auto"/>
        <w:rPr>
          <w:rFonts w:ascii="Times New Roman" w:hAnsi="Times New Roman"/>
          <w:sz w:val="24"/>
          <w:szCs w:val="24"/>
        </w:rPr>
      </w:pPr>
      <w:r w:rsidRPr="001F1446">
        <w:rPr>
          <w:rFonts w:ascii="Times New Roman" w:hAnsi="Times New Roman"/>
          <w:sz w:val="24"/>
          <w:szCs w:val="24"/>
        </w:rPr>
        <w:br w:type="page"/>
      </w:r>
    </w:p>
    <w:p w14:paraId="5A3DC29D" w14:textId="77777777" w:rsidR="005902FA" w:rsidRPr="001F1446" w:rsidRDefault="005902FA" w:rsidP="001F1446">
      <w:pPr>
        <w:tabs>
          <w:tab w:val="left" w:pos="1620"/>
        </w:tabs>
        <w:spacing w:after="0" w:line="360" w:lineRule="auto"/>
        <w:rPr>
          <w:rFonts w:ascii="Times New Roman" w:hAnsi="Times New Roman"/>
          <w:b/>
          <w:bCs/>
          <w:sz w:val="24"/>
          <w:szCs w:val="24"/>
        </w:rPr>
      </w:pPr>
      <w:r w:rsidRPr="001F1446">
        <w:rPr>
          <w:rFonts w:ascii="Times New Roman" w:hAnsi="Times New Roman"/>
          <w:b/>
          <w:bCs/>
          <w:sz w:val="24"/>
          <w:szCs w:val="24"/>
        </w:rPr>
        <w:lastRenderedPageBreak/>
        <w:t>References</w:t>
      </w:r>
    </w:p>
    <w:p w14:paraId="36A95921"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AlQahtani, S., M. Hector &amp; H. Liversidge</w:t>
      </w:r>
      <w:r w:rsidRPr="009D231A">
        <w:rPr>
          <w:rFonts w:ascii="Times New Roman" w:hAnsi="Times New Roman" w:cs="Times New Roman"/>
          <w:sz w:val="24"/>
          <w:szCs w:val="24"/>
        </w:rPr>
        <w:t xml:space="preserve">. 2014. Accuracy of dental age estimation charts: Schour and Massler, Ubelaker and the London Atlas accuracy of three dental charts. </w:t>
      </w:r>
      <w:r w:rsidRPr="009D231A">
        <w:rPr>
          <w:rFonts w:ascii="Times New Roman" w:hAnsi="Times New Roman" w:cs="Times New Roman"/>
          <w:i/>
          <w:sz w:val="24"/>
          <w:szCs w:val="24"/>
        </w:rPr>
        <w:t>American Journal of Physical Anthropology</w:t>
      </w:r>
      <w:r w:rsidRPr="009D231A">
        <w:rPr>
          <w:rFonts w:ascii="Times New Roman" w:hAnsi="Times New Roman" w:cs="Times New Roman"/>
          <w:sz w:val="24"/>
          <w:szCs w:val="24"/>
        </w:rPr>
        <w:t xml:space="preserve"> 154: 70–78. https://doi.org/10.1002/ajpa.22473</w:t>
      </w:r>
    </w:p>
    <w:p w14:paraId="19CD16F0"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Baby, R.</w:t>
      </w:r>
      <w:r w:rsidRPr="009D231A">
        <w:rPr>
          <w:rFonts w:ascii="Times New Roman" w:hAnsi="Times New Roman" w:cs="Times New Roman"/>
          <w:sz w:val="24"/>
          <w:szCs w:val="24"/>
        </w:rPr>
        <w:t xml:space="preserve"> 1954. </w:t>
      </w:r>
      <w:r w:rsidRPr="009D231A">
        <w:rPr>
          <w:rFonts w:ascii="Times New Roman" w:hAnsi="Times New Roman" w:cs="Times New Roman"/>
          <w:i/>
          <w:iCs/>
          <w:sz w:val="24"/>
          <w:szCs w:val="24"/>
        </w:rPr>
        <w:t>Hopewell cremation practices</w:t>
      </w:r>
      <w:r w:rsidRPr="009D231A">
        <w:rPr>
          <w:rFonts w:ascii="Times New Roman" w:hAnsi="Times New Roman" w:cs="Times New Roman"/>
          <w:sz w:val="24"/>
          <w:szCs w:val="24"/>
        </w:rPr>
        <w:t xml:space="preserve"> (Papers in Archaeology 1). Columbus: Ohio Historical Society.</w:t>
      </w:r>
    </w:p>
    <w:p w14:paraId="6BF5C7C2" w14:textId="77777777" w:rsidR="00BB7D3F" w:rsidRPr="009D231A" w:rsidRDefault="00BB7D3F" w:rsidP="00BB7D3F">
      <w:pPr>
        <w:pStyle w:val="EndNoteBibliography"/>
        <w:spacing w:after="0" w:line="360" w:lineRule="auto"/>
        <w:rPr>
          <w:rFonts w:ascii="Times New Roman" w:hAnsi="Times New Roman" w:cs="Times New Roman"/>
          <w:sz w:val="24"/>
          <w:szCs w:val="24"/>
          <w:lang w:val="en-GB"/>
        </w:rPr>
      </w:pPr>
      <w:r w:rsidRPr="009D231A">
        <w:rPr>
          <w:rFonts w:ascii="Times New Roman" w:hAnsi="Times New Roman" w:cs="Times New Roman"/>
          <w:smallCaps/>
          <w:sz w:val="24"/>
          <w:szCs w:val="24"/>
        </w:rPr>
        <w:t>Bass, W.M. &amp; R. Jantz</w:t>
      </w:r>
      <w:r w:rsidRPr="009D231A">
        <w:rPr>
          <w:rFonts w:ascii="Times New Roman" w:hAnsi="Times New Roman" w:cs="Times New Roman"/>
          <w:sz w:val="24"/>
          <w:szCs w:val="24"/>
        </w:rPr>
        <w:t xml:space="preserve">. 2004. Cremation weights in East Tennessee. </w:t>
      </w:r>
      <w:r w:rsidRPr="009D231A">
        <w:rPr>
          <w:rFonts w:ascii="Times New Roman" w:hAnsi="Times New Roman" w:cs="Times New Roman"/>
          <w:i/>
          <w:sz w:val="24"/>
          <w:szCs w:val="24"/>
          <w:lang w:val="en-GB"/>
        </w:rPr>
        <w:t>Journal of Forensic Sciences</w:t>
      </w:r>
      <w:r w:rsidRPr="009D231A">
        <w:rPr>
          <w:rFonts w:ascii="Times New Roman" w:hAnsi="Times New Roman" w:cs="Times New Roman"/>
          <w:sz w:val="24"/>
          <w:szCs w:val="24"/>
          <w:lang w:val="en-GB"/>
        </w:rPr>
        <w:t xml:space="preserve"> 49: 901–904. http://dx.doi.org/10.1520/JFS2004002</w:t>
      </w:r>
    </w:p>
    <w:p w14:paraId="4EFD3DC2"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val="fr-FR" w:eastAsia="en-US"/>
        </w:rPr>
      </w:pPr>
      <w:proofErr w:type="spellStart"/>
      <w:r w:rsidRPr="009D231A">
        <w:rPr>
          <w:rFonts w:ascii="Times New Roman" w:eastAsiaTheme="minorHAnsi" w:hAnsi="Times New Roman"/>
          <w:smallCaps/>
          <w:sz w:val="24"/>
          <w:szCs w:val="24"/>
          <w:lang w:val="en-GB" w:eastAsia="en-US"/>
        </w:rPr>
        <w:t>Benichou</w:t>
      </w:r>
      <w:proofErr w:type="spellEnd"/>
      <w:r w:rsidRPr="009D231A">
        <w:rPr>
          <w:rFonts w:ascii="Times New Roman" w:eastAsiaTheme="minorHAnsi" w:hAnsi="Times New Roman"/>
          <w:smallCaps/>
          <w:sz w:val="24"/>
          <w:szCs w:val="24"/>
          <w:lang w:val="en-GB" w:eastAsia="en-US"/>
        </w:rPr>
        <w:t>-Safar, H</w:t>
      </w:r>
      <w:r w:rsidRPr="009D231A">
        <w:rPr>
          <w:rFonts w:ascii="Times New Roman" w:eastAsiaTheme="minorHAnsi" w:hAnsi="Times New Roman"/>
          <w:sz w:val="24"/>
          <w:szCs w:val="24"/>
          <w:lang w:val="en-GB" w:eastAsia="en-US"/>
        </w:rPr>
        <w:t xml:space="preserve">. 1982. </w:t>
      </w:r>
      <w:r w:rsidRPr="009D231A">
        <w:rPr>
          <w:rFonts w:ascii="Times New Roman" w:eastAsiaTheme="minorHAnsi" w:hAnsi="Times New Roman"/>
          <w:i/>
          <w:iCs/>
          <w:sz w:val="24"/>
          <w:szCs w:val="24"/>
          <w:lang w:val="fr-FR" w:eastAsia="en-US"/>
        </w:rPr>
        <w:t>Les tombes puniques de Carthage. Topographie, structures, inscriptions et rites funéraires</w:t>
      </w:r>
      <w:r w:rsidRPr="009D231A">
        <w:rPr>
          <w:rFonts w:ascii="Times New Roman" w:eastAsiaTheme="minorHAnsi" w:hAnsi="Times New Roman"/>
          <w:sz w:val="24"/>
          <w:szCs w:val="24"/>
          <w:lang w:val="fr-FR" w:eastAsia="en-US"/>
        </w:rPr>
        <w:t>.</w:t>
      </w:r>
      <w:r w:rsidRPr="009D231A">
        <w:rPr>
          <w:rFonts w:ascii="Times New Roman" w:hAnsi="Times New Roman"/>
          <w:sz w:val="24"/>
          <w:szCs w:val="24"/>
          <w:lang w:val="fr-FR"/>
        </w:rPr>
        <w:t xml:space="preserve"> </w:t>
      </w:r>
      <w:r w:rsidRPr="009D231A">
        <w:rPr>
          <w:rFonts w:ascii="Times New Roman" w:eastAsiaTheme="minorHAnsi" w:hAnsi="Times New Roman"/>
          <w:sz w:val="24"/>
          <w:szCs w:val="24"/>
          <w:lang w:val="fr-FR" w:eastAsia="en-US"/>
        </w:rPr>
        <w:t>Paris: Editions du Centre National de la Recherche Scientifique.</w:t>
      </w:r>
    </w:p>
    <w:p w14:paraId="6437250C"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val="fr-FR" w:eastAsia="en-US"/>
        </w:rPr>
      </w:pPr>
      <w:r w:rsidRPr="009D231A">
        <w:rPr>
          <w:rFonts w:ascii="Times New Roman" w:eastAsiaTheme="minorHAnsi" w:hAnsi="Times New Roman"/>
          <w:sz w:val="24"/>
          <w:szCs w:val="24"/>
          <w:lang w:val="fr-FR" w:eastAsia="en-US"/>
        </w:rPr>
        <w:t xml:space="preserve">– 2004. Le tophet de Salammbô à Carthage. </w:t>
      </w:r>
      <w:r w:rsidRPr="009D231A">
        <w:rPr>
          <w:rFonts w:ascii="Times New Roman" w:eastAsiaTheme="minorHAnsi" w:hAnsi="Times New Roman"/>
          <w:i/>
          <w:iCs/>
          <w:sz w:val="24"/>
          <w:szCs w:val="24"/>
          <w:lang w:val="fr-FR" w:eastAsia="en-US"/>
        </w:rPr>
        <w:t>Essai de reconstitution, Rome</w:t>
      </w:r>
      <w:r w:rsidRPr="009D231A">
        <w:rPr>
          <w:rFonts w:ascii="Times New Roman" w:eastAsiaTheme="minorHAnsi" w:hAnsi="Times New Roman"/>
          <w:sz w:val="24"/>
          <w:szCs w:val="24"/>
          <w:lang w:val="fr-FR" w:eastAsia="en-US"/>
        </w:rPr>
        <w:t xml:space="preserve"> (Collection de l’École française de Rome 342). Rome: ECOLE.</w:t>
      </w:r>
    </w:p>
    <w:p w14:paraId="32953AF1"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z w:val="24"/>
          <w:szCs w:val="24"/>
          <w:lang w:val="fr-FR" w:eastAsia="en-US"/>
        </w:rPr>
        <w:t xml:space="preserve">– 2005. Un au-delà pour les enfants carthaginois incinérés? </w:t>
      </w:r>
      <w:proofErr w:type="spellStart"/>
      <w:r w:rsidRPr="009D231A">
        <w:rPr>
          <w:rFonts w:ascii="Times New Roman" w:eastAsiaTheme="minorHAnsi" w:hAnsi="Times New Roman"/>
          <w:i/>
          <w:iCs/>
          <w:sz w:val="24"/>
          <w:szCs w:val="24"/>
          <w:lang w:eastAsia="en-US"/>
        </w:rPr>
        <w:t>Ktèma</w:t>
      </w:r>
      <w:proofErr w:type="spellEnd"/>
      <w:r w:rsidRPr="009D231A">
        <w:rPr>
          <w:rFonts w:ascii="Times New Roman" w:eastAsiaTheme="minorHAnsi" w:hAnsi="Times New Roman"/>
          <w:sz w:val="24"/>
          <w:szCs w:val="24"/>
          <w:lang w:eastAsia="en-US"/>
        </w:rPr>
        <w:t>: 123–36.</w:t>
      </w:r>
    </w:p>
    <w:p w14:paraId="2202F383"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eastAsiaTheme="minorHAnsi" w:hAnsi="Times New Roman" w:cs="Times New Roman"/>
          <w:smallCaps/>
          <w:sz w:val="24"/>
          <w:szCs w:val="24"/>
          <w:lang w:eastAsia="en-US"/>
        </w:rPr>
        <w:t>Boocock, P., C. Roberts &amp; K. Manchester.</w:t>
      </w:r>
      <w:r w:rsidRPr="009D231A">
        <w:rPr>
          <w:rFonts w:ascii="Times New Roman" w:eastAsiaTheme="minorHAnsi" w:hAnsi="Times New Roman" w:cs="Times New Roman"/>
          <w:sz w:val="24"/>
          <w:szCs w:val="24"/>
          <w:lang w:eastAsia="en-US"/>
        </w:rPr>
        <w:t xml:space="preserve"> 1995. Maxillary sinusitis in Medieval Chichester, England. </w:t>
      </w:r>
      <w:r w:rsidRPr="009D231A">
        <w:rPr>
          <w:rFonts w:ascii="Times New Roman" w:eastAsiaTheme="minorHAnsi" w:hAnsi="Times New Roman" w:cs="Times New Roman"/>
          <w:i/>
          <w:iCs/>
          <w:sz w:val="24"/>
          <w:szCs w:val="24"/>
          <w:lang w:eastAsia="en-US"/>
        </w:rPr>
        <w:t>American Journal of Physical Anthropology</w:t>
      </w:r>
      <w:r w:rsidRPr="009D231A">
        <w:rPr>
          <w:rFonts w:ascii="Times New Roman" w:eastAsiaTheme="minorHAnsi" w:hAnsi="Times New Roman" w:cs="Times New Roman"/>
          <w:sz w:val="24"/>
          <w:szCs w:val="24"/>
          <w:lang w:eastAsia="en-US"/>
        </w:rPr>
        <w:t xml:space="preserve"> 98: 483–95. </w:t>
      </w:r>
      <w:r w:rsidRPr="009D231A">
        <w:rPr>
          <w:rFonts w:ascii="Times New Roman" w:hAnsi="Times New Roman" w:cs="Times New Roman"/>
          <w:sz w:val="24"/>
          <w:szCs w:val="24"/>
        </w:rPr>
        <w:t>https://doi.org/10.1002/ajpa.1330980408</w:t>
      </w:r>
    </w:p>
    <w:p w14:paraId="6644B8C3"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mallCaps/>
          <w:sz w:val="24"/>
          <w:szCs w:val="24"/>
          <w:lang w:eastAsia="en-US"/>
        </w:rPr>
        <w:t>Brickley, M. &amp; R. Ives.</w:t>
      </w:r>
      <w:r w:rsidRPr="009D231A">
        <w:rPr>
          <w:rFonts w:ascii="Times New Roman" w:eastAsiaTheme="minorHAnsi" w:hAnsi="Times New Roman"/>
          <w:sz w:val="24"/>
          <w:szCs w:val="24"/>
          <w:lang w:eastAsia="en-US"/>
        </w:rPr>
        <w:t xml:space="preserve"> 2006. Skeletal manifestations of infantile scurvy. </w:t>
      </w:r>
      <w:r w:rsidRPr="009D231A">
        <w:rPr>
          <w:rFonts w:ascii="Times New Roman" w:eastAsiaTheme="minorHAnsi" w:hAnsi="Times New Roman"/>
          <w:i/>
          <w:iCs/>
          <w:sz w:val="24"/>
          <w:szCs w:val="24"/>
          <w:lang w:eastAsia="en-US"/>
        </w:rPr>
        <w:t>American Journal of Physical Anthropology</w:t>
      </w:r>
      <w:r w:rsidRPr="009D231A">
        <w:rPr>
          <w:rFonts w:ascii="Times New Roman" w:eastAsiaTheme="minorHAnsi" w:hAnsi="Times New Roman"/>
          <w:sz w:val="24"/>
          <w:szCs w:val="24"/>
          <w:lang w:eastAsia="en-US"/>
        </w:rPr>
        <w:t xml:space="preserve"> 129: 163–72. https://doi.org/10.1002/ajpa.20265</w:t>
      </w:r>
    </w:p>
    <w:p w14:paraId="7570F850"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z w:val="24"/>
          <w:szCs w:val="24"/>
          <w:lang w:eastAsia="en-US"/>
        </w:rPr>
        <w:t xml:space="preserve">– 2008. </w:t>
      </w:r>
      <w:r w:rsidRPr="009D231A">
        <w:rPr>
          <w:rFonts w:ascii="Times New Roman" w:eastAsiaTheme="minorHAnsi" w:hAnsi="Times New Roman"/>
          <w:i/>
          <w:iCs/>
          <w:sz w:val="24"/>
          <w:szCs w:val="24"/>
          <w:lang w:eastAsia="en-US"/>
        </w:rPr>
        <w:t>The bioarchaeology of metabolic bone disease</w:t>
      </w:r>
      <w:r w:rsidRPr="009D231A">
        <w:rPr>
          <w:rFonts w:ascii="Times New Roman" w:eastAsiaTheme="minorHAnsi" w:hAnsi="Times New Roman"/>
          <w:sz w:val="24"/>
          <w:szCs w:val="24"/>
          <w:lang w:eastAsia="en-US"/>
        </w:rPr>
        <w:t>. London: Academic.</w:t>
      </w:r>
    </w:p>
    <w:p w14:paraId="09F30F59"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mallCaps/>
          <w:sz w:val="24"/>
          <w:szCs w:val="24"/>
          <w:lang w:eastAsia="en-US"/>
        </w:rPr>
        <w:t>Brickley, M. &amp; S. Mays.</w:t>
      </w:r>
      <w:r w:rsidRPr="009D231A">
        <w:rPr>
          <w:rFonts w:ascii="Times New Roman" w:eastAsiaTheme="minorHAnsi" w:hAnsi="Times New Roman"/>
          <w:sz w:val="24"/>
          <w:szCs w:val="24"/>
          <w:lang w:eastAsia="en-US"/>
        </w:rPr>
        <w:t xml:space="preserve"> 2019. Metabolic disease, in J.E. Buikstra (ed.) </w:t>
      </w:r>
      <w:r w:rsidRPr="009D231A">
        <w:rPr>
          <w:rFonts w:ascii="Times New Roman" w:eastAsiaTheme="minorHAnsi" w:hAnsi="Times New Roman"/>
          <w:i/>
          <w:iCs/>
          <w:sz w:val="24"/>
          <w:szCs w:val="24"/>
          <w:lang w:eastAsia="en-US"/>
        </w:rPr>
        <w:t>Ortner's identification of pathological conditions in human skeletal remains</w:t>
      </w:r>
      <w:r w:rsidRPr="009D231A">
        <w:rPr>
          <w:rFonts w:ascii="Times New Roman" w:eastAsiaTheme="minorHAnsi" w:hAnsi="Times New Roman"/>
          <w:sz w:val="24"/>
          <w:szCs w:val="24"/>
          <w:lang w:eastAsia="en-US"/>
        </w:rPr>
        <w:t>: 531–66. London: Academic.</w:t>
      </w:r>
    </w:p>
    <w:p w14:paraId="4CA08D97"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Brickley, M., R. Ives &amp; S. Mays</w:t>
      </w:r>
      <w:r w:rsidRPr="009D231A">
        <w:rPr>
          <w:rFonts w:ascii="Times New Roman" w:hAnsi="Times New Roman" w:cs="Times New Roman"/>
          <w:sz w:val="24"/>
          <w:szCs w:val="24"/>
        </w:rPr>
        <w:t xml:space="preserve">. 2020. </w:t>
      </w:r>
      <w:r w:rsidRPr="009D231A">
        <w:rPr>
          <w:rFonts w:ascii="Times New Roman" w:hAnsi="Times New Roman" w:cs="Times New Roman"/>
          <w:i/>
          <w:sz w:val="24"/>
          <w:szCs w:val="24"/>
        </w:rPr>
        <w:t xml:space="preserve">The bioarchaeology of metabolic bone disease. </w:t>
      </w:r>
      <w:r w:rsidRPr="009D231A">
        <w:rPr>
          <w:rFonts w:ascii="Times New Roman" w:hAnsi="Times New Roman" w:cs="Times New Roman"/>
          <w:sz w:val="24"/>
          <w:szCs w:val="24"/>
        </w:rPr>
        <w:t>London: Academic.</w:t>
      </w:r>
    </w:p>
    <w:p w14:paraId="4664C5E7"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Brown, S.</w:t>
      </w:r>
      <w:r w:rsidRPr="009D231A">
        <w:rPr>
          <w:rFonts w:ascii="Times New Roman" w:hAnsi="Times New Roman" w:cs="Times New Roman"/>
          <w:sz w:val="24"/>
          <w:szCs w:val="24"/>
        </w:rPr>
        <w:t xml:space="preserve"> 1991. </w:t>
      </w:r>
      <w:r w:rsidRPr="009D231A">
        <w:rPr>
          <w:rFonts w:ascii="Times New Roman" w:hAnsi="Times New Roman" w:cs="Times New Roman"/>
          <w:i/>
          <w:sz w:val="24"/>
          <w:szCs w:val="24"/>
        </w:rPr>
        <w:t>Late Carthaginian child sacrifice and sacrificial monuments in their Mediterranean context</w:t>
      </w:r>
      <w:r w:rsidRPr="009D231A">
        <w:rPr>
          <w:rFonts w:ascii="Times New Roman" w:hAnsi="Times New Roman" w:cs="Times New Roman"/>
          <w:iCs/>
          <w:sz w:val="24"/>
          <w:szCs w:val="24"/>
        </w:rPr>
        <w:t xml:space="preserve"> (JSOT/ASOR Monograph Series 3).</w:t>
      </w:r>
      <w:r w:rsidRPr="009D231A">
        <w:rPr>
          <w:rFonts w:ascii="Times New Roman" w:hAnsi="Times New Roman" w:cs="Times New Roman"/>
          <w:i/>
          <w:sz w:val="24"/>
          <w:szCs w:val="24"/>
        </w:rPr>
        <w:t xml:space="preserve"> </w:t>
      </w:r>
      <w:r w:rsidRPr="009D231A">
        <w:rPr>
          <w:rFonts w:ascii="Times New Roman" w:hAnsi="Times New Roman" w:cs="Times New Roman"/>
          <w:sz w:val="24"/>
          <w:szCs w:val="24"/>
        </w:rPr>
        <w:t>Sheffield: American School of Oriental Research.</w:t>
      </w:r>
    </w:p>
    <w:p w14:paraId="230905E9"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Buikstra, J.</w:t>
      </w:r>
      <w:r w:rsidRPr="009D231A">
        <w:rPr>
          <w:rFonts w:ascii="Times New Roman" w:hAnsi="Times New Roman" w:cs="Times New Roman"/>
          <w:sz w:val="24"/>
          <w:szCs w:val="24"/>
        </w:rPr>
        <w:t xml:space="preserve"> (ed.) 2019. </w:t>
      </w:r>
      <w:r w:rsidRPr="009D231A">
        <w:rPr>
          <w:rFonts w:ascii="Times New Roman" w:hAnsi="Times New Roman" w:cs="Times New Roman"/>
          <w:i/>
          <w:sz w:val="24"/>
          <w:szCs w:val="24"/>
        </w:rPr>
        <w:t xml:space="preserve">Ortner's identification of pathological conditions in human skeletal remains. </w:t>
      </w:r>
      <w:r w:rsidRPr="009D231A">
        <w:rPr>
          <w:rFonts w:ascii="Times New Roman" w:hAnsi="Times New Roman" w:cs="Times New Roman"/>
          <w:sz w:val="24"/>
          <w:szCs w:val="24"/>
        </w:rPr>
        <w:t>London: Academic.</w:t>
      </w:r>
    </w:p>
    <w:p w14:paraId="2C349110"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Buikstra, J. &amp; M. Swegle</w:t>
      </w:r>
      <w:r w:rsidRPr="009D231A">
        <w:rPr>
          <w:rFonts w:ascii="Times New Roman" w:hAnsi="Times New Roman" w:cs="Times New Roman"/>
          <w:sz w:val="24"/>
          <w:szCs w:val="24"/>
        </w:rPr>
        <w:t xml:space="preserve">. 1989. Bone modification due to burning: experimental evidence, </w:t>
      </w:r>
      <w:r w:rsidRPr="009D231A">
        <w:rPr>
          <w:rFonts w:ascii="Times New Roman" w:hAnsi="Times New Roman" w:cs="Times New Roman"/>
          <w:iCs/>
          <w:sz w:val="24"/>
          <w:szCs w:val="24"/>
        </w:rPr>
        <w:t>in</w:t>
      </w:r>
      <w:r w:rsidRPr="009D231A">
        <w:rPr>
          <w:rFonts w:ascii="Times New Roman" w:hAnsi="Times New Roman" w:cs="Times New Roman"/>
          <w:sz w:val="24"/>
          <w:szCs w:val="24"/>
        </w:rPr>
        <w:t xml:space="preserve"> R. Bonnichsen &amp; M. Sorg (ed.) </w:t>
      </w:r>
      <w:r w:rsidRPr="009D231A">
        <w:rPr>
          <w:rFonts w:ascii="Times New Roman" w:hAnsi="Times New Roman" w:cs="Times New Roman"/>
          <w:i/>
          <w:sz w:val="24"/>
          <w:szCs w:val="24"/>
        </w:rPr>
        <w:t>Bone modification</w:t>
      </w:r>
      <w:r w:rsidRPr="009D231A">
        <w:rPr>
          <w:rFonts w:ascii="Times New Roman" w:hAnsi="Times New Roman" w:cs="Times New Roman"/>
          <w:iCs/>
          <w:sz w:val="24"/>
          <w:szCs w:val="24"/>
        </w:rPr>
        <w:t>: 247–58</w:t>
      </w:r>
      <w:r w:rsidRPr="009D231A">
        <w:rPr>
          <w:rFonts w:ascii="Times New Roman" w:hAnsi="Times New Roman" w:cs="Times New Roman"/>
          <w:i/>
          <w:sz w:val="24"/>
          <w:szCs w:val="24"/>
        </w:rPr>
        <w:t>.</w:t>
      </w:r>
      <w:r w:rsidRPr="009D231A">
        <w:rPr>
          <w:rFonts w:ascii="Times New Roman" w:hAnsi="Times New Roman" w:cs="Times New Roman"/>
          <w:sz w:val="24"/>
          <w:szCs w:val="24"/>
        </w:rPr>
        <w:t xml:space="preserve"> Orono: Center for the Study of the First Americans.</w:t>
      </w:r>
    </w:p>
    <w:p w14:paraId="77ADEF59" w14:textId="77777777" w:rsidR="00BB7D3F" w:rsidRPr="009D231A" w:rsidRDefault="00BB7D3F" w:rsidP="00BB7D3F">
      <w:pPr>
        <w:pStyle w:val="EndNoteBibliography"/>
        <w:spacing w:after="0" w:line="360" w:lineRule="auto"/>
        <w:rPr>
          <w:rFonts w:ascii="Times New Roman" w:hAnsi="Times New Roman" w:cs="Times New Roman"/>
          <w:iCs/>
          <w:sz w:val="24"/>
          <w:szCs w:val="24"/>
        </w:rPr>
      </w:pPr>
      <w:bookmarkStart w:id="8" w:name="_Hlk162271739"/>
      <w:r w:rsidRPr="009D231A">
        <w:rPr>
          <w:rFonts w:ascii="Times New Roman" w:hAnsi="Times New Roman" w:cs="Times New Roman"/>
          <w:smallCaps/>
          <w:sz w:val="24"/>
          <w:szCs w:val="24"/>
        </w:rPr>
        <w:lastRenderedPageBreak/>
        <w:t>Buikstra, J. &amp; D. Ubelaker.</w:t>
      </w:r>
      <w:r w:rsidRPr="009D231A">
        <w:rPr>
          <w:rFonts w:ascii="Times New Roman" w:hAnsi="Times New Roman" w:cs="Times New Roman"/>
          <w:sz w:val="24"/>
          <w:szCs w:val="24"/>
        </w:rPr>
        <w:t xml:space="preserve"> 1994. </w:t>
      </w:r>
      <w:r w:rsidRPr="009D231A">
        <w:rPr>
          <w:rFonts w:ascii="Times New Roman" w:hAnsi="Times New Roman" w:cs="Times New Roman"/>
          <w:i/>
          <w:sz w:val="24"/>
          <w:szCs w:val="24"/>
        </w:rPr>
        <w:t xml:space="preserve">Standards for data collection from human skeletal remains </w:t>
      </w:r>
      <w:r w:rsidRPr="009D231A">
        <w:rPr>
          <w:rFonts w:ascii="Times New Roman" w:hAnsi="Times New Roman" w:cs="Times New Roman"/>
          <w:iCs/>
          <w:sz w:val="24"/>
          <w:szCs w:val="24"/>
        </w:rPr>
        <w:t>(Arkansas Archeological Survey Research Series 44). Fayetteville: Arkansas Archaeology Survey.</w:t>
      </w:r>
    </w:p>
    <w:bookmarkEnd w:id="8"/>
    <w:p w14:paraId="66C40FAF"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Cannon, A.</w:t>
      </w:r>
      <w:r w:rsidRPr="009D231A">
        <w:rPr>
          <w:rFonts w:ascii="Times New Roman" w:hAnsi="Times New Roman" w:cs="Times New Roman"/>
          <w:sz w:val="24"/>
          <w:szCs w:val="24"/>
        </w:rPr>
        <w:t xml:space="preserve"> 2005. Gender and agency in mortuary fashion, in G. Rakita, J. Buikstra, L. Beck &amp; S. Williams (ed.) </w:t>
      </w:r>
      <w:r w:rsidRPr="009D231A">
        <w:rPr>
          <w:rFonts w:ascii="Times New Roman" w:hAnsi="Times New Roman" w:cs="Times New Roman"/>
          <w:i/>
          <w:sz w:val="24"/>
          <w:szCs w:val="24"/>
        </w:rPr>
        <w:t>Interacting with the dead: perspectives on mortuary archaeology of the new millennium</w:t>
      </w:r>
      <w:r w:rsidRPr="009D231A">
        <w:rPr>
          <w:rFonts w:ascii="Times New Roman" w:hAnsi="Times New Roman" w:cs="Times New Roman"/>
          <w:iCs/>
          <w:sz w:val="24"/>
          <w:szCs w:val="24"/>
        </w:rPr>
        <w:t>: 99–120</w:t>
      </w:r>
      <w:r w:rsidRPr="009D231A">
        <w:rPr>
          <w:rFonts w:ascii="Times New Roman" w:hAnsi="Times New Roman" w:cs="Times New Roman"/>
          <w:i/>
          <w:sz w:val="24"/>
          <w:szCs w:val="24"/>
        </w:rPr>
        <w:t>.</w:t>
      </w:r>
      <w:r w:rsidRPr="009D231A">
        <w:rPr>
          <w:rFonts w:ascii="Times New Roman" w:hAnsi="Times New Roman" w:cs="Times New Roman"/>
          <w:sz w:val="24"/>
          <w:szCs w:val="24"/>
        </w:rPr>
        <w:t xml:space="preserve"> Gainesville: University Press of Florida.</w:t>
      </w:r>
    </w:p>
    <w:p w14:paraId="0A9A8B36"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Carroll, M.</w:t>
      </w:r>
      <w:r w:rsidRPr="009D231A">
        <w:rPr>
          <w:rFonts w:ascii="Times New Roman" w:hAnsi="Times New Roman" w:cs="Times New Roman"/>
          <w:sz w:val="24"/>
          <w:szCs w:val="24"/>
        </w:rPr>
        <w:t xml:space="preserve"> 2013. Ethnicity and gender in Roman funerary commemoration: case studies from the Empire's frontiers, </w:t>
      </w:r>
      <w:r w:rsidRPr="009D231A">
        <w:rPr>
          <w:rFonts w:ascii="Times New Roman" w:hAnsi="Times New Roman" w:cs="Times New Roman"/>
          <w:iCs/>
          <w:sz w:val="24"/>
          <w:szCs w:val="24"/>
        </w:rPr>
        <w:t>in</w:t>
      </w:r>
      <w:r w:rsidRPr="009D231A">
        <w:rPr>
          <w:rFonts w:ascii="Times New Roman" w:hAnsi="Times New Roman" w:cs="Times New Roman"/>
          <w:sz w:val="24"/>
          <w:szCs w:val="24"/>
        </w:rPr>
        <w:t xml:space="preserve"> L. Stutz &amp; S. Tarlow (ed.) </w:t>
      </w:r>
      <w:r w:rsidRPr="009D231A">
        <w:rPr>
          <w:rFonts w:ascii="Times New Roman" w:hAnsi="Times New Roman" w:cs="Times New Roman"/>
          <w:i/>
          <w:sz w:val="24"/>
          <w:szCs w:val="24"/>
        </w:rPr>
        <w:t>The Oxford handbook of the archaeology of death and burial</w:t>
      </w:r>
      <w:r w:rsidRPr="009D231A">
        <w:rPr>
          <w:rFonts w:ascii="Times New Roman" w:hAnsi="Times New Roman" w:cs="Times New Roman"/>
          <w:iCs/>
          <w:sz w:val="24"/>
          <w:szCs w:val="24"/>
        </w:rPr>
        <w:t>: 559–79</w:t>
      </w:r>
      <w:r w:rsidRPr="009D231A">
        <w:rPr>
          <w:rFonts w:ascii="Times New Roman" w:hAnsi="Times New Roman" w:cs="Times New Roman"/>
          <w:i/>
          <w:sz w:val="24"/>
          <w:szCs w:val="24"/>
        </w:rPr>
        <w:t>.</w:t>
      </w:r>
      <w:r w:rsidRPr="009D231A">
        <w:rPr>
          <w:rFonts w:ascii="Times New Roman" w:hAnsi="Times New Roman" w:cs="Times New Roman"/>
          <w:sz w:val="24"/>
          <w:szCs w:val="24"/>
        </w:rPr>
        <w:t xml:space="preserve"> Oxford: Oxford University Press.</w:t>
      </w:r>
    </w:p>
    <w:p w14:paraId="65DB59E7" w14:textId="77777777" w:rsidR="00BB7D3F" w:rsidRPr="00393962" w:rsidRDefault="00BB7D3F" w:rsidP="00BB7D3F">
      <w:pPr>
        <w:autoSpaceDE w:val="0"/>
        <w:autoSpaceDN w:val="0"/>
        <w:adjustRightInd w:val="0"/>
        <w:spacing w:after="0" w:line="360" w:lineRule="auto"/>
        <w:rPr>
          <w:rFonts w:ascii="Times New Roman" w:eastAsiaTheme="minorHAnsi" w:hAnsi="Times New Roman"/>
          <w:sz w:val="24"/>
          <w:szCs w:val="24"/>
          <w:lang w:val="it-IT" w:eastAsia="en-US"/>
        </w:rPr>
      </w:pPr>
      <w:r w:rsidRPr="009D231A">
        <w:rPr>
          <w:rFonts w:ascii="Times New Roman" w:eastAsiaTheme="minorHAnsi" w:hAnsi="Times New Roman"/>
          <w:sz w:val="24"/>
          <w:szCs w:val="24"/>
          <w:lang w:eastAsia="en-US"/>
        </w:rPr>
        <w:t xml:space="preserve">– 2018. </w:t>
      </w:r>
      <w:r w:rsidRPr="009D231A">
        <w:rPr>
          <w:rFonts w:ascii="Times New Roman" w:eastAsiaTheme="minorHAnsi" w:hAnsi="Times New Roman"/>
          <w:i/>
          <w:iCs/>
          <w:sz w:val="24"/>
          <w:szCs w:val="24"/>
          <w:lang w:eastAsia="en-US"/>
        </w:rPr>
        <w:t>Infancy and earliest childhood in the Roman world: 'a fragment of time'</w:t>
      </w:r>
      <w:r w:rsidRPr="009D231A">
        <w:rPr>
          <w:rFonts w:ascii="Times New Roman" w:eastAsiaTheme="minorHAnsi" w:hAnsi="Times New Roman"/>
          <w:sz w:val="24"/>
          <w:szCs w:val="24"/>
          <w:lang w:eastAsia="en-US"/>
        </w:rPr>
        <w:t xml:space="preserve">. </w:t>
      </w:r>
      <w:r w:rsidRPr="00393962">
        <w:rPr>
          <w:rFonts w:ascii="Times New Roman" w:eastAsiaTheme="minorHAnsi" w:hAnsi="Times New Roman"/>
          <w:sz w:val="24"/>
          <w:szCs w:val="24"/>
          <w:lang w:val="it-IT" w:eastAsia="en-US"/>
        </w:rPr>
        <w:t>Oxford: Oxford University Press.</w:t>
      </w:r>
    </w:p>
    <w:p w14:paraId="0A4B48BA" w14:textId="77777777" w:rsidR="00F36064" w:rsidRPr="00393962" w:rsidRDefault="00F36064" w:rsidP="00F36064">
      <w:pPr>
        <w:pStyle w:val="EndNoteBibliography"/>
        <w:spacing w:after="0" w:line="360" w:lineRule="auto"/>
        <w:rPr>
          <w:rFonts w:ascii="Times New Roman" w:hAnsi="Times New Roman" w:cs="Times New Roman"/>
          <w:sz w:val="24"/>
          <w:szCs w:val="24"/>
        </w:rPr>
      </w:pPr>
      <w:r w:rsidRPr="00393962">
        <w:rPr>
          <w:rFonts w:ascii="Times New Roman" w:hAnsi="Times New Roman" w:cs="Times New Roman"/>
          <w:smallCaps/>
          <w:sz w:val="24"/>
          <w:szCs w:val="24"/>
          <w:lang w:val="it-IT"/>
        </w:rPr>
        <w:t>Ciasca, A., R. Di Salvo, M. Castellino &amp; C. Di Patti</w:t>
      </w:r>
      <w:r w:rsidRPr="00393962">
        <w:rPr>
          <w:rFonts w:ascii="Times New Roman" w:hAnsi="Times New Roman" w:cs="Times New Roman"/>
          <w:sz w:val="24"/>
          <w:szCs w:val="24"/>
          <w:lang w:val="it-IT"/>
        </w:rPr>
        <w:t xml:space="preserve">. 1996. Saggio preliminare sugli incinerati del ‘Tofet’ di Mozia. </w:t>
      </w:r>
      <w:r w:rsidRPr="00393962">
        <w:rPr>
          <w:rFonts w:ascii="Times New Roman" w:hAnsi="Times New Roman" w:cs="Times New Roman"/>
          <w:i/>
          <w:sz w:val="24"/>
          <w:szCs w:val="24"/>
        </w:rPr>
        <w:t xml:space="preserve">Vicino Oriente </w:t>
      </w:r>
      <w:r w:rsidRPr="00393962">
        <w:rPr>
          <w:rFonts w:ascii="Times New Roman" w:hAnsi="Times New Roman" w:cs="Times New Roman"/>
          <w:sz w:val="24"/>
          <w:szCs w:val="24"/>
        </w:rPr>
        <w:t>10: 317–46.</w:t>
      </w:r>
    </w:p>
    <w:p w14:paraId="2B14D11B" w14:textId="77777777" w:rsidR="00BB7D3F" w:rsidRPr="00393962" w:rsidRDefault="00BB7D3F" w:rsidP="00BB7D3F">
      <w:pPr>
        <w:pStyle w:val="EndNoteBibliography"/>
        <w:spacing w:after="0" w:line="360" w:lineRule="auto"/>
        <w:rPr>
          <w:rFonts w:ascii="Times New Roman" w:hAnsi="Times New Roman" w:cs="Times New Roman"/>
          <w:sz w:val="24"/>
          <w:szCs w:val="24"/>
          <w:lang w:val="it-IT"/>
        </w:rPr>
      </w:pPr>
      <w:r w:rsidRPr="003F5C0F">
        <w:rPr>
          <w:rFonts w:ascii="Times New Roman" w:hAnsi="Times New Roman" w:cs="Times New Roman"/>
          <w:smallCaps/>
          <w:sz w:val="24"/>
          <w:szCs w:val="24"/>
        </w:rPr>
        <w:t>Cunningham, C., L. Scheuer &amp; S. Black</w:t>
      </w:r>
      <w:r w:rsidRPr="003F5C0F">
        <w:rPr>
          <w:rFonts w:ascii="Times New Roman" w:hAnsi="Times New Roman" w:cs="Times New Roman"/>
          <w:sz w:val="24"/>
          <w:szCs w:val="24"/>
        </w:rPr>
        <w:t xml:space="preserve">. 2016. </w:t>
      </w:r>
      <w:r w:rsidRPr="009D231A">
        <w:rPr>
          <w:rFonts w:ascii="Times New Roman" w:hAnsi="Times New Roman" w:cs="Times New Roman"/>
          <w:i/>
          <w:sz w:val="24"/>
          <w:szCs w:val="24"/>
        </w:rPr>
        <w:t xml:space="preserve">Developmental juvenile osteology. </w:t>
      </w:r>
      <w:r w:rsidRPr="00393962">
        <w:rPr>
          <w:rFonts w:ascii="Times New Roman" w:hAnsi="Times New Roman" w:cs="Times New Roman"/>
          <w:sz w:val="24"/>
          <w:szCs w:val="24"/>
          <w:lang w:val="it-IT"/>
        </w:rPr>
        <w:t>Amsterdam: Elsevier.</w:t>
      </w:r>
    </w:p>
    <w:p w14:paraId="58A6B8A5" w14:textId="77777777" w:rsidR="00BB7D3F" w:rsidRPr="00393962" w:rsidRDefault="00BB7D3F" w:rsidP="00BB7D3F">
      <w:pPr>
        <w:autoSpaceDE w:val="0"/>
        <w:autoSpaceDN w:val="0"/>
        <w:adjustRightInd w:val="0"/>
        <w:spacing w:after="0" w:line="360" w:lineRule="auto"/>
        <w:rPr>
          <w:rFonts w:ascii="Times New Roman" w:hAnsi="Times New Roman"/>
          <w:i/>
          <w:iCs/>
          <w:sz w:val="24"/>
          <w:szCs w:val="24"/>
        </w:rPr>
      </w:pPr>
      <w:bookmarkStart w:id="9" w:name="_Hlk148354794"/>
      <w:r w:rsidRPr="00393962">
        <w:rPr>
          <w:rFonts w:ascii="Times New Roman" w:hAnsi="Times New Roman"/>
          <w:smallCaps/>
          <w:sz w:val="24"/>
          <w:szCs w:val="24"/>
          <w:lang w:val="it-IT"/>
        </w:rPr>
        <w:t>D’Andrea, B.</w:t>
      </w:r>
      <w:r w:rsidRPr="00393962">
        <w:rPr>
          <w:rFonts w:ascii="Times New Roman" w:hAnsi="Times New Roman"/>
          <w:sz w:val="24"/>
          <w:szCs w:val="24"/>
          <w:lang w:val="it-IT"/>
        </w:rPr>
        <w:t xml:space="preserve"> 2014. </w:t>
      </w:r>
      <w:r w:rsidRPr="00393962">
        <w:rPr>
          <w:rFonts w:ascii="Times New Roman" w:hAnsi="Times New Roman"/>
          <w:i/>
          <w:iCs/>
          <w:sz w:val="24"/>
          <w:szCs w:val="24"/>
          <w:lang w:val="it-IT"/>
        </w:rPr>
        <w:t>I tofet del Nord Africa dall’età Arcaica all’età Romana (VIII sec. a. C.- II sec. d. C.)</w:t>
      </w:r>
      <w:r w:rsidRPr="00393962">
        <w:rPr>
          <w:rFonts w:ascii="Times New Roman" w:hAnsi="Times New Roman"/>
          <w:sz w:val="24"/>
          <w:szCs w:val="24"/>
          <w:lang w:val="it-IT"/>
        </w:rPr>
        <w:t xml:space="preserve">. </w:t>
      </w:r>
      <w:r w:rsidRPr="00393962">
        <w:rPr>
          <w:rFonts w:ascii="Times New Roman" w:hAnsi="Times New Roman"/>
          <w:sz w:val="24"/>
          <w:szCs w:val="24"/>
        </w:rPr>
        <w:t>Pisa: Fabrizio Serra.</w:t>
      </w:r>
    </w:p>
    <w:bookmarkEnd w:id="9"/>
    <w:p w14:paraId="0F0688DB" w14:textId="77777777" w:rsidR="00BB7D3F" w:rsidRPr="00393962" w:rsidRDefault="00BB7D3F" w:rsidP="00BB7D3F">
      <w:pPr>
        <w:pStyle w:val="EndNoteBibliography"/>
        <w:spacing w:after="0" w:line="360" w:lineRule="auto"/>
        <w:rPr>
          <w:rFonts w:ascii="Times New Roman" w:hAnsi="Times New Roman" w:cs="Times New Roman"/>
          <w:sz w:val="24"/>
          <w:szCs w:val="24"/>
          <w:lang w:val="it-IT"/>
        </w:rPr>
      </w:pPr>
      <w:r w:rsidRPr="009D231A">
        <w:rPr>
          <w:rFonts w:ascii="Times New Roman" w:hAnsi="Times New Roman" w:cs="Times New Roman"/>
          <w:smallCaps/>
          <w:sz w:val="24"/>
          <w:szCs w:val="24"/>
        </w:rPr>
        <w:t>Danielsson, I.-M</w:t>
      </w:r>
      <w:r w:rsidRPr="009D231A">
        <w:rPr>
          <w:rFonts w:ascii="Times New Roman" w:hAnsi="Times New Roman" w:cs="Times New Roman"/>
          <w:sz w:val="24"/>
          <w:szCs w:val="24"/>
        </w:rPr>
        <w:t xml:space="preserve">. 2011. Presenting the past: on archaeologists and their influence on modern burial practices. </w:t>
      </w:r>
      <w:r w:rsidRPr="00393962">
        <w:rPr>
          <w:rFonts w:ascii="Times New Roman" w:hAnsi="Times New Roman" w:cs="Times New Roman"/>
          <w:i/>
          <w:sz w:val="24"/>
          <w:szCs w:val="24"/>
          <w:lang w:val="it-IT"/>
        </w:rPr>
        <w:t xml:space="preserve">Mortality </w:t>
      </w:r>
      <w:r w:rsidRPr="00393962">
        <w:rPr>
          <w:rFonts w:ascii="Times New Roman" w:hAnsi="Times New Roman" w:cs="Times New Roman"/>
          <w:sz w:val="24"/>
          <w:szCs w:val="24"/>
          <w:lang w:val="it-IT"/>
        </w:rPr>
        <w:t>16: 98–112. https://doi.org/10.1080/13576275.2011.560452</w:t>
      </w:r>
    </w:p>
    <w:p w14:paraId="16EC4438" w14:textId="77777777" w:rsidR="00890403" w:rsidRPr="003F5C0F" w:rsidRDefault="00890403" w:rsidP="00890403">
      <w:pPr>
        <w:pStyle w:val="EndNoteBibliography"/>
        <w:spacing w:after="0" w:line="360" w:lineRule="auto"/>
        <w:rPr>
          <w:rFonts w:ascii="Times New Roman" w:hAnsi="Times New Roman" w:cs="Times New Roman"/>
          <w:sz w:val="24"/>
          <w:szCs w:val="24"/>
        </w:rPr>
      </w:pPr>
      <w:r w:rsidRPr="00393962">
        <w:rPr>
          <w:rFonts w:ascii="Times New Roman" w:hAnsi="Times New Roman" w:cs="Times New Roman"/>
          <w:smallCaps/>
          <w:sz w:val="24"/>
          <w:szCs w:val="24"/>
          <w:lang w:val="it-IT"/>
        </w:rPr>
        <w:t>Fedele, F. &amp; G. Foster.</w:t>
      </w:r>
      <w:r w:rsidRPr="00393962">
        <w:rPr>
          <w:rFonts w:ascii="Times New Roman" w:hAnsi="Times New Roman" w:cs="Times New Roman"/>
          <w:sz w:val="24"/>
          <w:szCs w:val="24"/>
          <w:lang w:val="it-IT"/>
        </w:rPr>
        <w:t xml:space="preserve"> 1988. Tharros: ovicaprini sacrificali e riruali del tofet. </w:t>
      </w:r>
      <w:r w:rsidRPr="003F5C0F">
        <w:rPr>
          <w:rFonts w:ascii="Times New Roman" w:hAnsi="Times New Roman" w:cs="Times New Roman"/>
          <w:i/>
          <w:sz w:val="24"/>
          <w:szCs w:val="24"/>
        </w:rPr>
        <w:t xml:space="preserve">Rivista di Studi Fenici </w:t>
      </w:r>
      <w:r w:rsidRPr="003F5C0F">
        <w:rPr>
          <w:rFonts w:ascii="Times New Roman" w:hAnsi="Times New Roman" w:cs="Times New Roman"/>
          <w:sz w:val="24"/>
          <w:szCs w:val="24"/>
        </w:rPr>
        <w:t>16: 29–46.</w:t>
      </w:r>
    </w:p>
    <w:p w14:paraId="08BCF727"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3F5C0F">
        <w:rPr>
          <w:rFonts w:ascii="Times New Roman" w:hAnsi="Times New Roman" w:cs="Times New Roman"/>
          <w:smallCaps/>
          <w:sz w:val="24"/>
          <w:szCs w:val="24"/>
        </w:rPr>
        <w:t>Geber, J. &amp; E. Murphy</w:t>
      </w:r>
      <w:r w:rsidRPr="003F5C0F">
        <w:rPr>
          <w:rFonts w:ascii="Times New Roman" w:hAnsi="Times New Roman" w:cs="Times New Roman"/>
          <w:sz w:val="24"/>
          <w:szCs w:val="24"/>
        </w:rPr>
        <w:t xml:space="preserve">. 2012. </w:t>
      </w:r>
      <w:r w:rsidRPr="009D231A">
        <w:rPr>
          <w:rFonts w:ascii="Times New Roman" w:hAnsi="Times New Roman" w:cs="Times New Roman"/>
          <w:sz w:val="24"/>
          <w:szCs w:val="24"/>
        </w:rPr>
        <w:t xml:space="preserve">Scurvy in the Great Irish Famine: evidence of vitamin C deficiency from a mid-19th century skeletal population. </w:t>
      </w:r>
      <w:r w:rsidRPr="009D231A">
        <w:rPr>
          <w:rFonts w:ascii="Times New Roman" w:hAnsi="Times New Roman" w:cs="Times New Roman"/>
          <w:i/>
          <w:sz w:val="24"/>
          <w:szCs w:val="24"/>
        </w:rPr>
        <w:t>American Journal of Physical Anthropology</w:t>
      </w:r>
      <w:r w:rsidRPr="009D231A">
        <w:rPr>
          <w:rFonts w:ascii="Times New Roman" w:hAnsi="Times New Roman" w:cs="Times New Roman"/>
          <w:sz w:val="24"/>
          <w:szCs w:val="24"/>
        </w:rPr>
        <w:t xml:space="preserve"> 148: 512–24. https://doi.org/10.1002/ajpa.22066</w:t>
      </w:r>
    </w:p>
    <w:p w14:paraId="05257DB2" w14:textId="77777777" w:rsidR="00890403" w:rsidRPr="00575A82" w:rsidRDefault="00890403" w:rsidP="00890403">
      <w:pPr>
        <w:pStyle w:val="EndNoteBibliography"/>
        <w:spacing w:after="0" w:line="360" w:lineRule="auto"/>
        <w:rPr>
          <w:rFonts w:ascii="Times New Roman" w:hAnsi="Times New Roman" w:cs="Times New Roman"/>
          <w:sz w:val="24"/>
          <w:szCs w:val="24"/>
        </w:rPr>
      </w:pPr>
      <w:r w:rsidRPr="00575A82">
        <w:rPr>
          <w:rFonts w:ascii="Times New Roman" w:hAnsi="Times New Roman" w:cs="Times New Roman"/>
          <w:smallCaps/>
          <w:sz w:val="24"/>
          <w:szCs w:val="24"/>
        </w:rPr>
        <w:t>Gejvall, N.-G</w:t>
      </w:r>
      <w:r w:rsidRPr="00575A82">
        <w:rPr>
          <w:rFonts w:ascii="Times New Roman" w:hAnsi="Times New Roman" w:cs="Times New Roman"/>
          <w:sz w:val="24"/>
          <w:szCs w:val="24"/>
        </w:rPr>
        <w:t xml:space="preserve">. 1949. </w:t>
      </w:r>
      <w:r w:rsidRPr="00575A82">
        <w:rPr>
          <w:rFonts w:ascii="Times New Roman" w:hAnsi="Times New Roman" w:cs="Times New Roman"/>
          <w:i/>
          <w:sz w:val="24"/>
          <w:szCs w:val="24"/>
        </w:rPr>
        <w:t xml:space="preserve">Determination of cremated bones from Carthage. </w:t>
      </w:r>
      <w:r w:rsidRPr="00575A82">
        <w:rPr>
          <w:rFonts w:ascii="Times New Roman" w:hAnsi="Times New Roman" w:cs="Times New Roman"/>
          <w:sz w:val="24"/>
          <w:szCs w:val="24"/>
        </w:rPr>
        <w:t>Oxford: Ashmolean Museum.</w:t>
      </w:r>
    </w:p>
    <w:p w14:paraId="5462527B" w14:textId="77777777" w:rsidR="00BB7D3F" w:rsidRPr="009D231A" w:rsidRDefault="00BB7D3F" w:rsidP="00BB7D3F">
      <w:pPr>
        <w:pStyle w:val="EndNoteBibliography"/>
        <w:spacing w:after="0" w:line="360" w:lineRule="auto"/>
        <w:rPr>
          <w:rFonts w:ascii="Times New Roman" w:hAnsi="Times New Roman" w:cs="Times New Roman"/>
          <w:sz w:val="24"/>
          <w:szCs w:val="24"/>
          <w:lang w:val="fr-FR"/>
        </w:rPr>
      </w:pPr>
      <w:r w:rsidRPr="009D231A">
        <w:rPr>
          <w:rFonts w:ascii="Times New Roman" w:hAnsi="Times New Roman" w:cs="Times New Roman"/>
          <w:smallCaps/>
          <w:sz w:val="24"/>
          <w:szCs w:val="24"/>
        </w:rPr>
        <w:t>Gras, M., P. Rouillard &amp; J. Texjdor</w:t>
      </w:r>
      <w:r w:rsidRPr="009D231A">
        <w:rPr>
          <w:rFonts w:ascii="Times New Roman" w:hAnsi="Times New Roman" w:cs="Times New Roman"/>
          <w:sz w:val="24"/>
          <w:szCs w:val="24"/>
        </w:rPr>
        <w:t xml:space="preserve">. 1989. </w:t>
      </w:r>
      <w:r w:rsidRPr="009D231A">
        <w:rPr>
          <w:rFonts w:ascii="Times New Roman" w:hAnsi="Times New Roman" w:cs="Times New Roman"/>
          <w:i/>
          <w:sz w:val="24"/>
          <w:szCs w:val="24"/>
          <w:lang w:val="fr-FR"/>
        </w:rPr>
        <w:t>L'univers Phénicien</w:t>
      </w:r>
      <w:r w:rsidRPr="009D231A">
        <w:rPr>
          <w:rFonts w:ascii="Times New Roman" w:hAnsi="Times New Roman" w:cs="Times New Roman"/>
          <w:sz w:val="24"/>
          <w:szCs w:val="24"/>
          <w:lang w:val="fr-FR"/>
        </w:rPr>
        <w:t>.</w:t>
      </w:r>
      <w:r w:rsidRPr="009D231A">
        <w:rPr>
          <w:rFonts w:ascii="Times New Roman" w:hAnsi="Times New Roman" w:cs="Times New Roman"/>
          <w:i/>
          <w:sz w:val="24"/>
          <w:szCs w:val="24"/>
          <w:lang w:val="fr-FR"/>
        </w:rPr>
        <w:t xml:space="preserve"> </w:t>
      </w:r>
      <w:r w:rsidRPr="009D231A">
        <w:rPr>
          <w:rFonts w:ascii="Times New Roman" w:hAnsi="Times New Roman" w:cs="Times New Roman"/>
          <w:sz w:val="24"/>
          <w:szCs w:val="24"/>
          <w:lang w:val="fr-FR"/>
        </w:rPr>
        <w:t>Paris: Arthaud.</w:t>
      </w:r>
    </w:p>
    <w:p w14:paraId="5B03252E"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lang w:val="fr-FR"/>
        </w:rPr>
        <w:t>Hirsch, M., P. Mogle &amp; Y. Barkli</w:t>
      </w:r>
      <w:r w:rsidRPr="009D231A">
        <w:rPr>
          <w:rFonts w:ascii="Times New Roman" w:hAnsi="Times New Roman" w:cs="Times New Roman"/>
          <w:sz w:val="24"/>
          <w:szCs w:val="24"/>
          <w:lang w:val="fr-FR"/>
        </w:rPr>
        <w:t xml:space="preserve">. </w:t>
      </w:r>
      <w:r w:rsidRPr="009D231A">
        <w:rPr>
          <w:rFonts w:ascii="Times New Roman" w:hAnsi="Times New Roman" w:cs="Times New Roman"/>
          <w:sz w:val="24"/>
          <w:szCs w:val="24"/>
        </w:rPr>
        <w:t xml:space="preserve">1976. Neonatal scurvy. Report of a case. </w:t>
      </w:r>
      <w:r w:rsidRPr="009D231A">
        <w:rPr>
          <w:rFonts w:ascii="Times New Roman" w:hAnsi="Times New Roman" w:cs="Times New Roman"/>
          <w:i/>
          <w:sz w:val="24"/>
          <w:szCs w:val="24"/>
        </w:rPr>
        <w:t>Pediatric Radiology</w:t>
      </w:r>
      <w:r w:rsidRPr="009D231A">
        <w:rPr>
          <w:rFonts w:ascii="Times New Roman" w:hAnsi="Times New Roman" w:cs="Times New Roman"/>
          <w:sz w:val="24"/>
          <w:szCs w:val="24"/>
        </w:rPr>
        <w:t xml:space="preserve"> 4: 251–53.</w:t>
      </w:r>
    </w:p>
    <w:p w14:paraId="22B63027"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Hope, V</w:t>
      </w:r>
      <w:r w:rsidRPr="009D231A">
        <w:rPr>
          <w:rFonts w:ascii="Times New Roman" w:hAnsi="Times New Roman" w:cs="Times New Roman"/>
          <w:sz w:val="24"/>
          <w:szCs w:val="24"/>
        </w:rPr>
        <w:t xml:space="preserve">. 2009. </w:t>
      </w:r>
      <w:r w:rsidRPr="009D231A">
        <w:rPr>
          <w:rFonts w:ascii="Times New Roman" w:hAnsi="Times New Roman" w:cs="Times New Roman"/>
          <w:i/>
          <w:sz w:val="24"/>
          <w:szCs w:val="24"/>
        </w:rPr>
        <w:t xml:space="preserve">Roman death the dying and the dead in ancient Rome. </w:t>
      </w:r>
      <w:r w:rsidRPr="009D231A">
        <w:rPr>
          <w:rFonts w:ascii="Times New Roman" w:hAnsi="Times New Roman" w:cs="Times New Roman"/>
          <w:sz w:val="24"/>
          <w:szCs w:val="24"/>
        </w:rPr>
        <w:t>London: Hambledon Continuum.</w:t>
      </w:r>
    </w:p>
    <w:p w14:paraId="426204DC"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lastRenderedPageBreak/>
        <w:t>Jackson, D. &amp; E. Park</w:t>
      </w:r>
      <w:r w:rsidRPr="009D231A">
        <w:rPr>
          <w:rFonts w:ascii="Times New Roman" w:hAnsi="Times New Roman" w:cs="Times New Roman"/>
          <w:sz w:val="24"/>
          <w:szCs w:val="24"/>
        </w:rPr>
        <w:t xml:space="preserve">. 1935. Congenital scurvy: a case report. </w:t>
      </w:r>
      <w:r w:rsidRPr="009D231A">
        <w:rPr>
          <w:rFonts w:ascii="Times New Roman" w:hAnsi="Times New Roman" w:cs="Times New Roman"/>
          <w:i/>
          <w:sz w:val="24"/>
          <w:szCs w:val="24"/>
        </w:rPr>
        <w:t xml:space="preserve">The Journal of Pediatrics </w:t>
      </w:r>
      <w:r w:rsidRPr="009D231A">
        <w:rPr>
          <w:rFonts w:ascii="Times New Roman" w:hAnsi="Times New Roman" w:cs="Times New Roman"/>
          <w:sz w:val="24"/>
          <w:szCs w:val="24"/>
        </w:rPr>
        <w:t>7: 741–53.</w:t>
      </w:r>
    </w:p>
    <w:p w14:paraId="45614AB5"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 xml:space="preserve">Klaus, H. </w:t>
      </w:r>
      <w:r w:rsidRPr="009D231A">
        <w:rPr>
          <w:rFonts w:ascii="Times New Roman" w:hAnsi="Times New Roman" w:cs="Times New Roman"/>
          <w:sz w:val="24"/>
          <w:szCs w:val="24"/>
        </w:rPr>
        <w:t xml:space="preserve">2017. Paleopathological rigor and differential diagnosis: case studies involving terminology, description, and diagnostic frameworks for scurvy in skeletal remains. </w:t>
      </w:r>
      <w:r w:rsidRPr="009D231A">
        <w:rPr>
          <w:rFonts w:ascii="Times New Roman" w:hAnsi="Times New Roman" w:cs="Times New Roman"/>
          <w:i/>
          <w:iCs/>
          <w:sz w:val="24"/>
          <w:szCs w:val="24"/>
        </w:rPr>
        <w:t>International Journal of Paleopathology</w:t>
      </w:r>
      <w:r w:rsidRPr="009D231A">
        <w:rPr>
          <w:rFonts w:ascii="Times New Roman" w:hAnsi="Times New Roman" w:cs="Times New Roman"/>
          <w:sz w:val="24"/>
          <w:szCs w:val="24"/>
        </w:rPr>
        <w:t xml:space="preserve"> 19: 96–110.</w:t>
      </w:r>
    </w:p>
    <w:p w14:paraId="407BD2FA"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Knüsel, C.</w:t>
      </w:r>
      <w:r w:rsidRPr="009D231A">
        <w:rPr>
          <w:rFonts w:ascii="Times New Roman" w:hAnsi="Times New Roman" w:cs="Times New Roman"/>
          <w:sz w:val="24"/>
          <w:szCs w:val="24"/>
        </w:rPr>
        <w:t xml:space="preserve"> 2014. Crouching in fear: terms of engagement for funerary remains. </w:t>
      </w:r>
      <w:r w:rsidRPr="009D231A">
        <w:rPr>
          <w:rFonts w:ascii="Times New Roman" w:hAnsi="Times New Roman" w:cs="Times New Roman"/>
          <w:i/>
          <w:sz w:val="24"/>
          <w:szCs w:val="24"/>
        </w:rPr>
        <w:t>Journal of Social Archaeology</w:t>
      </w:r>
      <w:r w:rsidRPr="009D231A">
        <w:rPr>
          <w:rFonts w:ascii="Times New Roman" w:hAnsi="Times New Roman" w:cs="Times New Roman"/>
          <w:sz w:val="24"/>
          <w:szCs w:val="24"/>
        </w:rPr>
        <w:t xml:space="preserve"> 14: 26–58. https://doi.org/10.1177/1469605313518869</w:t>
      </w:r>
    </w:p>
    <w:p w14:paraId="695996C3"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Knüsel, C. &amp; J. Robb.</w:t>
      </w:r>
      <w:r w:rsidRPr="009D231A">
        <w:rPr>
          <w:rFonts w:ascii="Times New Roman" w:hAnsi="Times New Roman" w:cs="Times New Roman"/>
          <w:sz w:val="24"/>
          <w:szCs w:val="24"/>
        </w:rPr>
        <w:t xml:space="preserve"> 2016. Funerary taphonomy: an overview of goals and methods. </w:t>
      </w:r>
      <w:r w:rsidRPr="009D231A">
        <w:rPr>
          <w:rFonts w:ascii="Times New Roman" w:hAnsi="Times New Roman" w:cs="Times New Roman"/>
          <w:i/>
          <w:sz w:val="24"/>
          <w:szCs w:val="24"/>
        </w:rPr>
        <w:t>Journal of Archaeological Science: Reports</w:t>
      </w:r>
      <w:r w:rsidRPr="009D231A">
        <w:rPr>
          <w:rFonts w:ascii="Times New Roman" w:hAnsi="Times New Roman" w:cs="Times New Roman"/>
          <w:sz w:val="24"/>
          <w:szCs w:val="24"/>
        </w:rPr>
        <w:t xml:space="preserve"> 10: 655–73. https://doi.org/10.1016/j.jasrep.2016.05.031</w:t>
      </w:r>
    </w:p>
    <w:p w14:paraId="2CF99DCB"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Langley, N., L. Jantz, S. Ousley, R. Jantz &amp; G. Milner</w:t>
      </w:r>
      <w:r w:rsidRPr="009D231A">
        <w:rPr>
          <w:rFonts w:ascii="Times New Roman" w:hAnsi="Times New Roman" w:cs="Times New Roman"/>
          <w:sz w:val="24"/>
          <w:szCs w:val="24"/>
        </w:rPr>
        <w:t xml:space="preserve">. 2016. </w:t>
      </w:r>
      <w:r w:rsidRPr="009D231A">
        <w:rPr>
          <w:rFonts w:ascii="Times New Roman" w:hAnsi="Times New Roman" w:cs="Times New Roman"/>
          <w:i/>
          <w:sz w:val="24"/>
          <w:szCs w:val="24"/>
        </w:rPr>
        <w:t xml:space="preserve">Data collection procedures for forensic skeletal material 2.0. </w:t>
      </w:r>
      <w:r w:rsidRPr="009D231A">
        <w:rPr>
          <w:rFonts w:ascii="Times New Roman" w:hAnsi="Times New Roman" w:cs="Times New Roman"/>
          <w:sz w:val="24"/>
          <w:szCs w:val="24"/>
        </w:rPr>
        <w:t>Knoxville (TN): Forensic Anthropology Center, The University of Tennessee.</w:t>
      </w:r>
    </w:p>
    <w:p w14:paraId="7F273E3F"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mallCaps/>
          <w:sz w:val="24"/>
          <w:szCs w:val="24"/>
          <w:lang w:eastAsia="en-US"/>
        </w:rPr>
        <w:t>Lewis, M.</w:t>
      </w:r>
      <w:r w:rsidRPr="009D231A">
        <w:rPr>
          <w:rFonts w:ascii="Times New Roman" w:eastAsiaTheme="minorHAnsi" w:hAnsi="Times New Roman"/>
          <w:sz w:val="24"/>
          <w:szCs w:val="24"/>
          <w:lang w:eastAsia="en-US"/>
        </w:rPr>
        <w:t xml:space="preserve"> 2004. Endocranial lesions in non-adult skeletons: understanding their </w:t>
      </w:r>
      <w:proofErr w:type="spellStart"/>
      <w:r w:rsidRPr="009D231A">
        <w:rPr>
          <w:rFonts w:ascii="Times New Roman" w:eastAsiaTheme="minorHAnsi" w:hAnsi="Times New Roman"/>
          <w:sz w:val="24"/>
          <w:szCs w:val="24"/>
          <w:lang w:eastAsia="en-US"/>
        </w:rPr>
        <w:t>aetiology</w:t>
      </w:r>
      <w:proofErr w:type="spellEnd"/>
      <w:r w:rsidRPr="009D231A">
        <w:rPr>
          <w:rFonts w:ascii="Times New Roman" w:eastAsiaTheme="minorHAnsi" w:hAnsi="Times New Roman"/>
          <w:sz w:val="24"/>
          <w:szCs w:val="24"/>
          <w:lang w:eastAsia="en-US"/>
        </w:rPr>
        <w:t xml:space="preserve">. </w:t>
      </w:r>
      <w:r w:rsidRPr="009D231A">
        <w:rPr>
          <w:rFonts w:ascii="Times New Roman" w:eastAsiaTheme="minorHAnsi" w:hAnsi="Times New Roman"/>
          <w:i/>
          <w:iCs/>
          <w:sz w:val="24"/>
          <w:szCs w:val="24"/>
          <w:lang w:eastAsia="en-US"/>
        </w:rPr>
        <w:t>International Journal of Osteoarchaeology</w:t>
      </w:r>
      <w:r w:rsidRPr="009D231A">
        <w:rPr>
          <w:rFonts w:ascii="Times New Roman" w:eastAsiaTheme="minorHAnsi" w:hAnsi="Times New Roman"/>
          <w:sz w:val="24"/>
          <w:szCs w:val="24"/>
          <w:lang w:eastAsia="en-US"/>
        </w:rPr>
        <w:t xml:space="preserve"> 14: 82–97. https://doi.org/10.1002/oa.713</w:t>
      </w:r>
    </w:p>
    <w:p w14:paraId="1F8BFE5C"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z w:val="24"/>
          <w:szCs w:val="24"/>
        </w:rPr>
        <w:t xml:space="preserve">– 2018. </w:t>
      </w:r>
      <w:r w:rsidRPr="009D231A">
        <w:rPr>
          <w:rFonts w:ascii="Times New Roman" w:hAnsi="Times New Roman" w:cs="Times New Roman"/>
          <w:i/>
          <w:iCs/>
          <w:sz w:val="24"/>
          <w:szCs w:val="24"/>
        </w:rPr>
        <w:t>Paleopathology of children: identification of pathological conditions in the human skeletal remains of non-adults</w:t>
      </w:r>
      <w:r w:rsidRPr="009D231A">
        <w:rPr>
          <w:rFonts w:ascii="Times New Roman" w:hAnsi="Times New Roman" w:cs="Times New Roman"/>
          <w:sz w:val="24"/>
          <w:szCs w:val="24"/>
        </w:rPr>
        <w:t>. London: Academic.</w:t>
      </w:r>
    </w:p>
    <w:p w14:paraId="58A9D27B"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McKinley, J.</w:t>
      </w:r>
      <w:r w:rsidRPr="009D231A">
        <w:rPr>
          <w:rFonts w:ascii="Times New Roman" w:hAnsi="Times New Roman" w:cs="Times New Roman"/>
          <w:sz w:val="24"/>
          <w:szCs w:val="24"/>
        </w:rPr>
        <w:t xml:space="preserve"> 1989. Cremations: expectations, methodologies and realities, in C. Roberts, F.Lee &amp; J. Bintliff (ed.) </w:t>
      </w:r>
      <w:r w:rsidRPr="009D231A">
        <w:rPr>
          <w:rFonts w:ascii="Times New Roman" w:hAnsi="Times New Roman" w:cs="Times New Roman"/>
          <w:i/>
          <w:sz w:val="24"/>
          <w:szCs w:val="24"/>
        </w:rPr>
        <w:t>Burial archaeology: current research, methods and developments</w:t>
      </w:r>
      <w:r w:rsidRPr="009D231A">
        <w:rPr>
          <w:rFonts w:ascii="Times New Roman" w:hAnsi="Times New Roman" w:cs="Times New Roman"/>
          <w:iCs/>
          <w:sz w:val="24"/>
          <w:szCs w:val="24"/>
        </w:rPr>
        <w:t xml:space="preserve"> (British Archaeological Reports British Series 211): 65–76</w:t>
      </w:r>
      <w:r w:rsidRPr="009D231A">
        <w:rPr>
          <w:rFonts w:ascii="Times New Roman" w:hAnsi="Times New Roman" w:cs="Times New Roman"/>
          <w:i/>
          <w:sz w:val="24"/>
          <w:szCs w:val="24"/>
        </w:rPr>
        <w:t>.</w:t>
      </w:r>
      <w:r w:rsidRPr="009D231A">
        <w:rPr>
          <w:rFonts w:ascii="Times New Roman" w:hAnsi="Times New Roman" w:cs="Times New Roman"/>
          <w:sz w:val="24"/>
          <w:szCs w:val="24"/>
        </w:rPr>
        <w:t xml:space="preserve"> Oxford: British Archaeological Reports.</w:t>
      </w:r>
    </w:p>
    <w:p w14:paraId="05FCA855"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z w:val="24"/>
          <w:szCs w:val="24"/>
        </w:rPr>
        <w:t xml:space="preserve">– 1993. Bone fragment size and weights of bone from modern British cremations and the implications for the interpretation of archaeological cremations. </w:t>
      </w:r>
      <w:r w:rsidRPr="009D231A">
        <w:rPr>
          <w:rFonts w:ascii="Times New Roman" w:hAnsi="Times New Roman" w:cs="Times New Roman"/>
          <w:i/>
          <w:sz w:val="24"/>
          <w:szCs w:val="24"/>
        </w:rPr>
        <w:t>International Journal of Osteoarchaeology</w:t>
      </w:r>
      <w:r w:rsidRPr="009D231A">
        <w:rPr>
          <w:rFonts w:ascii="Times New Roman" w:hAnsi="Times New Roman" w:cs="Times New Roman"/>
          <w:sz w:val="24"/>
          <w:szCs w:val="24"/>
        </w:rPr>
        <w:t xml:space="preserve"> 3: 283–87. https://doi.org/10.1002/oa.1390030406</w:t>
      </w:r>
    </w:p>
    <w:p w14:paraId="48D26AB8"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z w:val="24"/>
          <w:szCs w:val="24"/>
        </w:rPr>
        <w:t xml:space="preserve">– 1994. Bone fragment size in British cremation burials and its implications for pyre technology and ritual. </w:t>
      </w:r>
      <w:r w:rsidRPr="009D231A">
        <w:rPr>
          <w:rFonts w:ascii="Times New Roman" w:hAnsi="Times New Roman" w:cs="Times New Roman"/>
          <w:i/>
          <w:sz w:val="24"/>
          <w:szCs w:val="24"/>
        </w:rPr>
        <w:t>Journal of Archaeological Science</w:t>
      </w:r>
      <w:r w:rsidRPr="009D231A">
        <w:rPr>
          <w:rFonts w:ascii="Times New Roman" w:hAnsi="Times New Roman" w:cs="Times New Roman"/>
          <w:sz w:val="24"/>
          <w:szCs w:val="24"/>
        </w:rPr>
        <w:t xml:space="preserve"> 21: 339–42. https://doi.org/10.1006/jasc.1994.1033</w:t>
      </w:r>
    </w:p>
    <w:p w14:paraId="4B54E444"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mallCaps/>
          <w:sz w:val="24"/>
          <w:szCs w:val="24"/>
          <w:lang w:eastAsia="en-US"/>
        </w:rPr>
        <w:t>McKinley, J. &amp; C. Roberts</w:t>
      </w:r>
      <w:r w:rsidRPr="009D231A">
        <w:rPr>
          <w:rFonts w:ascii="Times New Roman" w:eastAsiaTheme="minorHAnsi" w:hAnsi="Times New Roman"/>
          <w:sz w:val="24"/>
          <w:szCs w:val="24"/>
          <w:lang w:eastAsia="en-US"/>
        </w:rPr>
        <w:t xml:space="preserve">. 1993. </w:t>
      </w:r>
      <w:r w:rsidRPr="009D231A">
        <w:rPr>
          <w:rFonts w:ascii="Times New Roman" w:eastAsiaTheme="minorHAnsi" w:hAnsi="Times New Roman"/>
          <w:i/>
          <w:iCs/>
          <w:sz w:val="24"/>
          <w:szCs w:val="24"/>
          <w:lang w:eastAsia="en-US"/>
        </w:rPr>
        <w:t>Excavation and post-excavation treatment of cremated and inhumed human remains</w:t>
      </w:r>
      <w:r w:rsidRPr="009D231A">
        <w:rPr>
          <w:rFonts w:ascii="Times New Roman" w:eastAsiaTheme="minorHAnsi" w:hAnsi="Times New Roman"/>
          <w:sz w:val="24"/>
          <w:szCs w:val="24"/>
          <w:lang w:eastAsia="en-US"/>
        </w:rPr>
        <w:t>. London: Institute of Field Archaeologists, University of Birmingham.</w:t>
      </w:r>
    </w:p>
    <w:p w14:paraId="3961E7E7" w14:textId="01414E06" w:rsidR="00075DD8" w:rsidRPr="00575A82" w:rsidRDefault="00075DD8" w:rsidP="00075DD8">
      <w:pPr>
        <w:pStyle w:val="EndNoteBibliography"/>
        <w:spacing w:after="0" w:line="360" w:lineRule="auto"/>
        <w:rPr>
          <w:rFonts w:ascii="Times New Roman" w:hAnsi="Times New Roman" w:cs="Times New Roman"/>
          <w:sz w:val="24"/>
          <w:szCs w:val="24"/>
        </w:rPr>
      </w:pPr>
      <w:r w:rsidRPr="00575A82">
        <w:rPr>
          <w:rFonts w:ascii="Times New Roman" w:hAnsi="Times New Roman" w:cs="Times New Roman"/>
          <w:smallCaps/>
          <w:sz w:val="24"/>
          <w:szCs w:val="24"/>
        </w:rPr>
        <w:t>Melchiorri, V.</w:t>
      </w:r>
      <w:r w:rsidRPr="00575A82">
        <w:rPr>
          <w:rFonts w:ascii="Times New Roman" w:hAnsi="Times New Roman" w:cs="Times New Roman"/>
          <w:sz w:val="24"/>
          <w:szCs w:val="24"/>
        </w:rPr>
        <w:t xml:space="preserve"> 2010. </w:t>
      </w:r>
      <w:r w:rsidRPr="00575A82">
        <w:rPr>
          <w:rFonts w:ascii="Times New Roman" w:hAnsi="Times New Roman" w:cs="Times New Roman"/>
          <w:sz w:val="24"/>
          <w:szCs w:val="24"/>
          <w:lang w:val="fr-FR"/>
        </w:rPr>
        <w:t xml:space="preserve">Le tophet de Sulci (S. Antioco, Sardaigne) état des études et perspectives de la recherche. </w:t>
      </w:r>
      <w:r w:rsidRPr="00575A82">
        <w:rPr>
          <w:rFonts w:ascii="Times New Roman" w:hAnsi="Times New Roman" w:cs="Times New Roman"/>
          <w:i/>
          <w:sz w:val="24"/>
          <w:szCs w:val="24"/>
        </w:rPr>
        <w:t xml:space="preserve">Ugarit-Forshungen </w:t>
      </w:r>
      <w:r w:rsidRPr="00575A82">
        <w:rPr>
          <w:rFonts w:ascii="Times New Roman" w:hAnsi="Times New Roman" w:cs="Times New Roman"/>
          <w:sz w:val="24"/>
          <w:szCs w:val="24"/>
        </w:rPr>
        <w:t>41</w:t>
      </w:r>
      <w:r w:rsidRPr="00575A82">
        <w:rPr>
          <w:rFonts w:ascii="Times New Roman" w:hAnsi="Times New Roman" w:cs="Times New Roman"/>
          <w:bCs/>
          <w:sz w:val="24"/>
          <w:szCs w:val="24"/>
        </w:rPr>
        <w:t xml:space="preserve">: </w:t>
      </w:r>
      <w:r w:rsidRPr="00575A82">
        <w:rPr>
          <w:rFonts w:ascii="Times New Roman" w:hAnsi="Times New Roman" w:cs="Times New Roman"/>
          <w:sz w:val="24"/>
          <w:szCs w:val="24"/>
        </w:rPr>
        <w:t>509–24.</w:t>
      </w:r>
    </w:p>
    <w:p w14:paraId="12C5F33A"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Nicholls, R., J. Buckberry, J. Beaumont, M. Črešnar, P. Mason, I. Armit &amp; H. Koon.</w:t>
      </w:r>
      <w:r w:rsidRPr="009D231A">
        <w:rPr>
          <w:rFonts w:ascii="Times New Roman" w:hAnsi="Times New Roman" w:cs="Times New Roman"/>
          <w:sz w:val="24"/>
          <w:szCs w:val="24"/>
        </w:rPr>
        <w:t xml:space="preserve"> 2020. A carbon and nitrogen isotopic investigation of a case of probable infantile scurvy (6th–</w:t>
      </w:r>
      <w:r w:rsidRPr="009D231A">
        <w:rPr>
          <w:rFonts w:ascii="Times New Roman" w:hAnsi="Times New Roman" w:cs="Times New Roman"/>
          <w:sz w:val="24"/>
          <w:szCs w:val="24"/>
        </w:rPr>
        <w:lastRenderedPageBreak/>
        <w:t xml:space="preserve">4th centuries BC, Slovenia). </w:t>
      </w:r>
      <w:r w:rsidRPr="009D231A">
        <w:rPr>
          <w:rFonts w:ascii="Times New Roman" w:hAnsi="Times New Roman" w:cs="Times New Roman"/>
          <w:i/>
          <w:sz w:val="24"/>
          <w:szCs w:val="24"/>
        </w:rPr>
        <w:t>Journal of Archaeological Science: Reports</w:t>
      </w:r>
      <w:r w:rsidRPr="009D231A">
        <w:rPr>
          <w:rFonts w:ascii="Times New Roman" w:hAnsi="Times New Roman" w:cs="Times New Roman"/>
          <w:sz w:val="24"/>
          <w:szCs w:val="24"/>
        </w:rPr>
        <w:t xml:space="preserve"> 30. https://doi.org/10.1016/j.jasrep.2020.102206</w:t>
      </w:r>
    </w:p>
    <w:p w14:paraId="4F10A879"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Ortner, D</w:t>
      </w:r>
      <w:r w:rsidRPr="009D231A">
        <w:rPr>
          <w:rFonts w:ascii="Times New Roman" w:hAnsi="Times New Roman" w:cs="Times New Roman"/>
          <w:sz w:val="24"/>
          <w:szCs w:val="24"/>
        </w:rPr>
        <w:t xml:space="preserve">. 2003. </w:t>
      </w:r>
      <w:r w:rsidRPr="009D231A">
        <w:rPr>
          <w:rFonts w:ascii="Times New Roman" w:hAnsi="Times New Roman" w:cs="Times New Roman"/>
          <w:i/>
          <w:sz w:val="24"/>
          <w:szCs w:val="24"/>
        </w:rPr>
        <w:t xml:space="preserve">Identification of pathological conditions in human skeletal remains. </w:t>
      </w:r>
      <w:r w:rsidRPr="009D231A">
        <w:rPr>
          <w:rFonts w:ascii="Times New Roman" w:hAnsi="Times New Roman" w:cs="Times New Roman"/>
          <w:sz w:val="24"/>
          <w:szCs w:val="24"/>
        </w:rPr>
        <w:t>San Diego (CA): Academic.</w:t>
      </w:r>
    </w:p>
    <w:p w14:paraId="4D1C10D5" w14:textId="77777777" w:rsidR="00BB7D3F" w:rsidRPr="009D231A" w:rsidRDefault="00BB7D3F" w:rsidP="00BB7D3F">
      <w:pPr>
        <w:tabs>
          <w:tab w:val="left" w:pos="90"/>
        </w:tabs>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mallCaps/>
          <w:sz w:val="24"/>
          <w:szCs w:val="24"/>
          <w:lang w:eastAsia="en-US"/>
        </w:rPr>
        <w:t>Ortner, D. &amp; M. Ericksen</w:t>
      </w:r>
      <w:r w:rsidRPr="009D231A">
        <w:rPr>
          <w:rFonts w:ascii="Times New Roman" w:eastAsiaTheme="minorHAnsi" w:hAnsi="Times New Roman"/>
          <w:sz w:val="24"/>
          <w:szCs w:val="24"/>
          <w:lang w:eastAsia="en-US"/>
        </w:rPr>
        <w:t xml:space="preserve">. 1997. Bone changes in the human skull probably resulting from scurvy in infancy and childhood. </w:t>
      </w:r>
      <w:r w:rsidRPr="009D231A">
        <w:rPr>
          <w:rFonts w:ascii="Times New Roman" w:eastAsiaTheme="minorHAnsi" w:hAnsi="Times New Roman"/>
          <w:i/>
          <w:iCs/>
          <w:sz w:val="24"/>
          <w:szCs w:val="24"/>
          <w:lang w:eastAsia="en-US"/>
        </w:rPr>
        <w:t>International Journal of Osteoarchaeology</w:t>
      </w:r>
      <w:r w:rsidRPr="009D231A">
        <w:rPr>
          <w:rFonts w:ascii="Times New Roman" w:eastAsiaTheme="minorHAnsi" w:hAnsi="Times New Roman"/>
          <w:sz w:val="24"/>
          <w:szCs w:val="24"/>
          <w:lang w:eastAsia="en-US"/>
        </w:rPr>
        <w:t xml:space="preserve"> 7: 212–20. https://doi.org/10.1002/(SICI)1099-1212(199705)7:3%3C212::AID-OA346%3E3.0.CO;2-5</w:t>
      </w:r>
    </w:p>
    <w:p w14:paraId="48BEA447"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mallCaps/>
          <w:sz w:val="24"/>
          <w:szCs w:val="24"/>
          <w:lang w:eastAsia="en-US"/>
        </w:rPr>
        <w:t>Ortner, D., W. Butler, J. Cafarella &amp; L. Milligan</w:t>
      </w:r>
      <w:r w:rsidRPr="009D231A">
        <w:rPr>
          <w:rFonts w:ascii="Times New Roman" w:eastAsiaTheme="minorHAnsi" w:hAnsi="Times New Roman"/>
          <w:sz w:val="24"/>
          <w:szCs w:val="24"/>
          <w:lang w:eastAsia="en-US"/>
        </w:rPr>
        <w:t xml:space="preserve">. 2001. Evidence of probable scurvy in subadults from archeological sites in North America. </w:t>
      </w:r>
      <w:r w:rsidRPr="009D231A">
        <w:rPr>
          <w:rFonts w:ascii="Times New Roman" w:eastAsiaTheme="minorHAnsi" w:hAnsi="Times New Roman"/>
          <w:i/>
          <w:iCs/>
          <w:sz w:val="24"/>
          <w:szCs w:val="24"/>
          <w:lang w:eastAsia="en-US"/>
        </w:rPr>
        <w:t>American Journal of Physical Anthropology</w:t>
      </w:r>
      <w:r w:rsidRPr="009D231A">
        <w:rPr>
          <w:rFonts w:ascii="Times New Roman" w:eastAsiaTheme="minorHAnsi" w:hAnsi="Times New Roman"/>
          <w:sz w:val="24"/>
          <w:szCs w:val="24"/>
          <w:lang w:eastAsia="en-US"/>
        </w:rPr>
        <w:t xml:space="preserve"> 114: 343–51. https://doi.org/10.1002/ajpa.1046</w:t>
      </w:r>
    </w:p>
    <w:p w14:paraId="54B11D05"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Quinn, J.</w:t>
      </w:r>
      <w:r w:rsidRPr="009D231A">
        <w:rPr>
          <w:rFonts w:ascii="Times New Roman" w:hAnsi="Times New Roman" w:cs="Times New Roman"/>
          <w:sz w:val="24"/>
          <w:szCs w:val="24"/>
        </w:rPr>
        <w:t xml:space="preserve"> 2011. The cultures of the tophet: identification and identity in the Phoenician Diaspora, </w:t>
      </w:r>
      <w:r w:rsidRPr="009D231A">
        <w:rPr>
          <w:rFonts w:ascii="Times New Roman" w:hAnsi="Times New Roman" w:cs="Times New Roman"/>
          <w:iCs/>
          <w:sz w:val="24"/>
          <w:szCs w:val="24"/>
        </w:rPr>
        <w:t>in</w:t>
      </w:r>
      <w:r w:rsidRPr="009D231A">
        <w:rPr>
          <w:rFonts w:ascii="Times New Roman" w:hAnsi="Times New Roman" w:cs="Times New Roman"/>
          <w:sz w:val="24"/>
          <w:szCs w:val="24"/>
        </w:rPr>
        <w:t xml:space="preserve"> E. Gruen (ed.) </w:t>
      </w:r>
      <w:r w:rsidRPr="009D231A">
        <w:rPr>
          <w:rFonts w:ascii="Times New Roman" w:hAnsi="Times New Roman" w:cs="Times New Roman"/>
          <w:i/>
          <w:sz w:val="24"/>
          <w:szCs w:val="24"/>
        </w:rPr>
        <w:t>Cultural identity and the peoples of the ancient Mediterranean</w:t>
      </w:r>
      <w:r w:rsidRPr="009D231A">
        <w:rPr>
          <w:rFonts w:ascii="Times New Roman" w:hAnsi="Times New Roman" w:cs="Times New Roman"/>
          <w:iCs/>
          <w:sz w:val="24"/>
          <w:szCs w:val="24"/>
        </w:rPr>
        <w:t>: 388–413</w:t>
      </w:r>
      <w:r w:rsidRPr="009D231A">
        <w:rPr>
          <w:rFonts w:ascii="Times New Roman" w:hAnsi="Times New Roman" w:cs="Times New Roman"/>
          <w:i/>
          <w:sz w:val="24"/>
          <w:szCs w:val="24"/>
        </w:rPr>
        <w:t>.</w:t>
      </w:r>
      <w:r w:rsidRPr="009D231A">
        <w:rPr>
          <w:rFonts w:ascii="Times New Roman" w:hAnsi="Times New Roman" w:cs="Times New Roman"/>
          <w:sz w:val="24"/>
          <w:szCs w:val="24"/>
        </w:rPr>
        <w:t xml:space="preserve"> Los Angeles (CA): Getty Research Institute.</w:t>
      </w:r>
    </w:p>
    <w:p w14:paraId="29B331DE"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Roberts, C. &amp; K. Manchester</w:t>
      </w:r>
      <w:r w:rsidRPr="009D231A">
        <w:rPr>
          <w:rFonts w:ascii="Times New Roman" w:hAnsi="Times New Roman" w:cs="Times New Roman"/>
          <w:sz w:val="24"/>
          <w:szCs w:val="24"/>
        </w:rPr>
        <w:t xml:space="preserve">. 2005. </w:t>
      </w:r>
      <w:r w:rsidRPr="009D231A">
        <w:rPr>
          <w:rFonts w:ascii="Times New Roman" w:hAnsi="Times New Roman" w:cs="Times New Roman"/>
          <w:i/>
          <w:sz w:val="24"/>
          <w:szCs w:val="24"/>
        </w:rPr>
        <w:t xml:space="preserve">The archaeology of disease. </w:t>
      </w:r>
      <w:r w:rsidRPr="009D231A">
        <w:rPr>
          <w:rFonts w:ascii="Times New Roman" w:hAnsi="Times New Roman" w:cs="Times New Roman"/>
          <w:sz w:val="24"/>
          <w:szCs w:val="24"/>
        </w:rPr>
        <w:t>Ithaca (NY): Cornell University Press.</w:t>
      </w:r>
    </w:p>
    <w:p w14:paraId="5A8CDE73"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 xml:space="preserve">Roksandic, M. </w:t>
      </w:r>
      <w:r w:rsidRPr="009D231A">
        <w:rPr>
          <w:rFonts w:ascii="Times New Roman" w:hAnsi="Times New Roman" w:cs="Times New Roman"/>
          <w:sz w:val="24"/>
          <w:szCs w:val="24"/>
        </w:rPr>
        <w:t xml:space="preserve">2002. Position of skeletal remains as key to understanding mortuary behavior, </w:t>
      </w:r>
      <w:r w:rsidRPr="009D231A">
        <w:rPr>
          <w:rFonts w:ascii="Times New Roman" w:hAnsi="Times New Roman" w:cs="Times New Roman"/>
          <w:iCs/>
          <w:sz w:val="24"/>
          <w:szCs w:val="24"/>
        </w:rPr>
        <w:t>in</w:t>
      </w:r>
      <w:r w:rsidRPr="009D231A">
        <w:rPr>
          <w:rFonts w:ascii="Times New Roman" w:hAnsi="Times New Roman" w:cs="Times New Roman"/>
          <w:sz w:val="24"/>
          <w:szCs w:val="24"/>
        </w:rPr>
        <w:t xml:space="preserve"> W. Haglund &amp; M. Sorg (ed.) </w:t>
      </w:r>
      <w:r w:rsidRPr="009D231A">
        <w:rPr>
          <w:rFonts w:ascii="Times New Roman" w:hAnsi="Times New Roman" w:cs="Times New Roman"/>
          <w:i/>
          <w:sz w:val="24"/>
          <w:szCs w:val="24"/>
        </w:rPr>
        <w:t>Advances in forensic taphonomy: method, theory and archaeological perspectives</w:t>
      </w:r>
      <w:r w:rsidRPr="009D231A">
        <w:rPr>
          <w:rFonts w:ascii="Times New Roman" w:hAnsi="Times New Roman" w:cs="Times New Roman"/>
          <w:iCs/>
          <w:sz w:val="24"/>
          <w:szCs w:val="24"/>
        </w:rPr>
        <w:t>: 99–117</w:t>
      </w:r>
      <w:r w:rsidRPr="009D231A">
        <w:rPr>
          <w:rFonts w:ascii="Times New Roman" w:hAnsi="Times New Roman" w:cs="Times New Roman"/>
          <w:i/>
          <w:sz w:val="24"/>
          <w:szCs w:val="24"/>
        </w:rPr>
        <w:t>.</w:t>
      </w:r>
      <w:r w:rsidRPr="009D231A">
        <w:rPr>
          <w:rFonts w:ascii="Times New Roman" w:hAnsi="Times New Roman" w:cs="Times New Roman"/>
          <w:sz w:val="24"/>
          <w:szCs w:val="24"/>
        </w:rPr>
        <w:t xml:space="preserve"> Boca Raton: CRC.</w:t>
      </w:r>
    </w:p>
    <w:p w14:paraId="693EC295"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Rose, J., K. Condon &amp; A. Goodman</w:t>
      </w:r>
      <w:r w:rsidRPr="009D231A">
        <w:rPr>
          <w:rFonts w:ascii="Times New Roman" w:hAnsi="Times New Roman" w:cs="Times New Roman"/>
          <w:sz w:val="24"/>
          <w:szCs w:val="24"/>
        </w:rPr>
        <w:t xml:space="preserve">. 1985. Diet and dentition: developmental disturbances, in R. Gilbert &amp; J. Meilke (ed.) </w:t>
      </w:r>
      <w:r w:rsidRPr="009D231A">
        <w:rPr>
          <w:rFonts w:ascii="Times New Roman" w:hAnsi="Times New Roman" w:cs="Times New Roman"/>
          <w:i/>
          <w:sz w:val="24"/>
          <w:szCs w:val="24"/>
        </w:rPr>
        <w:t>The analysis of prehistoric diets.</w:t>
      </w:r>
      <w:r w:rsidRPr="009D231A">
        <w:rPr>
          <w:rFonts w:ascii="Times New Roman" w:hAnsi="Times New Roman" w:cs="Times New Roman"/>
          <w:sz w:val="24"/>
          <w:szCs w:val="24"/>
        </w:rPr>
        <w:t xml:space="preserve"> New York: Academic.</w:t>
      </w:r>
    </w:p>
    <w:p w14:paraId="27BBC20B"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Sarnat, B. &amp; I. Schour</w:t>
      </w:r>
      <w:r w:rsidRPr="009D231A">
        <w:rPr>
          <w:rFonts w:ascii="Times New Roman" w:hAnsi="Times New Roman" w:cs="Times New Roman"/>
          <w:sz w:val="24"/>
          <w:szCs w:val="24"/>
        </w:rPr>
        <w:t xml:space="preserve">. 1941. Enamel hypoplasia (chronologic enamel aplasia) in relation to systemic disease: a chronological, morphologic, and etiologic classification. </w:t>
      </w:r>
      <w:r w:rsidRPr="009D231A">
        <w:rPr>
          <w:rFonts w:ascii="Times New Roman" w:hAnsi="Times New Roman" w:cs="Times New Roman"/>
          <w:i/>
          <w:iCs/>
          <w:sz w:val="24"/>
          <w:szCs w:val="24"/>
        </w:rPr>
        <w:t>Journal of the American Dental Association</w:t>
      </w:r>
      <w:r w:rsidRPr="009D231A">
        <w:rPr>
          <w:rFonts w:ascii="Times New Roman" w:hAnsi="Times New Roman" w:cs="Times New Roman"/>
          <w:sz w:val="24"/>
          <w:szCs w:val="24"/>
        </w:rPr>
        <w:t xml:space="preserve"> 29: 67–79. https://doi.org/10.14219/jada.archive.1942.0381</w:t>
      </w:r>
    </w:p>
    <w:p w14:paraId="690FF9C2"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Schaefer, M., Black, S. &amp; L. Scheuer</w:t>
      </w:r>
      <w:r w:rsidRPr="009D231A">
        <w:rPr>
          <w:rFonts w:ascii="Times New Roman" w:hAnsi="Times New Roman" w:cs="Times New Roman"/>
          <w:sz w:val="24"/>
          <w:szCs w:val="24"/>
        </w:rPr>
        <w:t xml:space="preserve">. 2009. </w:t>
      </w:r>
      <w:r w:rsidRPr="009D231A">
        <w:rPr>
          <w:rFonts w:ascii="Times New Roman" w:hAnsi="Times New Roman" w:cs="Times New Roman"/>
          <w:i/>
          <w:sz w:val="24"/>
          <w:szCs w:val="24"/>
        </w:rPr>
        <w:t>Juvenile osteology</w:t>
      </w:r>
      <w:r w:rsidRPr="009D231A">
        <w:rPr>
          <w:rFonts w:ascii="Times New Roman" w:hAnsi="Times New Roman" w:cs="Times New Roman"/>
          <w:sz w:val="24"/>
          <w:szCs w:val="24"/>
        </w:rPr>
        <w:t>.</w:t>
      </w:r>
      <w:r w:rsidRPr="009D231A">
        <w:rPr>
          <w:rFonts w:ascii="Times New Roman" w:hAnsi="Times New Roman" w:cs="Times New Roman"/>
          <w:i/>
          <w:sz w:val="24"/>
          <w:szCs w:val="24"/>
        </w:rPr>
        <w:t xml:space="preserve"> </w:t>
      </w:r>
      <w:r w:rsidRPr="009D231A">
        <w:rPr>
          <w:rFonts w:ascii="Times New Roman" w:hAnsi="Times New Roman" w:cs="Times New Roman"/>
          <w:sz w:val="24"/>
          <w:szCs w:val="24"/>
        </w:rPr>
        <w:t>London: Academic.</w:t>
      </w:r>
    </w:p>
    <w:p w14:paraId="24ED788C" w14:textId="77777777" w:rsidR="00BB7D3F" w:rsidRPr="00393962" w:rsidRDefault="00BB7D3F" w:rsidP="00BB7D3F">
      <w:pPr>
        <w:pStyle w:val="EndNoteBibliography"/>
        <w:spacing w:after="0" w:line="360" w:lineRule="auto"/>
        <w:rPr>
          <w:rFonts w:ascii="Times New Roman" w:hAnsi="Times New Roman" w:cs="Times New Roman"/>
          <w:sz w:val="24"/>
          <w:szCs w:val="24"/>
        </w:rPr>
      </w:pPr>
      <w:r w:rsidRPr="00393962">
        <w:rPr>
          <w:rFonts w:ascii="Times New Roman" w:hAnsi="Times New Roman" w:cs="Times New Roman"/>
          <w:smallCaps/>
          <w:sz w:val="24"/>
          <w:szCs w:val="24"/>
        </w:rPr>
        <w:t>Schwartz, J., F. Houghton, R. Macchiarelli &amp; L. Bondioli</w:t>
      </w:r>
      <w:r w:rsidRPr="00393962">
        <w:rPr>
          <w:rFonts w:ascii="Times New Roman" w:hAnsi="Times New Roman" w:cs="Times New Roman"/>
          <w:sz w:val="24"/>
          <w:szCs w:val="24"/>
        </w:rPr>
        <w:t xml:space="preserve">. </w:t>
      </w:r>
      <w:r w:rsidRPr="009D231A">
        <w:rPr>
          <w:rFonts w:ascii="Times New Roman" w:hAnsi="Times New Roman" w:cs="Times New Roman"/>
          <w:sz w:val="24"/>
          <w:szCs w:val="24"/>
        </w:rPr>
        <w:t xml:space="preserve">2010. Skeletal remains from Punic Carthage do not support systematic sacrifice of infants. </w:t>
      </w:r>
      <w:r w:rsidRPr="00393962">
        <w:rPr>
          <w:rFonts w:ascii="Times New Roman" w:hAnsi="Times New Roman" w:cs="Times New Roman"/>
          <w:i/>
          <w:sz w:val="24"/>
          <w:szCs w:val="24"/>
        </w:rPr>
        <w:t>PLoS ONE</w:t>
      </w:r>
      <w:r w:rsidRPr="00393962">
        <w:rPr>
          <w:rFonts w:ascii="Times New Roman" w:hAnsi="Times New Roman" w:cs="Times New Roman"/>
          <w:sz w:val="24"/>
          <w:szCs w:val="24"/>
        </w:rPr>
        <w:t xml:space="preserve"> 5. https://doi.org/10.1371/journal.pone.0009177</w:t>
      </w:r>
    </w:p>
    <w:p w14:paraId="45364A02" w14:textId="77777777" w:rsidR="00BB7D3F" w:rsidRPr="00393962" w:rsidRDefault="00BB7D3F" w:rsidP="00BB7D3F">
      <w:pPr>
        <w:pStyle w:val="EndNoteBibliography"/>
        <w:spacing w:after="0" w:line="360" w:lineRule="auto"/>
        <w:rPr>
          <w:rFonts w:ascii="Times New Roman" w:hAnsi="Times New Roman" w:cs="Times New Roman"/>
          <w:sz w:val="24"/>
          <w:szCs w:val="24"/>
        </w:rPr>
      </w:pPr>
      <w:r w:rsidRPr="00393962">
        <w:rPr>
          <w:rFonts w:ascii="Times New Roman" w:hAnsi="Times New Roman" w:cs="Times New Roman"/>
          <w:sz w:val="24"/>
          <w:szCs w:val="24"/>
        </w:rPr>
        <w:t xml:space="preserve">– </w:t>
      </w:r>
      <w:r w:rsidRPr="009D231A">
        <w:rPr>
          <w:rFonts w:ascii="Times New Roman" w:hAnsi="Times New Roman" w:cs="Times New Roman"/>
          <w:sz w:val="24"/>
          <w:szCs w:val="24"/>
        </w:rPr>
        <w:t xml:space="preserve">2012. Bones, teeth, and estimating age of perinates: Carthaginian infant sacrifice revisited. </w:t>
      </w:r>
      <w:r w:rsidRPr="00393962">
        <w:rPr>
          <w:rFonts w:ascii="Times New Roman" w:hAnsi="Times New Roman" w:cs="Times New Roman"/>
          <w:i/>
          <w:sz w:val="24"/>
          <w:szCs w:val="24"/>
        </w:rPr>
        <w:t>Antiquity</w:t>
      </w:r>
      <w:r w:rsidRPr="00393962">
        <w:rPr>
          <w:rFonts w:ascii="Times New Roman" w:hAnsi="Times New Roman" w:cs="Times New Roman"/>
          <w:sz w:val="24"/>
          <w:szCs w:val="24"/>
        </w:rPr>
        <w:t xml:space="preserve"> 86: 738–45. https://doi.org/10.1017/S0003598X00047888</w:t>
      </w:r>
    </w:p>
    <w:p w14:paraId="4EC1FC94"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393962">
        <w:rPr>
          <w:rFonts w:ascii="Times New Roman" w:hAnsi="Times New Roman" w:cs="Times New Roman"/>
          <w:sz w:val="24"/>
          <w:szCs w:val="24"/>
        </w:rPr>
        <w:t xml:space="preserve">– </w:t>
      </w:r>
      <w:r w:rsidRPr="009D231A">
        <w:rPr>
          <w:rFonts w:ascii="Times New Roman" w:hAnsi="Times New Roman" w:cs="Times New Roman"/>
          <w:sz w:val="24"/>
          <w:szCs w:val="24"/>
        </w:rPr>
        <w:t xml:space="preserve">2017. Two tales of one city: data, inference and Carthaginian infant sacrifice. </w:t>
      </w:r>
      <w:r w:rsidRPr="009D231A">
        <w:rPr>
          <w:rFonts w:ascii="Times New Roman" w:hAnsi="Times New Roman" w:cs="Times New Roman"/>
          <w:i/>
          <w:sz w:val="24"/>
          <w:szCs w:val="24"/>
        </w:rPr>
        <w:t>Antiquity</w:t>
      </w:r>
      <w:r w:rsidRPr="009D231A">
        <w:rPr>
          <w:rFonts w:ascii="Times New Roman" w:hAnsi="Times New Roman" w:cs="Times New Roman"/>
          <w:sz w:val="24"/>
          <w:szCs w:val="24"/>
        </w:rPr>
        <w:t xml:space="preserve"> 91: 442–54. https://doi.org/10.15184/aqy.2016.270</w:t>
      </w:r>
    </w:p>
    <w:p w14:paraId="0303890B"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lastRenderedPageBreak/>
        <w:t>Smith, P., G. Avishai, J. Greene &amp; L. Stager</w:t>
      </w:r>
      <w:r w:rsidRPr="009D231A">
        <w:rPr>
          <w:rFonts w:ascii="Times New Roman" w:hAnsi="Times New Roman" w:cs="Times New Roman"/>
          <w:sz w:val="24"/>
          <w:szCs w:val="24"/>
        </w:rPr>
        <w:t xml:space="preserve">. 2011. Aging cremated infants: the problem of sacrifice at the Tophet of Carthage. </w:t>
      </w:r>
      <w:r w:rsidRPr="009D231A">
        <w:rPr>
          <w:rFonts w:ascii="Times New Roman" w:hAnsi="Times New Roman" w:cs="Times New Roman"/>
          <w:i/>
          <w:sz w:val="24"/>
          <w:szCs w:val="24"/>
        </w:rPr>
        <w:t>Antiquity</w:t>
      </w:r>
      <w:r w:rsidRPr="009D231A">
        <w:rPr>
          <w:rFonts w:ascii="Times New Roman" w:hAnsi="Times New Roman" w:cs="Times New Roman"/>
          <w:sz w:val="24"/>
          <w:szCs w:val="24"/>
        </w:rPr>
        <w:t xml:space="preserve"> 85: 859–74. https://doi.org/10.1017/S0003598X00068368</w:t>
      </w:r>
    </w:p>
    <w:p w14:paraId="39AD2537"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z w:val="24"/>
          <w:szCs w:val="24"/>
        </w:rPr>
        <w:t xml:space="preserve">– 2013. Age estimations attest to infant sacrifice at the Carthage Tophet. </w:t>
      </w:r>
      <w:r w:rsidRPr="009D231A">
        <w:rPr>
          <w:rFonts w:ascii="Times New Roman" w:hAnsi="Times New Roman" w:cs="Times New Roman"/>
          <w:i/>
          <w:sz w:val="24"/>
          <w:szCs w:val="24"/>
        </w:rPr>
        <w:t>Antiquity</w:t>
      </w:r>
      <w:r w:rsidRPr="009D231A">
        <w:rPr>
          <w:rFonts w:ascii="Times New Roman" w:hAnsi="Times New Roman" w:cs="Times New Roman"/>
          <w:sz w:val="24"/>
          <w:szCs w:val="24"/>
        </w:rPr>
        <w:t xml:space="preserve"> 87: 1191–99. https://doi.org/10.1017/S0003598X00049954</w:t>
      </w:r>
    </w:p>
    <w:p w14:paraId="42798DFE" w14:textId="1FA407B9" w:rsidR="00BB7D3F"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Snoddy, A., S. Halcrow, H. Buckley, V. Standen &amp; B. Arriaza</w:t>
      </w:r>
      <w:r w:rsidRPr="009D231A">
        <w:rPr>
          <w:rFonts w:ascii="Times New Roman" w:hAnsi="Times New Roman" w:cs="Times New Roman"/>
          <w:sz w:val="24"/>
          <w:szCs w:val="24"/>
        </w:rPr>
        <w:t xml:space="preserve">. 2017. Scurvy at the agricultural transition in the Atacama desert (ca 3600–3200 BP): nutritional stress at the maternal-foetal interface? </w:t>
      </w:r>
      <w:r w:rsidRPr="009D231A">
        <w:rPr>
          <w:rFonts w:ascii="Times New Roman" w:hAnsi="Times New Roman" w:cs="Times New Roman"/>
          <w:i/>
          <w:sz w:val="24"/>
          <w:szCs w:val="24"/>
        </w:rPr>
        <w:t>International Journal of Paleopathology</w:t>
      </w:r>
      <w:r w:rsidRPr="009D231A">
        <w:rPr>
          <w:rFonts w:ascii="Times New Roman" w:hAnsi="Times New Roman" w:cs="Times New Roman"/>
          <w:sz w:val="24"/>
          <w:szCs w:val="24"/>
        </w:rPr>
        <w:t xml:space="preserve"> 18: 108–120. </w:t>
      </w:r>
      <w:hyperlink r:id="rId12" w:history="1">
        <w:r w:rsidR="00CE018F" w:rsidRPr="007252A0">
          <w:rPr>
            <w:rStyle w:val="Hyperlink"/>
            <w:rFonts w:ascii="Times New Roman" w:hAnsi="Times New Roman" w:cs="Times New Roman"/>
            <w:sz w:val="24"/>
            <w:szCs w:val="24"/>
          </w:rPr>
          <w:t>https://doi.org/10.1016/j.ijpp.2017.05.011</w:t>
        </w:r>
      </w:hyperlink>
    </w:p>
    <w:p w14:paraId="700B04A0" w14:textId="2EC7F25E" w:rsidR="00CE018F" w:rsidRPr="009D231A" w:rsidRDefault="00CE018F" w:rsidP="00BB7D3F">
      <w:pPr>
        <w:pStyle w:val="EndNoteBibliography"/>
        <w:spacing w:after="0" w:line="360" w:lineRule="auto"/>
        <w:rPr>
          <w:rFonts w:ascii="Times New Roman" w:hAnsi="Times New Roman" w:cs="Times New Roman"/>
          <w:sz w:val="24"/>
          <w:szCs w:val="24"/>
        </w:rPr>
      </w:pPr>
      <w:r w:rsidRPr="00CE018F">
        <w:rPr>
          <w:rFonts w:ascii="Times New Roman" w:hAnsi="Times New Roman" w:cs="Times New Roman"/>
          <w:sz w:val="24"/>
          <w:szCs w:val="24"/>
        </w:rPr>
        <w:t xml:space="preserve">Snoddy, A. M. E., Buckley, H. R., Elliott, G. E., Standen, V. G., Arriaza, B. T., &amp; Halcrow, S. E. 2018. Macroscopic features of scurvy in human skeletal remains: A literature synthesis and diagnostic guide. </w:t>
      </w:r>
      <w:r w:rsidRPr="002E3425">
        <w:rPr>
          <w:rFonts w:ascii="Times New Roman" w:hAnsi="Times New Roman" w:cs="Times New Roman"/>
          <w:i/>
          <w:iCs/>
          <w:sz w:val="24"/>
          <w:szCs w:val="24"/>
        </w:rPr>
        <w:t>American Journal of Physical Anthropology</w:t>
      </w:r>
      <w:r>
        <w:rPr>
          <w:rFonts w:ascii="Times New Roman" w:hAnsi="Times New Roman" w:cs="Times New Roman"/>
          <w:i/>
          <w:iCs/>
          <w:sz w:val="24"/>
          <w:szCs w:val="24"/>
        </w:rPr>
        <w:t xml:space="preserve"> </w:t>
      </w:r>
      <w:r>
        <w:rPr>
          <w:rFonts w:ascii="Times New Roman" w:hAnsi="Times New Roman" w:cs="Times New Roman"/>
          <w:sz w:val="24"/>
          <w:szCs w:val="24"/>
        </w:rPr>
        <w:t>167:876-895</w:t>
      </w:r>
      <w:r w:rsidRPr="00CE018F">
        <w:rPr>
          <w:rFonts w:ascii="Times New Roman" w:hAnsi="Times New Roman" w:cs="Times New Roman"/>
          <w:sz w:val="24"/>
          <w:szCs w:val="24"/>
        </w:rPr>
        <w:t>.</w:t>
      </w:r>
    </w:p>
    <w:p w14:paraId="4C49200A"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Stager, L.</w:t>
      </w:r>
      <w:r w:rsidRPr="009D231A">
        <w:rPr>
          <w:rFonts w:ascii="Times New Roman" w:hAnsi="Times New Roman" w:cs="Times New Roman"/>
          <w:sz w:val="24"/>
          <w:szCs w:val="24"/>
        </w:rPr>
        <w:t xml:space="preserve"> 1980. The rite of child sacrifice at Carthage, in J.G. Pedley (ed.) </w:t>
      </w:r>
      <w:r w:rsidRPr="009D231A">
        <w:rPr>
          <w:rFonts w:ascii="Times New Roman" w:hAnsi="Times New Roman" w:cs="Times New Roman"/>
          <w:i/>
          <w:sz w:val="24"/>
          <w:szCs w:val="24"/>
        </w:rPr>
        <w:t>New light on ancient Carthage.</w:t>
      </w:r>
      <w:r w:rsidRPr="009D231A">
        <w:rPr>
          <w:rFonts w:ascii="Times New Roman" w:hAnsi="Times New Roman" w:cs="Times New Roman"/>
          <w:sz w:val="24"/>
          <w:szCs w:val="24"/>
        </w:rPr>
        <w:t xml:space="preserve"> Ann Arbor: University of Michigan Press.</w:t>
      </w:r>
    </w:p>
    <w:p w14:paraId="2C5F0683"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Stager, L. &amp; S. Wolf</w:t>
      </w:r>
      <w:r w:rsidRPr="009D231A">
        <w:rPr>
          <w:rFonts w:ascii="Times New Roman" w:hAnsi="Times New Roman" w:cs="Times New Roman"/>
          <w:sz w:val="24"/>
          <w:szCs w:val="24"/>
        </w:rPr>
        <w:t xml:space="preserve">. 1984. Child sacrifice at Carthage: religious rite or population control. </w:t>
      </w:r>
      <w:r w:rsidRPr="009D231A">
        <w:rPr>
          <w:rFonts w:ascii="Times New Roman" w:hAnsi="Times New Roman" w:cs="Times New Roman"/>
          <w:i/>
          <w:sz w:val="24"/>
          <w:szCs w:val="24"/>
        </w:rPr>
        <w:t>Biblical Archaeology Review</w:t>
      </w:r>
      <w:r w:rsidRPr="009D231A">
        <w:rPr>
          <w:rFonts w:ascii="Times New Roman" w:hAnsi="Times New Roman" w:cs="Times New Roman"/>
          <w:sz w:val="24"/>
          <w:szCs w:val="24"/>
        </w:rPr>
        <w:t xml:space="preserve"> 10: 31–51.</w:t>
      </w:r>
    </w:p>
    <w:p w14:paraId="54899220"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Steinbock, R</w:t>
      </w:r>
      <w:r w:rsidRPr="009D231A">
        <w:rPr>
          <w:rFonts w:ascii="Times New Roman" w:hAnsi="Times New Roman" w:cs="Times New Roman"/>
          <w:sz w:val="24"/>
          <w:szCs w:val="24"/>
        </w:rPr>
        <w:t xml:space="preserve">. 1976. </w:t>
      </w:r>
      <w:r w:rsidRPr="009D231A">
        <w:rPr>
          <w:rFonts w:ascii="Times New Roman" w:hAnsi="Times New Roman" w:cs="Times New Roman"/>
          <w:i/>
          <w:sz w:val="24"/>
          <w:szCs w:val="24"/>
        </w:rPr>
        <w:t xml:space="preserve">Paleopathological diagnosis and interpretation bone diseases in ancient human population. </w:t>
      </w:r>
      <w:r w:rsidRPr="009D231A">
        <w:rPr>
          <w:rFonts w:ascii="Times New Roman" w:hAnsi="Times New Roman" w:cs="Times New Roman"/>
          <w:sz w:val="24"/>
          <w:szCs w:val="24"/>
        </w:rPr>
        <w:t>Springfield: Charles C. Thomas.</w:t>
      </w:r>
    </w:p>
    <w:p w14:paraId="3CB7BADB"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Stuart-Macadam, P</w:t>
      </w:r>
      <w:r w:rsidRPr="009D231A">
        <w:rPr>
          <w:rFonts w:ascii="Times New Roman" w:hAnsi="Times New Roman" w:cs="Times New Roman"/>
          <w:sz w:val="24"/>
          <w:szCs w:val="24"/>
        </w:rPr>
        <w:t xml:space="preserve">. 1989. Porotic hyperostosis: relationship between orbital and vault lesions. </w:t>
      </w:r>
      <w:r w:rsidRPr="009D231A">
        <w:rPr>
          <w:rFonts w:ascii="Times New Roman" w:hAnsi="Times New Roman" w:cs="Times New Roman"/>
          <w:i/>
          <w:sz w:val="24"/>
          <w:szCs w:val="24"/>
        </w:rPr>
        <w:t>American Journal of Physical Anthropology</w:t>
      </w:r>
      <w:r w:rsidRPr="009D231A">
        <w:rPr>
          <w:rFonts w:ascii="Times New Roman" w:hAnsi="Times New Roman" w:cs="Times New Roman"/>
          <w:sz w:val="24"/>
          <w:szCs w:val="24"/>
        </w:rPr>
        <w:t xml:space="preserve"> 80: 187–93. https://doi.org/10.1002/ajpa.1330800206</w:t>
      </w:r>
    </w:p>
    <w:p w14:paraId="6F88263E"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Sweeney, E., A. Saffir &amp; R. De Leon</w:t>
      </w:r>
      <w:r w:rsidRPr="009D231A">
        <w:rPr>
          <w:rFonts w:ascii="Times New Roman" w:hAnsi="Times New Roman" w:cs="Times New Roman"/>
          <w:sz w:val="24"/>
          <w:szCs w:val="24"/>
        </w:rPr>
        <w:t xml:space="preserve">. 1971. Linear hypoplasia of deciduous incisor teeth in malnourished children. </w:t>
      </w:r>
      <w:r w:rsidRPr="009D231A">
        <w:rPr>
          <w:rFonts w:ascii="Times New Roman" w:hAnsi="Times New Roman" w:cs="Times New Roman"/>
          <w:i/>
          <w:sz w:val="24"/>
          <w:szCs w:val="24"/>
        </w:rPr>
        <w:t>American Journal of Clinical Nutrition</w:t>
      </w:r>
      <w:r w:rsidRPr="009D231A">
        <w:rPr>
          <w:rFonts w:ascii="Times New Roman" w:hAnsi="Times New Roman" w:cs="Times New Roman"/>
          <w:sz w:val="24"/>
          <w:szCs w:val="24"/>
        </w:rPr>
        <w:t xml:space="preserve"> 24: 29–31. https://doi.org/10.1093/ajcn/24.1.29</w:t>
      </w:r>
    </w:p>
    <w:p w14:paraId="55300BB0" w14:textId="77777777" w:rsidR="00BB7D3F" w:rsidRPr="003F5C0F"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Symes, S., C. Rainwater, E. Chapman, D. Gipson &amp; A. Piper</w:t>
      </w:r>
      <w:r w:rsidRPr="009D231A">
        <w:rPr>
          <w:rFonts w:ascii="Times New Roman" w:hAnsi="Times New Roman" w:cs="Times New Roman"/>
          <w:sz w:val="24"/>
          <w:szCs w:val="24"/>
        </w:rPr>
        <w:t xml:space="preserve">. 2015. Patterned thermal destruction in a forensic setting, in C. Schmidt &amp; S. Symes (ed.) </w:t>
      </w:r>
      <w:r w:rsidRPr="009D231A">
        <w:rPr>
          <w:rFonts w:ascii="Times New Roman" w:hAnsi="Times New Roman" w:cs="Times New Roman"/>
          <w:i/>
          <w:sz w:val="24"/>
          <w:szCs w:val="24"/>
        </w:rPr>
        <w:t>The analysis of burned human remains</w:t>
      </w:r>
      <w:r w:rsidRPr="009D231A">
        <w:rPr>
          <w:rFonts w:ascii="Times New Roman" w:hAnsi="Times New Roman" w:cs="Times New Roman"/>
          <w:iCs/>
          <w:sz w:val="24"/>
          <w:szCs w:val="24"/>
        </w:rPr>
        <w:t>: 17–59</w:t>
      </w:r>
      <w:r w:rsidRPr="009D231A">
        <w:rPr>
          <w:rFonts w:ascii="Times New Roman" w:hAnsi="Times New Roman" w:cs="Times New Roman"/>
          <w:sz w:val="24"/>
          <w:szCs w:val="24"/>
        </w:rPr>
        <w:t xml:space="preserve">. </w:t>
      </w:r>
      <w:r w:rsidRPr="003F5C0F">
        <w:rPr>
          <w:rFonts w:ascii="Times New Roman" w:hAnsi="Times New Roman" w:cs="Times New Roman"/>
          <w:sz w:val="24"/>
          <w:szCs w:val="24"/>
        </w:rPr>
        <w:t>San Diego (CA): Academic. https://doi.org/10.1016/B978-0-12-800451-7.00002-4</w:t>
      </w:r>
    </w:p>
    <w:p w14:paraId="2F3D3FD2"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3F5C0F">
        <w:rPr>
          <w:rFonts w:ascii="Times New Roman" w:hAnsi="Times New Roman" w:cs="Times New Roman"/>
          <w:smallCaps/>
          <w:sz w:val="24"/>
          <w:szCs w:val="24"/>
        </w:rPr>
        <w:t>Thompson, T</w:t>
      </w:r>
      <w:r w:rsidRPr="003F5C0F">
        <w:rPr>
          <w:rFonts w:ascii="Times New Roman" w:hAnsi="Times New Roman" w:cs="Times New Roman"/>
          <w:sz w:val="24"/>
          <w:szCs w:val="24"/>
        </w:rPr>
        <w:t xml:space="preserve">. (ed.) 2015. </w:t>
      </w:r>
      <w:r w:rsidRPr="009D231A">
        <w:rPr>
          <w:rFonts w:ascii="Times New Roman" w:hAnsi="Times New Roman" w:cs="Times New Roman"/>
          <w:i/>
          <w:sz w:val="24"/>
          <w:szCs w:val="24"/>
        </w:rPr>
        <w:t xml:space="preserve">The archaeology of cremation: burned human remains in funerary studies. </w:t>
      </w:r>
      <w:r w:rsidRPr="009D231A">
        <w:rPr>
          <w:rFonts w:ascii="Times New Roman" w:hAnsi="Times New Roman" w:cs="Times New Roman"/>
          <w:sz w:val="24"/>
          <w:szCs w:val="24"/>
        </w:rPr>
        <w:t>Oxford: Oxbow.</w:t>
      </w:r>
    </w:p>
    <w:p w14:paraId="5BC62FCF"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lastRenderedPageBreak/>
        <w:t>Trotter, M. &amp; B. Hixon</w:t>
      </w:r>
      <w:r w:rsidRPr="009D231A">
        <w:rPr>
          <w:rFonts w:ascii="Times New Roman" w:hAnsi="Times New Roman" w:cs="Times New Roman"/>
          <w:sz w:val="24"/>
          <w:szCs w:val="24"/>
        </w:rPr>
        <w:t xml:space="preserve">. 1974. Sequential changes in weight, density, and percentage ash weight of human skeletons from an early fetal period through old age. </w:t>
      </w:r>
      <w:r w:rsidRPr="009D231A">
        <w:rPr>
          <w:rFonts w:ascii="Times New Roman" w:hAnsi="Times New Roman" w:cs="Times New Roman"/>
          <w:i/>
          <w:sz w:val="24"/>
          <w:szCs w:val="24"/>
        </w:rPr>
        <w:t>Anatomical Record</w:t>
      </w:r>
      <w:r w:rsidRPr="009D231A">
        <w:rPr>
          <w:rFonts w:ascii="Times New Roman" w:hAnsi="Times New Roman" w:cs="Times New Roman"/>
          <w:sz w:val="24"/>
          <w:szCs w:val="24"/>
        </w:rPr>
        <w:t xml:space="preserve"> 179: 1–18. https://doi.org/10.1002/ar.1091790102</w:t>
      </w:r>
    </w:p>
    <w:p w14:paraId="5D24EDD7"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Vansina, J.</w:t>
      </w:r>
      <w:r w:rsidRPr="009D231A">
        <w:rPr>
          <w:rFonts w:ascii="Times New Roman" w:hAnsi="Times New Roman" w:cs="Times New Roman"/>
          <w:sz w:val="24"/>
          <w:szCs w:val="24"/>
        </w:rPr>
        <w:t xml:space="preserve"> 1985. </w:t>
      </w:r>
      <w:r w:rsidRPr="009D231A">
        <w:rPr>
          <w:rFonts w:ascii="Times New Roman" w:hAnsi="Times New Roman" w:cs="Times New Roman"/>
          <w:i/>
          <w:sz w:val="24"/>
          <w:szCs w:val="24"/>
        </w:rPr>
        <w:t>Oral tradition as history</w:t>
      </w:r>
      <w:r w:rsidRPr="009D231A">
        <w:rPr>
          <w:rFonts w:ascii="Times New Roman" w:hAnsi="Times New Roman" w:cs="Times New Roman"/>
          <w:sz w:val="24"/>
          <w:szCs w:val="24"/>
        </w:rPr>
        <w:t>.</w:t>
      </w:r>
      <w:r w:rsidRPr="009D231A">
        <w:rPr>
          <w:rFonts w:ascii="Times New Roman" w:hAnsi="Times New Roman" w:cs="Times New Roman"/>
          <w:i/>
          <w:sz w:val="24"/>
          <w:szCs w:val="24"/>
        </w:rPr>
        <w:t xml:space="preserve"> </w:t>
      </w:r>
      <w:r w:rsidRPr="009D231A">
        <w:rPr>
          <w:rFonts w:ascii="Times New Roman" w:hAnsi="Times New Roman" w:cs="Times New Roman"/>
          <w:sz w:val="24"/>
          <w:szCs w:val="24"/>
        </w:rPr>
        <w:t>Madison: The University of Wisconsin Press.</w:t>
      </w:r>
    </w:p>
    <w:p w14:paraId="6CC5428B"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393962">
        <w:rPr>
          <w:rFonts w:ascii="Times New Roman" w:hAnsi="Times New Roman" w:cs="Times New Roman"/>
          <w:smallCaps/>
          <w:sz w:val="24"/>
          <w:szCs w:val="24"/>
        </w:rPr>
        <w:t>Vella, N.</w:t>
      </w:r>
      <w:r w:rsidRPr="00393962">
        <w:rPr>
          <w:rFonts w:ascii="Times New Roman" w:hAnsi="Times New Roman" w:cs="Times New Roman"/>
          <w:sz w:val="24"/>
          <w:szCs w:val="24"/>
        </w:rPr>
        <w:t xml:space="preserve"> 1996. Elusive Phoenicians. </w:t>
      </w:r>
      <w:r w:rsidRPr="009D231A">
        <w:rPr>
          <w:rFonts w:ascii="Times New Roman" w:hAnsi="Times New Roman" w:cs="Times New Roman"/>
          <w:i/>
          <w:sz w:val="24"/>
          <w:szCs w:val="24"/>
        </w:rPr>
        <w:t>Antiquity</w:t>
      </w:r>
      <w:r w:rsidRPr="009D231A">
        <w:rPr>
          <w:rFonts w:ascii="Times New Roman" w:hAnsi="Times New Roman" w:cs="Times New Roman"/>
          <w:sz w:val="24"/>
          <w:szCs w:val="24"/>
        </w:rPr>
        <w:t xml:space="preserve"> 70: 245–50. https://doi.org/10.1017/S0003598X00083241</w:t>
      </w:r>
    </w:p>
    <w:p w14:paraId="6696CED9"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Weston, D.</w:t>
      </w:r>
      <w:r w:rsidRPr="009D231A">
        <w:rPr>
          <w:rFonts w:ascii="Times New Roman" w:hAnsi="Times New Roman" w:cs="Times New Roman"/>
          <w:sz w:val="24"/>
          <w:szCs w:val="24"/>
        </w:rPr>
        <w:t xml:space="preserve"> 2008. Investigating the specificity of periosteal reactions in pathology museum specimens. </w:t>
      </w:r>
      <w:r w:rsidRPr="009D231A">
        <w:rPr>
          <w:rFonts w:ascii="Times New Roman" w:hAnsi="Times New Roman" w:cs="Times New Roman"/>
          <w:i/>
          <w:sz w:val="24"/>
          <w:szCs w:val="24"/>
        </w:rPr>
        <w:t xml:space="preserve">American Journal of Physical Anthropology </w:t>
      </w:r>
      <w:r w:rsidRPr="009D231A">
        <w:rPr>
          <w:rFonts w:ascii="Times New Roman" w:hAnsi="Times New Roman" w:cs="Times New Roman"/>
          <w:sz w:val="24"/>
          <w:szCs w:val="24"/>
        </w:rPr>
        <w:t>137: 48–59. https://doi.org/10.1002/ajpa.20839</w:t>
      </w:r>
    </w:p>
    <w:p w14:paraId="428A3A84"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rPr>
        <w:t xml:space="preserve">Wylie, A. </w:t>
      </w:r>
      <w:r w:rsidRPr="009D231A">
        <w:rPr>
          <w:rFonts w:ascii="Times New Roman" w:hAnsi="Times New Roman" w:cs="Times New Roman"/>
          <w:sz w:val="24"/>
          <w:szCs w:val="24"/>
        </w:rPr>
        <w:t xml:space="preserve">1985. The reaction against analogy. </w:t>
      </w:r>
      <w:r w:rsidRPr="009D231A">
        <w:rPr>
          <w:rFonts w:ascii="Times New Roman" w:hAnsi="Times New Roman" w:cs="Times New Roman"/>
          <w:i/>
          <w:sz w:val="24"/>
          <w:szCs w:val="24"/>
        </w:rPr>
        <w:t>Advances in Archaeological Method and Theory</w:t>
      </w:r>
      <w:r w:rsidRPr="009D231A">
        <w:rPr>
          <w:rFonts w:ascii="Times New Roman" w:hAnsi="Times New Roman" w:cs="Times New Roman"/>
          <w:sz w:val="24"/>
          <w:szCs w:val="24"/>
        </w:rPr>
        <w:t xml:space="preserve"> 8: 63–111. https://doi.org/10.1016/B978-0-12-003108-5.50008-7</w:t>
      </w:r>
    </w:p>
    <w:p w14:paraId="4BF3B212" w14:textId="77777777" w:rsidR="00BB7D3F" w:rsidRPr="009D231A" w:rsidRDefault="00BB7D3F" w:rsidP="00BB7D3F">
      <w:pPr>
        <w:pStyle w:val="EndNoteBibliography"/>
        <w:spacing w:after="0" w:line="360" w:lineRule="auto"/>
        <w:rPr>
          <w:rFonts w:ascii="Times New Roman" w:hAnsi="Times New Roman" w:cs="Times New Roman"/>
          <w:sz w:val="24"/>
          <w:szCs w:val="24"/>
          <w:lang w:val="it-IT"/>
        </w:rPr>
      </w:pPr>
      <w:r w:rsidRPr="009D231A">
        <w:rPr>
          <w:rFonts w:ascii="Times New Roman" w:hAnsi="Times New Roman" w:cs="Times New Roman"/>
          <w:smallCaps/>
          <w:sz w:val="24"/>
          <w:szCs w:val="24"/>
          <w:lang w:val="it-IT"/>
        </w:rPr>
        <w:t>Xella, P</w:t>
      </w:r>
      <w:r w:rsidRPr="009D231A">
        <w:rPr>
          <w:rFonts w:ascii="Times New Roman" w:hAnsi="Times New Roman" w:cs="Times New Roman"/>
          <w:sz w:val="24"/>
          <w:szCs w:val="24"/>
          <w:lang w:val="it-IT"/>
        </w:rPr>
        <w:t xml:space="preserve">. 2009. Sacrifici di bambini nel mondo fenicio e punico nelle testimonianze in lingua greca e latina. </w:t>
      </w:r>
      <w:r w:rsidRPr="009D231A">
        <w:rPr>
          <w:rFonts w:ascii="Times New Roman" w:hAnsi="Times New Roman" w:cs="Times New Roman"/>
          <w:i/>
          <w:sz w:val="24"/>
          <w:szCs w:val="24"/>
          <w:lang w:val="it-IT"/>
        </w:rPr>
        <w:t>I. Studi epigrafici e linguistici sul Vicino Oriente antico</w:t>
      </w:r>
      <w:r w:rsidRPr="009D231A">
        <w:rPr>
          <w:rFonts w:ascii="Times New Roman" w:hAnsi="Times New Roman" w:cs="Times New Roman"/>
          <w:sz w:val="24"/>
          <w:szCs w:val="24"/>
          <w:lang w:val="it-IT"/>
        </w:rPr>
        <w:t xml:space="preserve"> 26: 59–100.</w:t>
      </w:r>
    </w:p>
    <w:p w14:paraId="5F032764" w14:textId="77777777" w:rsidR="00BB7D3F" w:rsidRPr="009D231A" w:rsidRDefault="00BB7D3F" w:rsidP="00BB7D3F">
      <w:pPr>
        <w:pStyle w:val="EndNoteBibliography"/>
        <w:spacing w:after="0" w:line="360" w:lineRule="auto"/>
        <w:rPr>
          <w:rFonts w:ascii="Times New Roman" w:hAnsi="Times New Roman" w:cs="Times New Roman"/>
          <w:sz w:val="24"/>
          <w:szCs w:val="24"/>
          <w:lang w:val="it-IT"/>
        </w:rPr>
      </w:pPr>
      <w:r w:rsidRPr="009D231A">
        <w:rPr>
          <w:rFonts w:ascii="Times New Roman" w:hAnsi="Times New Roman" w:cs="Times New Roman"/>
          <w:sz w:val="24"/>
          <w:szCs w:val="24"/>
          <w:lang w:val="it-IT"/>
        </w:rPr>
        <w:t xml:space="preserve">– 2012–2013. "Tophet": an overall interpretation. </w:t>
      </w:r>
      <w:r w:rsidRPr="009D231A">
        <w:rPr>
          <w:rFonts w:ascii="Times New Roman" w:hAnsi="Times New Roman" w:cs="Times New Roman"/>
          <w:i/>
          <w:sz w:val="24"/>
          <w:szCs w:val="24"/>
          <w:lang w:val="it-IT"/>
        </w:rPr>
        <w:t>Studi Epigrafici e Linguistici</w:t>
      </w:r>
      <w:r w:rsidRPr="009D231A">
        <w:rPr>
          <w:rFonts w:ascii="Times New Roman" w:hAnsi="Times New Roman" w:cs="Times New Roman"/>
          <w:sz w:val="24"/>
          <w:szCs w:val="24"/>
          <w:lang w:val="it-IT"/>
        </w:rPr>
        <w:t xml:space="preserve"> 29–30: 259–81.</w:t>
      </w:r>
    </w:p>
    <w:p w14:paraId="170B12C7" w14:textId="77777777" w:rsidR="00BB7D3F" w:rsidRPr="009D231A" w:rsidRDefault="00BB7D3F" w:rsidP="00BB7D3F">
      <w:pPr>
        <w:pStyle w:val="EndNoteBibliography"/>
        <w:spacing w:after="0" w:line="360" w:lineRule="auto"/>
        <w:rPr>
          <w:rFonts w:ascii="Times New Roman" w:hAnsi="Times New Roman" w:cs="Times New Roman"/>
          <w:sz w:val="24"/>
          <w:szCs w:val="24"/>
          <w:lang w:val="it-IT"/>
        </w:rPr>
      </w:pPr>
      <w:r w:rsidRPr="00393962">
        <w:rPr>
          <w:rFonts w:ascii="Times New Roman" w:hAnsi="Times New Roman" w:cs="Times New Roman"/>
          <w:sz w:val="24"/>
          <w:szCs w:val="24"/>
          <w:lang w:val="it-IT"/>
        </w:rPr>
        <w:t xml:space="preserve">– (ed.) 2013. </w:t>
      </w:r>
      <w:r w:rsidRPr="009D231A">
        <w:rPr>
          <w:rFonts w:ascii="Times New Roman" w:hAnsi="Times New Roman" w:cs="Times New Roman"/>
          <w:i/>
          <w:sz w:val="24"/>
          <w:szCs w:val="24"/>
        </w:rPr>
        <w:t xml:space="preserve">The tophet in the Phoenician Mediterranean. </w:t>
      </w:r>
      <w:r w:rsidRPr="009D231A">
        <w:rPr>
          <w:rFonts w:ascii="Times New Roman" w:hAnsi="Times New Roman" w:cs="Times New Roman"/>
          <w:sz w:val="24"/>
          <w:szCs w:val="24"/>
          <w:lang w:val="it-IT"/>
        </w:rPr>
        <w:t>Verona: Essedue.</w:t>
      </w:r>
    </w:p>
    <w:p w14:paraId="1EDC21E7" w14:textId="77777777" w:rsidR="00BB7D3F" w:rsidRPr="009D231A" w:rsidRDefault="00BB7D3F" w:rsidP="00BB7D3F">
      <w:pPr>
        <w:pStyle w:val="EndNoteBibliography"/>
        <w:spacing w:after="0" w:line="360" w:lineRule="auto"/>
        <w:rPr>
          <w:rFonts w:ascii="Times New Roman" w:hAnsi="Times New Roman" w:cs="Times New Roman"/>
          <w:sz w:val="24"/>
          <w:szCs w:val="24"/>
        </w:rPr>
      </w:pPr>
      <w:r w:rsidRPr="009D231A">
        <w:rPr>
          <w:rFonts w:ascii="Times New Roman" w:hAnsi="Times New Roman" w:cs="Times New Roman"/>
          <w:smallCaps/>
          <w:sz w:val="24"/>
          <w:szCs w:val="24"/>
          <w:lang w:val="it-IT"/>
        </w:rPr>
        <w:t>Xella, P., J. Quinn, V. Melchiorri &amp; P. Dommelen</w:t>
      </w:r>
      <w:r w:rsidRPr="009D231A">
        <w:rPr>
          <w:rFonts w:ascii="Times New Roman" w:hAnsi="Times New Roman" w:cs="Times New Roman"/>
          <w:sz w:val="24"/>
          <w:szCs w:val="24"/>
          <w:lang w:val="it-IT"/>
        </w:rPr>
        <w:t xml:space="preserve">. </w:t>
      </w:r>
      <w:r w:rsidRPr="00393962">
        <w:rPr>
          <w:rFonts w:ascii="Times New Roman" w:hAnsi="Times New Roman" w:cs="Times New Roman"/>
          <w:sz w:val="24"/>
          <w:szCs w:val="24"/>
        </w:rPr>
        <w:t xml:space="preserve">2013. </w:t>
      </w:r>
      <w:r w:rsidRPr="009D231A">
        <w:rPr>
          <w:rFonts w:ascii="Times New Roman" w:hAnsi="Times New Roman" w:cs="Times New Roman"/>
          <w:sz w:val="24"/>
          <w:szCs w:val="24"/>
        </w:rPr>
        <w:t xml:space="preserve">Phoenician bones of contention. </w:t>
      </w:r>
      <w:r w:rsidRPr="009D231A">
        <w:rPr>
          <w:rFonts w:ascii="Times New Roman" w:hAnsi="Times New Roman" w:cs="Times New Roman"/>
          <w:i/>
          <w:sz w:val="24"/>
          <w:szCs w:val="24"/>
        </w:rPr>
        <w:t>Antiquity</w:t>
      </w:r>
      <w:r w:rsidRPr="009D231A">
        <w:rPr>
          <w:rFonts w:ascii="Times New Roman" w:hAnsi="Times New Roman" w:cs="Times New Roman"/>
          <w:sz w:val="24"/>
          <w:szCs w:val="24"/>
        </w:rPr>
        <w:t xml:space="preserve"> 87: 1199–207. https://doi.org/10.1017/S0003598X00049966</w:t>
      </w:r>
    </w:p>
    <w:p w14:paraId="7E0D6AF0" w14:textId="77777777" w:rsidR="00BB7D3F" w:rsidRPr="009D231A" w:rsidRDefault="00BB7D3F" w:rsidP="00BB7D3F">
      <w:pPr>
        <w:autoSpaceDE w:val="0"/>
        <w:autoSpaceDN w:val="0"/>
        <w:adjustRightInd w:val="0"/>
        <w:spacing w:after="0" w:line="360" w:lineRule="auto"/>
        <w:rPr>
          <w:rFonts w:ascii="Times New Roman" w:eastAsiaTheme="minorHAnsi" w:hAnsi="Times New Roman"/>
          <w:sz w:val="24"/>
          <w:szCs w:val="24"/>
          <w:lang w:eastAsia="en-US"/>
        </w:rPr>
      </w:pPr>
      <w:r w:rsidRPr="009D231A">
        <w:rPr>
          <w:rFonts w:ascii="Times New Roman" w:eastAsiaTheme="minorHAnsi" w:hAnsi="Times New Roman"/>
          <w:smallCaps/>
          <w:sz w:val="24"/>
          <w:szCs w:val="24"/>
          <w:lang w:eastAsia="en-US"/>
        </w:rPr>
        <w:t>Zuckerman, M., E. Garofalo, B. Frohlich &amp; D. Ortner</w:t>
      </w:r>
      <w:r w:rsidRPr="009D231A">
        <w:rPr>
          <w:rFonts w:ascii="Times New Roman" w:eastAsiaTheme="minorHAnsi" w:hAnsi="Times New Roman"/>
          <w:sz w:val="24"/>
          <w:szCs w:val="24"/>
          <w:lang w:eastAsia="en-US"/>
        </w:rPr>
        <w:t xml:space="preserve">. 2014. Anemia or scurvy: a pilot study on differential diagnosis of porous and hyperostotic lesions using differential cranial vault thickness in subadult humans. </w:t>
      </w:r>
      <w:r w:rsidRPr="009D231A">
        <w:rPr>
          <w:rFonts w:ascii="Times New Roman" w:eastAsiaTheme="minorHAnsi" w:hAnsi="Times New Roman"/>
          <w:i/>
          <w:iCs/>
          <w:sz w:val="24"/>
          <w:szCs w:val="24"/>
          <w:lang w:eastAsia="en-US"/>
        </w:rPr>
        <w:t>International Journal of Paleopathology</w:t>
      </w:r>
      <w:r w:rsidRPr="009D231A">
        <w:rPr>
          <w:rFonts w:ascii="Times New Roman" w:eastAsiaTheme="minorHAnsi" w:hAnsi="Times New Roman"/>
          <w:sz w:val="24"/>
          <w:szCs w:val="24"/>
          <w:lang w:eastAsia="en-US"/>
        </w:rPr>
        <w:t xml:space="preserve"> 5: 27–33. https://doi.org/10.1016/j.ijpp.2014.02.001</w:t>
      </w:r>
    </w:p>
    <w:p w14:paraId="63CC7917" w14:textId="77777777" w:rsidR="00BB7D3F" w:rsidRPr="009D231A" w:rsidRDefault="00BB7D3F" w:rsidP="00BB7D3F"/>
    <w:p w14:paraId="0535BC29" w14:textId="77777777" w:rsidR="00184D4F" w:rsidRPr="001F1446" w:rsidRDefault="00184D4F" w:rsidP="001F1446">
      <w:pPr>
        <w:spacing w:after="0" w:line="360" w:lineRule="auto"/>
        <w:rPr>
          <w:rFonts w:ascii="Times New Roman" w:hAnsi="Times New Roman"/>
          <w:sz w:val="24"/>
          <w:szCs w:val="24"/>
        </w:rPr>
      </w:pPr>
    </w:p>
    <w:sectPr w:rsidR="00184D4F" w:rsidRPr="001F1446" w:rsidSect="00FE37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F4DFF" w14:textId="77777777" w:rsidR="004F188A" w:rsidRDefault="004F188A">
      <w:pPr>
        <w:spacing w:after="0" w:line="240" w:lineRule="auto"/>
      </w:pPr>
      <w:r>
        <w:separator/>
      </w:r>
    </w:p>
  </w:endnote>
  <w:endnote w:type="continuationSeparator" w:id="0">
    <w:p w14:paraId="420D2A3A" w14:textId="77777777" w:rsidR="004F188A" w:rsidRDefault="004F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DB04F" w14:textId="77777777" w:rsidR="004F188A" w:rsidRDefault="004F188A">
      <w:pPr>
        <w:spacing w:after="0" w:line="240" w:lineRule="auto"/>
      </w:pPr>
      <w:r>
        <w:separator/>
      </w:r>
    </w:p>
  </w:footnote>
  <w:footnote w:type="continuationSeparator" w:id="0">
    <w:p w14:paraId="04ACDBC2" w14:textId="77777777" w:rsidR="004F188A" w:rsidRDefault="004F1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7339F"/>
    <w:multiLevelType w:val="hybridMultilevel"/>
    <w:tmpl w:val="326A698A"/>
    <w:lvl w:ilvl="0" w:tplc="5F0A75F2">
      <w:start w:val="1"/>
      <w:numFmt w:val="bullet"/>
      <w:lvlText w:val=""/>
      <w:lvlJc w:val="left"/>
      <w:pPr>
        <w:ind w:left="720" w:hanging="360"/>
      </w:pPr>
      <w:rPr>
        <w:rFonts w:ascii="Symbol" w:hAnsi="Symbol"/>
      </w:rPr>
    </w:lvl>
    <w:lvl w:ilvl="1" w:tplc="480ED3BC">
      <w:start w:val="1"/>
      <w:numFmt w:val="bullet"/>
      <w:lvlText w:val=""/>
      <w:lvlJc w:val="left"/>
      <w:pPr>
        <w:ind w:left="720" w:hanging="360"/>
      </w:pPr>
      <w:rPr>
        <w:rFonts w:ascii="Symbol" w:hAnsi="Symbol"/>
      </w:rPr>
    </w:lvl>
    <w:lvl w:ilvl="2" w:tplc="85603194">
      <w:start w:val="1"/>
      <w:numFmt w:val="bullet"/>
      <w:lvlText w:val=""/>
      <w:lvlJc w:val="left"/>
      <w:pPr>
        <w:ind w:left="720" w:hanging="360"/>
      </w:pPr>
      <w:rPr>
        <w:rFonts w:ascii="Symbol" w:hAnsi="Symbol"/>
      </w:rPr>
    </w:lvl>
    <w:lvl w:ilvl="3" w:tplc="81FC2682">
      <w:start w:val="1"/>
      <w:numFmt w:val="bullet"/>
      <w:lvlText w:val=""/>
      <w:lvlJc w:val="left"/>
      <w:pPr>
        <w:ind w:left="720" w:hanging="360"/>
      </w:pPr>
      <w:rPr>
        <w:rFonts w:ascii="Symbol" w:hAnsi="Symbol"/>
      </w:rPr>
    </w:lvl>
    <w:lvl w:ilvl="4" w:tplc="A0767786">
      <w:start w:val="1"/>
      <w:numFmt w:val="bullet"/>
      <w:lvlText w:val=""/>
      <w:lvlJc w:val="left"/>
      <w:pPr>
        <w:ind w:left="720" w:hanging="360"/>
      </w:pPr>
      <w:rPr>
        <w:rFonts w:ascii="Symbol" w:hAnsi="Symbol"/>
      </w:rPr>
    </w:lvl>
    <w:lvl w:ilvl="5" w:tplc="F6245E20">
      <w:start w:val="1"/>
      <w:numFmt w:val="bullet"/>
      <w:lvlText w:val=""/>
      <w:lvlJc w:val="left"/>
      <w:pPr>
        <w:ind w:left="720" w:hanging="360"/>
      </w:pPr>
      <w:rPr>
        <w:rFonts w:ascii="Symbol" w:hAnsi="Symbol"/>
      </w:rPr>
    </w:lvl>
    <w:lvl w:ilvl="6" w:tplc="83F606BE">
      <w:start w:val="1"/>
      <w:numFmt w:val="bullet"/>
      <w:lvlText w:val=""/>
      <w:lvlJc w:val="left"/>
      <w:pPr>
        <w:ind w:left="720" w:hanging="360"/>
      </w:pPr>
      <w:rPr>
        <w:rFonts w:ascii="Symbol" w:hAnsi="Symbol"/>
      </w:rPr>
    </w:lvl>
    <w:lvl w:ilvl="7" w:tplc="EB6C0C1A">
      <w:start w:val="1"/>
      <w:numFmt w:val="bullet"/>
      <w:lvlText w:val=""/>
      <w:lvlJc w:val="left"/>
      <w:pPr>
        <w:ind w:left="720" w:hanging="360"/>
      </w:pPr>
      <w:rPr>
        <w:rFonts w:ascii="Symbol" w:hAnsi="Symbol"/>
      </w:rPr>
    </w:lvl>
    <w:lvl w:ilvl="8" w:tplc="BEA8C106">
      <w:start w:val="1"/>
      <w:numFmt w:val="bullet"/>
      <w:lvlText w:val=""/>
      <w:lvlJc w:val="left"/>
      <w:pPr>
        <w:ind w:left="720" w:hanging="360"/>
      </w:pPr>
      <w:rPr>
        <w:rFonts w:ascii="Symbol" w:hAnsi="Symbol"/>
      </w:rPr>
    </w:lvl>
  </w:abstractNum>
  <w:abstractNum w:abstractNumId="1" w15:restartNumberingAfterBreak="0">
    <w:nsid w:val="1C7B4450"/>
    <w:multiLevelType w:val="hybridMultilevel"/>
    <w:tmpl w:val="C3ECC810"/>
    <w:lvl w:ilvl="0" w:tplc="C2665664">
      <w:start w:val="1"/>
      <w:numFmt w:val="bullet"/>
      <w:lvlText w:val=""/>
      <w:lvlJc w:val="left"/>
      <w:pPr>
        <w:ind w:left="720" w:hanging="360"/>
      </w:pPr>
      <w:rPr>
        <w:rFonts w:ascii="Symbol" w:hAnsi="Symbol"/>
      </w:rPr>
    </w:lvl>
    <w:lvl w:ilvl="1" w:tplc="BF28FC68">
      <w:start w:val="1"/>
      <w:numFmt w:val="bullet"/>
      <w:lvlText w:val=""/>
      <w:lvlJc w:val="left"/>
      <w:pPr>
        <w:ind w:left="720" w:hanging="360"/>
      </w:pPr>
      <w:rPr>
        <w:rFonts w:ascii="Symbol" w:hAnsi="Symbol"/>
      </w:rPr>
    </w:lvl>
    <w:lvl w:ilvl="2" w:tplc="D3DAF854">
      <w:start w:val="1"/>
      <w:numFmt w:val="bullet"/>
      <w:lvlText w:val=""/>
      <w:lvlJc w:val="left"/>
      <w:pPr>
        <w:ind w:left="720" w:hanging="360"/>
      </w:pPr>
      <w:rPr>
        <w:rFonts w:ascii="Symbol" w:hAnsi="Symbol"/>
      </w:rPr>
    </w:lvl>
    <w:lvl w:ilvl="3" w:tplc="7460EB78">
      <w:start w:val="1"/>
      <w:numFmt w:val="bullet"/>
      <w:lvlText w:val=""/>
      <w:lvlJc w:val="left"/>
      <w:pPr>
        <w:ind w:left="720" w:hanging="360"/>
      </w:pPr>
      <w:rPr>
        <w:rFonts w:ascii="Symbol" w:hAnsi="Symbol"/>
      </w:rPr>
    </w:lvl>
    <w:lvl w:ilvl="4" w:tplc="E91EDE60">
      <w:start w:val="1"/>
      <w:numFmt w:val="bullet"/>
      <w:lvlText w:val=""/>
      <w:lvlJc w:val="left"/>
      <w:pPr>
        <w:ind w:left="720" w:hanging="360"/>
      </w:pPr>
      <w:rPr>
        <w:rFonts w:ascii="Symbol" w:hAnsi="Symbol"/>
      </w:rPr>
    </w:lvl>
    <w:lvl w:ilvl="5" w:tplc="87844008">
      <w:start w:val="1"/>
      <w:numFmt w:val="bullet"/>
      <w:lvlText w:val=""/>
      <w:lvlJc w:val="left"/>
      <w:pPr>
        <w:ind w:left="720" w:hanging="360"/>
      </w:pPr>
      <w:rPr>
        <w:rFonts w:ascii="Symbol" w:hAnsi="Symbol"/>
      </w:rPr>
    </w:lvl>
    <w:lvl w:ilvl="6" w:tplc="F67A2C4A">
      <w:start w:val="1"/>
      <w:numFmt w:val="bullet"/>
      <w:lvlText w:val=""/>
      <w:lvlJc w:val="left"/>
      <w:pPr>
        <w:ind w:left="720" w:hanging="360"/>
      </w:pPr>
      <w:rPr>
        <w:rFonts w:ascii="Symbol" w:hAnsi="Symbol"/>
      </w:rPr>
    </w:lvl>
    <w:lvl w:ilvl="7" w:tplc="6D2A4FFE">
      <w:start w:val="1"/>
      <w:numFmt w:val="bullet"/>
      <w:lvlText w:val=""/>
      <w:lvlJc w:val="left"/>
      <w:pPr>
        <w:ind w:left="720" w:hanging="360"/>
      </w:pPr>
      <w:rPr>
        <w:rFonts w:ascii="Symbol" w:hAnsi="Symbol"/>
      </w:rPr>
    </w:lvl>
    <w:lvl w:ilvl="8" w:tplc="2542B4B8">
      <w:start w:val="1"/>
      <w:numFmt w:val="bullet"/>
      <w:lvlText w:val=""/>
      <w:lvlJc w:val="left"/>
      <w:pPr>
        <w:ind w:left="720" w:hanging="360"/>
      </w:pPr>
      <w:rPr>
        <w:rFonts w:ascii="Symbol" w:hAnsi="Symbol"/>
      </w:rPr>
    </w:lvl>
  </w:abstractNum>
  <w:abstractNum w:abstractNumId="2" w15:restartNumberingAfterBreak="0">
    <w:nsid w:val="27BE5ECA"/>
    <w:multiLevelType w:val="hybridMultilevel"/>
    <w:tmpl w:val="6178936A"/>
    <w:lvl w:ilvl="0" w:tplc="DE3C3484">
      <w:start w:val="1"/>
      <w:numFmt w:val="bullet"/>
      <w:lvlText w:val=""/>
      <w:lvlJc w:val="left"/>
      <w:pPr>
        <w:ind w:left="720" w:hanging="360"/>
      </w:pPr>
      <w:rPr>
        <w:rFonts w:ascii="Symbol" w:hAnsi="Symbol"/>
      </w:rPr>
    </w:lvl>
    <w:lvl w:ilvl="1" w:tplc="FA86AC1A">
      <w:start w:val="1"/>
      <w:numFmt w:val="bullet"/>
      <w:lvlText w:val=""/>
      <w:lvlJc w:val="left"/>
      <w:pPr>
        <w:ind w:left="720" w:hanging="360"/>
      </w:pPr>
      <w:rPr>
        <w:rFonts w:ascii="Symbol" w:hAnsi="Symbol"/>
      </w:rPr>
    </w:lvl>
    <w:lvl w:ilvl="2" w:tplc="E9BC7AE4">
      <w:start w:val="1"/>
      <w:numFmt w:val="bullet"/>
      <w:lvlText w:val=""/>
      <w:lvlJc w:val="left"/>
      <w:pPr>
        <w:ind w:left="720" w:hanging="360"/>
      </w:pPr>
      <w:rPr>
        <w:rFonts w:ascii="Symbol" w:hAnsi="Symbol"/>
      </w:rPr>
    </w:lvl>
    <w:lvl w:ilvl="3" w:tplc="DCAAE1BA">
      <w:start w:val="1"/>
      <w:numFmt w:val="bullet"/>
      <w:lvlText w:val=""/>
      <w:lvlJc w:val="left"/>
      <w:pPr>
        <w:ind w:left="720" w:hanging="360"/>
      </w:pPr>
      <w:rPr>
        <w:rFonts w:ascii="Symbol" w:hAnsi="Symbol"/>
      </w:rPr>
    </w:lvl>
    <w:lvl w:ilvl="4" w:tplc="346A4686">
      <w:start w:val="1"/>
      <w:numFmt w:val="bullet"/>
      <w:lvlText w:val=""/>
      <w:lvlJc w:val="left"/>
      <w:pPr>
        <w:ind w:left="720" w:hanging="360"/>
      </w:pPr>
      <w:rPr>
        <w:rFonts w:ascii="Symbol" w:hAnsi="Symbol"/>
      </w:rPr>
    </w:lvl>
    <w:lvl w:ilvl="5" w:tplc="0742DB38">
      <w:start w:val="1"/>
      <w:numFmt w:val="bullet"/>
      <w:lvlText w:val=""/>
      <w:lvlJc w:val="left"/>
      <w:pPr>
        <w:ind w:left="720" w:hanging="360"/>
      </w:pPr>
      <w:rPr>
        <w:rFonts w:ascii="Symbol" w:hAnsi="Symbol"/>
      </w:rPr>
    </w:lvl>
    <w:lvl w:ilvl="6" w:tplc="6E401CEA">
      <w:start w:val="1"/>
      <w:numFmt w:val="bullet"/>
      <w:lvlText w:val=""/>
      <w:lvlJc w:val="left"/>
      <w:pPr>
        <w:ind w:left="720" w:hanging="360"/>
      </w:pPr>
      <w:rPr>
        <w:rFonts w:ascii="Symbol" w:hAnsi="Symbol"/>
      </w:rPr>
    </w:lvl>
    <w:lvl w:ilvl="7" w:tplc="A39E5110">
      <w:start w:val="1"/>
      <w:numFmt w:val="bullet"/>
      <w:lvlText w:val=""/>
      <w:lvlJc w:val="left"/>
      <w:pPr>
        <w:ind w:left="720" w:hanging="360"/>
      </w:pPr>
      <w:rPr>
        <w:rFonts w:ascii="Symbol" w:hAnsi="Symbol"/>
      </w:rPr>
    </w:lvl>
    <w:lvl w:ilvl="8" w:tplc="6D106F1C">
      <w:start w:val="1"/>
      <w:numFmt w:val="bullet"/>
      <w:lvlText w:val=""/>
      <w:lvlJc w:val="left"/>
      <w:pPr>
        <w:ind w:left="720" w:hanging="360"/>
      </w:pPr>
      <w:rPr>
        <w:rFonts w:ascii="Symbol" w:hAnsi="Symbol"/>
      </w:rPr>
    </w:lvl>
  </w:abstractNum>
  <w:abstractNum w:abstractNumId="3" w15:restartNumberingAfterBreak="0">
    <w:nsid w:val="2C14441E"/>
    <w:multiLevelType w:val="hybridMultilevel"/>
    <w:tmpl w:val="E3A6101A"/>
    <w:lvl w:ilvl="0" w:tplc="259AFEAA">
      <w:start w:val="1"/>
      <w:numFmt w:val="bullet"/>
      <w:lvlText w:val=""/>
      <w:lvlJc w:val="left"/>
      <w:pPr>
        <w:ind w:left="720" w:hanging="360"/>
      </w:pPr>
      <w:rPr>
        <w:rFonts w:ascii="Symbol" w:hAnsi="Symbol"/>
      </w:rPr>
    </w:lvl>
    <w:lvl w:ilvl="1" w:tplc="66AC2DEC">
      <w:start w:val="1"/>
      <w:numFmt w:val="bullet"/>
      <w:lvlText w:val=""/>
      <w:lvlJc w:val="left"/>
      <w:pPr>
        <w:ind w:left="720" w:hanging="360"/>
      </w:pPr>
      <w:rPr>
        <w:rFonts w:ascii="Symbol" w:hAnsi="Symbol"/>
      </w:rPr>
    </w:lvl>
    <w:lvl w:ilvl="2" w:tplc="0F0A5BDE">
      <w:start w:val="1"/>
      <w:numFmt w:val="bullet"/>
      <w:lvlText w:val=""/>
      <w:lvlJc w:val="left"/>
      <w:pPr>
        <w:ind w:left="720" w:hanging="360"/>
      </w:pPr>
      <w:rPr>
        <w:rFonts w:ascii="Symbol" w:hAnsi="Symbol"/>
      </w:rPr>
    </w:lvl>
    <w:lvl w:ilvl="3" w:tplc="E446E298">
      <w:start w:val="1"/>
      <w:numFmt w:val="bullet"/>
      <w:lvlText w:val=""/>
      <w:lvlJc w:val="left"/>
      <w:pPr>
        <w:ind w:left="720" w:hanging="360"/>
      </w:pPr>
      <w:rPr>
        <w:rFonts w:ascii="Symbol" w:hAnsi="Symbol"/>
      </w:rPr>
    </w:lvl>
    <w:lvl w:ilvl="4" w:tplc="7D78F022">
      <w:start w:val="1"/>
      <w:numFmt w:val="bullet"/>
      <w:lvlText w:val=""/>
      <w:lvlJc w:val="left"/>
      <w:pPr>
        <w:ind w:left="720" w:hanging="360"/>
      </w:pPr>
      <w:rPr>
        <w:rFonts w:ascii="Symbol" w:hAnsi="Symbol"/>
      </w:rPr>
    </w:lvl>
    <w:lvl w:ilvl="5" w:tplc="08B8FF02">
      <w:start w:val="1"/>
      <w:numFmt w:val="bullet"/>
      <w:lvlText w:val=""/>
      <w:lvlJc w:val="left"/>
      <w:pPr>
        <w:ind w:left="720" w:hanging="360"/>
      </w:pPr>
      <w:rPr>
        <w:rFonts w:ascii="Symbol" w:hAnsi="Symbol"/>
      </w:rPr>
    </w:lvl>
    <w:lvl w:ilvl="6" w:tplc="B13CC0B0">
      <w:start w:val="1"/>
      <w:numFmt w:val="bullet"/>
      <w:lvlText w:val=""/>
      <w:lvlJc w:val="left"/>
      <w:pPr>
        <w:ind w:left="720" w:hanging="360"/>
      </w:pPr>
      <w:rPr>
        <w:rFonts w:ascii="Symbol" w:hAnsi="Symbol"/>
      </w:rPr>
    </w:lvl>
    <w:lvl w:ilvl="7" w:tplc="D414880E">
      <w:start w:val="1"/>
      <w:numFmt w:val="bullet"/>
      <w:lvlText w:val=""/>
      <w:lvlJc w:val="left"/>
      <w:pPr>
        <w:ind w:left="720" w:hanging="360"/>
      </w:pPr>
      <w:rPr>
        <w:rFonts w:ascii="Symbol" w:hAnsi="Symbol"/>
      </w:rPr>
    </w:lvl>
    <w:lvl w:ilvl="8" w:tplc="02C6BD9A">
      <w:start w:val="1"/>
      <w:numFmt w:val="bullet"/>
      <w:lvlText w:val=""/>
      <w:lvlJc w:val="left"/>
      <w:pPr>
        <w:ind w:left="720" w:hanging="360"/>
      </w:pPr>
      <w:rPr>
        <w:rFonts w:ascii="Symbol" w:hAnsi="Symbol"/>
      </w:rPr>
    </w:lvl>
  </w:abstractNum>
  <w:abstractNum w:abstractNumId="4" w15:restartNumberingAfterBreak="0">
    <w:nsid w:val="3FBA04D3"/>
    <w:multiLevelType w:val="hybridMultilevel"/>
    <w:tmpl w:val="A00A2A7E"/>
    <w:lvl w:ilvl="0" w:tplc="AD483C18">
      <w:start w:val="1"/>
      <w:numFmt w:val="bullet"/>
      <w:lvlText w:val=""/>
      <w:lvlJc w:val="left"/>
      <w:pPr>
        <w:ind w:left="720" w:hanging="360"/>
      </w:pPr>
      <w:rPr>
        <w:rFonts w:ascii="Symbol" w:hAnsi="Symbol"/>
      </w:rPr>
    </w:lvl>
    <w:lvl w:ilvl="1" w:tplc="CDB66A4E">
      <w:start w:val="1"/>
      <w:numFmt w:val="bullet"/>
      <w:lvlText w:val=""/>
      <w:lvlJc w:val="left"/>
      <w:pPr>
        <w:ind w:left="720" w:hanging="360"/>
      </w:pPr>
      <w:rPr>
        <w:rFonts w:ascii="Symbol" w:hAnsi="Symbol"/>
      </w:rPr>
    </w:lvl>
    <w:lvl w:ilvl="2" w:tplc="961C56F0">
      <w:start w:val="1"/>
      <w:numFmt w:val="bullet"/>
      <w:lvlText w:val=""/>
      <w:lvlJc w:val="left"/>
      <w:pPr>
        <w:ind w:left="720" w:hanging="360"/>
      </w:pPr>
      <w:rPr>
        <w:rFonts w:ascii="Symbol" w:hAnsi="Symbol"/>
      </w:rPr>
    </w:lvl>
    <w:lvl w:ilvl="3" w:tplc="8AB85A5C">
      <w:start w:val="1"/>
      <w:numFmt w:val="bullet"/>
      <w:lvlText w:val=""/>
      <w:lvlJc w:val="left"/>
      <w:pPr>
        <w:ind w:left="720" w:hanging="360"/>
      </w:pPr>
      <w:rPr>
        <w:rFonts w:ascii="Symbol" w:hAnsi="Symbol"/>
      </w:rPr>
    </w:lvl>
    <w:lvl w:ilvl="4" w:tplc="E57C412C">
      <w:start w:val="1"/>
      <w:numFmt w:val="bullet"/>
      <w:lvlText w:val=""/>
      <w:lvlJc w:val="left"/>
      <w:pPr>
        <w:ind w:left="720" w:hanging="360"/>
      </w:pPr>
      <w:rPr>
        <w:rFonts w:ascii="Symbol" w:hAnsi="Symbol"/>
      </w:rPr>
    </w:lvl>
    <w:lvl w:ilvl="5" w:tplc="8EC6D938">
      <w:start w:val="1"/>
      <w:numFmt w:val="bullet"/>
      <w:lvlText w:val=""/>
      <w:lvlJc w:val="left"/>
      <w:pPr>
        <w:ind w:left="720" w:hanging="360"/>
      </w:pPr>
      <w:rPr>
        <w:rFonts w:ascii="Symbol" w:hAnsi="Symbol"/>
      </w:rPr>
    </w:lvl>
    <w:lvl w:ilvl="6" w:tplc="E8A48EB4">
      <w:start w:val="1"/>
      <w:numFmt w:val="bullet"/>
      <w:lvlText w:val=""/>
      <w:lvlJc w:val="left"/>
      <w:pPr>
        <w:ind w:left="720" w:hanging="360"/>
      </w:pPr>
      <w:rPr>
        <w:rFonts w:ascii="Symbol" w:hAnsi="Symbol"/>
      </w:rPr>
    </w:lvl>
    <w:lvl w:ilvl="7" w:tplc="FA10C092">
      <w:start w:val="1"/>
      <w:numFmt w:val="bullet"/>
      <w:lvlText w:val=""/>
      <w:lvlJc w:val="left"/>
      <w:pPr>
        <w:ind w:left="720" w:hanging="360"/>
      </w:pPr>
      <w:rPr>
        <w:rFonts w:ascii="Symbol" w:hAnsi="Symbol"/>
      </w:rPr>
    </w:lvl>
    <w:lvl w:ilvl="8" w:tplc="130E3E98">
      <w:start w:val="1"/>
      <w:numFmt w:val="bullet"/>
      <w:lvlText w:val=""/>
      <w:lvlJc w:val="left"/>
      <w:pPr>
        <w:ind w:left="720" w:hanging="360"/>
      </w:pPr>
      <w:rPr>
        <w:rFonts w:ascii="Symbol" w:hAnsi="Symbol"/>
      </w:rPr>
    </w:lvl>
  </w:abstractNum>
  <w:abstractNum w:abstractNumId="5" w15:restartNumberingAfterBreak="0">
    <w:nsid w:val="4A363A3E"/>
    <w:multiLevelType w:val="hybridMultilevel"/>
    <w:tmpl w:val="2172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8140A6"/>
    <w:multiLevelType w:val="hybridMultilevel"/>
    <w:tmpl w:val="C5CC9E04"/>
    <w:lvl w:ilvl="0" w:tplc="A3FA338E">
      <w:start w:val="1"/>
      <w:numFmt w:val="bullet"/>
      <w:lvlText w:val=""/>
      <w:lvlJc w:val="left"/>
      <w:pPr>
        <w:ind w:left="720" w:hanging="360"/>
      </w:pPr>
      <w:rPr>
        <w:rFonts w:ascii="Symbol" w:hAnsi="Symbol"/>
      </w:rPr>
    </w:lvl>
    <w:lvl w:ilvl="1" w:tplc="4FC4636E">
      <w:start w:val="1"/>
      <w:numFmt w:val="bullet"/>
      <w:lvlText w:val=""/>
      <w:lvlJc w:val="left"/>
      <w:pPr>
        <w:ind w:left="720" w:hanging="360"/>
      </w:pPr>
      <w:rPr>
        <w:rFonts w:ascii="Symbol" w:hAnsi="Symbol"/>
      </w:rPr>
    </w:lvl>
    <w:lvl w:ilvl="2" w:tplc="0DC249D6">
      <w:start w:val="1"/>
      <w:numFmt w:val="bullet"/>
      <w:lvlText w:val=""/>
      <w:lvlJc w:val="left"/>
      <w:pPr>
        <w:ind w:left="720" w:hanging="360"/>
      </w:pPr>
      <w:rPr>
        <w:rFonts w:ascii="Symbol" w:hAnsi="Symbol"/>
      </w:rPr>
    </w:lvl>
    <w:lvl w:ilvl="3" w:tplc="F3DE0ECC">
      <w:start w:val="1"/>
      <w:numFmt w:val="bullet"/>
      <w:lvlText w:val=""/>
      <w:lvlJc w:val="left"/>
      <w:pPr>
        <w:ind w:left="720" w:hanging="360"/>
      </w:pPr>
      <w:rPr>
        <w:rFonts w:ascii="Symbol" w:hAnsi="Symbol"/>
      </w:rPr>
    </w:lvl>
    <w:lvl w:ilvl="4" w:tplc="EA54343E">
      <w:start w:val="1"/>
      <w:numFmt w:val="bullet"/>
      <w:lvlText w:val=""/>
      <w:lvlJc w:val="left"/>
      <w:pPr>
        <w:ind w:left="720" w:hanging="360"/>
      </w:pPr>
      <w:rPr>
        <w:rFonts w:ascii="Symbol" w:hAnsi="Symbol"/>
      </w:rPr>
    </w:lvl>
    <w:lvl w:ilvl="5" w:tplc="8F6EE0BA">
      <w:start w:val="1"/>
      <w:numFmt w:val="bullet"/>
      <w:lvlText w:val=""/>
      <w:lvlJc w:val="left"/>
      <w:pPr>
        <w:ind w:left="720" w:hanging="360"/>
      </w:pPr>
      <w:rPr>
        <w:rFonts w:ascii="Symbol" w:hAnsi="Symbol"/>
      </w:rPr>
    </w:lvl>
    <w:lvl w:ilvl="6" w:tplc="EBFCB0E0">
      <w:start w:val="1"/>
      <w:numFmt w:val="bullet"/>
      <w:lvlText w:val=""/>
      <w:lvlJc w:val="left"/>
      <w:pPr>
        <w:ind w:left="720" w:hanging="360"/>
      </w:pPr>
      <w:rPr>
        <w:rFonts w:ascii="Symbol" w:hAnsi="Symbol"/>
      </w:rPr>
    </w:lvl>
    <w:lvl w:ilvl="7" w:tplc="FCEC9D52">
      <w:start w:val="1"/>
      <w:numFmt w:val="bullet"/>
      <w:lvlText w:val=""/>
      <w:lvlJc w:val="left"/>
      <w:pPr>
        <w:ind w:left="720" w:hanging="360"/>
      </w:pPr>
      <w:rPr>
        <w:rFonts w:ascii="Symbol" w:hAnsi="Symbol"/>
      </w:rPr>
    </w:lvl>
    <w:lvl w:ilvl="8" w:tplc="E2764E74">
      <w:start w:val="1"/>
      <w:numFmt w:val="bullet"/>
      <w:lvlText w:val=""/>
      <w:lvlJc w:val="left"/>
      <w:pPr>
        <w:ind w:left="720" w:hanging="360"/>
      </w:pPr>
      <w:rPr>
        <w:rFonts w:ascii="Symbol" w:hAnsi="Symbol"/>
      </w:rPr>
    </w:lvl>
  </w:abstractNum>
  <w:abstractNum w:abstractNumId="7" w15:restartNumberingAfterBreak="0">
    <w:nsid w:val="4DF27094"/>
    <w:multiLevelType w:val="hybridMultilevel"/>
    <w:tmpl w:val="56241ACC"/>
    <w:lvl w:ilvl="0" w:tplc="7A14D742">
      <w:start w:val="1"/>
      <w:numFmt w:val="bullet"/>
      <w:lvlText w:val=""/>
      <w:lvlJc w:val="left"/>
      <w:pPr>
        <w:ind w:left="720" w:hanging="360"/>
      </w:pPr>
      <w:rPr>
        <w:rFonts w:ascii="Symbol" w:hAnsi="Symbol"/>
      </w:rPr>
    </w:lvl>
    <w:lvl w:ilvl="1" w:tplc="7C5683D6">
      <w:start w:val="1"/>
      <w:numFmt w:val="bullet"/>
      <w:lvlText w:val=""/>
      <w:lvlJc w:val="left"/>
      <w:pPr>
        <w:ind w:left="720" w:hanging="360"/>
      </w:pPr>
      <w:rPr>
        <w:rFonts w:ascii="Symbol" w:hAnsi="Symbol"/>
      </w:rPr>
    </w:lvl>
    <w:lvl w:ilvl="2" w:tplc="09B84654">
      <w:start w:val="1"/>
      <w:numFmt w:val="bullet"/>
      <w:lvlText w:val=""/>
      <w:lvlJc w:val="left"/>
      <w:pPr>
        <w:ind w:left="720" w:hanging="360"/>
      </w:pPr>
      <w:rPr>
        <w:rFonts w:ascii="Symbol" w:hAnsi="Symbol"/>
      </w:rPr>
    </w:lvl>
    <w:lvl w:ilvl="3" w:tplc="70DE5B68">
      <w:start w:val="1"/>
      <w:numFmt w:val="bullet"/>
      <w:lvlText w:val=""/>
      <w:lvlJc w:val="left"/>
      <w:pPr>
        <w:ind w:left="720" w:hanging="360"/>
      </w:pPr>
      <w:rPr>
        <w:rFonts w:ascii="Symbol" w:hAnsi="Symbol"/>
      </w:rPr>
    </w:lvl>
    <w:lvl w:ilvl="4" w:tplc="0784B7D8">
      <w:start w:val="1"/>
      <w:numFmt w:val="bullet"/>
      <w:lvlText w:val=""/>
      <w:lvlJc w:val="left"/>
      <w:pPr>
        <w:ind w:left="720" w:hanging="360"/>
      </w:pPr>
      <w:rPr>
        <w:rFonts w:ascii="Symbol" w:hAnsi="Symbol"/>
      </w:rPr>
    </w:lvl>
    <w:lvl w:ilvl="5" w:tplc="61F69EFA">
      <w:start w:val="1"/>
      <w:numFmt w:val="bullet"/>
      <w:lvlText w:val=""/>
      <w:lvlJc w:val="left"/>
      <w:pPr>
        <w:ind w:left="720" w:hanging="360"/>
      </w:pPr>
      <w:rPr>
        <w:rFonts w:ascii="Symbol" w:hAnsi="Symbol"/>
      </w:rPr>
    </w:lvl>
    <w:lvl w:ilvl="6" w:tplc="7C6A5B4A">
      <w:start w:val="1"/>
      <w:numFmt w:val="bullet"/>
      <w:lvlText w:val=""/>
      <w:lvlJc w:val="left"/>
      <w:pPr>
        <w:ind w:left="720" w:hanging="360"/>
      </w:pPr>
      <w:rPr>
        <w:rFonts w:ascii="Symbol" w:hAnsi="Symbol"/>
      </w:rPr>
    </w:lvl>
    <w:lvl w:ilvl="7" w:tplc="A07C6468">
      <w:start w:val="1"/>
      <w:numFmt w:val="bullet"/>
      <w:lvlText w:val=""/>
      <w:lvlJc w:val="left"/>
      <w:pPr>
        <w:ind w:left="720" w:hanging="360"/>
      </w:pPr>
      <w:rPr>
        <w:rFonts w:ascii="Symbol" w:hAnsi="Symbol"/>
      </w:rPr>
    </w:lvl>
    <w:lvl w:ilvl="8" w:tplc="58202D74">
      <w:start w:val="1"/>
      <w:numFmt w:val="bullet"/>
      <w:lvlText w:val=""/>
      <w:lvlJc w:val="left"/>
      <w:pPr>
        <w:ind w:left="720" w:hanging="360"/>
      </w:pPr>
      <w:rPr>
        <w:rFonts w:ascii="Symbol" w:hAnsi="Symbol"/>
      </w:rPr>
    </w:lvl>
  </w:abstractNum>
  <w:num w:numId="1" w16cid:durableId="578252853">
    <w:abstractNumId w:val="5"/>
  </w:num>
  <w:num w:numId="2" w16cid:durableId="1295481417">
    <w:abstractNumId w:val="2"/>
  </w:num>
  <w:num w:numId="3" w16cid:durableId="561520435">
    <w:abstractNumId w:val="4"/>
  </w:num>
  <w:num w:numId="4" w16cid:durableId="746420267">
    <w:abstractNumId w:val="3"/>
  </w:num>
  <w:num w:numId="5" w16cid:durableId="1315140906">
    <w:abstractNumId w:val="1"/>
  </w:num>
  <w:num w:numId="6" w16cid:durableId="717166116">
    <w:abstractNumId w:val="6"/>
  </w:num>
  <w:num w:numId="7" w16cid:durableId="289669255">
    <w:abstractNumId w:val="0"/>
  </w:num>
  <w:num w:numId="8" w16cid:durableId="19186375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MzMwMzI1MTK2NDNV0lEKTi0uzszPAykwNK0FAE4zOD4tAAAA"/>
    <w:docVar w:name="EN.InstantFormat" w:val="&lt;ENInstantFormat&gt;&lt;Enabled&gt;1&lt;/Enabled&gt;&lt;ScanUnformatted&gt;1&lt;/ScanUnformatted&gt;&lt;ScanChanges&gt;1&lt;/ScanChanges&gt;&lt;Suspended&gt;1&lt;/Suspended&gt;&lt;/ENInstantFormat&gt;"/>
  </w:docVars>
  <w:rsids>
    <w:rsidRoot w:val="005902FA"/>
    <w:rsid w:val="00005037"/>
    <w:rsid w:val="00031D0C"/>
    <w:rsid w:val="000339E8"/>
    <w:rsid w:val="00034764"/>
    <w:rsid w:val="00057DC9"/>
    <w:rsid w:val="00073B62"/>
    <w:rsid w:val="00075DD8"/>
    <w:rsid w:val="00076CE1"/>
    <w:rsid w:val="00085946"/>
    <w:rsid w:val="00097BCB"/>
    <w:rsid w:val="000A7973"/>
    <w:rsid w:val="000B7AED"/>
    <w:rsid w:val="000C270C"/>
    <w:rsid w:val="000C69EA"/>
    <w:rsid w:val="000D75C5"/>
    <w:rsid w:val="000E6E58"/>
    <w:rsid w:val="000F5F6C"/>
    <w:rsid w:val="000F7863"/>
    <w:rsid w:val="00123902"/>
    <w:rsid w:val="00134A88"/>
    <w:rsid w:val="00137F89"/>
    <w:rsid w:val="00140F1E"/>
    <w:rsid w:val="00164A0C"/>
    <w:rsid w:val="00172C39"/>
    <w:rsid w:val="00184D4F"/>
    <w:rsid w:val="00187298"/>
    <w:rsid w:val="00196006"/>
    <w:rsid w:val="00196185"/>
    <w:rsid w:val="001A25D9"/>
    <w:rsid w:val="001B12FC"/>
    <w:rsid w:val="001B331C"/>
    <w:rsid w:val="001B6905"/>
    <w:rsid w:val="001C1F26"/>
    <w:rsid w:val="001C2DE4"/>
    <w:rsid w:val="001D1F6A"/>
    <w:rsid w:val="001D2D0F"/>
    <w:rsid w:val="001E17A3"/>
    <w:rsid w:val="001E3C59"/>
    <w:rsid w:val="001F1446"/>
    <w:rsid w:val="001F4B67"/>
    <w:rsid w:val="001F65A6"/>
    <w:rsid w:val="002002D0"/>
    <w:rsid w:val="00200A72"/>
    <w:rsid w:val="00206B83"/>
    <w:rsid w:val="00210DBD"/>
    <w:rsid w:val="0022006C"/>
    <w:rsid w:val="00226049"/>
    <w:rsid w:val="00226341"/>
    <w:rsid w:val="00243B7E"/>
    <w:rsid w:val="0024679D"/>
    <w:rsid w:val="00261187"/>
    <w:rsid w:val="00263B59"/>
    <w:rsid w:val="00265C5E"/>
    <w:rsid w:val="00267D13"/>
    <w:rsid w:val="00275A2A"/>
    <w:rsid w:val="00277176"/>
    <w:rsid w:val="002813DA"/>
    <w:rsid w:val="00297A4F"/>
    <w:rsid w:val="002A23A9"/>
    <w:rsid w:val="002A2AD5"/>
    <w:rsid w:val="002C167B"/>
    <w:rsid w:val="002C3CD5"/>
    <w:rsid w:val="002C3E13"/>
    <w:rsid w:val="002D5CDB"/>
    <w:rsid w:val="002D6414"/>
    <w:rsid w:val="002E3425"/>
    <w:rsid w:val="002F2784"/>
    <w:rsid w:val="00301891"/>
    <w:rsid w:val="0030242C"/>
    <w:rsid w:val="00303851"/>
    <w:rsid w:val="00312E70"/>
    <w:rsid w:val="00315225"/>
    <w:rsid w:val="00320E7B"/>
    <w:rsid w:val="00327828"/>
    <w:rsid w:val="003535D9"/>
    <w:rsid w:val="00360DA0"/>
    <w:rsid w:val="00384172"/>
    <w:rsid w:val="003903E0"/>
    <w:rsid w:val="00390873"/>
    <w:rsid w:val="00393962"/>
    <w:rsid w:val="003957FC"/>
    <w:rsid w:val="003A47DF"/>
    <w:rsid w:val="003A7D64"/>
    <w:rsid w:val="003C2E46"/>
    <w:rsid w:val="003C4E5C"/>
    <w:rsid w:val="003D1D5B"/>
    <w:rsid w:val="003E1FE5"/>
    <w:rsid w:val="003F1CA5"/>
    <w:rsid w:val="003F49C4"/>
    <w:rsid w:val="003F5C0F"/>
    <w:rsid w:val="00413EFA"/>
    <w:rsid w:val="004227F2"/>
    <w:rsid w:val="00430C0C"/>
    <w:rsid w:val="00440349"/>
    <w:rsid w:val="004538B6"/>
    <w:rsid w:val="004559BE"/>
    <w:rsid w:val="00465078"/>
    <w:rsid w:val="0047775B"/>
    <w:rsid w:val="00485D67"/>
    <w:rsid w:val="004879F9"/>
    <w:rsid w:val="00496A79"/>
    <w:rsid w:val="004B1FF3"/>
    <w:rsid w:val="004B2562"/>
    <w:rsid w:val="004D1C65"/>
    <w:rsid w:val="004E4A9B"/>
    <w:rsid w:val="004E7228"/>
    <w:rsid w:val="004F188A"/>
    <w:rsid w:val="004F36EC"/>
    <w:rsid w:val="004F387A"/>
    <w:rsid w:val="00503157"/>
    <w:rsid w:val="0051261D"/>
    <w:rsid w:val="00531A8C"/>
    <w:rsid w:val="00531B6B"/>
    <w:rsid w:val="00536FC6"/>
    <w:rsid w:val="00546A9D"/>
    <w:rsid w:val="00550B36"/>
    <w:rsid w:val="00560A97"/>
    <w:rsid w:val="005663D8"/>
    <w:rsid w:val="0057327C"/>
    <w:rsid w:val="00574549"/>
    <w:rsid w:val="005763F7"/>
    <w:rsid w:val="0058102F"/>
    <w:rsid w:val="005902FA"/>
    <w:rsid w:val="00593652"/>
    <w:rsid w:val="00593E94"/>
    <w:rsid w:val="005A666F"/>
    <w:rsid w:val="005B1979"/>
    <w:rsid w:val="005C3D5C"/>
    <w:rsid w:val="005E3772"/>
    <w:rsid w:val="005E64A7"/>
    <w:rsid w:val="005E656F"/>
    <w:rsid w:val="005E6A59"/>
    <w:rsid w:val="005F2A5F"/>
    <w:rsid w:val="005F6778"/>
    <w:rsid w:val="00605B1A"/>
    <w:rsid w:val="0061303B"/>
    <w:rsid w:val="006142CA"/>
    <w:rsid w:val="00620218"/>
    <w:rsid w:val="00641CDF"/>
    <w:rsid w:val="006501AD"/>
    <w:rsid w:val="0065193D"/>
    <w:rsid w:val="00655140"/>
    <w:rsid w:val="00662F03"/>
    <w:rsid w:val="00695C61"/>
    <w:rsid w:val="00696EE5"/>
    <w:rsid w:val="00697CB6"/>
    <w:rsid w:val="006A0E29"/>
    <w:rsid w:val="006A2318"/>
    <w:rsid w:val="006B260A"/>
    <w:rsid w:val="006B75C5"/>
    <w:rsid w:val="006C0955"/>
    <w:rsid w:val="006C30E2"/>
    <w:rsid w:val="006D2B03"/>
    <w:rsid w:val="006D337E"/>
    <w:rsid w:val="006D4D31"/>
    <w:rsid w:val="006E5763"/>
    <w:rsid w:val="006E7810"/>
    <w:rsid w:val="006E7911"/>
    <w:rsid w:val="006E7F0F"/>
    <w:rsid w:val="00700E2C"/>
    <w:rsid w:val="00722CA1"/>
    <w:rsid w:val="007373A0"/>
    <w:rsid w:val="00747C6D"/>
    <w:rsid w:val="00766EE7"/>
    <w:rsid w:val="00773FE6"/>
    <w:rsid w:val="00790936"/>
    <w:rsid w:val="00790978"/>
    <w:rsid w:val="007D2E78"/>
    <w:rsid w:val="007E703A"/>
    <w:rsid w:val="007E7F86"/>
    <w:rsid w:val="007F084D"/>
    <w:rsid w:val="007F38AA"/>
    <w:rsid w:val="0080060C"/>
    <w:rsid w:val="0080284E"/>
    <w:rsid w:val="00813BCA"/>
    <w:rsid w:val="00815793"/>
    <w:rsid w:val="00817EE2"/>
    <w:rsid w:val="00821CD4"/>
    <w:rsid w:val="00851ED8"/>
    <w:rsid w:val="00865001"/>
    <w:rsid w:val="00865337"/>
    <w:rsid w:val="00870E14"/>
    <w:rsid w:val="0087694C"/>
    <w:rsid w:val="0088137F"/>
    <w:rsid w:val="00882BAA"/>
    <w:rsid w:val="00890403"/>
    <w:rsid w:val="008A1A43"/>
    <w:rsid w:val="008B1955"/>
    <w:rsid w:val="008B3753"/>
    <w:rsid w:val="008B4520"/>
    <w:rsid w:val="008B5627"/>
    <w:rsid w:val="008C6E78"/>
    <w:rsid w:val="008C7F93"/>
    <w:rsid w:val="008D51BD"/>
    <w:rsid w:val="008E5E11"/>
    <w:rsid w:val="00901040"/>
    <w:rsid w:val="0090615F"/>
    <w:rsid w:val="00907A7B"/>
    <w:rsid w:val="009100B6"/>
    <w:rsid w:val="00911CB1"/>
    <w:rsid w:val="00916EAC"/>
    <w:rsid w:val="00923F68"/>
    <w:rsid w:val="00934811"/>
    <w:rsid w:val="00935C76"/>
    <w:rsid w:val="00950D49"/>
    <w:rsid w:val="00952F22"/>
    <w:rsid w:val="009674F8"/>
    <w:rsid w:val="00977D15"/>
    <w:rsid w:val="00985687"/>
    <w:rsid w:val="00986587"/>
    <w:rsid w:val="00990BB4"/>
    <w:rsid w:val="009A2585"/>
    <w:rsid w:val="009A6C51"/>
    <w:rsid w:val="009A7098"/>
    <w:rsid w:val="009C1997"/>
    <w:rsid w:val="009C2316"/>
    <w:rsid w:val="009C514B"/>
    <w:rsid w:val="009D4F9C"/>
    <w:rsid w:val="009D7A73"/>
    <w:rsid w:val="009E15A9"/>
    <w:rsid w:val="009E5A09"/>
    <w:rsid w:val="00A06913"/>
    <w:rsid w:val="00A158A1"/>
    <w:rsid w:val="00A362F9"/>
    <w:rsid w:val="00A53262"/>
    <w:rsid w:val="00A535C3"/>
    <w:rsid w:val="00A63263"/>
    <w:rsid w:val="00A67FB0"/>
    <w:rsid w:val="00A76F09"/>
    <w:rsid w:val="00A80415"/>
    <w:rsid w:val="00AA21C2"/>
    <w:rsid w:val="00AA224D"/>
    <w:rsid w:val="00AA30E6"/>
    <w:rsid w:val="00AA5041"/>
    <w:rsid w:val="00AA750B"/>
    <w:rsid w:val="00AB2431"/>
    <w:rsid w:val="00AD0348"/>
    <w:rsid w:val="00AD2E96"/>
    <w:rsid w:val="00AD6182"/>
    <w:rsid w:val="00AE10BB"/>
    <w:rsid w:val="00AF43B9"/>
    <w:rsid w:val="00AF4626"/>
    <w:rsid w:val="00AF77AC"/>
    <w:rsid w:val="00B01D11"/>
    <w:rsid w:val="00B02DAB"/>
    <w:rsid w:val="00B12587"/>
    <w:rsid w:val="00B25106"/>
    <w:rsid w:val="00B262D4"/>
    <w:rsid w:val="00B33959"/>
    <w:rsid w:val="00B46FF4"/>
    <w:rsid w:val="00B52DE1"/>
    <w:rsid w:val="00B53494"/>
    <w:rsid w:val="00B60F33"/>
    <w:rsid w:val="00B639C2"/>
    <w:rsid w:val="00B74D74"/>
    <w:rsid w:val="00B9193A"/>
    <w:rsid w:val="00B92E75"/>
    <w:rsid w:val="00BA341B"/>
    <w:rsid w:val="00BB7D3F"/>
    <w:rsid w:val="00BC692D"/>
    <w:rsid w:val="00BD2499"/>
    <w:rsid w:val="00BD4430"/>
    <w:rsid w:val="00BF3152"/>
    <w:rsid w:val="00BF5602"/>
    <w:rsid w:val="00C10F11"/>
    <w:rsid w:val="00C17952"/>
    <w:rsid w:val="00C25B40"/>
    <w:rsid w:val="00C319B3"/>
    <w:rsid w:val="00C40696"/>
    <w:rsid w:val="00C46326"/>
    <w:rsid w:val="00C55E0F"/>
    <w:rsid w:val="00C6402A"/>
    <w:rsid w:val="00C701A7"/>
    <w:rsid w:val="00C722C4"/>
    <w:rsid w:val="00C944C4"/>
    <w:rsid w:val="00C952B8"/>
    <w:rsid w:val="00CA1410"/>
    <w:rsid w:val="00CB0C51"/>
    <w:rsid w:val="00CC7028"/>
    <w:rsid w:val="00CD36E2"/>
    <w:rsid w:val="00CD5075"/>
    <w:rsid w:val="00CD5FEA"/>
    <w:rsid w:val="00CD67BA"/>
    <w:rsid w:val="00CE018F"/>
    <w:rsid w:val="00CF3FBF"/>
    <w:rsid w:val="00D12FDA"/>
    <w:rsid w:val="00D138B2"/>
    <w:rsid w:val="00D17645"/>
    <w:rsid w:val="00D22AB1"/>
    <w:rsid w:val="00D23EBC"/>
    <w:rsid w:val="00D30538"/>
    <w:rsid w:val="00D44B70"/>
    <w:rsid w:val="00D44BEF"/>
    <w:rsid w:val="00D510F8"/>
    <w:rsid w:val="00D55AAC"/>
    <w:rsid w:val="00D55B74"/>
    <w:rsid w:val="00D631CF"/>
    <w:rsid w:val="00D65843"/>
    <w:rsid w:val="00D65D18"/>
    <w:rsid w:val="00D71E5F"/>
    <w:rsid w:val="00D73F98"/>
    <w:rsid w:val="00D948D9"/>
    <w:rsid w:val="00DA72D4"/>
    <w:rsid w:val="00DB67FE"/>
    <w:rsid w:val="00DB717F"/>
    <w:rsid w:val="00DC75E5"/>
    <w:rsid w:val="00DD4356"/>
    <w:rsid w:val="00DE7094"/>
    <w:rsid w:val="00E02C80"/>
    <w:rsid w:val="00E066F7"/>
    <w:rsid w:val="00E1190D"/>
    <w:rsid w:val="00E30701"/>
    <w:rsid w:val="00E3113C"/>
    <w:rsid w:val="00E31A13"/>
    <w:rsid w:val="00E6214F"/>
    <w:rsid w:val="00E7614A"/>
    <w:rsid w:val="00E911C0"/>
    <w:rsid w:val="00EA0322"/>
    <w:rsid w:val="00EC2FD3"/>
    <w:rsid w:val="00ED3014"/>
    <w:rsid w:val="00ED7CFB"/>
    <w:rsid w:val="00EE0267"/>
    <w:rsid w:val="00F0231A"/>
    <w:rsid w:val="00F12035"/>
    <w:rsid w:val="00F1533C"/>
    <w:rsid w:val="00F17302"/>
    <w:rsid w:val="00F222AD"/>
    <w:rsid w:val="00F278E8"/>
    <w:rsid w:val="00F34050"/>
    <w:rsid w:val="00F36064"/>
    <w:rsid w:val="00F46A8F"/>
    <w:rsid w:val="00F615D0"/>
    <w:rsid w:val="00F73576"/>
    <w:rsid w:val="00F76AD5"/>
    <w:rsid w:val="00F81D35"/>
    <w:rsid w:val="00FA20B5"/>
    <w:rsid w:val="00FA4119"/>
    <w:rsid w:val="00FB2C38"/>
    <w:rsid w:val="00FB64C0"/>
    <w:rsid w:val="00FC1364"/>
    <w:rsid w:val="00FC3504"/>
    <w:rsid w:val="00FC514C"/>
    <w:rsid w:val="00FC7B84"/>
    <w:rsid w:val="00FD0C9D"/>
    <w:rsid w:val="00FD5FCE"/>
    <w:rsid w:val="00FD792F"/>
    <w:rsid w:val="00FE3777"/>
    <w:rsid w:val="00FE41F3"/>
    <w:rsid w:val="00FE6F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F9D79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FA"/>
    <w:pPr>
      <w:spacing w:after="200" w:line="276" w:lineRule="auto"/>
    </w:pPr>
    <w:rPr>
      <w:rFonts w:ascii="Calibri" w:eastAsia="MS Mincho" w:hAnsi="Calibri"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9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9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9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9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02FA"/>
    <w:rPr>
      <w:sz w:val="16"/>
      <w:szCs w:val="16"/>
    </w:rPr>
  </w:style>
  <w:style w:type="paragraph" w:styleId="CommentText">
    <w:name w:val="annotation text"/>
    <w:basedOn w:val="Normal"/>
    <w:link w:val="CommentTextChar"/>
    <w:uiPriority w:val="99"/>
    <w:unhideWhenUsed/>
    <w:rsid w:val="005902FA"/>
    <w:pPr>
      <w:spacing w:after="0" w:line="240" w:lineRule="auto"/>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5902FA"/>
    <w:rPr>
      <w:rFonts w:eastAsiaTheme="minorEastAsia"/>
      <w:sz w:val="20"/>
      <w:szCs w:val="20"/>
    </w:rPr>
  </w:style>
  <w:style w:type="paragraph" w:styleId="BalloonText">
    <w:name w:val="Balloon Text"/>
    <w:basedOn w:val="Normal"/>
    <w:link w:val="BalloonTextChar"/>
    <w:uiPriority w:val="99"/>
    <w:semiHidden/>
    <w:unhideWhenUsed/>
    <w:rsid w:val="005902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2FA"/>
    <w:rPr>
      <w:rFonts w:ascii="Segoe UI" w:eastAsia="MS Mincho" w:hAnsi="Segoe UI" w:cs="Segoe UI"/>
      <w:sz w:val="18"/>
      <w:szCs w:val="18"/>
      <w:lang w:eastAsia="ja-JP"/>
    </w:rPr>
  </w:style>
  <w:style w:type="paragraph" w:customStyle="1" w:styleId="Body">
    <w:name w:val="Body"/>
    <w:rsid w:val="005902F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Header">
    <w:name w:val="header"/>
    <w:basedOn w:val="Normal"/>
    <w:link w:val="HeaderChar"/>
    <w:uiPriority w:val="99"/>
    <w:unhideWhenUsed/>
    <w:rsid w:val="00590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2FA"/>
    <w:rPr>
      <w:rFonts w:ascii="Calibri" w:eastAsia="MS Mincho" w:hAnsi="Calibri" w:cs="Times New Roman"/>
      <w:lang w:eastAsia="ja-JP"/>
    </w:rPr>
  </w:style>
  <w:style w:type="paragraph" w:styleId="Footer">
    <w:name w:val="footer"/>
    <w:basedOn w:val="Normal"/>
    <w:link w:val="FooterChar"/>
    <w:uiPriority w:val="99"/>
    <w:unhideWhenUsed/>
    <w:rsid w:val="00590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2FA"/>
    <w:rPr>
      <w:rFonts w:ascii="Calibri" w:eastAsia="MS Mincho" w:hAnsi="Calibri" w:cs="Times New Roman"/>
      <w:lang w:eastAsia="ja-JP"/>
    </w:rPr>
  </w:style>
  <w:style w:type="paragraph" w:styleId="ListParagraph">
    <w:name w:val="List Paragraph"/>
    <w:basedOn w:val="Normal"/>
    <w:uiPriority w:val="34"/>
    <w:qFormat/>
    <w:rsid w:val="005902FA"/>
    <w:pPr>
      <w:ind w:left="720"/>
      <w:contextualSpacing/>
    </w:pPr>
  </w:style>
  <w:style w:type="paragraph" w:styleId="CommentSubject">
    <w:name w:val="annotation subject"/>
    <w:basedOn w:val="CommentText"/>
    <w:next w:val="CommentText"/>
    <w:link w:val="CommentSubjectChar"/>
    <w:uiPriority w:val="99"/>
    <w:semiHidden/>
    <w:unhideWhenUsed/>
    <w:rsid w:val="005902FA"/>
    <w:pPr>
      <w:spacing w:after="200"/>
    </w:pPr>
    <w:rPr>
      <w:rFonts w:ascii="Calibri" w:eastAsia="MS Mincho" w:hAnsi="Calibri" w:cs="Times New Roman"/>
      <w:b/>
      <w:bCs/>
      <w:lang w:eastAsia="ja-JP"/>
    </w:rPr>
  </w:style>
  <w:style w:type="character" w:customStyle="1" w:styleId="CommentSubjectChar">
    <w:name w:val="Comment Subject Char"/>
    <w:basedOn w:val="CommentTextChar"/>
    <w:link w:val="CommentSubject"/>
    <w:uiPriority w:val="99"/>
    <w:semiHidden/>
    <w:rsid w:val="005902FA"/>
    <w:rPr>
      <w:rFonts w:ascii="Calibri" w:eastAsia="MS Mincho" w:hAnsi="Calibri" w:cs="Times New Roman"/>
      <w:b/>
      <w:bCs/>
      <w:sz w:val="20"/>
      <w:szCs w:val="20"/>
      <w:lang w:eastAsia="ja-JP"/>
    </w:rPr>
  </w:style>
  <w:style w:type="paragraph" w:styleId="Caption">
    <w:name w:val="caption"/>
    <w:basedOn w:val="Normal"/>
    <w:next w:val="Normal"/>
    <w:uiPriority w:val="35"/>
    <w:unhideWhenUsed/>
    <w:qFormat/>
    <w:rsid w:val="005902FA"/>
    <w:pPr>
      <w:spacing w:line="240" w:lineRule="auto"/>
    </w:pPr>
    <w:rPr>
      <w:i/>
      <w:iCs/>
      <w:color w:val="44546A" w:themeColor="text2"/>
      <w:sz w:val="18"/>
      <w:szCs w:val="18"/>
    </w:rPr>
  </w:style>
  <w:style w:type="paragraph" w:styleId="BodyText">
    <w:name w:val="Body Text"/>
    <w:basedOn w:val="Normal"/>
    <w:link w:val="BodyTextChar"/>
    <w:rsid w:val="005902FA"/>
    <w:pPr>
      <w:tabs>
        <w:tab w:val="left" w:pos="6660"/>
      </w:tabs>
      <w:spacing w:after="0" w:line="240" w:lineRule="auto"/>
      <w:jc w:val="both"/>
    </w:pPr>
    <w:rPr>
      <w:rFonts w:ascii="Times New Roman" w:eastAsia="Times New Roman" w:hAnsi="Times New Roman"/>
      <w:sz w:val="24"/>
      <w:szCs w:val="24"/>
      <w:lang w:val="x-none" w:eastAsia="es-ES"/>
    </w:rPr>
  </w:style>
  <w:style w:type="character" w:customStyle="1" w:styleId="BodyTextChar">
    <w:name w:val="Body Text Char"/>
    <w:basedOn w:val="DefaultParagraphFont"/>
    <w:link w:val="BodyText"/>
    <w:rsid w:val="005902FA"/>
    <w:rPr>
      <w:rFonts w:ascii="Times New Roman" w:eastAsia="Times New Roman" w:hAnsi="Times New Roman" w:cs="Times New Roman"/>
      <w:sz w:val="24"/>
      <w:szCs w:val="24"/>
      <w:lang w:val="x-none" w:eastAsia="es-ES"/>
    </w:rPr>
  </w:style>
  <w:style w:type="paragraph" w:styleId="Revision">
    <w:name w:val="Revision"/>
    <w:hidden/>
    <w:uiPriority w:val="99"/>
    <w:semiHidden/>
    <w:rsid w:val="005902FA"/>
    <w:pPr>
      <w:spacing w:after="0" w:line="240" w:lineRule="auto"/>
    </w:pPr>
    <w:rPr>
      <w:rFonts w:ascii="Calibri" w:eastAsia="MS Mincho" w:hAnsi="Calibri" w:cs="Times New Roman"/>
      <w:lang w:eastAsia="ja-JP"/>
    </w:rPr>
  </w:style>
  <w:style w:type="paragraph" w:customStyle="1" w:styleId="EndNoteBibliographyTitle">
    <w:name w:val="EndNote Bibliography Title"/>
    <w:basedOn w:val="Normal"/>
    <w:link w:val="EndNoteBibliographyTitleChar"/>
    <w:rsid w:val="005902FA"/>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5902FA"/>
    <w:rPr>
      <w:rFonts w:ascii="Calibri" w:eastAsia="MS Mincho" w:hAnsi="Calibri" w:cs="Calibri"/>
      <w:noProof/>
      <w:lang w:eastAsia="ja-JP"/>
    </w:rPr>
  </w:style>
  <w:style w:type="paragraph" w:customStyle="1" w:styleId="EndNoteBibliography">
    <w:name w:val="EndNote Bibliography"/>
    <w:basedOn w:val="Normal"/>
    <w:link w:val="EndNoteBibliographyChar"/>
    <w:rsid w:val="005902FA"/>
    <w:pPr>
      <w:spacing w:line="240" w:lineRule="auto"/>
    </w:pPr>
    <w:rPr>
      <w:rFonts w:cs="Calibri"/>
      <w:noProof/>
    </w:rPr>
  </w:style>
  <w:style w:type="character" w:customStyle="1" w:styleId="EndNoteBibliographyChar">
    <w:name w:val="EndNote Bibliography Char"/>
    <w:basedOn w:val="DefaultParagraphFont"/>
    <w:link w:val="EndNoteBibliography"/>
    <w:rsid w:val="005902FA"/>
    <w:rPr>
      <w:rFonts w:ascii="Calibri" w:eastAsia="MS Mincho" w:hAnsi="Calibri" w:cs="Calibri"/>
      <w:noProof/>
      <w:lang w:eastAsia="ja-JP"/>
    </w:rPr>
  </w:style>
  <w:style w:type="character" w:styleId="Hyperlink">
    <w:name w:val="Hyperlink"/>
    <w:basedOn w:val="DefaultParagraphFont"/>
    <w:uiPriority w:val="99"/>
    <w:unhideWhenUsed/>
    <w:rsid w:val="005902FA"/>
    <w:rPr>
      <w:color w:val="0563C1" w:themeColor="hyperlink"/>
      <w:u w:val="single"/>
    </w:rPr>
  </w:style>
  <w:style w:type="character" w:customStyle="1" w:styleId="UnresolvedMention1">
    <w:name w:val="Unresolved Mention1"/>
    <w:basedOn w:val="DefaultParagraphFont"/>
    <w:uiPriority w:val="99"/>
    <w:semiHidden/>
    <w:unhideWhenUsed/>
    <w:rsid w:val="005902FA"/>
    <w:rPr>
      <w:color w:val="605E5C"/>
      <w:shd w:val="clear" w:color="auto" w:fill="E1DFDD"/>
    </w:rPr>
  </w:style>
  <w:style w:type="character" w:styleId="UnresolvedMention">
    <w:name w:val="Unresolved Mention"/>
    <w:basedOn w:val="DefaultParagraphFont"/>
    <w:uiPriority w:val="99"/>
    <w:semiHidden/>
    <w:unhideWhenUsed/>
    <w:rsid w:val="004E7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ijpp.2017.05.01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6524D-58EA-4297-BA2E-D8298B7C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9226</Words>
  <Characters>52169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2024-05-20T09:11:00Z</dcterms:created>
  <dcterms:modified xsi:type="dcterms:W3CDTF">2024-05-20T09:29:00Z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a222d8a2d565a17136214008fee4ff134fa44d243f9f9bf964dae4bd22b6e721</vt:lpwstr>
  </property>
</Properties>
</file>