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FB43" w14:textId="68C460EE" w:rsidR="009B72EE" w:rsidRPr="009B72EE" w:rsidRDefault="009B72EE" w:rsidP="009B72EE">
      <w:pPr>
        <w:jc w:val="center"/>
        <w:rPr>
          <w:sz w:val="36"/>
          <w:szCs w:val="36"/>
        </w:rPr>
      </w:pPr>
      <w:r w:rsidRPr="001267EE">
        <w:rPr>
          <w:sz w:val="36"/>
          <w:szCs w:val="36"/>
        </w:rPr>
        <w:t xml:space="preserve">Supplementary </w:t>
      </w:r>
      <w:r w:rsidR="00671CC1">
        <w:rPr>
          <w:sz w:val="36"/>
          <w:szCs w:val="36"/>
        </w:rPr>
        <w:t>Information’s</w:t>
      </w:r>
      <w:r w:rsidRPr="001267EE">
        <w:rPr>
          <w:sz w:val="36"/>
          <w:szCs w:val="36"/>
        </w:rPr>
        <w:t xml:space="preserve"> to</w:t>
      </w:r>
    </w:p>
    <w:p w14:paraId="4D303281" w14:textId="6201BC2D" w:rsidR="009B72EE" w:rsidRPr="0033547D" w:rsidRDefault="009B72EE" w:rsidP="009B72E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40"/>
          <w:szCs w:val="40"/>
          <w:lang w:bidi="ne-NP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ne-NP"/>
        </w:rPr>
        <w:t>Molecular beam e</w:t>
      </w:r>
      <w:r w:rsidRPr="0033547D">
        <w:rPr>
          <w:rFonts w:ascii="Times New Roman" w:hAnsi="Times New Roman" w:cs="Times New Roman"/>
          <w:b/>
          <w:bCs/>
          <w:sz w:val="40"/>
          <w:szCs w:val="40"/>
          <w:lang w:bidi="ne-NP"/>
        </w:rPr>
        <w:t>pitaxy</w:t>
      </w:r>
      <w:r>
        <w:rPr>
          <w:rFonts w:ascii="Times New Roman" w:hAnsi="Times New Roman" w:cs="Times New Roman"/>
          <w:b/>
          <w:bCs/>
          <w:sz w:val="40"/>
          <w:szCs w:val="40"/>
          <w:lang w:bidi="ne-NP"/>
        </w:rPr>
        <w:t xml:space="preserve"> growth of non-magnetic Weyl semimetal </w:t>
      </w:r>
      <w:proofErr w:type="spellStart"/>
      <w:r w:rsidRPr="007B2227">
        <w:rPr>
          <w:rFonts w:ascii="Times New Roman" w:hAnsi="Times New Roman" w:cs="Times New Roman"/>
          <w:b/>
          <w:bCs/>
          <w:sz w:val="40"/>
          <w:szCs w:val="40"/>
          <w:lang w:bidi="ne-NP"/>
        </w:rPr>
        <w:t>La</w:t>
      </w:r>
      <w:r>
        <w:rPr>
          <w:rFonts w:ascii="Times New Roman" w:hAnsi="Times New Roman" w:cs="Times New Roman"/>
          <w:b/>
          <w:bCs/>
          <w:sz w:val="40"/>
          <w:szCs w:val="40"/>
          <w:lang w:bidi="ne-NP"/>
        </w:rPr>
        <w:t>AlGe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bidi="ne-NP"/>
        </w:rPr>
        <w:t xml:space="preserve"> thin film</w:t>
      </w:r>
    </w:p>
    <w:p w14:paraId="4D0E68D0" w14:textId="77777777" w:rsidR="009B72EE" w:rsidRPr="005D2F17" w:rsidRDefault="009B72EE" w:rsidP="009B72EE">
      <w:pPr>
        <w:autoSpaceDE w:val="0"/>
        <w:autoSpaceDN w:val="0"/>
        <w:adjustRightInd w:val="0"/>
        <w:spacing w:after="0" w:line="480" w:lineRule="auto"/>
        <w:rPr>
          <w:rFonts w:ascii="NimbusSanL-Bold" w:hAnsi="NimbusSanL-Bold" w:cs="NimbusSanL-Bold"/>
          <w:b/>
          <w:bCs/>
          <w:sz w:val="24"/>
          <w:szCs w:val="24"/>
          <w:lang w:bidi="ne-NP"/>
        </w:rPr>
      </w:pPr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>Niraj Bhattarai</w:t>
      </w:r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1,</w:t>
      </w:r>
      <w:proofErr w:type="gramStart"/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2,*</w:t>
      </w:r>
      <w:proofErr w:type="gramEnd"/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>,  Andrew W. Forbes</w:t>
      </w:r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1,2</w:t>
      </w:r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 xml:space="preserve">, Rajendra P. </w:t>
      </w:r>
      <w:proofErr w:type="spellStart"/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>Dulal</w:t>
      </w:r>
      <w:proofErr w:type="spellEnd"/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 xml:space="preserve"> </w:t>
      </w:r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3</w:t>
      </w:r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>, Ian L. Pegg</w:t>
      </w:r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1,2</w:t>
      </w:r>
      <w:r>
        <w:rPr>
          <w:rFonts w:ascii="NimbusSanL-Bold" w:hAnsi="NimbusSanL-Bold" w:cs="NimbusSanL-Bold"/>
          <w:b/>
          <w:bCs/>
          <w:sz w:val="24"/>
          <w:szCs w:val="24"/>
          <w:lang w:bidi="ne-NP"/>
        </w:rPr>
        <w:t>, and John Philip</w:t>
      </w:r>
      <w:r>
        <w:rPr>
          <w:rFonts w:ascii="NimbusSanL-Bold" w:hAnsi="NimbusSanL-Bold" w:cs="NimbusSanL-Bold"/>
          <w:b/>
          <w:bCs/>
          <w:sz w:val="24"/>
          <w:szCs w:val="24"/>
          <w:vertAlign w:val="superscript"/>
          <w:lang w:bidi="ne-NP"/>
        </w:rPr>
        <w:t>1,2</w:t>
      </w:r>
    </w:p>
    <w:p w14:paraId="3CD7C742" w14:textId="77777777" w:rsidR="009B72EE" w:rsidRPr="0033547D" w:rsidRDefault="009B72EE" w:rsidP="009B72EE">
      <w:pPr>
        <w:autoSpaceDE w:val="0"/>
        <w:autoSpaceDN w:val="0"/>
        <w:adjustRightInd w:val="0"/>
        <w:spacing w:after="0" w:line="480" w:lineRule="auto"/>
        <w:rPr>
          <w:rFonts w:ascii="NimbusSanL-Regu" w:hAnsi="NimbusSanL-Regu" w:cs="NimbusSanL-Regu"/>
          <w:lang w:bidi="ne-NP"/>
        </w:rPr>
      </w:pPr>
      <w:r w:rsidRPr="0033547D">
        <w:rPr>
          <w:rFonts w:ascii="NimbusRomNo9L-Regu" w:hAnsi="NimbusRomNo9L-Regu" w:cs="NimbusRomNo9L-Regu"/>
          <w:vertAlign w:val="superscript"/>
          <w:lang w:bidi="ne-NP"/>
        </w:rPr>
        <w:t>1</w:t>
      </w:r>
      <w:r w:rsidRPr="0033547D">
        <w:rPr>
          <w:rFonts w:ascii="NimbusSanL-Regu" w:hAnsi="NimbusSanL-Regu" w:cs="NimbusSanL-Regu"/>
          <w:lang w:bidi="ne-NP"/>
        </w:rPr>
        <w:t>Department of Physics, The Catholic University of America, Washington, DC, 20064, USA.</w:t>
      </w:r>
    </w:p>
    <w:p w14:paraId="3D0404B2" w14:textId="77777777" w:rsidR="009B72EE" w:rsidRPr="0033547D" w:rsidRDefault="009B72EE" w:rsidP="009B72EE">
      <w:pPr>
        <w:autoSpaceDE w:val="0"/>
        <w:autoSpaceDN w:val="0"/>
        <w:adjustRightInd w:val="0"/>
        <w:spacing w:after="0" w:line="480" w:lineRule="auto"/>
        <w:rPr>
          <w:rFonts w:ascii="NimbusSanL-Regu" w:hAnsi="NimbusSanL-Regu" w:cs="NimbusSanL-Regu"/>
          <w:lang w:bidi="ne-NP"/>
        </w:rPr>
      </w:pPr>
      <w:r w:rsidRPr="0033547D">
        <w:rPr>
          <w:rFonts w:ascii="NimbusRomNo9L-Regu" w:hAnsi="NimbusRomNo9L-Regu" w:cs="NimbusRomNo9L-Regu"/>
          <w:vertAlign w:val="superscript"/>
          <w:lang w:bidi="ne-NP"/>
        </w:rPr>
        <w:t>2</w:t>
      </w:r>
      <w:r w:rsidRPr="0033547D">
        <w:rPr>
          <w:rFonts w:ascii="NimbusSanL-Regu" w:hAnsi="NimbusSanL-Regu" w:cs="NimbusSanL-Regu"/>
          <w:lang w:bidi="ne-NP"/>
        </w:rPr>
        <w:t>The Vitreous State Laboratory, The Catholic University of America, Washington, DC, 20064, USA.</w:t>
      </w:r>
    </w:p>
    <w:p w14:paraId="5E34F2B6" w14:textId="77777777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  <w:r w:rsidRPr="0033547D">
        <w:rPr>
          <w:rFonts w:ascii="NimbusRomNo9L-Regu" w:hAnsi="NimbusRomNo9L-Regu" w:cs="NimbusRomNo9L-Regu"/>
          <w:vertAlign w:val="superscript"/>
          <w:lang w:bidi="ne-NP"/>
        </w:rPr>
        <w:t>3</w:t>
      </w:r>
      <w:r w:rsidRPr="0033547D">
        <w:rPr>
          <w:rFonts w:ascii="NimbusSanL-Regu" w:hAnsi="NimbusSanL-Regu" w:cs="NimbusSanL-Regu"/>
          <w:lang w:bidi="ne-NP"/>
        </w:rPr>
        <w:t>Institute for Quantum Physics, Advanced Physics Laboratory, Chapman University, MD, 20866, USA.</w:t>
      </w:r>
    </w:p>
    <w:p w14:paraId="64CEFACC" w14:textId="4063EEA3" w:rsidR="00EA5704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  <w:r>
        <w:rPr>
          <w:rFonts w:ascii="NimbusSanL-Regu" w:hAnsi="NimbusSanL-Regu" w:cs="NimbusSanL-Regu"/>
          <w:lang w:bidi="ne-NP"/>
        </w:rPr>
        <w:t xml:space="preserve">*Corresponding author: </w:t>
      </w:r>
      <w:hyperlink r:id="rId4" w:history="1">
        <w:r w:rsidRPr="00A9207B">
          <w:rPr>
            <w:rStyle w:val="Hyperlink"/>
            <w:rFonts w:ascii="NimbusSanL-Regu" w:hAnsi="NimbusSanL-Regu" w:cs="NimbusSanL-Regu"/>
            <w:lang w:bidi="ne-NP"/>
          </w:rPr>
          <w:t>bhattarai@cua.edu</w:t>
        </w:r>
      </w:hyperlink>
    </w:p>
    <w:p w14:paraId="08DAC7DB" w14:textId="09E96EBC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  <w:bookmarkStart w:id="0" w:name="_GoBack"/>
      <w:bookmarkEnd w:id="0"/>
    </w:p>
    <w:p w14:paraId="5B49DB77" w14:textId="3B7554C6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1F420307" w14:textId="427AE7E1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001E6F65" w14:textId="2AA42233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75C0D452" w14:textId="019E3532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2D6B65C1" w14:textId="77777777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645E75A4" w14:textId="16D3F384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5C31C7BF" w14:textId="7CC8DE72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410AC97A" w14:textId="55E03625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158A07B4" w14:textId="6B4B892C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131BED6D" w14:textId="2301A585" w:rsidR="009B72EE" w:rsidRPr="00EC1DFB" w:rsidRDefault="009B72EE" w:rsidP="009B72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bidi="ne-NP"/>
        </w:rPr>
      </w:pPr>
      <w:r w:rsidRPr="00EC1DFB"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t>S1</w:t>
      </w:r>
      <w:r w:rsidRPr="00EC1DFB"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t xml:space="preserve">. </w:t>
      </w:r>
      <w:r w:rsidRPr="00EC1DFB">
        <w:rPr>
          <w:rFonts w:ascii="Times New Roman" w:hAnsi="Times New Roman" w:cs="Times New Roman"/>
          <w:noProof/>
          <w:sz w:val="24"/>
          <w:szCs w:val="24"/>
          <w:lang w:bidi="ne-NP"/>
        </w:rPr>
        <w:t>Positional parameters of atoms in LaAlGe and occupancy (Occ)</w: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t xml:space="preserve"> with important distances in fractional coordinates</w:t>
      </w:r>
      <w:r w:rsidRPr="00EC1DFB">
        <w:rPr>
          <w:rFonts w:ascii="Times New Roman" w:hAnsi="Times New Roman" w:cs="Times New Roman"/>
          <w:noProof/>
          <w:sz w:val="24"/>
          <w:szCs w:val="24"/>
          <w:lang w:bidi="ne-N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62"/>
        <w:gridCol w:w="1862"/>
        <w:gridCol w:w="1876"/>
        <w:gridCol w:w="1872"/>
      </w:tblGrid>
      <w:tr w:rsidR="009B72EE" w:rsidRPr="00282C36" w14:paraId="103AEE4B" w14:textId="77777777" w:rsidTr="006E3B43">
        <w:tc>
          <w:tcPr>
            <w:tcW w:w="1915" w:type="dxa"/>
          </w:tcPr>
          <w:p w14:paraId="31702E4A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Atom</w:t>
            </w:r>
          </w:p>
        </w:tc>
        <w:tc>
          <w:tcPr>
            <w:tcW w:w="1915" w:type="dxa"/>
          </w:tcPr>
          <w:p w14:paraId="37AC8F7F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  <w:t>x</w:t>
            </w:r>
          </w:p>
        </w:tc>
        <w:tc>
          <w:tcPr>
            <w:tcW w:w="1915" w:type="dxa"/>
          </w:tcPr>
          <w:p w14:paraId="7209C0F8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  <w:t>y</w:t>
            </w:r>
          </w:p>
        </w:tc>
        <w:tc>
          <w:tcPr>
            <w:tcW w:w="1915" w:type="dxa"/>
          </w:tcPr>
          <w:p w14:paraId="7B3CCF05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bidi="ne-NP"/>
              </w:rPr>
              <w:t>z</w:t>
            </w:r>
          </w:p>
        </w:tc>
        <w:tc>
          <w:tcPr>
            <w:tcW w:w="1916" w:type="dxa"/>
          </w:tcPr>
          <w:p w14:paraId="66DEE66E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Occ</w:t>
            </w:r>
          </w:p>
        </w:tc>
      </w:tr>
      <w:tr w:rsidR="009B72EE" w:rsidRPr="00282C36" w14:paraId="1F83ECE4" w14:textId="77777777" w:rsidTr="006E3B43">
        <w:tc>
          <w:tcPr>
            <w:tcW w:w="1915" w:type="dxa"/>
          </w:tcPr>
          <w:p w14:paraId="3FD46F0A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La</w:t>
            </w:r>
          </w:p>
        </w:tc>
        <w:tc>
          <w:tcPr>
            <w:tcW w:w="1915" w:type="dxa"/>
          </w:tcPr>
          <w:p w14:paraId="53B4AA86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54FEB2FE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4A258BB8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6" w:type="dxa"/>
          </w:tcPr>
          <w:p w14:paraId="1D6DFCB2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1</w:t>
            </w:r>
          </w:p>
        </w:tc>
      </w:tr>
      <w:tr w:rsidR="009B72EE" w:rsidRPr="00282C36" w14:paraId="1D18B92E" w14:textId="77777777" w:rsidTr="006E3B43">
        <w:tc>
          <w:tcPr>
            <w:tcW w:w="1915" w:type="dxa"/>
          </w:tcPr>
          <w:p w14:paraId="2323B175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Al</w:t>
            </w:r>
          </w:p>
        </w:tc>
        <w:tc>
          <w:tcPr>
            <w:tcW w:w="1915" w:type="dxa"/>
          </w:tcPr>
          <w:p w14:paraId="2B5BAC0C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76E41A54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27D2FDC8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0.582</w:t>
            </w:r>
          </w:p>
        </w:tc>
        <w:tc>
          <w:tcPr>
            <w:tcW w:w="1916" w:type="dxa"/>
          </w:tcPr>
          <w:p w14:paraId="645E9F78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1</w:t>
            </w:r>
          </w:p>
        </w:tc>
      </w:tr>
      <w:tr w:rsidR="009B72EE" w:rsidRPr="00282C36" w14:paraId="2D71887A" w14:textId="77777777" w:rsidTr="006E3B43">
        <w:tc>
          <w:tcPr>
            <w:tcW w:w="1915" w:type="dxa"/>
          </w:tcPr>
          <w:p w14:paraId="5884D37B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 w:rsidRPr="00282C3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Ge</w:t>
            </w:r>
          </w:p>
        </w:tc>
        <w:tc>
          <w:tcPr>
            <w:tcW w:w="1915" w:type="dxa"/>
          </w:tcPr>
          <w:p w14:paraId="7AB1F13E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1780D661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</w:t>
            </w:r>
          </w:p>
        </w:tc>
        <w:tc>
          <w:tcPr>
            <w:tcW w:w="1915" w:type="dxa"/>
          </w:tcPr>
          <w:p w14:paraId="44AD0EA5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0.416</w:t>
            </w:r>
          </w:p>
        </w:tc>
        <w:tc>
          <w:tcPr>
            <w:tcW w:w="1916" w:type="dxa"/>
          </w:tcPr>
          <w:p w14:paraId="3E17ADC1" w14:textId="77777777" w:rsidR="009B72EE" w:rsidRPr="00282C36" w:rsidRDefault="009B72EE" w:rsidP="006E3B4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ne-NP"/>
              </w:rPr>
              <w:t>1</w:t>
            </w:r>
          </w:p>
        </w:tc>
      </w:tr>
    </w:tbl>
    <w:p w14:paraId="4BDA5C83" w14:textId="778D6F1B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07EC6742" w14:textId="1341F99D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6511BD12" w14:textId="748F4EDA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38D0EFF1" w14:textId="4291B602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6B00532D" w14:textId="0683C722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087B187B" w14:textId="7566D1D7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048D16ED" w14:textId="33B53247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49569FC4" w14:textId="1B3BF11B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659D568C" w14:textId="600E2C79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1ACD0237" w14:textId="45DAACCE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712436D8" w14:textId="1558FEC6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1232A09D" w14:textId="3B4860BB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26EE6E7D" w14:textId="612A1B2D" w:rsidR="009B72EE" w:rsidRPr="004475ED" w:rsidRDefault="009B72EE" w:rsidP="009B72EE">
      <w:pPr>
        <w:jc w:val="both"/>
        <w:rPr>
          <w:sz w:val="24"/>
          <w:szCs w:val="24"/>
        </w:rPr>
      </w:pPr>
      <w:r w:rsidRPr="00EC1DFB"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t>S2</w:t>
      </w:r>
      <w:r w:rsidRPr="00EC1DFB">
        <w:rPr>
          <w:rFonts w:ascii="Times New Roman" w:hAnsi="Times New Roman" w:cs="Times New Roman"/>
          <w:b/>
          <w:bCs/>
          <w:noProof/>
          <w:sz w:val="24"/>
          <w:szCs w:val="24"/>
          <w:lang w:bidi="ne-NP"/>
        </w:rPr>
        <w:t xml:space="preserve">. </w:t>
      </w:r>
      <w:r w:rsidRPr="009B72EE">
        <w:rPr>
          <w:bCs/>
          <w:sz w:val="24"/>
          <w:szCs w:val="24"/>
        </w:rPr>
        <w:t xml:space="preserve">The quantitative results of EDS analyses taken from four different spots of a film shown </w:t>
      </w:r>
      <w:r w:rsidR="0001052C">
        <w:rPr>
          <w:bCs/>
          <w:sz w:val="24"/>
          <w:szCs w:val="24"/>
        </w:rPr>
        <w:t>as an</w:t>
      </w:r>
      <w:r w:rsidRPr="009B72EE">
        <w:rPr>
          <w:bCs/>
          <w:sz w:val="24"/>
          <w:szCs w:val="24"/>
        </w:rPr>
        <w:t xml:space="preserve"> inset Figure 2(f).</w:t>
      </w:r>
    </w:p>
    <w:p w14:paraId="62B3BA87" w14:textId="77777777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339"/>
        <w:gridCol w:w="2339"/>
        <w:gridCol w:w="2339"/>
      </w:tblGrid>
      <w:tr w:rsidR="009B72EE" w14:paraId="79BBB782" w14:textId="77777777" w:rsidTr="006E3B43">
        <w:tc>
          <w:tcPr>
            <w:tcW w:w="2394" w:type="dxa"/>
          </w:tcPr>
          <w:p w14:paraId="0697620E" w14:textId="77777777" w:rsidR="009B72EE" w:rsidRDefault="009B72EE" w:rsidP="006E3B43">
            <w:pPr>
              <w:jc w:val="both"/>
            </w:pPr>
            <w:r>
              <w:t>spot</w:t>
            </w:r>
          </w:p>
        </w:tc>
        <w:tc>
          <w:tcPr>
            <w:tcW w:w="2394" w:type="dxa"/>
          </w:tcPr>
          <w:p w14:paraId="789958EC" w14:textId="77777777" w:rsidR="009B72EE" w:rsidRDefault="009B72EE" w:rsidP="006E3B43">
            <w:pPr>
              <w:jc w:val="both"/>
            </w:pPr>
            <w:r>
              <w:t>La (Atomic %)</w:t>
            </w:r>
          </w:p>
        </w:tc>
        <w:tc>
          <w:tcPr>
            <w:tcW w:w="2394" w:type="dxa"/>
          </w:tcPr>
          <w:p w14:paraId="2DF54B86" w14:textId="77777777" w:rsidR="009B72EE" w:rsidRDefault="009B72EE" w:rsidP="006E3B43">
            <w:pPr>
              <w:jc w:val="both"/>
            </w:pPr>
            <w:r>
              <w:t>Al (Atomic %)</w:t>
            </w:r>
          </w:p>
        </w:tc>
        <w:tc>
          <w:tcPr>
            <w:tcW w:w="2394" w:type="dxa"/>
          </w:tcPr>
          <w:p w14:paraId="365F1BD6" w14:textId="77777777" w:rsidR="009B72EE" w:rsidRDefault="009B72EE" w:rsidP="006E3B43">
            <w:pPr>
              <w:jc w:val="both"/>
            </w:pPr>
            <w:r>
              <w:t>Ge (Atomic %)</w:t>
            </w:r>
          </w:p>
        </w:tc>
      </w:tr>
      <w:tr w:rsidR="009B72EE" w14:paraId="7E5EB5FB" w14:textId="77777777" w:rsidTr="006E3B43">
        <w:tc>
          <w:tcPr>
            <w:tcW w:w="2394" w:type="dxa"/>
          </w:tcPr>
          <w:p w14:paraId="317BDD1B" w14:textId="77777777" w:rsidR="009B72EE" w:rsidRDefault="009B72EE" w:rsidP="006E3B43">
            <w:pPr>
              <w:jc w:val="both"/>
            </w:pPr>
            <w:r>
              <w:t>1</w:t>
            </w:r>
          </w:p>
        </w:tc>
        <w:tc>
          <w:tcPr>
            <w:tcW w:w="2394" w:type="dxa"/>
          </w:tcPr>
          <w:p w14:paraId="77DE176B" w14:textId="77777777" w:rsidR="009B72EE" w:rsidRDefault="009B72EE" w:rsidP="006E3B43">
            <w:pPr>
              <w:jc w:val="both"/>
            </w:pPr>
            <w:r>
              <w:t>35.1</w:t>
            </w:r>
          </w:p>
        </w:tc>
        <w:tc>
          <w:tcPr>
            <w:tcW w:w="2394" w:type="dxa"/>
          </w:tcPr>
          <w:p w14:paraId="1E355012" w14:textId="77777777" w:rsidR="009B72EE" w:rsidRDefault="009B72EE" w:rsidP="006E3B43">
            <w:pPr>
              <w:jc w:val="both"/>
            </w:pPr>
            <w:r>
              <w:t>31.4</w:t>
            </w:r>
          </w:p>
        </w:tc>
        <w:tc>
          <w:tcPr>
            <w:tcW w:w="2394" w:type="dxa"/>
          </w:tcPr>
          <w:p w14:paraId="7E4D811A" w14:textId="77777777" w:rsidR="009B72EE" w:rsidRDefault="009B72EE" w:rsidP="006E3B43">
            <w:pPr>
              <w:jc w:val="both"/>
            </w:pPr>
            <w:r>
              <w:t>33.5</w:t>
            </w:r>
          </w:p>
        </w:tc>
      </w:tr>
      <w:tr w:rsidR="009B72EE" w14:paraId="29E7E470" w14:textId="77777777" w:rsidTr="006E3B43">
        <w:tc>
          <w:tcPr>
            <w:tcW w:w="2394" w:type="dxa"/>
          </w:tcPr>
          <w:p w14:paraId="127861FC" w14:textId="77777777" w:rsidR="009B72EE" w:rsidRDefault="009B72EE" w:rsidP="006E3B43">
            <w:pPr>
              <w:jc w:val="both"/>
            </w:pPr>
            <w:r>
              <w:t>2</w:t>
            </w:r>
          </w:p>
        </w:tc>
        <w:tc>
          <w:tcPr>
            <w:tcW w:w="2394" w:type="dxa"/>
          </w:tcPr>
          <w:p w14:paraId="2F53C781" w14:textId="77777777" w:rsidR="009B72EE" w:rsidRDefault="009B72EE" w:rsidP="006E3B43">
            <w:pPr>
              <w:jc w:val="both"/>
            </w:pPr>
            <w:r>
              <w:t>34.1</w:t>
            </w:r>
          </w:p>
        </w:tc>
        <w:tc>
          <w:tcPr>
            <w:tcW w:w="2394" w:type="dxa"/>
          </w:tcPr>
          <w:p w14:paraId="3C197A3A" w14:textId="77777777" w:rsidR="009B72EE" w:rsidRDefault="009B72EE" w:rsidP="006E3B43">
            <w:pPr>
              <w:jc w:val="both"/>
            </w:pPr>
            <w:r>
              <w:t>33.3</w:t>
            </w:r>
          </w:p>
        </w:tc>
        <w:tc>
          <w:tcPr>
            <w:tcW w:w="2394" w:type="dxa"/>
          </w:tcPr>
          <w:p w14:paraId="3872DF28" w14:textId="77777777" w:rsidR="009B72EE" w:rsidRDefault="009B72EE" w:rsidP="006E3B43">
            <w:pPr>
              <w:jc w:val="both"/>
            </w:pPr>
            <w:r>
              <w:t>32.6</w:t>
            </w:r>
          </w:p>
        </w:tc>
      </w:tr>
      <w:tr w:rsidR="009B72EE" w14:paraId="60036FA2" w14:textId="77777777" w:rsidTr="006E3B43">
        <w:tc>
          <w:tcPr>
            <w:tcW w:w="2394" w:type="dxa"/>
          </w:tcPr>
          <w:p w14:paraId="40336D89" w14:textId="77777777" w:rsidR="009B72EE" w:rsidRDefault="009B72EE" w:rsidP="006E3B43">
            <w:pPr>
              <w:jc w:val="both"/>
            </w:pPr>
            <w:r>
              <w:t>3</w:t>
            </w:r>
          </w:p>
        </w:tc>
        <w:tc>
          <w:tcPr>
            <w:tcW w:w="2394" w:type="dxa"/>
          </w:tcPr>
          <w:p w14:paraId="0FFDFA3D" w14:textId="77777777" w:rsidR="009B72EE" w:rsidRDefault="009B72EE" w:rsidP="006E3B43">
            <w:pPr>
              <w:jc w:val="both"/>
            </w:pPr>
            <w:r>
              <w:t>33.7</w:t>
            </w:r>
          </w:p>
        </w:tc>
        <w:tc>
          <w:tcPr>
            <w:tcW w:w="2394" w:type="dxa"/>
          </w:tcPr>
          <w:p w14:paraId="1D75A4FE" w14:textId="77777777" w:rsidR="009B72EE" w:rsidRDefault="009B72EE" w:rsidP="006E3B43">
            <w:pPr>
              <w:jc w:val="both"/>
            </w:pPr>
            <w:r>
              <w:t>32.2</w:t>
            </w:r>
          </w:p>
        </w:tc>
        <w:tc>
          <w:tcPr>
            <w:tcW w:w="2394" w:type="dxa"/>
          </w:tcPr>
          <w:p w14:paraId="45476BE8" w14:textId="77777777" w:rsidR="009B72EE" w:rsidRDefault="009B72EE" w:rsidP="006E3B43">
            <w:pPr>
              <w:jc w:val="both"/>
            </w:pPr>
            <w:r>
              <w:t>34.1</w:t>
            </w:r>
          </w:p>
        </w:tc>
      </w:tr>
      <w:tr w:rsidR="009B72EE" w14:paraId="40EAED6F" w14:textId="77777777" w:rsidTr="006E3B43">
        <w:tc>
          <w:tcPr>
            <w:tcW w:w="2394" w:type="dxa"/>
          </w:tcPr>
          <w:p w14:paraId="7EDE7735" w14:textId="77777777" w:rsidR="009B72EE" w:rsidRDefault="009B72EE" w:rsidP="006E3B43">
            <w:pPr>
              <w:jc w:val="both"/>
            </w:pPr>
            <w:r>
              <w:t>4</w:t>
            </w:r>
          </w:p>
        </w:tc>
        <w:tc>
          <w:tcPr>
            <w:tcW w:w="2394" w:type="dxa"/>
          </w:tcPr>
          <w:p w14:paraId="379038E5" w14:textId="77777777" w:rsidR="009B72EE" w:rsidRDefault="009B72EE" w:rsidP="006E3B43">
            <w:pPr>
              <w:jc w:val="both"/>
            </w:pPr>
            <w:r>
              <w:t>33.9</w:t>
            </w:r>
          </w:p>
        </w:tc>
        <w:tc>
          <w:tcPr>
            <w:tcW w:w="2394" w:type="dxa"/>
          </w:tcPr>
          <w:p w14:paraId="32E380C9" w14:textId="77777777" w:rsidR="009B72EE" w:rsidRDefault="009B72EE" w:rsidP="006E3B43">
            <w:pPr>
              <w:jc w:val="both"/>
            </w:pPr>
            <w:r>
              <w:t>31.1</w:t>
            </w:r>
          </w:p>
        </w:tc>
        <w:tc>
          <w:tcPr>
            <w:tcW w:w="2394" w:type="dxa"/>
          </w:tcPr>
          <w:p w14:paraId="5CD05F75" w14:textId="77777777" w:rsidR="009B72EE" w:rsidRDefault="009B72EE" w:rsidP="006E3B43">
            <w:pPr>
              <w:jc w:val="both"/>
            </w:pPr>
            <w:r>
              <w:t>35</w:t>
            </w:r>
          </w:p>
        </w:tc>
      </w:tr>
      <w:tr w:rsidR="009B72EE" w14:paraId="3C33215F" w14:textId="77777777" w:rsidTr="006E3B43">
        <w:tc>
          <w:tcPr>
            <w:tcW w:w="2394" w:type="dxa"/>
          </w:tcPr>
          <w:p w14:paraId="0FA3A4AD" w14:textId="77777777" w:rsidR="009B72EE" w:rsidRDefault="009B72EE" w:rsidP="006E3B43">
            <w:pPr>
              <w:jc w:val="both"/>
            </w:pPr>
            <w:r>
              <w:t>Mean</w:t>
            </w:r>
          </w:p>
        </w:tc>
        <w:tc>
          <w:tcPr>
            <w:tcW w:w="2394" w:type="dxa"/>
          </w:tcPr>
          <w:p w14:paraId="13F1432A" w14:textId="77777777" w:rsidR="009B72EE" w:rsidRDefault="009B72EE" w:rsidP="006E3B43">
            <w:pPr>
              <w:jc w:val="both"/>
            </w:pPr>
            <w:r>
              <w:t>34.2</w:t>
            </w:r>
          </w:p>
        </w:tc>
        <w:tc>
          <w:tcPr>
            <w:tcW w:w="2394" w:type="dxa"/>
          </w:tcPr>
          <w:p w14:paraId="29AA4C38" w14:textId="77777777" w:rsidR="009B72EE" w:rsidRDefault="009B72EE" w:rsidP="006E3B43">
            <w:pPr>
              <w:jc w:val="both"/>
            </w:pPr>
            <w:r>
              <w:t>32</w:t>
            </w:r>
          </w:p>
        </w:tc>
        <w:tc>
          <w:tcPr>
            <w:tcW w:w="2394" w:type="dxa"/>
          </w:tcPr>
          <w:p w14:paraId="053ACF66" w14:textId="77777777" w:rsidR="009B72EE" w:rsidRDefault="009B72EE" w:rsidP="006E3B43">
            <w:pPr>
              <w:jc w:val="both"/>
            </w:pPr>
            <w:r>
              <w:t>33.8</w:t>
            </w:r>
          </w:p>
        </w:tc>
      </w:tr>
      <w:tr w:rsidR="009B72EE" w14:paraId="12977099" w14:textId="77777777" w:rsidTr="006E3B43">
        <w:tc>
          <w:tcPr>
            <w:tcW w:w="2394" w:type="dxa"/>
          </w:tcPr>
          <w:p w14:paraId="1093FE86" w14:textId="77777777" w:rsidR="009B72EE" w:rsidRDefault="009B72EE" w:rsidP="006E3B43">
            <w:pPr>
              <w:jc w:val="both"/>
            </w:pPr>
            <w:r>
              <w:t>S.D.</w:t>
            </w:r>
          </w:p>
        </w:tc>
        <w:tc>
          <w:tcPr>
            <w:tcW w:w="2394" w:type="dxa"/>
          </w:tcPr>
          <w:p w14:paraId="18981953" w14:textId="77777777" w:rsidR="009B72EE" w:rsidRDefault="009B72EE" w:rsidP="006E3B43">
            <w:pPr>
              <w:jc w:val="both"/>
            </w:pPr>
            <w:r>
              <w:t>~0.62</w:t>
            </w:r>
          </w:p>
        </w:tc>
        <w:tc>
          <w:tcPr>
            <w:tcW w:w="2394" w:type="dxa"/>
          </w:tcPr>
          <w:p w14:paraId="1E1032F0" w14:textId="77777777" w:rsidR="009B72EE" w:rsidRDefault="009B72EE" w:rsidP="006E3B43">
            <w:pPr>
              <w:jc w:val="both"/>
            </w:pPr>
            <w:r>
              <w:t>~0.98</w:t>
            </w:r>
          </w:p>
        </w:tc>
        <w:tc>
          <w:tcPr>
            <w:tcW w:w="2394" w:type="dxa"/>
          </w:tcPr>
          <w:p w14:paraId="6E7ED3FD" w14:textId="77777777" w:rsidR="009B72EE" w:rsidRDefault="009B72EE" w:rsidP="006E3B43">
            <w:pPr>
              <w:jc w:val="both"/>
            </w:pPr>
            <w:r>
              <w:t>~1</w:t>
            </w:r>
          </w:p>
        </w:tc>
      </w:tr>
    </w:tbl>
    <w:p w14:paraId="688FAFF4" w14:textId="6B5E07F8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373B68BE" w14:textId="77777777" w:rsidR="00E02B21" w:rsidRDefault="00E02B21" w:rsidP="009B72EE">
      <w:pPr>
        <w:spacing w:line="48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E02B21">
        <w:rPr>
          <w:rFonts w:ascii="Times New Roman" w:hAnsi="Times New Roman" w:cs="Times New Roman"/>
          <w:sz w:val="24"/>
          <w:szCs w:val="24"/>
          <w:lang w:bidi="ne-NP"/>
        </w:rPr>
        <w:t xml:space="preserve">The estimated average atomic (%) ratio of </w:t>
      </w:r>
      <w:proofErr w:type="spellStart"/>
      <w:r w:rsidRPr="00E02B21">
        <w:rPr>
          <w:rFonts w:ascii="Times New Roman" w:hAnsi="Times New Roman" w:cs="Times New Roman"/>
          <w:sz w:val="24"/>
          <w:szCs w:val="24"/>
          <w:lang w:bidi="ne-NP"/>
        </w:rPr>
        <w:t>La:</w:t>
      </w:r>
      <w:proofErr w:type="gramStart"/>
      <w:r w:rsidRPr="00E02B21">
        <w:rPr>
          <w:rFonts w:ascii="Times New Roman" w:hAnsi="Times New Roman" w:cs="Times New Roman"/>
          <w:sz w:val="24"/>
          <w:szCs w:val="24"/>
          <w:lang w:bidi="ne-NP"/>
        </w:rPr>
        <w:t>Al:Ge</w:t>
      </w:r>
      <w:proofErr w:type="spellEnd"/>
      <w:proofErr w:type="gramEnd"/>
      <w:r w:rsidRPr="00E02B21">
        <w:rPr>
          <w:rFonts w:ascii="Times New Roman" w:hAnsi="Times New Roman" w:cs="Times New Roman"/>
          <w:sz w:val="24"/>
          <w:szCs w:val="24"/>
          <w:lang w:bidi="ne-NP"/>
        </w:rPr>
        <w:t xml:space="preserve"> is equal to 34.2:32:33.8</w:t>
      </w:r>
      <w:r>
        <w:rPr>
          <w:rFonts w:ascii="Times New Roman" w:hAnsi="Times New Roman" w:cs="Times New Roman"/>
          <w:sz w:val="24"/>
          <w:szCs w:val="24"/>
          <w:lang w:bidi="ne-NP"/>
        </w:rPr>
        <w:t>.</w:t>
      </w:r>
    </w:p>
    <w:p w14:paraId="5B2DE321" w14:textId="21A3FBFA" w:rsidR="009B72EE" w:rsidRPr="00E02B21" w:rsidRDefault="00E02B21" w:rsidP="009B72EE">
      <w:pPr>
        <w:spacing w:line="48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E02B21">
        <w:rPr>
          <w:rFonts w:ascii="Times New Roman" w:hAnsi="Times New Roman" w:cs="Times New Roman"/>
          <w:sz w:val="24"/>
          <w:szCs w:val="24"/>
          <w:lang w:bidi="ne-NP"/>
        </w:rPr>
        <w:t>The standard deviation of atomic</w:t>
      </w:r>
      <w:r w:rsidR="00287534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E02B21">
        <w:rPr>
          <w:rFonts w:ascii="Times New Roman" w:hAnsi="Times New Roman" w:cs="Times New Roman"/>
          <w:sz w:val="24"/>
          <w:szCs w:val="24"/>
          <w:lang w:bidi="ne-NP"/>
        </w:rPr>
        <w:t xml:space="preserve">(%) </w:t>
      </w:r>
      <w:r>
        <w:rPr>
          <w:rFonts w:ascii="Times New Roman" w:hAnsi="Times New Roman" w:cs="Times New Roman"/>
          <w:sz w:val="24"/>
          <w:szCs w:val="24"/>
          <w:lang w:bidi="ne-NP"/>
        </w:rPr>
        <w:t>of La, Al, and Ge are</w:t>
      </w:r>
      <w:r w:rsidRPr="00E02B21">
        <w:rPr>
          <w:rFonts w:ascii="Times New Roman" w:hAnsi="Times New Roman" w:cs="Times New Roman"/>
          <w:sz w:val="24"/>
          <w:szCs w:val="24"/>
          <w:lang w:bidi="ne-NP"/>
        </w:rPr>
        <w:t xml:space="preserve"> 0.62, 0.98, and 1</w:t>
      </w:r>
      <w:r>
        <w:rPr>
          <w:rFonts w:ascii="Times New Roman" w:hAnsi="Times New Roman" w:cs="Times New Roman"/>
          <w:sz w:val="24"/>
          <w:szCs w:val="24"/>
          <w:lang w:bidi="ne-NP"/>
        </w:rPr>
        <w:t xml:space="preserve"> respectively, </w:t>
      </w:r>
      <w:r w:rsidRPr="00E02B21">
        <w:rPr>
          <w:rFonts w:ascii="Times New Roman" w:hAnsi="Times New Roman" w:cs="Times New Roman"/>
          <w:sz w:val="24"/>
          <w:szCs w:val="24"/>
          <w:lang w:bidi="ne-NP"/>
        </w:rPr>
        <w:t>which is very close to the expected stoichiometry of 1:1:1.</w:t>
      </w:r>
    </w:p>
    <w:p w14:paraId="6CA52B2E" w14:textId="17767D9F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37BE049E" w14:textId="0FC402A9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224E385E" w14:textId="2DD5303D" w:rsid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p w14:paraId="66A84F94" w14:textId="77777777" w:rsidR="009B72EE" w:rsidRPr="009B72EE" w:rsidRDefault="009B72EE" w:rsidP="009B72EE">
      <w:pPr>
        <w:spacing w:line="480" w:lineRule="auto"/>
        <w:rPr>
          <w:rFonts w:ascii="NimbusSanL-Regu" w:hAnsi="NimbusSanL-Regu" w:cs="NimbusSanL-Regu"/>
          <w:lang w:bidi="ne-NP"/>
        </w:rPr>
      </w:pPr>
    </w:p>
    <w:sectPr w:rsidR="009B72EE" w:rsidRPr="009B72EE" w:rsidSect="001C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E"/>
    <w:rsid w:val="0001052C"/>
    <w:rsid w:val="001A36CC"/>
    <w:rsid w:val="001C77C6"/>
    <w:rsid w:val="00287534"/>
    <w:rsid w:val="003D7A35"/>
    <w:rsid w:val="00671CC1"/>
    <w:rsid w:val="009B72EE"/>
    <w:rsid w:val="00BC3930"/>
    <w:rsid w:val="00E02B21"/>
    <w:rsid w:val="00E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74E30"/>
  <w15:chartTrackingRefBased/>
  <w15:docId w15:val="{A378C347-1EF3-F842-9A14-CA2E887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2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attarai@c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2020-04-03T19:49:00Z</dcterms:created>
  <dcterms:modified xsi:type="dcterms:W3CDTF">2020-04-06T14:46:00Z</dcterms:modified>
</cp:coreProperties>
</file>