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A4E5" w14:textId="77777777" w:rsidR="003E6F7A" w:rsidRPr="00786D6D" w:rsidRDefault="003E6F7A" w:rsidP="003E6F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86D6D">
        <w:rPr>
          <w:rFonts w:ascii="Arial" w:hAnsi="Arial" w:cs="Arial"/>
          <w:b/>
          <w:bCs/>
          <w:sz w:val="24"/>
          <w:szCs w:val="24"/>
        </w:rPr>
        <w:t>Development of thermosensitive hybrid hydrogels based on xylan-type hemicellulose from agave bagasse: Characterization and antibacterial activity</w:t>
      </w:r>
    </w:p>
    <w:p w14:paraId="4E70BF8E" w14:textId="77777777" w:rsidR="003E6F7A" w:rsidRPr="003E6F7A" w:rsidRDefault="003E6F7A" w:rsidP="003E6F7A">
      <w:pPr>
        <w:jc w:val="both"/>
        <w:rPr>
          <w:rFonts w:ascii="Arial" w:hAnsi="Arial" w:cs="Arial"/>
          <w:sz w:val="20"/>
          <w:szCs w:val="20"/>
          <w:vertAlign w:val="superscript"/>
          <w:lang w:val="es-MX"/>
        </w:rPr>
      </w:pPr>
      <w:r w:rsidRPr="003E6F7A">
        <w:rPr>
          <w:rFonts w:ascii="Arial" w:hAnsi="Arial" w:cs="Arial"/>
          <w:sz w:val="20"/>
          <w:szCs w:val="20"/>
          <w:lang w:val="es-MX"/>
        </w:rPr>
        <w:t>L. Arellano – Sandoval</w:t>
      </w:r>
      <w:r w:rsidRPr="003E6F7A">
        <w:rPr>
          <w:rFonts w:ascii="Arial" w:hAnsi="Arial" w:cs="Arial"/>
          <w:sz w:val="20"/>
          <w:szCs w:val="20"/>
          <w:vertAlign w:val="superscript"/>
          <w:lang w:val="es-MX"/>
        </w:rPr>
        <w:t>1</w:t>
      </w:r>
      <w:r w:rsidRPr="003E6F7A">
        <w:rPr>
          <w:rFonts w:ascii="Arial" w:hAnsi="Arial" w:cs="Arial"/>
          <w:sz w:val="20"/>
          <w:szCs w:val="20"/>
          <w:lang w:val="es-MX"/>
        </w:rPr>
        <w:t>, E. Delgado</w:t>
      </w:r>
      <w:r w:rsidRPr="003E6F7A">
        <w:rPr>
          <w:rFonts w:ascii="Arial" w:hAnsi="Arial" w:cs="Arial"/>
          <w:sz w:val="20"/>
          <w:szCs w:val="20"/>
          <w:vertAlign w:val="superscript"/>
          <w:lang w:val="es-MX"/>
        </w:rPr>
        <w:t>1</w:t>
      </w:r>
      <w:r w:rsidRPr="003E6F7A">
        <w:rPr>
          <w:rFonts w:ascii="Arial" w:hAnsi="Arial" w:cs="Arial"/>
          <w:sz w:val="20"/>
          <w:szCs w:val="20"/>
          <w:lang w:val="es-MX"/>
        </w:rPr>
        <w:t>,T. A. Camacho-Villegas</w:t>
      </w:r>
      <w:r w:rsidRPr="003E6F7A">
        <w:rPr>
          <w:rFonts w:ascii="Arial" w:hAnsi="Arial" w:cs="Arial"/>
          <w:sz w:val="20"/>
          <w:szCs w:val="20"/>
          <w:vertAlign w:val="superscript"/>
          <w:lang w:val="es-MX"/>
        </w:rPr>
        <w:t>2</w:t>
      </w:r>
      <w:r w:rsidRPr="003E6F7A">
        <w:rPr>
          <w:rFonts w:ascii="Arial" w:hAnsi="Arial" w:cs="Arial"/>
          <w:sz w:val="20"/>
          <w:szCs w:val="20"/>
          <w:lang w:val="es-MX"/>
        </w:rPr>
        <w:t>,</w:t>
      </w:r>
      <w:r w:rsidRPr="003E6F7A">
        <w:rPr>
          <w:rStyle w:val="italic"/>
          <w:rFonts w:ascii="Arial" w:hAnsi="Arial" w:cs="Arial"/>
          <w:sz w:val="20"/>
          <w:szCs w:val="20"/>
          <w:lang w:val="es-MX"/>
        </w:rPr>
        <w:t>J. Bravo-Madrigal</w:t>
      </w:r>
      <w:r w:rsidRPr="003E6F7A">
        <w:rPr>
          <w:rStyle w:val="italic"/>
          <w:rFonts w:ascii="Arial" w:hAnsi="Arial" w:cs="Arial"/>
          <w:sz w:val="20"/>
          <w:szCs w:val="20"/>
          <w:vertAlign w:val="superscript"/>
          <w:lang w:val="es-MX"/>
        </w:rPr>
        <w:t>3</w:t>
      </w:r>
      <w:r w:rsidRPr="003E6F7A">
        <w:rPr>
          <w:rStyle w:val="italic"/>
          <w:rFonts w:ascii="Arial" w:hAnsi="Arial" w:cs="Arial"/>
          <w:sz w:val="20"/>
          <w:szCs w:val="20"/>
          <w:lang w:val="es-MX"/>
        </w:rPr>
        <w:t>,</w:t>
      </w:r>
      <w:r w:rsidRPr="003E6F7A">
        <w:rPr>
          <w:rFonts w:ascii="Arial" w:hAnsi="Arial" w:cs="Arial"/>
          <w:sz w:val="20"/>
          <w:szCs w:val="20"/>
          <w:lang w:val="es-MX"/>
        </w:rPr>
        <w:t xml:space="preserve"> R. Manríquez-González</w:t>
      </w:r>
      <w:r w:rsidRPr="003E6F7A">
        <w:rPr>
          <w:rFonts w:ascii="Arial" w:hAnsi="Arial" w:cs="Arial"/>
          <w:sz w:val="20"/>
          <w:szCs w:val="20"/>
          <w:vertAlign w:val="superscript"/>
          <w:lang w:val="es-MX"/>
        </w:rPr>
        <w:t>1</w:t>
      </w:r>
      <w:r w:rsidRPr="003E6F7A">
        <w:rPr>
          <w:rFonts w:ascii="Arial" w:hAnsi="Arial" w:cs="Arial"/>
          <w:sz w:val="20"/>
          <w:szCs w:val="20"/>
          <w:lang w:val="es-MX"/>
        </w:rPr>
        <w:t xml:space="preserve">, </w:t>
      </w:r>
      <w:r w:rsidRPr="003E6F7A">
        <w:rPr>
          <w:rStyle w:val="italic"/>
          <w:rFonts w:ascii="Arial" w:hAnsi="Arial" w:cs="Arial"/>
          <w:sz w:val="20"/>
          <w:szCs w:val="20"/>
          <w:lang w:val="es-MX"/>
        </w:rPr>
        <w:t>P. H. Lugo-Fabres</w:t>
      </w:r>
      <w:r w:rsidRPr="003E6F7A">
        <w:rPr>
          <w:rStyle w:val="italic"/>
          <w:rFonts w:ascii="Arial" w:hAnsi="Arial" w:cs="Arial"/>
          <w:sz w:val="20"/>
          <w:szCs w:val="20"/>
          <w:vertAlign w:val="superscript"/>
          <w:lang w:val="es-MX"/>
        </w:rPr>
        <w:t>2</w:t>
      </w:r>
      <w:r w:rsidRPr="003E6F7A">
        <w:rPr>
          <w:rStyle w:val="italic"/>
          <w:rFonts w:ascii="Arial" w:hAnsi="Arial" w:cs="Arial"/>
          <w:sz w:val="20"/>
          <w:szCs w:val="20"/>
          <w:lang w:val="es-MX"/>
        </w:rPr>
        <w:t>,</w:t>
      </w:r>
      <w:r w:rsidRPr="003E6F7A">
        <w:rPr>
          <w:rFonts w:ascii="Arial" w:hAnsi="Arial" w:cs="Arial"/>
          <w:sz w:val="20"/>
          <w:szCs w:val="20"/>
          <w:lang w:val="es-MX"/>
        </w:rPr>
        <w:t xml:space="preserve"> G. Toriz</w:t>
      </w:r>
      <w:r w:rsidRPr="003E6F7A">
        <w:rPr>
          <w:rFonts w:ascii="Arial" w:hAnsi="Arial" w:cs="Arial"/>
          <w:sz w:val="20"/>
          <w:szCs w:val="20"/>
          <w:vertAlign w:val="superscript"/>
          <w:lang w:val="es-MX"/>
        </w:rPr>
        <w:t>1,4</w:t>
      </w:r>
      <w:r w:rsidRPr="003E6F7A">
        <w:rPr>
          <w:rFonts w:ascii="Arial" w:hAnsi="Arial" w:cs="Arial"/>
          <w:sz w:val="20"/>
          <w:szCs w:val="20"/>
          <w:lang w:val="es-MX"/>
        </w:rPr>
        <w:t xml:space="preserve">, </w:t>
      </w:r>
      <w:r w:rsidRPr="003E6F7A">
        <w:rPr>
          <w:rStyle w:val="italic"/>
          <w:rFonts w:ascii="Arial" w:hAnsi="Arial" w:cs="Arial"/>
          <w:sz w:val="20"/>
          <w:szCs w:val="20"/>
          <w:lang w:val="es-MX"/>
        </w:rPr>
        <w:t xml:space="preserve"> </w:t>
      </w:r>
      <w:r w:rsidRPr="003E6F7A">
        <w:rPr>
          <w:rFonts w:ascii="Arial" w:hAnsi="Arial" w:cs="Arial"/>
          <w:sz w:val="20"/>
          <w:szCs w:val="20"/>
          <w:lang w:val="es-MX"/>
        </w:rPr>
        <w:t>L. García-Uriostegui*</w:t>
      </w:r>
      <w:r w:rsidRPr="003E6F7A">
        <w:rPr>
          <w:rFonts w:ascii="Arial" w:hAnsi="Arial" w:cs="Arial"/>
          <w:sz w:val="20"/>
          <w:szCs w:val="20"/>
          <w:vertAlign w:val="superscript"/>
          <w:lang w:val="es-MX"/>
        </w:rPr>
        <w:t>5</w:t>
      </w:r>
    </w:p>
    <w:p w14:paraId="567186AC" w14:textId="77777777" w:rsidR="003E6F7A" w:rsidRPr="001F71FC" w:rsidRDefault="003E6F7A" w:rsidP="003E6F7A">
      <w:pPr>
        <w:spacing w:after="0" w:line="360" w:lineRule="auto"/>
        <w:rPr>
          <w:rStyle w:val="italic"/>
          <w:rFonts w:ascii="Arial" w:hAnsi="Arial" w:cs="Arial"/>
          <w:sz w:val="18"/>
          <w:szCs w:val="18"/>
        </w:rPr>
      </w:pPr>
      <w:r w:rsidRPr="001F71FC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1F71FC">
        <w:rPr>
          <w:rFonts w:ascii="Arial" w:hAnsi="Arial" w:cs="Arial"/>
          <w:sz w:val="18"/>
          <w:szCs w:val="18"/>
        </w:rPr>
        <w:t>Wood</w:t>
      </w:r>
      <w:r w:rsidRPr="001F71FC">
        <w:rPr>
          <w:rStyle w:val="italic"/>
          <w:rFonts w:ascii="Arial" w:hAnsi="Arial" w:cs="Arial"/>
          <w:sz w:val="18"/>
          <w:szCs w:val="18"/>
        </w:rPr>
        <w:t>, Cellulose and Paper Research Department, University of Guadalajara, Guadalajara 44100, Jalisco México.</w:t>
      </w:r>
    </w:p>
    <w:p w14:paraId="5C485763" w14:textId="77777777" w:rsidR="003E6F7A" w:rsidRDefault="003E6F7A" w:rsidP="003E6F7A">
      <w:pPr>
        <w:spacing w:after="0" w:line="360" w:lineRule="auto"/>
        <w:rPr>
          <w:rStyle w:val="italic"/>
          <w:rFonts w:ascii="Arial" w:hAnsi="Arial" w:cs="Arial"/>
          <w:sz w:val="18"/>
          <w:szCs w:val="18"/>
        </w:rPr>
      </w:pPr>
      <w:r w:rsidRPr="00141E83">
        <w:rPr>
          <w:rStyle w:val="italic"/>
          <w:rFonts w:ascii="Arial" w:hAnsi="Arial" w:cs="Arial"/>
          <w:sz w:val="18"/>
          <w:szCs w:val="18"/>
          <w:vertAlign w:val="superscript"/>
        </w:rPr>
        <w:t>2</w:t>
      </w:r>
      <w:r w:rsidRPr="00141E83">
        <w:rPr>
          <w:rStyle w:val="italic"/>
          <w:rFonts w:ascii="Arial" w:hAnsi="Arial" w:cs="Arial"/>
          <w:sz w:val="18"/>
          <w:szCs w:val="18"/>
        </w:rPr>
        <w:t>CONACYT— Center for Research and Assistance in Technology and Design of the State of Jalisco, A.C (CIATEJ). Medical and Pharmaceutical Biotechnology, Guadalajara 44270, Jalisco, México</w:t>
      </w:r>
      <w:r>
        <w:rPr>
          <w:rStyle w:val="italic"/>
          <w:rFonts w:ascii="Arial" w:hAnsi="Arial" w:cs="Arial"/>
          <w:sz w:val="18"/>
          <w:szCs w:val="18"/>
        </w:rPr>
        <w:t>.</w:t>
      </w:r>
    </w:p>
    <w:p w14:paraId="5E4D682D" w14:textId="77777777" w:rsidR="003E6F7A" w:rsidRPr="00141E83" w:rsidRDefault="003E6F7A" w:rsidP="003E6F7A">
      <w:pPr>
        <w:spacing w:after="0" w:line="360" w:lineRule="auto"/>
        <w:rPr>
          <w:rStyle w:val="italic"/>
          <w:rFonts w:ascii="Arial" w:hAnsi="Arial" w:cs="Arial"/>
          <w:sz w:val="18"/>
          <w:szCs w:val="18"/>
        </w:rPr>
      </w:pPr>
      <w:r w:rsidRPr="00141E83">
        <w:rPr>
          <w:rStyle w:val="italic"/>
          <w:rFonts w:ascii="Arial" w:hAnsi="Arial" w:cs="Arial"/>
          <w:sz w:val="18"/>
          <w:szCs w:val="18"/>
          <w:vertAlign w:val="superscript"/>
        </w:rPr>
        <w:t>3</w:t>
      </w:r>
      <w:r w:rsidRPr="00141E83">
        <w:rPr>
          <w:rStyle w:val="italic"/>
          <w:rFonts w:ascii="Arial" w:hAnsi="Arial" w:cs="Arial"/>
          <w:sz w:val="18"/>
          <w:szCs w:val="18"/>
        </w:rPr>
        <w:t>Center for Research and Assistance in Technology and Design of the State of Jalisco, AC (CIATEJ)</w:t>
      </w:r>
      <w:r>
        <w:rPr>
          <w:rStyle w:val="italic"/>
          <w:rFonts w:ascii="Arial" w:hAnsi="Arial" w:cs="Arial"/>
          <w:sz w:val="18"/>
          <w:szCs w:val="18"/>
        </w:rPr>
        <w:t xml:space="preserve">, </w:t>
      </w:r>
      <w:r w:rsidRPr="00141E83">
        <w:rPr>
          <w:rStyle w:val="italic"/>
          <w:rFonts w:ascii="Arial" w:hAnsi="Arial" w:cs="Arial"/>
          <w:sz w:val="18"/>
          <w:szCs w:val="18"/>
        </w:rPr>
        <w:t>Guadalajara 44270, Jalisco, México</w:t>
      </w:r>
      <w:r>
        <w:rPr>
          <w:rStyle w:val="italic"/>
          <w:rFonts w:ascii="Arial" w:hAnsi="Arial" w:cs="Arial"/>
          <w:sz w:val="18"/>
          <w:szCs w:val="18"/>
        </w:rPr>
        <w:t>.</w:t>
      </w:r>
    </w:p>
    <w:p w14:paraId="5AA25FD0" w14:textId="77777777" w:rsidR="003E6F7A" w:rsidRPr="002B0FA9" w:rsidRDefault="003E6F7A" w:rsidP="003E6F7A">
      <w:pPr>
        <w:spacing w:after="0" w:line="360" w:lineRule="auto"/>
        <w:jc w:val="both"/>
        <w:rPr>
          <w:rStyle w:val="italic"/>
          <w:rFonts w:ascii="Arial" w:hAnsi="Arial" w:cs="Arial"/>
          <w:sz w:val="18"/>
          <w:szCs w:val="18"/>
          <w:lang w:val="es-ES"/>
        </w:rPr>
      </w:pPr>
      <w:r w:rsidRPr="002B0FA9">
        <w:rPr>
          <w:rStyle w:val="italic"/>
          <w:rFonts w:ascii="Arial" w:hAnsi="Arial" w:cs="Arial"/>
          <w:sz w:val="18"/>
          <w:szCs w:val="18"/>
          <w:vertAlign w:val="superscript"/>
          <w:lang w:val="es-ES"/>
        </w:rPr>
        <w:t>4</w:t>
      </w:r>
      <w:r w:rsidRPr="002B0FA9">
        <w:rPr>
          <w:rStyle w:val="italic"/>
          <w:rFonts w:ascii="Arial" w:hAnsi="Arial" w:cs="Arial"/>
          <w:sz w:val="18"/>
          <w:szCs w:val="18"/>
          <w:lang w:val="es-ES"/>
        </w:rPr>
        <w:t xml:space="preserve">Transdisciplinar Research </w:t>
      </w:r>
      <w:r>
        <w:rPr>
          <w:rStyle w:val="italic"/>
          <w:rFonts w:ascii="Arial" w:hAnsi="Arial" w:cs="Arial"/>
          <w:sz w:val="18"/>
          <w:szCs w:val="18"/>
          <w:lang w:val="es-ES"/>
        </w:rPr>
        <w:t xml:space="preserve">Services </w:t>
      </w:r>
      <w:r w:rsidRPr="002B0FA9">
        <w:rPr>
          <w:rStyle w:val="italic"/>
          <w:rFonts w:ascii="Arial" w:hAnsi="Arial" w:cs="Arial"/>
          <w:sz w:val="18"/>
          <w:szCs w:val="18"/>
          <w:lang w:val="es-ES"/>
        </w:rPr>
        <w:t xml:space="preserve">Institute, University of Guadalajara, José Parres Arías 5, Zapopan </w:t>
      </w:r>
      <w:r>
        <w:rPr>
          <w:rStyle w:val="italic"/>
          <w:rFonts w:ascii="Arial" w:hAnsi="Arial" w:cs="Arial"/>
          <w:sz w:val="18"/>
          <w:szCs w:val="18"/>
          <w:lang w:val="es-ES"/>
        </w:rPr>
        <w:t>45150, Jalisco, México.</w:t>
      </w:r>
    </w:p>
    <w:p w14:paraId="224283C2" w14:textId="77777777" w:rsidR="003E6F7A" w:rsidRDefault="003E6F7A" w:rsidP="003E6F7A">
      <w:pPr>
        <w:spacing w:after="0" w:line="360" w:lineRule="auto"/>
        <w:jc w:val="both"/>
        <w:rPr>
          <w:rStyle w:val="italic"/>
          <w:rFonts w:ascii="Arial" w:hAnsi="Arial" w:cs="Arial"/>
          <w:sz w:val="18"/>
          <w:szCs w:val="18"/>
        </w:rPr>
      </w:pPr>
      <w:r>
        <w:rPr>
          <w:rStyle w:val="italic"/>
          <w:rFonts w:ascii="Arial" w:hAnsi="Arial" w:cs="Arial"/>
          <w:sz w:val="18"/>
          <w:szCs w:val="18"/>
          <w:vertAlign w:val="superscript"/>
        </w:rPr>
        <w:t>5</w:t>
      </w:r>
      <w:r w:rsidRPr="009F7D06">
        <w:rPr>
          <w:rStyle w:val="italic"/>
          <w:rFonts w:ascii="Arial" w:hAnsi="Arial" w:cs="Arial"/>
          <w:sz w:val="18"/>
          <w:szCs w:val="18"/>
        </w:rPr>
        <w:t xml:space="preserve">CONACyT - </w:t>
      </w:r>
      <w:r w:rsidRPr="009F7D06">
        <w:rPr>
          <w:rFonts w:ascii="Arial" w:hAnsi="Arial" w:cs="Arial"/>
          <w:sz w:val="18"/>
          <w:szCs w:val="18"/>
        </w:rPr>
        <w:t>Wood</w:t>
      </w:r>
      <w:r w:rsidRPr="009F7D06">
        <w:rPr>
          <w:rStyle w:val="italic"/>
          <w:rFonts w:ascii="Arial" w:hAnsi="Arial" w:cs="Arial"/>
          <w:sz w:val="18"/>
          <w:szCs w:val="18"/>
        </w:rPr>
        <w:t>, Cellulose and Paper Research Department, University of Guadalajara, Guadalajara 44100, Jalisco, México.</w:t>
      </w:r>
    </w:p>
    <w:p w14:paraId="49D187E9" w14:textId="77777777" w:rsidR="004846DF" w:rsidRPr="004846DF" w:rsidRDefault="004846DF" w:rsidP="004846DF">
      <w:pPr>
        <w:jc w:val="center"/>
        <w:rPr>
          <w:rFonts w:ascii="Arial" w:hAnsi="Arial" w:cs="Arial"/>
          <w:b/>
          <w:sz w:val="24"/>
          <w:szCs w:val="24"/>
        </w:rPr>
      </w:pPr>
      <w:r w:rsidRPr="004846DF">
        <w:rPr>
          <w:rFonts w:ascii="Arial" w:hAnsi="Arial" w:cs="Arial"/>
          <w:b/>
          <w:sz w:val="24"/>
          <w:szCs w:val="24"/>
        </w:rPr>
        <w:t>Supplementary material</w:t>
      </w:r>
    </w:p>
    <w:p w14:paraId="0657E07F" w14:textId="77777777" w:rsidR="0000259B" w:rsidRDefault="0000259B" w:rsidP="00D73AD4">
      <w:pPr>
        <w:spacing w:after="0" w:line="360" w:lineRule="auto"/>
        <w:jc w:val="both"/>
        <w:rPr>
          <w:rStyle w:val="italic"/>
          <w:rFonts w:ascii="Arial" w:hAnsi="Arial" w:cs="Arial"/>
          <w:sz w:val="18"/>
          <w:szCs w:val="18"/>
        </w:rPr>
      </w:pPr>
    </w:p>
    <w:p w14:paraId="744C1C5C" w14:textId="77777777" w:rsidR="0000259B" w:rsidRDefault="0000259B" w:rsidP="00D73AD4">
      <w:pPr>
        <w:spacing w:after="0" w:line="360" w:lineRule="auto"/>
        <w:jc w:val="both"/>
        <w:rPr>
          <w:rStyle w:val="italic"/>
          <w:rFonts w:ascii="Arial" w:hAnsi="Arial" w:cs="Arial"/>
          <w:sz w:val="18"/>
          <w:szCs w:val="18"/>
        </w:rPr>
      </w:pPr>
    </w:p>
    <w:p w14:paraId="26E8E66A" w14:textId="77777777" w:rsidR="0000259B" w:rsidRPr="0000259B" w:rsidRDefault="0000259B" w:rsidP="000025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Style w:val="italic"/>
          <w:rFonts w:ascii="Arial" w:hAnsi="Arial" w:cs="Arial"/>
          <w:b/>
          <w:sz w:val="24"/>
          <w:szCs w:val="24"/>
        </w:rPr>
      </w:pPr>
      <w:r w:rsidRPr="0000259B">
        <w:rPr>
          <w:rStyle w:val="italic"/>
          <w:rFonts w:ascii="Arial" w:hAnsi="Arial" w:cs="Arial"/>
          <w:b/>
          <w:sz w:val="24"/>
          <w:szCs w:val="24"/>
        </w:rPr>
        <w:t xml:space="preserve">Isolation of hemicellulose </w:t>
      </w:r>
      <w:r w:rsidR="00B14A6D">
        <w:rPr>
          <w:rStyle w:val="italic"/>
          <w:rFonts w:ascii="Arial" w:hAnsi="Arial" w:cs="Arial"/>
          <w:b/>
          <w:sz w:val="24"/>
          <w:szCs w:val="24"/>
        </w:rPr>
        <w:t>and characterization</w:t>
      </w:r>
    </w:p>
    <w:p w14:paraId="4FDC470D" w14:textId="656A8D20" w:rsidR="0010350D" w:rsidRPr="0000259B" w:rsidRDefault="0000259B" w:rsidP="0010350D">
      <w:pPr>
        <w:spacing w:after="0" w:line="360" w:lineRule="auto"/>
        <w:jc w:val="both"/>
        <w:rPr>
          <w:rStyle w:val="italic"/>
          <w:rFonts w:ascii="Arial" w:hAnsi="Arial" w:cs="Arial"/>
          <w:sz w:val="24"/>
          <w:szCs w:val="24"/>
        </w:rPr>
      </w:pPr>
      <w:r w:rsidRPr="0000259B">
        <w:rPr>
          <w:rStyle w:val="italic"/>
          <w:rFonts w:ascii="Arial" w:hAnsi="Arial" w:cs="Arial"/>
          <w:sz w:val="24"/>
          <w:szCs w:val="24"/>
        </w:rPr>
        <w:t xml:space="preserve">The agave bagasse powder </w:t>
      </w:r>
      <w:r w:rsidR="003E6185">
        <w:rPr>
          <w:rStyle w:val="italic"/>
          <w:rFonts w:ascii="Arial" w:hAnsi="Arial" w:cs="Arial"/>
          <w:sz w:val="24"/>
          <w:szCs w:val="24"/>
        </w:rPr>
        <w:t>(</w:t>
      </w:r>
      <w:r w:rsidRPr="0000259B">
        <w:rPr>
          <w:rStyle w:val="italic"/>
          <w:rFonts w:ascii="Arial" w:hAnsi="Arial" w:cs="Arial"/>
          <w:sz w:val="24"/>
          <w:szCs w:val="24"/>
        </w:rPr>
        <w:t>40-60 mesh</w:t>
      </w:r>
      <w:r w:rsidR="003E6185">
        <w:rPr>
          <w:rStyle w:val="italic"/>
          <w:rFonts w:ascii="Arial" w:hAnsi="Arial" w:cs="Arial"/>
          <w:sz w:val="24"/>
          <w:szCs w:val="24"/>
        </w:rPr>
        <w:t>)</w:t>
      </w:r>
      <w:r w:rsidRPr="0000259B">
        <w:rPr>
          <w:rStyle w:val="italic"/>
          <w:rFonts w:ascii="Arial" w:hAnsi="Arial" w:cs="Arial"/>
          <w:sz w:val="24"/>
          <w:szCs w:val="24"/>
        </w:rPr>
        <w:t xml:space="preserve"> was dewaxed with 2:1 (v/v) toluene-ethanol in a Soxhlet apparatus for 12 h</w:t>
      </w:r>
      <w:r w:rsidR="00556E8A">
        <w:rPr>
          <w:rStyle w:val="italic"/>
          <w:rFonts w:ascii="Arial" w:hAnsi="Arial" w:cs="Arial"/>
          <w:sz w:val="24"/>
          <w:szCs w:val="24"/>
        </w:rPr>
        <w:t>.</w:t>
      </w:r>
      <w:r w:rsidRPr="0000259B">
        <w:rPr>
          <w:rStyle w:val="italic"/>
          <w:rFonts w:ascii="Arial" w:hAnsi="Arial" w:cs="Arial"/>
          <w:sz w:val="24"/>
          <w:szCs w:val="24"/>
        </w:rPr>
        <w:t xml:space="preserve"> </w:t>
      </w:r>
      <w:r w:rsidR="00556E8A">
        <w:rPr>
          <w:rStyle w:val="italic"/>
          <w:rFonts w:ascii="Arial" w:hAnsi="Arial" w:cs="Arial"/>
          <w:sz w:val="24"/>
          <w:szCs w:val="24"/>
        </w:rPr>
        <w:t>T</w:t>
      </w:r>
      <w:r w:rsidRPr="0000259B">
        <w:rPr>
          <w:rStyle w:val="italic"/>
          <w:rFonts w:ascii="Arial" w:hAnsi="Arial" w:cs="Arial"/>
          <w:sz w:val="24"/>
          <w:szCs w:val="24"/>
        </w:rPr>
        <w:t xml:space="preserve">he dewaxed powder was delignified with 1 g/g dry matter sodium chlorite and 0.6 mL/g of dry matter of acetic acid with a solid to liquid ratio of 1:32 (g/mL) at 70 °C for 8 h. The residue, holocellulose, was subsequently washed with distilled water and then dried at room temperature to </w:t>
      </w:r>
      <w:r w:rsidR="00556E8A">
        <w:rPr>
          <w:rStyle w:val="italic"/>
          <w:rFonts w:ascii="Arial" w:hAnsi="Arial" w:cs="Arial"/>
          <w:sz w:val="24"/>
          <w:szCs w:val="24"/>
        </w:rPr>
        <w:t xml:space="preserve">a </w:t>
      </w:r>
      <w:r w:rsidRPr="0000259B">
        <w:rPr>
          <w:rStyle w:val="italic"/>
          <w:rFonts w:ascii="Arial" w:hAnsi="Arial" w:cs="Arial"/>
          <w:sz w:val="24"/>
          <w:szCs w:val="24"/>
        </w:rPr>
        <w:t xml:space="preserve">constant weight. The holocellulose was extracted by 10% KOH solution with a solid to liquid ratio of 1:20 (g/mL) at room temperature for 12 h and then filtrated to </w:t>
      </w:r>
      <w:r w:rsidR="008856D2" w:rsidRPr="0000259B">
        <w:rPr>
          <w:rStyle w:val="italic"/>
          <w:rFonts w:ascii="Arial" w:hAnsi="Arial" w:cs="Arial"/>
          <w:sz w:val="24"/>
          <w:szCs w:val="24"/>
        </w:rPr>
        <w:t>separate</w:t>
      </w:r>
      <w:r w:rsidRPr="0000259B">
        <w:rPr>
          <w:rStyle w:val="italic"/>
          <w:rFonts w:ascii="Arial" w:hAnsi="Arial" w:cs="Arial"/>
          <w:sz w:val="24"/>
          <w:szCs w:val="24"/>
        </w:rPr>
        <w:t xml:space="preserve"> HC and cellulose</w:t>
      </w:r>
      <w:r w:rsidR="00556E8A">
        <w:rPr>
          <w:rStyle w:val="italic"/>
          <w:rFonts w:ascii="Arial" w:hAnsi="Arial" w:cs="Arial"/>
          <w:sz w:val="24"/>
          <w:szCs w:val="24"/>
        </w:rPr>
        <w:t xml:space="preserve"> fractions</w:t>
      </w:r>
      <w:r w:rsidRPr="0000259B">
        <w:rPr>
          <w:rStyle w:val="italic"/>
          <w:rFonts w:ascii="Arial" w:hAnsi="Arial" w:cs="Arial"/>
          <w:sz w:val="24"/>
          <w:szCs w:val="24"/>
        </w:rPr>
        <w:t xml:space="preserve">. The filtrated was acidified to pH 5.5-6.0, then precipitated in 3 volumes of ethanol to yield the HC and dried in a vacuum. The obtained HC was characterized by </w:t>
      </w:r>
      <w:r w:rsidR="0010350D" w:rsidRPr="0000259B">
        <w:rPr>
          <w:rStyle w:val="italic"/>
          <w:rFonts w:ascii="Arial" w:hAnsi="Arial" w:cs="Arial"/>
          <w:sz w:val="24"/>
          <w:szCs w:val="24"/>
        </w:rPr>
        <w:t>nuclear magnetic resonance (NMR</w:t>
      </w:r>
      <w:r w:rsidR="0010350D">
        <w:rPr>
          <w:rStyle w:val="italic"/>
          <w:rFonts w:ascii="Arial" w:hAnsi="Arial" w:cs="Arial"/>
          <w:sz w:val="24"/>
          <w:szCs w:val="24"/>
        </w:rPr>
        <w:t xml:space="preserve">) </w:t>
      </w:r>
      <w:r w:rsidR="00B0445E">
        <w:rPr>
          <w:rStyle w:val="italic"/>
          <w:rFonts w:ascii="Arial" w:hAnsi="Arial" w:cs="Arial"/>
          <w:sz w:val="24"/>
          <w:szCs w:val="24"/>
        </w:rPr>
        <w:t xml:space="preserve">and </w:t>
      </w:r>
      <w:r w:rsidR="00B0445E" w:rsidRPr="0010350D">
        <w:rPr>
          <w:rStyle w:val="italic"/>
          <w:rFonts w:ascii="Arial" w:hAnsi="Arial" w:cs="Arial"/>
          <w:sz w:val="24"/>
          <w:szCs w:val="24"/>
        </w:rPr>
        <w:t>High</w:t>
      </w:r>
      <w:r w:rsidR="00B0445E" w:rsidRPr="0000259B">
        <w:rPr>
          <w:rStyle w:val="italic"/>
          <w:rFonts w:ascii="Arial" w:hAnsi="Arial" w:cs="Arial"/>
          <w:sz w:val="24"/>
          <w:szCs w:val="24"/>
        </w:rPr>
        <w:t>-Performance</w:t>
      </w:r>
      <w:r w:rsidR="0010350D" w:rsidRPr="0000259B">
        <w:rPr>
          <w:rStyle w:val="italic"/>
          <w:rFonts w:ascii="Arial" w:hAnsi="Arial" w:cs="Arial"/>
          <w:sz w:val="24"/>
          <w:szCs w:val="24"/>
        </w:rPr>
        <w:t xml:space="preserve"> Liquid Chromatography (HPLC)</w:t>
      </w:r>
      <w:r w:rsidR="0010350D">
        <w:rPr>
          <w:rStyle w:val="italic"/>
          <w:rFonts w:ascii="Arial" w:hAnsi="Arial" w:cs="Arial"/>
          <w:sz w:val="24"/>
          <w:szCs w:val="24"/>
        </w:rPr>
        <w:t xml:space="preserve">. </w:t>
      </w:r>
    </w:p>
    <w:p w14:paraId="509E8FB2" w14:textId="77777777" w:rsidR="0010350D" w:rsidRDefault="0010350D" w:rsidP="0000259B">
      <w:pPr>
        <w:spacing w:after="0" w:line="360" w:lineRule="auto"/>
        <w:jc w:val="both"/>
        <w:rPr>
          <w:rStyle w:val="italic"/>
          <w:rFonts w:ascii="Arial" w:hAnsi="Arial" w:cs="Arial"/>
          <w:sz w:val="24"/>
          <w:szCs w:val="24"/>
        </w:rPr>
      </w:pPr>
    </w:p>
    <w:p w14:paraId="6DFB6E90" w14:textId="643AF901" w:rsidR="0010350D" w:rsidRDefault="002E7B44" w:rsidP="00D343D7">
      <w:pPr>
        <w:spacing w:after="0" w:line="360" w:lineRule="auto"/>
        <w:jc w:val="center"/>
        <w:rPr>
          <w:rStyle w:val="italic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56F8982" wp14:editId="38B8B518">
            <wp:extent cx="5970270" cy="69042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M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40" cy="69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E61F" w14:textId="77777777" w:rsidR="00973E5A" w:rsidRDefault="00594999" w:rsidP="00973E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05F7C">
        <w:rPr>
          <w:rFonts w:ascii="Arial" w:hAnsi="Arial" w:cs="Arial"/>
          <w:noProof/>
          <w:sz w:val="24"/>
          <w:szCs w:val="24"/>
        </w:rPr>
        <w:t xml:space="preserve">Figure SM1. </w:t>
      </w:r>
      <w:r w:rsidR="00973E5A">
        <w:rPr>
          <w:rFonts w:ascii="Arial" w:hAnsi="Arial" w:cs="Arial"/>
          <w:noProof/>
          <w:sz w:val="24"/>
          <w:szCs w:val="24"/>
        </w:rPr>
        <w:t>A )</w:t>
      </w:r>
      <w:r w:rsidR="00D06C7D" w:rsidRPr="00A05F7C">
        <w:rPr>
          <w:rFonts w:ascii="Arial" w:eastAsia="MinionPro-Regular2" w:hAnsi="Arial" w:cs="Arial"/>
          <w:sz w:val="24"/>
          <w:szCs w:val="24"/>
          <w:vertAlign w:val="superscript"/>
        </w:rPr>
        <w:t>13</w:t>
      </w:r>
      <w:r w:rsidR="00FE1A39">
        <w:rPr>
          <w:rFonts w:ascii="Arial" w:eastAsia="MinionPro-Regular2" w:hAnsi="Arial" w:cs="Arial"/>
          <w:sz w:val="24"/>
          <w:szCs w:val="24"/>
        </w:rPr>
        <w:t>C</w:t>
      </w:r>
      <w:r w:rsidR="00973E5A">
        <w:rPr>
          <w:rFonts w:ascii="Arial" w:eastAsia="MinionPro-Regular2" w:hAnsi="Arial" w:cs="Arial"/>
          <w:sz w:val="24"/>
          <w:szCs w:val="24"/>
        </w:rPr>
        <w:t xml:space="preserve"> and </w:t>
      </w:r>
      <w:r w:rsidR="00143FF5">
        <w:rPr>
          <w:rFonts w:ascii="Arial" w:eastAsia="MinionPro-Regular2" w:hAnsi="Arial" w:cs="Arial"/>
          <w:sz w:val="24"/>
          <w:szCs w:val="24"/>
        </w:rPr>
        <w:t>B</w:t>
      </w:r>
      <w:r w:rsidR="00973E5A">
        <w:rPr>
          <w:rFonts w:ascii="Arial" w:eastAsia="MinionPro-Regular2" w:hAnsi="Arial" w:cs="Arial"/>
          <w:sz w:val="24"/>
          <w:szCs w:val="24"/>
        </w:rPr>
        <w:t>)</w:t>
      </w:r>
      <w:r w:rsidR="00973E5A" w:rsidRPr="00A05F7C">
        <w:rPr>
          <w:rFonts w:ascii="Arial" w:hAnsi="Arial" w:cs="Arial"/>
          <w:sz w:val="24"/>
          <w:szCs w:val="24"/>
        </w:rPr>
        <w:t xml:space="preserve"> </w:t>
      </w:r>
      <w:r w:rsidR="00973E5A" w:rsidRPr="00A05F7C">
        <w:rPr>
          <w:rFonts w:ascii="Arial" w:hAnsi="Arial" w:cs="Arial"/>
          <w:sz w:val="24"/>
          <w:szCs w:val="24"/>
          <w:vertAlign w:val="superscript"/>
        </w:rPr>
        <w:t>1</w:t>
      </w:r>
      <w:r w:rsidR="00973E5A">
        <w:rPr>
          <w:rFonts w:ascii="Arial" w:hAnsi="Arial" w:cs="Arial"/>
          <w:sz w:val="24"/>
          <w:szCs w:val="24"/>
        </w:rPr>
        <w:t xml:space="preserve">H liquid </w:t>
      </w:r>
      <w:r w:rsidR="00973E5A" w:rsidRPr="00A05F7C">
        <w:rPr>
          <w:rFonts w:ascii="Arial" w:hAnsi="Arial" w:cs="Arial"/>
          <w:sz w:val="24"/>
          <w:szCs w:val="24"/>
        </w:rPr>
        <w:t>NMR of hemicellulose extracted from agave bagasse</w:t>
      </w:r>
      <w:r w:rsidR="00973E5A">
        <w:rPr>
          <w:rFonts w:ascii="Arial" w:hAnsi="Arial" w:cs="Arial"/>
          <w:sz w:val="24"/>
          <w:szCs w:val="24"/>
        </w:rPr>
        <w:t>.</w:t>
      </w:r>
      <w:r w:rsidR="00973E5A" w:rsidRPr="00A05F7C">
        <w:rPr>
          <w:rFonts w:ascii="Arial" w:hAnsi="Arial" w:cs="Arial"/>
          <w:sz w:val="24"/>
          <w:szCs w:val="24"/>
        </w:rPr>
        <w:t xml:space="preserve"> </w:t>
      </w:r>
    </w:p>
    <w:p w14:paraId="6697FA4A" w14:textId="77777777" w:rsidR="00751A31" w:rsidRPr="00A05F7C" w:rsidRDefault="00751A31" w:rsidP="00973E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EB0E1CA" w14:textId="160DEB51" w:rsidR="00B14FE7" w:rsidRDefault="00B65CF7" w:rsidP="003061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A05F7C">
        <w:rPr>
          <w:rFonts w:ascii="Arial" w:eastAsia="MinionPro-Regular2" w:hAnsi="Arial" w:cs="Arial"/>
          <w:sz w:val="24"/>
          <w:szCs w:val="24"/>
        </w:rPr>
        <w:t>T</w:t>
      </w:r>
      <w:r w:rsidR="00594999" w:rsidRPr="00A05F7C">
        <w:rPr>
          <w:rFonts w:ascii="Arial" w:eastAsia="MinionPro-Regular2" w:hAnsi="Arial" w:cs="Arial"/>
          <w:sz w:val="24"/>
          <w:szCs w:val="24"/>
        </w:rPr>
        <w:t xml:space="preserve">he </w:t>
      </w:r>
      <w:r w:rsidR="00594999" w:rsidRPr="00A05F7C">
        <w:rPr>
          <w:rFonts w:ascii="Arial" w:eastAsia="MinionPro-Regular2" w:hAnsi="Arial" w:cs="Arial"/>
          <w:sz w:val="24"/>
          <w:szCs w:val="24"/>
          <w:vertAlign w:val="superscript"/>
        </w:rPr>
        <w:t>13</w:t>
      </w:r>
      <w:r w:rsidR="00FE1A39">
        <w:rPr>
          <w:rFonts w:ascii="Arial" w:eastAsia="MinionPro-Regular2" w:hAnsi="Arial" w:cs="Arial"/>
          <w:sz w:val="24"/>
          <w:szCs w:val="24"/>
        </w:rPr>
        <w:t>C-</w:t>
      </w:r>
      <w:r w:rsidR="00594999" w:rsidRPr="00A05F7C">
        <w:rPr>
          <w:rFonts w:ascii="Arial" w:eastAsia="MinionPro-Regular2" w:hAnsi="Arial" w:cs="Arial"/>
          <w:sz w:val="24"/>
          <w:szCs w:val="24"/>
        </w:rPr>
        <w:t>NMR spectrum contains five intense signals at 102, 72.</w:t>
      </w:r>
      <w:r w:rsidR="00061A82" w:rsidRPr="00A05F7C">
        <w:rPr>
          <w:rFonts w:ascii="Arial" w:eastAsia="MinionPro-Regular2" w:hAnsi="Arial" w:cs="Arial"/>
          <w:sz w:val="24"/>
          <w:szCs w:val="24"/>
        </w:rPr>
        <w:t>2</w:t>
      </w:r>
      <w:r w:rsidR="00594999" w:rsidRPr="00A05F7C">
        <w:rPr>
          <w:rFonts w:ascii="Arial" w:eastAsia="MinionPro-Regular2" w:hAnsi="Arial" w:cs="Arial"/>
          <w:sz w:val="24"/>
          <w:szCs w:val="24"/>
        </w:rPr>
        <w:t>, 73.</w:t>
      </w:r>
      <w:r w:rsidR="00061A82" w:rsidRPr="00A05F7C">
        <w:rPr>
          <w:rFonts w:ascii="Arial" w:eastAsia="MinionPro-Regular2" w:hAnsi="Arial" w:cs="Arial"/>
          <w:sz w:val="24"/>
          <w:szCs w:val="24"/>
        </w:rPr>
        <w:t>2</w:t>
      </w:r>
      <w:r w:rsidR="00594999" w:rsidRPr="00A05F7C">
        <w:rPr>
          <w:rFonts w:ascii="Arial" w:eastAsia="MinionPro-Regular2" w:hAnsi="Arial" w:cs="Arial"/>
          <w:sz w:val="24"/>
          <w:szCs w:val="24"/>
        </w:rPr>
        <w:t>, 75.</w:t>
      </w:r>
      <w:r w:rsidR="00061A82" w:rsidRPr="00A05F7C">
        <w:rPr>
          <w:rFonts w:ascii="Arial" w:eastAsia="MinionPro-Regular2" w:hAnsi="Arial" w:cs="Arial"/>
          <w:sz w:val="24"/>
          <w:szCs w:val="24"/>
        </w:rPr>
        <w:t>9</w:t>
      </w:r>
      <w:r w:rsidR="00594999" w:rsidRPr="00A05F7C">
        <w:rPr>
          <w:rFonts w:ascii="Arial" w:eastAsia="MinionPro-Regular2" w:hAnsi="Arial" w:cs="Arial"/>
          <w:sz w:val="24"/>
          <w:szCs w:val="24"/>
        </w:rPr>
        <w:t xml:space="preserve"> and 63.</w:t>
      </w:r>
      <w:r w:rsidR="00061A82" w:rsidRPr="00A05F7C">
        <w:rPr>
          <w:rFonts w:ascii="Arial" w:eastAsia="MinionPro-Regular2" w:hAnsi="Arial" w:cs="Arial"/>
          <w:sz w:val="24"/>
          <w:szCs w:val="24"/>
        </w:rPr>
        <w:t>6</w:t>
      </w:r>
      <w:r w:rsidR="00594999" w:rsidRPr="00A05F7C">
        <w:rPr>
          <w:rFonts w:ascii="Arial" w:eastAsia="MinionPro-Regular2" w:hAnsi="Arial" w:cs="Arial"/>
          <w:sz w:val="24"/>
          <w:szCs w:val="24"/>
        </w:rPr>
        <w:t xml:space="preserve"> ppm are characteristics of C-1, C-2, C-3, C-4 and C-5 of </w:t>
      </w:r>
      <w:r w:rsidR="00594999" w:rsidRPr="00A05F7C">
        <w:rPr>
          <w:rFonts w:ascii="Cambria Math" w:eastAsia="MinionPro-Regular2" w:hAnsi="Cambria Math" w:cs="Cambria Math"/>
          <w:sz w:val="24"/>
          <w:szCs w:val="24"/>
          <w:lang w:val="es-MX"/>
        </w:rPr>
        <w:t>𝛽</w:t>
      </w:r>
      <w:r w:rsidR="00594999" w:rsidRPr="00A05F7C">
        <w:rPr>
          <w:rFonts w:ascii="Arial" w:eastAsia="MinionPro-Regular2" w:hAnsi="Arial" w:cs="Arial"/>
          <w:sz w:val="24"/>
          <w:szCs w:val="24"/>
        </w:rPr>
        <w:t>-D-xylose residues</w:t>
      </w:r>
      <w:r w:rsidR="00B86FE7" w:rsidRPr="00A05F7C">
        <w:rPr>
          <w:rFonts w:ascii="Arial" w:eastAsia="MinionPro-Regular2" w:hAnsi="Arial" w:cs="Arial"/>
          <w:sz w:val="24"/>
          <w:szCs w:val="24"/>
        </w:rPr>
        <w:t xml:space="preserve">, respectively. </w:t>
      </w:r>
      <w:r w:rsidR="00B86FE7" w:rsidRPr="00A05F7C">
        <w:rPr>
          <w:rFonts w:ascii="Arial" w:eastAsia="MinionPro-Regular2" w:hAnsi="Arial" w:cs="Arial"/>
          <w:sz w:val="24"/>
          <w:szCs w:val="24"/>
        </w:rPr>
        <w:lastRenderedPageBreak/>
        <w:t xml:space="preserve">The characteristic </w:t>
      </w:r>
      <w:r w:rsidR="003E6185" w:rsidRPr="00A05F7C">
        <w:rPr>
          <w:rFonts w:ascii="Arial" w:eastAsia="MinionPro-Regular2" w:hAnsi="Arial" w:cs="Arial"/>
          <w:sz w:val="24"/>
          <w:szCs w:val="24"/>
        </w:rPr>
        <w:t xml:space="preserve">peaks </w:t>
      </w:r>
      <w:r w:rsidR="00B86FE7" w:rsidRPr="00A05F7C">
        <w:rPr>
          <w:rFonts w:ascii="Arial" w:eastAsia="MinionPro-Regular2" w:hAnsi="Arial" w:cs="Arial"/>
          <w:sz w:val="24"/>
          <w:szCs w:val="24"/>
        </w:rPr>
        <w:t xml:space="preserve">of </w:t>
      </w:r>
      <w:r w:rsidR="00061A82" w:rsidRPr="00A05F7C">
        <w:rPr>
          <w:rFonts w:ascii="Arial" w:eastAsia="MinionPro-Regular2" w:hAnsi="Arial" w:cs="Arial"/>
          <w:sz w:val="24"/>
          <w:szCs w:val="24"/>
        </w:rPr>
        <w:t xml:space="preserve">L-arabinofuranose </w:t>
      </w:r>
      <w:r w:rsidR="00556E8A">
        <w:rPr>
          <w:rFonts w:ascii="Arial" w:eastAsia="MinionPro-Regular2" w:hAnsi="Arial" w:cs="Arial"/>
          <w:sz w:val="24"/>
          <w:szCs w:val="24"/>
        </w:rPr>
        <w:t>for</w:t>
      </w:r>
      <w:r w:rsidR="00556E8A" w:rsidRPr="00A05F7C">
        <w:rPr>
          <w:rFonts w:ascii="Arial" w:eastAsia="MinionPro-Regular2" w:hAnsi="Arial" w:cs="Arial"/>
          <w:sz w:val="24"/>
          <w:szCs w:val="24"/>
        </w:rPr>
        <w:t xml:space="preserve"> C-2 and C-3 </w:t>
      </w:r>
      <w:r w:rsidR="00061A82" w:rsidRPr="00A05F7C">
        <w:rPr>
          <w:rFonts w:ascii="Arial" w:eastAsia="MinionPro-Regular2" w:hAnsi="Arial" w:cs="Arial"/>
          <w:sz w:val="24"/>
          <w:szCs w:val="24"/>
        </w:rPr>
        <w:t xml:space="preserve">linked to the D-xylose unit </w:t>
      </w:r>
      <w:r w:rsidR="003E6185">
        <w:rPr>
          <w:rFonts w:ascii="Arial" w:eastAsia="MinionPro-Regular2" w:hAnsi="Arial" w:cs="Arial"/>
          <w:sz w:val="24"/>
          <w:szCs w:val="24"/>
        </w:rPr>
        <w:t>can be</w:t>
      </w:r>
      <w:r w:rsidR="00061A82" w:rsidRPr="00A05F7C">
        <w:rPr>
          <w:rFonts w:ascii="Arial" w:eastAsia="MinionPro-Regular2" w:hAnsi="Arial" w:cs="Arial"/>
          <w:sz w:val="24"/>
          <w:szCs w:val="24"/>
        </w:rPr>
        <w:t xml:space="preserve"> </w:t>
      </w:r>
      <w:r w:rsidR="00170BA7">
        <w:rPr>
          <w:rFonts w:ascii="Arial" w:eastAsia="MinionPro-Regular2" w:hAnsi="Arial" w:cs="Arial"/>
          <w:sz w:val="24"/>
          <w:szCs w:val="24"/>
        </w:rPr>
        <w:t>observe</w:t>
      </w:r>
      <w:r w:rsidR="00556E8A">
        <w:rPr>
          <w:rFonts w:ascii="Arial" w:eastAsia="MinionPro-Regular2" w:hAnsi="Arial" w:cs="Arial"/>
          <w:sz w:val="24"/>
          <w:szCs w:val="24"/>
        </w:rPr>
        <w:t>d</w:t>
      </w:r>
      <w:r w:rsidR="00170BA7">
        <w:rPr>
          <w:rFonts w:ascii="Arial" w:eastAsia="MinionPro-Regular2" w:hAnsi="Arial" w:cs="Arial"/>
          <w:sz w:val="24"/>
          <w:szCs w:val="24"/>
        </w:rPr>
        <w:t xml:space="preserve"> </w:t>
      </w:r>
      <w:r w:rsidR="00061A82" w:rsidRPr="00A05F7C">
        <w:rPr>
          <w:rFonts w:ascii="Arial" w:eastAsia="MinionPro-Regular2" w:hAnsi="Arial" w:cs="Arial"/>
          <w:sz w:val="24"/>
          <w:szCs w:val="24"/>
        </w:rPr>
        <w:t>at 82.2 and 76.9 ppm. The signals observed at 98, 70.2, 72.2, and 59.7 ppm originate fr</w:t>
      </w:r>
      <w:r w:rsidR="00556E8A">
        <w:rPr>
          <w:rFonts w:ascii="Arial" w:eastAsia="MinionPro-Regular2" w:hAnsi="Arial" w:cs="Arial"/>
          <w:sz w:val="24"/>
          <w:szCs w:val="24"/>
        </w:rPr>
        <w:t>om</w:t>
      </w:r>
      <w:r w:rsidR="00061A82" w:rsidRPr="00A05F7C">
        <w:rPr>
          <w:rFonts w:ascii="Arial" w:eastAsia="MinionPro-Regular2" w:hAnsi="Arial" w:cs="Arial"/>
          <w:sz w:val="24"/>
          <w:szCs w:val="24"/>
        </w:rPr>
        <w:t xml:space="preserve"> 4-O-methylglucoronic acid residues</w:t>
      </w:r>
      <w:r w:rsidR="00556E8A">
        <w:rPr>
          <w:rFonts w:ascii="Arial" w:eastAsia="MinionPro-Regular2" w:hAnsi="Arial" w:cs="Arial"/>
          <w:sz w:val="24"/>
          <w:szCs w:val="24"/>
        </w:rPr>
        <w:t>;</w:t>
      </w:r>
      <w:r w:rsidR="00061A82" w:rsidRPr="00A05F7C">
        <w:rPr>
          <w:rFonts w:ascii="Arial" w:eastAsia="MinionPro-Regular2" w:hAnsi="Arial" w:cs="Arial"/>
          <w:sz w:val="24"/>
          <w:szCs w:val="24"/>
        </w:rPr>
        <w:t xml:space="preserve"> </w:t>
      </w:r>
      <w:r w:rsidR="007F16D8" w:rsidRPr="00A05F7C">
        <w:rPr>
          <w:rFonts w:ascii="Arial" w:eastAsia="MinionPro-Regular2" w:hAnsi="Arial" w:cs="Arial"/>
          <w:sz w:val="24"/>
          <w:szCs w:val="24"/>
        </w:rPr>
        <w:t>like</w:t>
      </w:r>
      <w:r w:rsidR="00556E8A">
        <w:rPr>
          <w:rFonts w:ascii="Arial" w:eastAsia="MinionPro-Regular2" w:hAnsi="Arial" w:cs="Arial"/>
          <w:sz w:val="24"/>
          <w:szCs w:val="24"/>
        </w:rPr>
        <w:t>wise</w:t>
      </w:r>
      <w:r w:rsidR="007F16D8" w:rsidRPr="00A05F7C">
        <w:rPr>
          <w:rFonts w:ascii="Arial" w:eastAsia="MinionPro-Regular2" w:hAnsi="Arial" w:cs="Arial"/>
          <w:sz w:val="24"/>
          <w:szCs w:val="24"/>
        </w:rPr>
        <w:t xml:space="preserve">, </w:t>
      </w:r>
      <w:r w:rsidR="00061A82" w:rsidRPr="00A05F7C">
        <w:rPr>
          <w:rFonts w:ascii="Arial" w:eastAsia="MinionPro-Regular2" w:hAnsi="Arial" w:cs="Arial"/>
          <w:sz w:val="24"/>
          <w:szCs w:val="24"/>
        </w:rPr>
        <w:t xml:space="preserve">the signal </w:t>
      </w:r>
      <w:r w:rsidR="007F16D8" w:rsidRPr="00A05F7C">
        <w:rPr>
          <w:rFonts w:ascii="Arial" w:eastAsia="MinionPro-Regular2" w:hAnsi="Arial" w:cs="Arial"/>
          <w:sz w:val="24"/>
          <w:szCs w:val="24"/>
        </w:rPr>
        <w:t>at 172.3 ppm which correspond</w:t>
      </w:r>
      <w:r w:rsidR="00556E8A">
        <w:rPr>
          <w:rFonts w:ascii="Arial" w:eastAsia="MinionPro-Regular2" w:hAnsi="Arial" w:cs="Arial"/>
          <w:sz w:val="24"/>
          <w:szCs w:val="24"/>
        </w:rPr>
        <w:t>s</w:t>
      </w:r>
      <w:r w:rsidR="007F16D8" w:rsidRPr="00A05F7C">
        <w:rPr>
          <w:rFonts w:ascii="Arial" w:eastAsia="MinionPro-Regular2" w:hAnsi="Arial" w:cs="Arial"/>
          <w:sz w:val="24"/>
          <w:szCs w:val="24"/>
        </w:rPr>
        <w:t xml:space="preserve"> to </w:t>
      </w:r>
      <w:r w:rsidR="00556E8A">
        <w:rPr>
          <w:rFonts w:ascii="Arial" w:eastAsia="MinionPro-Regular2" w:hAnsi="Arial" w:cs="Arial"/>
          <w:sz w:val="24"/>
          <w:szCs w:val="24"/>
        </w:rPr>
        <w:t xml:space="preserve">the </w:t>
      </w:r>
      <w:r w:rsidR="007F16D8" w:rsidRPr="00A05F7C">
        <w:rPr>
          <w:rFonts w:ascii="Arial" w:eastAsia="MinionPro-Regular2" w:hAnsi="Arial" w:cs="Arial"/>
          <w:sz w:val="24"/>
          <w:szCs w:val="24"/>
        </w:rPr>
        <w:t>carbonyl group (-C=O).</w:t>
      </w:r>
      <w:r w:rsidR="00556E8A">
        <w:rPr>
          <w:rFonts w:ascii="Arial" w:eastAsia="MinionPro-Regular2" w:hAnsi="Arial" w:cs="Arial"/>
          <w:sz w:val="24"/>
          <w:szCs w:val="24"/>
        </w:rPr>
        <w:t xml:space="preserve"> </w:t>
      </w:r>
      <w:r w:rsidR="00973E5A">
        <w:rPr>
          <w:rFonts w:ascii="Arial" w:eastAsia="MinionPro-Regular2" w:hAnsi="Arial" w:cs="Arial"/>
          <w:sz w:val="24"/>
          <w:szCs w:val="24"/>
        </w:rPr>
        <w:t>Figure SM1b (</w:t>
      </w:r>
      <w:r w:rsidR="00973E5A" w:rsidRPr="00A05F7C">
        <w:rPr>
          <w:rFonts w:ascii="Arial" w:eastAsia="MinionPro-Regular2" w:hAnsi="Arial" w:cs="Arial"/>
          <w:sz w:val="24"/>
          <w:szCs w:val="24"/>
          <w:vertAlign w:val="superscript"/>
        </w:rPr>
        <w:t>1</w:t>
      </w:r>
      <w:r w:rsidR="00973E5A" w:rsidRPr="00A05F7C">
        <w:rPr>
          <w:rFonts w:ascii="Arial" w:eastAsia="MinionPro-Regular2" w:hAnsi="Arial" w:cs="Arial"/>
          <w:sz w:val="24"/>
          <w:szCs w:val="24"/>
        </w:rPr>
        <w:t>H</w:t>
      </w:r>
      <w:r w:rsidR="00973E5A">
        <w:rPr>
          <w:rFonts w:ascii="Arial" w:eastAsia="MinionPro-Regular2" w:hAnsi="Arial" w:cs="Arial"/>
          <w:sz w:val="24"/>
          <w:szCs w:val="24"/>
        </w:rPr>
        <w:t>-</w:t>
      </w:r>
      <w:r w:rsidR="00973E5A" w:rsidRPr="00A05F7C">
        <w:rPr>
          <w:rFonts w:ascii="Arial" w:eastAsia="MinionPro-Regular2" w:hAnsi="Arial" w:cs="Arial"/>
          <w:sz w:val="24"/>
          <w:szCs w:val="24"/>
        </w:rPr>
        <w:t>NMR</w:t>
      </w:r>
      <w:r w:rsidR="00973E5A">
        <w:rPr>
          <w:rFonts w:ascii="Arial" w:eastAsia="MinionPro-Regular2" w:hAnsi="Arial" w:cs="Arial"/>
          <w:sz w:val="24"/>
          <w:szCs w:val="24"/>
        </w:rPr>
        <w:t>)</w:t>
      </w:r>
      <w:r w:rsidR="00973E5A" w:rsidRPr="00973E5A">
        <w:rPr>
          <w:rFonts w:ascii="Arial" w:eastAsia="MinionPro-Regular2" w:hAnsi="Arial" w:cs="Arial"/>
          <w:sz w:val="24"/>
          <w:szCs w:val="24"/>
        </w:rPr>
        <w:t xml:space="preserve"> </w:t>
      </w:r>
      <w:r w:rsidR="00973E5A" w:rsidRPr="00A05F7C">
        <w:rPr>
          <w:rFonts w:ascii="Arial" w:eastAsia="MinionPro-Regular2" w:hAnsi="Arial" w:cs="Arial"/>
          <w:sz w:val="24"/>
          <w:szCs w:val="24"/>
        </w:rPr>
        <w:t>shows signals at 5.08, 3.48, 3.02 and 4.25 ppm attributed to H-1, H-2, H-4 and H-5, respectively of 4-</w:t>
      </w:r>
      <w:r w:rsidR="00973E5A" w:rsidRPr="00A05F7C">
        <w:rPr>
          <w:rFonts w:ascii="Arial" w:eastAsia="MinionPro-Regular2" w:hAnsi="Arial" w:cs="Arial"/>
          <w:i/>
          <w:iCs/>
          <w:sz w:val="24"/>
          <w:szCs w:val="24"/>
        </w:rPr>
        <w:t>O</w:t>
      </w:r>
      <w:r w:rsidR="00973E5A" w:rsidRPr="00A05F7C">
        <w:rPr>
          <w:rFonts w:ascii="Arial" w:eastAsia="MinionPro-Regular2" w:hAnsi="Arial" w:cs="Arial"/>
          <w:sz w:val="24"/>
          <w:szCs w:val="24"/>
        </w:rPr>
        <w:t>-methyl-</w:t>
      </w:r>
      <w:r w:rsidR="00973E5A" w:rsidRPr="00A05F7C">
        <w:rPr>
          <w:rFonts w:ascii="Cambria Math" w:eastAsia="MinionPro-Regular2" w:hAnsi="Cambria Math" w:cs="Cambria Math"/>
          <w:sz w:val="24"/>
          <w:szCs w:val="24"/>
          <w:lang w:val="es-MX"/>
        </w:rPr>
        <w:t>𝑎</w:t>
      </w:r>
      <w:r w:rsidR="00973E5A" w:rsidRPr="00A05F7C">
        <w:rPr>
          <w:rFonts w:ascii="Arial" w:eastAsia="MinionPro-Regular2" w:hAnsi="Arial" w:cs="Arial"/>
          <w:sz w:val="24"/>
          <w:szCs w:val="24"/>
        </w:rPr>
        <w:t xml:space="preserve">-D-glucuronic acid residues. Also, </w:t>
      </w:r>
      <w:r w:rsidR="00556E8A">
        <w:rPr>
          <w:rFonts w:ascii="Arial" w:eastAsia="MinionPro-Regular2" w:hAnsi="Arial" w:cs="Arial"/>
          <w:sz w:val="24"/>
          <w:szCs w:val="24"/>
        </w:rPr>
        <w:t xml:space="preserve">it </w:t>
      </w:r>
      <w:r w:rsidR="00973E5A" w:rsidRPr="00A05F7C">
        <w:rPr>
          <w:rFonts w:ascii="Arial" w:eastAsia="MinionPro-Regular2" w:hAnsi="Arial" w:cs="Arial"/>
          <w:sz w:val="24"/>
          <w:szCs w:val="24"/>
        </w:rPr>
        <w:t xml:space="preserve">is possible to </w:t>
      </w:r>
      <w:r w:rsidR="008856D2" w:rsidRPr="00A05F7C">
        <w:rPr>
          <w:rFonts w:ascii="Arial" w:eastAsia="MinionPro-Regular2" w:hAnsi="Arial" w:cs="Arial"/>
          <w:sz w:val="24"/>
          <w:szCs w:val="24"/>
        </w:rPr>
        <w:t>observe</w:t>
      </w:r>
      <w:r w:rsidR="00973E5A" w:rsidRPr="00A05F7C">
        <w:rPr>
          <w:rFonts w:ascii="Arial" w:eastAsia="MinionPro-Regular2" w:hAnsi="Arial" w:cs="Arial"/>
          <w:sz w:val="24"/>
          <w:szCs w:val="24"/>
        </w:rPr>
        <w:t xml:space="preserve"> the signal correspond</w:t>
      </w:r>
      <w:r w:rsidR="00556E8A">
        <w:rPr>
          <w:rFonts w:ascii="Arial" w:eastAsia="MinionPro-Regular2" w:hAnsi="Arial" w:cs="Arial"/>
          <w:sz w:val="24"/>
          <w:szCs w:val="24"/>
        </w:rPr>
        <w:t>ing</w:t>
      </w:r>
      <w:r w:rsidR="00973E5A" w:rsidRPr="00A05F7C">
        <w:rPr>
          <w:rFonts w:ascii="Arial" w:eastAsia="MinionPro-Regular2" w:hAnsi="Arial" w:cs="Arial"/>
          <w:sz w:val="24"/>
          <w:szCs w:val="24"/>
        </w:rPr>
        <w:t xml:space="preserve"> to </w:t>
      </w:r>
      <w:r w:rsidR="00973E5A" w:rsidRPr="00A05F7C">
        <w:rPr>
          <w:rFonts w:ascii="Cambria Math" w:eastAsia="MinionPro-Regular2" w:hAnsi="Cambria Math" w:cs="Cambria Math"/>
          <w:sz w:val="24"/>
          <w:szCs w:val="24"/>
          <w:lang w:val="es-MX"/>
        </w:rPr>
        <w:t>𝛽</w:t>
      </w:r>
      <w:r w:rsidR="00973E5A" w:rsidRPr="00A05F7C">
        <w:rPr>
          <w:rFonts w:ascii="Arial" w:eastAsia="MinionPro-Regular2" w:hAnsi="Arial" w:cs="Arial"/>
          <w:sz w:val="24"/>
          <w:szCs w:val="24"/>
        </w:rPr>
        <w:t xml:space="preserve">-Dxylose at </w:t>
      </w:r>
      <w:r w:rsidR="00973E5A" w:rsidRPr="00A05F7C">
        <w:rPr>
          <w:rFonts w:ascii="Arial" w:hAnsi="Arial" w:cs="Arial"/>
          <w:sz w:val="24"/>
          <w:szCs w:val="24"/>
        </w:rPr>
        <w:t>4.48 (H-1), 3.17 (H-2), 3.35 (H-3), 3.87 (H-4), 3.98 (H-5eq) and 3.23 ppm (H-5ax).</w:t>
      </w:r>
    </w:p>
    <w:p w14:paraId="2F09389A" w14:textId="77777777" w:rsidR="00D343D7" w:rsidRDefault="00D343D7" w:rsidP="00D343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9DCA3B" w14:textId="013679CB" w:rsidR="009A028A" w:rsidRPr="00A05F7C" w:rsidRDefault="002E7B44" w:rsidP="003061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MinionPro-Regular2" w:hAnsi="Arial" w:cs="Arial"/>
          <w:sz w:val="24"/>
          <w:szCs w:val="24"/>
        </w:rPr>
      </w:pPr>
      <w:r>
        <w:rPr>
          <w:rFonts w:ascii="Arial" w:eastAsia="MinionPro-Regular2" w:hAnsi="Arial" w:cs="Arial"/>
          <w:noProof/>
          <w:sz w:val="24"/>
          <w:szCs w:val="24"/>
        </w:rPr>
        <w:drawing>
          <wp:inline distT="0" distB="0" distL="0" distR="0" wp14:anchorId="21EB242F" wp14:editId="501B0D40">
            <wp:extent cx="5971540" cy="2340864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M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515" cy="234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1E26" w14:textId="7D95BB71" w:rsidR="004A5CF0" w:rsidRPr="00A05F7C" w:rsidRDefault="00DF3460" w:rsidP="004A5CF0">
      <w:pPr>
        <w:jc w:val="both"/>
        <w:rPr>
          <w:rFonts w:ascii="Arial" w:hAnsi="Arial" w:cs="Arial"/>
          <w:spacing w:val="2"/>
          <w:sz w:val="24"/>
          <w:szCs w:val="24"/>
          <w:shd w:val="clear" w:color="auto" w:fill="FCFCFC"/>
        </w:rPr>
      </w:pPr>
      <w:r w:rsidRPr="00A05F7C">
        <w:rPr>
          <w:rFonts w:ascii="Arial" w:hAnsi="Arial" w:cs="Arial"/>
          <w:spacing w:val="2"/>
          <w:sz w:val="24"/>
          <w:szCs w:val="24"/>
          <w:shd w:val="clear" w:color="auto" w:fill="FCFCFC"/>
        </w:rPr>
        <w:t>Figure SM</w:t>
      </w:r>
      <w:r w:rsidR="00143FF5">
        <w:rPr>
          <w:rFonts w:ascii="Arial" w:hAnsi="Arial" w:cs="Arial"/>
          <w:spacing w:val="2"/>
          <w:sz w:val="24"/>
          <w:szCs w:val="24"/>
          <w:shd w:val="clear" w:color="auto" w:fill="FCFCFC"/>
        </w:rPr>
        <w:t>2</w:t>
      </w:r>
      <w:r w:rsidRPr="00A05F7C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. </w:t>
      </w:r>
      <w:r w:rsidR="004A5CF0" w:rsidRPr="00A05F7C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HPLC Chromatogram of: (A) </w:t>
      </w:r>
      <w:r w:rsidR="00B2758E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standards </w:t>
      </w:r>
      <w:r w:rsidR="00B2758E" w:rsidRPr="00A05F7C">
        <w:rPr>
          <w:rFonts w:ascii="Arial" w:hAnsi="Arial" w:cs="Arial"/>
          <w:spacing w:val="2"/>
          <w:sz w:val="24"/>
          <w:szCs w:val="24"/>
          <w:shd w:val="clear" w:color="auto" w:fill="FCFCFC"/>
        </w:rPr>
        <w:t>mixture</w:t>
      </w:r>
      <w:r w:rsidR="004A5CF0" w:rsidRPr="00A05F7C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 and (B) sugars generated from hydrolysis agave bagasse hemicellulose. </w:t>
      </w:r>
    </w:p>
    <w:p w14:paraId="776A9681" w14:textId="17D36E28" w:rsidR="004A5CF0" w:rsidRDefault="004A5CF0" w:rsidP="00DF346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CFCFC"/>
        </w:rPr>
      </w:pPr>
    </w:p>
    <w:p w14:paraId="4F1CD8FC" w14:textId="5AC609DA" w:rsidR="007A44B9" w:rsidRPr="00A05F7C" w:rsidRDefault="00F12775" w:rsidP="007A44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F7C">
        <w:rPr>
          <w:rFonts w:ascii="Arial" w:hAnsi="Arial" w:cs="Arial"/>
          <w:sz w:val="24"/>
          <w:szCs w:val="24"/>
        </w:rPr>
        <w:t xml:space="preserve">Figure </w:t>
      </w:r>
      <w:r w:rsidR="00E9644F" w:rsidRPr="00A05F7C">
        <w:rPr>
          <w:rFonts w:ascii="Arial" w:hAnsi="Arial" w:cs="Arial"/>
          <w:sz w:val="24"/>
          <w:szCs w:val="24"/>
        </w:rPr>
        <w:t>SM</w:t>
      </w:r>
      <w:r w:rsidR="00143FF5">
        <w:rPr>
          <w:rFonts w:ascii="Arial" w:hAnsi="Arial" w:cs="Arial"/>
          <w:sz w:val="24"/>
          <w:szCs w:val="24"/>
        </w:rPr>
        <w:t>2</w:t>
      </w:r>
      <w:r w:rsidR="00E9644F" w:rsidRPr="00A05F7C">
        <w:rPr>
          <w:rFonts w:ascii="Arial" w:hAnsi="Arial" w:cs="Arial"/>
          <w:sz w:val="24"/>
          <w:szCs w:val="24"/>
        </w:rPr>
        <w:t xml:space="preserve"> (</w:t>
      </w:r>
      <w:r w:rsidRPr="00A05F7C">
        <w:rPr>
          <w:rFonts w:ascii="Arial" w:hAnsi="Arial" w:cs="Arial"/>
          <w:sz w:val="24"/>
          <w:szCs w:val="24"/>
        </w:rPr>
        <w:t>A) shows a standard chromatogram mixture (1 mg</w:t>
      </w:r>
      <w:r w:rsidR="00B14A6D">
        <w:rPr>
          <w:rFonts w:ascii="Arial" w:hAnsi="Arial" w:cs="Arial"/>
          <w:sz w:val="24"/>
          <w:szCs w:val="24"/>
        </w:rPr>
        <w:t>/</w:t>
      </w:r>
      <w:r w:rsidRPr="00A05F7C">
        <w:rPr>
          <w:rFonts w:ascii="Arial" w:hAnsi="Arial" w:cs="Arial"/>
          <w:sz w:val="24"/>
          <w:szCs w:val="24"/>
        </w:rPr>
        <w:t xml:space="preserve">mL) of four monomeric carbohydrates separated on an Aminex HPX-87P column in approximate 20 </w:t>
      </w:r>
      <w:r w:rsidR="00611294" w:rsidRPr="00A05F7C">
        <w:rPr>
          <w:rFonts w:ascii="Arial" w:hAnsi="Arial" w:cs="Arial"/>
          <w:sz w:val="24"/>
          <w:szCs w:val="24"/>
        </w:rPr>
        <w:t>min at 80 °C, using a HPLC</w:t>
      </w:r>
      <w:r w:rsidR="00B0445E">
        <w:rPr>
          <w:rFonts w:ascii="Arial" w:hAnsi="Arial" w:cs="Arial"/>
          <w:sz w:val="24"/>
          <w:szCs w:val="24"/>
        </w:rPr>
        <w:t xml:space="preserve"> (</w:t>
      </w:r>
      <w:r w:rsidR="00611294" w:rsidRPr="00A05F7C">
        <w:rPr>
          <w:rFonts w:ascii="Arial" w:hAnsi="Arial" w:cs="Arial"/>
          <w:sz w:val="24"/>
          <w:szCs w:val="24"/>
        </w:rPr>
        <w:t>waters 2414</w:t>
      </w:r>
      <w:r w:rsidR="00B0445E">
        <w:rPr>
          <w:rFonts w:ascii="Arial" w:hAnsi="Arial" w:cs="Arial"/>
          <w:sz w:val="24"/>
          <w:szCs w:val="24"/>
        </w:rPr>
        <w:t xml:space="preserve">, </w:t>
      </w:r>
      <w:r w:rsidR="00611294" w:rsidRPr="00A05F7C">
        <w:rPr>
          <w:rFonts w:ascii="Arial" w:hAnsi="Arial" w:cs="Arial"/>
          <w:sz w:val="24"/>
          <w:szCs w:val="24"/>
        </w:rPr>
        <w:t>refractive index detector</w:t>
      </w:r>
      <w:r w:rsidR="00B0445E">
        <w:rPr>
          <w:rFonts w:ascii="Arial" w:hAnsi="Arial" w:cs="Arial"/>
          <w:sz w:val="24"/>
          <w:szCs w:val="24"/>
        </w:rPr>
        <w:t>)</w:t>
      </w:r>
      <w:r w:rsidR="00611294" w:rsidRPr="00A05F7C">
        <w:rPr>
          <w:rFonts w:ascii="Arial" w:hAnsi="Arial" w:cs="Arial"/>
          <w:sz w:val="24"/>
          <w:szCs w:val="24"/>
        </w:rPr>
        <w:t>. The</w:t>
      </w:r>
      <w:r w:rsidR="00C023EE" w:rsidRPr="00A05F7C">
        <w:rPr>
          <w:rFonts w:ascii="Arial" w:hAnsi="Arial" w:cs="Arial"/>
          <w:sz w:val="24"/>
          <w:szCs w:val="24"/>
        </w:rPr>
        <w:t xml:space="preserve"> standards were eluted with water as a solvent at a</w:t>
      </w:r>
      <w:r w:rsidR="004D145D" w:rsidRPr="00A05F7C">
        <w:rPr>
          <w:rFonts w:ascii="Arial" w:hAnsi="Arial" w:cs="Arial"/>
          <w:sz w:val="24"/>
          <w:szCs w:val="24"/>
        </w:rPr>
        <w:t xml:space="preserve"> </w:t>
      </w:r>
      <w:r w:rsidR="00C023EE" w:rsidRPr="00A05F7C">
        <w:rPr>
          <w:rFonts w:ascii="Arial" w:hAnsi="Arial" w:cs="Arial"/>
          <w:sz w:val="24"/>
          <w:szCs w:val="24"/>
        </w:rPr>
        <w:t>flow rate of 0.</w:t>
      </w:r>
      <w:r w:rsidR="00611294" w:rsidRPr="00A05F7C">
        <w:rPr>
          <w:rFonts w:ascii="Arial" w:hAnsi="Arial" w:cs="Arial"/>
          <w:sz w:val="24"/>
          <w:szCs w:val="24"/>
        </w:rPr>
        <w:t>6</w:t>
      </w:r>
      <w:r w:rsidR="00C023EE" w:rsidRPr="00A05F7C">
        <w:rPr>
          <w:rFonts w:ascii="Arial" w:hAnsi="Arial" w:cs="Arial"/>
          <w:sz w:val="24"/>
          <w:szCs w:val="24"/>
        </w:rPr>
        <w:t xml:space="preserve"> mL</w:t>
      </w:r>
      <w:r w:rsidR="00D73AD4" w:rsidRPr="00A05F7C">
        <w:rPr>
          <w:rFonts w:ascii="Arial" w:hAnsi="Arial" w:cs="Arial"/>
          <w:sz w:val="24"/>
          <w:szCs w:val="24"/>
        </w:rPr>
        <w:t>/</w:t>
      </w:r>
      <w:r w:rsidR="00C023EE" w:rsidRPr="00A05F7C">
        <w:rPr>
          <w:rFonts w:ascii="Arial" w:hAnsi="Arial" w:cs="Arial"/>
          <w:sz w:val="24"/>
          <w:szCs w:val="24"/>
        </w:rPr>
        <w:t>min.</w:t>
      </w:r>
      <w:r w:rsidRPr="00A05F7C">
        <w:rPr>
          <w:rFonts w:ascii="Arial" w:hAnsi="Arial" w:cs="Arial"/>
          <w:sz w:val="24"/>
          <w:szCs w:val="24"/>
        </w:rPr>
        <w:t xml:space="preserve"> Baseline separations are </w:t>
      </w:r>
      <w:r w:rsidR="00C023EE" w:rsidRPr="00A05F7C">
        <w:rPr>
          <w:rFonts w:ascii="Arial" w:hAnsi="Arial" w:cs="Arial"/>
          <w:sz w:val="24"/>
          <w:szCs w:val="24"/>
        </w:rPr>
        <w:t>achieved</w:t>
      </w:r>
      <w:r w:rsidRPr="00A05F7C">
        <w:rPr>
          <w:rFonts w:ascii="Arial" w:hAnsi="Arial" w:cs="Arial"/>
          <w:sz w:val="24"/>
          <w:szCs w:val="24"/>
        </w:rPr>
        <w:t xml:space="preserve"> for the glucose (Glu), xylose (Xyl), mannose (Man) and arabinose (Ara) at 12.46, 13.68, 17.53 and 16.34</w:t>
      </w:r>
      <w:r w:rsidR="00D7581A">
        <w:rPr>
          <w:rFonts w:ascii="Arial" w:hAnsi="Arial" w:cs="Arial"/>
          <w:sz w:val="24"/>
          <w:szCs w:val="24"/>
        </w:rPr>
        <w:t xml:space="preserve"> min</w:t>
      </w:r>
      <w:r w:rsidRPr="00A05F7C">
        <w:rPr>
          <w:rFonts w:ascii="Arial" w:hAnsi="Arial" w:cs="Arial"/>
          <w:sz w:val="24"/>
          <w:szCs w:val="24"/>
        </w:rPr>
        <w:t xml:space="preserve">, respectively, elution time. </w:t>
      </w:r>
      <w:r w:rsidR="00C023EE" w:rsidRPr="00A05F7C">
        <w:rPr>
          <w:rFonts w:ascii="Arial" w:hAnsi="Arial" w:cs="Arial"/>
          <w:sz w:val="24"/>
          <w:szCs w:val="24"/>
        </w:rPr>
        <w:t>In Figure SM</w:t>
      </w:r>
      <w:r w:rsidR="00D6372B" w:rsidRPr="00A05F7C">
        <w:rPr>
          <w:rFonts w:ascii="Arial" w:hAnsi="Arial" w:cs="Arial"/>
          <w:sz w:val="24"/>
          <w:szCs w:val="24"/>
        </w:rPr>
        <w:t>3</w:t>
      </w:r>
      <w:r w:rsidR="004D145D" w:rsidRPr="00A05F7C">
        <w:rPr>
          <w:rFonts w:ascii="Arial" w:hAnsi="Arial" w:cs="Arial"/>
          <w:sz w:val="24"/>
          <w:szCs w:val="24"/>
        </w:rPr>
        <w:t>(B)</w:t>
      </w:r>
      <w:r w:rsidR="00C023EE" w:rsidRPr="00A05F7C">
        <w:rPr>
          <w:rFonts w:ascii="Arial" w:hAnsi="Arial" w:cs="Arial"/>
          <w:sz w:val="24"/>
          <w:szCs w:val="24"/>
        </w:rPr>
        <w:t>, t</w:t>
      </w:r>
      <w:r w:rsidR="00F27D38" w:rsidRPr="00A05F7C">
        <w:rPr>
          <w:rFonts w:ascii="Arial" w:hAnsi="Arial" w:cs="Arial"/>
          <w:sz w:val="24"/>
          <w:szCs w:val="24"/>
        </w:rPr>
        <w:t xml:space="preserve">he constituent neutral sugars </w:t>
      </w:r>
      <w:r w:rsidR="003E6185" w:rsidRPr="00A05F7C">
        <w:rPr>
          <w:rFonts w:ascii="Arial" w:hAnsi="Arial" w:cs="Arial"/>
          <w:sz w:val="24"/>
          <w:szCs w:val="24"/>
        </w:rPr>
        <w:t>after hydrolysis with sulfuric acid</w:t>
      </w:r>
      <w:r w:rsidR="003E6185">
        <w:rPr>
          <w:rFonts w:ascii="Arial" w:hAnsi="Arial" w:cs="Arial"/>
          <w:sz w:val="24"/>
          <w:szCs w:val="24"/>
        </w:rPr>
        <w:t xml:space="preserve"> </w:t>
      </w:r>
      <w:r w:rsidR="00F27D38" w:rsidRPr="00A05F7C">
        <w:rPr>
          <w:rFonts w:ascii="Arial" w:hAnsi="Arial" w:cs="Arial"/>
          <w:sz w:val="24"/>
          <w:szCs w:val="24"/>
        </w:rPr>
        <w:t xml:space="preserve">in </w:t>
      </w:r>
      <w:r w:rsidRPr="00A05F7C">
        <w:rPr>
          <w:rFonts w:ascii="Arial" w:hAnsi="Arial" w:cs="Arial"/>
          <w:sz w:val="24"/>
          <w:szCs w:val="24"/>
        </w:rPr>
        <w:t>the extracted</w:t>
      </w:r>
      <w:r w:rsidR="00F27D38" w:rsidRPr="00A05F7C">
        <w:rPr>
          <w:rFonts w:ascii="Arial" w:hAnsi="Arial" w:cs="Arial"/>
          <w:sz w:val="24"/>
          <w:szCs w:val="24"/>
        </w:rPr>
        <w:t xml:space="preserve"> </w:t>
      </w:r>
      <w:r w:rsidR="00482B71">
        <w:rPr>
          <w:rFonts w:ascii="Arial" w:hAnsi="Arial" w:cs="Arial"/>
          <w:sz w:val="24"/>
          <w:szCs w:val="24"/>
        </w:rPr>
        <w:t>hemicellulose</w:t>
      </w:r>
      <w:r w:rsidR="003E6185">
        <w:rPr>
          <w:rFonts w:ascii="Arial" w:hAnsi="Arial" w:cs="Arial"/>
          <w:sz w:val="24"/>
          <w:szCs w:val="24"/>
        </w:rPr>
        <w:t xml:space="preserve"> are observed</w:t>
      </w:r>
      <w:r w:rsidR="00482B71">
        <w:rPr>
          <w:rFonts w:ascii="Arial" w:hAnsi="Arial" w:cs="Arial"/>
          <w:sz w:val="24"/>
          <w:szCs w:val="24"/>
        </w:rPr>
        <w:t xml:space="preserve"> </w:t>
      </w:r>
      <w:r w:rsidR="00751A31" w:rsidRPr="00751A31">
        <w:rPr>
          <w:rFonts w:ascii="Arial" w:hAnsi="Arial" w:cs="Arial"/>
          <w:sz w:val="24"/>
          <w:szCs w:val="24"/>
          <w:vertAlign w:val="superscript"/>
        </w:rPr>
        <w:t>[</w:t>
      </w:r>
      <w:hyperlink w:anchor="_ENREF_1" w:tooltip="Li, 2016 #57" w:history="1">
        <w:r w:rsidR="00DE6709" w:rsidRPr="00A05F7C">
          <w:rPr>
            <w:rFonts w:ascii="Arial" w:hAnsi="Arial" w:cs="Arial"/>
            <w:sz w:val="24"/>
            <w:szCs w:val="24"/>
          </w:rPr>
          <w:fldChar w:fldCharType="begin"/>
        </w:r>
        <w:r w:rsidR="00DE6709">
          <w:rPr>
            <w:rFonts w:ascii="Arial" w:hAnsi="Arial" w:cs="Arial"/>
            <w:sz w:val="24"/>
            <w:szCs w:val="24"/>
          </w:rPr>
          <w:instrText xml:space="preserve"> ADDIN EN.CITE &lt;EndNote&gt;&lt;Cite&gt;&lt;Author&gt;Li&lt;/Author&gt;&lt;Year&gt;2016&lt;/Year&gt;&lt;RecNum&gt;57&lt;/RecNum&gt;&lt;DisplayText&gt;&lt;style face="superscript"&gt;1&lt;/style&gt;&lt;/DisplayText&gt;&lt;record&gt;&lt;rec-number&gt;57&lt;/rec-number&gt;&lt;foreign-keys&gt;&lt;key app="EN" db-id="5prf5aep4p0et9efze4v0w5twww9fs0a0f95" timestamp="1567994119"&gt;57&lt;/key&gt;&lt;/foreign-keys&gt;&lt;ref-type name="Journal Article"&gt;17&lt;/ref-type&gt;&lt;contributors&gt;&lt;authors&gt;&lt;author&gt;Li, Hailong&lt;/author&gt;&lt;author&gt;Xue, Yong&lt;/author&gt;&lt;author&gt;Wu, Jinlian&lt;/author&gt;&lt;author&gt;Wu, Hongli&lt;/author&gt;&lt;author&gt;Qin, Guanghui&lt;/author&gt;&lt;author&gt;Li, Chengguo&lt;/author&gt;&lt;author&gt;Ding, Jiajia&lt;/author&gt;&lt;author&gt;Liu, Jian&lt;/author&gt;&lt;author&gt;Gan, Lihui&lt;/author&gt;&lt;author&gt;Long, Minnan&lt;/author&gt;&lt;/authors&gt;&lt;/contributors&gt;&lt;titles&gt;&lt;title&gt;Enzymatic hydrolysis of hemicelluloses from Miscanthus to monosaccharides or xylo-oligosaccharides by recombinant hemicellulases&lt;/title&gt;&lt;secondary-title&gt;Industrial crops and products&lt;/secondary-title&gt;&lt;/titles&gt;&lt;periodical&gt;&lt;full-title&gt;Industrial crops and products&lt;/full-title&gt;&lt;/periodical&gt;&lt;pages&gt;170-179&lt;/pages&gt;&lt;volume&gt;79&lt;/volume&gt;&lt;dates&gt;&lt;year&gt;2016&lt;/year&gt;&lt;/dates&gt;&lt;isbn&gt;0926-6690&lt;/isbn&gt;&lt;urls&gt;&lt;/urls&gt;&lt;/record&gt;&lt;/Cite&gt;&lt;/EndNote&gt;</w:instrText>
        </w:r>
        <w:r w:rsidR="00DE6709" w:rsidRPr="00A05F7C">
          <w:rPr>
            <w:rFonts w:ascii="Arial" w:hAnsi="Arial" w:cs="Arial"/>
            <w:sz w:val="24"/>
            <w:szCs w:val="24"/>
          </w:rPr>
          <w:fldChar w:fldCharType="separate"/>
        </w:r>
        <w:r w:rsidR="00DE6709" w:rsidRPr="00DE6709">
          <w:rPr>
            <w:rFonts w:ascii="Arial" w:hAnsi="Arial" w:cs="Arial"/>
            <w:noProof/>
            <w:sz w:val="24"/>
            <w:szCs w:val="24"/>
            <w:vertAlign w:val="superscript"/>
          </w:rPr>
          <w:t>1</w:t>
        </w:r>
        <w:r w:rsidR="00DE6709" w:rsidRPr="00A05F7C">
          <w:rPr>
            <w:rFonts w:ascii="Arial" w:hAnsi="Arial" w:cs="Arial"/>
            <w:sz w:val="24"/>
            <w:szCs w:val="24"/>
          </w:rPr>
          <w:fldChar w:fldCharType="end"/>
        </w:r>
      </w:hyperlink>
      <w:r w:rsidR="00751A31" w:rsidRPr="00751A31">
        <w:rPr>
          <w:rFonts w:ascii="Arial" w:hAnsi="Arial" w:cs="Arial"/>
          <w:sz w:val="24"/>
          <w:szCs w:val="24"/>
          <w:vertAlign w:val="superscript"/>
        </w:rPr>
        <w:t>]</w:t>
      </w:r>
      <w:r w:rsidR="00B42FEF" w:rsidRPr="00A05F7C">
        <w:rPr>
          <w:rFonts w:ascii="Arial" w:hAnsi="Arial" w:cs="Arial"/>
          <w:sz w:val="24"/>
          <w:szCs w:val="24"/>
        </w:rPr>
        <w:t>.</w:t>
      </w:r>
      <w:r w:rsidR="00C023EE" w:rsidRPr="00A05F7C">
        <w:rPr>
          <w:rFonts w:ascii="Arial" w:hAnsi="Arial" w:cs="Arial"/>
          <w:sz w:val="24"/>
          <w:szCs w:val="24"/>
        </w:rPr>
        <w:t xml:space="preserve"> </w:t>
      </w:r>
      <w:r w:rsidR="00D6372B" w:rsidRPr="00A05F7C">
        <w:rPr>
          <w:rFonts w:ascii="Arial" w:hAnsi="Arial" w:cs="Arial"/>
          <w:sz w:val="24"/>
          <w:szCs w:val="24"/>
        </w:rPr>
        <w:t>T</w:t>
      </w:r>
      <w:r w:rsidR="00C023EE" w:rsidRPr="00A05F7C">
        <w:rPr>
          <w:rFonts w:ascii="Arial" w:hAnsi="Arial" w:cs="Arial"/>
          <w:sz w:val="24"/>
          <w:szCs w:val="24"/>
        </w:rPr>
        <w:t xml:space="preserve">he HPLC chromatogram </w:t>
      </w:r>
      <w:r w:rsidR="00BC7935">
        <w:rPr>
          <w:rFonts w:ascii="Arial" w:hAnsi="Arial" w:cs="Arial"/>
          <w:sz w:val="24"/>
          <w:szCs w:val="24"/>
        </w:rPr>
        <w:t xml:space="preserve">for </w:t>
      </w:r>
      <w:r w:rsidR="00C023EE" w:rsidRPr="00A05F7C">
        <w:rPr>
          <w:rFonts w:ascii="Arial" w:hAnsi="Arial" w:cs="Arial"/>
          <w:sz w:val="24"/>
          <w:szCs w:val="24"/>
        </w:rPr>
        <w:t>the hemicellulose</w:t>
      </w:r>
      <w:r w:rsidR="00D6372B" w:rsidRPr="00A05F7C">
        <w:rPr>
          <w:rFonts w:ascii="Arial" w:hAnsi="Arial" w:cs="Arial"/>
          <w:sz w:val="24"/>
          <w:szCs w:val="24"/>
        </w:rPr>
        <w:t xml:space="preserve"> shows that the </w:t>
      </w:r>
      <w:r w:rsidR="006855E6">
        <w:rPr>
          <w:rFonts w:ascii="Arial" w:hAnsi="Arial" w:cs="Arial"/>
          <w:sz w:val="24"/>
          <w:szCs w:val="24"/>
        </w:rPr>
        <w:t xml:space="preserve">sugar present in </w:t>
      </w:r>
      <w:r w:rsidR="00D6372B" w:rsidRPr="00A05F7C">
        <w:rPr>
          <w:rFonts w:ascii="Arial" w:hAnsi="Arial" w:cs="Arial"/>
          <w:sz w:val="24"/>
          <w:szCs w:val="24"/>
        </w:rPr>
        <w:t>hemicellulose</w:t>
      </w:r>
      <w:r w:rsidR="00C023EE" w:rsidRPr="00A05F7C">
        <w:rPr>
          <w:rFonts w:ascii="Arial" w:hAnsi="Arial" w:cs="Arial"/>
          <w:sz w:val="24"/>
          <w:szCs w:val="24"/>
        </w:rPr>
        <w:t xml:space="preserve"> </w:t>
      </w:r>
      <w:r w:rsidR="006855E6">
        <w:rPr>
          <w:rFonts w:ascii="Arial" w:hAnsi="Arial" w:cs="Arial"/>
          <w:sz w:val="24"/>
          <w:szCs w:val="24"/>
        </w:rPr>
        <w:t xml:space="preserve">are </w:t>
      </w:r>
      <w:r w:rsidR="00BC7935">
        <w:rPr>
          <w:rFonts w:ascii="Arial" w:hAnsi="Arial" w:cs="Arial"/>
          <w:sz w:val="24"/>
          <w:szCs w:val="24"/>
        </w:rPr>
        <w:t xml:space="preserve">mainly </w:t>
      </w:r>
      <w:r w:rsidR="006855E6">
        <w:rPr>
          <w:rFonts w:ascii="Arial" w:hAnsi="Arial" w:cs="Arial"/>
          <w:sz w:val="24"/>
          <w:szCs w:val="24"/>
        </w:rPr>
        <w:t xml:space="preserve">xylose, arabinose and </w:t>
      </w:r>
      <w:r w:rsidR="003E6185">
        <w:rPr>
          <w:rFonts w:ascii="Arial" w:hAnsi="Arial" w:cs="Arial"/>
          <w:sz w:val="24"/>
          <w:szCs w:val="24"/>
        </w:rPr>
        <w:t>traces</w:t>
      </w:r>
      <w:r w:rsidR="006855E6" w:rsidRPr="006855E6">
        <w:rPr>
          <w:rFonts w:ascii="Arial" w:hAnsi="Arial" w:cs="Arial"/>
          <w:sz w:val="24"/>
          <w:szCs w:val="24"/>
        </w:rPr>
        <w:t xml:space="preserve"> of glucose</w:t>
      </w:r>
      <w:r w:rsidR="00C023EE" w:rsidRPr="00A05F7C">
        <w:rPr>
          <w:rFonts w:ascii="Arial" w:hAnsi="Arial" w:cs="Arial"/>
          <w:sz w:val="24"/>
          <w:szCs w:val="24"/>
        </w:rPr>
        <w:t xml:space="preserve">.  </w:t>
      </w:r>
    </w:p>
    <w:p w14:paraId="20BD1AC8" w14:textId="24DBE87E" w:rsidR="00D6372B" w:rsidRDefault="00D6372B" w:rsidP="008364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5F7C">
        <w:rPr>
          <w:rFonts w:ascii="Arial" w:hAnsi="Arial" w:cs="Arial"/>
          <w:sz w:val="24"/>
          <w:szCs w:val="24"/>
        </w:rPr>
        <w:lastRenderedPageBreak/>
        <w:t xml:space="preserve">According </w:t>
      </w:r>
      <w:r w:rsidR="00A13D96">
        <w:rPr>
          <w:rFonts w:ascii="Arial" w:hAnsi="Arial" w:cs="Arial"/>
          <w:sz w:val="24"/>
          <w:szCs w:val="24"/>
        </w:rPr>
        <w:t xml:space="preserve">to </w:t>
      </w:r>
      <w:r w:rsidRPr="00A05F7C">
        <w:rPr>
          <w:rFonts w:ascii="Arial" w:hAnsi="Arial" w:cs="Arial"/>
          <w:sz w:val="24"/>
          <w:szCs w:val="24"/>
        </w:rPr>
        <w:t xml:space="preserve">both </w:t>
      </w:r>
      <w:r w:rsidRPr="00A05F7C">
        <w:rPr>
          <w:rFonts w:ascii="Arial" w:hAnsi="Arial" w:cs="Arial"/>
          <w:sz w:val="24"/>
          <w:szCs w:val="24"/>
          <w:vertAlign w:val="superscript"/>
        </w:rPr>
        <w:t>1</w:t>
      </w:r>
      <w:r w:rsidRPr="00A05F7C">
        <w:rPr>
          <w:rFonts w:ascii="Arial" w:hAnsi="Arial" w:cs="Arial"/>
          <w:sz w:val="24"/>
          <w:szCs w:val="24"/>
        </w:rPr>
        <w:t xml:space="preserve">H and </w:t>
      </w:r>
      <w:r w:rsidRPr="00A05F7C">
        <w:rPr>
          <w:rFonts w:ascii="Arial" w:hAnsi="Arial" w:cs="Arial"/>
          <w:sz w:val="24"/>
          <w:szCs w:val="24"/>
          <w:vertAlign w:val="superscript"/>
        </w:rPr>
        <w:t>13</w:t>
      </w:r>
      <w:r w:rsidRPr="00A05F7C">
        <w:rPr>
          <w:rFonts w:ascii="Arial" w:hAnsi="Arial" w:cs="Arial"/>
          <w:sz w:val="24"/>
          <w:szCs w:val="24"/>
        </w:rPr>
        <w:t>CNMR spectrum and HPL chromatogram analysis</w:t>
      </w:r>
      <w:r w:rsidR="00C023EE" w:rsidRPr="00A05F7C">
        <w:rPr>
          <w:rFonts w:ascii="Arial" w:hAnsi="Arial" w:cs="Arial"/>
          <w:sz w:val="24"/>
          <w:szCs w:val="24"/>
        </w:rPr>
        <w:t xml:space="preserve">, it is possible </w:t>
      </w:r>
      <w:r w:rsidR="00A13D96">
        <w:rPr>
          <w:rFonts w:ascii="Arial" w:hAnsi="Arial" w:cs="Arial"/>
          <w:sz w:val="24"/>
          <w:szCs w:val="24"/>
        </w:rPr>
        <w:t xml:space="preserve">to </w:t>
      </w:r>
      <w:r w:rsidR="00C023EE" w:rsidRPr="00A05F7C">
        <w:rPr>
          <w:rFonts w:ascii="Arial" w:hAnsi="Arial" w:cs="Arial"/>
          <w:sz w:val="24"/>
          <w:szCs w:val="24"/>
        </w:rPr>
        <w:t>conclud</w:t>
      </w:r>
      <w:r w:rsidR="00A13D96">
        <w:rPr>
          <w:rFonts w:ascii="Arial" w:hAnsi="Arial" w:cs="Arial"/>
          <w:sz w:val="24"/>
          <w:szCs w:val="24"/>
        </w:rPr>
        <w:t>e</w:t>
      </w:r>
      <w:r w:rsidR="00C023EE" w:rsidRPr="00A05F7C">
        <w:rPr>
          <w:rFonts w:ascii="Arial" w:hAnsi="Arial" w:cs="Arial"/>
          <w:sz w:val="24"/>
          <w:szCs w:val="24"/>
        </w:rPr>
        <w:t xml:space="preserve"> that th</w:t>
      </w:r>
      <w:r w:rsidR="00D7581A">
        <w:rPr>
          <w:rFonts w:ascii="Arial" w:hAnsi="Arial" w:cs="Arial"/>
          <w:sz w:val="24"/>
          <w:szCs w:val="24"/>
        </w:rPr>
        <w:t>e</w:t>
      </w:r>
      <w:r w:rsidR="00C023EE" w:rsidRPr="00A05F7C">
        <w:rPr>
          <w:rFonts w:ascii="Arial" w:hAnsi="Arial" w:cs="Arial"/>
          <w:sz w:val="24"/>
          <w:szCs w:val="24"/>
        </w:rPr>
        <w:t xml:space="preserve"> hemicellulose from agave bagasse </w:t>
      </w:r>
      <w:r w:rsidR="00D7581A">
        <w:rPr>
          <w:rFonts w:ascii="Arial" w:hAnsi="Arial" w:cs="Arial"/>
          <w:sz w:val="24"/>
          <w:szCs w:val="24"/>
        </w:rPr>
        <w:t xml:space="preserve">is </w:t>
      </w:r>
      <w:r w:rsidR="006855E6">
        <w:rPr>
          <w:rFonts w:ascii="Arial" w:hAnsi="Arial" w:cs="Arial"/>
          <w:sz w:val="24"/>
          <w:szCs w:val="24"/>
        </w:rPr>
        <w:t>constitute</w:t>
      </w:r>
      <w:r w:rsidR="00A13D96">
        <w:rPr>
          <w:rFonts w:ascii="Arial" w:hAnsi="Arial" w:cs="Arial"/>
          <w:sz w:val="24"/>
          <w:szCs w:val="24"/>
        </w:rPr>
        <w:t>d</w:t>
      </w:r>
      <w:r w:rsidR="006855E6">
        <w:rPr>
          <w:rFonts w:ascii="Arial" w:hAnsi="Arial" w:cs="Arial"/>
          <w:sz w:val="24"/>
          <w:szCs w:val="24"/>
        </w:rPr>
        <w:t xml:space="preserve"> by </w:t>
      </w:r>
      <w:r w:rsidR="006855E6" w:rsidRPr="00A05F7C">
        <w:rPr>
          <w:rFonts w:ascii="Arial" w:hAnsi="Arial" w:cs="Arial"/>
          <w:sz w:val="24"/>
          <w:szCs w:val="24"/>
        </w:rPr>
        <w:t>xylose</w:t>
      </w:r>
      <w:r w:rsidR="00E17F54" w:rsidRPr="00A05F7C">
        <w:rPr>
          <w:rFonts w:ascii="Arial" w:hAnsi="Arial" w:cs="Arial"/>
          <w:sz w:val="24"/>
          <w:szCs w:val="24"/>
        </w:rPr>
        <w:t>, arabinose and 4-O-methyl glucuronic acid</w:t>
      </w:r>
      <w:r w:rsidRPr="00A05F7C">
        <w:rPr>
          <w:rFonts w:ascii="Arial" w:hAnsi="Arial" w:cs="Arial"/>
          <w:sz w:val="24"/>
          <w:szCs w:val="24"/>
        </w:rPr>
        <w:t>.</w:t>
      </w:r>
    </w:p>
    <w:p w14:paraId="412B4844" w14:textId="34A7159A" w:rsidR="002E7B44" w:rsidRDefault="002E7B44" w:rsidP="00D343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F47B9B" wp14:editId="5A61B972">
            <wp:extent cx="5915025" cy="6709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M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584" cy="671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F36BC" w14:textId="77777777" w:rsidR="007F16D8" w:rsidRDefault="007F16D8" w:rsidP="0085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F7C">
        <w:rPr>
          <w:rFonts w:ascii="Arial" w:hAnsi="Arial" w:cs="Arial"/>
          <w:sz w:val="24"/>
          <w:szCs w:val="24"/>
        </w:rPr>
        <w:t>Figure SM</w:t>
      </w:r>
      <w:r w:rsidR="00143FF5">
        <w:rPr>
          <w:rFonts w:ascii="Arial" w:hAnsi="Arial" w:cs="Arial"/>
          <w:sz w:val="24"/>
          <w:szCs w:val="24"/>
        </w:rPr>
        <w:t>3</w:t>
      </w:r>
      <w:r w:rsidRPr="00A05F7C">
        <w:rPr>
          <w:rFonts w:ascii="Arial" w:hAnsi="Arial" w:cs="Arial"/>
          <w:sz w:val="24"/>
          <w:szCs w:val="24"/>
        </w:rPr>
        <w:t xml:space="preserve">. </w:t>
      </w:r>
      <w:r w:rsidR="002422A5">
        <w:rPr>
          <w:rFonts w:ascii="Arial" w:hAnsi="Arial" w:cs="Arial"/>
          <w:sz w:val="24"/>
          <w:szCs w:val="24"/>
        </w:rPr>
        <w:t xml:space="preserve">A) </w:t>
      </w:r>
      <w:r w:rsidR="002422A5" w:rsidRPr="002422A5">
        <w:rPr>
          <w:rFonts w:ascii="Arial" w:hAnsi="Arial" w:cs="Arial"/>
          <w:sz w:val="24"/>
          <w:szCs w:val="24"/>
        </w:rPr>
        <w:t>Scheme for Preparation of Xylan-Type Hemi</w:t>
      </w:r>
      <w:r w:rsidR="002422A5">
        <w:rPr>
          <w:rFonts w:ascii="Arial" w:hAnsi="Arial" w:cs="Arial"/>
          <w:sz w:val="24"/>
          <w:szCs w:val="24"/>
        </w:rPr>
        <w:t xml:space="preserve">cellulose-Based hybrid hydrogel; B) </w:t>
      </w:r>
      <w:r w:rsidRPr="00A05F7C">
        <w:rPr>
          <w:rFonts w:ascii="Arial" w:hAnsi="Arial" w:cs="Arial"/>
          <w:sz w:val="24"/>
          <w:szCs w:val="24"/>
        </w:rPr>
        <w:t xml:space="preserve">Solid state </w:t>
      </w:r>
      <w:r w:rsidRPr="00A05F7C">
        <w:rPr>
          <w:rFonts w:ascii="Arial" w:hAnsi="Arial" w:cs="Arial"/>
          <w:sz w:val="24"/>
          <w:szCs w:val="24"/>
          <w:vertAlign w:val="superscript"/>
        </w:rPr>
        <w:t>13</w:t>
      </w:r>
      <w:r w:rsidRPr="00A05F7C">
        <w:rPr>
          <w:rFonts w:ascii="Arial" w:hAnsi="Arial" w:cs="Arial"/>
          <w:sz w:val="24"/>
          <w:szCs w:val="24"/>
        </w:rPr>
        <w:t xml:space="preserve">C-NMR </w:t>
      </w:r>
      <w:r w:rsidR="00772837" w:rsidRPr="00A05F7C">
        <w:rPr>
          <w:rFonts w:ascii="Arial" w:hAnsi="Arial" w:cs="Arial"/>
          <w:sz w:val="24"/>
          <w:szCs w:val="24"/>
        </w:rPr>
        <w:t>in D</w:t>
      </w:r>
      <w:r w:rsidR="00772837" w:rsidRPr="00A05F7C">
        <w:rPr>
          <w:rFonts w:ascii="Arial" w:hAnsi="Arial" w:cs="Arial"/>
          <w:sz w:val="24"/>
          <w:szCs w:val="24"/>
          <w:vertAlign w:val="subscript"/>
        </w:rPr>
        <w:t>2</w:t>
      </w:r>
      <w:r w:rsidR="00772837" w:rsidRPr="00A05F7C">
        <w:rPr>
          <w:rFonts w:ascii="Arial" w:hAnsi="Arial" w:cs="Arial"/>
          <w:sz w:val="24"/>
          <w:szCs w:val="24"/>
        </w:rPr>
        <w:t xml:space="preserve">O </w:t>
      </w:r>
      <w:r w:rsidRPr="00A05F7C">
        <w:rPr>
          <w:rFonts w:ascii="Arial" w:hAnsi="Arial" w:cs="Arial"/>
          <w:sz w:val="24"/>
          <w:szCs w:val="24"/>
        </w:rPr>
        <w:t xml:space="preserve">of the </w:t>
      </w:r>
      <w:r w:rsidR="00D06C7D" w:rsidRPr="00A05F7C">
        <w:rPr>
          <w:rFonts w:ascii="Arial" w:hAnsi="Arial" w:cs="Arial"/>
          <w:sz w:val="24"/>
          <w:szCs w:val="24"/>
        </w:rPr>
        <w:t xml:space="preserve">thermo-responsive </w:t>
      </w:r>
      <w:r w:rsidR="00F12FAA">
        <w:rPr>
          <w:rFonts w:ascii="Arial" w:hAnsi="Arial" w:cs="Arial"/>
          <w:sz w:val="24"/>
          <w:szCs w:val="24"/>
        </w:rPr>
        <w:t>HC-</w:t>
      </w:r>
      <w:r w:rsidR="00F12FAA" w:rsidRPr="00C77EB2">
        <w:rPr>
          <w:rFonts w:ascii="Arial" w:hAnsi="Arial" w:cs="Arial"/>
          <w:i/>
          <w:iCs/>
          <w:sz w:val="24"/>
          <w:szCs w:val="24"/>
        </w:rPr>
        <w:t>g</w:t>
      </w:r>
      <w:r w:rsidR="00F12FAA">
        <w:rPr>
          <w:rFonts w:ascii="Arial" w:hAnsi="Arial" w:cs="Arial"/>
          <w:sz w:val="24"/>
          <w:szCs w:val="24"/>
        </w:rPr>
        <w:t>-TMSPMA/PVCL</w:t>
      </w:r>
      <w:r w:rsidR="00F12FAA" w:rsidRPr="00A05F7C">
        <w:rPr>
          <w:rFonts w:ascii="Arial" w:hAnsi="Arial" w:cs="Arial"/>
          <w:sz w:val="24"/>
          <w:szCs w:val="24"/>
        </w:rPr>
        <w:t xml:space="preserve"> </w:t>
      </w:r>
      <w:r w:rsidR="008574A9">
        <w:rPr>
          <w:rFonts w:ascii="Arial" w:hAnsi="Arial" w:cs="Arial"/>
          <w:sz w:val="24"/>
          <w:szCs w:val="24"/>
        </w:rPr>
        <w:t>hydrogel.</w:t>
      </w:r>
    </w:p>
    <w:p w14:paraId="058E5B95" w14:textId="415C12C9" w:rsidR="002E7B44" w:rsidRDefault="00B14A6D" w:rsidP="00222E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Figure SM</w:t>
      </w:r>
      <w:r w:rsidR="00143FF5">
        <w:rPr>
          <w:rFonts w:ascii="Arial" w:hAnsi="Arial" w:cs="Arial"/>
          <w:sz w:val="24"/>
          <w:szCs w:val="24"/>
        </w:rPr>
        <w:t>3</w:t>
      </w:r>
      <w:r w:rsidR="00AD4571">
        <w:rPr>
          <w:rFonts w:ascii="Arial" w:hAnsi="Arial" w:cs="Arial"/>
          <w:sz w:val="24"/>
          <w:szCs w:val="24"/>
        </w:rPr>
        <w:t xml:space="preserve"> </w:t>
      </w:r>
      <w:r w:rsidR="00F47C5D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 xml:space="preserve">shows </w:t>
      </w:r>
      <w:r w:rsidR="00F12FAA">
        <w:rPr>
          <w:rFonts w:ascii="Arial" w:hAnsi="Arial" w:cs="Arial"/>
          <w:sz w:val="24"/>
          <w:szCs w:val="24"/>
        </w:rPr>
        <w:t xml:space="preserve">the </w:t>
      </w:r>
      <w:r w:rsidR="00442408" w:rsidRPr="00A05F7C">
        <w:rPr>
          <w:rFonts w:ascii="Arial" w:hAnsi="Arial" w:cs="Arial"/>
          <w:sz w:val="24"/>
          <w:szCs w:val="24"/>
        </w:rPr>
        <w:t>solid</w:t>
      </w:r>
      <w:r w:rsidR="00442408" w:rsidRPr="00A05F7C">
        <w:rPr>
          <w:rFonts w:ascii="Arial" w:hAnsi="Arial" w:cs="Arial"/>
          <w:sz w:val="24"/>
          <w:szCs w:val="24"/>
          <w:vertAlign w:val="superscript"/>
        </w:rPr>
        <w:t xml:space="preserve"> 13</w:t>
      </w:r>
      <w:r w:rsidR="00442408" w:rsidRPr="00A05F7C">
        <w:rPr>
          <w:rFonts w:ascii="Arial" w:hAnsi="Arial" w:cs="Arial"/>
          <w:sz w:val="24"/>
          <w:szCs w:val="24"/>
        </w:rPr>
        <w:t>C NMR</w:t>
      </w:r>
      <w:r>
        <w:rPr>
          <w:rFonts w:ascii="Arial" w:hAnsi="Arial" w:cs="Arial"/>
          <w:sz w:val="24"/>
          <w:szCs w:val="24"/>
        </w:rPr>
        <w:t xml:space="preserve"> of hydrogel HC-</w:t>
      </w:r>
      <w:r w:rsidRPr="00C77EB2">
        <w:rPr>
          <w:rFonts w:ascii="Arial" w:hAnsi="Arial" w:cs="Arial"/>
          <w:i/>
          <w:iCs/>
          <w:sz w:val="24"/>
          <w:szCs w:val="24"/>
        </w:rPr>
        <w:t>g</w:t>
      </w:r>
      <w:r w:rsidR="00F12FA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TMSPMA/PVCL</w:t>
      </w:r>
      <w:r w:rsidR="00F47C5D" w:rsidRPr="00F47C5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47C5D">
        <w:rPr>
          <w:rFonts w:ascii="Arial" w:eastAsia="Times New Roman" w:hAnsi="Arial" w:cs="Arial"/>
          <w:sz w:val="24"/>
          <w:szCs w:val="24"/>
          <w:lang w:eastAsia="es-MX"/>
        </w:rPr>
        <w:t xml:space="preserve">synthetized according </w:t>
      </w:r>
      <w:r w:rsidR="00736D9E">
        <w:rPr>
          <w:rFonts w:ascii="Arial" w:eastAsia="Times New Roman" w:hAnsi="Arial" w:cs="Arial"/>
          <w:sz w:val="24"/>
          <w:szCs w:val="24"/>
          <w:lang w:eastAsia="es-MX"/>
        </w:rPr>
        <w:t xml:space="preserve">to the </w:t>
      </w:r>
      <w:r w:rsidR="00F47C5D">
        <w:rPr>
          <w:rFonts w:ascii="Arial" w:eastAsia="Times New Roman" w:hAnsi="Arial" w:cs="Arial"/>
          <w:sz w:val="24"/>
          <w:szCs w:val="24"/>
          <w:lang w:eastAsia="es-MX"/>
        </w:rPr>
        <w:t>scheme show</w:t>
      </w:r>
      <w:r w:rsidR="00736D9E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F47C5D">
        <w:rPr>
          <w:rFonts w:ascii="Arial" w:eastAsia="Times New Roman" w:hAnsi="Arial" w:cs="Arial"/>
          <w:sz w:val="24"/>
          <w:szCs w:val="24"/>
          <w:lang w:eastAsia="es-MX"/>
        </w:rPr>
        <w:t xml:space="preserve"> in Figure SM3(A). Briefly, h</w:t>
      </w:r>
      <w:r w:rsidR="00F47C5D" w:rsidRPr="00C06E93">
        <w:rPr>
          <w:rFonts w:ascii="Arial" w:eastAsia="Times New Roman" w:hAnsi="Arial" w:cs="Arial"/>
          <w:sz w:val="24"/>
          <w:szCs w:val="24"/>
          <w:lang w:eastAsia="es-MX"/>
        </w:rPr>
        <w:t xml:space="preserve">ybrid hydrogels were prepared with sylanized hemicellulose and NVCL by free radical </w:t>
      </w:r>
      <w:r w:rsidR="00F47C5D">
        <w:rPr>
          <w:rFonts w:ascii="Arial" w:eastAsia="Times New Roman" w:hAnsi="Arial" w:cs="Arial"/>
          <w:sz w:val="24"/>
          <w:szCs w:val="24"/>
          <w:lang w:eastAsia="es-MX"/>
        </w:rPr>
        <w:t>polymerization and crosslinking. In the NMR spectra, i</w:t>
      </w:r>
      <w:r>
        <w:rPr>
          <w:rFonts w:ascii="Arial" w:hAnsi="Arial" w:cs="Arial"/>
          <w:sz w:val="24"/>
          <w:szCs w:val="24"/>
        </w:rPr>
        <w:t xml:space="preserve">t </w:t>
      </w:r>
      <w:r w:rsidRPr="00A05F7C">
        <w:rPr>
          <w:rFonts w:ascii="Arial" w:hAnsi="Arial" w:cs="Arial"/>
          <w:sz w:val="24"/>
          <w:szCs w:val="24"/>
        </w:rPr>
        <w:t>can</w:t>
      </w:r>
      <w:r w:rsidR="00442408" w:rsidRPr="00A05F7C">
        <w:rPr>
          <w:rFonts w:ascii="Arial" w:hAnsi="Arial" w:cs="Arial"/>
          <w:sz w:val="24"/>
          <w:szCs w:val="24"/>
        </w:rPr>
        <w:t xml:space="preserve"> be seen the peaks at </w:t>
      </w:r>
      <w:r w:rsidR="00BB33B5" w:rsidRPr="00A05F7C">
        <w:rPr>
          <w:rFonts w:ascii="Arial" w:hAnsi="Arial" w:cs="Arial"/>
          <w:sz w:val="24"/>
          <w:szCs w:val="24"/>
        </w:rPr>
        <w:t>23.6 and 30.4 ppm</w:t>
      </w:r>
      <w:r w:rsidR="00F12FAA">
        <w:rPr>
          <w:rFonts w:ascii="Arial" w:hAnsi="Arial" w:cs="Arial"/>
          <w:sz w:val="24"/>
          <w:szCs w:val="24"/>
        </w:rPr>
        <w:t>,</w:t>
      </w:r>
      <w:r w:rsidR="00BB33B5" w:rsidRPr="00A05F7C">
        <w:rPr>
          <w:rFonts w:ascii="Arial" w:hAnsi="Arial" w:cs="Arial"/>
          <w:sz w:val="24"/>
          <w:szCs w:val="24"/>
        </w:rPr>
        <w:t xml:space="preserve"> </w:t>
      </w:r>
      <w:r w:rsidR="00F12FAA">
        <w:rPr>
          <w:rFonts w:ascii="Arial" w:hAnsi="Arial" w:cs="Arial"/>
          <w:sz w:val="24"/>
          <w:szCs w:val="24"/>
        </w:rPr>
        <w:t xml:space="preserve">which are </w:t>
      </w:r>
      <w:r w:rsidR="00BB33B5" w:rsidRPr="00A05F7C">
        <w:rPr>
          <w:rFonts w:ascii="Arial" w:hAnsi="Arial" w:cs="Arial"/>
          <w:sz w:val="24"/>
          <w:szCs w:val="24"/>
        </w:rPr>
        <w:t>assigned to carbon atoms in the methylene groups (–CH</w:t>
      </w:r>
      <w:r w:rsidR="00BB33B5" w:rsidRPr="00A05F7C">
        <w:rPr>
          <w:rFonts w:ascii="Arial" w:hAnsi="Arial" w:cs="Arial"/>
          <w:sz w:val="24"/>
          <w:szCs w:val="24"/>
          <w:vertAlign w:val="subscript"/>
        </w:rPr>
        <w:t>2</w:t>
      </w:r>
      <w:r w:rsidR="00BB33B5" w:rsidRPr="00A05F7C">
        <w:rPr>
          <w:rFonts w:ascii="Arial" w:hAnsi="Arial" w:cs="Arial"/>
          <w:sz w:val="24"/>
          <w:szCs w:val="24"/>
        </w:rPr>
        <w:t>). The signals at 38.3 and 44 ppm</w:t>
      </w:r>
      <w:r w:rsidR="00F12FAA">
        <w:rPr>
          <w:rFonts w:ascii="Arial" w:hAnsi="Arial" w:cs="Arial"/>
          <w:sz w:val="24"/>
          <w:szCs w:val="24"/>
        </w:rPr>
        <w:t xml:space="preserve"> </w:t>
      </w:r>
      <w:r w:rsidR="00BB33B5" w:rsidRPr="00A05F7C">
        <w:rPr>
          <w:rFonts w:ascii="Arial" w:hAnsi="Arial" w:cs="Arial"/>
          <w:sz w:val="24"/>
          <w:szCs w:val="24"/>
        </w:rPr>
        <w:t>correspond to the signal of C atoms in -CH</w:t>
      </w:r>
      <w:r w:rsidR="00BB33B5" w:rsidRPr="00A05F7C">
        <w:rPr>
          <w:rFonts w:ascii="Arial" w:hAnsi="Arial" w:cs="Arial"/>
          <w:sz w:val="24"/>
          <w:szCs w:val="24"/>
          <w:vertAlign w:val="subscript"/>
        </w:rPr>
        <w:t>2</w:t>
      </w:r>
      <w:r w:rsidR="00BB33B5" w:rsidRPr="00A05F7C">
        <w:rPr>
          <w:rFonts w:ascii="Arial" w:hAnsi="Arial" w:cs="Arial"/>
          <w:sz w:val="24"/>
          <w:szCs w:val="24"/>
        </w:rPr>
        <w:t>-</w:t>
      </w:r>
      <w:r w:rsidR="00BB33B5" w:rsidRPr="00A05F7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B33B5" w:rsidRPr="00A05F7C">
        <w:rPr>
          <w:rFonts w:ascii="Arial" w:hAnsi="Arial" w:cs="Arial"/>
          <w:sz w:val="24"/>
          <w:szCs w:val="24"/>
        </w:rPr>
        <w:t>groups near to –C=O- and –NCH–. The peaks at 102, 75, 67 and 63.3 ppm were assigned to the C1, C4, C3, 2 and C5 of the xylopyranose units from HC. Carbonyl groups (-C=O) from HC as well as from PNVCL can been observed at 178 ppm. The s</w:t>
      </w:r>
      <w:r w:rsidR="00736D9E">
        <w:rPr>
          <w:rFonts w:ascii="Arial" w:hAnsi="Arial" w:cs="Arial"/>
          <w:sz w:val="24"/>
          <w:szCs w:val="24"/>
        </w:rPr>
        <w:t>mall</w:t>
      </w:r>
      <w:r w:rsidR="00BB33B5" w:rsidRPr="00A05F7C">
        <w:rPr>
          <w:rFonts w:ascii="Arial" w:hAnsi="Arial" w:cs="Arial"/>
          <w:sz w:val="24"/>
          <w:szCs w:val="24"/>
        </w:rPr>
        <w:t xml:space="preserve"> peak at 100 ppm correspond</w:t>
      </w:r>
      <w:r w:rsidR="00F12FAA">
        <w:rPr>
          <w:rFonts w:ascii="Arial" w:hAnsi="Arial" w:cs="Arial"/>
          <w:sz w:val="24"/>
          <w:szCs w:val="24"/>
        </w:rPr>
        <w:t>s</w:t>
      </w:r>
      <w:r w:rsidR="00BB33B5" w:rsidRPr="00A05F7C">
        <w:rPr>
          <w:rFonts w:ascii="Arial" w:hAnsi="Arial" w:cs="Arial"/>
          <w:sz w:val="24"/>
          <w:szCs w:val="24"/>
        </w:rPr>
        <w:t xml:space="preserve"> to carbon atom of the silyl ether (-C – O – Si-). </w:t>
      </w:r>
    </w:p>
    <w:p w14:paraId="04497C14" w14:textId="77777777" w:rsidR="002E7B44" w:rsidRDefault="002E7B44" w:rsidP="00222E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F9A30" w14:textId="008EE907" w:rsidR="00BB33B5" w:rsidRDefault="002E7B44" w:rsidP="002E7B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80C216" wp14:editId="3B96AAE5">
            <wp:extent cx="4681728" cy="2023278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M4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487" cy="202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ADDBC" w14:textId="77777777" w:rsidR="0010350D" w:rsidRDefault="0010350D" w:rsidP="00222E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5709BE" w14:textId="77777777" w:rsidR="002C1A05" w:rsidRPr="00296F50" w:rsidRDefault="002C1A05" w:rsidP="002C1A05">
      <w:pPr>
        <w:autoSpaceDE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F50">
        <w:rPr>
          <w:rFonts w:ascii="Arial" w:hAnsi="Arial" w:cs="Arial"/>
          <w:color w:val="000000" w:themeColor="text1"/>
          <w:sz w:val="24"/>
          <w:szCs w:val="24"/>
        </w:rPr>
        <w:t>Figure SM4(A): M-H agar plates with cylindric perforation for antimicrobial hydrogels analysis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antibiotic time-release</w:t>
      </w:r>
      <w:r w:rsidRPr="00296F50">
        <w:rPr>
          <w:rFonts w:ascii="Arial" w:hAnsi="Arial" w:cs="Arial"/>
          <w:color w:val="000000" w:themeColor="text1"/>
          <w:sz w:val="24"/>
          <w:szCs w:val="24"/>
        </w:rPr>
        <w:t xml:space="preserve">. Figure SM4(B): Representative plate of antimicrobial assay using hybrid hydrogels. </w:t>
      </w:r>
    </w:p>
    <w:p w14:paraId="211D8BF3" w14:textId="77777777" w:rsidR="002C1A05" w:rsidRPr="00296F50" w:rsidRDefault="002C1A05" w:rsidP="002C1A05">
      <w:pPr>
        <w:autoSpaceDE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8EBF86" w14:textId="1E26F62D" w:rsidR="002C1A05" w:rsidRDefault="002C1A05" w:rsidP="002C1A05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6F50">
        <w:rPr>
          <w:rFonts w:ascii="Arial" w:hAnsi="Arial" w:cs="Arial"/>
          <w:sz w:val="24"/>
          <w:szCs w:val="24"/>
        </w:rPr>
        <w:t>Figure SM4(A) shows a representative M-H agar plate used in the bacterial growth inhibition analysis</w:t>
      </w:r>
      <w:r>
        <w:rPr>
          <w:rFonts w:ascii="Arial" w:hAnsi="Arial" w:cs="Arial"/>
          <w:sz w:val="24"/>
          <w:szCs w:val="24"/>
        </w:rPr>
        <w:t xml:space="preserve"> and </w:t>
      </w:r>
      <w:r w:rsidRPr="00296F50">
        <w:rPr>
          <w:rFonts w:ascii="Arial" w:hAnsi="Arial" w:cs="Arial"/>
          <w:sz w:val="24"/>
          <w:szCs w:val="24"/>
        </w:rPr>
        <w:t>ciprofloxacin</w:t>
      </w:r>
      <w:r>
        <w:rPr>
          <w:rFonts w:ascii="Arial" w:hAnsi="Arial" w:cs="Arial"/>
          <w:sz w:val="24"/>
          <w:szCs w:val="24"/>
        </w:rPr>
        <w:t xml:space="preserve"> time-release</w:t>
      </w:r>
      <w:r w:rsidRPr="00296F50">
        <w:rPr>
          <w:rFonts w:ascii="Arial" w:hAnsi="Arial" w:cs="Arial"/>
          <w:sz w:val="24"/>
          <w:szCs w:val="24"/>
        </w:rPr>
        <w:t xml:space="preserve">. Figure SM4(B) shows a representative M-H agar plate containing the hybrid hydrogel G1/5 (marked as 17-23 and 17-22, duplicated), a negative control as G1/5 composites without antibiotic (marked as 17-C) discarding a potential self-antibacterial effect of the hybrid hydrogel composition, no halo was detected. As positive control, ciprofloxacin </w:t>
      </w:r>
      <w:r w:rsidR="00732AF5">
        <w:rPr>
          <w:rFonts w:ascii="Arial" w:hAnsi="Arial" w:cs="Arial"/>
          <w:sz w:val="24"/>
          <w:szCs w:val="24"/>
        </w:rPr>
        <w:t>0.005 x10</w:t>
      </w:r>
      <w:r w:rsidR="00732AF5" w:rsidRPr="00732AF5">
        <w:rPr>
          <w:rFonts w:ascii="Arial" w:hAnsi="Arial" w:cs="Arial"/>
          <w:sz w:val="24"/>
          <w:szCs w:val="24"/>
          <w:vertAlign w:val="superscript"/>
        </w:rPr>
        <w:t>-3</w:t>
      </w:r>
      <w:r w:rsidR="00732AF5" w:rsidRPr="00296F50">
        <w:rPr>
          <w:rFonts w:ascii="Arial" w:hAnsi="Arial" w:cs="Arial"/>
          <w:sz w:val="24"/>
          <w:szCs w:val="24"/>
        </w:rPr>
        <w:t xml:space="preserve"> </w:t>
      </w:r>
      <w:r w:rsidRPr="00296F50">
        <w:rPr>
          <w:rFonts w:ascii="Arial" w:hAnsi="Arial" w:cs="Arial"/>
          <w:sz w:val="24"/>
          <w:szCs w:val="24"/>
        </w:rPr>
        <w:t>g</w:t>
      </w:r>
      <w:r w:rsidRPr="00296F50">
        <w:rPr>
          <w:rFonts w:ascii="Arial" w:eastAsia="MBIGO D+ MTSY" w:hAnsi="Arial" w:cs="Arial"/>
          <w:color w:val="000000" w:themeColor="text1"/>
          <w:sz w:val="24"/>
          <w:szCs w:val="24"/>
        </w:rPr>
        <w:t xml:space="preserve"> was used (not marked)</w:t>
      </w:r>
      <w:r>
        <w:rPr>
          <w:rFonts w:ascii="Arial" w:eastAsia="MBIGO D+ MTSY" w:hAnsi="Arial" w:cs="Arial"/>
          <w:color w:val="000000" w:themeColor="text1"/>
          <w:sz w:val="24"/>
          <w:szCs w:val="24"/>
        </w:rPr>
        <w:t xml:space="preserve"> as recommended by</w:t>
      </w:r>
      <w:r w:rsidRPr="00296F50">
        <w:rPr>
          <w:rFonts w:ascii="Arial" w:eastAsia="MBIGO D+ MTSY" w:hAnsi="Arial" w:cs="Arial"/>
          <w:color w:val="000000" w:themeColor="text1"/>
          <w:sz w:val="24"/>
          <w:szCs w:val="24"/>
        </w:rPr>
        <w:t xml:space="preserve"> CLSI </w:t>
      </w:r>
      <w:r w:rsidRPr="00296F50">
        <w:rPr>
          <w:rFonts w:ascii="Arial" w:hAnsi="Arial" w:cs="Arial"/>
          <w:noProof/>
          <w:spacing w:val="2"/>
          <w:sz w:val="24"/>
          <w:szCs w:val="24"/>
          <w:shd w:val="clear" w:color="auto" w:fill="FCFCFC"/>
        </w:rPr>
        <w:t>standard M07</w:t>
      </w:r>
      <w:r w:rsidR="00751A31" w:rsidRPr="00751A31">
        <w:rPr>
          <w:rFonts w:ascii="Arial" w:hAnsi="Arial" w:cs="Arial"/>
          <w:noProof/>
          <w:spacing w:val="2"/>
          <w:sz w:val="24"/>
          <w:szCs w:val="24"/>
          <w:shd w:val="clear" w:color="auto" w:fill="FCFCFC"/>
          <w:vertAlign w:val="superscript"/>
        </w:rPr>
        <w:t>[</w:t>
      </w:r>
      <w:r w:rsidR="00DE6709">
        <w:rPr>
          <w:rFonts w:ascii="Arial" w:hAnsi="Arial" w:cs="Arial"/>
          <w:noProof/>
          <w:spacing w:val="2"/>
          <w:sz w:val="24"/>
          <w:szCs w:val="24"/>
          <w:shd w:val="clear" w:color="auto" w:fill="FCFCFC"/>
        </w:rPr>
        <w:fldChar w:fldCharType="begin"/>
      </w:r>
      <w:r w:rsidR="00DE6709">
        <w:rPr>
          <w:rFonts w:ascii="Arial" w:hAnsi="Arial" w:cs="Arial"/>
          <w:noProof/>
          <w:spacing w:val="2"/>
          <w:sz w:val="24"/>
          <w:szCs w:val="24"/>
          <w:shd w:val="clear" w:color="auto" w:fill="FCFCFC"/>
        </w:rPr>
        <w:instrText xml:space="preserve"> ADDIN EN.CITE &lt;EndNote&gt;&lt;Cite&gt;&lt;Author&gt;Humphries&lt;/Author&gt;&lt;Year&gt;2018&lt;/Year&gt;&lt;RecNum&gt;58&lt;/RecNum&gt;&lt;DisplayText&gt;&lt;style face="superscript"&gt;2, 3&lt;/style&gt;&lt;/DisplayText&gt;&lt;record&gt;&lt;rec-number&gt;58&lt;/rec-number&gt;&lt;foreign-keys&gt;&lt;key app="EN" db-id="5prf5aep4p0et9efze4v0w5twww9fs0a0f95" timestamp="1573515182"&gt;58&lt;/key&gt;&lt;/foreign-keys&gt;&lt;ref-type name="Journal Article"&gt;17&lt;/ref-type&gt;&lt;contributors&gt;&lt;authors&gt;&lt;author&gt;Humphries, Romney M&lt;/author&gt;&lt;author&gt;Ambler, Jane&lt;/author&gt;&lt;author&gt;Mitchell, Stephanie L&lt;/author&gt;&lt;author&gt;Castanheira, Mariana&lt;/author&gt;&lt;author&gt;Dingle, Tanis&lt;/author&gt;&lt;author&gt;Hindler, Janet A&lt;/author&gt;&lt;author&gt;Koeth, Laura&lt;/author&gt;&lt;author&gt;Sei, Katherine&lt;/author&gt;&lt;/authors&gt;&lt;/contributors&gt;&lt;titles&gt;&lt;title&gt;CLSI methods development and standardization working group best practices for evaluation of antimicrobial susceptibility tests&lt;/title&gt;&lt;secondary-title&gt;Journal of clinical microbiology&lt;/secondary-title&gt;&lt;/titles&gt;&lt;periodical&gt;&lt;full-title&gt;Journal of clinical microbiology&lt;/full-title&gt;&lt;/periodical&gt;&lt;pages&gt;e01934-17&lt;/pages&gt;&lt;volume&gt;56&lt;/volume&gt;&lt;number&gt;4&lt;/number&gt;&lt;dates&gt;&lt;year&gt;2018&lt;/year&gt;&lt;/dates&gt;&lt;isbn&gt;0095-1137&lt;/isbn&gt;&lt;urls&gt;&lt;/urls&gt;&lt;/record&gt;&lt;/Cite&gt;&lt;Cite&gt;&lt;Author&gt;Salud&lt;/Author&gt;&lt;RecNum&gt;60&lt;/RecNum&gt;&lt;record&gt;&lt;rec-number&gt;60&lt;/rec-number&gt;&lt;foreign-keys&gt;&lt;key app="EN" db-id="5prf5aep4p0et9efze4v0w5twww9fs0a0f95" timestamp="1573515338"&gt;60&lt;/key&gt;&lt;/foreign-keys&gt;&lt;ref-type name="Journal Article"&gt;17&lt;/ref-type&gt;&lt;contributors&gt;&lt;authors&gt;&lt;author&gt;Secretaría de Salud&lt;/author&gt;&lt;/authors&gt;&lt;/contributors&gt;&lt;titles&gt;&lt;title&gt;Farmacopea de los Estados Unidos Mexicanos. 10a Ed. México: SS; 2011. &lt;/title&gt;&lt;/titles&gt;&lt;dates&gt;&lt;/dates&gt;&lt;urls&gt;&lt;/urls&gt;&lt;/record&gt;&lt;/Cite&gt;&lt;/EndNote&gt;</w:instrText>
      </w:r>
      <w:r w:rsidR="00DE6709">
        <w:rPr>
          <w:rFonts w:ascii="Arial" w:hAnsi="Arial" w:cs="Arial"/>
          <w:noProof/>
          <w:spacing w:val="2"/>
          <w:sz w:val="24"/>
          <w:szCs w:val="24"/>
          <w:shd w:val="clear" w:color="auto" w:fill="FCFCFC"/>
        </w:rPr>
        <w:fldChar w:fldCharType="separate"/>
      </w:r>
      <w:hyperlink w:anchor="_ENREF_2" w:tooltip="Humphries, 2018 #58" w:history="1">
        <w:r w:rsidR="00DE6709" w:rsidRPr="00DE6709">
          <w:rPr>
            <w:rFonts w:ascii="Arial" w:hAnsi="Arial" w:cs="Arial"/>
            <w:noProof/>
            <w:spacing w:val="2"/>
            <w:sz w:val="24"/>
            <w:szCs w:val="24"/>
            <w:shd w:val="clear" w:color="auto" w:fill="FCFCFC"/>
            <w:vertAlign w:val="superscript"/>
          </w:rPr>
          <w:t>2</w:t>
        </w:r>
      </w:hyperlink>
      <w:r w:rsidR="00DE6709" w:rsidRPr="00DE6709">
        <w:rPr>
          <w:rFonts w:ascii="Arial" w:hAnsi="Arial" w:cs="Arial"/>
          <w:noProof/>
          <w:spacing w:val="2"/>
          <w:sz w:val="24"/>
          <w:szCs w:val="24"/>
          <w:shd w:val="clear" w:color="auto" w:fill="FCFCFC"/>
          <w:vertAlign w:val="superscript"/>
        </w:rPr>
        <w:t xml:space="preserve">, </w:t>
      </w:r>
      <w:hyperlink w:anchor="_ENREF_3" w:tooltip="Salud,  #60" w:history="1">
        <w:r w:rsidR="00DE6709" w:rsidRPr="00DE6709">
          <w:rPr>
            <w:rFonts w:ascii="Arial" w:hAnsi="Arial" w:cs="Arial"/>
            <w:noProof/>
            <w:spacing w:val="2"/>
            <w:sz w:val="24"/>
            <w:szCs w:val="24"/>
            <w:shd w:val="clear" w:color="auto" w:fill="FCFCFC"/>
            <w:vertAlign w:val="superscript"/>
          </w:rPr>
          <w:t>3</w:t>
        </w:r>
      </w:hyperlink>
      <w:r w:rsidR="00DE6709">
        <w:rPr>
          <w:rFonts w:ascii="Arial" w:hAnsi="Arial" w:cs="Arial"/>
          <w:noProof/>
          <w:spacing w:val="2"/>
          <w:sz w:val="24"/>
          <w:szCs w:val="24"/>
          <w:shd w:val="clear" w:color="auto" w:fill="FCFCFC"/>
        </w:rPr>
        <w:fldChar w:fldCharType="end"/>
      </w:r>
      <w:r w:rsidR="00751A31" w:rsidRPr="00751A31">
        <w:rPr>
          <w:rFonts w:ascii="Arial" w:hAnsi="Arial" w:cs="Arial"/>
          <w:noProof/>
          <w:spacing w:val="2"/>
          <w:sz w:val="24"/>
          <w:szCs w:val="24"/>
          <w:shd w:val="clear" w:color="auto" w:fill="FCFCFC"/>
          <w:vertAlign w:val="superscript"/>
        </w:rPr>
        <w:t>]</w:t>
      </w:r>
      <w:r w:rsidR="00751A31">
        <w:rPr>
          <w:rFonts w:ascii="Arial" w:eastAsia="MBIGO D+ MTSY" w:hAnsi="Arial" w:cs="Arial"/>
          <w:color w:val="000000" w:themeColor="text1"/>
          <w:sz w:val="24"/>
          <w:szCs w:val="24"/>
        </w:rPr>
        <w:t xml:space="preserve"> </w:t>
      </w:r>
      <w:r w:rsidRPr="00296F50">
        <w:rPr>
          <w:rFonts w:ascii="Arial" w:hAnsi="Arial" w:cs="Arial"/>
          <w:sz w:val="24"/>
          <w:szCs w:val="24"/>
        </w:rPr>
        <w:t>.</w:t>
      </w:r>
    </w:p>
    <w:p w14:paraId="15D17175" w14:textId="77777777" w:rsidR="007F16D8" w:rsidRPr="00A05F7C" w:rsidRDefault="00B42FEF" w:rsidP="00594999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CFCFC"/>
        </w:rPr>
      </w:pPr>
      <w:r w:rsidRPr="00A05F7C">
        <w:rPr>
          <w:rFonts w:ascii="Arial" w:hAnsi="Arial" w:cs="Arial"/>
          <w:b/>
          <w:bCs/>
          <w:spacing w:val="2"/>
          <w:sz w:val="24"/>
          <w:szCs w:val="24"/>
          <w:shd w:val="clear" w:color="auto" w:fill="FCFCFC"/>
        </w:rPr>
        <w:lastRenderedPageBreak/>
        <w:t xml:space="preserve">References </w:t>
      </w:r>
    </w:p>
    <w:p w14:paraId="59973C50" w14:textId="62621C9D" w:rsidR="00DE6709" w:rsidRDefault="008364C1" w:rsidP="00DE6709">
      <w:pPr>
        <w:pStyle w:val="EndNoteBibliography"/>
        <w:spacing w:after="0"/>
        <w:ind w:left="720" w:hanging="720"/>
      </w:pPr>
      <w:r w:rsidRPr="00B25DF7">
        <w:rPr>
          <w:spacing w:val="2"/>
          <w:szCs w:val="24"/>
          <w:shd w:val="clear" w:color="auto" w:fill="FCFCFC"/>
        </w:rPr>
        <w:fldChar w:fldCharType="begin"/>
      </w:r>
      <w:r w:rsidRPr="00B25DF7">
        <w:rPr>
          <w:spacing w:val="2"/>
          <w:szCs w:val="24"/>
          <w:shd w:val="clear" w:color="auto" w:fill="FCFCFC"/>
        </w:rPr>
        <w:instrText xml:space="preserve"> ADDIN EN.REFLIST </w:instrText>
      </w:r>
      <w:r w:rsidRPr="00B25DF7">
        <w:rPr>
          <w:spacing w:val="2"/>
          <w:szCs w:val="24"/>
          <w:shd w:val="clear" w:color="auto" w:fill="FCFCFC"/>
        </w:rPr>
        <w:fldChar w:fldCharType="separate"/>
      </w:r>
      <w:bookmarkStart w:id="1" w:name="_ENREF_1"/>
      <w:r w:rsidR="00DE6709" w:rsidRPr="00DE6709">
        <w:t>1.</w:t>
      </w:r>
      <w:r w:rsidR="00DE6709" w:rsidRPr="00DE6709">
        <w:tab/>
        <w:t>H. Li, Y. Xue, J. Wu, H. Wu, G. Qin, C. Li, J. Ding, J. Liu, L. Gan and M. Long: Enzymatic hydrolysis of hemicelluloses from Miscanthus to monosaccharides or xylo-oligosaccharides by recombinant hemicellulases</w:t>
      </w:r>
      <w:r w:rsidR="00C66602">
        <w:t>.</w:t>
      </w:r>
      <w:r w:rsidR="00DE6709" w:rsidRPr="00DE6709">
        <w:t xml:space="preserve"> </w:t>
      </w:r>
      <w:r w:rsidR="00C66602" w:rsidRPr="00C66602">
        <w:rPr>
          <w:i/>
        </w:rPr>
        <w:t>Ind. Crops Prod.</w:t>
      </w:r>
      <w:r w:rsidR="00DE6709" w:rsidRPr="00DE6709">
        <w:rPr>
          <w:i/>
        </w:rPr>
        <w:t xml:space="preserve"> </w:t>
      </w:r>
      <w:r w:rsidR="00DE6709" w:rsidRPr="00DE6709">
        <w:rPr>
          <w:b/>
        </w:rPr>
        <w:t>79</w:t>
      </w:r>
      <w:r w:rsidR="00DE6709" w:rsidRPr="00DE6709">
        <w:t>, 170 (2016).</w:t>
      </w:r>
      <w:bookmarkEnd w:id="1"/>
    </w:p>
    <w:p w14:paraId="6D6A58EB" w14:textId="77777777" w:rsidR="00751A31" w:rsidRPr="00DE6709" w:rsidRDefault="00751A31" w:rsidP="00DE6709">
      <w:pPr>
        <w:pStyle w:val="EndNoteBibliography"/>
        <w:spacing w:after="0"/>
        <w:ind w:left="720" w:hanging="720"/>
      </w:pPr>
    </w:p>
    <w:p w14:paraId="6618701B" w14:textId="071D34E5" w:rsidR="00DE6709" w:rsidRPr="00C66602" w:rsidRDefault="00DE6709" w:rsidP="00DE6709">
      <w:pPr>
        <w:pStyle w:val="EndNoteBibliography"/>
        <w:spacing w:after="0"/>
        <w:ind w:left="720" w:hanging="720"/>
      </w:pPr>
      <w:bookmarkStart w:id="2" w:name="_ENREF_2"/>
      <w:r w:rsidRPr="00DE6709">
        <w:t>2.</w:t>
      </w:r>
      <w:r w:rsidRPr="00DE6709">
        <w:tab/>
      </w:r>
      <w:r w:rsidR="00C66602" w:rsidRPr="00296F50">
        <w:rPr>
          <w:spacing w:val="2"/>
          <w:szCs w:val="24"/>
          <w:shd w:val="clear" w:color="auto" w:fill="FCFCFC"/>
        </w:rPr>
        <w:t>CLSI. Methods for Dilution Antimicrobial Susceptibility Test for Bacteria That Grow Aerobically. 11th ed. CLSI standard M07. Wayne, PA: Clinical and Laboratory Standards Institute</w:t>
      </w:r>
      <w:r w:rsidR="00C66602" w:rsidRPr="00C66602">
        <w:t xml:space="preserve"> </w:t>
      </w:r>
      <w:r w:rsidRPr="00C66602">
        <w:t>(2018).</w:t>
      </w:r>
      <w:bookmarkEnd w:id="2"/>
    </w:p>
    <w:p w14:paraId="6DBDC6D6" w14:textId="77777777" w:rsidR="00751A31" w:rsidRPr="00C66602" w:rsidRDefault="00751A31" w:rsidP="00DE6709">
      <w:pPr>
        <w:pStyle w:val="EndNoteBibliography"/>
        <w:spacing w:after="0"/>
        <w:ind w:left="720" w:hanging="720"/>
      </w:pPr>
    </w:p>
    <w:p w14:paraId="370CC8A2" w14:textId="64DF7627" w:rsidR="00DE6709" w:rsidRPr="00DE6709" w:rsidRDefault="00DE6709" w:rsidP="00DE6709">
      <w:pPr>
        <w:pStyle w:val="EndNoteBibliography"/>
        <w:ind w:left="720" w:hanging="720"/>
      </w:pPr>
      <w:bookmarkStart w:id="3" w:name="_ENREF_3"/>
      <w:r w:rsidRPr="009A46AC">
        <w:rPr>
          <w:lang w:val="es-MX"/>
        </w:rPr>
        <w:t>3.</w:t>
      </w:r>
      <w:r w:rsidRPr="009A46AC">
        <w:rPr>
          <w:lang w:val="es-MX"/>
        </w:rPr>
        <w:tab/>
        <w:t xml:space="preserve">Secretaría de Salud: Farmacopea de los Estados Unidos Mexicanos. </w:t>
      </w:r>
      <w:r w:rsidRPr="00DE6709">
        <w:t xml:space="preserve">10a Ed. México: SS; </w:t>
      </w:r>
      <w:r w:rsidR="00B22775">
        <w:t>(</w:t>
      </w:r>
      <w:r w:rsidRPr="00DE6709">
        <w:t>2011</w:t>
      </w:r>
      <w:r w:rsidR="00B22775">
        <w:t>)</w:t>
      </w:r>
      <w:r w:rsidRPr="00DE6709">
        <w:t xml:space="preserve">. </w:t>
      </w:r>
      <w:bookmarkEnd w:id="3"/>
    </w:p>
    <w:p w14:paraId="67FE6EC2" w14:textId="78E0AAA6" w:rsidR="002C1A05" w:rsidRPr="006C38EF" w:rsidRDefault="008364C1" w:rsidP="002C1A05">
      <w:pPr>
        <w:spacing w:line="240" w:lineRule="auto"/>
        <w:jc w:val="both"/>
        <w:rPr>
          <w:rFonts w:ascii="Arial" w:hAnsi="Arial" w:cs="Arial"/>
          <w:noProof/>
          <w:spacing w:val="2"/>
          <w:sz w:val="24"/>
          <w:szCs w:val="24"/>
          <w:shd w:val="clear" w:color="auto" w:fill="FCFCFC"/>
        </w:rPr>
      </w:pPr>
      <w:r w:rsidRPr="00B25DF7">
        <w:rPr>
          <w:rFonts w:ascii="Arial" w:hAnsi="Arial" w:cs="Arial"/>
          <w:spacing w:val="2"/>
          <w:sz w:val="24"/>
          <w:szCs w:val="24"/>
          <w:shd w:val="clear" w:color="auto" w:fill="FCFCFC"/>
        </w:rPr>
        <w:fldChar w:fldCharType="end"/>
      </w:r>
      <w:r w:rsidR="002C1A05" w:rsidRPr="006C38EF">
        <w:rPr>
          <w:rFonts w:ascii="Arial" w:hAnsi="Arial" w:cs="Arial"/>
          <w:noProof/>
          <w:spacing w:val="2"/>
          <w:sz w:val="24"/>
          <w:szCs w:val="24"/>
          <w:shd w:val="clear" w:color="auto" w:fill="FCFCFC"/>
        </w:rPr>
        <w:t xml:space="preserve"> </w:t>
      </w:r>
    </w:p>
    <w:p w14:paraId="26EC0490" w14:textId="77777777" w:rsidR="006C38EF" w:rsidRPr="006C38EF" w:rsidRDefault="006C38EF" w:rsidP="006C38EF">
      <w:pPr>
        <w:shd w:val="clear" w:color="auto" w:fill="FFFFFF"/>
        <w:spacing w:after="0" w:line="0" w:lineRule="auto"/>
        <w:rPr>
          <w:rFonts w:ascii="pg-9ff45" w:eastAsia="Times New Roman" w:hAnsi="pg-9ff45" w:cs="Times New Roman"/>
          <w:color w:val="000000"/>
          <w:sz w:val="72"/>
          <w:szCs w:val="72"/>
        </w:rPr>
      </w:pPr>
      <w:r w:rsidRPr="006C38EF">
        <w:rPr>
          <w:rFonts w:ascii="pg-9ff45" w:eastAsia="Times New Roman" w:hAnsi="pg-9ff45" w:cs="Times New Roman"/>
          <w:color w:val="000000"/>
          <w:sz w:val="72"/>
          <w:szCs w:val="72"/>
        </w:rPr>
        <w:t>The authors thank A. Ortega, A. Ramirez, L.M Valdez, L. M Escamilla, and F. García from</w:t>
      </w:r>
    </w:p>
    <w:p w14:paraId="4777CB00" w14:textId="77777777" w:rsidR="006C38EF" w:rsidRPr="006C38EF" w:rsidRDefault="006C38EF" w:rsidP="006C38EF">
      <w:pPr>
        <w:shd w:val="clear" w:color="auto" w:fill="FFFFFF"/>
        <w:spacing w:after="0" w:line="0" w:lineRule="auto"/>
        <w:rPr>
          <w:rFonts w:ascii="pg-9ff45" w:eastAsia="Times New Roman" w:hAnsi="pg-9ff45" w:cs="Times New Roman"/>
          <w:color w:val="000000"/>
          <w:sz w:val="72"/>
          <w:szCs w:val="72"/>
        </w:rPr>
      </w:pPr>
      <w:r w:rsidRPr="006C38EF">
        <w:rPr>
          <w:rFonts w:ascii="pg-9ff45" w:eastAsia="Times New Roman" w:hAnsi="pg-9ff45" w:cs="Times New Roman"/>
          <w:color w:val="000000"/>
          <w:sz w:val="72"/>
          <w:szCs w:val="72"/>
        </w:rPr>
        <w:t xml:space="preserve">ICN UNAM and E. Reyes-Morales from IIM, for technical support, as well as DGAPA </w:t>
      </w:r>
    </w:p>
    <w:p w14:paraId="59B38BCD" w14:textId="77777777" w:rsidR="006C38EF" w:rsidRPr="006C38EF" w:rsidRDefault="006C38EF" w:rsidP="006C38EF">
      <w:pPr>
        <w:shd w:val="clear" w:color="auto" w:fill="FFFFFF"/>
        <w:spacing w:after="0" w:line="0" w:lineRule="auto"/>
        <w:rPr>
          <w:rFonts w:ascii="pg-9ff45" w:eastAsia="Times New Roman" w:hAnsi="pg-9ff45" w:cs="Times New Roman"/>
          <w:color w:val="000000"/>
          <w:sz w:val="72"/>
          <w:szCs w:val="72"/>
        </w:rPr>
      </w:pPr>
      <w:r w:rsidRPr="006C38EF">
        <w:rPr>
          <w:rFonts w:ascii="pg-9ff45" w:eastAsia="Times New Roman" w:hAnsi="pg-9ff45" w:cs="Times New Roman"/>
          <w:color w:val="000000"/>
          <w:sz w:val="72"/>
          <w:szCs w:val="72"/>
        </w:rPr>
        <w:t>UNAM grant IN200116 for financial support.</w:t>
      </w:r>
    </w:p>
    <w:p w14:paraId="58071847" w14:textId="77777777" w:rsidR="006C38EF" w:rsidRPr="006C38EF" w:rsidRDefault="006C38EF" w:rsidP="006C38EF">
      <w:pPr>
        <w:shd w:val="clear" w:color="auto" w:fill="FFFFFF"/>
        <w:spacing w:after="0" w:line="0" w:lineRule="auto"/>
        <w:rPr>
          <w:rFonts w:ascii="pg-9ff54" w:eastAsia="Times New Roman" w:hAnsi="pg-9ff54" w:cs="Times New Roman"/>
          <w:color w:val="FF0000"/>
          <w:sz w:val="66"/>
          <w:szCs w:val="66"/>
        </w:rPr>
      </w:pPr>
      <w:r w:rsidRPr="006C38EF">
        <w:rPr>
          <w:rFonts w:ascii="pg-9ff54" w:eastAsia="Times New Roman" w:hAnsi="pg-9ff54" w:cs="Times New Roman"/>
          <w:color w:val="FF0000"/>
          <w:sz w:val="66"/>
          <w:szCs w:val="66"/>
        </w:rPr>
        <w:t xml:space="preserve">Supplementary material </w:t>
      </w:r>
    </w:p>
    <w:p w14:paraId="233B4FB6" w14:textId="77777777" w:rsidR="006C38EF" w:rsidRPr="006C38EF" w:rsidRDefault="006C38EF" w:rsidP="006C38EF">
      <w:pPr>
        <w:shd w:val="clear" w:color="auto" w:fill="FFFFFF"/>
        <w:spacing w:after="0" w:line="0" w:lineRule="auto"/>
        <w:rPr>
          <w:rFonts w:ascii="pg-9ff4f" w:eastAsia="Times New Roman" w:hAnsi="pg-9ff4f" w:cs="Times New Roman"/>
          <w:color w:val="FF0000"/>
          <w:sz w:val="66"/>
          <w:szCs w:val="66"/>
        </w:rPr>
      </w:pPr>
      <w:r w:rsidRPr="006C38EF">
        <w:rPr>
          <w:rFonts w:ascii="pg-9ff4f" w:eastAsia="Times New Roman" w:hAnsi="pg-9ff4f" w:cs="Times New Roman"/>
          <w:color w:val="FF0000"/>
          <w:sz w:val="66"/>
          <w:szCs w:val="66"/>
        </w:rPr>
        <w:t>Supplementary material contents three figures of characterization by TGA and DSC (Fig.</w:t>
      </w:r>
    </w:p>
    <w:p w14:paraId="356DAC85" w14:textId="77777777" w:rsidR="006C38EF" w:rsidRPr="006C38EF" w:rsidRDefault="006C38EF" w:rsidP="006C38EF">
      <w:pPr>
        <w:shd w:val="clear" w:color="auto" w:fill="FFFFFF"/>
        <w:spacing w:after="0" w:line="0" w:lineRule="auto"/>
        <w:rPr>
          <w:rFonts w:ascii="pg-9ff4f" w:eastAsia="Times New Roman" w:hAnsi="pg-9ff4f" w:cs="Times New Roman"/>
          <w:color w:val="FF0000"/>
          <w:sz w:val="66"/>
          <w:szCs w:val="66"/>
        </w:rPr>
      </w:pPr>
      <w:r w:rsidRPr="006C38EF">
        <w:rPr>
          <w:rFonts w:ascii="pg-9ff4f" w:eastAsia="Times New Roman" w:hAnsi="pg-9ff4f" w:cs="Times New Roman"/>
          <w:color w:val="FF0000"/>
          <w:sz w:val="66"/>
          <w:szCs w:val="66"/>
        </w:rPr>
        <w:t>S1</w:t>
      </w:r>
    </w:p>
    <w:p w14:paraId="4B803505" w14:textId="1CB8AAEC" w:rsidR="007F16D8" w:rsidRPr="00A05F7C" w:rsidRDefault="007F16D8" w:rsidP="00594999">
      <w:pPr>
        <w:rPr>
          <w:rFonts w:ascii="Arial" w:hAnsi="Arial" w:cs="Arial"/>
          <w:spacing w:val="2"/>
          <w:sz w:val="24"/>
          <w:szCs w:val="24"/>
          <w:shd w:val="clear" w:color="auto" w:fill="FCFCFC"/>
        </w:rPr>
      </w:pPr>
    </w:p>
    <w:sectPr w:rsidR="007F16D8" w:rsidRPr="00A05F7C" w:rsidSect="006B59C7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2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BIGO D+ MTSY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pg-9ff45">
    <w:altName w:val="Times New Roman"/>
    <w:panose1 w:val="00000000000000000000"/>
    <w:charset w:val="00"/>
    <w:family w:val="roman"/>
    <w:notTrueType/>
    <w:pitch w:val="default"/>
  </w:font>
  <w:font w:name="pg-9ff54">
    <w:altName w:val="Times New Roman"/>
    <w:panose1 w:val="00000000000000000000"/>
    <w:charset w:val="00"/>
    <w:family w:val="roman"/>
    <w:notTrueType/>
    <w:pitch w:val="default"/>
  </w:font>
  <w:font w:name="pg-9ff4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758"/>
    <w:multiLevelType w:val="hybridMultilevel"/>
    <w:tmpl w:val="6CBA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3CBA"/>
    <w:multiLevelType w:val="hybridMultilevel"/>
    <w:tmpl w:val="A1908A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Materials Research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rf5aep4p0et9efze4v0w5twww9fs0a0f95&quot;&gt;XyalnSaved Copypaper-Saved-Saved-Saved-Saved&lt;record-ids&gt;&lt;item&gt;57&lt;/item&gt;&lt;item&gt;58&lt;/item&gt;&lt;item&gt;60&lt;/item&gt;&lt;/record-ids&gt;&lt;/item&gt;&lt;/Libraries&gt;"/>
  </w:docVars>
  <w:rsids>
    <w:rsidRoot w:val="00AB5244"/>
    <w:rsid w:val="0000259B"/>
    <w:rsid w:val="00031A94"/>
    <w:rsid w:val="00061A82"/>
    <w:rsid w:val="000813B4"/>
    <w:rsid w:val="00081C70"/>
    <w:rsid w:val="0008298B"/>
    <w:rsid w:val="000F16E4"/>
    <w:rsid w:val="000F1E68"/>
    <w:rsid w:val="0010350D"/>
    <w:rsid w:val="001242DE"/>
    <w:rsid w:val="00143FF5"/>
    <w:rsid w:val="00146DD7"/>
    <w:rsid w:val="00166A7A"/>
    <w:rsid w:val="00170BA7"/>
    <w:rsid w:val="001766AD"/>
    <w:rsid w:val="001A1C3E"/>
    <w:rsid w:val="001B74F5"/>
    <w:rsid w:val="001F5029"/>
    <w:rsid w:val="00202ECA"/>
    <w:rsid w:val="0021626C"/>
    <w:rsid w:val="00222EF4"/>
    <w:rsid w:val="002422A5"/>
    <w:rsid w:val="00281204"/>
    <w:rsid w:val="002819C5"/>
    <w:rsid w:val="002A2215"/>
    <w:rsid w:val="002B336F"/>
    <w:rsid w:val="002C1A05"/>
    <w:rsid w:val="002C1C9C"/>
    <w:rsid w:val="002D7D24"/>
    <w:rsid w:val="002E2F83"/>
    <w:rsid w:val="002E5AE7"/>
    <w:rsid w:val="002E7B44"/>
    <w:rsid w:val="002F62B7"/>
    <w:rsid w:val="0030619B"/>
    <w:rsid w:val="003208B6"/>
    <w:rsid w:val="00351CE8"/>
    <w:rsid w:val="0035268D"/>
    <w:rsid w:val="00360A01"/>
    <w:rsid w:val="00361D41"/>
    <w:rsid w:val="003C6FE8"/>
    <w:rsid w:val="003D042C"/>
    <w:rsid w:val="003E6185"/>
    <w:rsid w:val="003E6F7A"/>
    <w:rsid w:val="00442408"/>
    <w:rsid w:val="00465395"/>
    <w:rsid w:val="00470207"/>
    <w:rsid w:val="00472539"/>
    <w:rsid w:val="00482B71"/>
    <w:rsid w:val="004846DF"/>
    <w:rsid w:val="0048514E"/>
    <w:rsid w:val="004A5CF0"/>
    <w:rsid w:val="004B2B10"/>
    <w:rsid w:val="004D145D"/>
    <w:rsid w:val="00500291"/>
    <w:rsid w:val="005045D2"/>
    <w:rsid w:val="00556D35"/>
    <w:rsid w:val="00556E8A"/>
    <w:rsid w:val="00567A79"/>
    <w:rsid w:val="00576D1B"/>
    <w:rsid w:val="00585811"/>
    <w:rsid w:val="00594999"/>
    <w:rsid w:val="005A0FBD"/>
    <w:rsid w:val="005B4BC6"/>
    <w:rsid w:val="005B5F64"/>
    <w:rsid w:val="006036E5"/>
    <w:rsid w:val="00611294"/>
    <w:rsid w:val="00615519"/>
    <w:rsid w:val="0062607A"/>
    <w:rsid w:val="0065357F"/>
    <w:rsid w:val="006845B9"/>
    <w:rsid w:val="006855E6"/>
    <w:rsid w:val="0069712A"/>
    <w:rsid w:val="006B204D"/>
    <w:rsid w:val="006B59C7"/>
    <w:rsid w:val="006C38EF"/>
    <w:rsid w:val="006F24A4"/>
    <w:rsid w:val="006F31A5"/>
    <w:rsid w:val="00715C79"/>
    <w:rsid w:val="007219EF"/>
    <w:rsid w:val="007234A1"/>
    <w:rsid w:val="00732AF5"/>
    <w:rsid w:val="00736D9E"/>
    <w:rsid w:val="007469BF"/>
    <w:rsid w:val="00750488"/>
    <w:rsid w:val="00750B9A"/>
    <w:rsid w:val="00751A31"/>
    <w:rsid w:val="0076794A"/>
    <w:rsid w:val="00767F37"/>
    <w:rsid w:val="00772837"/>
    <w:rsid w:val="00786D6D"/>
    <w:rsid w:val="007A44B9"/>
    <w:rsid w:val="007C3850"/>
    <w:rsid w:val="007F16D8"/>
    <w:rsid w:val="008364C1"/>
    <w:rsid w:val="0085739D"/>
    <w:rsid w:val="008574A9"/>
    <w:rsid w:val="008856D2"/>
    <w:rsid w:val="0088676E"/>
    <w:rsid w:val="008947AA"/>
    <w:rsid w:val="008D0330"/>
    <w:rsid w:val="008F5E29"/>
    <w:rsid w:val="00937410"/>
    <w:rsid w:val="00973E5A"/>
    <w:rsid w:val="009A028A"/>
    <w:rsid w:val="009A46AC"/>
    <w:rsid w:val="009B4672"/>
    <w:rsid w:val="009B483C"/>
    <w:rsid w:val="009B5D71"/>
    <w:rsid w:val="00A05F7C"/>
    <w:rsid w:val="00A13D96"/>
    <w:rsid w:val="00A4221D"/>
    <w:rsid w:val="00A62D3B"/>
    <w:rsid w:val="00AA0F57"/>
    <w:rsid w:val="00AB5244"/>
    <w:rsid w:val="00AC5D43"/>
    <w:rsid w:val="00AD4571"/>
    <w:rsid w:val="00AF30F7"/>
    <w:rsid w:val="00B00578"/>
    <w:rsid w:val="00B0445E"/>
    <w:rsid w:val="00B077B9"/>
    <w:rsid w:val="00B14A6D"/>
    <w:rsid w:val="00B14FE7"/>
    <w:rsid w:val="00B15685"/>
    <w:rsid w:val="00B22775"/>
    <w:rsid w:val="00B2455C"/>
    <w:rsid w:val="00B24D44"/>
    <w:rsid w:val="00B25DF7"/>
    <w:rsid w:val="00B2758E"/>
    <w:rsid w:val="00B42FEF"/>
    <w:rsid w:val="00B63A9B"/>
    <w:rsid w:val="00B65CF7"/>
    <w:rsid w:val="00B86FE7"/>
    <w:rsid w:val="00BA2713"/>
    <w:rsid w:val="00BA6A27"/>
    <w:rsid w:val="00BB33B5"/>
    <w:rsid w:val="00BC0B83"/>
    <w:rsid w:val="00BC7935"/>
    <w:rsid w:val="00C023EE"/>
    <w:rsid w:val="00C66602"/>
    <w:rsid w:val="00C77EB2"/>
    <w:rsid w:val="00C8477B"/>
    <w:rsid w:val="00C84B4A"/>
    <w:rsid w:val="00CA7533"/>
    <w:rsid w:val="00CB0883"/>
    <w:rsid w:val="00CC643B"/>
    <w:rsid w:val="00CE0F05"/>
    <w:rsid w:val="00D06C7D"/>
    <w:rsid w:val="00D126D2"/>
    <w:rsid w:val="00D3416E"/>
    <w:rsid w:val="00D343D7"/>
    <w:rsid w:val="00D5268C"/>
    <w:rsid w:val="00D6372B"/>
    <w:rsid w:val="00D73AD4"/>
    <w:rsid w:val="00D74B5F"/>
    <w:rsid w:val="00D7581A"/>
    <w:rsid w:val="00D86699"/>
    <w:rsid w:val="00D9509E"/>
    <w:rsid w:val="00DE6709"/>
    <w:rsid w:val="00DF3460"/>
    <w:rsid w:val="00DF464A"/>
    <w:rsid w:val="00E17F54"/>
    <w:rsid w:val="00E35255"/>
    <w:rsid w:val="00E40C9A"/>
    <w:rsid w:val="00E455A4"/>
    <w:rsid w:val="00E948D6"/>
    <w:rsid w:val="00E9644F"/>
    <w:rsid w:val="00EA1728"/>
    <w:rsid w:val="00ED599C"/>
    <w:rsid w:val="00EF3903"/>
    <w:rsid w:val="00F12775"/>
    <w:rsid w:val="00F12FAA"/>
    <w:rsid w:val="00F27D38"/>
    <w:rsid w:val="00F3557A"/>
    <w:rsid w:val="00F40BD3"/>
    <w:rsid w:val="00F47C5D"/>
    <w:rsid w:val="00F60492"/>
    <w:rsid w:val="00F70D2F"/>
    <w:rsid w:val="00F74A6C"/>
    <w:rsid w:val="00F934BF"/>
    <w:rsid w:val="00FB58E3"/>
    <w:rsid w:val="00FC3E39"/>
    <w:rsid w:val="00FE1A39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A971"/>
  <w15:chartTrackingRefBased/>
  <w15:docId w15:val="{0A428156-A8FB-4CAE-A016-539E77E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F7"/>
    <w:pPr>
      <w:ind w:left="720"/>
      <w:contextualSpacing/>
    </w:pPr>
  </w:style>
  <w:style w:type="character" w:customStyle="1" w:styleId="italic">
    <w:name w:val="italic"/>
    <w:rsid w:val="00D06C7D"/>
  </w:style>
  <w:style w:type="character" w:styleId="Hyperlink">
    <w:name w:val="Hyperlink"/>
    <w:basedOn w:val="DefaultParagraphFont"/>
    <w:uiPriority w:val="99"/>
    <w:unhideWhenUsed/>
    <w:rsid w:val="008364C1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364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24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F5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DE6709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DE6709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ar"/>
    <w:rsid w:val="00DE6709"/>
    <w:pPr>
      <w:spacing w:line="240" w:lineRule="auto"/>
      <w:jc w:val="both"/>
    </w:pPr>
    <w:rPr>
      <w:rFonts w:ascii="Arial" w:hAnsi="Arial" w:cs="Arial"/>
      <w:noProof/>
      <w:sz w:val="24"/>
    </w:rPr>
  </w:style>
  <w:style w:type="character" w:customStyle="1" w:styleId="EndNoteBibliographyCar">
    <w:name w:val="EndNote Bibliography Car"/>
    <w:basedOn w:val="DefaultParagraphFont"/>
    <w:link w:val="EndNoteBibliography"/>
    <w:rsid w:val="00DE6709"/>
    <w:rPr>
      <w:rFonts w:ascii="Arial" w:hAnsi="Arial" w:cs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 uriostegui</dc:creator>
  <cp:keywords/>
  <dc:description/>
  <cp:lastModifiedBy>Technica</cp:lastModifiedBy>
  <cp:revision>2</cp:revision>
  <dcterms:created xsi:type="dcterms:W3CDTF">2019-12-12T19:48:00Z</dcterms:created>
  <dcterms:modified xsi:type="dcterms:W3CDTF">2019-12-12T19:48:00Z</dcterms:modified>
</cp:coreProperties>
</file>