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09" w:rsidRPr="003331CF" w:rsidRDefault="00F22A09" w:rsidP="00872D4B">
      <w:pPr>
        <w:spacing w:after="0" w:line="480" w:lineRule="auto"/>
        <w:contextualSpacing/>
        <w:rPr>
          <w:rFonts w:ascii="Cambria" w:hAnsi="Cambria"/>
          <w:b/>
          <w:sz w:val="24"/>
          <w:szCs w:val="24"/>
        </w:rPr>
      </w:pPr>
      <w:r>
        <w:rPr>
          <w:rFonts w:ascii="Cambria" w:hAnsi="Cambria"/>
          <w:b/>
          <w:sz w:val="24"/>
          <w:szCs w:val="24"/>
        </w:rPr>
        <w:t xml:space="preserve">Appendix 2. </w:t>
      </w:r>
      <w:r w:rsidRPr="004C5692">
        <w:rPr>
          <w:rFonts w:ascii="Cambria" w:hAnsi="Cambria"/>
          <w:b/>
          <w:sz w:val="24"/>
          <w:szCs w:val="24"/>
        </w:rPr>
        <w:t>Overvie</w:t>
      </w:r>
      <w:bookmarkStart w:id="0" w:name="_GoBack"/>
      <w:bookmarkEnd w:id="0"/>
      <w:r w:rsidRPr="004C5692">
        <w:rPr>
          <w:rFonts w:ascii="Cambria" w:hAnsi="Cambria"/>
          <w:b/>
          <w:sz w:val="24"/>
          <w:szCs w:val="24"/>
        </w:rPr>
        <w:t>w of initial consultation activities</w:t>
      </w:r>
      <w:r>
        <w:rPr>
          <w:rFonts w:ascii="Cambria" w:hAnsi="Cambria"/>
          <w:sz w:val="24"/>
          <w:szCs w:val="24"/>
        </w:rPr>
        <w:t xml:space="preserve">. </w:t>
      </w:r>
      <w:r w:rsidRPr="003331CF">
        <w:rPr>
          <w:rFonts w:ascii="Cambria" w:hAnsi="Cambria" w:cs="Arial"/>
          <w:sz w:val="24"/>
          <w:szCs w:val="24"/>
        </w:rPr>
        <w:t>Projects that are early in the development phase may request an initial consultation and receive input on any of the described activities.</w:t>
      </w:r>
    </w:p>
    <w:tbl>
      <w:tblPr>
        <w:tblW w:w="9352"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2106"/>
        <w:gridCol w:w="7246"/>
      </w:tblGrid>
      <w:tr w:rsidR="001D1378" w:rsidRPr="00A20665" w:rsidTr="007B0D91">
        <w:trPr>
          <w:trHeight w:val="571"/>
        </w:trPr>
        <w:tc>
          <w:tcPr>
            <w:tcW w:w="0" w:type="auto"/>
            <w:tcBorders>
              <w:top w:val="single" w:sz="6" w:space="0" w:color="C7C7C7"/>
              <w:left w:val="single" w:sz="6" w:space="0" w:color="C7C7C7"/>
              <w:bottom w:val="single" w:sz="6" w:space="0" w:color="C7C7C7"/>
              <w:right w:val="single" w:sz="6" w:space="0" w:color="C7C7C7"/>
            </w:tcBorders>
            <w:shd w:val="clear" w:color="auto" w:fill="C00000"/>
            <w:tcMar>
              <w:top w:w="120" w:type="dxa"/>
              <w:left w:w="96" w:type="dxa"/>
              <w:bottom w:w="120" w:type="dxa"/>
              <w:right w:w="96" w:type="dxa"/>
            </w:tcMar>
            <w:vAlign w:val="center"/>
          </w:tcPr>
          <w:p w:rsidR="001D1378" w:rsidRPr="00A20665" w:rsidRDefault="001D1378" w:rsidP="007B0D91">
            <w:pPr>
              <w:spacing w:after="0" w:line="240" w:lineRule="auto"/>
              <w:contextualSpacing/>
              <w:rPr>
                <w:rFonts w:ascii="Cambria" w:hAnsi="Cambria" w:cs="Arial"/>
                <w:b/>
                <w:color w:val="FFFFFF" w:themeColor="background1"/>
                <w:sz w:val="24"/>
                <w:szCs w:val="24"/>
              </w:rPr>
            </w:pPr>
            <w:r w:rsidRPr="00A20665">
              <w:rPr>
                <w:rFonts w:ascii="Cambria" w:hAnsi="Cambria" w:cs="Arial"/>
                <w:b/>
                <w:color w:val="FFFFFF" w:themeColor="background1"/>
                <w:sz w:val="24"/>
                <w:szCs w:val="24"/>
              </w:rPr>
              <w:t>Initial Consultations</w:t>
            </w:r>
          </w:p>
        </w:tc>
        <w:tc>
          <w:tcPr>
            <w:tcW w:w="7246" w:type="dxa"/>
            <w:tcBorders>
              <w:top w:val="single" w:sz="6" w:space="0" w:color="C7C7C7"/>
              <w:left w:val="single" w:sz="6" w:space="0" w:color="C7C7C7"/>
              <w:bottom w:val="single" w:sz="6" w:space="0" w:color="C7C7C7"/>
              <w:right w:val="single" w:sz="6" w:space="0" w:color="C7C7C7"/>
            </w:tcBorders>
            <w:shd w:val="clear" w:color="auto" w:fill="C00000"/>
            <w:tcMar>
              <w:top w:w="120" w:type="dxa"/>
              <w:left w:w="96" w:type="dxa"/>
              <w:bottom w:w="120" w:type="dxa"/>
              <w:right w:w="96" w:type="dxa"/>
            </w:tcMar>
            <w:vAlign w:val="center"/>
          </w:tcPr>
          <w:p w:rsidR="001D1378" w:rsidRPr="00A20665" w:rsidRDefault="001D1378" w:rsidP="007B0D91">
            <w:pPr>
              <w:spacing w:after="0" w:line="240" w:lineRule="auto"/>
              <w:contextualSpacing/>
              <w:rPr>
                <w:rFonts w:ascii="Cambria" w:hAnsi="Cambria" w:cs="Arial"/>
                <w:b/>
                <w:color w:val="FFFFFF" w:themeColor="background1"/>
                <w:sz w:val="24"/>
                <w:szCs w:val="24"/>
              </w:rPr>
            </w:pPr>
            <w:r w:rsidRPr="00A20665">
              <w:rPr>
                <w:rFonts w:ascii="Cambria" w:hAnsi="Cambria" w:cs="Arial"/>
                <w:b/>
                <w:color w:val="FFFFFF" w:themeColor="background1"/>
                <w:sz w:val="24"/>
                <w:szCs w:val="24"/>
              </w:rPr>
              <w:t>What Customers Can Expect</w:t>
            </w:r>
          </w:p>
        </w:tc>
      </w:tr>
      <w:tr w:rsidR="001D1378" w:rsidRPr="00A20665" w:rsidTr="007B0D91">
        <w:trPr>
          <w:trHeight w:val="571"/>
        </w:trPr>
        <w:tc>
          <w:tcPr>
            <w:tcW w:w="0" w:type="auto"/>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vAlign w:val="center"/>
          </w:tcPr>
          <w:p w:rsidR="001D1378" w:rsidRPr="00A20665" w:rsidRDefault="001D1378" w:rsidP="007B0D91">
            <w:pPr>
              <w:spacing w:after="0" w:line="240" w:lineRule="auto"/>
              <w:contextualSpacing/>
              <w:rPr>
                <w:rFonts w:ascii="Cambria" w:hAnsi="Cambria" w:cs="Arial"/>
                <w:b/>
                <w:sz w:val="24"/>
                <w:szCs w:val="24"/>
              </w:rPr>
            </w:pPr>
            <w:r w:rsidRPr="00A20665">
              <w:rPr>
                <w:rFonts w:ascii="Cambria" w:hAnsi="Cambria" w:cs="Arial"/>
                <w:b/>
                <w:sz w:val="24"/>
                <w:szCs w:val="24"/>
              </w:rPr>
              <w:t>Study Design</w:t>
            </w:r>
          </w:p>
        </w:tc>
        <w:tc>
          <w:tcPr>
            <w:tcW w:w="7246"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vAlign w:val="center"/>
          </w:tcPr>
          <w:p w:rsidR="001D1378" w:rsidRPr="00A20665" w:rsidRDefault="001D1378" w:rsidP="007B0D91">
            <w:pPr>
              <w:spacing w:after="0" w:line="240" w:lineRule="auto"/>
              <w:contextualSpacing/>
              <w:rPr>
                <w:rFonts w:ascii="Cambria" w:hAnsi="Cambria" w:cs="Arial"/>
                <w:sz w:val="24"/>
                <w:szCs w:val="24"/>
              </w:rPr>
            </w:pPr>
            <w:r w:rsidRPr="00A20665">
              <w:rPr>
                <w:rFonts w:ascii="Cambria" w:hAnsi="Cambria" w:cs="Arial"/>
                <w:sz w:val="24"/>
                <w:szCs w:val="24"/>
              </w:rPr>
              <w:t>The TIN will review submitted study material and discuss the proposed design. The discussions may involve the study goals and aims, the methodology, statistical and regulatory considerations, participant recruitment, schedule of assessments, study interventions, or other components of the study. The goal of these discussions is to help work through potential barriers to successful study completion.</w:t>
            </w:r>
          </w:p>
        </w:tc>
      </w:tr>
      <w:tr w:rsidR="001D1378" w:rsidRPr="00A20665" w:rsidTr="007B0D91">
        <w:trPr>
          <w:trHeight w:val="571"/>
        </w:trPr>
        <w:tc>
          <w:tcPr>
            <w:tcW w:w="0" w:type="auto"/>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vAlign w:val="center"/>
          </w:tcPr>
          <w:p w:rsidR="001D1378" w:rsidRPr="00A20665" w:rsidRDefault="001D1378" w:rsidP="007B0D91">
            <w:pPr>
              <w:spacing w:after="0" w:line="240" w:lineRule="auto"/>
              <w:contextualSpacing/>
              <w:rPr>
                <w:rFonts w:ascii="Cambria" w:hAnsi="Cambria" w:cs="Arial"/>
                <w:b/>
                <w:sz w:val="24"/>
                <w:szCs w:val="24"/>
              </w:rPr>
            </w:pPr>
            <w:r w:rsidRPr="00A20665">
              <w:rPr>
                <w:rFonts w:ascii="Cambria" w:hAnsi="Cambria" w:cs="Arial"/>
                <w:b/>
                <w:sz w:val="24"/>
                <w:szCs w:val="24"/>
              </w:rPr>
              <w:t>Study Budget</w:t>
            </w:r>
          </w:p>
        </w:tc>
        <w:tc>
          <w:tcPr>
            <w:tcW w:w="7246"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vAlign w:val="center"/>
          </w:tcPr>
          <w:p w:rsidR="001D1378" w:rsidRPr="00A20665" w:rsidRDefault="001D1378" w:rsidP="007B0D91">
            <w:pPr>
              <w:spacing w:after="0" w:line="240" w:lineRule="auto"/>
              <w:contextualSpacing/>
              <w:rPr>
                <w:rFonts w:ascii="Cambria" w:hAnsi="Cambria" w:cs="Arial"/>
                <w:sz w:val="24"/>
                <w:szCs w:val="24"/>
              </w:rPr>
            </w:pPr>
            <w:r w:rsidRPr="00A20665">
              <w:rPr>
                <w:rFonts w:ascii="Cambria" w:hAnsi="Cambria" w:cs="Arial"/>
                <w:sz w:val="24"/>
                <w:szCs w:val="24"/>
              </w:rPr>
              <w:t>The TIN will provide recommendation on the budget as it relates to the proposed protocol. At the conclusion of an initial consultation, an estimated budget based on the protocol design will be generated. The budget will include estimates for the overall study budget, site/participant budget, and a recruitment budget, if applicable.</w:t>
            </w:r>
          </w:p>
        </w:tc>
      </w:tr>
      <w:tr w:rsidR="001D1378" w:rsidRPr="00A20665" w:rsidTr="007B0D91">
        <w:trPr>
          <w:trHeight w:val="571"/>
        </w:trPr>
        <w:tc>
          <w:tcPr>
            <w:tcW w:w="0" w:type="auto"/>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vAlign w:val="center"/>
          </w:tcPr>
          <w:p w:rsidR="001D1378" w:rsidRPr="00A20665" w:rsidRDefault="001D1378" w:rsidP="007B0D91">
            <w:pPr>
              <w:spacing w:after="0" w:line="240" w:lineRule="auto"/>
              <w:contextualSpacing/>
              <w:rPr>
                <w:rFonts w:ascii="Cambria" w:hAnsi="Cambria" w:cs="Arial"/>
                <w:b/>
                <w:sz w:val="24"/>
                <w:szCs w:val="24"/>
              </w:rPr>
            </w:pPr>
            <w:r w:rsidRPr="00A20665">
              <w:rPr>
                <w:rFonts w:ascii="Cambria" w:hAnsi="Cambria" w:cs="Arial"/>
                <w:b/>
                <w:sz w:val="24"/>
                <w:szCs w:val="24"/>
              </w:rPr>
              <w:t>Projected Timelines</w:t>
            </w:r>
          </w:p>
        </w:tc>
        <w:tc>
          <w:tcPr>
            <w:tcW w:w="7246"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vAlign w:val="center"/>
          </w:tcPr>
          <w:p w:rsidR="001D1378" w:rsidRPr="00A20665" w:rsidRDefault="001D1378" w:rsidP="007B0D91">
            <w:pPr>
              <w:spacing w:after="0" w:line="240" w:lineRule="auto"/>
              <w:contextualSpacing/>
              <w:rPr>
                <w:rFonts w:ascii="Cambria" w:hAnsi="Cambria" w:cs="Arial"/>
                <w:sz w:val="24"/>
                <w:szCs w:val="24"/>
              </w:rPr>
            </w:pPr>
            <w:r w:rsidRPr="00A20665">
              <w:rPr>
                <w:rFonts w:ascii="Cambria" w:hAnsi="Cambria" w:cs="Arial"/>
                <w:sz w:val="24"/>
                <w:szCs w:val="24"/>
              </w:rPr>
              <w:t>The TIN will provide a recommendation on timelines for submission of the application as well as timelines for the overall conduct of the study. This review includes planning, study start-up, conduct, close-out, and final publication.</w:t>
            </w:r>
          </w:p>
        </w:tc>
      </w:tr>
      <w:tr w:rsidR="001D1378" w:rsidRPr="00A20665" w:rsidTr="007B0D91">
        <w:trPr>
          <w:trHeight w:val="571"/>
        </w:trPr>
        <w:tc>
          <w:tcPr>
            <w:tcW w:w="0" w:type="auto"/>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vAlign w:val="center"/>
          </w:tcPr>
          <w:p w:rsidR="001D1378" w:rsidRPr="00A20665" w:rsidRDefault="001D1378" w:rsidP="007B0D91">
            <w:pPr>
              <w:spacing w:after="0" w:line="240" w:lineRule="auto"/>
              <w:contextualSpacing/>
              <w:rPr>
                <w:rFonts w:ascii="Cambria" w:hAnsi="Cambria" w:cs="Arial"/>
                <w:b/>
                <w:sz w:val="24"/>
                <w:szCs w:val="24"/>
              </w:rPr>
            </w:pPr>
            <w:r w:rsidRPr="00A20665">
              <w:rPr>
                <w:rFonts w:ascii="Cambria" w:hAnsi="Cambria" w:cs="Arial"/>
                <w:b/>
                <w:sz w:val="24"/>
                <w:szCs w:val="24"/>
              </w:rPr>
              <w:t>Recruitment</w:t>
            </w:r>
          </w:p>
        </w:tc>
        <w:tc>
          <w:tcPr>
            <w:tcW w:w="7246"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vAlign w:val="center"/>
          </w:tcPr>
          <w:p w:rsidR="001D1378" w:rsidRPr="00A20665" w:rsidRDefault="001D1378" w:rsidP="007B0D91">
            <w:pPr>
              <w:spacing w:after="0" w:line="240" w:lineRule="auto"/>
              <w:contextualSpacing/>
              <w:rPr>
                <w:rFonts w:ascii="Cambria" w:hAnsi="Cambria" w:cs="Arial"/>
                <w:sz w:val="24"/>
                <w:szCs w:val="24"/>
              </w:rPr>
            </w:pPr>
            <w:r w:rsidRPr="00A20665">
              <w:rPr>
                <w:rFonts w:ascii="Cambria" w:hAnsi="Cambria" w:cs="Arial"/>
                <w:sz w:val="24"/>
                <w:szCs w:val="24"/>
              </w:rPr>
              <w:t>The TIN will assess recruitment strategies. At the conclusion of an initial consultation, an assessment of study recruitment will be provided.</w:t>
            </w:r>
          </w:p>
        </w:tc>
      </w:tr>
      <w:tr w:rsidR="001D1378" w:rsidRPr="00A20665" w:rsidTr="007B0D91">
        <w:trPr>
          <w:trHeight w:val="571"/>
        </w:trPr>
        <w:tc>
          <w:tcPr>
            <w:tcW w:w="0" w:type="auto"/>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vAlign w:val="center"/>
          </w:tcPr>
          <w:p w:rsidR="001D1378" w:rsidRPr="00A20665" w:rsidRDefault="001D1378" w:rsidP="007B0D91">
            <w:pPr>
              <w:spacing w:after="0" w:line="240" w:lineRule="auto"/>
              <w:contextualSpacing/>
              <w:rPr>
                <w:rFonts w:ascii="Cambria" w:hAnsi="Cambria" w:cs="Arial"/>
                <w:b/>
                <w:sz w:val="24"/>
                <w:szCs w:val="24"/>
              </w:rPr>
            </w:pPr>
            <w:r w:rsidRPr="00A20665">
              <w:rPr>
                <w:rFonts w:ascii="Cambria" w:hAnsi="Cambria" w:cs="Arial"/>
                <w:b/>
                <w:sz w:val="24"/>
                <w:szCs w:val="24"/>
              </w:rPr>
              <w:t xml:space="preserve">Assessment of Study Feasibility </w:t>
            </w:r>
          </w:p>
        </w:tc>
        <w:tc>
          <w:tcPr>
            <w:tcW w:w="7246" w:type="dxa"/>
            <w:tcBorders>
              <w:top w:val="single" w:sz="6" w:space="0" w:color="C7C7C7"/>
              <w:left w:val="single" w:sz="6" w:space="0" w:color="C7C7C7"/>
              <w:bottom w:val="single" w:sz="6" w:space="0" w:color="C7C7C7"/>
              <w:right w:val="single" w:sz="6" w:space="0" w:color="C7C7C7"/>
            </w:tcBorders>
            <w:shd w:val="clear" w:color="auto" w:fill="FFFFFF"/>
            <w:tcMar>
              <w:top w:w="120" w:type="dxa"/>
              <w:left w:w="96" w:type="dxa"/>
              <w:bottom w:w="120" w:type="dxa"/>
              <w:right w:w="96" w:type="dxa"/>
            </w:tcMar>
            <w:vAlign w:val="center"/>
          </w:tcPr>
          <w:p w:rsidR="001D1378" w:rsidRPr="00A20665" w:rsidRDefault="001D1378" w:rsidP="007B0D91">
            <w:pPr>
              <w:spacing w:after="0" w:line="240" w:lineRule="auto"/>
              <w:contextualSpacing/>
              <w:rPr>
                <w:rFonts w:ascii="Cambria" w:hAnsi="Cambria" w:cs="Arial"/>
                <w:sz w:val="24"/>
                <w:szCs w:val="24"/>
              </w:rPr>
            </w:pPr>
            <w:r w:rsidRPr="00A20665">
              <w:rPr>
                <w:rFonts w:ascii="Cambria" w:hAnsi="Cambria" w:cs="Arial"/>
                <w:sz w:val="24"/>
                <w:szCs w:val="24"/>
              </w:rPr>
              <w:t>The TIN will assess the feasibility of the study being successfully completed within the proposed timelines and budget and note any potential barriers. The TIN will provide recommendation to optimize successful completion of the study within the proposed timelines and budget.</w:t>
            </w:r>
          </w:p>
        </w:tc>
      </w:tr>
    </w:tbl>
    <w:p w:rsidR="00ED767A" w:rsidRDefault="00ED767A"/>
    <w:sectPr w:rsidR="00ED7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CF" w:rsidRDefault="003331CF" w:rsidP="003331CF">
      <w:pPr>
        <w:spacing w:after="0" w:line="240" w:lineRule="auto"/>
      </w:pPr>
      <w:r>
        <w:separator/>
      </w:r>
    </w:p>
  </w:endnote>
  <w:endnote w:type="continuationSeparator" w:id="0">
    <w:p w:rsidR="003331CF" w:rsidRDefault="003331CF" w:rsidP="0033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CF" w:rsidRDefault="003331CF" w:rsidP="003331CF">
      <w:pPr>
        <w:spacing w:after="0" w:line="240" w:lineRule="auto"/>
      </w:pPr>
      <w:r>
        <w:separator/>
      </w:r>
    </w:p>
  </w:footnote>
  <w:footnote w:type="continuationSeparator" w:id="0">
    <w:p w:rsidR="003331CF" w:rsidRDefault="003331CF" w:rsidP="003331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78"/>
    <w:rsid w:val="001D1378"/>
    <w:rsid w:val="003331CF"/>
    <w:rsid w:val="00534A39"/>
    <w:rsid w:val="00872D4B"/>
    <w:rsid w:val="00ED767A"/>
    <w:rsid w:val="00F2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83D96-D196-40D2-80B4-54A164AB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CF"/>
  </w:style>
  <w:style w:type="paragraph" w:styleId="Footer">
    <w:name w:val="footer"/>
    <w:basedOn w:val="Normal"/>
    <w:link w:val="FooterChar"/>
    <w:uiPriority w:val="99"/>
    <w:unhideWhenUsed/>
    <w:rsid w:val="00333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Terri L</dc:creator>
  <cp:keywords/>
  <dc:description/>
  <cp:lastModifiedBy>Jones, Michelle I</cp:lastModifiedBy>
  <cp:revision>4</cp:revision>
  <dcterms:created xsi:type="dcterms:W3CDTF">2018-06-13T22:05:00Z</dcterms:created>
  <dcterms:modified xsi:type="dcterms:W3CDTF">2018-06-20T18:47:00Z</dcterms:modified>
</cp:coreProperties>
</file>