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CF1C" w14:textId="41D885C8" w:rsidR="00C377EE" w:rsidRPr="00731281" w:rsidRDefault="0040204C" w:rsidP="00E44F69">
      <w:pPr>
        <w:pStyle w:val="Title"/>
        <w:rPr>
          <w:rFonts w:ascii="Arial" w:hAnsi="Arial" w:cs="Arial"/>
          <w:b/>
          <w:sz w:val="36"/>
          <w:lang w:val="en-GB"/>
        </w:rPr>
      </w:pPr>
      <w:r>
        <w:rPr>
          <w:rFonts w:ascii="Arial" w:hAnsi="Arial" w:cs="Arial"/>
          <w:b/>
          <w:sz w:val="36"/>
          <w:lang w:val="en-GB"/>
        </w:rPr>
        <w:t xml:space="preserve">Online </w:t>
      </w:r>
      <w:r w:rsidR="00A93CE8">
        <w:rPr>
          <w:rFonts w:ascii="Arial" w:hAnsi="Arial" w:cs="Arial"/>
          <w:b/>
          <w:sz w:val="36"/>
          <w:lang w:val="en-GB"/>
        </w:rPr>
        <w:t>Resource</w:t>
      </w:r>
      <w:r>
        <w:rPr>
          <w:rFonts w:ascii="Arial" w:hAnsi="Arial" w:cs="Arial"/>
          <w:b/>
          <w:sz w:val="36"/>
          <w:lang w:val="en-GB"/>
        </w:rPr>
        <w:t xml:space="preserve"> 2</w:t>
      </w:r>
      <w:r w:rsidR="004C1662" w:rsidRPr="00731281">
        <w:rPr>
          <w:rFonts w:ascii="Arial" w:hAnsi="Arial" w:cs="Arial"/>
          <w:b/>
          <w:sz w:val="36"/>
          <w:lang w:val="en-GB"/>
        </w:rPr>
        <w:t xml:space="preserve"> to ’The </w:t>
      </w:r>
      <w:r w:rsidR="005E4884">
        <w:rPr>
          <w:rFonts w:ascii="Arial" w:hAnsi="Arial" w:cs="Arial"/>
          <w:b/>
          <w:sz w:val="36"/>
          <w:lang w:val="en-GB"/>
        </w:rPr>
        <w:t>Cost</w:t>
      </w:r>
      <w:r w:rsidR="004C1662" w:rsidRPr="00731281">
        <w:rPr>
          <w:rFonts w:ascii="Arial" w:hAnsi="Arial" w:cs="Arial"/>
          <w:b/>
          <w:sz w:val="36"/>
          <w:lang w:val="en-GB"/>
        </w:rPr>
        <w:t xml:space="preserve"> of Mental Disorders: A systematic review’</w:t>
      </w:r>
    </w:p>
    <w:p w14:paraId="5CC04C0C" w14:textId="5FB1DD98" w:rsidR="004C1662" w:rsidRDefault="004C1662" w:rsidP="00672B6F">
      <w:pPr>
        <w:rPr>
          <w:lang w:val="en-GB"/>
        </w:rPr>
      </w:pPr>
    </w:p>
    <w:p w14:paraId="1EEF938C" w14:textId="088E7BC7" w:rsidR="00966379" w:rsidRPr="00870499" w:rsidRDefault="00966379" w:rsidP="00966379">
      <w:pPr>
        <w:rPr>
          <w:b/>
          <w:i/>
          <w:lang w:val="en-GB"/>
        </w:rPr>
      </w:pPr>
      <w:r>
        <w:rPr>
          <w:lang w:val="en-GB"/>
        </w:rPr>
        <w:t>Christensen MK, Lim C</w:t>
      </w:r>
      <w:r w:rsidR="009C0E7B">
        <w:rPr>
          <w:lang w:val="en-GB"/>
        </w:rPr>
        <w:t>CW</w:t>
      </w:r>
      <w:r>
        <w:rPr>
          <w:lang w:val="en-GB"/>
        </w:rPr>
        <w:t xml:space="preserve">, </w:t>
      </w:r>
      <w:r w:rsidR="009C0E7B">
        <w:rPr>
          <w:lang w:val="en-GB"/>
        </w:rPr>
        <w:t xml:space="preserve">Saha S, Plana-Ripoll O, Cannon D, Presley F, Weye N, Momen NC, Whiteford H, </w:t>
      </w:r>
      <w:r>
        <w:rPr>
          <w:lang w:val="en-GB"/>
        </w:rPr>
        <w:t>Iburg KM, McGrath JJ.</w:t>
      </w:r>
    </w:p>
    <w:p w14:paraId="458F057B" w14:textId="77777777" w:rsidR="00173974" w:rsidRPr="00731281" w:rsidRDefault="00173974" w:rsidP="00672B6F">
      <w:pPr>
        <w:rPr>
          <w:lang w:val="en-GB"/>
        </w:rPr>
      </w:pPr>
    </w:p>
    <w:p w14:paraId="34B032E1" w14:textId="50911399" w:rsidR="00CA025A" w:rsidRPr="00CA025A" w:rsidRDefault="00F965C1" w:rsidP="00CA025A">
      <w:pPr>
        <w:pStyle w:val="Subtitle"/>
        <w:rPr>
          <w:rFonts w:ascii="Arial" w:hAnsi="Arial" w:cs="Arial"/>
          <w:b/>
          <w:iCs/>
          <w:color w:val="auto"/>
          <w:sz w:val="32"/>
          <w:szCs w:val="32"/>
          <w:lang w:val="en-GB"/>
        </w:rPr>
      </w:pPr>
      <w:r w:rsidRPr="00731281">
        <w:rPr>
          <w:rStyle w:val="SubtleEmphasis"/>
          <w:rFonts w:ascii="Arial" w:hAnsi="Arial" w:cs="Arial"/>
          <w:b/>
          <w:i w:val="0"/>
          <w:color w:val="auto"/>
          <w:sz w:val="32"/>
          <w:szCs w:val="32"/>
          <w:lang w:val="en-GB"/>
        </w:rPr>
        <w:t>C</w:t>
      </w:r>
      <w:r w:rsidR="00D77D7C" w:rsidRPr="00731281">
        <w:rPr>
          <w:rStyle w:val="SubtleEmphasis"/>
          <w:rFonts w:ascii="Arial" w:hAnsi="Arial" w:cs="Arial"/>
          <w:b/>
          <w:i w:val="0"/>
          <w:color w:val="auto"/>
          <w:sz w:val="32"/>
          <w:szCs w:val="32"/>
          <w:lang w:val="en-GB"/>
        </w:rPr>
        <w:t>ontent</w:t>
      </w:r>
      <w:r w:rsidRPr="00731281">
        <w:rPr>
          <w:rStyle w:val="SubtleEmphasis"/>
          <w:rFonts w:ascii="Arial" w:hAnsi="Arial" w:cs="Arial"/>
          <w:b/>
          <w:i w:val="0"/>
          <w:color w:val="auto"/>
          <w:sz w:val="32"/>
          <w:szCs w:val="32"/>
          <w:lang w:val="en-GB"/>
        </w:rPr>
        <w:t>s</w:t>
      </w:r>
    </w:p>
    <w:sdt>
      <w:sdtPr>
        <w:rPr>
          <w:rFonts w:ascii="Arial" w:eastAsiaTheme="minorHAnsi" w:hAnsi="Arial" w:cstheme="minorBidi"/>
          <w:color w:val="auto"/>
          <w:sz w:val="24"/>
          <w:szCs w:val="22"/>
          <w:lang w:val="da-DK"/>
        </w:rPr>
        <w:id w:val="1882820925"/>
        <w:docPartObj>
          <w:docPartGallery w:val="Table of Contents"/>
          <w:docPartUnique/>
        </w:docPartObj>
      </w:sdtPr>
      <w:sdtEndPr>
        <w:rPr>
          <w:b/>
          <w:bCs/>
          <w:noProof/>
        </w:rPr>
      </w:sdtEndPr>
      <w:sdtContent>
        <w:p w14:paraId="669CA8D8" w14:textId="25C2CCCD" w:rsidR="00CA025A" w:rsidRPr="00CA025A" w:rsidRDefault="00CA025A">
          <w:pPr>
            <w:pStyle w:val="TOCHeading"/>
            <w:rPr>
              <w:sz w:val="14"/>
            </w:rPr>
          </w:pPr>
        </w:p>
        <w:p w14:paraId="195E448B" w14:textId="2563E987" w:rsidR="00E47055" w:rsidRDefault="00CA025A">
          <w:pPr>
            <w:pStyle w:val="TOC1"/>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38626177" w:history="1">
            <w:r w:rsidR="00E47055" w:rsidRPr="00220F40">
              <w:rPr>
                <w:rStyle w:val="Hyperlink"/>
                <w:noProof/>
                <w:lang w:val="en-GB"/>
              </w:rPr>
              <w:t>eTables</w:t>
            </w:r>
            <w:r w:rsidR="00E47055">
              <w:rPr>
                <w:noProof/>
                <w:webHidden/>
              </w:rPr>
              <w:tab/>
            </w:r>
            <w:r w:rsidR="00E47055">
              <w:rPr>
                <w:noProof/>
                <w:webHidden/>
              </w:rPr>
              <w:fldChar w:fldCharType="begin"/>
            </w:r>
            <w:r w:rsidR="00E47055">
              <w:rPr>
                <w:noProof/>
                <w:webHidden/>
              </w:rPr>
              <w:instrText xml:space="preserve"> PAGEREF _Toc38626177 \h </w:instrText>
            </w:r>
            <w:r w:rsidR="00E47055">
              <w:rPr>
                <w:noProof/>
                <w:webHidden/>
              </w:rPr>
            </w:r>
            <w:r w:rsidR="00E47055">
              <w:rPr>
                <w:noProof/>
                <w:webHidden/>
              </w:rPr>
              <w:fldChar w:fldCharType="separate"/>
            </w:r>
            <w:r w:rsidR="00225AA4">
              <w:rPr>
                <w:noProof/>
                <w:webHidden/>
              </w:rPr>
              <w:t>2</w:t>
            </w:r>
            <w:r w:rsidR="00E47055">
              <w:rPr>
                <w:noProof/>
                <w:webHidden/>
              </w:rPr>
              <w:fldChar w:fldCharType="end"/>
            </w:r>
          </w:hyperlink>
        </w:p>
        <w:p w14:paraId="50784C01" w14:textId="3926F556" w:rsidR="00E47055" w:rsidRDefault="00123872">
          <w:pPr>
            <w:pStyle w:val="TOC2"/>
            <w:tabs>
              <w:tab w:val="right" w:leader="dot" w:pos="9016"/>
            </w:tabs>
            <w:rPr>
              <w:rFonts w:asciiTheme="minorHAnsi" w:eastAsiaTheme="minorEastAsia" w:hAnsiTheme="minorHAnsi"/>
              <w:noProof/>
              <w:sz w:val="22"/>
              <w:lang w:val="en-GB" w:eastAsia="en-GB"/>
            </w:rPr>
          </w:pPr>
          <w:hyperlink w:anchor="_Toc38626178" w:history="1">
            <w:r w:rsidR="00E47055" w:rsidRPr="00220F40">
              <w:rPr>
                <w:rStyle w:val="Hyperlink"/>
                <w:noProof/>
                <w:lang w:val="en-GB"/>
              </w:rPr>
              <w:t>eTable 1: Quality reporting checklist</w:t>
            </w:r>
            <w:r w:rsidR="00E47055">
              <w:rPr>
                <w:noProof/>
                <w:webHidden/>
              </w:rPr>
              <w:tab/>
            </w:r>
            <w:r w:rsidR="00E47055">
              <w:rPr>
                <w:noProof/>
                <w:webHidden/>
              </w:rPr>
              <w:fldChar w:fldCharType="begin"/>
            </w:r>
            <w:r w:rsidR="00E47055">
              <w:rPr>
                <w:noProof/>
                <w:webHidden/>
              </w:rPr>
              <w:instrText xml:space="preserve"> PAGEREF _Toc38626178 \h </w:instrText>
            </w:r>
            <w:r w:rsidR="00E47055">
              <w:rPr>
                <w:noProof/>
                <w:webHidden/>
              </w:rPr>
            </w:r>
            <w:r w:rsidR="00E47055">
              <w:rPr>
                <w:noProof/>
                <w:webHidden/>
              </w:rPr>
              <w:fldChar w:fldCharType="separate"/>
            </w:r>
            <w:r w:rsidR="00225AA4">
              <w:rPr>
                <w:noProof/>
                <w:webHidden/>
              </w:rPr>
              <w:t>2</w:t>
            </w:r>
            <w:r w:rsidR="00E47055">
              <w:rPr>
                <w:noProof/>
                <w:webHidden/>
              </w:rPr>
              <w:fldChar w:fldCharType="end"/>
            </w:r>
          </w:hyperlink>
        </w:p>
        <w:p w14:paraId="3208B574" w14:textId="38CC5B7A" w:rsidR="00E47055" w:rsidRDefault="00123872">
          <w:pPr>
            <w:pStyle w:val="TOC2"/>
            <w:tabs>
              <w:tab w:val="right" w:leader="dot" w:pos="9016"/>
            </w:tabs>
            <w:rPr>
              <w:rFonts w:asciiTheme="minorHAnsi" w:eastAsiaTheme="minorEastAsia" w:hAnsiTheme="minorHAnsi"/>
              <w:noProof/>
              <w:sz w:val="22"/>
              <w:lang w:val="en-GB" w:eastAsia="en-GB"/>
            </w:rPr>
          </w:pPr>
          <w:hyperlink w:anchor="_Toc38626179" w:history="1">
            <w:r w:rsidR="00E47055" w:rsidRPr="00220F40">
              <w:rPr>
                <w:rStyle w:val="Hyperlink"/>
                <w:noProof/>
                <w:lang w:val="en-GB"/>
              </w:rPr>
              <w:t>eTable 2: Disorder groups ICD-8 &amp; ICD-10 codes</w:t>
            </w:r>
            <w:r w:rsidR="00E47055">
              <w:rPr>
                <w:noProof/>
                <w:webHidden/>
              </w:rPr>
              <w:tab/>
            </w:r>
            <w:r w:rsidR="00E47055">
              <w:rPr>
                <w:noProof/>
                <w:webHidden/>
              </w:rPr>
              <w:fldChar w:fldCharType="begin"/>
            </w:r>
            <w:r w:rsidR="00E47055">
              <w:rPr>
                <w:noProof/>
                <w:webHidden/>
              </w:rPr>
              <w:instrText xml:space="preserve"> PAGEREF _Toc38626179 \h </w:instrText>
            </w:r>
            <w:r w:rsidR="00E47055">
              <w:rPr>
                <w:noProof/>
                <w:webHidden/>
              </w:rPr>
            </w:r>
            <w:r w:rsidR="00E47055">
              <w:rPr>
                <w:noProof/>
                <w:webHidden/>
              </w:rPr>
              <w:fldChar w:fldCharType="separate"/>
            </w:r>
            <w:r w:rsidR="00225AA4">
              <w:rPr>
                <w:noProof/>
                <w:webHidden/>
              </w:rPr>
              <w:t>3</w:t>
            </w:r>
            <w:r w:rsidR="00E47055">
              <w:rPr>
                <w:noProof/>
                <w:webHidden/>
              </w:rPr>
              <w:fldChar w:fldCharType="end"/>
            </w:r>
          </w:hyperlink>
        </w:p>
        <w:p w14:paraId="1325FCFC" w14:textId="0A59D18E" w:rsidR="00E47055" w:rsidRDefault="00123872">
          <w:pPr>
            <w:pStyle w:val="TOC2"/>
            <w:tabs>
              <w:tab w:val="right" w:leader="dot" w:pos="9016"/>
            </w:tabs>
            <w:rPr>
              <w:rFonts w:asciiTheme="minorHAnsi" w:eastAsiaTheme="minorEastAsia" w:hAnsiTheme="minorHAnsi"/>
              <w:noProof/>
              <w:sz w:val="22"/>
              <w:lang w:val="en-GB" w:eastAsia="en-GB"/>
            </w:rPr>
          </w:pPr>
          <w:hyperlink w:anchor="_Toc38626180" w:history="1">
            <w:r w:rsidR="00E47055" w:rsidRPr="00220F40">
              <w:rPr>
                <w:rStyle w:val="Hyperlink"/>
                <w:noProof/>
                <w:lang w:val="en-GB"/>
              </w:rPr>
              <w:t>eTable 3a: Prevalence-based studies</w:t>
            </w:r>
            <w:r w:rsidR="00E47055">
              <w:rPr>
                <w:noProof/>
                <w:webHidden/>
              </w:rPr>
              <w:tab/>
            </w:r>
            <w:r w:rsidR="00E47055">
              <w:rPr>
                <w:noProof/>
                <w:webHidden/>
              </w:rPr>
              <w:fldChar w:fldCharType="begin"/>
            </w:r>
            <w:r w:rsidR="00E47055">
              <w:rPr>
                <w:noProof/>
                <w:webHidden/>
              </w:rPr>
              <w:instrText xml:space="preserve"> PAGEREF _Toc38626180 \h </w:instrText>
            </w:r>
            <w:r w:rsidR="00E47055">
              <w:rPr>
                <w:noProof/>
                <w:webHidden/>
              </w:rPr>
            </w:r>
            <w:r w:rsidR="00E47055">
              <w:rPr>
                <w:noProof/>
                <w:webHidden/>
              </w:rPr>
              <w:fldChar w:fldCharType="separate"/>
            </w:r>
            <w:r w:rsidR="00225AA4">
              <w:rPr>
                <w:noProof/>
                <w:webHidden/>
              </w:rPr>
              <w:t>4</w:t>
            </w:r>
            <w:r w:rsidR="00E47055">
              <w:rPr>
                <w:noProof/>
                <w:webHidden/>
              </w:rPr>
              <w:fldChar w:fldCharType="end"/>
            </w:r>
          </w:hyperlink>
        </w:p>
        <w:p w14:paraId="3366FADB" w14:textId="35B1FEC9" w:rsidR="00E47055" w:rsidRDefault="00123872">
          <w:pPr>
            <w:pStyle w:val="TOC2"/>
            <w:tabs>
              <w:tab w:val="right" w:leader="dot" w:pos="9016"/>
            </w:tabs>
            <w:rPr>
              <w:rFonts w:asciiTheme="minorHAnsi" w:eastAsiaTheme="minorEastAsia" w:hAnsiTheme="minorHAnsi"/>
              <w:noProof/>
              <w:sz w:val="22"/>
              <w:lang w:val="en-GB" w:eastAsia="en-GB"/>
            </w:rPr>
          </w:pPr>
          <w:hyperlink w:anchor="_Toc38626181" w:history="1">
            <w:r w:rsidR="00E47055" w:rsidRPr="00220F40">
              <w:rPr>
                <w:rStyle w:val="Hyperlink"/>
                <w:rFonts w:eastAsia="Times New Roman"/>
                <w:noProof/>
                <w:lang w:val="en-GB" w:eastAsia="en-GB"/>
              </w:rPr>
              <w:t>eTable 3b: Incidence-based studies</w:t>
            </w:r>
            <w:r w:rsidR="00E47055">
              <w:rPr>
                <w:noProof/>
                <w:webHidden/>
              </w:rPr>
              <w:tab/>
            </w:r>
            <w:r w:rsidR="00E47055">
              <w:rPr>
                <w:noProof/>
                <w:webHidden/>
              </w:rPr>
              <w:fldChar w:fldCharType="begin"/>
            </w:r>
            <w:r w:rsidR="00E47055">
              <w:rPr>
                <w:noProof/>
                <w:webHidden/>
              </w:rPr>
              <w:instrText xml:space="preserve"> PAGEREF _Toc38626181 \h </w:instrText>
            </w:r>
            <w:r w:rsidR="00E47055">
              <w:rPr>
                <w:noProof/>
                <w:webHidden/>
              </w:rPr>
            </w:r>
            <w:r w:rsidR="00E47055">
              <w:rPr>
                <w:noProof/>
                <w:webHidden/>
              </w:rPr>
              <w:fldChar w:fldCharType="separate"/>
            </w:r>
            <w:r w:rsidR="00225AA4">
              <w:rPr>
                <w:noProof/>
                <w:webHidden/>
              </w:rPr>
              <w:t>9</w:t>
            </w:r>
            <w:r w:rsidR="00E47055">
              <w:rPr>
                <w:noProof/>
                <w:webHidden/>
              </w:rPr>
              <w:fldChar w:fldCharType="end"/>
            </w:r>
          </w:hyperlink>
        </w:p>
        <w:p w14:paraId="10B27CF4" w14:textId="1C2D9148" w:rsidR="00E47055" w:rsidRDefault="00123872">
          <w:pPr>
            <w:pStyle w:val="TOC2"/>
            <w:tabs>
              <w:tab w:val="right" w:leader="dot" w:pos="9016"/>
            </w:tabs>
            <w:rPr>
              <w:rFonts w:asciiTheme="minorHAnsi" w:eastAsiaTheme="minorEastAsia" w:hAnsiTheme="minorHAnsi"/>
              <w:noProof/>
              <w:sz w:val="22"/>
              <w:lang w:val="en-GB" w:eastAsia="en-GB"/>
            </w:rPr>
          </w:pPr>
          <w:hyperlink w:anchor="_Toc38626182" w:history="1">
            <w:r w:rsidR="00E47055" w:rsidRPr="00220F40">
              <w:rPr>
                <w:rStyle w:val="Hyperlink"/>
                <w:rFonts w:eastAsia="Times New Roman"/>
                <w:noProof/>
                <w:lang w:val="en-GB" w:eastAsia="en-GB"/>
              </w:rPr>
              <w:t>eTable 4: Number of studies by country</w:t>
            </w:r>
            <w:r w:rsidR="00E47055">
              <w:rPr>
                <w:noProof/>
                <w:webHidden/>
              </w:rPr>
              <w:tab/>
            </w:r>
            <w:r w:rsidR="00E47055">
              <w:rPr>
                <w:noProof/>
                <w:webHidden/>
              </w:rPr>
              <w:fldChar w:fldCharType="begin"/>
            </w:r>
            <w:r w:rsidR="00E47055">
              <w:rPr>
                <w:noProof/>
                <w:webHidden/>
              </w:rPr>
              <w:instrText xml:space="preserve"> PAGEREF _Toc38626182 \h </w:instrText>
            </w:r>
            <w:r w:rsidR="00E47055">
              <w:rPr>
                <w:noProof/>
                <w:webHidden/>
              </w:rPr>
            </w:r>
            <w:r w:rsidR="00E47055">
              <w:rPr>
                <w:noProof/>
                <w:webHidden/>
              </w:rPr>
              <w:fldChar w:fldCharType="separate"/>
            </w:r>
            <w:r w:rsidR="00225AA4">
              <w:rPr>
                <w:noProof/>
                <w:webHidden/>
              </w:rPr>
              <w:t>10</w:t>
            </w:r>
            <w:r w:rsidR="00E47055">
              <w:rPr>
                <w:noProof/>
                <w:webHidden/>
              </w:rPr>
              <w:fldChar w:fldCharType="end"/>
            </w:r>
          </w:hyperlink>
        </w:p>
        <w:p w14:paraId="2A704481" w14:textId="40627F65" w:rsidR="00E47055" w:rsidRDefault="00123872">
          <w:pPr>
            <w:pStyle w:val="TOC2"/>
            <w:tabs>
              <w:tab w:val="right" w:leader="dot" w:pos="9016"/>
            </w:tabs>
            <w:rPr>
              <w:rFonts w:asciiTheme="minorHAnsi" w:eastAsiaTheme="minorEastAsia" w:hAnsiTheme="minorHAnsi"/>
              <w:noProof/>
              <w:sz w:val="22"/>
              <w:lang w:val="en-GB" w:eastAsia="en-GB"/>
            </w:rPr>
          </w:pPr>
          <w:hyperlink w:anchor="_Toc38626183" w:history="1">
            <w:r w:rsidR="00E47055" w:rsidRPr="00220F40">
              <w:rPr>
                <w:rStyle w:val="Hyperlink"/>
                <w:noProof/>
                <w:lang w:val="en-GB"/>
              </w:rPr>
              <w:t>eTable 5: Quality reporting scores by study</w:t>
            </w:r>
            <w:r w:rsidR="00E47055">
              <w:rPr>
                <w:noProof/>
                <w:webHidden/>
              </w:rPr>
              <w:tab/>
            </w:r>
            <w:r w:rsidR="00E47055">
              <w:rPr>
                <w:noProof/>
                <w:webHidden/>
              </w:rPr>
              <w:fldChar w:fldCharType="begin"/>
            </w:r>
            <w:r w:rsidR="00E47055">
              <w:rPr>
                <w:noProof/>
                <w:webHidden/>
              </w:rPr>
              <w:instrText xml:space="preserve"> PAGEREF _Toc38626183 \h </w:instrText>
            </w:r>
            <w:r w:rsidR="00E47055">
              <w:rPr>
                <w:noProof/>
                <w:webHidden/>
              </w:rPr>
            </w:r>
            <w:r w:rsidR="00E47055">
              <w:rPr>
                <w:noProof/>
                <w:webHidden/>
              </w:rPr>
              <w:fldChar w:fldCharType="separate"/>
            </w:r>
            <w:r w:rsidR="00225AA4">
              <w:rPr>
                <w:noProof/>
                <w:webHidden/>
              </w:rPr>
              <w:t>13</w:t>
            </w:r>
            <w:r w:rsidR="00E47055">
              <w:rPr>
                <w:noProof/>
                <w:webHidden/>
              </w:rPr>
              <w:fldChar w:fldCharType="end"/>
            </w:r>
          </w:hyperlink>
        </w:p>
        <w:p w14:paraId="3000D49E" w14:textId="08569E2E" w:rsidR="00E47055" w:rsidRDefault="00123872">
          <w:pPr>
            <w:pStyle w:val="TOC2"/>
            <w:tabs>
              <w:tab w:val="right" w:leader="dot" w:pos="9016"/>
            </w:tabs>
            <w:rPr>
              <w:rFonts w:asciiTheme="minorHAnsi" w:eastAsiaTheme="minorEastAsia" w:hAnsiTheme="minorHAnsi"/>
              <w:noProof/>
              <w:sz w:val="22"/>
              <w:lang w:val="en-GB" w:eastAsia="en-GB"/>
            </w:rPr>
          </w:pPr>
          <w:hyperlink w:anchor="_Toc38626184" w:history="1">
            <w:r w:rsidR="00E47055" w:rsidRPr="00220F40">
              <w:rPr>
                <w:rStyle w:val="Hyperlink"/>
                <w:noProof/>
                <w:lang w:val="en-GB"/>
              </w:rPr>
              <w:t>eTabe 6: Direct vs. indirect cost</w:t>
            </w:r>
            <w:r w:rsidR="00E47055">
              <w:rPr>
                <w:noProof/>
                <w:webHidden/>
              </w:rPr>
              <w:tab/>
            </w:r>
            <w:r w:rsidR="00E47055">
              <w:rPr>
                <w:noProof/>
                <w:webHidden/>
              </w:rPr>
              <w:fldChar w:fldCharType="begin"/>
            </w:r>
            <w:r w:rsidR="00E47055">
              <w:rPr>
                <w:noProof/>
                <w:webHidden/>
              </w:rPr>
              <w:instrText xml:space="preserve"> PAGEREF _Toc38626184 \h </w:instrText>
            </w:r>
            <w:r w:rsidR="00E47055">
              <w:rPr>
                <w:noProof/>
                <w:webHidden/>
              </w:rPr>
            </w:r>
            <w:r w:rsidR="00E47055">
              <w:rPr>
                <w:noProof/>
                <w:webHidden/>
              </w:rPr>
              <w:fldChar w:fldCharType="separate"/>
            </w:r>
            <w:r w:rsidR="00225AA4">
              <w:rPr>
                <w:noProof/>
                <w:webHidden/>
              </w:rPr>
              <w:t>11</w:t>
            </w:r>
            <w:r w:rsidR="00E47055">
              <w:rPr>
                <w:noProof/>
                <w:webHidden/>
              </w:rPr>
              <w:fldChar w:fldCharType="end"/>
            </w:r>
          </w:hyperlink>
        </w:p>
        <w:p w14:paraId="2AE97D61" w14:textId="47793119" w:rsidR="00E47055" w:rsidRDefault="00123872">
          <w:pPr>
            <w:pStyle w:val="TOC2"/>
            <w:tabs>
              <w:tab w:val="right" w:leader="dot" w:pos="9016"/>
            </w:tabs>
            <w:rPr>
              <w:rFonts w:asciiTheme="minorHAnsi" w:eastAsiaTheme="minorEastAsia" w:hAnsiTheme="minorHAnsi"/>
              <w:noProof/>
              <w:sz w:val="22"/>
              <w:lang w:val="en-GB" w:eastAsia="en-GB"/>
            </w:rPr>
          </w:pPr>
          <w:hyperlink w:anchor="_Toc38626185" w:history="1">
            <w:r w:rsidR="00E47055" w:rsidRPr="00220F40">
              <w:rPr>
                <w:rStyle w:val="Hyperlink"/>
                <w:noProof/>
                <w:lang w:val="en-GB"/>
              </w:rPr>
              <w:t>eTable 7: Without two multi-site studies</w:t>
            </w:r>
            <w:r w:rsidR="00E47055">
              <w:rPr>
                <w:noProof/>
                <w:webHidden/>
              </w:rPr>
              <w:tab/>
            </w:r>
            <w:r w:rsidR="00E47055">
              <w:rPr>
                <w:noProof/>
                <w:webHidden/>
              </w:rPr>
              <w:fldChar w:fldCharType="begin"/>
            </w:r>
            <w:r w:rsidR="00E47055">
              <w:rPr>
                <w:noProof/>
                <w:webHidden/>
              </w:rPr>
              <w:instrText xml:space="preserve"> PAGEREF _Toc38626185 \h </w:instrText>
            </w:r>
            <w:r w:rsidR="00E47055">
              <w:rPr>
                <w:noProof/>
                <w:webHidden/>
              </w:rPr>
            </w:r>
            <w:r w:rsidR="00E47055">
              <w:rPr>
                <w:noProof/>
                <w:webHidden/>
              </w:rPr>
              <w:fldChar w:fldCharType="separate"/>
            </w:r>
            <w:r w:rsidR="00225AA4">
              <w:rPr>
                <w:noProof/>
                <w:webHidden/>
              </w:rPr>
              <w:t>12</w:t>
            </w:r>
            <w:r w:rsidR="00E47055">
              <w:rPr>
                <w:noProof/>
                <w:webHidden/>
              </w:rPr>
              <w:fldChar w:fldCharType="end"/>
            </w:r>
          </w:hyperlink>
        </w:p>
        <w:p w14:paraId="5A7BACC2" w14:textId="10D30CCB" w:rsidR="00E47055" w:rsidRDefault="00123872">
          <w:pPr>
            <w:pStyle w:val="TOC2"/>
            <w:tabs>
              <w:tab w:val="right" w:leader="dot" w:pos="9016"/>
            </w:tabs>
            <w:rPr>
              <w:rFonts w:asciiTheme="minorHAnsi" w:eastAsiaTheme="minorEastAsia" w:hAnsiTheme="minorHAnsi"/>
              <w:noProof/>
              <w:sz w:val="22"/>
              <w:lang w:val="en-GB" w:eastAsia="en-GB"/>
            </w:rPr>
          </w:pPr>
          <w:hyperlink w:anchor="_Toc38626186" w:history="1">
            <w:r w:rsidR="00E47055" w:rsidRPr="00220F40">
              <w:rPr>
                <w:rStyle w:val="Hyperlink"/>
                <w:noProof/>
                <w:lang w:val="en-GB"/>
              </w:rPr>
              <w:t>e</w:t>
            </w:r>
            <w:r w:rsidR="00E47055" w:rsidRPr="00220F40">
              <w:rPr>
                <w:rStyle w:val="Hyperlink"/>
                <w:noProof/>
                <w:lang w:val="en-GB" w:eastAsia="en-GB"/>
              </w:rPr>
              <w:t>Table 8: Societal cost according to quality reporting score</w:t>
            </w:r>
            <w:r w:rsidR="00E47055">
              <w:rPr>
                <w:noProof/>
                <w:webHidden/>
              </w:rPr>
              <w:tab/>
            </w:r>
            <w:r w:rsidR="00E47055">
              <w:rPr>
                <w:noProof/>
                <w:webHidden/>
              </w:rPr>
              <w:fldChar w:fldCharType="begin"/>
            </w:r>
            <w:r w:rsidR="00E47055">
              <w:rPr>
                <w:noProof/>
                <w:webHidden/>
              </w:rPr>
              <w:instrText xml:space="preserve"> PAGEREF _Toc38626186 \h </w:instrText>
            </w:r>
            <w:r w:rsidR="00E47055">
              <w:rPr>
                <w:noProof/>
                <w:webHidden/>
              </w:rPr>
            </w:r>
            <w:r w:rsidR="00E47055">
              <w:rPr>
                <w:noProof/>
                <w:webHidden/>
              </w:rPr>
              <w:fldChar w:fldCharType="separate"/>
            </w:r>
            <w:r w:rsidR="00225AA4">
              <w:rPr>
                <w:noProof/>
                <w:webHidden/>
              </w:rPr>
              <w:t>13</w:t>
            </w:r>
            <w:r w:rsidR="00E47055">
              <w:rPr>
                <w:noProof/>
                <w:webHidden/>
              </w:rPr>
              <w:fldChar w:fldCharType="end"/>
            </w:r>
          </w:hyperlink>
        </w:p>
        <w:p w14:paraId="559F62FF" w14:textId="7128E89F" w:rsidR="00E47055" w:rsidRDefault="00123872">
          <w:pPr>
            <w:pStyle w:val="TOC1"/>
            <w:rPr>
              <w:rFonts w:asciiTheme="minorHAnsi" w:eastAsiaTheme="minorEastAsia" w:hAnsiTheme="minorHAnsi"/>
              <w:noProof/>
              <w:sz w:val="22"/>
              <w:lang w:val="en-GB" w:eastAsia="en-GB"/>
            </w:rPr>
          </w:pPr>
          <w:hyperlink w:anchor="_Toc38626187" w:history="1">
            <w:r w:rsidR="00E47055" w:rsidRPr="00220F40">
              <w:rPr>
                <w:rStyle w:val="Hyperlink"/>
                <w:noProof/>
                <w:lang w:val="en-GB"/>
              </w:rPr>
              <w:t>References</w:t>
            </w:r>
            <w:r w:rsidR="00E47055">
              <w:rPr>
                <w:noProof/>
                <w:webHidden/>
              </w:rPr>
              <w:tab/>
            </w:r>
            <w:r w:rsidR="00E47055">
              <w:rPr>
                <w:noProof/>
                <w:webHidden/>
              </w:rPr>
              <w:fldChar w:fldCharType="begin"/>
            </w:r>
            <w:r w:rsidR="00E47055">
              <w:rPr>
                <w:noProof/>
                <w:webHidden/>
              </w:rPr>
              <w:instrText xml:space="preserve"> PAGEREF _Toc38626187 \h </w:instrText>
            </w:r>
            <w:r w:rsidR="00E47055">
              <w:rPr>
                <w:noProof/>
                <w:webHidden/>
              </w:rPr>
            </w:r>
            <w:r w:rsidR="00E47055">
              <w:rPr>
                <w:noProof/>
                <w:webHidden/>
              </w:rPr>
              <w:fldChar w:fldCharType="separate"/>
            </w:r>
            <w:r w:rsidR="00225AA4">
              <w:rPr>
                <w:noProof/>
                <w:webHidden/>
              </w:rPr>
              <w:t>17</w:t>
            </w:r>
            <w:r w:rsidR="00E47055">
              <w:rPr>
                <w:noProof/>
                <w:webHidden/>
              </w:rPr>
              <w:fldChar w:fldCharType="end"/>
            </w:r>
          </w:hyperlink>
        </w:p>
        <w:p w14:paraId="694F4B49" w14:textId="5B45A1D5" w:rsidR="00856D64" w:rsidRDefault="00CA025A">
          <w:pPr>
            <w:rPr>
              <w:b/>
              <w:bCs/>
              <w:noProof/>
            </w:rPr>
          </w:pPr>
          <w:r>
            <w:rPr>
              <w:b/>
              <w:bCs/>
              <w:noProof/>
            </w:rPr>
            <w:fldChar w:fldCharType="end"/>
          </w:r>
        </w:p>
      </w:sdtContent>
    </w:sdt>
    <w:bookmarkStart w:id="0" w:name="_Toc35433672" w:displacedByCustomXml="prev"/>
    <w:p w14:paraId="6A9B8A50" w14:textId="77777777" w:rsidR="0027414C" w:rsidRPr="00D46A5C" w:rsidRDefault="0027414C" w:rsidP="0027414C">
      <w:pPr>
        <w:spacing w:after="0" w:line="276" w:lineRule="auto"/>
        <w:rPr>
          <w:rFonts w:cs="Times New Roman"/>
          <w:i/>
          <w:iCs/>
          <w:color w:val="FF0000"/>
          <w:szCs w:val="24"/>
          <w:lang w:val="en-GB"/>
        </w:rPr>
      </w:pPr>
    </w:p>
    <w:p w14:paraId="6C160317" w14:textId="77777777" w:rsidR="0027414C" w:rsidRPr="00D46A5C" w:rsidRDefault="0027414C" w:rsidP="0027414C">
      <w:pPr>
        <w:spacing w:after="0" w:line="276" w:lineRule="auto"/>
        <w:rPr>
          <w:rFonts w:eastAsia="Times New Roman" w:cs="Times New Roman"/>
          <w:szCs w:val="24"/>
          <w:lang w:val="en-GB"/>
        </w:rPr>
      </w:pPr>
    </w:p>
    <w:p w14:paraId="6B4033DF" w14:textId="77777777" w:rsidR="005E2424" w:rsidRDefault="005E2424" w:rsidP="005E2424">
      <w:pPr>
        <w:rPr>
          <w:lang w:val="en-GB"/>
        </w:rPr>
      </w:pPr>
      <w:bookmarkStart w:id="1" w:name="_Toc33452292"/>
      <w:bookmarkStart w:id="2" w:name="_Toc35433674"/>
      <w:bookmarkEnd w:id="0"/>
    </w:p>
    <w:p w14:paraId="1912DEF6" w14:textId="77777777" w:rsidR="005E2424" w:rsidRDefault="005E2424" w:rsidP="005E2424">
      <w:pPr>
        <w:rPr>
          <w:lang w:val="en-GB"/>
        </w:rPr>
      </w:pPr>
    </w:p>
    <w:p w14:paraId="04003B0B" w14:textId="77777777" w:rsidR="005E2424" w:rsidRDefault="005E2424" w:rsidP="005E2424">
      <w:pPr>
        <w:rPr>
          <w:lang w:val="en-GB"/>
        </w:rPr>
      </w:pPr>
    </w:p>
    <w:p w14:paraId="17E5C6E7" w14:textId="77777777" w:rsidR="005E2424" w:rsidRDefault="005E2424" w:rsidP="005E2424">
      <w:pPr>
        <w:rPr>
          <w:lang w:val="en-GB"/>
        </w:rPr>
      </w:pPr>
    </w:p>
    <w:p w14:paraId="650C3E58" w14:textId="77777777" w:rsidR="005E2424" w:rsidRDefault="005E2424" w:rsidP="005E2424">
      <w:pPr>
        <w:rPr>
          <w:lang w:val="en-GB"/>
        </w:rPr>
      </w:pPr>
    </w:p>
    <w:p w14:paraId="21C0992D" w14:textId="77777777" w:rsidR="005E2424" w:rsidRDefault="005E2424" w:rsidP="005E2424">
      <w:pPr>
        <w:rPr>
          <w:lang w:val="en-GB"/>
        </w:rPr>
      </w:pPr>
    </w:p>
    <w:p w14:paraId="4729EC23" w14:textId="4C7C02C4" w:rsidR="005E2424" w:rsidRDefault="005E2424" w:rsidP="005E2424">
      <w:pPr>
        <w:rPr>
          <w:lang w:val="en-GB"/>
        </w:rPr>
      </w:pPr>
    </w:p>
    <w:p w14:paraId="2E54E890" w14:textId="77777777" w:rsidR="005E2424" w:rsidRPr="00731281" w:rsidRDefault="005E2424" w:rsidP="005E2424">
      <w:pPr>
        <w:rPr>
          <w:lang w:val="en-GB"/>
        </w:rPr>
      </w:pPr>
    </w:p>
    <w:p w14:paraId="470CB943" w14:textId="77777777" w:rsidR="00173974" w:rsidRDefault="00173974">
      <w:pPr>
        <w:rPr>
          <w:rFonts w:eastAsiaTheme="majorEastAsia"/>
          <w:b/>
          <w:sz w:val="32"/>
          <w:szCs w:val="32"/>
          <w:lang w:val="en-GB"/>
        </w:rPr>
      </w:pPr>
      <w:r>
        <w:rPr>
          <w:lang w:val="en-GB"/>
        </w:rPr>
        <w:br w:type="page"/>
      </w:r>
    </w:p>
    <w:p w14:paraId="709D6CD1" w14:textId="440676EA" w:rsidR="00CA025A" w:rsidRDefault="00CA025A" w:rsidP="00CA025A">
      <w:pPr>
        <w:pStyle w:val="Heading1"/>
        <w:rPr>
          <w:lang w:val="en-GB"/>
        </w:rPr>
      </w:pPr>
      <w:bookmarkStart w:id="3" w:name="_Toc38626177"/>
      <w:r>
        <w:rPr>
          <w:lang w:val="en-GB"/>
        </w:rPr>
        <w:lastRenderedPageBreak/>
        <w:t>eTables</w:t>
      </w:r>
      <w:bookmarkEnd w:id="3"/>
    </w:p>
    <w:p w14:paraId="258E166F" w14:textId="1C11C41E" w:rsidR="00B647F4" w:rsidRPr="00731281" w:rsidRDefault="00F13060" w:rsidP="00965F0A">
      <w:pPr>
        <w:pStyle w:val="Heading2"/>
        <w:spacing w:after="0" w:line="360" w:lineRule="auto"/>
        <w:ind w:left="0"/>
        <w:rPr>
          <w:lang w:val="en-GB"/>
        </w:rPr>
      </w:pPr>
      <w:bookmarkStart w:id="4" w:name="_Toc38626178"/>
      <w:r>
        <w:rPr>
          <w:lang w:val="en-GB"/>
        </w:rPr>
        <w:t xml:space="preserve">eTable 1: </w:t>
      </w:r>
      <w:r w:rsidR="00B647F4" w:rsidRPr="00731281">
        <w:rPr>
          <w:lang w:val="en-GB"/>
        </w:rPr>
        <w:t>Quality reporting checklist</w:t>
      </w:r>
      <w:bookmarkEnd w:id="1"/>
      <w:bookmarkEnd w:id="2"/>
      <w:bookmarkEnd w:id="4"/>
    </w:p>
    <w:p w14:paraId="4857CE75" w14:textId="1E07DC94" w:rsidR="00A83400" w:rsidRPr="009E0540" w:rsidRDefault="003F67AD" w:rsidP="009E0540">
      <w:pPr>
        <w:pStyle w:val="CommentText"/>
        <w:ind w:right="-447"/>
        <w:rPr>
          <w:sz w:val="24"/>
          <w:lang w:val="en-GB"/>
        </w:rPr>
      </w:pPr>
      <w:r w:rsidRPr="009E0540">
        <w:rPr>
          <w:sz w:val="24"/>
          <w:lang w:val="en-GB"/>
        </w:rPr>
        <w:t xml:space="preserve">The quality reporting checklist </w:t>
      </w:r>
      <w:r w:rsidR="00A83400" w:rsidRPr="009E0540">
        <w:rPr>
          <w:sz w:val="24"/>
          <w:lang w:val="en-GB"/>
        </w:rPr>
        <w:t xml:space="preserve">used in the systematic review </w:t>
      </w:r>
      <w:r w:rsidRPr="009E0540">
        <w:rPr>
          <w:sz w:val="24"/>
          <w:lang w:val="en-GB"/>
        </w:rPr>
        <w:t xml:space="preserve">was based on </w:t>
      </w:r>
      <w:r w:rsidR="00A83400" w:rsidRPr="009E0540">
        <w:rPr>
          <w:sz w:val="24"/>
          <w:lang w:val="en-GB"/>
        </w:rPr>
        <w:t>a cost-of-illness study</w:t>
      </w:r>
      <w:r w:rsidRPr="009E0540">
        <w:rPr>
          <w:sz w:val="24"/>
          <w:lang w:val="en-GB"/>
        </w:rPr>
        <w:t xml:space="preserve"> checklist by</w:t>
      </w:r>
      <w:r w:rsidR="00A83400" w:rsidRPr="009E0540">
        <w:rPr>
          <w:noProof/>
          <w:sz w:val="24"/>
          <w:lang w:val="en-GB"/>
        </w:rPr>
        <w:t xml:space="preserve"> </w:t>
      </w:r>
      <w:r w:rsidR="00162840" w:rsidRPr="009E0540">
        <w:rPr>
          <w:sz w:val="24"/>
          <w:lang w:val="en-GB"/>
        </w:rPr>
        <w:t>Stuhldreher</w:t>
      </w:r>
      <w:r w:rsidR="00A83400" w:rsidRPr="009E0540">
        <w:rPr>
          <w:sz w:val="24"/>
          <w:lang w:val="en-GB"/>
        </w:rPr>
        <w:t xml:space="preserve"> et al </w:t>
      </w:r>
      <w:r w:rsidR="000150E6" w:rsidRPr="009E0540">
        <w:rPr>
          <w:sz w:val="24"/>
          <w:lang w:val="en-GB"/>
        </w:rPr>
        <w:fldChar w:fldCharType="begin"/>
      </w:r>
      <w:r w:rsidR="00E73031" w:rsidRPr="009E0540">
        <w:rPr>
          <w:sz w:val="24"/>
          <w:lang w:val="en-GB"/>
        </w:rPr>
        <w:instrText xml:space="preserve"> ADDIN EN.CITE &lt;EndNote&gt;&lt;Cite&gt;&lt;Author&gt;Stuhldreher&lt;/Author&gt;&lt;Year&gt;2012&lt;/Year&gt;&lt;RecNum&gt;27&lt;/RecNum&gt;&lt;DisplayText&gt;(Stuhldreher&lt;style face="italic"&gt; et al.&lt;/style&gt;, 2012)&lt;/DisplayText&gt;&lt;record&gt;&lt;rec-number&gt;27&lt;/rec-number&gt;&lt;foreign-keys&gt;&lt;key app="EN" db-id="svf0vwxxzd9ed8ewwsxpsrtrf59t0d9pr9dv" timestamp="1582725972"&gt;27&lt;/key&gt;&lt;key app="ENWeb" db-id=""&gt;0&lt;/key&gt;&lt;/foreign-keys&gt;&lt;ref-type name="Journal Article"&gt;17&lt;/ref-type&gt;&lt;contributors&gt;&lt;authors&gt;&lt;author&gt;Stuhldreher, N.&lt;/author&gt;&lt;author&gt;Konnopka, A.&lt;/author&gt;&lt;author&gt;Wild, B.&lt;/author&gt;&lt;author&gt;Herzog, W.&lt;/author&gt;&lt;author&gt;Zipfel, S.&lt;/author&gt;&lt;author&gt;Lowe, B.&lt;/author&gt;&lt;author&gt;Konig, H. H.&lt;/author&gt;&lt;/authors&gt;&lt;/contributors&gt;&lt;auth-address&gt;Department of Medical Sociology and Health Economics, University Medical Centre Hamburg-Eppendorf, Germany. n.stuhldreher@uke.de&lt;/auth-address&gt;&lt;titles&gt;&lt;title&gt;Cost-of-illness studies and cost-effectiveness analyses in eating disorders: a systematic review&lt;/title&gt;&lt;secondary-title&gt;International Journal of Eating Disorders&lt;/secondary-title&gt;&lt;/titles&gt;&lt;periodical&gt;&lt;full-title&gt;International Journal of Eating Disorders&lt;/full-title&gt;&lt;abbr-1&gt;Int. J. Eat. Disord.&lt;/abbr-1&gt;&lt;abbr-2&gt;Int J Eat Disord&lt;/abbr-2&gt;&lt;/periodical&gt;&lt;pages&gt;476-91&lt;/pages&gt;&lt;volume&gt;45&lt;/volume&gt;&lt;number&gt;4&lt;/number&gt;&lt;edition&gt;2012/02/02&lt;/edition&gt;&lt;keywords&gt;&lt;keyword&gt;*Cost of Illness&lt;/keyword&gt;&lt;keyword&gt;Cost-Benefit Analysis&lt;/keyword&gt;&lt;keyword&gt;Feeding and Eating Disorders/*economics/therapy&lt;/keyword&gt;&lt;keyword&gt;*Health Care Costs&lt;/keyword&gt;&lt;keyword&gt;Humans&lt;/keyword&gt;&lt;/keywords&gt;&lt;dates&gt;&lt;year&gt;2012&lt;/year&gt;&lt;pub-dates&gt;&lt;date&gt;May&lt;/date&gt;&lt;/pub-dates&gt;&lt;/dates&gt;&lt;isbn&gt;1098-108X (Electronic)&amp;#xD;0276-3478 (Linking)&lt;/isbn&gt;&lt;accession-num&gt;22294558&lt;/accession-num&gt;&lt;urls&gt;&lt;related-urls&gt;&lt;url&gt;https://www.ncbi.nlm.nih.gov/pubmed/22294558&lt;/url&gt;&lt;/related-urls&gt;&lt;/urls&gt;&lt;electronic-resource-num&gt;10.1002/eat.20977&lt;/electronic-resource-num&gt;&lt;/record&gt;&lt;/Cite&gt;&lt;/EndNote&gt;</w:instrText>
      </w:r>
      <w:r w:rsidR="000150E6" w:rsidRPr="009E0540">
        <w:rPr>
          <w:sz w:val="24"/>
          <w:lang w:val="en-GB"/>
        </w:rPr>
        <w:fldChar w:fldCharType="separate"/>
      </w:r>
      <w:r w:rsidR="00E73031" w:rsidRPr="009E0540">
        <w:rPr>
          <w:noProof/>
          <w:sz w:val="24"/>
          <w:lang w:val="en-GB"/>
        </w:rPr>
        <w:t>(Stuhldreher</w:t>
      </w:r>
      <w:r w:rsidR="00E73031" w:rsidRPr="009E0540">
        <w:rPr>
          <w:i/>
          <w:noProof/>
          <w:sz w:val="24"/>
          <w:lang w:val="en-GB"/>
        </w:rPr>
        <w:t xml:space="preserve"> et al.,</w:t>
      </w:r>
      <w:r w:rsidR="00E73031" w:rsidRPr="009E0540">
        <w:rPr>
          <w:noProof/>
          <w:sz w:val="24"/>
          <w:lang w:val="en-GB"/>
        </w:rPr>
        <w:t xml:space="preserve"> 2012)</w:t>
      </w:r>
      <w:r w:rsidR="000150E6" w:rsidRPr="009E0540">
        <w:rPr>
          <w:sz w:val="24"/>
          <w:lang w:val="en-GB"/>
        </w:rPr>
        <w:fldChar w:fldCharType="end"/>
      </w:r>
      <w:r w:rsidR="00A83400" w:rsidRPr="009E0540">
        <w:rPr>
          <w:sz w:val="24"/>
          <w:lang w:val="en-GB"/>
        </w:rPr>
        <w:t xml:space="preserve">. Our revised checklist consisted of 15 items which are seen below together with a short </w:t>
      </w:r>
      <w:r w:rsidR="007D00C2" w:rsidRPr="009E0540">
        <w:rPr>
          <w:sz w:val="24"/>
          <w:lang w:val="en-GB"/>
        </w:rPr>
        <w:t xml:space="preserve">item </w:t>
      </w:r>
      <w:r w:rsidR="00A83400" w:rsidRPr="009E0540">
        <w:rPr>
          <w:sz w:val="24"/>
          <w:lang w:val="en-GB"/>
        </w:rPr>
        <w:t>description.</w:t>
      </w:r>
      <w:r w:rsidR="001836D7" w:rsidRPr="009E0540">
        <w:rPr>
          <w:sz w:val="24"/>
          <w:lang w:val="en-GB"/>
        </w:rPr>
        <w:t xml:space="preserve"> Items were scored 1 or 0 (1 meaning the item was reported)</w:t>
      </w:r>
      <w:r w:rsidR="00A53BC0" w:rsidRPr="009E0540">
        <w:rPr>
          <w:sz w:val="24"/>
          <w:lang w:val="en-GB"/>
        </w:rPr>
        <w:t xml:space="preserve">, but item number 7 was only relevant for studies with a time period </w:t>
      </w:r>
      <w:r w:rsidR="004528D7" w:rsidRPr="009E0540">
        <w:rPr>
          <w:sz w:val="24"/>
          <w:lang w:val="en-GB"/>
        </w:rPr>
        <w:t>of greater than 1 year</w:t>
      </w:r>
      <w:r w:rsidR="00A53BC0" w:rsidRPr="009E0540">
        <w:rPr>
          <w:sz w:val="24"/>
          <w:lang w:val="en-GB"/>
        </w:rPr>
        <w:t>. The total score was then standardized to a 10-point scale.</w:t>
      </w:r>
    </w:p>
    <w:tbl>
      <w:tblPr>
        <w:tblW w:w="10490" w:type="dxa"/>
        <w:tblInd w:w="-722" w:type="dxa"/>
        <w:tblLook w:val="04A0" w:firstRow="1" w:lastRow="0" w:firstColumn="1" w:lastColumn="0" w:noHBand="0" w:noVBand="1"/>
      </w:tblPr>
      <w:tblGrid>
        <w:gridCol w:w="3983"/>
        <w:gridCol w:w="6507"/>
      </w:tblGrid>
      <w:tr w:rsidR="00C377EE" w:rsidRPr="00731281" w14:paraId="585E427B" w14:textId="77777777" w:rsidTr="00776B48">
        <w:trPr>
          <w:trHeight w:val="397"/>
        </w:trPr>
        <w:tc>
          <w:tcPr>
            <w:tcW w:w="3983" w:type="dxa"/>
            <w:tcBorders>
              <w:top w:val="single" w:sz="4" w:space="0" w:color="auto"/>
              <w:left w:val="nil"/>
              <w:bottom w:val="single" w:sz="4" w:space="0" w:color="auto"/>
              <w:right w:val="nil"/>
            </w:tcBorders>
            <w:vAlign w:val="center"/>
          </w:tcPr>
          <w:p w14:paraId="09787648" w14:textId="77777777" w:rsidR="00C377EE" w:rsidRPr="00DC296F" w:rsidRDefault="00C377EE" w:rsidP="00776B48">
            <w:pPr>
              <w:spacing w:after="0"/>
              <w:rPr>
                <w:b/>
                <w:sz w:val="20"/>
                <w:lang w:val="en-GB"/>
              </w:rPr>
            </w:pPr>
            <w:r w:rsidRPr="00DC296F">
              <w:rPr>
                <w:b/>
                <w:sz w:val="20"/>
                <w:lang w:val="en-GB"/>
              </w:rPr>
              <w:t>Criterion</w:t>
            </w:r>
          </w:p>
        </w:tc>
        <w:tc>
          <w:tcPr>
            <w:tcW w:w="6507" w:type="dxa"/>
            <w:tcBorders>
              <w:top w:val="single" w:sz="4" w:space="0" w:color="auto"/>
              <w:left w:val="nil"/>
              <w:bottom w:val="single" w:sz="4" w:space="0" w:color="auto"/>
              <w:right w:val="nil"/>
            </w:tcBorders>
            <w:vAlign w:val="center"/>
          </w:tcPr>
          <w:p w14:paraId="6D5E5E8D" w14:textId="77777777" w:rsidR="00C377EE" w:rsidRPr="00DC296F" w:rsidRDefault="00C377EE" w:rsidP="009E0540">
            <w:pPr>
              <w:spacing w:after="0"/>
              <w:rPr>
                <w:b/>
                <w:sz w:val="20"/>
                <w:lang w:val="en-GB"/>
              </w:rPr>
            </w:pPr>
            <w:r w:rsidRPr="00DC296F">
              <w:rPr>
                <w:b/>
                <w:sz w:val="20"/>
                <w:lang w:val="en-GB"/>
              </w:rPr>
              <w:t>Description</w:t>
            </w:r>
          </w:p>
        </w:tc>
      </w:tr>
      <w:tr w:rsidR="00C377EE" w:rsidRPr="00731281" w14:paraId="6BBE4A9A" w14:textId="77777777" w:rsidTr="00E45C55">
        <w:tc>
          <w:tcPr>
            <w:tcW w:w="3983" w:type="dxa"/>
            <w:tcBorders>
              <w:top w:val="single" w:sz="4" w:space="0" w:color="auto"/>
              <w:left w:val="nil"/>
              <w:bottom w:val="nil"/>
              <w:right w:val="nil"/>
            </w:tcBorders>
            <w:vAlign w:val="center"/>
          </w:tcPr>
          <w:p w14:paraId="5DFE4389" w14:textId="77777777" w:rsidR="00C377EE" w:rsidRPr="0098181D" w:rsidRDefault="00C377EE" w:rsidP="009E0540">
            <w:pPr>
              <w:spacing w:before="240"/>
              <w:rPr>
                <w:sz w:val="20"/>
                <w:lang w:val="en-GB"/>
              </w:rPr>
            </w:pPr>
            <w:r w:rsidRPr="0098181D">
              <w:rPr>
                <w:sz w:val="20"/>
                <w:lang w:val="en-GB"/>
              </w:rPr>
              <w:t>Scope and population</w:t>
            </w:r>
          </w:p>
        </w:tc>
        <w:tc>
          <w:tcPr>
            <w:tcW w:w="6507" w:type="dxa"/>
            <w:tcBorders>
              <w:top w:val="single" w:sz="4" w:space="0" w:color="auto"/>
              <w:left w:val="nil"/>
              <w:bottom w:val="nil"/>
              <w:right w:val="nil"/>
            </w:tcBorders>
            <w:vAlign w:val="center"/>
          </w:tcPr>
          <w:p w14:paraId="7E71B875" w14:textId="77777777" w:rsidR="00C377EE" w:rsidRPr="0098181D" w:rsidRDefault="00C377EE" w:rsidP="00672B6F">
            <w:pPr>
              <w:rPr>
                <w:sz w:val="20"/>
                <w:lang w:val="en-GB"/>
              </w:rPr>
            </w:pPr>
            <w:r w:rsidRPr="0098181D">
              <w:rPr>
                <w:sz w:val="20"/>
                <w:lang w:val="en-GB"/>
              </w:rPr>
              <w:t> </w:t>
            </w:r>
          </w:p>
        </w:tc>
      </w:tr>
      <w:tr w:rsidR="00C377EE" w:rsidRPr="005E4884" w14:paraId="10B3FB45" w14:textId="77777777" w:rsidTr="00E45C55">
        <w:tc>
          <w:tcPr>
            <w:tcW w:w="3983" w:type="dxa"/>
            <w:tcBorders>
              <w:top w:val="nil"/>
              <w:left w:val="nil"/>
              <w:bottom w:val="nil"/>
              <w:right w:val="nil"/>
            </w:tcBorders>
            <w:vAlign w:val="center"/>
          </w:tcPr>
          <w:p w14:paraId="7E40D793" w14:textId="77777777" w:rsidR="00C377EE" w:rsidRPr="0098181D" w:rsidRDefault="00C377EE" w:rsidP="00672B6F">
            <w:pPr>
              <w:pStyle w:val="ListParagraph"/>
              <w:numPr>
                <w:ilvl w:val="0"/>
                <w:numId w:val="2"/>
              </w:numPr>
              <w:rPr>
                <w:sz w:val="20"/>
                <w:lang w:val="en-GB"/>
              </w:rPr>
            </w:pPr>
            <w:r w:rsidRPr="0098181D">
              <w:rPr>
                <w:sz w:val="20"/>
                <w:lang w:val="en-GB"/>
              </w:rPr>
              <w:t>Study objective</w:t>
            </w:r>
          </w:p>
        </w:tc>
        <w:tc>
          <w:tcPr>
            <w:tcW w:w="6507" w:type="dxa"/>
            <w:tcBorders>
              <w:top w:val="nil"/>
              <w:left w:val="nil"/>
              <w:bottom w:val="nil"/>
              <w:right w:val="nil"/>
            </w:tcBorders>
            <w:vAlign w:val="center"/>
          </w:tcPr>
          <w:p w14:paraId="189B1652" w14:textId="77777777" w:rsidR="00C377EE" w:rsidRPr="0098181D" w:rsidRDefault="00C377EE" w:rsidP="00672B6F">
            <w:pPr>
              <w:rPr>
                <w:sz w:val="20"/>
                <w:lang w:val="en-GB"/>
              </w:rPr>
            </w:pPr>
            <w:r w:rsidRPr="0098181D">
              <w:rPr>
                <w:sz w:val="20"/>
                <w:lang w:val="en-GB"/>
              </w:rPr>
              <w:t xml:space="preserve">The study objective is reported. </w:t>
            </w:r>
          </w:p>
        </w:tc>
      </w:tr>
      <w:tr w:rsidR="00C377EE" w:rsidRPr="005E4884" w14:paraId="0F0A43EE" w14:textId="77777777" w:rsidTr="00E45C55">
        <w:tc>
          <w:tcPr>
            <w:tcW w:w="3983" w:type="dxa"/>
            <w:tcBorders>
              <w:top w:val="nil"/>
              <w:left w:val="nil"/>
              <w:bottom w:val="nil"/>
              <w:right w:val="nil"/>
            </w:tcBorders>
            <w:vAlign w:val="center"/>
          </w:tcPr>
          <w:p w14:paraId="63BB3160" w14:textId="77777777" w:rsidR="00C377EE" w:rsidRPr="0098181D" w:rsidRDefault="00C377EE" w:rsidP="00672B6F">
            <w:pPr>
              <w:pStyle w:val="ListParagraph"/>
              <w:numPr>
                <w:ilvl w:val="0"/>
                <w:numId w:val="2"/>
              </w:numPr>
              <w:rPr>
                <w:sz w:val="20"/>
                <w:lang w:val="en-GB"/>
              </w:rPr>
            </w:pPr>
            <w:r w:rsidRPr="0098181D">
              <w:rPr>
                <w:sz w:val="20"/>
                <w:lang w:val="en-GB"/>
              </w:rPr>
              <w:t>Disease and diagnostic criteria</w:t>
            </w:r>
          </w:p>
        </w:tc>
        <w:tc>
          <w:tcPr>
            <w:tcW w:w="6507" w:type="dxa"/>
            <w:tcBorders>
              <w:top w:val="nil"/>
              <w:left w:val="nil"/>
              <w:bottom w:val="nil"/>
              <w:right w:val="nil"/>
            </w:tcBorders>
            <w:vAlign w:val="center"/>
          </w:tcPr>
          <w:p w14:paraId="1F620944" w14:textId="77777777" w:rsidR="00C377EE" w:rsidRPr="0098181D" w:rsidRDefault="00C377EE" w:rsidP="00672B6F">
            <w:pPr>
              <w:rPr>
                <w:sz w:val="20"/>
                <w:lang w:val="en-GB"/>
              </w:rPr>
            </w:pPr>
            <w:r w:rsidRPr="0098181D">
              <w:rPr>
                <w:sz w:val="20"/>
                <w:lang w:val="en-GB"/>
              </w:rPr>
              <w:t xml:space="preserve">The disease and diagnostic criteria (ICD and DSM etc.) that were used to identify eligible patients were reported. </w:t>
            </w:r>
          </w:p>
        </w:tc>
      </w:tr>
      <w:tr w:rsidR="00C377EE" w:rsidRPr="005E4884" w14:paraId="43E1D1E3" w14:textId="77777777" w:rsidTr="00E45C55">
        <w:tc>
          <w:tcPr>
            <w:tcW w:w="3983" w:type="dxa"/>
            <w:tcBorders>
              <w:top w:val="nil"/>
              <w:left w:val="nil"/>
              <w:bottom w:val="nil"/>
              <w:right w:val="nil"/>
            </w:tcBorders>
            <w:vAlign w:val="center"/>
          </w:tcPr>
          <w:p w14:paraId="17DCCD37" w14:textId="77777777" w:rsidR="00C377EE" w:rsidRPr="0098181D" w:rsidRDefault="00C377EE" w:rsidP="00672B6F">
            <w:pPr>
              <w:pStyle w:val="ListParagraph"/>
              <w:numPr>
                <w:ilvl w:val="0"/>
                <w:numId w:val="2"/>
              </w:numPr>
              <w:rPr>
                <w:sz w:val="20"/>
                <w:lang w:val="en-GB"/>
              </w:rPr>
            </w:pPr>
            <w:r w:rsidRPr="0098181D">
              <w:rPr>
                <w:sz w:val="20"/>
                <w:lang w:val="en-GB"/>
              </w:rPr>
              <w:t xml:space="preserve">Disease and comparison group </w:t>
            </w:r>
          </w:p>
        </w:tc>
        <w:tc>
          <w:tcPr>
            <w:tcW w:w="6507" w:type="dxa"/>
            <w:tcBorders>
              <w:top w:val="nil"/>
              <w:left w:val="nil"/>
              <w:bottom w:val="nil"/>
              <w:right w:val="nil"/>
            </w:tcBorders>
            <w:vAlign w:val="center"/>
          </w:tcPr>
          <w:p w14:paraId="0CB982F6" w14:textId="77777777" w:rsidR="00C377EE" w:rsidRPr="0098181D" w:rsidRDefault="00C377EE" w:rsidP="00672B6F">
            <w:pPr>
              <w:rPr>
                <w:sz w:val="20"/>
                <w:lang w:val="en-GB"/>
              </w:rPr>
            </w:pPr>
            <w:r w:rsidRPr="0098181D">
              <w:rPr>
                <w:sz w:val="20"/>
                <w:lang w:val="en-GB"/>
              </w:rPr>
              <w:t>Characteristics (at least sample size, age and gender) of the disease group were reported. If the study used a comparison group, it is reported with the same details.</w:t>
            </w:r>
          </w:p>
        </w:tc>
      </w:tr>
      <w:tr w:rsidR="00C377EE" w:rsidRPr="00731281" w14:paraId="161C64E2" w14:textId="77777777" w:rsidTr="00E45C55">
        <w:tc>
          <w:tcPr>
            <w:tcW w:w="3983" w:type="dxa"/>
            <w:tcBorders>
              <w:top w:val="nil"/>
              <w:left w:val="nil"/>
              <w:bottom w:val="nil"/>
              <w:right w:val="nil"/>
            </w:tcBorders>
            <w:vAlign w:val="center"/>
          </w:tcPr>
          <w:p w14:paraId="493DC5FC" w14:textId="77777777" w:rsidR="00C377EE" w:rsidRPr="0098181D" w:rsidRDefault="00C377EE" w:rsidP="00672B6F">
            <w:pPr>
              <w:rPr>
                <w:sz w:val="20"/>
                <w:lang w:val="en-GB"/>
              </w:rPr>
            </w:pPr>
            <w:r w:rsidRPr="0098181D">
              <w:rPr>
                <w:sz w:val="20"/>
                <w:lang w:val="en-GB"/>
              </w:rPr>
              <w:t>Calculation of costs</w:t>
            </w:r>
          </w:p>
        </w:tc>
        <w:tc>
          <w:tcPr>
            <w:tcW w:w="6507" w:type="dxa"/>
            <w:tcBorders>
              <w:top w:val="nil"/>
              <w:left w:val="nil"/>
              <w:bottom w:val="nil"/>
              <w:right w:val="nil"/>
            </w:tcBorders>
            <w:vAlign w:val="center"/>
          </w:tcPr>
          <w:p w14:paraId="61E12A30" w14:textId="77777777" w:rsidR="00C377EE" w:rsidRPr="0098181D" w:rsidRDefault="00C377EE" w:rsidP="00672B6F">
            <w:pPr>
              <w:rPr>
                <w:sz w:val="20"/>
                <w:lang w:val="en-GB"/>
              </w:rPr>
            </w:pPr>
            <w:r w:rsidRPr="0098181D">
              <w:rPr>
                <w:sz w:val="20"/>
                <w:lang w:val="en-GB"/>
              </w:rPr>
              <w:t> </w:t>
            </w:r>
          </w:p>
        </w:tc>
      </w:tr>
      <w:tr w:rsidR="00C377EE" w:rsidRPr="005E4884" w14:paraId="7585E5DB" w14:textId="77777777" w:rsidTr="00E45C55">
        <w:tc>
          <w:tcPr>
            <w:tcW w:w="3983" w:type="dxa"/>
            <w:tcBorders>
              <w:top w:val="nil"/>
              <w:left w:val="nil"/>
              <w:bottom w:val="nil"/>
              <w:right w:val="nil"/>
            </w:tcBorders>
            <w:vAlign w:val="center"/>
          </w:tcPr>
          <w:p w14:paraId="5A56E5BA" w14:textId="77777777" w:rsidR="00C377EE" w:rsidRPr="0098181D" w:rsidRDefault="00C377EE" w:rsidP="00672B6F">
            <w:pPr>
              <w:pStyle w:val="ListParagraph"/>
              <w:numPr>
                <w:ilvl w:val="0"/>
                <w:numId w:val="2"/>
              </w:numPr>
              <w:rPr>
                <w:sz w:val="20"/>
                <w:lang w:val="en-GB"/>
              </w:rPr>
            </w:pPr>
            <w:r w:rsidRPr="0098181D">
              <w:rPr>
                <w:sz w:val="20"/>
                <w:lang w:val="en-GB"/>
              </w:rPr>
              <w:t>Perspective</w:t>
            </w:r>
          </w:p>
        </w:tc>
        <w:tc>
          <w:tcPr>
            <w:tcW w:w="6507" w:type="dxa"/>
            <w:tcBorders>
              <w:top w:val="nil"/>
              <w:left w:val="nil"/>
              <w:bottom w:val="nil"/>
              <w:right w:val="nil"/>
            </w:tcBorders>
            <w:vAlign w:val="center"/>
          </w:tcPr>
          <w:p w14:paraId="52B7F02E" w14:textId="77777777" w:rsidR="00C377EE" w:rsidRPr="0098181D" w:rsidRDefault="00C377EE" w:rsidP="00672B6F">
            <w:pPr>
              <w:rPr>
                <w:sz w:val="20"/>
                <w:lang w:val="en-GB"/>
              </w:rPr>
            </w:pPr>
            <w:r w:rsidRPr="0098181D">
              <w:rPr>
                <w:sz w:val="20"/>
                <w:lang w:val="en-GB"/>
              </w:rPr>
              <w:t>The perspective of the analysis is reported and justified.</w:t>
            </w:r>
          </w:p>
        </w:tc>
      </w:tr>
      <w:tr w:rsidR="00C377EE" w:rsidRPr="005E4884" w14:paraId="7FD17492" w14:textId="77777777" w:rsidTr="00E45C55">
        <w:tc>
          <w:tcPr>
            <w:tcW w:w="3983" w:type="dxa"/>
            <w:tcBorders>
              <w:top w:val="nil"/>
              <w:left w:val="nil"/>
              <w:bottom w:val="nil"/>
              <w:right w:val="nil"/>
            </w:tcBorders>
            <w:vAlign w:val="center"/>
          </w:tcPr>
          <w:p w14:paraId="2CCFF7E6" w14:textId="77777777" w:rsidR="00C377EE" w:rsidRPr="0098181D" w:rsidRDefault="00C377EE" w:rsidP="00672B6F">
            <w:pPr>
              <w:pStyle w:val="ListParagraph"/>
              <w:numPr>
                <w:ilvl w:val="0"/>
                <w:numId w:val="2"/>
              </w:numPr>
              <w:rPr>
                <w:sz w:val="20"/>
                <w:lang w:val="en-GB"/>
              </w:rPr>
            </w:pPr>
            <w:r w:rsidRPr="0098181D">
              <w:rPr>
                <w:sz w:val="20"/>
                <w:lang w:val="en-GB"/>
              </w:rPr>
              <w:t>Data sources</w:t>
            </w:r>
          </w:p>
        </w:tc>
        <w:tc>
          <w:tcPr>
            <w:tcW w:w="6507" w:type="dxa"/>
            <w:tcBorders>
              <w:top w:val="nil"/>
              <w:left w:val="nil"/>
              <w:bottom w:val="nil"/>
              <w:right w:val="nil"/>
            </w:tcBorders>
            <w:vAlign w:val="center"/>
          </w:tcPr>
          <w:p w14:paraId="4165F76A" w14:textId="77777777" w:rsidR="00C377EE" w:rsidRPr="0098181D" w:rsidRDefault="00C377EE" w:rsidP="00672B6F">
            <w:pPr>
              <w:rPr>
                <w:sz w:val="20"/>
                <w:lang w:val="en-GB"/>
              </w:rPr>
            </w:pPr>
            <w:r w:rsidRPr="0098181D">
              <w:rPr>
                <w:sz w:val="20"/>
                <w:lang w:val="en-GB"/>
              </w:rPr>
              <w:t>The sources of epidemiological data, health care utilization and unit costs used were reported.</w:t>
            </w:r>
          </w:p>
        </w:tc>
      </w:tr>
      <w:tr w:rsidR="00C377EE" w:rsidRPr="005E4884" w14:paraId="0AD860B6" w14:textId="77777777" w:rsidTr="00E45C55">
        <w:tc>
          <w:tcPr>
            <w:tcW w:w="3983" w:type="dxa"/>
            <w:tcBorders>
              <w:top w:val="nil"/>
              <w:left w:val="nil"/>
              <w:bottom w:val="nil"/>
              <w:right w:val="nil"/>
            </w:tcBorders>
            <w:vAlign w:val="center"/>
          </w:tcPr>
          <w:p w14:paraId="217207CB" w14:textId="77777777" w:rsidR="00C377EE" w:rsidRPr="0098181D" w:rsidRDefault="00C377EE" w:rsidP="00672B6F">
            <w:pPr>
              <w:pStyle w:val="ListParagraph"/>
              <w:numPr>
                <w:ilvl w:val="0"/>
                <w:numId w:val="2"/>
              </w:numPr>
              <w:rPr>
                <w:sz w:val="20"/>
                <w:lang w:val="en-GB"/>
              </w:rPr>
            </w:pPr>
            <w:r w:rsidRPr="0098181D">
              <w:rPr>
                <w:sz w:val="20"/>
                <w:lang w:val="en-GB"/>
              </w:rPr>
              <w:t>Currency and reference year</w:t>
            </w:r>
          </w:p>
        </w:tc>
        <w:tc>
          <w:tcPr>
            <w:tcW w:w="6507" w:type="dxa"/>
            <w:tcBorders>
              <w:top w:val="nil"/>
              <w:left w:val="nil"/>
              <w:bottom w:val="nil"/>
              <w:right w:val="nil"/>
            </w:tcBorders>
            <w:vAlign w:val="center"/>
          </w:tcPr>
          <w:p w14:paraId="2EA1A8E0" w14:textId="77777777" w:rsidR="00C377EE" w:rsidRPr="0098181D" w:rsidRDefault="00C377EE" w:rsidP="00672B6F">
            <w:pPr>
              <w:rPr>
                <w:sz w:val="20"/>
                <w:lang w:val="en-GB"/>
              </w:rPr>
            </w:pPr>
            <w:r w:rsidRPr="0098181D">
              <w:rPr>
                <w:sz w:val="20"/>
                <w:lang w:val="en-GB"/>
              </w:rPr>
              <w:t>The cost currency and reference year were reported.</w:t>
            </w:r>
          </w:p>
        </w:tc>
      </w:tr>
      <w:tr w:rsidR="00C377EE" w:rsidRPr="005E4884" w14:paraId="021E1198" w14:textId="77777777" w:rsidTr="00E45C55">
        <w:tc>
          <w:tcPr>
            <w:tcW w:w="3983" w:type="dxa"/>
            <w:tcBorders>
              <w:top w:val="nil"/>
              <w:left w:val="nil"/>
              <w:bottom w:val="nil"/>
              <w:right w:val="nil"/>
            </w:tcBorders>
            <w:vAlign w:val="center"/>
          </w:tcPr>
          <w:p w14:paraId="2A02D699" w14:textId="77777777" w:rsidR="00C377EE" w:rsidRPr="0098181D" w:rsidRDefault="00C377EE" w:rsidP="00672B6F">
            <w:pPr>
              <w:pStyle w:val="ListParagraph"/>
              <w:numPr>
                <w:ilvl w:val="0"/>
                <w:numId w:val="2"/>
              </w:numPr>
              <w:rPr>
                <w:sz w:val="20"/>
                <w:lang w:val="en-GB"/>
              </w:rPr>
            </w:pPr>
            <w:r w:rsidRPr="0098181D">
              <w:rPr>
                <w:sz w:val="20"/>
                <w:lang w:val="en-GB"/>
              </w:rPr>
              <w:t>Discounting</w:t>
            </w:r>
          </w:p>
        </w:tc>
        <w:tc>
          <w:tcPr>
            <w:tcW w:w="6507" w:type="dxa"/>
            <w:tcBorders>
              <w:top w:val="nil"/>
              <w:left w:val="nil"/>
              <w:bottom w:val="nil"/>
              <w:right w:val="nil"/>
            </w:tcBorders>
            <w:vAlign w:val="center"/>
          </w:tcPr>
          <w:p w14:paraId="49EF7310" w14:textId="77777777" w:rsidR="00C377EE" w:rsidRPr="0098181D" w:rsidRDefault="00C377EE" w:rsidP="00672B6F">
            <w:pPr>
              <w:rPr>
                <w:sz w:val="20"/>
                <w:lang w:val="en-GB"/>
              </w:rPr>
            </w:pPr>
            <w:r w:rsidRPr="0098181D">
              <w:rPr>
                <w:sz w:val="20"/>
                <w:lang w:val="en-GB"/>
              </w:rPr>
              <w:t>Future costs were discounted and the discount rate was given.</w:t>
            </w:r>
          </w:p>
        </w:tc>
      </w:tr>
      <w:tr w:rsidR="00C377EE" w:rsidRPr="00731281" w14:paraId="0720A979" w14:textId="77777777" w:rsidTr="00E45C55">
        <w:tc>
          <w:tcPr>
            <w:tcW w:w="3983" w:type="dxa"/>
            <w:tcBorders>
              <w:top w:val="nil"/>
              <w:left w:val="nil"/>
              <w:bottom w:val="nil"/>
              <w:right w:val="nil"/>
            </w:tcBorders>
            <w:vAlign w:val="center"/>
          </w:tcPr>
          <w:p w14:paraId="5695B375" w14:textId="77777777" w:rsidR="00C377EE" w:rsidRPr="0098181D" w:rsidRDefault="00C377EE" w:rsidP="00672B6F">
            <w:pPr>
              <w:rPr>
                <w:sz w:val="20"/>
                <w:lang w:val="en-GB"/>
              </w:rPr>
            </w:pPr>
            <w:r w:rsidRPr="0098181D">
              <w:rPr>
                <w:sz w:val="20"/>
                <w:lang w:val="en-GB"/>
              </w:rPr>
              <w:br/>
              <w:t>Study design and analysis</w:t>
            </w:r>
          </w:p>
        </w:tc>
        <w:tc>
          <w:tcPr>
            <w:tcW w:w="6507" w:type="dxa"/>
            <w:tcBorders>
              <w:top w:val="nil"/>
              <w:left w:val="nil"/>
              <w:bottom w:val="nil"/>
              <w:right w:val="nil"/>
            </w:tcBorders>
            <w:vAlign w:val="center"/>
          </w:tcPr>
          <w:p w14:paraId="48127509" w14:textId="77777777" w:rsidR="00C377EE" w:rsidRPr="0098181D" w:rsidRDefault="00C377EE" w:rsidP="00672B6F">
            <w:pPr>
              <w:rPr>
                <w:sz w:val="20"/>
                <w:lang w:val="en-GB"/>
              </w:rPr>
            </w:pPr>
            <w:r w:rsidRPr="0098181D">
              <w:rPr>
                <w:sz w:val="20"/>
                <w:lang w:val="en-GB"/>
              </w:rPr>
              <w:t> </w:t>
            </w:r>
          </w:p>
        </w:tc>
      </w:tr>
      <w:tr w:rsidR="00C377EE" w:rsidRPr="005E4884" w14:paraId="7546235A" w14:textId="77777777" w:rsidTr="00E45C55">
        <w:tc>
          <w:tcPr>
            <w:tcW w:w="3983" w:type="dxa"/>
            <w:tcBorders>
              <w:top w:val="nil"/>
              <w:left w:val="nil"/>
              <w:bottom w:val="nil"/>
              <w:right w:val="nil"/>
            </w:tcBorders>
            <w:vAlign w:val="center"/>
          </w:tcPr>
          <w:p w14:paraId="0B123A36" w14:textId="77777777" w:rsidR="00C377EE" w:rsidRPr="0098181D" w:rsidRDefault="00C377EE" w:rsidP="00672B6F">
            <w:pPr>
              <w:pStyle w:val="ListParagraph"/>
              <w:numPr>
                <w:ilvl w:val="0"/>
                <w:numId w:val="2"/>
              </w:numPr>
              <w:rPr>
                <w:sz w:val="20"/>
                <w:lang w:val="en-GB"/>
              </w:rPr>
            </w:pPr>
            <w:r w:rsidRPr="0098181D">
              <w:rPr>
                <w:sz w:val="20"/>
                <w:lang w:val="en-GB"/>
              </w:rPr>
              <w:t>Costing methods</w:t>
            </w:r>
          </w:p>
        </w:tc>
        <w:tc>
          <w:tcPr>
            <w:tcW w:w="6507" w:type="dxa"/>
            <w:tcBorders>
              <w:top w:val="nil"/>
              <w:left w:val="nil"/>
              <w:bottom w:val="nil"/>
              <w:right w:val="nil"/>
            </w:tcBorders>
            <w:vAlign w:val="center"/>
          </w:tcPr>
          <w:p w14:paraId="554FE662" w14:textId="77777777" w:rsidR="00C377EE" w:rsidRPr="0098181D" w:rsidRDefault="00C377EE" w:rsidP="00672B6F">
            <w:pPr>
              <w:rPr>
                <w:sz w:val="20"/>
                <w:lang w:val="en-GB"/>
              </w:rPr>
            </w:pPr>
            <w:r w:rsidRPr="0098181D">
              <w:rPr>
                <w:sz w:val="20"/>
                <w:lang w:val="en-GB"/>
              </w:rPr>
              <w:t>The costing methods were described in detail.</w:t>
            </w:r>
          </w:p>
        </w:tc>
      </w:tr>
      <w:tr w:rsidR="00C377EE" w:rsidRPr="005E4884" w14:paraId="0D67A8EC" w14:textId="77777777" w:rsidTr="00E45C55">
        <w:tc>
          <w:tcPr>
            <w:tcW w:w="3983" w:type="dxa"/>
            <w:tcBorders>
              <w:top w:val="nil"/>
              <w:left w:val="nil"/>
              <w:bottom w:val="nil"/>
              <w:right w:val="nil"/>
            </w:tcBorders>
            <w:vAlign w:val="center"/>
          </w:tcPr>
          <w:p w14:paraId="1EC7272A" w14:textId="77777777" w:rsidR="00C377EE" w:rsidRPr="0098181D" w:rsidRDefault="00C377EE" w:rsidP="00672B6F">
            <w:pPr>
              <w:pStyle w:val="ListParagraph"/>
              <w:numPr>
                <w:ilvl w:val="0"/>
                <w:numId w:val="2"/>
              </w:numPr>
              <w:rPr>
                <w:sz w:val="20"/>
                <w:lang w:val="en-GB"/>
              </w:rPr>
            </w:pPr>
            <w:r w:rsidRPr="0098181D">
              <w:rPr>
                <w:sz w:val="20"/>
                <w:lang w:val="en-GB"/>
              </w:rPr>
              <w:t>Cost measure</w:t>
            </w:r>
          </w:p>
        </w:tc>
        <w:tc>
          <w:tcPr>
            <w:tcW w:w="6507" w:type="dxa"/>
            <w:tcBorders>
              <w:top w:val="nil"/>
              <w:left w:val="nil"/>
              <w:bottom w:val="nil"/>
              <w:right w:val="nil"/>
            </w:tcBorders>
            <w:vAlign w:val="center"/>
          </w:tcPr>
          <w:p w14:paraId="59362649" w14:textId="77777777" w:rsidR="00C377EE" w:rsidRPr="0098181D" w:rsidRDefault="00C377EE" w:rsidP="00672B6F">
            <w:pPr>
              <w:rPr>
                <w:sz w:val="20"/>
                <w:lang w:val="en-GB"/>
              </w:rPr>
            </w:pPr>
            <w:r w:rsidRPr="0098181D">
              <w:rPr>
                <w:sz w:val="20"/>
                <w:lang w:val="en-GB"/>
              </w:rPr>
              <w:t>The units of the reported measures were stated (etc. mean annual costs, mean total costs and incremental costs)</w:t>
            </w:r>
          </w:p>
        </w:tc>
      </w:tr>
      <w:tr w:rsidR="00C377EE" w:rsidRPr="005E4884" w14:paraId="44F05235" w14:textId="77777777" w:rsidTr="00E45C55">
        <w:tc>
          <w:tcPr>
            <w:tcW w:w="3983" w:type="dxa"/>
            <w:tcBorders>
              <w:top w:val="nil"/>
              <w:left w:val="nil"/>
              <w:bottom w:val="nil"/>
              <w:right w:val="nil"/>
            </w:tcBorders>
            <w:vAlign w:val="center"/>
          </w:tcPr>
          <w:p w14:paraId="5CC81683" w14:textId="77777777" w:rsidR="00C377EE" w:rsidRPr="0098181D" w:rsidRDefault="00C377EE" w:rsidP="00672B6F">
            <w:pPr>
              <w:pStyle w:val="ListParagraph"/>
              <w:numPr>
                <w:ilvl w:val="0"/>
                <w:numId w:val="2"/>
              </w:numPr>
              <w:rPr>
                <w:sz w:val="20"/>
                <w:lang w:val="en-GB"/>
              </w:rPr>
            </w:pPr>
            <w:r w:rsidRPr="0098181D">
              <w:rPr>
                <w:sz w:val="20"/>
                <w:lang w:val="en-GB"/>
              </w:rPr>
              <w:t xml:space="preserve"> Missing data and imputation method</w:t>
            </w:r>
          </w:p>
        </w:tc>
        <w:tc>
          <w:tcPr>
            <w:tcW w:w="6507" w:type="dxa"/>
            <w:tcBorders>
              <w:top w:val="nil"/>
              <w:left w:val="nil"/>
              <w:bottom w:val="nil"/>
              <w:right w:val="nil"/>
            </w:tcBorders>
            <w:vAlign w:val="center"/>
          </w:tcPr>
          <w:p w14:paraId="031482F3" w14:textId="77777777" w:rsidR="00C377EE" w:rsidRPr="0098181D" w:rsidRDefault="00C377EE" w:rsidP="00672B6F">
            <w:pPr>
              <w:rPr>
                <w:sz w:val="20"/>
                <w:lang w:val="en-GB"/>
              </w:rPr>
            </w:pPr>
            <w:r w:rsidRPr="0098181D">
              <w:rPr>
                <w:sz w:val="20"/>
                <w:lang w:val="en-GB"/>
              </w:rPr>
              <w:t>The proportion of missing data was reported and if imputation was applied, the method was described.</w:t>
            </w:r>
          </w:p>
        </w:tc>
      </w:tr>
      <w:tr w:rsidR="00C377EE" w:rsidRPr="005E4884" w14:paraId="62E403A9" w14:textId="77777777" w:rsidTr="00E45C55">
        <w:tc>
          <w:tcPr>
            <w:tcW w:w="3983" w:type="dxa"/>
            <w:tcBorders>
              <w:top w:val="nil"/>
              <w:left w:val="nil"/>
              <w:bottom w:val="nil"/>
              <w:right w:val="nil"/>
            </w:tcBorders>
            <w:vAlign w:val="center"/>
          </w:tcPr>
          <w:p w14:paraId="528EA25B" w14:textId="77777777" w:rsidR="00C377EE" w:rsidRPr="0098181D" w:rsidRDefault="00C377EE" w:rsidP="00672B6F">
            <w:pPr>
              <w:pStyle w:val="ListParagraph"/>
              <w:numPr>
                <w:ilvl w:val="0"/>
                <w:numId w:val="2"/>
              </w:numPr>
              <w:rPr>
                <w:sz w:val="20"/>
                <w:lang w:val="en-GB"/>
              </w:rPr>
            </w:pPr>
            <w:r w:rsidRPr="0098181D">
              <w:rPr>
                <w:sz w:val="20"/>
                <w:lang w:val="en-GB"/>
              </w:rPr>
              <w:t>Sensitivity analysis</w:t>
            </w:r>
          </w:p>
        </w:tc>
        <w:tc>
          <w:tcPr>
            <w:tcW w:w="6507" w:type="dxa"/>
            <w:tcBorders>
              <w:top w:val="nil"/>
              <w:left w:val="nil"/>
              <w:bottom w:val="nil"/>
              <w:right w:val="nil"/>
            </w:tcBorders>
            <w:vAlign w:val="center"/>
          </w:tcPr>
          <w:p w14:paraId="44F76B81" w14:textId="77777777" w:rsidR="00C377EE" w:rsidRPr="0098181D" w:rsidRDefault="00C377EE" w:rsidP="00672B6F">
            <w:pPr>
              <w:rPr>
                <w:sz w:val="20"/>
                <w:lang w:val="en-GB"/>
              </w:rPr>
            </w:pPr>
            <w:r w:rsidRPr="0098181D">
              <w:rPr>
                <w:sz w:val="20"/>
                <w:lang w:val="en-GB"/>
              </w:rPr>
              <w:t>Parameters used in the sensitivity analysis were justified and they were varied in order to test the robustness of the results for example different unit costs, different assumptions for missing data (completely at random, at random and not at random).</w:t>
            </w:r>
          </w:p>
        </w:tc>
      </w:tr>
      <w:tr w:rsidR="00C377EE" w:rsidRPr="005E4884" w14:paraId="70C024F1" w14:textId="77777777" w:rsidTr="00E45C55">
        <w:tc>
          <w:tcPr>
            <w:tcW w:w="3983" w:type="dxa"/>
            <w:tcBorders>
              <w:top w:val="nil"/>
              <w:left w:val="nil"/>
              <w:bottom w:val="nil"/>
              <w:right w:val="nil"/>
            </w:tcBorders>
            <w:vAlign w:val="center"/>
          </w:tcPr>
          <w:p w14:paraId="606D5564" w14:textId="77777777" w:rsidR="00C377EE" w:rsidRPr="0098181D" w:rsidRDefault="00C377EE" w:rsidP="00672B6F">
            <w:pPr>
              <w:pStyle w:val="ListParagraph"/>
              <w:numPr>
                <w:ilvl w:val="0"/>
                <w:numId w:val="2"/>
              </w:numPr>
              <w:rPr>
                <w:sz w:val="20"/>
                <w:lang w:val="en-GB"/>
              </w:rPr>
            </w:pPr>
            <w:r w:rsidRPr="0098181D">
              <w:rPr>
                <w:sz w:val="20"/>
                <w:lang w:val="en-GB"/>
              </w:rPr>
              <w:t>Uncertainty estimates</w:t>
            </w:r>
          </w:p>
        </w:tc>
        <w:tc>
          <w:tcPr>
            <w:tcW w:w="6507" w:type="dxa"/>
            <w:tcBorders>
              <w:top w:val="nil"/>
              <w:left w:val="nil"/>
              <w:bottom w:val="nil"/>
              <w:right w:val="nil"/>
            </w:tcBorders>
            <w:vAlign w:val="center"/>
          </w:tcPr>
          <w:p w14:paraId="5D71C5DA" w14:textId="77777777" w:rsidR="00C377EE" w:rsidRPr="0098181D" w:rsidRDefault="00C377EE" w:rsidP="00672B6F">
            <w:pPr>
              <w:rPr>
                <w:sz w:val="20"/>
                <w:lang w:val="en-GB"/>
              </w:rPr>
            </w:pPr>
            <w:r w:rsidRPr="0098181D">
              <w:rPr>
                <w:sz w:val="20"/>
                <w:lang w:val="en-GB"/>
              </w:rPr>
              <w:t>Measurements of uncertainty surrounding the cost estimates are reported (e.g. standard deviations or uncertainty intervals).</w:t>
            </w:r>
          </w:p>
        </w:tc>
      </w:tr>
      <w:tr w:rsidR="00C377EE" w:rsidRPr="00731281" w14:paraId="40E4E9FF" w14:textId="77777777" w:rsidTr="00E45C55">
        <w:trPr>
          <w:trHeight w:val="510"/>
        </w:trPr>
        <w:tc>
          <w:tcPr>
            <w:tcW w:w="3983" w:type="dxa"/>
            <w:tcBorders>
              <w:top w:val="nil"/>
              <w:left w:val="nil"/>
              <w:bottom w:val="nil"/>
              <w:right w:val="nil"/>
            </w:tcBorders>
            <w:vAlign w:val="center"/>
          </w:tcPr>
          <w:p w14:paraId="16562F35" w14:textId="77777777" w:rsidR="00C377EE" w:rsidRPr="0098181D" w:rsidRDefault="00C377EE" w:rsidP="00672B6F">
            <w:pPr>
              <w:rPr>
                <w:sz w:val="20"/>
                <w:lang w:val="en-GB"/>
              </w:rPr>
            </w:pPr>
            <w:r w:rsidRPr="0098181D">
              <w:rPr>
                <w:sz w:val="20"/>
                <w:lang w:val="en-GB"/>
              </w:rPr>
              <w:t>Discussion</w:t>
            </w:r>
          </w:p>
        </w:tc>
        <w:tc>
          <w:tcPr>
            <w:tcW w:w="6507" w:type="dxa"/>
            <w:tcBorders>
              <w:top w:val="nil"/>
              <w:left w:val="nil"/>
              <w:bottom w:val="nil"/>
              <w:right w:val="nil"/>
            </w:tcBorders>
            <w:vAlign w:val="center"/>
          </w:tcPr>
          <w:p w14:paraId="035DCF43" w14:textId="77777777" w:rsidR="00C377EE" w:rsidRPr="0098181D" w:rsidRDefault="00C377EE" w:rsidP="00672B6F">
            <w:pPr>
              <w:rPr>
                <w:sz w:val="20"/>
                <w:lang w:val="en-GB"/>
              </w:rPr>
            </w:pPr>
          </w:p>
        </w:tc>
      </w:tr>
      <w:tr w:rsidR="00C377EE" w:rsidRPr="005E4884" w14:paraId="12EBB53C" w14:textId="77777777" w:rsidTr="00E45C55">
        <w:tc>
          <w:tcPr>
            <w:tcW w:w="3983" w:type="dxa"/>
            <w:tcBorders>
              <w:top w:val="nil"/>
              <w:left w:val="nil"/>
              <w:bottom w:val="nil"/>
              <w:right w:val="nil"/>
            </w:tcBorders>
            <w:vAlign w:val="center"/>
          </w:tcPr>
          <w:p w14:paraId="28F1BF5E" w14:textId="77777777" w:rsidR="00C377EE" w:rsidRPr="0098181D" w:rsidRDefault="00C377EE" w:rsidP="00672B6F">
            <w:pPr>
              <w:pStyle w:val="ListParagraph"/>
              <w:numPr>
                <w:ilvl w:val="0"/>
                <w:numId w:val="2"/>
              </w:numPr>
              <w:rPr>
                <w:sz w:val="20"/>
                <w:lang w:val="en-GB"/>
              </w:rPr>
            </w:pPr>
            <w:r w:rsidRPr="0098181D">
              <w:rPr>
                <w:sz w:val="20"/>
                <w:lang w:val="en-GB"/>
              </w:rPr>
              <w:t>Results discussed in respect to other studies</w:t>
            </w:r>
          </w:p>
        </w:tc>
        <w:tc>
          <w:tcPr>
            <w:tcW w:w="6507" w:type="dxa"/>
            <w:tcBorders>
              <w:top w:val="nil"/>
              <w:left w:val="nil"/>
              <w:bottom w:val="nil"/>
              <w:right w:val="nil"/>
            </w:tcBorders>
            <w:vAlign w:val="center"/>
          </w:tcPr>
          <w:p w14:paraId="5D4749EB" w14:textId="77777777" w:rsidR="00C377EE" w:rsidRPr="0098181D" w:rsidRDefault="00C377EE" w:rsidP="00672B6F">
            <w:pPr>
              <w:rPr>
                <w:sz w:val="20"/>
                <w:lang w:val="en-GB"/>
              </w:rPr>
            </w:pPr>
            <w:r w:rsidRPr="0098181D">
              <w:rPr>
                <w:sz w:val="20"/>
                <w:lang w:val="en-GB"/>
              </w:rPr>
              <w:t>The results were discussed in relation to other studies on the same topic, if any existing.</w:t>
            </w:r>
          </w:p>
        </w:tc>
      </w:tr>
      <w:tr w:rsidR="00C377EE" w:rsidRPr="005E4884" w14:paraId="6E0D0EAC" w14:textId="77777777" w:rsidTr="00E45C55">
        <w:tc>
          <w:tcPr>
            <w:tcW w:w="3983" w:type="dxa"/>
            <w:tcBorders>
              <w:top w:val="nil"/>
              <w:left w:val="nil"/>
              <w:bottom w:val="nil"/>
              <w:right w:val="nil"/>
            </w:tcBorders>
            <w:vAlign w:val="center"/>
          </w:tcPr>
          <w:p w14:paraId="779471BF" w14:textId="77777777" w:rsidR="00C377EE" w:rsidRPr="0098181D" w:rsidRDefault="00C377EE" w:rsidP="00672B6F">
            <w:pPr>
              <w:pStyle w:val="ListParagraph"/>
              <w:numPr>
                <w:ilvl w:val="0"/>
                <w:numId w:val="2"/>
              </w:numPr>
              <w:rPr>
                <w:sz w:val="20"/>
                <w:lang w:val="en-GB"/>
              </w:rPr>
            </w:pPr>
            <w:r w:rsidRPr="0098181D">
              <w:rPr>
                <w:sz w:val="20"/>
                <w:lang w:val="en-GB"/>
              </w:rPr>
              <w:t>Limitations</w:t>
            </w:r>
          </w:p>
        </w:tc>
        <w:tc>
          <w:tcPr>
            <w:tcW w:w="6507" w:type="dxa"/>
            <w:tcBorders>
              <w:top w:val="nil"/>
              <w:left w:val="nil"/>
              <w:bottom w:val="nil"/>
              <w:right w:val="nil"/>
            </w:tcBorders>
            <w:vAlign w:val="center"/>
          </w:tcPr>
          <w:p w14:paraId="16670330" w14:textId="3B40A3FC" w:rsidR="00C377EE" w:rsidRPr="0098181D" w:rsidRDefault="00C377EE" w:rsidP="00672B6F">
            <w:pPr>
              <w:rPr>
                <w:sz w:val="20"/>
                <w:lang w:val="en-GB"/>
              </w:rPr>
            </w:pPr>
            <w:r w:rsidRPr="0098181D">
              <w:rPr>
                <w:sz w:val="20"/>
                <w:lang w:val="en-GB"/>
              </w:rPr>
              <w:t>The limitations, in particular to the calculation of costs, were discussed in detail.</w:t>
            </w:r>
          </w:p>
        </w:tc>
      </w:tr>
      <w:tr w:rsidR="00C377EE" w:rsidRPr="005E4884" w14:paraId="0FCF6369" w14:textId="77777777" w:rsidTr="00E45C55">
        <w:tc>
          <w:tcPr>
            <w:tcW w:w="3983" w:type="dxa"/>
            <w:tcBorders>
              <w:top w:val="nil"/>
              <w:left w:val="nil"/>
              <w:bottom w:val="nil"/>
              <w:right w:val="nil"/>
            </w:tcBorders>
            <w:vAlign w:val="center"/>
          </w:tcPr>
          <w:p w14:paraId="05F8D56C" w14:textId="77777777" w:rsidR="00C377EE" w:rsidRPr="0098181D" w:rsidRDefault="00C377EE" w:rsidP="00672B6F">
            <w:pPr>
              <w:pStyle w:val="ListParagraph"/>
              <w:numPr>
                <w:ilvl w:val="0"/>
                <w:numId w:val="2"/>
              </w:numPr>
              <w:rPr>
                <w:sz w:val="20"/>
                <w:lang w:val="en-GB"/>
              </w:rPr>
            </w:pPr>
            <w:r w:rsidRPr="0098181D">
              <w:rPr>
                <w:sz w:val="20"/>
                <w:lang w:val="en-GB"/>
              </w:rPr>
              <w:t>Conclusions</w:t>
            </w:r>
          </w:p>
        </w:tc>
        <w:tc>
          <w:tcPr>
            <w:tcW w:w="6507" w:type="dxa"/>
            <w:tcBorders>
              <w:top w:val="nil"/>
              <w:left w:val="nil"/>
              <w:bottom w:val="nil"/>
              <w:right w:val="nil"/>
            </w:tcBorders>
            <w:vAlign w:val="center"/>
          </w:tcPr>
          <w:p w14:paraId="36204A4E" w14:textId="6BC2B695" w:rsidR="00C377EE" w:rsidRPr="0098181D" w:rsidRDefault="00C377EE" w:rsidP="00672B6F">
            <w:pPr>
              <w:rPr>
                <w:sz w:val="20"/>
                <w:lang w:val="en-GB"/>
              </w:rPr>
            </w:pPr>
            <w:r w:rsidRPr="0098181D">
              <w:rPr>
                <w:sz w:val="20"/>
                <w:lang w:val="en-GB"/>
              </w:rPr>
              <w:t>The conclusions allowed for the uncertainty inherent to the results.</w:t>
            </w:r>
          </w:p>
        </w:tc>
      </w:tr>
    </w:tbl>
    <w:p w14:paraId="343AA766" w14:textId="77777777" w:rsidR="00C377EE" w:rsidRPr="00731281" w:rsidRDefault="00C377EE" w:rsidP="00672B6F">
      <w:pPr>
        <w:rPr>
          <w:lang w:val="en-GB"/>
        </w:rPr>
        <w:sectPr w:rsidR="00C377EE" w:rsidRPr="00731281" w:rsidSect="009E0540">
          <w:footerReference w:type="default" r:id="rId8"/>
          <w:pgSz w:w="11906" w:h="16838"/>
          <w:pgMar w:top="851" w:right="1274" w:bottom="1276" w:left="1440" w:header="340" w:footer="454" w:gutter="0"/>
          <w:cols w:space="708"/>
          <w:docGrid w:linePitch="360"/>
        </w:sectPr>
      </w:pPr>
    </w:p>
    <w:p w14:paraId="040B5F9C" w14:textId="4F70E83F" w:rsidR="00955260" w:rsidRPr="00731281" w:rsidRDefault="00EE3D57" w:rsidP="00AD6E0D">
      <w:pPr>
        <w:pStyle w:val="Heading2"/>
        <w:ind w:left="0"/>
        <w:rPr>
          <w:lang w:val="en-GB"/>
        </w:rPr>
      </w:pPr>
      <w:bookmarkStart w:id="5" w:name="_Toc35433675"/>
      <w:bookmarkStart w:id="6" w:name="_Toc38626179"/>
      <w:bookmarkStart w:id="7" w:name="_Toc33452293"/>
      <w:r w:rsidRPr="00731281">
        <w:rPr>
          <w:lang w:val="en-GB"/>
        </w:rPr>
        <w:lastRenderedPageBreak/>
        <w:t>eT</w:t>
      </w:r>
      <w:r w:rsidR="00F13060">
        <w:rPr>
          <w:lang w:val="en-GB"/>
        </w:rPr>
        <w:t>able</w:t>
      </w:r>
      <w:r w:rsidR="005915DE">
        <w:rPr>
          <w:lang w:val="en-GB"/>
        </w:rPr>
        <w:t xml:space="preserve"> </w:t>
      </w:r>
      <w:r w:rsidR="00F13060">
        <w:rPr>
          <w:lang w:val="en-GB"/>
        </w:rPr>
        <w:t>2</w:t>
      </w:r>
      <w:r w:rsidR="00B14613" w:rsidRPr="00731281">
        <w:rPr>
          <w:lang w:val="en-GB"/>
        </w:rPr>
        <w:t xml:space="preserve">: </w:t>
      </w:r>
      <w:r w:rsidR="00097160" w:rsidRPr="00731281">
        <w:rPr>
          <w:lang w:val="en-GB"/>
        </w:rPr>
        <w:t>Disorder grou</w:t>
      </w:r>
      <w:r w:rsidR="00955260" w:rsidRPr="00731281">
        <w:rPr>
          <w:lang w:val="en-GB"/>
        </w:rPr>
        <w:t>ps ICD-8 &amp; ICD-10 codes</w:t>
      </w:r>
      <w:bookmarkEnd w:id="5"/>
      <w:bookmarkEnd w:id="6"/>
    </w:p>
    <w:p w14:paraId="435F9C05" w14:textId="071F006F" w:rsidR="00955260" w:rsidRPr="009E0540" w:rsidRDefault="00BE1859" w:rsidP="00672B6F">
      <w:pPr>
        <w:rPr>
          <w:lang w:val="en-GB"/>
        </w:rPr>
      </w:pPr>
      <w:r w:rsidRPr="009E0540">
        <w:rPr>
          <w:lang w:val="en-GB"/>
        </w:rPr>
        <w:t>The table show the codes for different mental disorders groups according to ICD-8 and ICD-10 and the name used in the systematic review. The table also includes the earliest possible age at onset in years for the different disorder groups.</w:t>
      </w:r>
    </w:p>
    <w:p w14:paraId="6EF02567" w14:textId="77777777" w:rsidR="00BE1859" w:rsidRPr="00731281" w:rsidRDefault="00BE1859" w:rsidP="00672B6F">
      <w:pPr>
        <w:rPr>
          <w:lang w:val="en-GB"/>
        </w:rPr>
      </w:pPr>
    </w:p>
    <w:tbl>
      <w:tblPr>
        <w:tblW w:w="10863" w:type="dxa"/>
        <w:tblInd w:w="-945" w:type="dxa"/>
        <w:tblCellMar>
          <w:left w:w="0" w:type="dxa"/>
          <w:right w:w="0" w:type="dxa"/>
        </w:tblCellMar>
        <w:tblLook w:val="04A0" w:firstRow="1" w:lastRow="0" w:firstColumn="1" w:lastColumn="0" w:noHBand="0" w:noVBand="1"/>
      </w:tblPr>
      <w:tblGrid>
        <w:gridCol w:w="2972"/>
        <w:gridCol w:w="1937"/>
        <w:gridCol w:w="1559"/>
        <w:gridCol w:w="2552"/>
        <w:gridCol w:w="1843"/>
      </w:tblGrid>
      <w:tr w:rsidR="00955260" w:rsidRPr="005E4884" w14:paraId="79FA74FE" w14:textId="77777777" w:rsidTr="00BE1859">
        <w:trPr>
          <w:trHeight w:val="900"/>
        </w:trPr>
        <w:tc>
          <w:tcPr>
            <w:tcW w:w="2972" w:type="dxa"/>
            <w:tcBorders>
              <w:top w:val="single" w:sz="4" w:space="0" w:color="auto"/>
              <w:left w:val="single" w:sz="4" w:space="0" w:color="auto"/>
              <w:right w:val="nil"/>
            </w:tcBorders>
            <w:shd w:val="clear" w:color="auto" w:fill="1F4E79" w:themeFill="accent1" w:themeFillShade="80"/>
            <w:tcMar>
              <w:top w:w="15" w:type="dxa"/>
              <w:left w:w="15" w:type="dxa"/>
              <w:bottom w:w="0" w:type="dxa"/>
              <w:right w:w="15" w:type="dxa"/>
            </w:tcMar>
            <w:vAlign w:val="center"/>
            <w:hideMark/>
          </w:tcPr>
          <w:p w14:paraId="45F13612" w14:textId="77777777" w:rsidR="00955260" w:rsidRPr="00731281" w:rsidRDefault="00955260" w:rsidP="00BE1859">
            <w:pPr>
              <w:pStyle w:val="NoSpacing"/>
              <w:ind w:left="79"/>
              <w:rPr>
                <w:b/>
                <w:color w:val="FFFFFF" w:themeColor="background1"/>
                <w:lang w:val="en-GB"/>
              </w:rPr>
            </w:pPr>
            <w:r w:rsidRPr="00731281">
              <w:rPr>
                <w:b/>
                <w:color w:val="FFFFFF" w:themeColor="background1"/>
                <w:lang w:val="en-GB"/>
              </w:rPr>
              <w:t>Mental disorders</w:t>
            </w:r>
          </w:p>
        </w:tc>
        <w:tc>
          <w:tcPr>
            <w:tcW w:w="1937" w:type="dxa"/>
            <w:tcBorders>
              <w:top w:val="single" w:sz="4" w:space="0" w:color="auto"/>
              <w:left w:val="nil"/>
              <w:right w:val="nil"/>
            </w:tcBorders>
            <w:shd w:val="clear" w:color="auto" w:fill="1F4E79" w:themeFill="accent1" w:themeFillShade="80"/>
            <w:tcMar>
              <w:top w:w="15" w:type="dxa"/>
              <w:left w:w="15" w:type="dxa"/>
              <w:bottom w:w="0" w:type="dxa"/>
              <w:right w:w="15" w:type="dxa"/>
            </w:tcMar>
            <w:vAlign w:val="center"/>
            <w:hideMark/>
          </w:tcPr>
          <w:p w14:paraId="51B42A9A" w14:textId="77777777" w:rsidR="00955260" w:rsidRPr="00731281" w:rsidRDefault="00955260" w:rsidP="00672B6F">
            <w:pPr>
              <w:pStyle w:val="NoSpacing"/>
              <w:rPr>
                <w:b/>
                <w:color w:val="FFFFFF" w:themeColor="background1"/>
                <w:lang w:val="en-GB"/>
              </w:rPr>
            </w:pPr>
            <w:r w:rsidRPr="00731281">
              <w:rPr>
                <w:b/>
                <w:color w:val="FFFFFF" w:themeColor="background1"/>
                <w:lang w:val="en-GB"/>
              </w:rPr>
              <w:t>Name used in this study</w:t>
            </w:r>
          </w:p>
        </w:tc>
        <w:tc>
          <w:tcPr>
            <w:tcW w:w="1559" w:type="dxa"/>
            <w:tcBorders>
              <w:top w:val="single" w:sz="4" w:space="0" w:color="auto"/>
              <w:left w:val="nil"/>
              <w:right w:val="nil"/>
            </w:tcBorders>
            <w:shd w:val="clear" w:color="auto" w:fill="1F4E79" w:themeFill="accent1" w:themeFillShade="80"/>
            <w:tcMar>
              <w:top w:w="15" w:type="dxa"/>
              <w:left w:w="15" w:type="dxa"/>
              <w:bottom w:w="0" w:type="dxa"/>
              <w:right w:w="15" w:type="dxa"/>
            </w:tcMar>
            <w:vAlign w:val="center"/>
            <w:hideMark/>
          </w:tcPr>
          <w:p w14:paraId="07D33C87" w14:textId="77777777" w:rsidR="00955260" w:rsidRPr="00731281" w:rsidRDefault="00955260" w:rsidP="00871744">
            <w:pPr>
              <w:pStyle w:val="NoSpacing"/>
              <w:ind w:left="267"/>
              <w:rPr>
                <w:b/>
                <w:color w:val="FFFFFF" w:themeColor="background1"/>
                <w:lang w:val="en-GB"/>
              </w:rPr>
            </w:pPr>
            <w:r w:rsidRPr="00731281">
              <w:rPr>
                <w:b/>
                <w:color w:val="FFFFFF" w:themeColor="background1"/>
                <w:lang w:val="en-GB"/>
              </w:rPr>
              <w:t>ICD-10</w:t>
            </w:r>
          </w:p>
        </w:tc>
        <w:tc>
          <w:tcPr>
            <w:tcW w:w="2552" w:type="dxa"/>
            <w:tcBorders>
              <w:top w:val="single" w:sz="4" w:space="0" w:color="auto"/>
              <w:left w:val="nil"/>
              <w:right w:val="nil"/>
            </w:tcBorders>
            <w:shd w:val="clear" w:color="auto" w:fill="1F4E79" w:themeFill="accent1" w:themeFillShade="80"/>
            <w:tcMar>
              <w:top w:w="15" w:type="dxa"/>
              <w:left w:w="15" w:type="dxa"/>
              <w:bottom w:w="0" w:type="dxa"/>
              <w:right w:w="15" w:type="dxa"/>
            </w:tcMar>
            <w:vAlign w:val="center"/>
            <w:hideMark/>
          </w:tcPr>
          <w:p w14:paraId="4DC5ADB5" w14:textId="77777777" w:rsidR="00955260" w:rsidRPr="00731281" w:rsidRDefault="00955260" w:rsidP="00672B6F">
            <w:pPr>
              <w:pStyle w:val="NoSpacing"/>
              <w:rPr>
                <w:b/>
                <w:color w:val="FFFFFF" w:themeColor="background1"/>
                <w:lang w:val="en-GB"/>
              </w:rPr>
            </w:pPr>
            <w:r w:rsidRPr="00731281">
              <w:rPr>
                <w:b/>
                <w:color w:val="FFFFFF" w:themeColor="background1"/>
                <w:lang w:val="en-GB"/>
              </w:rPr>
              <w:t>ICD-8 equivalency</w:t>
            </w:r>
          </w:p>
        </w:tc>
        <w:tc>
          <w:tcPr>
            <w:tcW w:w="1843" w:type="dxa"/>
            <w:tcBorders>
              <w:top w:val="single" w:sz="4" w:space="0" w:color="auto"/>
              <w:left w:val="nil"/>
              <w:right w:val="single" w:sz="4" w:space="0" w:color="auto"/>
            </w:tcBorders>
            <w:shd w:val="clear" w:color="auto" w:fill="1F4E79" w:themeFill="accent1" w:themeFillShade="80"/>
            <w:tcMar>
              <w:top w:w="15" w:type="dxa"/>
              <w:left w:w="15" w:type="dxa"/>
              <w:bottom w:w="0" w:type="dxa"/>
              <w:right w:w="15" w:type="dxa"/>
            </w:tcMar>
            <w:vAlign w:val="center"/>
            <w:hideMark/>
          </w:tcPr>
          <w:p w14:paraId="33A5C81B" w14:textId="77777777" w:rsidR="00955260" w:rsidRPr="00731281" w:rsidRDefault="00955260" w:rsidP="00672B6F">
            <w:pPr>
              <w:rPr>
                <w:b/>
                <w:color w:val="FFFFFF" w:themeColor="background1"/>
                <w:lang w:val="en-GB"/>
              </w:rPr>
            </w:pPr>
            <w:r w:rsidRPr="00731281">
              <w:rPr>
                <w:b/>
                <w:color w:val="FFFFFF" w:themeColor="background1"/>
                <w:lang w:val="en-GB"/>
              </w:rPr>
              <w:t>Earliest possible age at onset in years</w:t>
            </w:r>
          </w:p>
        </w:tc>
      </w:tr>
      <w:tr w:rsidR="00955260" w:rsidRPr="00731281" w14:paraId="6095A202" w14:textId="77777777" w:rsidTr="00646478">
        <w:trPr>
          <w:trHeight w:val="1020"/>
        </w:trPr>
        <w:tc>
          <w:tcPr>
            <w:tcW w:w="2972"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18673587" w14:textId="77777777" w:rsidR="00955260" w:rsidRPr="00BE1859" w:rsidRDefault="00955260" w:rsidP="00646478">
            <w:pPr>
              <w:pStyle w:val="NoSpacing"/>
              <w:spacing w:after="0"/>
              <w:ind w:left="79"/>
              <w:rPr>
                <w:sz w:val="22"/>
                <w:lang w:val="en-GB"/>
              </w:rPr>
            </w:pPr>
            <w:r w:rsidRPr="00BE1859">
              <w:rPr>
                <w:sz w:val="22"/>
                <w:lang w:val="en-GB"/>
              </w:rPr>
              <w:t>Mental and behavioral disorders due to psychoactive Substance use</w:t>
            </w:r>
          </w:p>
        </w:tc>
        <w:tc>
          <w:tcPr>
            <w:tcW w:w="1937"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A7D3C42" w14:textId="77777777" w:rsidR="00955260" w:rsidRPr="00BE1859" w:rsidRDefault="00955260" w:rsidP="00646478">
            <w:pPr>
              <w:pStyle w:val="NoSpacing"/>
              <w:spacing w:after="0"/>
              <w:ind w:left="217"/>
              <w:rPr>
                <w:sz w:val="22"/>
                <w:lang w:val="en-GB"/>
              </w:rPr>
            </w:pPr>
            <w:r w:rsidRPr="00BE1859">
              <w:rPr>
                <w:sz w:val="22"/>
                <w:lang w:val="en-GB"/>
              </w:rPr>
              <w:t>Substance use disorders</w:t>
            </w:r>
          </w:p>
        </w:tc>
        <w:tc>
          <w:tcPr>
            <w:tcW w:w="155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17D7D01" w14:textId="77777777" w:rsidR="00955260" w:rsidRPr="00BE1859" w:rsidRDefault="00955260" w:rsidP="00646478">
            <w:pPr>
              <w:pStyle w:val="NoSpacing"/>
              <w:spacing w:after="0"/>
              <w:ind w:left="267" w:hanging="142"/>
              <w:rPr>
                <w:sz w:val="22"/>
                <w:lang w:val="en-GB"/>
              </w:rPr>
            </w:pPr>
            <w:r w:rsidRPr="00BE1859">
              <w:rPr>
                <w:sz w:val="22"/>
                <w:lang w:val="en-GB"/>
              </w:rPr>
              <w:t>F10 - F19</w:t>
            </w:r>
          </w:p>
        </w:tc>
        <w:tc>
          <w:tcPr>
            <w:tcW w:w="255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6315EB7" w14:textId="77777777" w:rsidR="00955260" w:rsidRPr="00BE1859" w:rsidRDefault="00955260" w:rsidP="00646478">
            <w:pPr>
              <w:pStyle w:val="NoSpacing"/>
              <w:spacing w:after="0"/>
              <w:rPr>
                <w:sz w:val="22"/>
                <w:lang w:val="en-GB"/>
              </w:rPr>
            </w:pPr>
            <w:r w:rsidRPr="00BE1859">
              <w:rPr>
                <w:sz w:val="22"/>
                <w:lang w:val="en-GB"/>
              </w:rPr>
              <w:t>291.x9, 294.39, 303.x9, 303.20, 303.28, 303.90, 304.x9</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0B53AB" w14:textId="77777777" w:rsidR="00955260" w:rsidRPr="00BE1859" w:rsidRDefault="00955260" w:rsidP="00646478">
            <w:pPr>
              <w:pStyle w:val="NoSpacing"/>
              <w:spacing w:after="0"/>
              <w:jc w:val="center"/>
              <w:rPr>
                <w:sz w:val="22"/>
                <w:lang w:val="en-GB"/>
              </w:rPr>
            </w:pPr>
            <w:r w:rsidRPr="00BE1859">
              <w:rPr>
                <w:sz w:val="22"/>
                <w:lang w:val="en-GB"/>
              </w:rPr>
              <w:t>10</w:t>
            </w:r>
          </w:p>
        </w:tc>
      </w:tr>
      <w:tr w:rsidR="00955260" w:rsidRPr="00731281" w14:paraId="102B024E" w14:textId="77777777" w:rsidTr="00646478">
        <w:trPr>
          <w:trHeight w:val="900"/>
        </w:trPr>
        <w:tc>
          <w:tcPr>
            <w:tcW w:w="2972"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67750D3A" w14:textId="77777777" w:rsidR="00955260" w:rsidRPr="00BE1859" w:rsidRDefault="00955260" w:rsidP="00646478">
            <w:pPr>
              <w:pStyle w:val="NoSpacing"/>
              <w:spacing w:after="0"/>
              <w:ind w:left="79"/>
              <w:rPr>
                <w:sz w:val="22"/>
                <w:lang w:val="en-GB"/>
              </w:rPr>
            </w:pPr>
            <w:r w:rsidRPr="00BE1859">
              <w:rPr>
                <w:sz w:val="22"/>
                <w:lang w:val="en-GB"/>
              </w:rPr>
              <w:t>Schizophrenia</w:t>
            </w:r>
          </w:p>
        </w:tc>
        <w:tc>
          <w:tcPr>
            <w:tcW w:w="19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089567F" w14:textId="77777777" w:rsidR="00955260" w:rsidRPr="00BE1859" w:rsidRDefault="00955260" w:rsidP="00646478">
            <w:pPr>
              <w:pStyle w:val="NoSpacing"/>
              <w:spacing w:after="0"/>
              <w:ind w:left="217"/>
              <w:rPr>
                <w:sz w:val="22"/>
                <w:lang w:val="en-GB"/>
              </w:rPr>
            </w:pPr>
            <w:r w:rsidRPr="00BE1859">
              <w:rPr>
                <w:sz w:val="22"/>
                <w:lang w:val="en-GB"/>
              </w:rPr>
              <w:t>Schizophrenia</w:t>
            </w:r>
          </w:p>
        </w:tc>
        <w:tc>
          <w:tcPr>
            <w:tcW w:w="155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FC7F33D" w14:textId="77777777" w:rsidR="00955260" w:rsidRPr="00BE1859" w:rsidRDefault="00955260" w:rsidP="00646478">
            <w:pPr>
              <w:pStyle w:val="NoSpacing"/>
              <w:spacing w:after="0"/>
              <w:ind w:left="267" w:hanging="142"/>
              <w:rPr>
                <w:sz w:val="22"/>
                <w:lang w:val="en-GB"/>
              </w:rPr>
            </w:pPr>
            <w:r w:rsidRPr="00BE1859">
              <w:rPr>
                <w:sz w:val="22"/>
                <w:lang w:val="en-GB"/>
              </w:rPr>
              <w:t>F20 - F29</w:t>
            </w:r>
          </w:p>
        </w:tc>
        <w:tc>
          <w:tcPr>
            <w:tcW w:w="255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4CB78B3" w14:textId="77777777" w:rsidR="00955260" w:rsidRPr="00BE1859" w:rsidRDefault="00955260" w:rsidP="00646478">
            <w:pPr>
              <w:pStyle w:val="NoSpacing"/>
              <w:spacing w:after="0"/>
              <w:rPr>
                <w:sz w:val="22"/>
                <w:lang w:val="en-GB"/>
              </w:rPr>
            </w:pPr>
            <w:r w:rsidRPr="00BE1859">
              <w:rPr>
                <w:sz w:val="22"/>
                <w:lang w:val="en-GB"/>
              </w:rPr>
              <w:t>295.x9, 296.89, 297.x9, 298.29-298.99, 299.04, 299.05, 299.09, 301.83</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E24982" w14:textId="77777777" w:rsidR="00955260" w:rsidRPr="00BE1859" w:rsidRDefault="00955260" w:rsidP="00646478">
            <w:pPr>
              <w:pStyle w:val="NoSpacing"/>
              <w:spacing w:after="0"/>
              <w:jc w:val="center"/>
              <w:rPr>
                <w:sz w:val="22"/>
                <w:lang w:val="en-GB"/>
              </w:rPr>
            </w:pPr>
            <w:r w:rsidRPr="00BE1859">
              <w:rPr>
                <w:sz w:val="22"/>
                <w:lang w:val="en-GB"/>
              </w:rPr>
              <w:t>10</w:t>
            </w:r>
          </w:p>
        </w:tc>
      </w:tr>
      <w:tr w:rsidR="00955260" w:rsidRPr="00731281" w14:paraId="168C36DA" w14:textId="77777777" w:rsidTr="00646478">
        <w:trPr>
          <w:trHeight w:val="600"/>
        </w:trPr>
        <w:tc>
          <w:tcPr>
            <w:tcW w:w="2972"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5D042A66" w14:textId="77777777" w:rsidR="00955260" w:rsidRPr="00BE1859" w:rsidRDefault="00955260" w:rsidP="00646478">
            <w:pPr>
              <w:pStyle w:val="NoSpacing"/>
              <w:spacing w:after="0"/>
              <w:ind w:left="79"/>
              <w:rPr>
                <w:sz w:val="22"/>
                <w:lang w:val="en-GB"/>
              </w:rPr>
            </w:pPr>
            <w:r w:rsidRPr="00BE1859">
              <w:rPr>
                <w:sz w:val="22"/>
                <w:lang w:val="en-GB"/>
              </w:rPr>
              <w:t>Mood disorders</w:t>
            </w:r>
          </w:p>
        </w:tc>
        <w:tc>
          <w:tcPr>
            <w:tcW w:w="19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3DB7083" w14:textId="77777777" w:rsidR="00955260" w:rsidRPr="00BE1859" w:rsidRDefault="00955260" w:rsidP="00646478">
            <w:pPr>
              <w:pStyle w:val="NoSpacing"/>
              <w:spacing w:after="0"/>
              <w:ind w:left="217"/>
              <w:rPr>
                <w:sz w:val="22"/>
                <w:lang w:val="en-GB"/>
              </w:rPr>
            </w:pPr>
            <w:r w:rsidRPr="00BE1859">
              <w:rPr>
                <w:sz w:val="22"/>
                <w:lang w:val="en-GB"/>
              </w:rPr>
              <w:t>Mood disorders</w:t>
            </w:r>
          </w:p>
        </w:tc>
        <w:tc>
          <w:tcPr>
            <w:tcW w:w="155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47802D2" w14:textId="77777777" w:rsidR="00955260" w:rsidRPr="00BE1859" w:rsidRDefault="00955260" w:rsidP="00646478">
            <w:pPr>
              <w:pStyle w:val="NoSpacing"/>
              <w:spacing w:after="0"/>
              <w:ind w:left="267" w:hanging="142"/>
              <w:rPr>
                <w:sz w:val="22"/>
                <w:lang w:val="en-GB"/>
              </w:rPr>
            </w:pPr>
            <w:r w:rsidRPr="00BE1859">
              <w:rPr>
                <w:sz w:val="22"/>
                <w:lang w:val="en-GB"/>
              </w:rPr>
              <w:t>F30 - F39</w:t>
            </w:r>
          </w:p>
        </w:tc>
        <w:tc>
          <w:tcPr>
            <w:tcW w:w="255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B10F2BA" w14:textId="77777777" w:rsidR="00955260" w:rsidRPr="00BE1859" w:rsidRDefault="00955260" w:rsidP="00646478">
            <w:pPr>
              <w:pStyle w:val="NoSpacing"/>
              <w:spacing w:after="0"/>
              <w:rPr>
                <w:sz w:val="22"/>
                <w:lang w:val="en-GB"/>
              </w:rPr>
            </w:pPr>
            <w:r w:rsidRPr="00BE1859">
              <w:rPr>
                <w:sz w:val="22"/>
                <w:lang w:val="en-GB"/>
              </w:rPr>
              <w:t>296.x9 (excluding 296.89), 298.09, 298.19, 300.49, 301.19</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3CAB81" w14:textId="77777777" w:rsidR="00955260" w:rsidRPr="00BE1859" w:rsidRDefault="00955260" w:rsidP="00646478">
            <w:pPr>
              <w:pStyle w:val="NoSpacing"/>
              <w:spacing w:after="0"/>
              <w:jc w:val="center"/>
              <w:rPr>
                <w:sz w:val="22"/>
                <w:lang w:val="en-GB"/>
              </w:rPr>
            </w:pPr>
            <w:r w:rsidRPr="00BE1859">
              <w:rPr>
                <w:sz w:val="22"/>
                <w:lang w:val="en-GB"/>
              </w:rPr>
              <w:t>10</w:t>
            </w:r>
          </w:p>
        </w:tc>
      </w:tr>
      <w:tr w:rsidR="00955260" w:rsidRPr="00731281" w14:paraId="0979AF76" w14:textId="77777777" w:rsidTr="00646478">
        <w:trPr>
          <w:trHeight w:val="600"/>
        </w:trPr>
        <w:tc>
          <w:tcPr>
            <w:tcW w:w="2972"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1C210B82" w14:textId="77777777" w:rsidR="00955260" w:rsidRPr="00BE1859" w:rsidRDefault="00955260" w:rsidP="00646478">
            <w:pPr>
              <w:pStyle w:val="NoSpacing"/>
              <w:spacing w:after="0"/>
              <w:ind w:left="79"/>
              <w:rPr>
                <w:sz w:val="22"/>
                <w:lang w:val="en-GB"/>
              </w:rPr>
            </w:pPr>
            <w:r w:rsidRPr="00BE1859">
              <w:rPr>
                <w:sz w:val="22"/>
                <w:lang w:val="en-GB"/>
              </w:rPr>
              <w:t>Neurotic, stress-related, and somatoform disorders</w:t>
            </w:r>
          </w:p>
        </w:tc>
        <w:tc>
          <w:tcPr>
            <w:tcW w:w="19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AC34A8D" w14:textId="77777777" w:rsidR="00955260" w:rsidRPr="00BE1859" w:rsidRDefault="00955260" w:rsidP="00646478">
            <w:pPr>
              <w:pStyle w:val="NoSpacing"/>
              <w:spacing w:after="0"/>
              <w:ind w:left="217"/>
              <w:rPr>
                <w:sz w:val="22"/>
                <w:lang w:val="en-GB"/>
              </w:rPr>
            </w:pPr>
            <w:r w:rsidRPr="00BE1859">
              <w:rPr>
                <w:sz w:val="22"/>
                <w:lang w:val="en-GB"/>
              </w:rPr>
              <w:t>Neurotic disorders</w:t>
            </w:r>
          </w:p>
        </w:tc>
        <w:tc>
          <w:tcPr>
            <w:tcW w:w="155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10FD245" w14:textId="77777777" w:rsidR="00955260" w:rsidRPr="00BE1859" w:rsidRDefault="00955260" w:rsidP="00646478">
            <w:pPr>
              <w:pStyle w:val="NoSpacing"/>
              <w:spacing w:after="0"/>
              <w:ind w:left="267" w:hanging="142"/>
              <w:rPr>
                <w:sz w:val="22"/>
                <w:lang w:val="en-GB"/>
              </w:rPr>
            </w:pPr>
            <w:r w:rsidRPr="00BE1859">
              <w:rPr>
                <w:sz w:val="22"/>
                <w:lang w:val="en-GB"/>
              </w:rPr>
              <w:t>F40 - F48</w:t>
            </w:r>
          </w:p>
        </w:tc>
        <w:tc>
          <w:tcPr>
            <w:tcW w:w="255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702931C" w14:textId="77777777" w:rsidR="00955260" w:rsidRPr="00BE1859" w:rsidRDefault="00955260" w:rsidP="00646478">
            <w:pPr>
              <w:pStyle w:val="NoSpacing"/>
              <w:spacing w:after="0"/>
              <w:rPr>
                <w:sz w:val="22"/>
                <w:lang w:val="en-GB"/>
              </w:rPr>
            </w:pPr>
            <w:r w:rsidRPr="00BE1859">
              <w:rPr>
                <w:sz w:val="22"/>
                <w:lang w:val="en-GB"/>
              </w:rPr>
              <w:t>300.x9 (excluding 300.49), 305.x9, 305.68, 307.99</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D25E56" w14:textId="77777777" w:rsidR="00955260" w:rsidRPr="00BE1859" w:rsidRDefault="00955260" w:rsidP="00646478">
            <w:pPr>
              <w:pStyle w:val="NoSpacing"/>
              <w:spacing w:after="0"/>
              <w:jc w:val="center"/>
              <w:rPr>
                <w:sz w:val="22"/>
                <w:lang w:val="en-GB"/>
              </w:rPr>
            </w:pPr>
            <w:r w:rsidRPr="00BE1859">
              <w:rPr>
                <w:sz w:val="22"/>
                <w:lang w:val="en-GB"/>
              </w:rPr>
              <w:t>5</w:t>
            </w:r>
          </w:p>
        </w:tc>
      </w:tr>
      <w:tr w:rsidR="00955260" w:rsidRPr="00731281" w14:paraId="144B1AF4" w14:textId="77777777" w:rsidTr="00646478">
        <w:trPr>
          <w:trHeight w:val="300"/>
        </w:trPr>
        <w:tc>
          <w:tcPr>
            <w:tcW w:w="2972"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1C4CE769" w14:textId="77777777" w:rsidR="00955260" w:rsidRPr="00BE1859" w:rsidRDefault="00955260" w:rsidP="00646478">
            <w:pPr>
              <w:pStyle w:val="NoSpacing"/>
              <w:spacing w:after="0"/>
              <w:ind w:left="79"/>
              <w:rPr>
                <w:sz w:val="22"/>
                <w:lang w:val="en-GB"/>
              </w:rPr>
            </w:pPr>
            <w:r w:rsidRPr="00BE1859">
              <w:rPr>
                <w:sz w:val="22"/>
                <w:lang w:val="en-GB"/>
              </w:rPr>
              <w:t>Eating disorders</w:t>
            </w:r>
          </w:p>
        </w:tc>
        <w:tc>
          <w:tcPr>
            <w:tcW w:w="19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D565AB2" w14:textId="77777777" w:rsidR="00955260" w:rsidRPr="00BE1859" w:rsidRDefault="00955260" w:rsidP="00646478">
            <w:pPr>
              <w:pStyle w:val="NoSpacing"/>
              <w:spacing w:after="0"/>
              <w:ind w:left="217"/>
              <w:rPr>
                <w:sz w:val="22"/>
                <w:lang w:val="en-GB"/>
              </w:rPr>
            </w:pPr>
            <w:r w:rsidRPr="00BE1859">
              <w:rPr>
                <w:sz w:val="22"/>
                <w:lang w:val="en-GB"/>
              </w:rPr>
              <w:t>Eating disorders</w:t>
            </w:r>
          </w:p>
        </w:tc>
        <w:tc>
          <w:tcPr>
            <w:tcW w:w="155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4E2374F" w14:textId="77777777" w:rsidR="00955260" w:rsidRPr="00BE1859" w:rsidRDefault="00955260" w:rsidP="00646478">
            <w:pPr>
              <w:pStyle w:val="NoSpacing"/>
              <w:spacing w:after="0"/>
              <w:ind w:left="267" w:hanging="142"/>
              <w:rPr>
                <w:sz w:val="22"/>
                <w:lang w:val="en-GB"/>
              </w:rPr>
            </w:pPr>
            <w:r w:rsidRPr="00BE1859">
              <w:rPr>
                <w:sz w:val="22"/>
                <w:lang w:val="en-GB"/>
              </w:rPr>
              <w:t>F50</w:t>
            </w:r>
          </w:p>
        </w:tc>
        <w:tc>
          <w:tcPr>
            <w:tcW w:w="255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570809A" w14:textId="41B20414" w:rsidR="00955260" w:rsidRPr="00BE1859" w:rsidRDefault="00955260" w:rsidP="00646478">
            <w:pPr>
              <w:pStyle w:val="NoSpacing"/>
              <w:spacing w:after="0"/>
              <w:rPr>
                <w:sz w:val="22"/>
                <w:lang w:val="en-GB"/>
              </w:rPr>
            </w:pPr>
            <w:r w:rsidRPr="00BE1859">
              <w:rPr>
                <w:sz w:val="22"/>
                <w:lang w:val="en-GB"/>
              </w:rPr>
              <w:t>306.50, 306.58, 306.59</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0288E8" w14:textId="77777777" w:rsidR="00955260" w:rsidRPr="00BE1859" w:rsidRDefault="00955260" w:rsidP="00646478">
            <w:pPr>
              <w:pStyle w:val="NoSpacing"/>
              <w:spacing w:after="0"/>
              <w:jc w:val="center"/>
              <w:rPr>
                <w:sz w:val="22"/>
                <w:lang w:val="en-GB"/>
              </w:rPr>
            </w:pPr>
            <w:r w:rsidRPr="00BE1859">
              <w:rPr>
                <w:sz w:val="22"/>
                <w:lang w:val="en-GB"/>
              </w:rPr>
              <w:t>1</w:t>
            </w:r>
          </w:p>
        </w:tc>
      </w:tr>
      <w:tr w:rsidR="00955260" w:rsidRPr="00731281" w14:paraId="6F29BF1E" w14:textId="77777777" w:rsidTr="00646478">
        <w:trPr>
          <w:trHeight w:val="600"/>
        </w:trPr>
        <w:tc>
          <w:tcPr>
            <w:tcW w:w="2972"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2055C10F" w14:textId="77777777" w:rsidR="00955260" w:rsidRPr="00BE1859" w:rsidRDefault="00955260" w:rsidP="00646478">
            <w:pPr>
              <w:pStyle w:val="NoSpacing"/>
              <w:spacing w:after="0"/>
              <w:ind w:left="79"/>
              <w:rPr>
                <w:sz w:val="22"/>
                <w:lang w:val="en-GB"/>
              </w:rPr>
            </w:pPr>
            <w:r w:rsidRPr="00BE1859">
              <w:rPr>
                <w:sz w:val="22"/>
                <w:lang w:val="en-GB"/>
              </w:rPr>
              <w:t>Specific personality disorders</w:t>
            </w:r>
          </w:p>
        </w:tc>
        <w:tc>
          <w:tcPr>
            <w:tcW w:w="19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4DC1BB1" w14:textId="77777777" w:rsidR="00955260" w:rsidRPr="00BE1859" w:rsidRDefault="00955260" w:rsidP="00646478">
            <w:pPr>
              <w:pStyle w:val="NoSpacing"/>
              <w:spacing w:after="0"/>
              <w:ind w:left="217"/>
              <w:rPr>
                <w:sz w:val="22"/>
                <w:lang w:val="en-GB"/>
              </w:rPr>
            </w:pPr>
            <w:r w:rsidRPr="00BE1859">
              <w:rPr>
                <w:sz w:val="22"/>
                <w:lang w:val="en-GB"/>
              </w:rPr>
              <w:t>Personality disorders</w:t>
            </w:r>
          </w:p>
        </w:tc>
        <w:tc>
          <w:tcPr>
            <w:tcW w:w="155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B1F1477" w14:textId="77777777" w:rsidR="00955260" w:rsidRPr="00BE1859" w:rsidRDefault="00955260" w:rsidP="00646478">
            <w:pPr>
              <w:pStyle w:val="NoSpacing"/>
              <w:spacing w:after="0"/>
              <w:ind w:left="267" w:hanging="142"/>
              <w:rPr>
                <w:sz w:val="22"/>
                <w:lang w:val="en-GB"/>
              </w:rPr>
            </w:pPr>
            <w:r w:rsidRPr="00BE1859">
              <w:rPr>
                <w:sz w:val="22"/>
                <w:lang w:val="en-GB"/>
              </w:rPr>
              <w:t>F60</w:t>
            </w:r>
          </w:p>
        </w:tc>
        <w:tc>
          <w:tcPr>
            <w:tcW w:w="255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260F7CA" w14:textId="77777777" w:rsidR="00955260" w:rsidRPr="00BE1859" w:rsidRDefault="00955260" w:rsidP="00646478">
            <w:pPr>
              <w:pStyle w:val="NoSpacing"/>
              <w:spacing w:after="0"/>
              <w:rPr>
                <w:sz w:val="22"/>
                <w:lang w:val="en-GB"/>
              </w:rPr>
            </w:pPr>
            <w:r w:rsidRPr="00BE1859">
              <w:rPr>
                <w:sz w:val="22"/>
                <w:lang w:val="en-GB"/>
              </w:rPr>
              <w:t>301.x9 (excluding 301.19), 301.80, 301.81, 301.82, 301.84</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0EE310" w14:textId="77777777" w:rsidR="00955260" w:rsidRPr="00BE1859" w:rsidRDefault="00955260" w:rsidP="00646478">
            <w:pPr>
              <w:pStyle w:val="NoSpacing"/>
              <w:spacing w:after="0"/>
              <w:jc w:val="center"/>
              <w:rPr>
                <w:sz w:val="22"/>
                <w:lang w:val="en-GB"/>
              </w:rPr>
            </w:pPr>
            <w:r w:rsidRPr="00BE1859">
              <w:rPr>
                <w:sz w:val="22"/>
                <w:lang w:val="en-GB"/>
              </w:rPr>
              <w:t>10</w:t>
            </w:r>
          </w:p>
        </w:tc>
      </w:tr>
      <w:tr w:rsidR="00955260" w:rsidRPr="00731281" w14:paraId="3EDD173F" w14:textId="77777777" w:rsidTr="00646478">
        <w:trPr>
          <w:trHeight w:val="600"/>
        </w:trPr>
        <w:tc>
          <w:tcPr>
            <w:tcW w:w="2972"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2F95C7BA" w14:textId="77777777" w:rsidR="00955260" w:rsidRPr="00BE1859" w:rsidRDefault="00955260" w:rsidP="00646478">
            <w:pPr>
              <w:pStyle w:val="NoSpacing"/>
              <w:spacing w:after="0"/>
              <w:ind w:left="79"/>
              <w:rPr>
                <w:sz w:val="22"/>
                <w:lang w:val="en-GB"/>
              </w:rPr>
            </w:pPr>
            <w:r w:rsidRPr="00BE1859">
              <w:rPr>
                <w:sz w:val="22"/>
                <w:lang w:val="en-GB"/>
              </w:rPr>
              <w:t>Intellectual Disabilities</w:t>
            </w:r>
          </w:p>
        </w:tc>
        <w:tc>
          <w:tcPr>
            <w:tcW w:w="19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01BFEB8" w14:textId="77777777" w:rsidR="00955260" w:rsidRPr="00BE1859" w:rsidRDefault="00955260" w:rsidP="00646478">
            <w:pPr>
              <w:pStyle w:val="NoSpacing"/>
              <w:spacing w:after="0"/>
              <w:ind w:left="217"/>
              <w:rPr>
                <w:sz w:val="22"/>
                <w:lang w:val="en-GB"/>
              </w:rPr>
            </w:pPr>
            <w:r w:rsidRPr="00BE1859">
              <w:rPr>
                <w:sz w:val="22"/>
                <w:lang w:val="en-GB"/>
              </w:rPr>
              <w:t>Intellectual Disabilities</w:t>
            </w:r>
          </w:p>
        </w:tc>
        <w:tc>
          <w:tcPr>
            <w:tcW w:w="155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D078BA5" w14:textId="77777777" w:rsidR="00955260" w:rsidRPr="00BE1859" w:rsidRDefault="00955260" w:rsidP="00646478">
            <w:pPr>
              <w:pStyle w:val="NoSpacing"/>
              <w:spacing w:after="0"/>
              <w:ind w:left="267" w:hanging="142"/>
              <w:rPr>
                <w:sz w:val="22"/>
                <w:lang w:val="en-GB"/>
              </w:rPr>
            </w:pPr>
            <w:r w:rsidRPr="00BE1859">
              <w:rPr>
                <w:sz w:val="22"/>
                <w:lang w:val="en-GB"/>
              </w:rPr>
              <w:t>F70 - F79</w:t>
            </w:r>
          </w:p>
        </w:tc>
        <w:tc>
          <w:tcPr>
            <w:tcW w:w="255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58518A0" w14:textId="77777777" w:rsidR="00955260" w:rsidRPr="00BE1859" w:rsidRDefault="00955260" w:rsidP="00646478">
            <w:pPr>
              <w:pStyle w:val="NoSpacing"/>
              <w:spacing w:after="0"/>
              <w:rPr>
                <w:sz w:val="22"/>
                <w:lang w:val="en-GB"/>
              </w:rPr>
            </w:pPr>
            <w:r w:rsidRPr="00BE1859">
              <w:rPr>
                <w:sz w:val="22"/>
                <w:lang w:val="en-GB"/>
              </w:rPr>
              <w:t>311.xx, 312.xx, 313.xx, 314.xx, 315.xx</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0E8A50" w14:textId="77777777" w:rsidR="00955260" w:rsidRPr="00BE1859" w:rsidRDefault="00955260" w:rsidP="00646478">
            <w:pPr>
              <w:pStyle w:val="NoSpacing"/>
              <w:spacing w:after="0"/>
              <w:jc w:val="center"/>
              <w:rPr>
                <w:sz w:val="22"/>
                <w:lang w:val="en-GB"/>
              </w:rPr>
            </w:pPr>
            <w:r w:rsidRPr="00BE1859">
              <w:rPr>
                <w:sz w:val="22"/>
                <w:lang w:val="en-GB"/>
              </w:rPr>
              <w:t>1</w:t>
            </w:r>
          </w:p>
        </w:tc>
      </w:tr>
      <w:tr w:rsidR="00955260" w:rsidRPr="00731281" w14:paraId="78EC7DA7" w14:textId="77777777" w:rsidTr="00646478">
        <w:trPr>
          <w:trHeight w:val="680"/>
        </w:trPr>
        <w:tc>
          <w:tcPr>
            <w:tcW w:w="2972"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42D1B337" w14:textId="77777777" w:rsidR="00955260" w:rsidRPr="00BE1859" w:rsidRDefault="00955260" w:rsidP="00646478">
            <w:pPr>
              <w:pStyle w:val="NoSpacing"/>
              <w:spacing w:after="0"/>
              <w:ind w:left="79"/>
              <w:rPr>
                <w:sz w:val="22"/>
                <w:lang w:val="en-GB"/>
              </w:rPr>
            </w:pPr>
            <w:r w:rsidRPr="00BE1859">
              <w:rPr>
                <w:sz w:val="22"/>
                <w:lang w:val="en-GB"/>
              </w:rPr>
              <w:t>Pervasive developmental disorders</w:t>
            </w:r>
          </w:p>
        </w:tc>
        <w:tc>
          <w:tcPr>
            <w:tcW w:w="19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1D50AF8" w14:textId="77777777" w:rsidR="00955260" w:rsidRPr="00BE1859" w:rsidRDefault="00955260" w:rsidP="00646478">
            <w:pPr>
              <w:pStyle w:val="NoSpacing"/>
              <w:spacing w:after="0"/>
              <w:ind w:left="217"/>
              <w:rPr>
                <w:sz w:val="22"/>
                <w:lang w:val="en-GB"/>
              </w:rPr>
            </w:pPr>
            <w:r w:rsidRPr="00BE1859">
              <w:rPr>
                <w:sz w:val="22"/>
                <w:lang w:val="en-GB"/>
              </w:rPr>
              <w:t>Developmental disorders</w:t>
            </w:r>
          </w:p>
        </w:tc>
        <w:tc>
          <w:tcPr>
            <w:tcW w:w="155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512723B" w14:textId="77777777" w:rsidR="00955260" w:rsidRPr="00BE1859" w:rsidRDefault="00955260" w:rsidP="00646478">
            <w:pPr>
              <w:pStyle w:val="NoSpacing"/>
              <w:spacing w:after="0"/>
              <w:ind w:left="267" w:hanging="142"/>
              <w:rPr>
                <w:sz w:val="22"/>
                <w:lang w:val="en-GB"/>
              </w:rPr>
            </w:pPr>
            <w:r w:rsidRPr="00BE1859">
              <w:rPr>
                <w:sz w:val="22"/>
                <w:lang w:val="en-GB"/>
              </w:rPr>
              <w:t>F84</w:t>
            </w:r>
          </w:p>
        </w:tc>
        <w:tc>
          <w:tcPr>
            <w:tcW w:w="255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FB52CBD" w14:textId="77777777" w:rsidR="00955260" w:rsidRPr="00BE1859" w:rsidRDefault="00955260" w:rsidP="00646478">
            <w:pPr>
              <w:pStyle w:val="NoSpacing"/>
              <w:spacing w:after="0"/>
              <w:rPr>
                <w:sz w:val="22"/>
                <w:lang w:val="en-GB"/>
              </w:rPr>
            </w:pPr>
            <w:r w:rsidRPr="00BE1859">
              <w:rPr>
                <w:sz w:val="22"/>
                <w:lang w:val="en-GB"/>
              </w:rPr>
              <w:t>299.00, 299.01, 299.02, 299.03</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81F6F9" w14:textId="77777777" w:rsidR="00955260" w:rsidRPr="00BE1859" w:rsidRDefault="00955260" w:rsidP="00646478">
            <w:pPr>
              <w:pStyle w:val="NoSpacing"/>
              <w:spacing w:after="0"/>
              <w:jc w:val="center"/>
              <w:rPr>
                <w:sz w:val="22"/>
                <w:lang w:val="en-GB"/>
              </w:rPr>
            </w:pPr>
            <w:r w:rsidRPr="00BE1859">
              <w:rPr>
                <w:sz w:val="22"/>
                <w:lang w:val="en-GB"/>
              </w:rPr>
              <w:t>1</w:t>
            </w:r>
          </w:p>
        </w:tc>
      </w:tr>
      <w:tr w:rsidR="00955260" w:rsidRPr="00731281" w14:paraId="43A381BC" w14:textId="77777777" w:rsidTr="00646478">
        <w:trPr>
          <w:trHeight w:val="1304"/>
        </w:trPr>
        <w:tc>
          <w:tcPr>
            <w:tcW w:w="2972"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239D6FA6" w14:textId="77777777" w:rsidR="00955260" w:rsidRPr="00BE1859" w:rsidRDefault="00955260" w:rsidP="00646478">
            <w:pPr>
              <w:pStyle w:val="NoSpacing"/>
              <w:spacing w:after="0"/>
              <w:ind w:left="79"/>
              <w:rPr>
                <w:sz w:val="22"/>
                <w:lang w:val="en-GB"/>
              </w:rPr>
            </w:pPr>
            <w:r w:rsidRPr="00BE1859">
              <w:rPr>
                <w:sz w:val="22"/>
                <w:lang w:val="en-GB"/>
              </w:rPr>
              <w:t>Behavioral and emotional disorders with onset usually occurring in childhood and adolescence</w:t>
            </w:r>
          </w:p>
        </w:tc>
        <w:tc>
          <w:tcPr>
            <w:tcW w:w="19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9D0F012" w14:textId="77777777" w:rsidR="00955260" w:rsidRPr="00BE1859" w:rsidRDefault="00955260" w:rsidP="00646478">
            <w:pPr>
              <w:pStyle w:val="NoSpacing"/>
              <w:spacing w:after="0"/>
              <w:ind w:left="217"/>
              <w:rPr>
                <w:sz w:val="22"/>
                <w:lang w:val="en-GB"/>
              </w:rPr>
            </w:pPr>
            <w:r w:rsidRPr="00BE1859">
              <w:rPr>
                <w:sz w:val="22"/>
                <w:lang w:val="en-GB"/>
              </w:rPr>
              <w:t>Behavioral disorders</w:t>
            </w:r>
          </w:p>
        </w:tc>
        <w:tc>
          <w:tcPr>
            <w:tcW w:w="155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F96C84C" w14:textId="77777777" w:rsidR="00955260" w:rsidRPr="00BE1859" w:rsidRDefault="00955260" w:rsidP="00646478">
            <w:pPr>
              <w:pStyle w:val="NoSpacing"/>
              <w:spacing w:after="0"/>
              <w:rPr>
                <w:sz w:val="22"/>
                <w:lang w:val="en-GB"/>
              </w:rPr>
            </w:pPr>
            <w:r w:rsidRPr="00BE1859">
              <w:rPr>
                <w:sz w:val="22"/>
                <w:lang w:val="en-GB"/>
              </w:rPr>
              <w:t>F90 - F98</w:t>
            </w:r>
          </w:p>
        </w:tc>
        <w:tc>
          <w:tcPr>
            <w:tcW w:w="255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68EB259" w14:textId="77777777" w:rsidR="00955260" w:rsidRPr="00BE1859" w:rsidRDefault="00955260" w:rsidP="00646478">
            <w:pPr>
              <w:pStyle w:val="NoSpacing"/>
              <w:spacing w:after="0"/>
              <w:rPr>
                <w:sz w:val="22"/>
                <w:lang w:val="en-GB"/>
              </w:rPr>
            </w:pPr>
            <w:r w:rsidRPr="00BE1859">
              <w:rPr>
                <w:sz w:val="22"/>
                <w:lang w:val="en-GB"/>
              </w:rPr>
              <w:t>306.x9, 308.0x</w:t>
            </w:r>
          </w:p>
        </w:tc>
        <w:tc>
          <w:tcPr>
            <w:tcW w:w="18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5CD6A6" w14:textId="77777777" w:rsidR="00955260" w:rsidRPr="00BE1859" w:rsidRDefault="00955260" w:rsidP="00646478">
            <w:pPr>
              <w:pStyle w:val="NoSpacing"/>
              <w:spacing w:after="0"/>
              <w:jc w:val="center"/>
              <w:rPr>
                <w:sz w:val="22"/>
                <w:lang w:val="en-GB"/>
              </w:rPr>
            </w:pPr>
            <w:r w:rsidRPr="00BE1859">
              <w:rPr>
                <w:sz w:val="22"/>
                <w:lang w:val="en-GB"/>
              </w:rPr>
              <w:t>1</w:t>
            </w:r>
          </w:p>
        </w:tc>
      </w:tr>
      <w:tr w:rsidR="00955260" w:rsidRPr="00731281" w14:paraId="0D4D37E9" w14:textId="77777777" w:rsidTr="00646478">
        <w:trPr>
          <w:trHeight w:val="900"/>
        </w:trPr>
        <w:tc>
          <w:tcPr>
            <w:tcW w:w="2972"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72B4E48F" w14:textId="77777777" w:rsidR="00955260" w:rsidRPr="00BE1859" w:rsidRDefault="00955260" w:rsidP="00646478">
            <w:pPr>
              <w:pStyle w:val="NoSpacing"/>
              <w:spacing w:after="0"/>
              <w:ind w:left="79"/>
              <w:rPr>
                <w:sz w:val="22"/>
                <w:lang w:val="en-GB"/>
              </w:rPr>
            </w:pPr>
            <w:r w:rsidRPr="00BE1859">
              <w:rPr>
                <w:sz w:val="22"/>
                <w:lang w:val="en-GB"/>
              </w:rPr>
              <w:t>All groups</w:t>
            </w:r>
          </w:p>
        </w:tc>
        <w:tc>
          <w:tcPr>
            <w:tcW w:w="1937"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0B124EF" w14:textId="77777777" w:rsidR="00955260" w:rsidRPr="00BE1859" w:rsidRDefault="00955260" w:rsidP="00646478">
            <w:pPr>
              <w:pStyle w:val="NoSpacing"/>
              <w:spacing w:after="0"/>
              <w:ind w:left="217"/>
              <w:rPr>
                <w:sz w:val="22"/>
                <w:lang w:val="en-GB"/>
              </w:rPr>
            </w:pPr>
            <w:r w:rsidRPr="00BE1859">
              <w:rPr>
                <w:sz w:val="22"/>
                <w:lang w:val="en-GB"/>
              </w:rPr>
              <w:t>More than one mental disorder group</w:t>
            </w:r>
          </w:p>
        </w:tc>
        <w:tc>
          <w:tcPr>
            <w:tcW w:w="155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6E2965A" w14:textId="77777777" w:rsidR="00955260" w:rsidRPr="00BE1859" w:rsidRDefault="00955260" w:rsidP="00646478">
            <w:pPr>
              <w:pStyle w:val="NoSpacing"/>
              <w:spacing w:after="0"/>
              <w:rPr>
                <w:sz w:val="22"/>
                <w:lang w:val="en-GB"/>
              </w:rPr>
            </w:pPr>
            <w:r w:rsidRPr="00BE1859">
              <w:rPr>
                <w:sz w:val="22"/>
                <w:lang w:val="en-GB"/>
              </w:rPr>
              <w:t>F10-48, F50, F60, F70-F79, F84, F90-98</w:t>
            </w:r>
          </w:p>
        </w:tc>
        <w:tc>
          <w:tcPr>
            <w:tcW w:w="255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DAED701" w14:textId="77777777" w:rsidR="00955260" w:rsidRPr="00BE1859" w:rsidRDefault="00955260" w:rsidP="00646478">
            <w:pPr>
              <w:pStyle w:val="NoSpacing"/>
              <w:spacing w:after="0"/>
              <w:rPr>
                <w:sz w:val="22"/>
                <w:lang w:val="en-GB"/>
              </w:rPr>
            </w:pP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B392D" w14:textId="77777777" w:rsidR="00955260" w:rsidRPr="00BE1859" w:rsidRDefault="00955260" w:rsidP="00646478">
            <w:pPr>
              <w:spacing w:after="0"/>
              <w:jc w:val="center"/>
              <w:rPr>
                <w:sz w:val="22"/>
                <w:lang w:val="en-GB"/>
              </w:rPr>
            </w:pPr>
          </w:p>
        </w:tc>
      </w:tr>
    </w:tbl>
    <w:p w14:paraId="59FACB30" w14:textId="77777777" w:rsidR="000A5E72" w:rsidRDefault="000A5E72" w:rsidP="000A5E72">
      <w:pPr>
        <w:rPr>
          <w:rFonts w:eastAsiaTheme="majorEastAsia"/>
          <w:sz w:val="32"/>
          <w:szCs w:val="32"/>
          <w:lang w:val="en-GB"/>
        </w:rPr>
      </w:pPr>
      <w:bookmarkStart w:id="8" w:name="_Toc35433676"/>
      <w:r>
        <w:rPr>
          <w:lang w:val="en-GB"/>
        </w:rPr>
        <w:br w:type="page"/>
      </w:r>
    </w:p>
    <w:p w14:paraId="5F74497B" w14:textId="3E32AF90" w:rsidR="00CA025A" w:rsidRDefault="00CA025A" w:rsidP="00CA025A">
      <w:pPr>
        <w:pStyle w:val="Heading2"/>
        <w:ind w:left="0"/>
        <w:rPr>
          <w:lang w:val="en-GB"/>
        </w:rPr>
      </w:pPr>
      <w:bookmarkStart w:id="9" w:name="_Toc38626180"/>
      <w:bookmarkEnd w:id="8"/>
      <w:r w:rsidRPr="00CA025A">
        <w:rPr>
          <w:lang w:val="en-GB"/>
        </w:rPr>
        <w:lastRenderedPageBreak/>
        <w:t>eTable 3a: Prevalence-based studies</w:t>
      </w:r>
      <w:bookmarkEnd w:id="9"/>
      <w:r w:rsidRPr="00CA025A">
        <w:rPr>
          <w:lang w:val="en-GB"/>
        </w:rPr>
        <w:t xml:space="preserve"> </w:t>
      </w:r>
    </w:p>
    <w:p w14:paraId="3E15D683" w14:textId="557A5A6B" w:rsidR="00DC6A9A" w:rsidRPr="009E0540" w:rsidRDefault="002344CC" w:rsidP="00CA025A">
      <w:pPr>
        <w:rPr>
          <w:lang w:val="en-GB"/>
        </w:rPr>
      </w:pPr>
      <w:r w:rsidRPr="009E0540">
        <w:rPr>
          <w:lang w:val="en-GB"/>
        </w:rPr>
        <w:t>eTable 3a and 3b describes the</w:t>
      </w:r>
      <w:r w:rsidR="00D16A94" w:rsidRPr="009E0540">
        <w:rPr>
          <w:lang w:val="en-GB"/>
        </w:rPr>
        <w:t xml:space="preserve"> included studies by author(s), year of publication, epidemiological approach, cost categories, diagnostic criteria, reference year and currency.</w:t>
      </w:r>
    </w:p>
    <w:p w14:paraId="51EBAA24" w14:textId="77777777" w:rsidR="00C51477" w:rsidRPr="00CA025A" w:rsidRDefault="00C51477" w:rsidP="00A82BF9">
      <w:pPr>
        <w:spacing w:after="0"/>
        <w:rPr>
          <w:sz w:val="22"/>
          <w:lang w:val="en-GB"/>
        </w:rPr>
      </w:pPr>
    </w:p>
    <w:tbl>
      <w:tblPr>
        <w:tblW w:w="10632" w:type="dxa"/>
        <w:tblInd w:w="-851" w:type="dxa"/>
        <w:tblLayout w:type="fixed"/>
        <w:tblCellMar>
          <w:top w:w="15" w:type="dxa"/>
          <w:left w:w="15" w:type="dxa"/>
          <w:bottom w:w="15" w:type="dxa"/>
          <w:right w:w="15" w:type="dxa"/>
        </w:tblCellMar>
        <w:tblLook w:val="04A0" w:firstRow="1" w:lastRow="0" w:firstColumn="1" w:lastColumn="0" w:noHBand="0" w:noVBand="1"/>
      </w:tblPr>
      <w:tblGrid>
        <w:gridCol w:w="2411"/>
        <w:gridCol w:w="1843"/>
        <w:gridCol w:w="1985"/>
        <w:gridCol w:w="1841"/>
        <w:gridCol w:w="1416"/>
        <w:gridCol w:w="1136"/>
      </w:tblGrid>
      <w:tr w:rsidR="00B917D0" w:rsidRPr="00731281" w14:paraId="264CA803" w14:textId="77777777" w:rsidTr="00BB3494">
        <w:trPr>
          <w:tblHeader/>
        </w:trPr>
        <w:tc>
          <w:tcPr>
            <w:tcW w:w="2411" w:type="dxa"/>
            <w:tcBorders>
              <w:top w:val="single" w:sz="12" w:space="0" w:color="DBDBDB" w:themeColor="accent3" w:themeTint="66"/>
              <w:bottom w:val="single" w:sz="12" w:space="0" w:color="DDDDDD"/>
            </w:tcBorders>
            <w:shd w:val="clear" w:color="auto" w:fill="auto"/>
            <w:tcMar>
              <w:top w:w="120" w:type="dxa"/>
              <w:left w:w="120" w:type="dxa"/>
              <w:bottom w:w="120" w:type="dxa"/>
              <w:right w:w="120" w:type="dxa"/>
            </w:tcMar>
            <w:vAlign w:val="center"/>
            <w:hideMark/>
          </w:tcPr>
          <w:p w14:paraId="24F3DA02" w14:textId="36F7D00C" w:rsidR="00B917D0" w:rsidRPr="00731281" w:rsidRDefault="00B917D0" w:rsidP="000C32F5">
            <w:pPr>
              <w:spacing w:after="0" w:line="240" w:lineRule="auto"/>
              <w:rPr>
                <w:rFonts w:ascii="Times New Roman" w:hAnsi="Times New Roman" w:cs="Times New Roman"/>
                <w:b/>
                <w:sz w:val="20"/>
                <w:szCs w:val="20"/>
                <w:lang w:val="en-GB" w:eastAsia="en-GB"/>
              </w:rPr>
            </w:pPr>
            <w:r w:rsidRPr="00731281">
              <w:rPr>
                <w:rFonts w:ascii="Times New Roman" w:hAnsi="Times New Roman" w:cs="Times New Roman"/>
                <w:b/>
                <w:sz w:val="20"/>
                <w:szCs w:val="20"/>
                <w:lang w:val="en-GB" w:eastAsia="en-GB"/>
              </w:rPr>
              <w:t>Study</w:t>
            </w:r>
            <w:r>
              <w:rPr>
                <w:rFonts w:ascii="Times New Roman" w:hAnsi="Times New Roman" w:cs="Times New Roman"/>
                <w:b/>
                <w:sz w:val="20"/>
                <w:szCs w:val="20"/>
                <w:lang w:val="en-GB" w:eastAsia="en-GB"/>
              </w:rPr>
              <w:t xml:space="preserve"> </w:t>
            </w:r>
          </w:p>
        </w:tc>
        <w:tc>
          <w:tcPr>
            <w:tcW w:w="1843" w:type="dxa"/>
            <w:tcBorders>
              <w:top w:val="single" w:sz="12" w:space="0" w:color="DBDBDB" w:themeColor="accent3" w:themeTint="66"/>
              <w:bottom w:val="single" w:sz="12" w:space="0" w:color="DDDDDD"/>
            </w:tcBorders>
            <w:shd w:val="clear" w:color="auto" w:fill="auto"/>
            <w:tcMar>
              <w:top w:w="120" w:type="dxa"/>
              <w:left w:w="120" w:type="dxa"/>
              <w:bottom w:w="120" w:type="dxa"/>
              <w:right w:w="120" w:type="dxa"/>
            </w:tcMar>
            <w:vAlign w:val="center"/>
            <w:hideMark/>
          </w:tcPr>
          <w:p w14:paraId="1254B71A" w14:textId="27D1425E" w:rsidR="00B917D0" w:rsidRPr="00A82BF9" w:rsidRDefault="00B917D0" w:rsidP="00A82BF9">
            <w:pPr>
              <w:spacing w:after="0" w:line="240" w:lineRule="auto"/>
              <w:jc w:val="center"/>
              <w:rPr>
                <w:rFonts w:ascii="Times New Roman" w:hAnsi="Times New Roman" w:cs="Times New Roman"/>
                <w:b/>
                <w:sz w:val="20"/>
                <w:szCs w:val="20"/>
                <w:lang w:val="en-GB" w:eastAsia="en-GB"/>
              </w:rPr>
            </w:pPr>
            <w:r w:rsidRPr="00A82BF9">
              <w:rPr>
                <w:rFonts w:ascii="Times New Roman" w:hAnsi="Times New Roman" w:cs="Times New Roman"/>
                <w:b/>
                <w:sz w:val="20"/>
                <w:szCs w:val="20"/>
                <w:lang w:val="en-GB" w:eastAsia="en-GB"/>
              </w:rPr>
              <w:t>Cost category</w:t>
            </w:r>
          </w:p>
        </w:tc>
        <w:tc>
          <w:tcPr>
            <w:tcW w:w="1985" w:type="dxa"/>
            <w:tcBorders>
              <w:top w:val="single" w:sz="12" w:space="0" w:color="DBDBDB" w:themeColor="accent3" w:themeTint="66"/>
              <w:bottom w:val="single" w:sz="12" w:space="0" w:color="DBDBDB" w:themeColor="accent3" w:themeTint="66"/>
            </w:tcBorders>
            <w:shd w:val="clear" w:color="auto" w:fill="auto"/>
            <w:tcMar>
              <w:top w:w="120" w:type="dxa"/>
              <w:left w:w="120" w:type="dxa"/>
              <w:bottom w:w="120" w:type="dxa"/>
              <w:right w:w="120" w:type="dxa"/>
            </w:tcMar>
            <w:vAlign w:val="center"/>
            <w:hideMark/>
          </w:tcPr>
          <w:p w14:paraId="57012993" w14:textId="21EBC86C" w:rsidR="00B917D0" w:rsidRPr="00A82BF9" w:rsidRDefault="00B917D0" w:rsidP="00A82BF9">
            <w:pPr>
              <w:spacing w:after="0" w:line="240" w:lineRule="auto"/>
              <w:jc w:val="center"/>
              <w:rPr>
                <w:rFonts w:ascii="Times New Roman" w:hAnsi="Times New Roman" w:cs="Times New Roman"/>
                <w:b/>
                <w:sz w:val="20"/>
                <w:szCs w:val="20"/>
                <w:lang w:val="en-GB" w:eastAsia="en-GB"/>
              </w:rPr>
            </w:pPr>
            <w:r w:rsidRPr="00A82BF9">
              <w:rPr>
                <w:rFonts w:ascii="Times New Roman" w:hAnsi="Times New Roman" w:cs="Times New Roman"/>
                <w:b/>
                <w:sz w:val="20"/>
                <w:szCs w:val="20"/>
                <w:lang w:val="en-GB" w:eastAsia="en-GB"/>
              </w:rPr>
              <w:t>Disorder group</w:t>
            </w:r>
          </w:p>
        </w:tc>
        <w:tc>
          <w:tcPr>
            <w:tcW w:w="1841" w:type="dxa"/>
            <w:tcBorders>
              <w:top w:val="single" w:sz="12" w:space="0" w:color="DBDBDB" w:themeColor="accent3" w:themeTint="66"/>
              <w:bottom w:val="single" w:sz="12" w:space="0" w:color="DBDBDB" w:themeColor="accent3" w:themeTint="66"/>
            </w:tcBorders>
            <w:shd w:val="clear" w:color="auto" w:fill="auto"/>
            <w:tcMar>
              <w:top w:w="120" w:type="dxa"/>
              <w:left w:w="120" w:type="dxa"/>
              <w:bottom w:w="120" w:type="dxa"/>
              <w:right w:w="120" w:type="dxa"/>
            </w:tcMar>
            <w:vAlign w:val="center"/>
            <w:hideMark/>
          </w:tcPr>
          <w:p w14:paraId="62A4D107" w14:textId="6D749A84" w:rsidR="00B917D0" w:rsidRPr="00A82BF9" w:rsidRDefault="00B917D0" w:rsidP="00A82BF9">
            <w:pPr>
              <w:spacing w:after="0" w:line="240" w:lineRule="auto"/>
              <w:jc w:val="center"/>
              <w:rPr>
                <w:rFonts w:ascii="Times New Roman" w:hAnsi="Times New Roman" w:cs="Times New Roman"/>
                <w:b/>
                <w:sz w:val="20"/>
                <w:szCs w:val="20"/>
                <w:lang w:val="en-GB" w:eastAsia="en-GB"/>
              </w:rPr>
            </w:pPr>
            <w:r w:rsidRPr="00A82BF9">
              <w:rPr>
                <w:rFonts w:ascii="Times New Roman" w:hAnsi="Times New Roman" w:cs="Times New Roman"/>
                <w:b/>
                <w:sz w:val="20"/>
                <w:szCs w:val="20"/>
                <w:lang w:val="en-GB" w:eastAsia="en-GB"/>
              </w:rPr>
              <w:t>Diagnostic criteria</w:t>
            </w:r>
          </w:p>
        </w:tc>
        <w:tc>
          <w:tcPr>
            <w:tcW w:w="1416" w:type="dxa"/>
            <w:tcBorders>
              <w:top w:val="single" w:sz="12" w:space="0" w:color="DBDBDB" w:themeColor="accent3" w:themeTint="66"/>
              <w:bottom w:val="single" w:sz="12" w:space="0" w:color="DDDDDD"/>
            </w:tcBorders>
            <w:shd w:val="clear" w:color="auto" w:fill="auto"/>
            <w:tcMar>
              <w:top w:w="120" w:type="dxa"/>
              <w:left w:w="120" w:type="dxa"/>
              <w:bottom w:w="120" w:type="dxa"/>
              <w:right w:w="120" w:type="dxa"/>
            </w:tcMar>
            <w:vAlign w:val="center"/>
            <w:hideMark/>
          </w:tcPr>
          <w:p w14:paraId="67F3F792" w14:textId="2D58BE81" w:rsidR="00B917D0" w:rsidRPr="00A82BF9" w:rsidRDefault="00B917D0" w:rsidP="00A82BF9">
            <w:pPr>
              <w:spacing w:after="0" w:line="240" w:lineRule="auto"/>
              <w:jc w:val="center"/>
              <w:rPr>
                <w:rFonts w:ascii="Times New Roman" w:hAnsi="Times New Roman" w:cs="Times New Roman"/>
                <w:b/>
                <w:sz w:val="20"/>
                <w:szCs w:val="20"/>
                <w:lang w:val="en-GB" w:eastAsia="en-GB"/>
              </w:rPr>
            </w:pPr>
            <w:r w:rsidRPr="00A82BF9">
              <w:rPr>
                <w:rFonts w:ascii="Times New Roman" w:hAnsi="Times New Roman" w:cs="Times New Roman"/>
                <w:b/>
                <w:sz w:val="20"/>
                <w:szCs w:val="20"/>
                <w:lang w:val="en-GB" w:eastAsia="en-GB"/>
              </w:rPr>
              <w:t>Reference year</w:t>
            </w:r>
          </w:p>
        </w:tc>
        <w:tc>
          <w:tcPr>
            <w:tcW w:w="1136" w:type="dxa"/>
            <w:tcBorders>
              <w:top w:val="single" w:sz="12" w:space="0" w:color="DBDBDB" w:themeColor="accent3" w:themeTint="66"/>
              <w:bottom w:val="single" w:sz="12" w:space="0" w:color="DDDDDD"/>
            </w:tcBorders>
            <w:shd w:val="clear" w:color="auto" w:fill="auto"/>
            <w:tcMar>
              <w:top w:w="120" w:type="dxa"/>
              <w:left w:w="120" w:type="dxa"/>
              <w:bottom w:w="120" w:type="dxa"/>
              <w:right w:w="120" w:type="dxa"/>
            </w:tcMar>
            <w:vAlign w:val="center"/>
            <w:hideMark/>
          </w:tcPr>
          <w:p w14:paraId="156D89D0" w14:textId="40911AC7" w:rsidR="00B917D0" w:rsidRPr="00A82BF9" w:rsidRDefault="00B917D0" w:rsidP="00A82BF9">
            <w:pPr>
              <w:spacing w:after="0" w:line="240" w:lineRule="auto"/>
              <w:jc w:val="center"/>
              <w:rPr>
                <w:rFonts w:ascii="Times New Roman" w:hAnsi="Times New Roman" w:cs="Times New Roman"/>
                <w:b/>
                <w:sz w:val="20"/>
                <w:szCs w:val="20"/>
                <w:lang w:val="en-GB" w:eastAsia="en-GB"/>
              </w:rPr>
            </w:pPr>
            <w:r w:rsidRPr="00A82BF9">
              <w:rPr>
                <w:rFonts w:ascii="Times New Roman" w:hAnsi="Times New Roman" w:cs="Times New Roman"/>
                <w:b/>
                <w:sz w:val="20"/>
                <w:szCs w:val="20"/>
                <w:lang w:val="en-GB" w:eastAsia="en-GB"/>
              </w:rPr>
              <w:t>Currency</w:t>
            </w:r>
          </w:p>
        </w:tc>
      </w:tr>
      <w:tr w:rsidR="00B917D0" w:rsidRPr="00731281" w14:paraId="55A4997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50AB3F4D" w14:textId="27BDF9D7"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Amaddeo </w:t>
            </w:r>
            <w:r w:rsidR="00E73031" w:rsidRPr="00E73031">
              <w:rPr>
                <w:rFonts w:ascii="Times New Roman" w:hAnsi="Times New Roman" w:cs="Times New Roman"/>
                <w:i/>
                <w:sz w:val="18"/>
                <w:szCs w:val="18"/>
                <w:lang w:eastAsia="en-GB"/>
              </w:rPr>
              <w:t xml:space="preserve">et al., </w:t>
            </w:r>
            <w:r w:rsidRPr="000C32F5">
              <w:rPr>
                <w:rFonts w:ascii="Times New Roman" w:hAnsi="Times New Roman" w:cs="Times New Roman"/>
                <w:sz w:val="18"/>
                <w:szCs w:val="18"/>
                <w:lang w:val="en-GB" w:eastAsia="en-GB"/>
              </w:rPr>
              <w:t>1997</w:t>
            </w:r>
          </w:p>
        </w:tc>
        <w:tc>
          <w:tcPr>
            <w:tcW w:w="1843" w:type="dxa"/>
            <w:tcBorders>
              <w:top w:val="single" w:sz="6" w:space="0" w:color="DDDDDD"/>
            </w:tcBorders>
            <w:shd w:val="clear" w:color="auto" w:fill="auto"/>
            <w:tcMar>
              <w:top w:w="120" w:type="dxa"/>
              <w:left w:w="120" w:type="dxa"/>
              <w:bottom w:w="120" w:type="dxa"/>
              <w:right w:w="120" w:type="dxa"/>
            </w:tcMar>
          </w:tcPr>
          <w:p w14:paraId="54DCE050" w14:textId="1EDE665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12" w:space="0" w:color="DBDBDB" w:themeColor="accent3" w:themeTint="66"/>
            </w:tcBorders>
            <w:shd w:val="clear" w:color="auto" w:fill="auto"/>
            <w:tcMar>
              <w:top w:w="120" w:type="dxa"/>
              <w:left w:w="120" w:type="dxa"/>
              <w:bottom w:w="120" w:type="dxa"/>
              <w:right w:w="120" w:type="dxa"/>
            </w:tcMar>
          </w:tcPr>
          <w:p w14:paraId="38964A02" w14:textId="550904E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12" w:space="0" w:color="DBDBDB" w:themeColor="accent3" w:themeTint="66"/>
            </w:tcBorders>
            <w:shd w:val="clear" w:color="auto" w:fill="auto"/>
            <w:tcMar>
              <w:top w:w="120" w:type="dxa"/>
              <w:left w:w="120" w:type="dxa"/>
              <w:bottom w:w="120" w:type="dxa"/>
              <w:right w:w="120" w:type="dxa"/>
            </w:tcMar>
          </w:tcPr>
          <w:p w14:paraId="78A20C9C" w14:textId="560ED276"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tcPr>
          <w:p w14:paraId="7BCAAD5C" w14:textId="64581BC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1993</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2969A9D2" w14:textId="178501B9"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ITL</w:t>
            </w:r>
          </w:p>
        </w:tc>
      </w:tr>
      <w:tr w:rsidR="00B917D0" w:rsidRPr="00731281" w14:paraId="54362341"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6F2BA0BA" w14:textId="7142002B"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Andlin Sobocki </w:t>
            </w:r>
            <w:r w:rsidR="00E73031" w:rsidRPr="00E73031">
              <w:rPr>
                <w:rFonts w:ascii="Times New Roman" w:hAnsi="Times New Roman" w:cs="Times New Roman"/>
                <w:i/>
                <w:sz w:val="18"/>
                <w:szCs w:val="18"/>
                <w:lang w:eastAsia="en-GB"/>
              </w:rPr>
              <w:t xml:space="preserve">et al., </w:t>
            </w:r>
            <w:r w:rsidRPr="000C32F5">
              <w:rPr>
                <w:rFonts w:ascii="Times New Roman" w:hAnsi="Times New Roman" w:cs="Times New Roman"/>
                <w:sz w:val="18"/>
                <w:szCs w:val="18"/>
                <w:lang w:val="en-GB" w:eastAsia="en-GB"/>
              </w:rPr>
              <w:t>2005</w:t>
            </w:r>
          </w:p>
        </w:tc>
        <w:tc>
          <w:tcPr>
            <w:tcW w:w="1843" w:type="dxa"/>
            <w:tcBorders>
              <w:top w:val="single" w:sz="6" w:space="0" w:color="DDDDDD"/>
            </w:tcBorders>
            <w:shd w:val="clear" w:color="auto" w:fill="auto"/>
            <w:tcMar>
              <w:top w:w="120" w:type="dxa"/>
              <w:left w:w="120" w:type="dxa"/>
              <w:bottom w:w="120" w:type="dxa"/>
              <w:right w:w="120" w:type="dxa"/>
            </w:tcMar>
          </w:tcPr>
          <w:p w14:paraId="67BD8944" w14:textId="11ACD4F5"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tcPr>
          <w:p w14:paraId="6D47D6BC" w14:textId="2E72778C"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tcPr>
          <w:p w14:paraId="7805CCC0" w14:textId="786106B4"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DSM-5, ICD-10</w:t>
            </w:r>
          </w:p>
        </w:tc>
        <w:tc>
          <w:tcPr>
            <w:tcW w:w="1416" w:type="dxa"/>
            <w:tcBorders>
              <w:top w:val="single" w:sz="6" w:space="0" w:color="DDDDDD"/>
            </w:tcBorders>
            <w:shd w:val="clear" w:color="auto" w:fill="auto"/>
            <w:tcMar>
              <w:top w:w="120" w:type="dxa"/>
              <w:left w:w="120" w:type="dxa"/>
              <w:bottom w:w="120" w:type="dxa"/>
              <w:right w:w="120" w:type="dxa"/>
            </w:tcMar>
          </w:tcPr>
          <w:p w14:paraId="118CD5AB" w14:textId="232DBE04"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2004</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62EDB498" w14:textId="31AA57E2"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EUR</w:t>
            </w:r>
          </w:p>
        </w:tc>
      </w:tr>
      <w:tr w:rsidR="00B917D0" w:rsidRPr="00731281" w14:paraId="775BF1FF"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65D63E73" w14:textId="22197E5A" w:rsidR="00B917D0" w:rsidRPr="00C27797" w:rsidRDefault="00B917D0" w:rsidP="000C32F5">
            <w:pPr>
              <w:spacing w:after="0" w:line="240" w:lineRule="auto"/>
              <w:rPr>
                <w:rFonts w:ascii="Times New Roman" w:hAnsi="Times New Roman" w:cs="Times New Roman"/>
                <w:sz w:val="18"/>
                <w:szCs w:val="18"/>
                <w:lang w:eastAsia="en-GB"/>
              </w:rPr>
            </w:pPr>
            <w:r w:rsidRPr="00C27797">
              <w:rPr>
                <w:rFonts w:ascii="Times New Roman" w:hAnsi="Times New Roman" w:cs="Times New Roman"/>
                <w:sz w:val="18"/>
                <w:szCs w:val="18"/>
                <w:lang w:eastAsia="en-GB"/>
              </w:rPr>
              <w:t>Balakrishn</w:t>
            </w:r>
            <w:r>
              <w:rPr>
                <w:rFonts w:ascii="Times New Roman" w:hAnsi="Times New Roman" w:cs="Times New Roman"/>
                <w:sz w:val="18"/>
                <w:szCs w:val="18"/>
                <w:lang w:eastAsia="en-GB"/>
              </w:rPr>
              <w:t xml:space="preserve">an </w:t>
            </w:r>
            <w:r w:rsidR="00E73031" w:rsidRPr="00E73031">
              <w:rPr>
                <w:rFonts w:ascii="Times New Roman" w:hAnsi="Times New Roman" w:cs="Times New Roman"/>
                <w:i/>
                <w:sz w:val="18"/>
                <w:szCs w:val="18"/>
                <w:lang w:eastAsia="en-GB"/>
              </w:rPr>
              <w:t xml:space="preserve">et al., </w:t>
            </w:r>
            <w:r w:rsidR="00E73031">
              <w:rPr>
                <w:rFonts w:ascii="Times New Roman" w:hAnsi="Times New Roman" w:cs="Times New Roman"/>
                <w:sz w:val="18"/>
                <w:szCs w:val="18"/>
                <w:lang w:eastAsia="en-GB"/>
              </w:rPr>
              <w:t>2009</w:t>
            </w:r>
          </w:p>
        </w:tc>
        <w:tc>
          <w:tcPr>
            <w:tcW w:w="1843" w:type="dxa"/>
            <w:tcBorders>
              <w:top w:val="single" w:sz="6" w:space="0" w:color="DDDDDD"/>
            </w:tcBorders>
            <w:shd w:val="clear" w:color="auto" w:fill="auto"/>
            <w:tcMar>
              <w:top w:w="120" w:type="dxa"/>
              <w:left w:w="120" w:type="dxa"/>
              <w:bottom w:w="120" w:type="dxa"/>
              <w:right w:w="120" w:type="dxa"/>
            </w:tcMar>
            <w:hideMark/>
          </w:tcPr>
          <w:p w14:paraId="50DEDA8B" w14:textId="3D4B273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1072D76C" w14:textId="072C64B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hideMark/>
          </w:tcPr>
          <w:p w14:paraId="20BF044E" w14:textId="4D1F898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w:t>
            </w:r>
          </w:p>
        </w:tc>
        <w:tc>
          <w:tcPr>
            <w:tcW w:w="1416" w:type="dxa"/>
            <w:tcBorders>
              <w:top w:val="single" w:sz="6" w:space="0" w:color="DDDDDD"/>
            </w:tcBorders>
            <w:shd w:val="clear" w:color="auto" w:fill="auto"/>
            <w:tcMar>
              <w:top w:w="120" w:type="dxa"/>
              <w:left w:w="120" w:type="dxa"/>
              <w:bottom w:w="120" w:type="dxa"/>
              <w:right w:w="120" w:type="dxa"/>
            </w:tcMar>
            <w:hideMark/>
          </w:tcPr>
          <w:p w14:paraId="5B14F568" w14:textId="2CDF5F7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E178526" w14:textId="204B7FA4"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GBP</w:t>
            </w:r>
          </w:p>
        </w:tc>
      </w:tr>
      <w:tr w:rsidR="00B917D0" w:rsidRPr="00731281" w14:paraId="591B0377"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D5FB2C2" w14:textId="1D9E580F"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Bell </w:t>
            </w:r>
            <w:r w:rsidR="00E73031" w:rsidRPr="00E73031">
              <w:rPr>
                <w:rFonts w:ascii="Times New Roman" w:hAnsi="Times New Roman" w:cs="Times New Roman"/>
                <w:i/>
                <w:sz w:val="18"/>
                <w:szCs w:val="18"/>
                <w:lang w:eastAsia="en-GB"/>
              </w:rPr>
              <w:t xml:space="preserve">et al., </w:t>
            </w:r>
            <w:r w:rsidR="00E73031">
              <w:rPr>
                <w:rFonts w:ascii="Times New Roman" w:hAnsi="Times New Roman" w:cs="Times New Roman"/>
                <w:sz w:val="18"/>
                <w:szCs w:val="18"/>
                <w:lang w:eastAsia="en-GB"/>
              </w:rPr>
              <w:t>2004</w:t>
            </w:r>
          </w:p>
        </w:tc>
        <w:tc>
          <w:tcPr>
            <w:tcW w:w="1843" w:type="dxa"/>
            <w:tcBorders>
              <w:top w:val="single" w:sz="6" w:space="0" w:color="DDDDDD"/>
            </w:tcBorders>
            <w:shd w:val="clear" w:color="auto" w:fill="auto"/>
            <w:tcMar>
              <w:top w:w="120" w:type="dxa"/>
              <w:left w:w="120" w:type="dxa"/>
              <w:bottom w:w="120" w:type="dxa"/>
              <w:right w:w="120" w:type="dxa"/>
            </w:tcMar>
            <w:hideMark/>
          </w:tcPr>
          <w:p w14:paraId="33509C7C" w14:textId="4DEB0456"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hideMark/>
          </w:tcPr>
          <w:p w14:paraId="3690029C" w14:textId="4C12355A"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4DC0F20A" w14:textId="71959CE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hideMark/>
          </w:tcPr>
          <w:p w14:paraId="7E123B87" w14:textId="105D508A"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2003</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C829857" w14:textId="38001029"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CAD</w:t>
            </w:r>
          </w:p>
        </w:tc>
      </w:tr>
      <w:tr w:rsidR="00B917D0" w:rsidRPr="00731281" w14:paraId="04283ABA"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7C60DF78" w14:textId="59FA4B4F"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Bendeck </w:t>
            </w:r>
            <w:r w:rsidR="00E73031" w:rsidRPr="00E73031">
              <w:rPr>
                <w:rFonts w:ascii="Times New Roman" w:hAnsi="Times New Roman" w:cs="Times New Roman"/>
                <w:i/>
                <w:sz w:val="18"/>
                <w:szCs w:val="18"/>
                <w:lang w:eastAsia="en-GB"/>
              </w:rPr>
              <w:t xml:space="preserve">et al., </w:t>
            </w:r>
            <w:r w:rsidRPr="000C32F5">
              <w:rPr>
                <w:rFonts w:ascii="Times New Roman" w:hAnsi="Times New Roman" w:cs="Times New Roman"/>
                <w:sz w:val="18"/>
                <w:szCs w:val="18"/>
                <w:lang w:val="en-GB" w:eastAsia="en-GB"/>
              </w:rPr>
              <w:t>2013</w:t>
            </w:r>
          </w:p>
        </w:tc>
        <w:tc>
          <w:tcPr>
            <w:tcW w:w="1843" w:type="dxa"/>
            <w:tcBorders>
              <w:top w:val="single" w:sz="6" w:space="0" w:color="DDDDDD"/>
            </w:tcBorders>
            <w:shd w:val="clear" w:color="auto" w:fill="auto"/>
            <w:tcMar>
              <w:top w:w="120" w:type="dxa"/>
              <w:left w:w="120" w:type="dxa"/>
              <w:bottom w:w="120" w:type="dxa"/>
              <w:right w:w="120" w:type="dxa"/>
            </w:tcMar>
            <w:hideMark/>
          </w:tcPr>
          <w:p w14:paraId="18B79405" w14:textId="13B22B2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55B63E8F" w14:textId="352D74B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4B8ADD5F" w14:textId="2BE3879E"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 ICD-10</w:t>
            </w:r>
          </w:p>
        </w:tc>
        <w:tc>
          <w:tcPr>
            <w:tcW w:w="1416" w:type="dxa"/>
            <w:tcBorders>
              <w:top w:val="single" w:sz="6" w:space="0" w:color="DDDDDD"/>
            </w:tcBorders>
            <w:shd w:val="clear" w:color="auto" w:fill="auto"/>
            <w:tcMar>
              <w:top w:w="120" w:type="dxa"/>
              <w:left w:w="120" w:type="dxa"/>
              <w:bottom w:w="120" w:type="dxa"/>
              <w:right w:w="120" w:type="dxa"/>
            </w:tcMar>
            <w:hideMark/>
          </w:tcPr>
          <w:p w14:paraId="295B7528" w14:textId="66E7737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2006</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4AA4BBC" w14:textId="0024CDFF"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EUR</w:t>
            </w:r>
          </w:p>
        </w:tc>
      </w:tr>
      <w:tr w:rsidR="00B917D0" w:rsidRPr="00731281" w14:paraId="3E6FA734"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25AA58F" w14:textId="2C3BC14C"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Birnbaum </w:t>
            </w:r>
            <w:r w:rsidR="00E73031" w:rsidRPr="00E73031">
              <w:rPr>
                <w:rFonts w:ascii="Times New Roman" w:hAnsi="Times New Roman" w:cs="Times New Roman"/>
                <w:i/>
                <w:sz w:val="18"/>
                <w:szCs w:val="18"/>
                <w:lang w:eastAsia="en-GB"/>
              </w:rPr>
              <w:t xml:space="preserve">et al., </w:t>
            </w:r>
            <w:r w:rsidRPr="000C32F5">
              <w:rPr>
                <w:rFonts w:ascii="Times New Roman" w:hAnsi="Times New Roman" w:cs="Times New Roman"/>
                <w:sz w:val="18"/>
                <w:szCs w:val="18"/>
                <w:lang w:val="en-GB" w:eastAsia="en-GB"/>
              </w:rPr>
              <w:t>2006</w:t>
            </w:r>
          </w:p>
        </w:tc>
        <w:tc>
          <w:tcPr>
            <w:tcW w:w="1843" w:type="dxa"/>
            <w:tcBorders>
              <w:top w:val="single" w:sz="6" w:space="0" w:color="DDDDDD"/>
            </w:tcBorders>
            <w:shd w:val="clear" w:color="auto" w:fill="auto"/>
            <w:tcMar>
              <w:top w:w="120" w:type="dxa"/>
              <w:left w:w="120" w:type="dxa"/>
              <w:bottom w:w="120" w:type="dxa"/>
              <w:right w:w="120" w:type="dxa"/>
            </w:tcMar>
          </w:tcPr>
          <w:p w14:paraId="62443428" w14:textId="52D68AE5"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tcPr>
          <w:p w14:paraId="6D91C37C" w14:textId="0B9B4C8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tcPr>
          <w:p w14:paraId="0C056DE7" w14:textId="5FD2DE7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tcPr>
          <w:p w14:paraId="4755E227" w14:textId="58461C1C"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2001</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44D1C497" w14:textId="602FC878"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USD</w:t>
            </w:r>
          </w:p>
        </w:tc>
      </w:tr>
      <w:tr w:rsidR="00B917D0" w:rsidRPr="00731281" w14:paraId="5427C542"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43DD8AF" w14:textId="62CFA70A"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Bock </w:t>
            </w:r>
            <w:r w:rsidR="00E73031" w:rsidRPr="00E73031">
              <w:rPr>
                <w:rFonts w:ascii="Times New Roman" w:hAnsi="Times New Roman" w:cs="Times New Roman"/>
                <w:i/>
                <w:sz w:val="18"/>
                <w:szCs w:val="18"/>
                <w:lang w:eastAsia="en-GB"/>
              </w:rPr>
              <w:t xml:space="preserve">et al., </w:t>
            </w:r>
            <w:r w:rsidRPr="000C32F5">
              <w:rPr>
                <w:rFonts w:ascii="Times New Roman" w:hAnsi="Times New Roman" w:cs="Times New Roman"/>
                <w:sz w:val="18"/>
                <w:szCs w:val="18"/>
                <w:lang w:eastAsia="en-GB"/>
              </w:rPr>
              <w:t>2016</w:t>
            </w:r>
          </w:p>
        </w:tc>
        <w:tc>
          <w:tcPr>
            <w:tcW w:w="1843" w:type="dxa"/>
            <w:tcBorders>
              <w:top w:val="single" w:sz="6" w:space="0" w:color="DDDDDD"/>
            </w:tcBorders>
            <w:shd w:val="clear" w:color="auto" w:fill="auto"/>
            <w:tcMar>
              <w:top w:w="120" w:type="dxa"/>
              <w:left w:w="120" w:type="dxa"/>
              <w:bottom w:w="120" w:type="dxa"/>
              <w:right w:w="120" w:type="dxa"/>
            </w:tcMar>
            <w:hideMark/>
          </w:tcPr>
          <w:p w14:paraId="2A245350" w14:textId="37AE0AEC"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4E9CDB36" w14:textId="2AE5CB5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mood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72927477" w14:textId="4CB686A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w:t>
            </w:r>
          </w:p>
        </w:tc>
        <w:tc>
          <w:tcPr>
            <w:tcW w:w="1416" w:type="dxa"/>
            <w:tcBorders>
              <w:top w:val="single" w:sz="6" w:space="0" w:color="DDDDDD"/>
            </w:tcBorders>
            <w:shd w:val="clear" w:color="auto" w:fill="auto"/>
            <w:tcMar>
              <w:top w:w="120" w:type="dxa"/>
              <w:left w:w="120" w:type="dxa"/>
              <w:bottom w:w="120" w:type="dxa"/>
              <w:right w:w="120" w:type="dxa"/>
            </w:tcMar>
            <w:hideMark/>
          </w:tcPr>
          <w:p w14:paraId="778AEEDD" w14:textId="14B143A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2012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27FA9B62" w14:textId="5D24BBEC"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 xml:space="preserve"> EUR</w:t>
            </w:r>
          </w:p>
        </w:tc>
      </w:tr>
      <w:tr w:rsidR="00B917D0" w:rsidRPr="00731281" w14:paraId="2A593D4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4C759D5" w14:textId="4C0253BF"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Bode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2017</w:t>
            </w:r>
          </w:p>
        </w:tc>
        <w:tc>
          <w:tcPr>
            <w:tcW w:w="1843" w:type="dxa"/>
            <w:tcBorders>
              <w:top w:val="single" w:sz="6" w:space="0" w:color="DDDDDD"/>
            </w:tcBorders>
            <w:shd w:val="clear" w:color="auto" w:fill="auto"/>
            <w:tcMar>
              <w:top w:w="120" w:type="dxa"/>
              <w:left w:w="120" w:type="dxa"/>
              <w:bottom w:w="120" w:type="dxa"/>
              <w:right w:w="120" w:type="dxa"/>
            </w:tcMar>
            <w:hideMark/>
          </w:tcPr>
          <w:p w14:paraId="00DF89E7" w14:textId="1158511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1ABA1B7E" w14:textId="042ACCF3"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70BD6991" w14:textId="79053C9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ICD-10-GM</w:t>
            </w:r>
          </w:p>
        </w:tc>
        <w:tc>
          <w:tcPr>
            <w:tcW w:w="1416" w:type="dxa"/>
            <w:tcBorders>
              <w:top w:val="single" w:sz="6" w:space="0" w:color="DDDDDD"/>
            </w:tcBorders>
            <w:shd w:val="clear" w:color="auto" w:fill="auto"/>
            <w:tcMar>
              <w:top w:w="120" w:type="dxa"/>
              <w:left w:w="120" w:type="dxa"/>
              <w:bottom w:w="120" w:type="dxa"/>
              <w:right w:w="120" w:type="dxa"/>
            </w:tcMar>
            <w:hideMark/>
          </w:tcPr>
          <w:p w14:paraId="2D87DF3E" w14:textId="6F7C28B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2010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08C1D9F" w14:textId="6480C064"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 xml:space="preserve"> EUR</w:t>
            </w:r>
          </w:p>
        </w:tc>
      </w:tr>
      <w:tr w:rsidR="00B917D0" w:rsidRPr="00731281" w14:paraId="5E57390B"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3C90581C" w14:textId="222F570A"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Bosmans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2010</w:t>
            </w:r>
          </w:p>
        </w:tc>
        <w:tc>
          <w:tcPr>
            <w:tcW w:w="1843" w:type="dxa"/>
            <w:tcBorders>
              <w:top w:val="single" w:sz="6" w:space="0" w:color="DDDDDD"/>
            </w:tcBorders>
            <w:shd w:val="clear" w:color="auto" w:fill="auto"/>
            <w:tcMar>
              <w:top w:w="120" w:type="dxa"/>
              <w:left w:w="120" w:type="dxa"/>
              <w:bottom w:w="120" w:type="dxa"/>
              <w:right w:w="120" w:type="dxa"/>
            </w:tcMar>
            <w:hideMark/>
          </w:tcPr>
          <w:p w14:paraId="3B097EA8" w14:textId="58F2ADDF"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764CB843" w14:textId="71051A40"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mood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7845DC3F" w14:textId="6BCD0C13"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ICPC-2</w:t>
            </w:r>
          </w:p>
        </w:tc>
        <w:tc>
          <w:tcPr>
            <w:tcW w:w="1416" w:type="dxa"/>
            <w:tcBorders>
              <w:top w:val="single" w:sz="6" w:space="0" w:color="DDDDDD"/>
            </w:tcBorders>
            <w:shd w:val="clear" w:color="auto" w:fill="auto"/>
            <w:tcMar>
              <w:top w:w="120" w:type="dxa"/>
              <w:left w:w="120" w:type="dxa"/>
              <w:bottom w:w="120" w:type="dxa"/>
              <w:right w:w="120" w:type="dxa"/>
            </w:tcMar>
            <w:hideMark/>
          </w:tcPr>
          <w:p w14:paraId="2B1F4B1C" w14:textId="0932DB4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2003</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A912C23" w14:textId="0B44A17A"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 xml:space="preserve"> EUR</w:t>
            </w:r>
          </w:p>
        </w:tc>
      </w:tr>
      <w:tr w:rsidR="00B917D0" w:rsidRPr="00731281" w14:paraId="5A841329"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53343E46" w14:textId="7DB1D377" w:rsidR="00B917D0" w:rsidRPr="00C27797" w:rsidRDefault="00B917D0" w:rsidP="000C32F5">
            <w:pPr>
              <w:spacing w:after="0" w:line="240" w:lineRule="auto"/>
              <w:rPr>
                <w:rFonts w:ascii="Times New Roman" w:hAnsi="Times New Roman" w:cs="Times New Roman"/>
                <w:sz w:val="18"/>
                <w:szCs w:val="18"/>
                <w:lang w:eastAsia="en-GB"/>
              </w:rPr>
            </w:pPr>
            <w:r w:rsidRPr="00C27797">
              <w:rPr>
                <w:rFonts w:ascii="Times New Roman" w:hAnsi="Times New Roman" w:cs="Times New Roman"/>
                <w:sz w:val="18"/>
                <w:szCs w:val="18"/>
                <w:lang w:eastAsia="en-GB"/>
              </w:rPr>
              <w:t xml:space="preserve">Bourke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2018</w:t>
            </w:r>
          </w:p>
        </w:tc>
        <w:tc>
          <w:tcPr>
            <w:tcW w:w="1843" w:type="dxa"/>
            <w:tcBorders>
              <w:top w:val="single" w:sz="6" w:space="0" w:color="DDDDDD"/>
            </w:tcBorders>
            <w:shd w:val="clear" w:color="auto" w:fill="auto"/>
            <w:tcMar>
              <w:top w:w="120" w:type="dxa"/>
              <w:left w:w="120" w:type="dxa"/>
              <w:bottom w:w="120" w:type="dxa"/>
              <w:right w:w="120" w:type="dxa"/>
            </w:tcMar>
            <w:hideMark/>
          </w:tcPr>
          <w:p w14:paraId="15262520" w14:textId="34551470"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736AED53" w14:textId="3EFDD6F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personality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681F8BE6" w14:textId="2B2BB59E"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DSM-IV, ICD-10</w:t>
            </w:r>
          </w:p>
        </w:tc>
        <w:tc>
          <w:tcPr>
            <w:tcW w:w="1416" w:type="dxa"/>
            <w:tcBorders>
              <w:top w:val="single" w:sz="6" w:space="0" w:color="DDDDDD"/>
            </w:tcBorders>
            <w:shd w:val="clear" w:color="auto" w:fill="auto"/>
            <w:tcMar>
              <w:top w:w="120" w:type="dxa"/>
              <w:left w:w="120" w:type="dxa"/>
              <w:bottom w:w="120" w:type="dxa"/>
              <w:right w:w="120" w:type="dxa"/>
            </w:tcMar>
            <w:hideMark/>
          </w:tcPr>
          <w:p w14:paraId="1D46F569" w14:textId="7F133B16"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2014</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641847A" w14:textId="71E0E333"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 xml:space="preserve"> EUR</w:t>
            </w:r>
          </w:p>
        </w:tc>
      </w:tr>
      <w:tr w:rsidR="00B917D0" w:rsidRPr="00731281" w14:paraId="5886817B"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6CFFF8C6" w14:textId="4F5C031C"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Braun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2013</w:t>
            </w:r>
          </w:p>
        </w:tc>
        <w:tc>
          <w:tcPr>
            <w:tcW w:w="1843" w:type="dxa"/>
            <w:tcBorders>
              <w:top w:val="single" w:sz="6" w:space="0" w:color="DDDDDD"/>
            </w:tcBorders>
            <w:shd w:val="clear" w:color="auto" w:fill="auto"/>
            <w:tcMar>
              <w:top w:w="120" w:type="dxa"/>
              <w:left w:w="120" w:type="dxa"/>
              <w:bottom w:w="120" w:type="dxa"/>
              <w:right w:w="120" w:type="dxa"/>
            </w:tcMar>
          </w:tcPr>
          <w:p w14:paraId="64EFEC52" w14:textId="46E32E9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tcPr>
          <w:p w14:paraId="634A0577" w14:textId="14800A10"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behavioural disorders</w:t>
            </w:r>
          </w:p>
        </w:tc>
        <w:tc>
          <w:tcPr>
            <w:tcW w:w="1841" w:type="dxa"/>
            <w:tcBorders>
              <w:top w:val="single" w:sz="6" w:space="0" w:color="DDDDDD"/>
            </w:tcBorders>
            <w:shd w:val="clear" w:color="auto" w:fill="auto"/>
            <w:tcMar>
              <w:top w:w="120" w:type="dxa"/>
              <w:left w:w="120" w:type="dxa"/>
              <w:bottom w:w="120" w:type="dxa"/>
              <w:right w:w="120" w:type="dxa"/>
            </w:tcMar>
          </w:tcPr>
          <w:p w14:paraId="29C093DA" w14:textId="0F0ED72A"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w:t>
            </w:r>
          </w:p>
        </w:tc>
        <w:tc>
          <w:tcPr>
            <w:tcW w:w="1416" w:type="dxa"/>
            <w:tcBorders>
              <w:top w:val="single" w:sz="6" w:space="0" w:color="DDDDDD"/>
            </w:tcBorders>
            <w:shd w:val="clear" w:color="auto" w:fill="auto"/>
            <w:tcMar>
              <w:top w:w="120" w:type="dxa"/>
              <w:left w:w="120" w:type="dxa"/>
              <w:bottom w:w="120" w:type="dxa"/>
              <w:right w:w="120" w:type="dxa"/>
            </w:tcMar>
          </w:tcPr>
          <w:p w14:paraId="5BF4E211" w14:textId="1FCEA45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2008</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5C919824" w14:textId="2173D641"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 xml:space="preserve"> EUR</w:t>
            </w:r>
          </w:p>
        </w:tc>
      </w:tr>
      <w:tr w:rsidR="00B917D0" w:rsidRPr="00731281" w14:paraId="2DD8B480"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7DFF9BE" w14:textId="59E40C41"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Brecht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1996</w:t>
            </w:r>
          </w:p>
        </w:tc>
        <w:tc>
          <w:tcPr>
            <w:tcW w:w="1843" w:type="dxa"/>
            <w:tcBorders>
              <w:top w:val="single" w:sz="6" w:space="0" w:color="DDDDDD"/>
            </w:tcBorders>
            <w:shd w:val="clear" w:color="auto" w:fill="auto"/>
            <w:tcMar>
              <w:top w:w="120" w:type="dxa"/>
              <w:left w:w="120" w:type="dxa"/>
              <w:bottom w:w="120" w:type="dxa"/>
              <w:right w:w="120" w:type="dxa"/>
            </w:tcMar>
            <w:hideMark/>
          </w:tcPr>
          <w:p w14:paraId="77F02A4A" w14:textId="47612772"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hideMark/>
          </w:tcPr>
          <w:p w14:paraId="53933E69" w14:textId="75331B4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hideMark/>
          </w:tcPr>
          <w:p w14:paraId="52CE20C7" w14:textId="44AB3F7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w:t>
            </w:r>
          </w:p>
        </w:tc>
        <w:tc>
          <w:tcPr>
            <w:tcW w:w="1416" w:type="dxa"/>
            <w:tcBorders>
              <w:top w:val="single" w:sz="6" w:space="0" w:color="DDDDDD"/>
            </w:tcBorders>
            <w:shd w:val="clear" w:color="auto" w:fill="auto"/>
            <w:tcMar>
              <w:top w:w="120" w:type="dxa"/>
              <w:left w:w="120" w:type="dxa"/>
              <w:bottom w:w="120" w:type="dxa"/>
              <w:right w:w="120" w:type="dxa"/>
            </w:tcMar>
            <w:hideMark/>
          </w:tcPr>
          <w:p w14:paraId="48CC5BF1" w14:textId="5583866E"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2F00ABC" w14:textId="6A660CB0"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DEM</w:t>
            </w:r>
          </w:p>
        </w:tc>
      </w:tr>
      <w:tr w:rsidR="00B917D0" w:rsidRPr="00731281" w14:paraId="0DA28443"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6D91630C" w14:textId="4B071863"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Burd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2003</w:t>
            </w:r>
          </w:p>
        </w:tc>
        <w:tc>
          <w:tcPr>
            <w:tcW w:w="1843" w:type="dxa"/>
            <w:tcBorders>
              <w:top w:val="single" w:sz="6" w:space="0" w:color="DDDDDD"/>
            </w:tcBorders>
            <w:shd w:val="clear" w:color="auto" w:fill="auto"/>
            <w:tcMar>
              <w:top w:w="120" w:type="dxa"/>
              <w:left w:w="120" w:type="dxa"/>
              <w:bottom w:w="120" w:type="dxa"/>
              <w:right w:w="120" w:type="dxa"/>
            </w:tcMar>
            <w:hideMark/>
          </w:tcPr>
          <w:p w14:paraId="57CC8DE4" w14:textId="78AEF160"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5D6C37F9" w14:textId="6A6EE9B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behavioural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1BAC24A0" w14:textId="3C08AC1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ICD-9, DSM-IV</w:t>
            </w:r>
          </w:p>
        </w:tc>
        <w:tc>
          <w:tcPr>
            <w:tcW w:w="1416" w:type="dxa"/>
            <w:tcBorders>
              <w:top w:val="single" w:sz="6" w:space="0" w:color="DDDDDD"/>
            </w:tcBorders>
            <w:shd w:val="clear" w:color="auto" w:fill="auto"/>
            <w:tcMar>
              <w:top w:w="120" w:type="dxa"/>
              <w:left w:w="120" w:type="dxa"/>
              <w:bottom w:w="120" w:type="dxa"/>
              <w:right w:w="120" w:type="dxa"/>
            </w:tcMar>
            <w:hideMark/>
          </w:tcPr>
          <w:p w14:paraId="3605C772" w14:textId="31C9083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1996</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6C13888" w14:textId="743C0462"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 xml:space="preserve"> USD</w:t>
            </w:r>
          </w:p>
        </w:tc>
      </w:tr>
      <w:tr w:rsidR="00B917D0" w:rsidRPr="00731281" w14:paraId="5DBC5864"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2EB8C36D" w14:textId="5DE3C799"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Byford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2011</w:t>
            </w:r>
          </w:p>
        </w:tc>
        <w:tc>
          <w:tcPr>
            <w:tcW w:w="1843" w:type="dxa"/>
            <w:tcBorders>
              <w:top w:val="single" w:sz="6" w:space="0" w:color="DDDDDD"/>
            </w:tcBorders>
            <w:shd w:val="clear" w:color="auto" w:fill="auto"/>
            <w:tcMar>
              <w:top w:w="120" w:type="dxa"/>
              <w:left w:w="120" w:type="dxa"/>
              <w:bottom w:w="120" w:type="dxa"/>
              <w:right w:w="120" w:type="dxa"/>
            </w:tcMar>
            <w:hideMark/>
          </w:tcPr>
          <w:p w14:paraId="5AB1AB47" w14:textId="33BE679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6D049C55" w14:textId="2A99BE8A"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mood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64EE5081" w14:textId="672F791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ICD-9-CM</w:t>
            </w:r>
          </w:p>
        </w:tc>
        <w:tc>
          <w:tcPr>
            <w:tcW w:w="1416" w:type="dxa"/>
            <w:tcBorders>
              <w:top w:val="single" w:sz="6" w:space="0" w:color="DDDDDD"/>
            </w:tcBorders>
            <w:shd w:val="clear" w:color="auto" w:fill="auto"/>
            <w:tcMar>
              <w:top w:w="120" w:type="dxa"/>
              <w:left w:w="120" w:type="dxa"/>
              <w:bottom w:w="120" w:type="dxa"/>
              <w:right w:w="120" w:type="dxa"/>
            </w:tcMar>
            <w:hideMark/>
          </w:tcPr>
          <w:p w14:paraId="259346CC" w14:textId="084D398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2006</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E0FC319" w14:textId="103D065E"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 xml:space="preserve"> GBP</w:t>
            </w:r>
          </w:p>
        </w:tc>
      </w:tr>
      <w:tr w:rsidR="00B917D0" w:rsidRPr="00731281" w14:paraId="7B166B53"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D97EB04" w14:textId="5DBBE497"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Carr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2003</w:t>
            </w:r>
          </w:p>
        </w:tc>
        <w:tc>
          <w:tcPr>
            <w:tcW w:w="1843" w:type="dxa"/>
            <w:tcBorders>
              <w:top w:val="single" w:sz="6" w:space="0" w:color="DDDDDD"/>
            </w:tcBorders>
            <w:shd w:val="clear" w:color="auto" w:fill="auto"/>
            <w:tcMar>
              <w:top w:w="120" w:type="dxa"/>
              <w:left w:w="120" w:type="dxa"/>
              <w:bottom w:w="120" w:type="dxa"/>
              <w:right w:w="120" w:type="dxa"/>
            </w:tcMar>
            <w:hideMark/>
          </w:tcPr>
          <w:p w14:paraId="26356B8B" w14:textId="23445F36"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hideMark/>
          </w:tcPr>
          <w:p w14:paraId="6A6B7881" w14:textId="110572E3"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37FAD1DE" w14:textId="191520E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hideMark/>
          </w:tcPr>
          <w:p w14:paraId="2C5205CB" w14:textId="15A4496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1B515E9" w14:textId="5FCB5FCC"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AUD</w:t>
            </w:r>
          </w:p>
        </w:tc>
      </w:tr>
      <w:tr w:rsidR="00B917D0" w:rsidRPr="00731281" w14:paraId="752B3BC9"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26204DA2" w14:textId="12228709"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Casadei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2017</w:t>
            </w:r>
          </w:p>
        </w:tc>
        <w:tc>
          <w:tcPr>
            <w:tcW w:w="1843" w:type="dxa"/>
            <w:tcBorders>
              <w:top w:val="single" w:sz="6" w:space="0" w:color="DDDDDD"/>
            </w:tcBorders>
            <w:shd w:val="clear" w:color="auto" w:fill="auto"/>
            <w:tcMar>
              <w:top w:w="120" w:type="dxa"/>
              <w:left w:w="120" w:type="dxa"/>
              <w:bottom w:w="120" w:type="dxa"/>
              <w:right w:w="120" w:type="dxa"/>
            </w:tcMar>
            <w:hideMark/>
          </w:tcPr>
          <w:p w14:paraId="335A86D7" w14:textId="5A9BAE0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32F3ABB7" w14:textId="217055A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behavioural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490F5B81" w14:textId="6D91CA7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DSM-IV-TR</w:t>
            </w:r>
          </w:p>
        </w:tc>
        <w:tc>
          <w:tcPr>
            <w:tcW w:w="1416" w:type="dxa"/>
            <w:tcBorders>
              <w:top w:val="single" w:sz="6" w:space="0" w:color="DDDDDD"/>
            </w:tcBorders>
            <w:shd w:val="clear" w:color="auto" w:fill="auto"/>
            <w:tcMar>
              <w:top w:w="120" w:type="dxa"/>
              <w:left w:w="120" w:type="dxa"/>
              <w:bottom w:w="120" w:type="dxa"/>
              <w:right w:w="120" w:type="dxa"/>
            </w:tcMar>
            <w:hideMark/>
          </w:tcPr>
          <w:p w14:paraId="6D363D66" w14:textId="5A9FF29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4DE7494" w14:textId="498A01DF"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EUR</w:t>
            </w:r>
          </w:p>
        </w:tc>
      </w:tr>
      <w:tr w:rsidR="00B917D0" w:rsidRPr="00731281" w14:paraId="7D6A5D8B"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6A18F0D" w14:textId="20C3E129"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Chan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2002</w:t>
            </w:r>
          </w:p>
        </w:tc>
        <w:tc>
          <w:tcPr>
            <w:tcW w:w="1843" w:type="dxa"/>
            <w:tcBorders>
              <w:top w:val="single" w:sz="6" w:space="0" w:color="DDDDDD"/>
            </w:tcBorders>
            <w:shd w:val="clear" w:color="auto" w:fill="auto"/>
            <w:tcMar>
              <w:top w:w="120" w:type="dxa"/>
              <w:left w:w="120" w:type="dxa"/>
              <w:bottom w:w="120" w:type="dxa"/>
              <w:right w:w="120" w:type="dxa"/>
            </w:tcMar>
            <w:hideMark/>
          </w:tcPr>
          <w:p w14:paraId="5740992A" w14:textId="0D11344A"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6440D0B9" w14:textId="680FB480"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behavioural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25943BB3" w14:textId="3D8C867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hideMark/>
          </w:tcPr>
          <w:p w14:paraId="42C30A7C" w14:textId="452986D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1996</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F760353" w14:textId="6E7AA0E3"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USD</w:t>
            </w:r>
          </w:p>
        </w:tc>
      </w:tr>
      <w:tr w:rsidR="00B917D0" w:rsidRPr="00731281" w14:paraId="71CB0C5F"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749387E4" w14:textId="6AA61836"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Chang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2008</w:t>
            </w:r>
          </w:p>
        </w:tc>
        <w:tc>
          <w:tcPr>
            <w:tcW w:w="1843" w:type="dxa"/>
            <w:tcBorders>
              <w:top w:val="single" w:sz="6" w:space="0" w:color="DDDDDD"/>
            </w:tcBorders>
            <w:shd w:val="clear" w:color="auto" w:fill="auto"/>
            <w:tcMar>
              <w:top w:w="120" w:type="dxa"/>
              <w:left w:w="120" w:type="dxa"/>
              <w:bottom w:w="120" w:type="dxa"/>
              <w:right w:w="120" w:type="dxa"/>
            </w:tcMar>
            <w:hideMark/>
          </w:tcPr>
          <w:p w14:paraId="26AB2750" w14:textId="53104A24"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hideMark/>
          </w:tcPr>
          <w:p w14:paraId="0F0FDCF7" w14:textId="32F93406"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6E9CAC58" w14:textId="1D4DA81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hideMark/>
          </w:tcPr>
          <w:p w14:paraId="0B8CAA27" w14:textId="6526714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2E684926" w14:textId="04A46F5E"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USD</w:t>
            </w:r>
          </w:p>
        </w:tc>
      </w:tr>
      <w:tr w:rsidR="00B917D0" w:rsidRPr="00731281" w14:paraId="2AE019D1"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5A682FD" w14:textId="158B94E4"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Chang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2012</w:t>
            </w:r>
          </w:p>
        </w:tc>
        <w:tc>
          <w:tcPr>
            <w:tcW w:w="1843" w:type="dxa"/>
            <w:tcBorders>
              <w:top w:val="single" w:sz="6" w:space="0" w:color="DDDDDD"/>
            </w:tcBorders>
            <w:shd w:val="clear" w:color="auto" w:fill="auto"/>
            <w:tcMar>
              <w:top w:w="120" w:type="dxa"/>
              <w:left w:w="120" w:type="dxa"/>
              <w:bottom w:w="120" w:type="dxa"/>
              <w:right w:w="120" w:type="dxa"/>
            </w:tcMar>
            <w:hideMark/>
          </w:tcPr>
          <w:p w14:paraId="6C297B22" w14:textId="47355E81"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hideMark/>
          </w:tcPr>
          <w:p w14:paraId="0E65BE44" w14:textId="65775BE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7040F45E" w14:textId="2F0D42A6"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hideMark/>
          </w:tcPr>
          <w:p w14:paraId="06EBA6CC" w14:textId="0ED4406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96AA246" w14:textId="08FCCAFF"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USD</w:t>
            </w:r>
          </w:p>
        </w:tc>
      </w:tr>
      <w:tr w:rsidR="00B917D0" w:rsidRPr="00731281" w14:paraId="2F4A6BFE"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724B3E37" w14:textId="01EDE574"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Chevreul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p>
        </w:tc>
        <w:tc>
          <w:tcPr>
            <w:tcW w:w="1843" w:type="dxa"/>
            <w:tcBorders>
              <w:top w:val="single" w:sz="6" w:space="0" w:color="DDDDDD"/>
            </w:tcBorders>
            <w:shd w:val="clear" w:color="auto" w:fill="auto"/>
            <w:tcMar>
              <w:top w:w="120" w:type="dxa"/>
              <w:left w:w="120" w:type="dxa"/>
              <w:bottom w:w="120" w:type="dxa"/>
              <w:right w:w="120" w:type="dxa"/>
            </w:tcMar>
            <w:hideMark/>
          </w:tcPr>
          <w:p w14:paraId="229D0A7C" w14:textId="2AC2A7B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direct, indirect </w:t>
            </w:r>
            <w:r>
              <w:rPr>
                <w:rFonts w:ascii="Times New Roman" w:hAnsi="Times New Roman" w:cs="Times New Roman"/>
                <w:sz w:val="18"/>
                <w:lang w:val="en-GB"/>
              </w:rPr>
              <w:t>&amp;</w:t>
            </w:r>
            <w:r w:rsidRPr="00165B8E">
              <w:rPr>
                <w:rFonts w:ascii="Times New Roman" w:hAnsi="Times New Roman" w:cs="Times New Roman"/>
                <w:sz w:val="18"/>
                <w:lang w:val="en-GB"/>
              </w:rPr>
              <w:t xml:space="preserve"> intangible</w:t>
            </w:r>
          </w:p>
        </w:tc>
        <w:tc>
          <w:tcPr>
            <w:tcW w:w="1985" w:type="dxa"/>
            <w:tcBorders>
              <w:top w:val="single" w:sz="6" w:space="0" w:color="DDDDDD"/>
            </w:tcBorders>
            <w:shd w:val="clear" w:color="auto" w:fill="auto"/>
            <w:tcMar>
              <w:top w:w="120" w:type="dxa"/>
              <w:left w:w="120" w:type="dxa"/>
              <w:bottom w:w="120" w:type="dxa"/>
              <w:right w:w="120" w:type="dxa"/>
            </w:tcMar>
            <w:hideMark/>
          </w:tcPr>
          <w:p w14:paraId="7DA7F888" w14:textId="08A89696"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2FF6702B" w14:textId="46A5A513"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hideMark/>
          </w:tcPr>
          <w:p w14:paraId="1C39F7B7" w14:textId="7FB69AAF"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2007</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76E0F601" w14:textId="0DD262EE"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EUR</w:t>
            </w:r>
          </w:p>
        </w:tc>
      </w:tr>
      <w:tr w:rsidR="00B917D0" w:rsidRPr="00731281" w14:paraId="4BD5923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551DAAD7" w14:textId="3B951A9B"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 xml:space="preserve">Chiavegatto Filho </w:t>
            </w:r>
            <w:r w:rsidR="00E73031" w:rsidRPr="00E73031">
              <w:rPr>
                <w:rFonts w:ascii="Times New Roman" w:hAnsi="Times New Roman" w:cs="Times New Roman"/>
                <w:i/>
                <w:sz w:val="18"/>
                <w:szCs w:val="18"/>
                <w:lang w:val="en-GB" w:eastAsia="en-GB"/>
              </w:rPr>
              <w:t xml:space="preserve">et al., </w:t>
            </w:r>
            <w:r w:rsidRPr="00165B8E">
              <w:rPr>
                <w:rFonts w:ascii="Times New Roman" w:hAnsi="Times New Roman" w:cs="Times New Roman"/>
                <w:sz w:val="18"/>
                <w:lang w:val="en-GB"/>
              </w:rPr>
              <w:t>2015</w:t>
            </w:r>
          </w:p>
        </w:tc>
        <w:tc>
          <w:tcPr>
            <w:tcW w:w="1843" w:type="dxa"/>
            <w:tcBorders>
              <w:top w:val="single" w:sz="6" w:space="0" w:color="DDDDDD"/>
            </w:tcBorders>
            <w:shd w:val="clear" w:color="auto" w:fill="auto"/>
            <w:tcMar>
              <w:top w:w="120" w:type="dxa"/>
              <w:left w:w="120" w:type="dxa"/>
              <w:bottom w:w="120" w:type="dxa"/>
              <w:right w:w="120" w:type="dxa"/>
            </w:tcMar>
            <w:hideMark/>
          </w:tcPr>
          <w:p w14:paraId="3E35C1D1" w14:textId="5BBAA6AA"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2F593F53" w14:textId="22989CA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0DDF292C" w14:textId="53BE84CA"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hideMark/>
          </w:tcPr>
          <w:p w14:paraId="453B448A" w14:textId="1B59166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2007</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0DC14DE2" w14:textId="22FFF429"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BRL</w:t>
            </w:r>
          </w:p>
        </w:tc>
      </w:tr>
      <w:tr w:rsidR="00B917D0" w:rsidRPr="00731281" w14:paraId="6129B45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2253939F" w14:textId="488ECC1F"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Chiu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2017</w:t>
            </w:r>
          </w:p>
        </w:tc>
        <w:tc>
          <w:tcPr>
            <w:tcW w:w="1843" w:type="dxa"/>
            <w:tcBorders>
              <w:top w:val="single" w:sz="6" w:space="0" w:color="DDDDDD"/>
            </w:tcBorders>
            <w:shd w:val="clear" w:color="auto" w:fill="auto"/>
            <w:tcMar>
              <w:top w:w="120" w:type="dxa"/>
              <w:left w:w="120" w:type="dxa"/>
              <w:bottom w:w="120" w:type="dxa"/>
              <w:right w:w="120" w:type="dxa"/>
            </w:tcMar>
            <w:hideMark/>
          </w:tcPr>
          <w:p w14:paraId="3A8CC92C" w14:textId="4EF9163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hideMark/>
          </w:tcPr>
          <w:p w14:paraId="460E7E9E" w14:textId="44D63E3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351C40E0" w14:textId="6A1D454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 ICD-10, DSM-IV</w:t>
            </w:r>
          </w:p>
        </w:tc>
        <w:tc>
          <w:tcPr>
            <w:tcW w:w="1416" w:type="dxa"/>
            <w:tcBorders>
              <w:top w:val="single" w:sz="6" w:space="0" w:color="DDDDDD"/>
            </w:tcBorders>
            <w:shd w:val="clear" w:color="auto" w:fill="auto"/>
            <w:tcMar>
              <w:top w:w="120" w:type="dxa"/>
              <w:left w:w="120" w:type="dxa"/>
              <w:bottom w:w="120" w:type="dxa"/>
              <w:right w:w="120" w:type="dxa"/>
            </w:tcMar>
            <w:hideMark/>
          </w:tcPr>
          <w:p w14:paraId="17F1A42C" w14:textId="43BE07F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2013</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2C33FACF" w14:textId="6F2D8588"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USD</w:t>
            </w:r>
          </w:p>
        </w:tc>
      </w:tr>
      <w:tr w:rsidR="00B917D0" w:rsidRPr="00731281" w14:paraId="0357D96E"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2DE57BE2" w14:textId="12728B33"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Cidav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2012</w:t>
            </w:r>
          </w:p>
        </w:tc>
        <w:tc>
          <w:tcPr>
            <w:tcW w:w="1843" w:type="dxa"/>
            <w:tcBorders>
              <w:top w:val="single" w:sz="6" w:space="0" w:color="DDDDDD"/>
            </w:tcBorders>
            <w:shd w:val="clear" w:color="auto" w:fill="auto"/>
            <w:tcMar>
              <w:top w:w="120" w:type="dxa"/>
              <w:left w:w="120" w:type="dxa"/>
              <w:bottom w:w="120" w:type="dxa"/>
              <w:right w:w="120" w:type="dxa"/>
            </w:tcMar>
            <w:hideMark/>
          </w:tcPr>
          <w:p w14:paraId="236A0792" w14:textId="7FF6ABD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indirect</w:t>
            </w:r>
          </w:p>
        </w:tc>
        <w:tc>
          <w:tcPr>
            <w:tcW w:w="1985" w:type="dxa"/>
            <w:tcBorders>
              <w:top w:val="single" w:sz="6" w:space="0" w:color="DDDDDD"/>
            </w:tcBorders>
            <w:shd w:val="clear" w:color="auto" w:fill="auto"/>
            <w:tcMar>
              <w:top w:w="120" w:type="dxa"/>
              <w:left w:w="120" w:type="dxa"/>
              <w:bottom w:w="120" w:type="dxa"/>
              <w:right w:w="120" w:type="dxa"/>
            </w:tcMar>
            <w:hideMark/>
          </w:tcPr>
          <w:p w14:paraId="35B135D8" w14:textId="352A95FE"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developmental disorders</w:t>
            </w:r>
          </w:p>
        </w:tc>
        <w:tc>
          <w:tcPr>
            <w:tcW w:w="1841" w:type="dxa"/>
            <w:tcBorders>
              <w:top w:val="single" w:sz="6" w:space="0" w:color="DDDDDD"/>
            </w:tcBorders>
            <w:shd w:val="clear" w:color="auto" w:fill="auto"/>
            <w:tcMar>
              <w:top w:w="120" w:type="dxa"/>
              <w:left w:w="120" w:type="dxa"/>
              <w:bottom w:w="120" w:type="dxa"/>
              <w:right w:w="120" w:type="dxa"/>
            </w:tcMar>
            <w:hideMark/>
          </w:tcPr>
          <w:p w14:paraId="6A6B7615" w14:textId="3DC9111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w:t>
            </w:r>
          </w:p>
        </w:tc>
        <w:tc>
          <w:tcPr>
            <w:tcW w:w="1416" w:type="dxa"/>
            <w:tcBorders>
              <w:top w:val="single" w:sz="6" w:space="0" w:color="DDDDDD"/>
            </w:tcBorders>
            <w:shd w:val="clear" w:color="auto" w:fill="auto"/>
            <w:tcMar>
              <w:top w:w="120" w:type="dxa"/>
              <w:left w:w="120" w:type="dxa"/>
              <w:bottom w:w="120" w:type="dxa"/>
              <w:right w:w="120" w:type="dxa"/>
            </w:tcMar>
            <w:hideMark/>
          </w:tcPr>
          <w:p w14:paraId="379E02EF" w14:textId="6C44B40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2011</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3E3559A" w14:textId="1EBC9259"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USD</w:t>
            </w:r>
          </w:p>
        </w:tc>
      </w:tr>
      <w:tr w:rsidR="00B917D0" w:rsidRPr="00731281" w14:paraId="5D25E020"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5C3CF453" w14:textId="1021AB9A"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Cloutier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2016</w:t>
            </w:r>
          </w:p>
        </w:tc>
        <w:tc>
          <w:tcPr>
            <w:tcW w:w="1843" w:type="dxa"/>
            <w:tcBorders>
              <w:top w:val="single" w:sz="6" w:space="0" w:color="DDDDDD"/>
            </w:tcBorders>
            <w:shd w:val="clear" w:color="auto" w:fill="auto"/>
            <w:tcMar>
              <w:top w:w="120" w:type="dxa"/>
              <w:left w:w="120" w:type="dxa"/>
              <w:bottom w:w="120" w:type="dxa"/>
              <w:right w:w="120" w:type="dxa"/>
            </w:tcMar>
            <w:hideMark/>
          </w:tcPr>
          <w:p w14:paraId="3070CA52" w14:textId="65A21EDC"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hideMark/>
          </w:tcPr>
          <w:p w14:paraId="720E7631" w14:textId="1786C6E6"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hideMark/>
          </w:tcPr>
          <w:p w14:paraId="2FD91DCD" w14:textId="28892B64"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w:t>
            </w:r>
          </w:p>
        </w:tc>
        <w:tc>
          <w:tcPr>
            <w:tcW w:w="1416" w:type="dxa"/>
            <w:tcBorders>
              <w:top w:val="single" w:sz="6" w:space="0" w:color="DDDDDD"/>
            </w:tcBorders>
            <w:shd w:val="clear" w:color="auto" w:fill="auto"/>
            <w:tcMar>
              <w:top w:w="120" w:type="dxa"/>
              <w:left w:w="120" w:type="dxa"/>
              <w:bottom w:w="120" w:type="dxa"/>
              <w:right w:w="120" w:type="dxa"/>
            </w:tcMar>
            <w:hideMark/>
          </w:tcPr>
          <w:p w14:paraId="37591FCF" w14:textId="22BB187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2013</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712615F9" w14:textId="7DEF6418"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 USD</w:t>
            </w:r>
          </w:p>
        </w:tc>
      </w:tr>
      <w:tr w:rsidR="00B917D0" w:rsidRPr="00731281" w14:paraId="43C02E6D"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5E5603FA" w14:textId="7EEEF0E5"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lastRenderedPageBreak/>
              <w:t>Croft-Jeffreys and Wilkinson</w:t>
            </w:r>
            <w:r w:rsidR="00E73031">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1989</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47062249" w14:textId="1AD2E6CF"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515E22DC" w14:textId="4B2458D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236C31AF" w14:textId="4C71B9E0"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08BABF4C" w14:textId="41F4AAEE"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1985</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7F498D57" w14:textId="624E3D28"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07B4F7F2"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1141068" w14:textId="6FD78490"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Dams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1871658" w14:textId="5480CF3C"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46710C87" w14:textId="60C8799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9FA79B8" w14:textId="05ED8893"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191C9084" w14:textId="049D266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2014</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77E0D76A" w14:textId="1BD6FD56"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7D641F4C"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498AAE6" w14:textId="68675E66" w:rsidR="00B917D0" w:rsidRPr="002344CC" w:rsidRDefault="00B917D0" w:rsidP="00E73031">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Das Gupta and Guest</w:t>
            </w:r>
            <w:r w:rsidR="00E73031">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2002</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66871452" w14:textId="145B30B9"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67238346" w14:textId="0C980734"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58700D70" w14:textId="3F591D9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READ codes, 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5DC068F0" w14:textId="58D149E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986A491" w14:textId="700CFC28"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248DF69D"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05119189" w14:textId="37AE350D"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de Oliveira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07ED7D1D" w14:textId="02D41123"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CE56DF8" w14:textId="1CA21D7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eating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8B891EB" w14:textId="12514F74"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ICD-9, ICD-10, 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BC2C181" w14:textId="5461CAD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2012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2986699A" w14:textId="46B06331"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CAD</w:t>
            </w:r>
          </w:p>
        </w:tc>
      </w:tr>
      <w:tr w:rsidR="00B917D0" w:rsidRPr="00731281" w14:paraId="185D358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753AAB51" w14:textId="10A88659"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Degli Esposti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2014</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B35D55D" w14:textId="77434AD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B4710EC" w14:textId="6B9B4C9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0611A27" w14:textId="3FD5E3BE"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 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58354413" w14:textId="0B8ED45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0E817B20" w14:textId="017562DB"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788190C2"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ADB0050" w14:textId="1AB4EA7C"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Dilsaver</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2011</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9F4762F" w14:textId="1A22D201"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5266B174" w14:textId="0FE9B41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8B29AD0" w14:textId="13ADB530"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06E9F814" w14:textId="0A0CB11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8DEDAED" w14:textId="23F2206A"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61A84813"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BF06416" w14:textId="6B3B59A9"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DuPont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1996</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561E6B78" w14:textId="3FB97D6A"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680DCECE" w14:textId="392C5FB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74C3AA78" w14:textId="7660F0A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DSM-III-R, ICD-9-CM</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116FC48B" w14:textId="7FFD3C90"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1990</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07D3C138" w14:textId="310950EE"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2DCD7A3D"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D9B5A70" w14:textId="28839537" w:rsidR="00B917D0" w:rsidRPr="00C27797" w:rsidRDefault="00B917D0" w:rsidP="000C32F5">
            <w:pPr>
              <w:spacing w:after="0" w:line="240" w:lineRule="auto"/>
              <w:rPr>
                <w:rFonts w:ascii="Times New Roman" w:hAnsi="Times New Roman" w:cs="Times New Roman"/>
                <w:sz w:val="18"/>
                <w:szCs w:val="18"/>
                <w:lang w:eastAsia="en-GB"/>
              </w:rPr>
            </w:pPr>
            <w:r w:rsidRPr="00C27797">
              <w:rPr>
                <w:rFonts w:ascii="Times New Roman" w:hAnsi="Times New Roman" w:cs="Times New Roman"/>
                <w:sz w:val="18"/>
                <w:szCs w:val="18"/>
                <w:lang w:eastAsia="en-GB"/>
              </w:rPr>
              <w:t xml:space="preserve">Ekman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r>
              <w:rPr>
                <w:rFonts w:ascii="Times New Roman" w:hAnsi="Times New Roman" w:cs="Times New Roman"/>
                <w:sz w:val="18"/>
                <w:lang w:val="en-GB"/>
              </w:rPr>
              <w:t>a</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042DD63" w14:textId="767E0C11"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50340C96" w14:textId="3701A6B6"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7D3A670" w14:textId="55656C4F"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0DA50FA0" w14:textId="2EF8E486"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0552733" w14:textId="1D63A9A5"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2AB6F9B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3ED73E2B" w14:textId="6AA433A9"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Ekman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r>
              <w:rPr>
                <w:rFonts w:ascii="Times New Roman" w:hAnsi="Times New Roman" w:cs="Times New Roman"/>
                <w:sz w:val="18"/>
                <w:lang w:val="en-GB"/>
              </w:rPr>
              <w:t>b</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D7BEAE5" w14:textId="4BC6D2B1"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25EF3B58" w14:textId="05E6D43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65C464E0" w14:textId="036718CC"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A5ED146" w14:textId="252EF80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28F337C" w14:textId="15EE7EBD"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602EBC2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4CF21CF" w14:textId="7A0D4865"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Evensen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2015</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5BFF955C" w14:textId="44AB70EF"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7711C30F" w14:textId="219343FF"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7F751214" w14:textId="29A4489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49437E61" w14:textId="1E823A4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2012</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3D54257B" w14:textId="050272B7"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7DFFB7DF"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896708A" w14:textId="16E4361A"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Ewest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2265B61" w14:textId="12CA782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648C49D7" w14:textId="7C70BF7E"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behavioural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4F9A062" w14:textId="0C6F359E"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278AC34B" w14:textId="2168B72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172D91C" w14:textId="49473B51"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64B8C07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563DE8C3" w14:textId="1D4E1F21"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Ferry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2015</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3ACAD936" w14:textId="41CB1863"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2FBC376" w14:textId="4AAC9493"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5F864D59" w14:textId="59CCB85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E52341C" w14:textId="1DC90C3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72A5FBC6" w14:textId="44E68AAC"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0E527B97"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4EC57DD" w14:textId="2CE26668"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Fineberg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1D43C81F" w14:textId="103A1678"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4C611D49" w14:textId="6059571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44AD530F" w14:textId="5E6FE4E6"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DSM-III, DSM-IIIR, DSMIV, 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4858429C" w14:textId="05AD44F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2010</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7D00448B" w14:textId="633A8EEA"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75E361B3"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EBC2724" w14:textId="0EB5C086"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Fisher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628F4F8" w14:textId="0DAC35D8"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2C4AB44C" w14:textId="7425C28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8F39828" w14:textId="67A3DB94"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4211A7C" w14:textId="142B9B6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2004</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501ECB9" w14:textId="67F581B4"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AUD</w:t>
            </w:r>
          </w:p>
        </w:tc>
      </w:tr>
      <w:tr w:rsidR="00B917D0" w:rsidRPr="00731281" w14:paraId="794DDEC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2F2810D5" w14:textId="2AF89FD4"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Fitzgerald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25800932" w14:textId="14A68883"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BED9044" w14:textId="5C3E16BE"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3C45706" w14:textId="54FB6431"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E4B3E3F" w14:textId="4B3F9E9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79FD226" w14:textId="62B3EB2F"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AUD</w:t>
            </w:r>
          </w:p>
        </w:tc>
      </w:tr>
      <w:tr w:rsidR="00B917D0" w:rsidRPr="00731281" w14:paraId="545EFE6D"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5312868F" w14:textId="26369FB1"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Florence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2016</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6E03D3A8" w14:textId="65E24C55"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23DBBAC3" w14:textId="1F27E9EC"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3F987F84" w14:textId="5945CDA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5860B907" w14:textId="65EFBECF"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2013</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11A725BA" w14:textId="3977F30D"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41E6BC66"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3B689CD6" w14:textId="044BB693"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Frey</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2014</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68F8888F" w14:textId="0A106E81"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219BC06D" w14:textId="70D5F053"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6F31CD57" w14:textId="5A7185F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ICD-10-GM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49F8833" w14:textId="502DC254"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73907A2" w14:textId="0684E9AF"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358C69AD"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DAEC11E" w14:textId="69940A01"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Ganz</w:t>
            </w:r>
            <w:r w:rsidR="00E73031">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2007</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51E00BDF" w14:textId="4FF80D90"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1B3443DA" w14:textId="3623B34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developmental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3F1BD3DE" w14:textId="12A20FC7"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299BC50A" w14:textId="6E43FC5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2003</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57E2DEDB" w14:textId="41356908"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6012FAF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BD67A22" w14:textId="762812E9"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Gerhardt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2018</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042DBB47" w14:textId="1CD34A5E"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69764C8F" w14:textId="70D8CBEA"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behavioural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A640BDF" w14:textId="4813D30F"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B2868DD" w14:textId="3B94B473"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2011</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084BD40F" w14:textId="52DB7CFD"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094D8090"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5332ECC9" w14:textId="73862564"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Greenberg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AE5212D" w14:textId="3260680A"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2336AF1D" w14:textId="1EF133C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03E8B75E" w14:textId="265BD3AD"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11CF3DBC" w14:textId="2BD455C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6800BB2" w14:textId="0BEBD3DE"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39BC96CE"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7D49C011" w14:textId="043AB65D"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Greenberg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1999</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0A3F1D0" w14:textId="5F505B4E"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C808D88" w14:textId="21466E0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AC2737F" w14:textId="25F77E20"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DSM-III-R</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00D5A7DB" w14:textId="22AE4FF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F95326F" w14:textId="143E955E"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6E814634"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1D18D23" w14:textId="547A2B91"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Gupte-Singh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0205D2E1" w14:textId="2844080D"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477B717" w14:textId="350080E4"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behavioural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6FB7AD6B" w14:textId="6F5D7D9F"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7484DE53" w14:textId="70A931F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2011</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28520B1E" w14:textId="25EE146A"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7D3C77DE"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706F1D97" w14:textId="2EDC6DF0"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Gustavsson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2011</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34454AEC" w14:textId="70AF8EE5" w:rsidR="00B917D0" w:rsidRPr="00165B8E" w:rsidRDefault="00B917D0" w:rsidP="00DB6727">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6157FE99" w14:textId="093F4734"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07CF1CA3" w14:textId="5B9B591A"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2F8A3FA8" w14:textId="71B611A9"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5B8CA79" w14:textId="70D06AB7"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0483C3AE"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3CF7FC7" w14:textId="2948A28B" w:rsidR="00B917D0" w:rsidRPr="002344CC"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Hakkaart-van Roijen </w:t>
            </w:r>
            <w:r w:rsidR="00E73031" w:rsidRPr="00E73031">
              <w:rPr>
                <w:rFonts w:ascii="Times New Roman" w:hAnsi="Times New Roman" w:cs="Times New Roman"/>
                <w:i/>
                <w:sz w:val="18"/>
                <w:szCs w:val="18"/>
                <w:lang w:eastAsia="en-GB"/>
              </w:rPr>
              <w:t xml:space="preserve">et al., </w:t>
            </w:r>
            <w:r w:rsidRPr="000C32F5">
              <w:rPr>
                <w:rFonts w:ascii="Times New Roman" w:hAnsi="Times New Roman" w:cs="Times New Roman"/>
                <w:sz w:val="18"/>
              </w:rPr>
              <w:t>2007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C8936E3" w14:textId="73DF2AE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470B8E70" w14:textId="537EC44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behavioural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1642EB7" w14:textId="413CAD2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1B60D5A9" w14:textId="4FCAED48"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2004</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CF16A31" w14:textId="36FDCDA1"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589D53CB"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1A1F87C" w14:textId="406A90B9"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Hawthorne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2003</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0FC7D6F7" w14:textId="2FE9770C" w:rsidR="00B917D0" w:rsidRPr="00165B8E" w:rsidRDefault="00B917D0" w:rsidP="00AA436F">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direct, indirect </w:t>
            </w:r>
            <w:r>
              <w:rPr>
                <w:rFonts w:ascii="Times New Roman" w:hAnsi="Times New Roman" w:cs="Times New Roman"/>
                <w:sz w:val="18"/>
                <w:lang w:val="en-GB"/>
              </w:rPr>
              <w:t>&amp;</w:t>
            </w:r>
            <w:r w:rsidRPr="00165B8E">
              <w:rPr>
                <w:rFonts w:ascii="Times New Roman" w:hAnsi="Times New Roman" w:cs="Times New Roman"/>
                <w:sz w:val="18"/>
                <w:lang w:val="en-GB"/>
              </w:rPr>
              <w:t xml:space="preserve"> intangible</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008E7D14" w14:textId="6503AE4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75611658" w14:textId="5942680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28A32302" w14:textId="639EE81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1998</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1582DE78" w14:textId="623B39C9"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AUD</w:t>
            </w:r>
          </w:p>
        </w:tc>
      </w:tr>
      <w:tr w:rsidR="00B917D0" w:rsidRPr="00731281" w14:paraId="022BD63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136FD1B" w14:textId="2121223E" w:rsidR="00B917D0" w:rsidRPr="002344CC" w:rsidRDefault="00B917D0" w:rsidP="00E73031">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Hertzman</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00E73031">
              <w:rPr>
                <w:rFonts w:ascii="Times New Roman" w:hAnsi="Times New Roman" w:cs="Times New Roman"/>
                <w:sz w:val="18"/>
                <w:szCs w:val="18"/>
                <w:lang w:val="en-GB" w:eastAsia="en-GB"/>
              </w:rPr>
              <w:t>1983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D90BDC7" w14:textId="6D9885C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44CD48B2" w14:textId="0F51006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126AA07F" w14:textId="318A4D6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ICD-8</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1F9BD4B9" w14:textId="21C879A2"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1975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83C739B" w14:textId="22EEF014"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SEK</w:t>
            </w:r>
          </w:p>
        </w:tc>
      </w:tr>
      <w:tr w:rsidR="00B917D0" w:rsidRPr="00731281" w14:paraId="216CA4F2"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66C55B03" w14:textId="76290F1A"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lastRenderedPageBreak/>
              <w:t xml:space="preserve">Hjortsberg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2011</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32E39CF7" w14:textId="09665AC9"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610974AA" w14:textId="5C58F66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2CD7BCB" w14:textId="5BF28B6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012F303" w14:textId="02DB36DB"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2007</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20192E1" w14:textId="2ED41EC4"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789B823E"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6F3A5B8A" w14:textId="2E43AD89"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Hu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2007</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42617E10" w14:textId="6E6659C3"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312DFE62" w14:textId="60D4652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4C84D5E2" w14:textId="4F3AB70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1F0E289A" w14:textId="1A8C8A85" w:rsidR="00B917D0" w:rsidRPr="00165B8E" w:rsidRDefault="00B917D0" w:rsidP="00DB6727">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2002</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7D386C31" w14:textId="1CAAD747"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RMB</w:t>
            </w:r>
          </w:p>
        </w:tc>
      </w:tr>
      <w:tr w:rsidR="00B917D0" w:rsidRPr="00731281" w14:paraId="6CB41B1F"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60009E45" w14:textId="7A38E6D4"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Jarbrink and Knapp</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2001</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E170ED7" w14:textId="5F1D9982"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5A107A6" w14:textId="02A2891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developmental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3DAF5853" w14:textId="30725D6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0ADC4D16" w14:textId="2E75D951"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1997</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085EBCE" w14:textId="7A1EB8F0"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46B9D9F3"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54815392" w14:textId="03C8EBA1"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Kilian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2001</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F7E434E" w14:textId="4CF096D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9E8F0EA" w14:textId="44D8CA5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86EFD53" w14:textId="4BD769E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4F93B75" w14:textId="2207D91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86ADD55" w14:textId="2220AE23"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DEM</w:t>
            </w:r>
          </w:p>
        </w:tc>
      </w:tr>
      <w:tr w:rsidR="00B917D0" w:rsidRPr="00731281" w14:paraId="71CB7EB9"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01CE9078" w14:textId="53ED721E" w:rsidR="00B917D0" w:rsidRPr="002344CC" w:rsidRDefault="00B917D0" w:rsidP="000C32F5">
            <w:pPr>
              <w:spacing w:after="0" w:line="240" w:lineRule="auto"/>
              <w:rPr>
                <w:rFonts w:ascii="Times New Roman" w:hAnsi="Times New Roman" w:cs="Times New Roman"/>
                <w:sz w:val="18"/>
                <w:szCs w:val="18"/>
                <w:lang w:val="en-GB" w:eastAsia="en-GB"/>
              </w:rPr>
            </w:pPr>
            <w:r w:rsidRPr="002344CC">
              <w:rPr>
                <w:rFonts w:ascii="Times New Roman" w:hAnsi="Times New Roman" w:cs="Times New Roman"/>
                <w:sz w:val="18"/>
                <w:szCs w:val="18"/>
                <w:lang w:val="en-GB" w:eastAsia="en-GB"/>
              </w:rPr>
              <w:t xml:space="preserve">Kind </w:t>
            </w:r>
            <w:r>
              <w:rPr>
                <w:rFonts w:ascii="Times New Roman" w:hAnsi="Times New Roman" w:cs="Times New Roman"/>
                <w:sz w:val="18"/>
                <w:szCs w:val="18"/>
                <w:lang w:val="en-GB" w:eastAsia="en-GB"/>
              </w:rPr>
              <w:t>and Sorensen</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1993</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5CE51BC6" w14:textId="73F16513"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5C676E65" w14:textId="5C6BD3C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0702EF03" w14:textId="2FA8DF1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16980329" w14:textId="7C839F7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1990</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60BDF0CB" w14:textId="60889854"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02A7C049"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62EB1179" w14:textId="2CF89E3E"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Kleine-Budde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54A3A94" w14:textId="4FC6F72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BB63494" w14:textId="1F0409A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580BF27F" w14:textId="78F322E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5D62DF15" w14:textId="228E226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2009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5150684" w14:textId="41CB7FD9"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EUR</w:t>
            </w:r>
          </w:p>
        </w:tc>
      </w:tr>
      <w:tr w:rsidR="00B917D0" w:rsidRPr="00731281" w14:paraId="6B6B29F0"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78886B2F" w14:textId="31D4513F"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Klora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2015</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B671FAC" w14:textId="4A98F06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5E36D336" w14:textId="684ABB6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behavioural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851B4A0" w14:textId="1603B25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ICD-10-GM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718B618C" w14:textId="26DE54C1"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2007</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0B2A28C8" w14:textId="3A664814"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EUR</w:t>
            </w:r>
          </w:p>
        </w:tc>
      </w:tr>
      <w:tr w:rsidR="00B917D0" w:rsidRPr="00731281" w14:paraId="5F706C47"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240CB2E3" w14:textId="424ED083"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Knapp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2002</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6A9D53B4" w14:textId="336D5C1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30A12251" w14:textId="0572FEE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30AE55EB" w14:textId="27AAC4C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2B22DFB4" w14:textId="5D4B073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1998</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73ECD33B" w14:textId="2260A06D"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GBP</w:t>
            </w:r>
          </w:p>
        </w:tc>
      </w:tr>
      <w:tr w:rsidR="00B917D0" w:rsidRPr="00731281" w14:paraId="0E389206"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15C89D6" w14:textId="6ECCEBE4"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Krauth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2002</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0050E83A" w14:textId="63B4EFE7"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AE9A162" w14:textId="1A6EF80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eating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FE0FBCE" w14:textId="2E2F289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528CF79" w14:textId="6235448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1998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9AC334A" w14:textId="3093E6A9"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EUR</w:t>
            </w:r>
          </w:p>
        </w:tc>
      </w:tr>
      <w:tr w:rsidR="00B917D0" w:rsidRPr="00731281" w14:paraId="3B1BC623"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71D6FCE0" w14:textId="5A094CE7"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Laidi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2018</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F7A6A64" w14:textId="29F5295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6508A99" w14:textId="3D3EF63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AE1C442" w14:textId="3377B9F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DSM-IV-TR</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232E60E" w14:textId="13266F2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5B064E6" w14:textId="44841CDD"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39FAFF6E"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A52BCB1" w14:textId="2EB089C0" w:rsidR="00B917D0" w:rsidRPr="000C32F5" w:rsidRDefault="00B917D0" w:rsidP="000C32F5">
            <w:pPr>
              <w:spacing w:after="0" w:line="240" w:lineRule="auto"/>
              <w:rPr>
                <w:rFonts w:ascii="Times New Roman" w:hAnsi="Times New Roman" w:cs="Times New Roman"/>
                <w:sz w:val="18"/>
                <w:szCs w:val="18"/>
                <w:lang w:val="en-GB" w:eastAsia="en-GB"/>
              </w:rPr>
            </w:pPr>
            <w:r w:rsidRPr="000C32F5">
              <w:rPr>
                <w:rFonts w:ascii="Times New Roman" w:hAnsi="Times New Roman" w:cs="Times New Roman"/>
                <w:sz w:val="18"/>
                <w:szCs w:val="18"/>
                <w:lang w:val="en-GB" w:eastAsia="en-GB"/>
              </w:rPr>
              <w:t>Lang and</w:t>
            </w:r>
            <w:r>
              <w:rPr>
                <w:rFonts w:ascii="Times New Roman" w:hAnsi="Times New Roman" w:cs="Times New Roman"/>
                <w:sz w:val="18"/>
                <w:szCs w:val="18"/>
                <w:lang w:val="en-GB" w:eastAsia="en-GB"/>
              </w:rPr>
              <w:t xml:space="preserve"> Su</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2004</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370DD40C" w14:textId="2EA0D36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288C9AFD" w14:textId="6ADA9E0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3522B274" w14:textId="5FEE938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0F24DE1E" w14:textId="5E9E28B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1999</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1469CD70" w14:textId="748CAE52"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13625071"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F1FFA9E" w14:textId="5422CA7D"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Lee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252949CD" w14:textId="39353C60"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C00F5E5" w14:textId="5003461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0BE6236B" w14:textId="28A40FF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16E96F74" w14:textId="390507A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2013</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46575BB" w14:textId="1103E08C"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AUD</w:t>
            </w:r>
          </w:p>
        </w:tc>
      </w:tr>
      <w:tr w:rsidR="00B917D0" w:rsidRPr="00731281" w14:paraId="004DE0E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3DB4B9CC" w14:textId="18BC6B07"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Libutzki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2019</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EE98343" w14:textId="28BED3D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6F5D93E7" w14:textId="3BD1036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behavioural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3FFFAB4" w14:textId="5C7C06F1"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ICD-10-GM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E41B9E9" w14:textId="1D232FC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2014</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7A85F67C" w14:textId="69EDCD05"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12614B5C"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68E51857" w14:textId="260AF1D3"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Lima and Esquerdo</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2003</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35A929BA" w14:textId="7CB972E1"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35B2A3E1" w14:textId="17A2492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2145CA61" w14:textId="47DCCE5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0D71A456" w14:textId="7CE46E1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1995</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5BBA3A74" w14:textId="625F5E30"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35C1A4DA"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6B96FC2" w14:textId="54D9ED2A"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Lin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2011</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0011C56" w14:textId="62AD6BE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5A9101E" w14:textId="3210E7B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developmental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1DC38EB" w14:textId="4D9621C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28809079" w14:textId="139BE33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7334A98" w14:textId="5E6930E3"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NTD</w:t>
            </w:r>
          </w:p>
        </w:tc>
      </w:tr>
      <w:tr w:rsidR="00B917D0" w:rsidRPr="00731281" w14:paraId="5032AFAE"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60DE0DCB" w14:textId="0F316E2D"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Lin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A26CE58" w14:textId="65C08AA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5DC6C25C" w14:textId="2693F20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developmental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D1B2CB3" w14:textId="14B8A35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068E8A60" w14:textId="0A5F7F0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255F32F5" w14:textId="0C97EB89"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NTD</w:t>
            </w:r>
          </w:p>
        </w:tc>
      </w:tr>
      <w:tr w:rsidR="00B917D0" w:rsidRPr="00731281" w14:paraId="1A9EC66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38A7569" w14:textId="26812652"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Ling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3DC0F39B" w14:textId="4EFE0D89"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2E4E6710" w14:textId="6712FBA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eating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10D49DEB" w14:textId="5E4CA26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DSM-5</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7BAF053" w14:textId="3CFF7C3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2013</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9A28394" w14:textId="304C7324"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79D3C9EB"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582DCD4F" w14:textId="1A7AD315"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Liptak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2006</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C3AC84D" w14:textId="2ADF0FD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622E141" w14:textId="4A6FA58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532845B1" w14:textId="382E715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B06714A" w14:textId="68BE8751"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135037E" w14:textId="705A2C87"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6D9FF0DE"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CF631B5" w14:textId="48A41A23"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Lund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28B368E4" w14:textId="09B4D9C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5CBA8DB" w14:textId="7A132C2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1198B9C" w14:textId="4C9219A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7C0DC665" w14:textId="1BEFFA8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7811218" w14:textId="606C0B53"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1905BA3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2BE85FCC" w14:textId="5DA263F4"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Lunsky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2019</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2FEC281" w14:textId="6A66666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2789EAA" w14:textId="7574975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intellectual disabilities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386BA465" w14:textId="14DF282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148E78DB" w14:textId="5014D6C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8BF2BF2" w14:textId="4A7FA1D9"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CAD</w:t>
            </w:r>
          </w:p>
        </w:tc>
      </w:tr>
      <w:tr w:rsidR="00B917D0" w:rsidRPr="00731281" w14:paraId="46F81CE1"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0BC54E30" w14:textId="7BC1FF2D"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Maercker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DB10C79" w14:textId="34930F23"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C3874B9" w14:textId="4F7A6F2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6CE28CEF" w14:textId="27080F2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 DSM-III-R/DSM-IV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A45A1B6" w14:textId="7B3A240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C59AABE" w14:textId="00853115"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18B92B8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3778C645" w14:textId="737C2A2D"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Mangalore and Knapp</w:t>
            </w:r>
            <w:r w:rsidR="00E73031">
              <w:rPr>
                <w:rFonts w:ascii="Times New Roman" w:hAnsi="Times New Roman" w:cs="Times New Roman"/>
                <w:sz w:val="18"/>
                <w:szCs w:val="18"/>
                <w:lang w:eastAsia="en-GB"/>
              </w:rPr>
              <w:t>,</w:t>
            </w:r>
            <w:r w:rsidR="00A83682">
              <w:rPr>
                <w:rFonts w:ascii="Times New Roman" w:hAnsi="Times New Roman" w:cs="Times New Roman"/>
                <w:sz w:val="18"/>
                <w:szCs w:val="18"/>
                <w:lang w:eastAsia="en-GB"/>
              </w:rPr>
              <w:t xml:space="preserve"> </w:t>
            </w:r>
            <w:r w:rsidRPr="00165B8E">
              <w:rPr>
                <w:rFonts w:ascii="Times New Roman" w:hAnsi="Times New Roman" w:cs="Times New Roman"/>
                <w:sz w:val="18"/>
                <w:lang w:val="en-GB"/>
              </w:rPr>
              <w:t>2007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4EBA565" w14:textId="273101E7"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6F34E702" w14:textId="3C929DA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5B8F3754" w14:textId="5FB617A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204A783F" w14:textId="67B57C2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2004</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3F3BD7C" w14:textId="38684633"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551CAF77"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12C74F42" w14:textId="54AF21A4"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Manthey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2016</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20A72029" w14:textId="36DC0415"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46898EB3" w14:textId="75D1C85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63456A6" w14:textId="0BFF5DA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0ECEE2E" w14:textId="5EB9151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2014</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C7A2650" w14:textId="7D6B782F"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5C1D6B7E"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884515B" w14:textId="7A404B01"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Mark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2000</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6FFE18B3" w14:textId="391D7A5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2067F52" w14:textId="3AEBFDB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E4F1CAB" w14:textId="0A71AE6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C0BA896" w14:textId="463C532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1997</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764F5283" w14:textId="134DC4D3"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26C0DC8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6FB19D02" w14:textId="18D66145"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Masís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2010</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C5D17CB" w14:textId="59C9059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A66AEE5" w14:textId="0FE7E5F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50507376" w14:textId="4E6D2CF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 DSM-IV-TR</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96A61D7" w14:textId="4D62AE1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2010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1384521" w14:textId="5DBE52B8"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MXN</w:t>
            </w:r>
          </w:p>
        </w:tc>
      </w:tr>
      <w:tr w:rsidR="00B917D0" w:rsidRPr="00731281" w14:paraId="17E8EE90"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4FD90334" w14:textId="498872D7"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Mennini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2014</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2A01EAEE" w14:textId="473C117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269E864D" w14:textId="6677B59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A9309A5" w14:textId="197E18C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5E5D854" w14:textId="1589699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2012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DA9031B" w14:textId="53A51495"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EUR</w:t>
            </w:r>
          </w:p>
        </w:tc>
      </w:tr>
      <w:tr w:rsidR="00B917D0" w:rsidRPr="00731281" w14:paraId="4907FE86"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51BC86C7" w14:textId="75C6FFCF"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Moreno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2006</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25B45486" w14:textId="4E954797"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121B693B" w14:textId="30102A8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40A0BA06" w14:textId="773C491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ICD-9-MC</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710D5DDB" w14:textId="5ECD0591"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2002</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28D6870E" w14:textId="7A5B8295"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09CDB114"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5E14D64A" w14:textId="48258A80" w:rsidR="00B917D0" w:rsidRPr="00C27797" w:rsidRDefault="00B917D0" w:rsidP="000C32F5">
            <w:pPr>
              <w:spacing w:after="0" w:line="240" w:lineRule="auto"/>
              <w:rPr>
                <w:rFonts w:ascii="Times New Roman" w:hAnsi="Times New Roman" w:cs="Times New Roman"/>
                <w:sz w:val="18"/>
                <w:szCs w:val="18"/>
                <w:lang w:eastAsia="en-GB"/>
              </w:rPr>
            </w:pPr>
            <w:r w:rsidRPr="00C27797">
              <w:rPr>
                <w:rFonts w:ascii="Times New Roman" w:hAnsi="Times New Roman" w:cs="Times New Roman"/>
                <w:sz w:val="18"/>
                <w:szCs w:val="18"/>
                <w:lang w:eastAsia="en-GB"/>
              </w:rPr>
              <w:lastRenderedPageBreak/>
              <w:t xml:space="preserve">Nakamura </w:t>
            </w:r>
            <w:r>
              <w:rPr>
                <w:rFonts w:ascii="Times New Roman" w:hAnsi="Times New Roman" w:cs="Times New Roman"/>
                <w:sz w:val="18"/>
                <w:szCs w:val="18"/>
                <w:lang w:eastAsia="en-GB"/>
              </w:rPr>
              <w:t>and Takano</w:t>
            </w:r>
            <w:r w:rsidR="00E73031">
              <w:rPr>
                <w:rFonts w:ascii="Times New Roman" w:hAnsi="Times New Roman" w:cs="Times New Roman"/>
                <w:sz w:val="18"/>
                <w:szCs w:val="18"/>
                <w:lang w:eastAsia="en-GB"/>
              </w:rPr>
              <w:t>,</w:t>
            </w:r>
            <w:r w:rsidR="00A83682">
              <w:rPr>
                <w:rFonts w:ascii="Times New Roman" w:hAnsi="Times New Roman" w:cs="Times New Roman"/>
                <w:sz w:val="18"/>
                <w:szCs w:val="18"/>
                <w:lang w:eastAsia="en-GB"/>
              </w:rPr>
              <w:t xml:space="preserve"> </w:t>
            </w:r>
            <w:r w:rsidRPr="00165B8E">
              <w:rPr>
                <w:rFonts w:ascii="Times New Roman" w:hAnsi="Times New Roman" w:cs="Times New Roman"/>
                <w:sz w:val="18"/>
                <w:lang w:val="en-GB"/>
              </w:rPr>
              <w:t>1993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6BE2F4B8" w14:textId="1F6CF0D1"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CD332D9" w14:textId="56C8E5D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D52A059" w14:textId="7426266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75DE575C" w14:textId="769BE0D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1987</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DCA6D3D" w14:textId="550E2E9D"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JPY</w:t>
            </w:r>
          </w:p>
        </w:tc>
      </w:tr>
      <w:tr w:rsidR="00B917D0" w:rsidRPr="00731281" w14:paraId="781C89BB"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330EFFBE" w14:textId="0E7E4D0A"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Neil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2014</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042C9F0F" w14:textId="303997EE"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EDEAA50" w14:textId="4BE39DF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F388AD0" w14:textId="7630783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7323FE7" w14:textId="3C81454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DCA61F4" w14:textId="464C7B1B"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AUD</w:t>
            </w:r>
          </w:p>
        </w:tc>
      </w:tr>
      <w:tr w:rsidR="00B917D0" w:rsidRPr="00731281" w14:paraId="3F8D861A"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79DCBEB2" w14:textId="2A716B06" w:rsidR="00B917D0" w:rsidRPr="002344CC" w:rsidRDefault="00B917D0" w:rsidP="000C32F5">
            <w:pPr>
              <w:spacing w:after="0" w:line="240" w:lineRule="auto"/>
              <w:rPr>
                <w:rFonts w:ascii="Times New Roman" w:hAnsi="Times New Roman" w:cs="Times New Roman"/>
                <w:sz w:val="18"/>
                <w:szCs w:val="18"/>
                <w:lang w:val="en-GB" w:eastAsia="en-GB"/>
              </w:rPr>
            </w:pPr>
            <w:r w:rsidRPr="002344CC">
              <w:rPr>
                <w:rFonts w:ascii="Times New Roman" w:hAnsi="Times New Roman" w:cs="Times New Roman"/>
                <w:sz w:val="18"/>
                <w:szCs w:val="18"/>
                <w:lang w:val="en-GB" w:eastAsia="en-GB"/>
              </w:rPr>
              <w:t xml:space="preserve">Okumura </w:t>
            </w:r>
            <w:r>
              <w:rPr>
                <w:rFonts w:ascii="Times New Roman" w:hAnsi="Times New Roman" w:cs="Times New Roman"/>
                <w:sz w:val="18"/>
                <w:szCs w:val="18"/>
                <w:lang w:val="en-GB" w:eastAsia="en-GB"/>
              </w:rPr>
              <w:t>and Higuchi</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2011</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2A01873" w14:textId="39D4E0B7"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2D6D364" w14:textId="330AC66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56784E1C" w14:textId="3F692B3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0597D82" w14:textId="40AC9F3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430CF4C" w14:textId="396616CB"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31033A1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335E7813" w14:textId="76F8779F"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Olesen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2012</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FB9D072" w14:textId="22F33CDD"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67E8339" w14:textId="11434C7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6E7D0B6E" w14:textId="5DD9957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 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E2C6030" w14:textId="7F4822C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772FA91" w14:textId="0D6B8570"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5A4E76F9"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63D81450" w14:textId="449E4A2A"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Oliva-Moreno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2006</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E5B93EF" w14:textId="10B08CCA"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A473ABA" w14:textId="746EA17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39A4B1A2" w14:textId="53353A4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7E3F794D" w14:textId="3C0AA7B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41D7CED" w14:textId="7FD0E81A"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5652152F"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hideMark/>
          </w:tcPr>
          <w:p w14:paraId="0F37175C" w14:textId="0C788635"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Opoku-Boateng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2B275092" w14:textId="42E3F2F4"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E4ABDD8" w14:textId="59CA284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3461C1EA" w14:textId="3B77600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2558FB90" w14:textId="6DAC475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2016</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1B776B6" w14:textId="053970B5"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555445B0"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083273F6" w14:textId="5B0653C0"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Ösby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2009</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590A834B" w14:textId="51390008" w:rsidR="00B917D0" w:rsidRPr="00165B8E" w:rsidRDefault="00B917D0" w:rsidP="00A82BF9">
            <w:pPr>
              <w:spacing w:after="0" w:line="240" w:lineRule="auto"/>
              <w:jc w:val="center"/>
              <w:rPr>
                <w:rFonts w:ascii="Times New Roman" w:hAnsi="Times New Roman" w:cs="Times New Roman"/>
                <w:sz w:val="18"/>
                <w:lang w:val="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035BBBBA" w14:textId="12C31477" w:rsidR="00B917D0" w:rsidRPr="00165B8E" w:rsidRDefault="00B917D0" w:rsidP="00A82BF9">
            <w:pPr>
              <w:spacing w:after="0" w:line="240" w:lineRule="auto"/>
              <w:jc w:val="center"/>
              <w:rPr>
                <w:rFonts w:ascii="Times New Roman" w:hAnsi="Times New Roman" w:cs="Times New Roman"/>
                <w:sz w:val="18"/>
                <w:lang w:val="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713D7C20" w14:textId="60F4DFBC" w:rsidR="00B917D0" w:rsidRPr="00165B8E" w:rsidRDefault="00B917D0" w:rsidP="00A82BF9">
            <w:pPr>
              <w:spacing w:after="0" w:line="240" w:lineRule="auto"/>
              <w:jc w:val="center"/>
              <w:rPr>
                <w:rFonts w:ascii="Times New Roman" w:hAnsi="Times New Roman" w:cs="Times New Roman"/>
                <w:sz w:val="18"/>
                <w:lang w:val="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5ECFC23F" w14:textId="2D382C94" w:rsidR="00B917D0" w:rsidRPr="00165B8E" w:rsidRDefault="00B917D0" w:rsidP="00A82BF9">
            <w:pPr>
              <w:spacing w:after="0" w:line="240" w:lineRule="auto"/>
              <w:jc w:val="center"/>
              <w:rPr>
                <w:rFonts w:ascii="Times New Roman" w:hAnsi="Times New Roman" w:cs="Times New Roman"/>
                <w:sz w:val="18"/>
                <w:lang w:val="en-GB"/>
              </w:rPr>
            </w:pPr>
            <w:r w:rsidRPr="00165B8E">
              <w:rPr>
                <w:rFonts w:ascii="Times New Roman" w:hAnsi="Times New Roman" w:cs="Times New Roman"/>
                <w:sz w:val="18"/>
                <w:lang w:val="en-GB"/>
              </w:rPr>
              <w:t>2005</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635BD702" w14:textId="5F12F837" w:rsidR="00B917D0" w:rsidRPr="00165B8E" w:rsidRDefault="00B917D0" w:rsidP="00A83682">
            <w:pPr>
              <w:spacing w:after="0" w:line="240" w:lineRule="auto"/>
              <w:jc w:val="center"/>
              <w:rPr>
                <w:rFonts w:ascii="Times New Roman" w:hAnsi="Times New Roman" w:cs="Times New Roman"/>
                <w:sz w:val="18"/>
                <w:lang w:val="en-GB"/>
              </w:rPr>
            </w:pPr>
            <w:r w:rsidRPr="00165B8E">
              <w:rPr>
                <w:rFonts w:ascii="Times New Roman" w:hAnsi="Times New Roman" w:cs="Times New Roman"/>
                <w:sz w:val="18"/>
                <w:lang w:val="en-GB"/>
              </w:rPr>
              <w:t>EUR</w:t>
            </w:r>
          </w:p>
        </w:tc>
      </w:tr>
      <w:tr w:rsidR="00B917D0" w:rsidRPr="00731281" w14:paraId="68D20771"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26038996" w14:textId="2E4F2526"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Pamias Massana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2012</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F86B83E" w14:textId="2DA2CDAB"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4E570341" w14:textId="4594188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B24C18E" w14:textId="5D7EE30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 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C2268D5" w14:textId="67D7EBB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F1CA425" w14:textId="617AAE76"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69ABC9DD"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5C745862" w14:textId="0011B74B"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Pares-Badell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2014</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32B69055" w14:textId="25B56B68"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20CBCB4C" w14:textId="42F109E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542E1D9" w14:textId="34162B5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1DF275C" w14:textId="5189F14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8F5D2FB" w14:textId="33F981D0"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5DE7C96C"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37745FF6" w14:textId="09E0DFB5"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Patel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2002</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32F25360" w14:textId="0907AD9E"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1575582E" w14:textId="32C6C77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51C48911" w14:textId="0EDEB83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7BCB3F64" w14:textId="114DA7E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1998</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3F4BE6F3" w14:textId="6B2E991D"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2CD308A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E6C0596" w14:textId="5E7BCF65"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Phanthunane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2012</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A73A8B7" w14:textId="307C6E09"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421C7402" w14:textId="2EB17E7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589B508F" w14:textId="6A4E3BB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596E6400" w14:textId="56554E5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7AFF3CF9" w14:textId="21AC4E28"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THB</w:t>
            </w:r>
          </w:p>
        </w:tc>
      </w:tr>
      <w:tr w:rsidR="00B917D0" w:rsidRPr="00731281" w14:paraId="459382E7"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36FFD399" w14:textId="10EA305C"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Pletscher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2015</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3F642CC3" w14:textId="07641A82"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1161427" w14:textId="16B7F28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70FD171" w14:textId="29E0EAC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4E2BB83" w14:textId="349ADEA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9405F44" w14:textId="345CA621"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3612796C"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4711B188" w14:textId="700D9005"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Quintero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2018</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1E01A85" w14:textId="58D59B49"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D6653C9" w14:textId="08924F3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behavioural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9A8F5F8" w14:textId="6FF5508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1F134E3" w14:textId="311F7F0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7D86C3CD" w14:textId="2058C859"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68D3FE5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DC8F813" w14:textId="7B9723A7"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Rice and Miller</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1998</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563F9B0" w14:textId="123437DB"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76EB97E" w14:textId="0073BBE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0DCEE7A0" w14:textId="72FBB0D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 DSM-III</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5598983A" w14:textId="3CBBAC2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A14BE43" w14:textId="06C83235"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3E8912B6"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27D0F599" w14:textId="58C5A732" w:rsidR="00B917D0" w:rsidRPr="00C27797" w:rsidRDefault="00B917D0" w:rsidP="000C32F5">
            <w:pPr>
              <w:spacing w:after="0" w:line="240" w:lineRule="auto"/>
              <w:rPr>
                <w:rFonts w:ascii="Times New Roman" w:hAnsi="Times New Roman" w:cs="Times New Roman"/>
                <w:sz w:val="18"/>
                <w:szCs w:val="18"/>
                <w:lang w:eastAsia="en-GB"/>
              </w:rPr>
            </w:pPr>
            <w:r w:rsidRPr="00C27797">
              <w:rPr>
                <w:rFonts w:ascii="Times New Roman" w:hAnsi="Times New Roman" w:cs="Times New Roman"/>
                <w:sz w:val="18"/>
                <w:szCs w:val="18"/>
                <w:lang w:eastAsia="en-GB"/>
              </w:rPr>
              <w:t>Ritter</w:t>
            </w:r>
            <w:r>
              <w:rPr>
                <w:rFonts w:ascii="Times New Roman" w:hAnsi="Times New Roman" w:cs="Times New Roman"/>
                <w:sz w:val="18"/>
                <w:szCs w:val="18"/>
                <w:lang w:eastAsia="en-GB"/>
              </w:rPr>
              <w:t xml:space="preserve">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2015</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45F050C" w14:textId="095FDF9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C514E84" w14:textId="3E1187A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63DD76C" w14:textId="418E362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D7E304A" w14:textId="07BFAB1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2D0F49A5" w14:textId="5F136B0B"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AUD</w:t>
            </w:r>
          </w:p>
        </w:tc>
      </w:tr>
      <w:tr w:rsidR="00B917D0" w:rsidRPr="00731281" w14:paraId="042E6F0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2B9FACCE" w14:textId="0D673651"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Rouillon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1997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6BE99714" w14:textId="0FD4B03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B55DD16" w14:textId="6D7992E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80F9AE4" w14:textId="6C04E4E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DSM-III-R</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79B5E714" w14:textId="12CF6FF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26EEAB1" w14:textId="3B07AADA"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172851D2"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577CBCE" w14:textId="7E23347E"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Rovira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2012</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1DA11BD5" w14:textId="1F6DCE3C"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48B58A8D" w14:textId="6689733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77912AB2" w14:textId="42162FE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 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171FE8F3" w14:textId="6838240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2006</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3E38768A" w14:textId="4CCB1774"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0E3F927F"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04663A83" w14:textId="7311AAC5"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Runge and Grunze</w:t>
            </w:r>
            <w:r w:rsidR="00E73031">
              <w:rPr>
                <w:rFonts w:ascii="Times New Roman" w:hAnsi="Times New Roman" w:cs="Times New Roman"/>
                <w:sz w:val="18"/>
                <w:szCs w:val="18"/>
                <w:lang w:eastAsia="en-GB"/>
              </w:rPr>
              <w:t>,</w:t>
            </w:r>
            <w:r w:rsidR="00A83682">
              <w:rPr>
                <w:rFonts w:ascii="Times New Roman" w:hAnsi="Times New Roman" w:cs="Times New Roman"/>
                <w:sz w:val="18"/>
                <w:szCs w:val="18"/>
                <w:lang w:eastAsia="en-GB"/>
              </w:rPr>
              <w:t xml:space="preserve"> </w:t>
            </w:r>
            <w:r w:rsidRPr="00165B8E">
              <w:rPr>
                <w:rFonts w:ascii="Times New Roman" w:hAnsi="Times New Roman" w:cs="Times New Roman"/>
                <w:sz w:val="18"/>
                <w:lang w:val="en-GB"/>
              </w:rPr>
              <w:t>2004</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2B3292D" w14:textId="1B5A50CB"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5E3F9D8E" w14:textId="1854E61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98C3451" w14:textId="0C0C534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 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22BFD833" w14:textId="4FE3B0D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4D5EF06" w14:textId="6D043771"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4946636A"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36B3718D" w14:textId="4C80B97E"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Sado</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2014</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3F41D0BE" w14:textId="38C81E91"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5AF1D8F8" w14:textId="0D457361"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0B1D9B08" w14:textId="3C6801F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09D13BD4" w14:textId="7D21382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2005</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3AF0F727" w14:textId="7E730F12"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JPY</w:t>
            </w:r>
          </w:p>
        </w:tc>
      </w:tr>
      <w:tr w:rsidR="00B917D0" w:rsidRPr="00731281" w14:paraId="18BA822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37E3D965" w14:textId="4800F936"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Sado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A4FD148" w14:textId="4E106A13"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31C7533" w14:textId="30049DC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5C8E849" w14:textId="3C257CA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78432A8" w14:textId="052B4C8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598246E" w14:textId="6923FD02"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JPY</w:t>
            </w:r>
          </w:p>
        </w:tc>
      </w:tr>
      <w:tr w:rsidR="00B917D0" w:rsidRPr="00731281" w14:paraId="4DC102A5"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461FE51D" w14:textId="726CACE0"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Salvador-Carulla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2014</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4524680" w14:textId="41B9425A"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36794FD" w14:textId="2336912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personality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07CB6463" w14:textId="7F6BCA9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 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20D6DF77" w14:textId="654867A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2006</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E47A63A" w14:textId="25BE9A97" w:rsidR="00B917D0" w:rsidRPr="00165B8E" w:rsidRDefault="00B917D0" w:rsidP="00A83682">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4A4877AB"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6208B9FA" w14:textId="134B5C26"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Salvador-Carulla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2011</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6608E710" w14:textId="7C77147D"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7E953EE1" w14:textId="388E64C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3E9A376C" w14:textId="49BDDD6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3D4D0379" w14:textId="13E4BC1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2006</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4E8B1F9C" w14:textId="4910DD9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6543BF63"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008F4C49" w14:textId="3A47B9B1" w:rsidR="00B917D0" w:rsidRPr="00C27797" w:rsidRDefault="00B917D0" w:rsidP="000C32F5">
            <w:pPr>
              <w:spacing w:after="0" w:line="240" w:lineRule="auto"/>
              <w:rPr>
                <w:rFonts w:ascii="Times New Roman" w:hAnsi="Times New Roman" w:cs="Times New Roman"/>
                <w:sz w:val="18"/>
                <w:szCs w:val="18"/>
                <w:lang w:eastAsia="en-GB"/>
              </w:rPr>
            </w:pPr>
            <w:r w:rsidRPr="00C27797">
              <w:rPr>
                <w:rFonts w:ascii="Times New Roman" w:hAnsi="Times New Roman" w:cs="Times New Roman"/>
                <w:sz w:val="18"/>
                <w:szCs w:val="18"/>
                <w:lang w:eastAsia="en-GB"/>
              </w:rPr>
              <w:t xml:space="preserve">Samnaliev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2015</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657D0117" w14:textId="1730031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79FC7F5" w14:textId="27F2BE5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eating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17C6AFB7" w14:textId="267D635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ICD-9</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C4FAB50" w14:textId="335959A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2011</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76BFFDE" w14:textId="05D1FD7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USD</w:t>
            </w:r>
          </w:p>
        </w:tc>
      </w:tr>
      <w:tr w:rsidR="00B917D0" w:rsidRPr="00731281" w14:paraId="3CE1767F"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3122DB3" w14:textId="3C4D73A7"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Sandelin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3957E571" w14:textId="197FD10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C09E249" w14:textId="5783A42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23AFA3D" w14:textId="703C7FF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B9EC968" w14:textId="5C06423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2008</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25A16D0E" w14:textId="7726C17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SEK</w:t>
            </w:r>
          </w:p>
        </w:tc>
      </w:tr>
      <w:tr w:rsidR="00B917D0" w:rsidRPr="00731281" w14:paraId="371E013D"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308BB9C2" w14:textId="6EA3BA56"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Sarlon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2012</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CFB853C" w14:textId="384E9733"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58334ACD" w14:textId="37CCD6B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2C98BFD" w14:textId="4856CE8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90C49DE" w14:textId="453ED26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777AA522" w14:textId="161AE22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6414F32B"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5224C9E" w14:textId="354B3B91"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Schlander</w:t>
            </w:r>
            <w:r w:rsidR="00E73031">
              <w:rPr>
                <w:rFonts w:ascii="Times New Roman" w:hAnsi="Times New Roman" w:cs="Times New Roman"/>
                <w:sz w:val="18"/>
                <w:szCs w:val="18"/>
                <w:lang w:val="en-GB" w:eastAsia="en-GB"/>
              </w:rPr>
              <w:t>,</w:t>
            </w:r>
            <w:r w:rsidR="00A83682">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2007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B2D94DD" w14:textId="5AE9AD8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EB4DBAC" w14:textId="51B36EF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behavioural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1B5C12DA" w14:textId="6BB5A0F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64C05F8" w14:textId="31EC573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D8DCD98" w14:textId="52DB3AE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292DEEC9"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2C1A63F" w14:textId="618F40A5"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Schofield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2011</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598DCA8" w14:textId="486A137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455FD70" w14:textId="287A55B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1E87473" w14:textId="7837F76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0DC8338D" w14:textId="161ABF5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46E5E8B" w14:textId="1B2AA0B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AUD</w:t>
            </w:r>
          </w:p>
        </w:tc>
      </w:tr>
      <w:tr w:rsidR="00B917D0" w:rsidRPr="00731281" w14:paraId="5304BD3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622E6B43" w14:textId="33F3E9BD"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Sharma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2006</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091228DC" w14:textId="601FC071"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8B63C2B" w14:textId="385E4A0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22EF299" w14:textId="144A142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DIGS</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7E1D9B2A" w14:textId="78F5004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2002</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50D69451" w14:textId="6A1970C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INR</w:t>
            </w:r>
          </w:p>
        </w:tc>
      </w:tr>
      <w:tr w:rsidR="00B917D0" w:rsidRPr="00731281" w14:paraId="3F29DA29"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7DBE65B" w14:textId="1C1EFDBE"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Shei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2015</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535370D" w14:textId="0C060F1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158DE529" w14:textId="5F7DB82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F9D1E0C" w14:textId="750E7EF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996AF7D" w14:textId="482AB36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2013</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4D73570" w14:textId="2931949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0CEF8F9A"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43A333E1" w14:textId="28979143"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lastRenderedPageBreak/>
              <w:t>Shirneshan</w:t>
            </w:r>
            <w:r w:rsidR="00E73031">
              <w:rPr>
                <w:rFonts w:ascii="Times New Roman" w:hAnsi="Times New Roman" w:cs="Times New Roman"/>
                <w:sz w:val="18"/>
                <w:szCs w:val="18"/>
                <w:lang w:val="en-GB" w:eastAsia="en-GB"/>
              </w:rPr>
              <w:t>,</w:t>
            </w:r>
            <w:r w:rsidR="00BB3494">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2014</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0BC1FBE5" w14:textId="0A58A4C3"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2BE937CA" w14:textId="1B97463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D0E11AE" w14:textId="156C623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0FC91D20" w14:textId="7A00124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2013</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16F1118" w14:textId="6FCACA4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4A6B69CA"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5D64BE2A" w14:textId="39FCBAF1"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Slomp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2012</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3E15634" w14:textId="7C1A257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6B4E9EC" w14:textId="121B743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557EE530" w14:textId="42450CF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 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002B5635" w14:textId="6E0F03B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2007</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996D4B9" w14:textId="510DA4B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CAD</w:t>
            </w:r>
          </w:p>
        </w:tc>
      </w:tr>
      <w:tr w:rsidR="00B917D0" w:rsidRPr="00731281" w14:paraId="7D88997F"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5C65584" w14:textId="4844DC46"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Smit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2006</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385DDCDE" w14:textId="203367A6"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3EEFE0E" w14:textId="306E09F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0295048E" w14:textId="0882528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DSM-III-R</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29DC682C" w14:textId="0AA4701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2003</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07951663" w14:textId="616D64F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0046AD21"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C758C8D" w14:textId="78A694D2"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Sobocki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CA5899E" w14:textId="25FAE346" w:rsidR="00B917D0" w:rsidRPr="00165B8E" w:rsidRDefault="00B917D0" w:rsidP="00AA436F">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 xml:space="preserve">direct, indirect </w:t>
            </w:r>
            <w:r>
              <w:rPr>
                <w:rFonts w:ascii="Times New Roman" w:hAnsi="Times New Roman" w:cs="Times New Roman"/>
                <w:sz w:val="18"/>
                <w:lang w:val="en-GB"/>
              </w:rPr>
              <w:t>&amp;</w:t>
            </w:r>
            <w:r w:rsidRPr="00165B8E">
              <w:rPr>
                <w:rFonts w:ascii="Times New Roman" w:hAnsi="Times New Roman" w:cs="Times New Roman"/>
                <w:sz w:val="18"/>
                <w:lang w:val="en-GB"/>
              </w:rPr>
              <w:t xml:space="preserve"> intangible</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59D62A3" w14:textId="5115A12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31DE0B51" w14:textId="45D5598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2E64DEE5" w14:textId="24D82E2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EC7C111" w14:textId="146FDBD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3504DF4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326C7985" w14:textId="002DBCC0"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Soeteman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2008</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60374E9" w14:textId="24BB9A46"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DA8E5B7" w14:textId="647780A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personality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23815381" w14:textId="578E65DF" w:rsidR="00B917D0" w:rsidRPr="00165B8E" w:rsidRDefault="00B917D0" w:rsidP="00A82BF9">
            <w:pPr>
              <w:spacing w:after="0" w:line="240" w:lineRule="auto"/>
              <w:jc w:val="center"/>
              <w:rPr>
                <w:rFonts w:ascii="Times New Roman" w:hAnsi="Times New Roman" w:cs="Times New Roman"/>
                <w:sz w:val="18"/>
                <w:szCs w:val="18"/>
                <w:lang w:eastAsia="en-GB"/>
              </w:rPr>
            </w:pPr>
            <w:r w:rsidRPr="00165B8E">
              <w:rPr>
                <w:rFonts w:ascii="Times New Roman" w:hAnsi="Times New Roman" w:cs="Times New Roman"/>
                <w:sz w:val="18"/>
              </w:rPr>
              <w:t>DSM-III-R, 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36D5448" w14:textId="0CE6FD7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04470E86" w14:textId="1497B0A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62E5B28C"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6F69444" w14:textId="0031859C"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Souêtre </w:t>
            </w:r>
            <w:r w:rsidR="00E73031" w:rsidRPr="00E73031">
              <w:rPr>
                <w:rFonts w:ascii="Times New Roman" w:hAnsi="Times New Roman" w:cs="Times New Roman"/>
                <w:i/>
                <w:sz w:val="18"/>
                <w:szCs w:val="18"/>
                <w:lang w:eastAsia="en-GB"/>
              </w:rPr>
              <w:t xml:space="preserve">et al., </w:t>
            </w:r>
            <w:r w:rsidR="00E73031">
              <w:rPr>
                <w:rFonts w:ascii="Times New Roman" w:hAnsi="Times New Roman" w:cs="Times New Roman"/>
                <w:sz w:val="18"/>
                <w:szCs w:val="18"/>
                <w:lang w:val="en-GB" w:eastAsia="en-GB"/>
              </w:rPr>
              <w:t>1994</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5945856C" w14:textId="22386A44"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5B1C63E3" w14:textId="4100A6D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neurotic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6B30EBA1" w14:textId="510DA002" w:rsidR="00B917D0" w:rsidRPr="00165B8E" w:rsidRDefault="00B917D0" w:rsidP="00A82BF9">
            <w:pPr>
              <w:spacing w:after="0" w:line="240" w:lineRule="auto"/>
              <w:jc w:val="center"/>
              <w:rPr>
                <w:rFonts w:ascii="Times New Roman" w:hAnsi="Times New Roman" w:cs="Times New Roman"/>
                <w:sz w:val="18"/>
                <w:szCs w:val="18"/>
                <w:lang w:eastAsia="en-GB"/>
              </w:rPr>
            </w:pPr>
            <w:r w:rsidRPr="00165B8E">
              <w:rPr>
                <w:rFonts w:ascii="Times New Roman" w:hAnsi="Times New Roman" w:cs="Times New Roman"/>
                <w:sz w:val="18"/>
                <w:lang w:val="en-GB"/>
              </w:rPr>
              <w:t>DSM-III-R</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ECC7C78" w14:textId="12C04A0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1993</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5CFE089" w14:textId="75E4346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0E30D12D"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20FF8957" w14:textId="06BA332D" w:rsidR="00B917D0" w:rsidRPr="00C27797" w:rsidRDefault="00B917D0" w:rsidP="00B917D0">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Stoudemire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1986</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094EAE5" w14:textId="744AF30D"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C0409E4" w14:textId="268A068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01FC3A3C" w14:textId="1829A7E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DIS</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452D16F" w14:textId="111A7B7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1980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8396DA9" w14:textId="3FFE7EE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0F543C4C"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01D56A97" w14:textId="33A69C92"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Strydom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2010</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CF9B861" w14:textId="62799F0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232334A3" w14:textId="6ED786D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intellectual disabilities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18A70B10" w14:textId="5D5DE7F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5B6020FB" w14:textId="769999C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2006</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1DE118E" w14:textId="7DACF1A1"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1E0AB91A"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DBEF1D9" w14:textId="702BDF5A"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Suleiman </w:t>
            </w:r>
            <w:r w:rsidR="00E73031" w:rsidRPr="00E73031">
              <w:rPr>
                <w:rFonts w:ascii="Times New Roman" w:hAnsi="Times New Roman" w:cs="Times New Roman"/>
                <w:i/>
                <w:sz w:val="18"/>
                <w:szCs w:val="18"/>
                <w:lang w:eastAsia="en-GB"/>
              </w:rPr>
              <w:t xml:space="preserve">et al., </w:t>
            </w:r>
            <w:r w:rsidR="00E73031">
              <w:rPr>
                <w:rFonts w:ascii="Times New Roman" w:hAnsi="Times New Roman" w:cs="Times New Roman"/>
                <w:sz w:val="18"/>
                <w:szCs w:val="18"/>
                <w:lang w:val="en-GB" w:eastAsia="en-GB"/>
              </w:rPr>
              <w:t>1997</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52665C9A" w14:textId="3E9AFA3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3BFB73A3" w14:textId="5A7E644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388FF913" w14:textId="3DD8DBA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065324F9" w14:textId="436F0E1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1995</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3EBE1A7B" w14:textId="167CC80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NGN</w:t>
            </w:r>
          </w:p>
        </w:tc>
      </w:tr>
      <w:tr w:rsidR="00B917D0" w:rsidRPr="00731281" w14:paraId="17D4192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2D99DC91" w14:textId="3E243D21" w:rsidR="00B917D0" w:rsidRPr="002344CC" w:rsidRDefault="00B917D0" w:rsidP="000C32F5">
            <w:pPr>
              <w:spacing w:after="0" w:line="240" w:lineRule="auto"/>
              <w:rPr>
                <w:rFonts w:ascii="Times New Roman" w:hAnsi="Times New Roman" w:cs="Times New Roman"/>
                <w:sz w:val="18"/>
                <w:szCs w:val="18"/>
                <w:lang w:val="en-GB" w:eastAsia="en-GB"/>
              </w:rPr>
            </w:pPr>
            <w:r w:rsidRPr="002344CC">
              <w:rPr>
                <w:rFonts w:ascii="Times New Roman" w:hAnsi="Times New Roman" w:cs="Times New Roman"/>
                <w:sz w:val="18"/>
                <w:szCs w:val="18"/>
                <w:lang w:val="en-GB" w:eastAsia="en-GB"/>
              </w:rPr>
              <w:t>Sundhedsm</w:t>
            </w:r>
            <w:r>
              <w:rPr>
                <w:rFonts w:ascii="Times New Roman" w:hAnsi="Times New Roman" w:cs="Times New Roman"/>
                <w:sz w:val="18"/>
                <w:szCs w:val="18"/>
                <w:lang w:val="en-GB" w:eastAsia="en-GB"/>
              </w:rPr>
              <w:t>inisteriet [Ministry of Health]</w:t>
            </w:r>
            <w:r w:rsidR="00E73031">
              <w:rPr>
                <w:rFonts w:ascii="Times New Roman" w:hAnsi="Times New Roman" w:cs="Times New Roman"/>
                <w:sz w:val="18"/>
                <w:szCs w:val="18"/>
                <w:lang w:val="en-GB" w:eastAsia="en-GB"/>
              </w:rPr>
              <w:t>,</w:t>
            </w:r>
            <w:r w:rsidRPr="00165B8E">
              <w:rPr>
                <w:rFonts w:ascii="Times New Roman" w:hAnsi="Times New Roman" w:cs="Times New Roman"/>
                <w:sz w:val="18"/>
                <w:lang w:val="en-GB"/>
              </w:rPr>
              <w:t xml:space="preserve"> 1999</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21CB1AA9" w14:textId="308EC7AE"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7CA9965" w14:textId="708F263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substance use</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026B7390" w14:textId="3EB9FB2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F3D13CE" w14:textId="7FE5B61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52DC465" w14:textId="2A87EB9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DKK</w:t>
            </w:r>
          </w:p>
        </w:tc>
      </w:tr>
      <w:tr w:rsidR="00B917D0" w:rsidRPr="00731281" w14:paraId="72218E10"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A42CD99" w14:textId="11AB2540"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Telford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107F6FC5" w14:textId="167425BF"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03EF80F5" w14:textId="48E59B2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behavioural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1632E6D0" w14:textId="2B7E369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DSM-IV, 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39CD68B1" w14:textId="2400BEE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2010</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183631CF" w14:textId="4BA9914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0B12B34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3ED5CB6E" w14:textId="2BCFB775"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Teoh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6E52AEFE" w14:textId="19D5A4D1"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5102A99" w14:textId="195EA32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083F382E" w14:textId="5EA4FCD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DSM-5</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7C5AF547" w14:textId="7A845B0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2015</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880AA51" w14:textId="42A5321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285D88A2"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67747A11" w14:textId="2A0D36A6"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Thomas and Morris</w:t>
            </w:r>
            <w:r w:rsidR="00E73031">
              <w:rPr>
                <w:rFonts w:ascii="Times New Roman" w:hAnsi="Times New Roman" w:cs="Times New Roman"/>
                <w:sz w:val="18"/>
                <w:szCs w:val="18"/>
                <w:lang w:val="en-GB" w:eastAsia="en-GB"/>
              </w:rPr>
              <w:t>,</w:t>
            </w:r>
            <w:r w:rsidR="00BB3494">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2003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7851F77C" w14:textId="654777F2"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B90362C" w14:textId="330C0CD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667B2600" w14:textId="7056A3B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 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1D6DBD1F" w14:textId="46D2D7F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5FD100D" w14:textId="21B381E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494A50BA"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4D80A899" w14:textId="3CB5CE4B"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Tiainen and Rehnberg</w:t>
            </w:r>
            <w:r w:rsidR="00E73031">
              <w:rPr>
                <w:rFonts w:ascii="Times New Roman" w:hAnsi="Times New Roman" w:cs="Times New Roman"/>
                <w:sz w:val="18"/>
                <w:szCs w:val="18"/>
                <w:lang w:val="en-GB" w:eastAsia="en-GB"/>
              </w:rPr>
              <w:t>,</w:t>
            </w:r>
            <w:r w:rsidR="00BB3494">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2010</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7405BBAA" w14:textId="5BC31228"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1AFD533C" w14:textId="492CC50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036EDC9F" w14:textId="558EC1F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4F127F9A" w14:textId="60B4955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2001</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13B6077F" w14:textId="0AD3398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56039A9B"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0906E7E" w14:textId="157D76B0"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Tomonaga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2013</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412ED897" w14:textId="3C683453"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3D37FAF0" w14:textId="49BD9C4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27A29A1D" w14:textId="0A217E3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23FF049B" w14:textId="41F44B8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2010</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09607F62" w14:textId="5401D5A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5A8CF4C3"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274F7463" w14:textId="6D5EEA9A"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Trivedi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2004</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FB6747B" w14:textId="5ADDACEC"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59F481C" w14:textId="532B5FD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3A9E2134" w14:textId="4208C71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5F6CA939" w14:textId="65C9E311"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1999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66A4C7AC" w14:textId="0D18E1B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70D4006C"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6C96D087" w14:textId="598E0477"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Trogdon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2015</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2BBF25D9" w14:textId="6029512B"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5F1BB2E6" w14:textId="0F2A622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44AAFCD1" w14:textId="680395B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ICD-9-CM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EB1C0E7" w14:textId="6C93150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2010</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34425C19" w14:textId="619B547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USD</w:t>
            </w:r>
          </w:p>
        </w:tc>
      </w:tr>
      <w:tr w:rsidR="00B917D0" w:rsidRPr="00731281" w14:paraId="51F8A149"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10212B2B" w14:textId="5277FAD4"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Vasiliadis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2013</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06D0A7CA" w14:textId="746213C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0DC1A104" w14:textId="719D81E5"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584AC582" w14:textId="428D2ED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DSM-IV</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4787E8C3" w14:textId="3D4AE9A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2006</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43F96731" w14:textId="7DF2E66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CAD</w:t>
            </w:r>
          </w:p>
        </w:tc>
      </w:tr>
      <w:tr w:rsidR="00B917D0" w:rsidRPr="00731281" w14:paraId="7BFE6A3D"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54E6F991" w14:textId="50BD6DFF"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Vazquez-Polo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2005</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0DF98896" w14:textId="4AD9080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38F99FEF" w14:textId="0316788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5B796B90" w14:textId="101B519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DSM-IV</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5C20680D" w14:textId="03154F86"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1999</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62449469" w14:textId="639866F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EUR</w:t>
            </w:r>
          </w:p>
        </w:tc>
      </w:tr>
      <w:tr w:rsidR="00B917D0" w:rsidRPr="00731281" w14:paraId="77162EE6"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4A50493B" w14:textId="1E85AE21"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Vodušek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2008</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20FD760" w14:textId="730FA5D0"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74C65577" w14:textId="5E9FD8C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7C99D07" w14:textId="354C353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0C9A1DD7" w14:textId="47A2608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2004</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0F77842B" w14:textId="3B5E54A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EUR</w:t>
            </w:r>
          </w:p>
        </w:tc>
      </w:tr>
      <w:tr w:rsidR="00B917D0" w:rsidRPr="00731281" w14:paraId="0771772C"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27913865" w14:textId="13002F33"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Wagner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rPr>
              <w:t>2016</w:t>
            </w:r>
          </w:p>
        </w:tc>
        <w:tc>
          <w:tcPr>
            <w:tcW w:w="1843" w:type="dxa"/>
            <w:tcBorders>
              <w:top w:val="single" w:sz="6" w:space="0" w:color="DDDDDD"/>
            </w:tcBorders>
            <w:shd w:val="clear" w:color="auto" w:fill="auto"/>
            <w:tcMar>
              <w:top w:w="120" w:type="dxa"/>
              <w:left w:w="120" w:type="dxa"/>
              <w:bottom w:w="120" w:type="dxa"/>
              <w:right w:w="120" w:type="dxa"/>
            </w:tcMar>
            <w:vAlign w:val="center"/>
          </w:tcPr>
          <w:p w14:paraId="2A4A6001" w14:textId="667FC21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direct</w:t>
            </w:r>
          </w:p>
        </w:tc>
        <w:tc>
          <w:tcPr>
            <w:tcW w:w="1985" w:type="dxa"/>
            <w:tcBorders>
              <w:top w:val="single" w:sz="6" w:space="0" w:color="DDDDDD"/>
            </w:tcBorders>
            <w:shd w:val="clear" w:color="auto" w:fill="auto"/>
            <w:tcMar>
              <w:top w:w="120" w:type="dxa"/>
              <w:left w:w="120" w:type="dxa"/>
              <w:bottom w:w="120" w:type="dxa"/>
              <w:right w:w="120" w:type="dxa"/>
            </w:tcMar>
            <w:vAlign w:val="center"/>
          </w:tcPr>
          <w:p w14:paraId="0251C934" w14:textId="4E45CCCA"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tcPr>
          <w:p w14:paraId="16A08445" w14:textId="66CE327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ICD-10</w:t>
            </w:r>
          </w:p>
        </w:tc>
        <w:tc>
          <w:tcPr>
            <w:tcW w:w="1416" w:type="dxa"/>
            <w:tcBorders>
              <w:top w:val="single" w:sz="6" w:space="0" w:color="DDDDDD"/>
            </w:tcBorders>
            <w:shd w:val="clear" w:color="auto" w:fill="auto"/>
            <w:tcMar>
              <w:top w:w="120" w:type="dxa"/>
              <w:left w:w="120" w:type="dxa"/>
              <w:bottom w:w="120" w:type="dxa"/>
              <w:right w:w="120" w:type="dxa"/>
            </w:tcMar>
            <w:vAlign w:val="center"/>
          </w:tcPr>
          <w:p w14:paraId="26FEFD46" w14:textId="0F727A83"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2010</w:t>
            </w:r>
          </w:p>
        </w:tc>
        <w:tc>
          <w:tcPr>
            <w:tcW w:w="1136" w:type="dxa"/>
            <w:tcBorders>
              <w:top w:val="single" w:sz="6" w:space="0" w:color="DDDDDD"/>
            </w:tcBorders>
            <w:shd w:val="clear" w:color="auto" w:fill="auto"/>
            <w:tcMar>
              <w:top w:w="120" w:type="dxa"/>
              <w:left w:w="120" w:type="dxa"/>
              <w:bottom w:w="120" w:type="dxa"/>
              <w:right w:w="120" w:type="dxa"/>
            </w:tcMar>
            <w:vAlign w:val="center"/>
          </w:tcPr>
          <w:p w14:paraId="1F47255F" w14:textId="35D2BC6C"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rPr>
              <w:t>EUR</w:t>
            </w:r>
          </w:p>
        </w:tc>
      </w:tr>
      <w:tr w:rsidR="00B917D0" w:rsidRPr="00731281" w14:paraId="657C9C78"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2912201F" w14:textId="390449BC"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Wancata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2007</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08944BF8" w14:textId="26C4B6CF" w:rsidR="00B917D0" w:rsidRPr="00165B8E" w:rsidRDefault="00B917D0" w:rsidP="00A82BF9">
            <w:pPr>
              <w:spacing w:after="0" w:line="240" w:lineRule="auto"/>
              <w:jc w:val="center"/>
              <w:rPr>
                <w:rFonts w:ascii="Times New Roman" w:hAnsi="Times New Roman" w:cs="Times New Roman"/>
                <w:sz w:val="18"/>
                <w:szCs w:val="18"/>
                <w:lang w:val="en-GB" w:eastAsia="en-GB"/>
              </w:rPr>
            </w:pPr>
            <w:r>
              <w:rPr>
                <w:rFonts w:ascii="Times New Roman" w:hAnsi="Times New Roman" w:cs="Times New Roman"/>
                <w:sz w:val="18"/>
                <w:lang w:val="en-GB"/>
              </w:rPr>
              <w:t>direct &amp; indirect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3C331560" w14:textId="72FAAC2F"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0EC7EB21" w14:textId="15AC77B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 DSM</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26941001" w14:textId="14789B71"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2004</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1936C6FD" w14:textId="71F0053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4487E27F"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788B8926" w14:textId="349B1806"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Young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2011</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1511BAD8" w14:textId="5547C9F9"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64399F86" w14:textId="3E1C31D8"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mood disorders</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11A9B438" w14:textId="5AB103E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36738855" w14:textId="53EEDBD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2009</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0942035E" w14:textId="0D742EFB"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GBP</w:t>
            </w:r>
          </w:p>
        </w:tc>
      </w:tr>
      <w:tr w:rsidR="00B917D0" w:rsidRPr="00731281" w14:paraId="0C5C313D" w14:textId="77777777" w:rsidTr="00BB3494">
        <w:tc>
          <w:tcPr>
            <w:tcW w:w="2411" w:type="dxa"/>
            <w:tcBorders>
              <w:top w:val="single" w:sz="6" w:space="0" w:color="DDDDDD"/>
            </w:tcBorders>
            <w:shd w:val="clear" w:color="auto" w:fill="auto"/>
            <w:tcMar>
              <w:top w:w="120" w:type="dxa"/>
              <w:left w:w="120" w:type="dxa"/>
              <w:bottom w:w="120" w:type="dxa"/>
              <w:right w:w="120" w:type="dxa"/>
            </w:tcMar>
            <w:vAlign w:val="center"/>
          </w:tcPr>
          <w:p w14:paraId="2C090891" w14:textId="7EA20D29" w:rsidR="00B917D0" w:rsidRPr="00C27797" w:rsidRDefault="00B917D0"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Zeidler </w:t>
            </w:r>
            <w:r w:rsidR="00E73031" w:rsidRPr="00E73031">
              <w:rPr>
                <w:rFonts w:ascii="Times New Roman" w:hAnsi="Times New Roman" w:cs="Times New Roman"/>
                <w:i/>
                <w:sz w:val="18"/>
                <w:szCs w:val="18"/>
                <w:lang w:eastAsia="en-GB"/>
              </w:rPr>
              <w:t xml:space="preserve">et al., </w:t>
            </w:r>
            <w:r w:rsidRPr="00165B8E">
              <w:rPr>
                <w:rFonts w:ascii="Times New Roman" w:hAnsi="Times New Roman" w:cs="Times New Roman"/>
                <w:sz w:val="18"/>
                <w:lang w:val="en-GB"/>
              </w:rPr>
              <w:t>2012</w:t>
            </w:r>
          </w:p>
        </w:tc>
        <w:tc>
          <w:tcPr>
            <w:tcW w:w="1843" w:type="dxa"/>
            <w:tcBorders>
              <w:top w:val="single" w:sz="6" w:space="0" w:color="DDDDDD"/>
            </w:tcBorders>
            <w:shd w:val="clear" w:color="auto" w:fill="auto"/>
            <w:tcMar>
              <w:top w:w="120" w:type="dxa"/>
              <w:left w:w="120" w:type="dxa"/>
              <w:bottom w:w="120" w:type="dxa"/>
              <w:right w:w="120" w:type="dxa"/>
            </w:tcMar>
            <w:vAlign w:val="center"/>
            <w:hideMark/>
          </w:tcPr>
          <w:p w14:paraId="4AA573CB" w14:textId="7C051E02"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direct</w:t>
            </w:r>
          </w:p>
        </w:tc>
        <w:tc>
          <w:tcPr>
            <w:tcW w:w="1985" w:type="dxa"/>
            <w:tcBorders>
              <w:top w:val="single" w:sz="6" w:space="0" w:color="DDDDDD"/>
            </w:tcBorders>
            <w:shd w:val="clear" w:color="auto" w:fill="auto"/>
            <w:tcMar>
              <w:top w:w="120" w:type="dxa"/>
              <w:left w:w="120" w:type="dxa"/>
              <w:bottom w:w="120" w:type="dxa"/>
              <w:right w:w="120" w:type="dxa"/>
            </w:tcMar>
            <w:vAlign w:val="center"/>
            <w:hideMark/>
          </w:tcPr>
          <w:p w14:paraId="4858199F" w14:textId="6B5D3254"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schizophrenia</w:t>
            </w:r>
          </w:p>
        </w:tc>
        <w:tc>
          <w:tcPr>
            <w:tcW w:w="1841" w:type="dxa"/>
            <w:tcBorders>
              <w:top w:val="single" w:sz="6" w:space="0" w:color="DDDDDD"/>
            </w:tcBorders>
            <w:shd w:val="clear" w:color="auto" w:fill="auto"/>
            <w:tcMar>
              <w:top w:w="120" w:type="dxa"/>
              <w:left w:w="120" w:type="dxa"/>
              <w:bottom w:w="120" w:type="dxa"/>
              <w:right w:w="120" w:type="dxa"/>
            </w:tcMar>
            <w:vAlign w:val="center"/>
            <w:hideMark/>
          </w:tcPr>
          <w:p w14:paraId="76DBD1A9" w14:textId="7160A73D"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ICD-10</w:t>
            </w:r>
          </w:p>
        </w:tc>
        <w:tc>
          <w:tcPr>
            <w:tcW w:w="1416" w:type="dxa"/>
            <w:tcBorders>
              <w:top w:val="single" w:sz="6" w:space="0" w:color="DDDDDD"/>
            </w:tcBorders>
            <w:shd w:val="clear" w:color="auto" w:fill="auto"/>
            <w:tcMar>
              <w:top w:w="120" w:type="dxa"/>
              <w:left w:w="120" w:type="dxa"/>
              <w:bottom w:w="120" w:type="dxa"/>
              <w:right w:w="120" w:type="dxa"/>
            </w:tcMar>
            <w:vAlign w:val="center"/>
            <w:hideMark/>
          </w:tcPr>
          <w:p w14:paraId="6A07259F" w14:textId="23FCD090"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2006</w:t>
            </w:r>
          </w:p>
        </w:tc>
        <w:tc>
          <w:tcPr>
            <w:tcW w:w="1136" w:type="dxa"/>
            <w:tcBorders>
              <w:top w:val="single" w:sz="6" w:space="0" w:color="DDDDDD"/>
            </w:tcBorders>
            <w:shd w:val="clear" w:color="auto" w:fill="auto"/>
            <w:tcMar>
              <w:top w:w="120" w:type="dxa"/>
              <w:left w:w="120" w:type="dxa"/>
              <w:bottom w:w="120" w:type="dxa"/>
              <w:right w:w="120" w:type="dxa"/>
            </w:tcMar>
            <w:vAlign w:val="center"/>
            <w:hideMark/>
          </w:tcPr>
          <w:p w14:paraId="2F3B2DE3" w14:textId="34D9F277" w:rsidR="00B917D0" w:rsidRPr="00165B8E" w:rsidRDefault="00B917D0" w:rsidP="00A82BF9">
            <w:pPr>
              <w:spacing w:after="0" w:line="240" w:lineRule="auto"/>
              <w:jc w:val="center"/>
              <w:rPr>
                <w:rFonts w:ascii="Times New Roman" w:hAnsi="Times New Roman" w:cs="Times New Roman"/>
                <w:sz w:val="18"/>
                <w:szCs w:val="18"/>
                <w:lang w:val="en-GB" w:eastAsia="en-GB"/>
              </w:rPr>
            </w:pPr>
            <w:r w:rsidRPr="00165B8E">
              <w:rPr>
                <w:rFonts w:ascii="Times New Roman" w:hAnsi="Times New Roman" w:cs="Times New Roman"/>
                <w:sz w:val="18"/>
                <w:lang w:val="en-GB"/>
              </w:rPr>
              <w:t>EUR</w:t>
            </w:r>
          </w:p>
        </w:tc>
      </w:tr>
      <w:tr w:rsidR="00B917D0" w:rsidRPr="00731281" w14:paraId="3D866B53" w14:textId="77777777" w:rsidTr="00BB3494">
        <w:tc>
          <w:tcPr>
            <w:tcW w:w="2411" w:type="dxa"/>
            <w:tcBorders>
              <w:top w:val="single" w:sz="6" w:space="0" w:color="DDDDDD"/>
              <w:bottom w:val="single" w:sz="12" w:space="0" w:color="DBDBDB" w:themeColor="accent3" w:themeTint="66"/>
            </w:tcBorders>
            <w:shd w:val="clear" w:color="auto" w:fill="auto"/>
            <w:tcMar>
              <w:top w:w="120" w:type="dxa"/>
              <w:left w:w="120" w:type="dxa"/>
              <w:bottom w:w="120" w:type="dxa"/>
              <w:right w:w="120" w:type="dxa"/>
            </w:tcMar>
            <w:vAlign w:val="center"/>
          </w:tcPr>
          <w:p w14:paraId="365E8C6D" w14:textId="0D851C53" w:rsidR="00B917D0" w:rsidRPr="002344CC" w:rsidRDefault="00B917D0"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Zuvekas and Meyerhoefer</w:t>
            </w:r>
            <w:r w:rsidR="00E73031">
              <w:rPr>
                <w:rFonts w:ascii="Times New Roman" w:hAnsi="Times New Roman" w:cs="Times New Roman"/>
                <w:sz w:val="18"/>
                <w:szCs w:val="18"/>
                <w:lang w:val="en-GB" w:eastAsia="en-GB"/>
              </w:rPr>
              <w:t>,</w:t>
            </w:r>
            <w:r w:rsidR="00BB3494">
              <w:rPr>
                <w:rFonts w:ascii="Times New Roman" w:hAnsi="Times New Roman" w:cs="Times New Roman"/>
                <w:sz w:val="18"/>
                <w:szCs w:val="18"/>
                <w:lang w:val="en-GB" w:eastAsia="en-GB"/>
              </w:rPr>
              <w:t xml:space="preserve"> </w:t>
            </w:r>
            <w:r w:rsidRPr="00165B8E">
              <w:rPr>
                <w:rFonts w:ascii="Times New Roman" w:hAnsi="Times New Roman" w:cs="Times New Roman"/>
                <w:sz w:val="18"/>
                <w:lang w:val="en-GB"/>
              </w:rPr>
              <w:t>2009</w:t>
            </w:r>
          </w:p>
        </w:tc>
        <w:tc>
          <w:tcPr>
            <w:tcW w:w="1843" w:type="dxa"/>
            <w:tcBorders>
              <w:top w:val="single" w:sz="6" w:space="0" w:color="DDDDDD"/>
              <w:bottom w:val="single" w:sz="12" w:space="0" w:color="DBDBDB" w:themeColor="accent3" w:themeTint="66"/>
            </w:tcBorders>
            <w:shd w:val="clear" w:color="auto" w:fill="auto"/>
            <w:tcMar>
              <w:top w:w="120" w:type="dxa"/>
              <w:left w:w="120" w:type="dxa"/>
              <w:bottom w:w="120" w:type="dxa"/>
              <w:right w:w="120" w:type="dxa"/>
            </w:tcMar>
            <w:vAlign w:val="center"/>
          </w:tcPr>
          <w:p w14:paraId="17BE586F" w14:textId="4E41D359" w:rsidR="00B917D0" w:rsidRPr="00165B8E" w:rsidRDefault="00B917D0" w:rsidP="00A82BF9">
            <w:pPr>
              <w:spacing w:after="0" w:line="240" w:lineRule="auto"/>
              <w:jc w:val="center"/>
              <w:rPr>
                <w:rFonts w:ascii="Times New Roman" w:hAnsi="Times New Roman" w:cs="Times New Roman"/>
                <w:sz w:val="18"/>
                <w:lang w:val="en-GB"/>
              </w:rPr>
            </w:pPr>
            <w:r w:rsidRPr="00165B8E">
              <w:rPr>
                <w:rFonts w:ascii="Times New Roman" w:hAnsi="Times New Roman" w:cs="Times New Roman"/>
                <w:sz w:val="18"/>
                <w:lang w:val="en-GB"/>
              </w:rPr>
              <w:t>direct</w:t>
            </w:r>
          </w:p>
        </w:tc>
        <w:tc>
          <w:tcPr>
            <w:tcW w:w="1985" w:type="dxa"/>
            <w:tcBorders>
              <w:top w:val="single" w:sz="6" w:space="0" w:color="DDDDDD"/>
              <w:bottom w:val="single" w:sz="12" w:space="0" w:color="DBDBDB" w:themeColor="accent3" w:themeTint="66"/>
            </w:tcBorders>
            <w:shd w:val="clear" w:color="auto" w:fill="auto"/>
            <w:tcMar>
              <w:top w:w="120" w:type="dxa"/>
              <w:left w:w="120" w:type="dxa"/>
              <w:bottom w:w="120" w:type="dxa"/>
              <w:right w:w="120" w:type="dxa"/>
            </w:tcMar>
            <w:vAlign w:val="center"/>
          </w:tcPr>
          <w:p w14:paraId="7C5355F7" w14:textId="4DB6F4A4" w:rsidR="00B917D0" w:rsidRPr="00165B8E" w:rsidRDefault="00B917D0" w:rsidP="00A82BF9">
            <w:pPr>
              <w:spacing w:after="0" w:line="240" w:lineRule="auto"/>
              <w:jc w:val="center"/>
              <w:rPr>
                <w:rFonts w:ascii="Times New Roman" w:hAnsi="Times New Roman" w:cs="Times New Roman"/>
                <w:sz w:val="18"/>
                <w:lang w:val="en-GB"/>
              </w:rPr>
            </w:pPr>
            <w:r w:rsidRPr="00165B8E">
              <w:rPr>
                <w:rFonts w:ascii="Times New Roman" w:hAnsi="Times New Roman" w:cs="Times New Roman"/>
                <w:sz w:val="18"/>
                <w:lang w:val="en-GB"/>
              </w:rPr>
              <w:t>substance use</w:t>
            </w:r>
          </w:p>
        </w:tc>
        <w:tc>
          <w:tcPr>
            <w:tcW w:w="1841" w:type="dxa"/>
            <w:tcBorders>
              <w:top w:val="single" w:sz="6" w:space="0" w:color="DDDDDD"/>
              <w:bottom w:val="single" w:sz="12" w:space="0" w:color="DBDBDB" w:themeColor="accent3" w:themeTint="66"/>
            </w:tcBorders>
            <w:shd w:val="clear" w:color="auto" w:fill="auto"/>
            <w:tcMar>
              <w:top w:w="120" w:type="dxa"/>
              <w:left w:w="120" w:type="dxa"/>
              <w:bottom w:w="120" w:type="dxa"/>
              <w:right w:w="120" w:type="dxa"/>
            </w:tcMar>
            <w:vAlign w:val="center"/>
          </w:tcPr>
          <w:p w14:paraId="2415D50D" w14:textId="7ED41BC1" w:rsidR="00B917D0" w:rsidRPr="00165B8E" w:rsidRDefault="00B917D0" w:rsidP="00A82BF9">
            <w:pPr>
              <w:spacing w:after="0" w:line="240" w:lineRule="auto"/>
              <w:jc w:val="center"/>
              <w:rPr>
                <w:rFonts w:ascii="Times New Roman" w:hAnsi="Times New Roman" w:cs="Times New Roman"/>
                <w:sz w:val="18"/>
                <w:lang w:val="en-GB"/>
              </w:rPr>
            </w:pPr>
            <w:r w:rsidRPr="00165B8E">
              <w:rPr>
                <w:rFonts w:ascii="Times New Roman" w:hAnsi="Times New Roman" w:cs="Times New Roman"/>
                <w:sz w:val="18"/>
                <w:lang w:val="en-GB"/>
              </w:rPr>
              <w:t>ICD-9-CM</w:t>
            </w:r>
          </w:p>
        </w:tc>
        <w:tc>
          <w:tcPr>
            <w:tcW w:w="1416" w:type="dxa"/>
            <w:tcBorders>
              <w:top w:val="single" w:sz="6" w:space="0" w:color="DDDDDD"/>
              <w:bottom w:val="single" w:sz="12" w:space="0" w:color="DBDBDB" w:themeColor="accent3" w:themeTint="66"/>
            </w:tcBorders>
            <w:shd w:val="clear" w:color="auto" w:fill="auto"/>
            <w:tcMar>
              <w:top w:w="120" w:type="dxa"/>
              <w:left w:w="120" w:type="dxa"/>
              <w:bottom w:w="120" w:type="dxa"/>
              <w:right w:w="120" w:type="dxa"/>
            </w:tcMar>
            <w:vAlign w:val="center"/>
          </w:tcPr>
          <w:p w14:paraId="749B11FC" w14:textId="2A39B5B3" w:rsidR="00B917D0" w:rsidRPr="00165B8E" w:rsidRDefault="00B917D0" w:rsidP="00A82BF9">
            <w:pPr>
              <w:spacing w:after="0" w:line="240" w:lineRule="auto"/>
              <w:jc w:val="center"/>
              <w:rPr>
                <w:rFonts w:ascii="Times New Roman" w:hAnsi="Times New Roman" w:cs="Times New Roman"/>
                <w:sz w:val="18"/>
                <w:lang w:val="en-GB"/>
              </w:rPr>
            </w:pPr>
            <w:r w:rsidRPr="00165B8E">
              <w:rPr>
                <w:rFonts w:ascii="Times New Roman" w:hAnsi="Times New Roman" w:cs="Times New Roman"/>
                <w:sz w:val="18"/>
                <w:lang w:val="en-GB"/>
              </w:rPr>
              <w:t>2005</w:t>
            </w:r>
          </w:p>
        </w:tc>
        <w:tc>
          <w:tcPr>
            <w:tcW w:w="1136" w:type="dxa"/>
            <w:tcBorders>
              <w:top w:val="single" w:sz="6" w:space="0" w:color="DDDDDD"/>
              <w:bottom w:val="single" w:sz="12" w:space="0" w:color="DBDBDB" w:themeColor="accent3" w:themeTint="66"/>
            </w:tcBorders>
            <w:shd w:val="clear" w:color="auto" w:fill="auto"/>
            <w:tcMar>
              <w:top w:w="120" w:type="dxa"/>
              <w:left w:w="120" w:type="dxa"/>
              <w:bottom w:w="120" w:type="dxa"/>
              <w:right w:w="120" w:type="dxa"/>
            </w:tcMar>
            <w:vAlign w:val="center"/>
          </w:tcPr>
          <w:p w14:paraId="7C0DEE93" w14:textId="02FC4DCD" w:rsidR="00B917D0" w:rsidRPr="00165B8E" w:rsidRDefault="00B917D0" w:rsidP="00A82BF9">
            <w:pPr>
              <w:spacing w:after="0" w:line="240" w:lineRule="auto"/>
              <w:jc w:val="center"/>
              <w:rPr>
                <w:rFonts w:ascii="Times New Roman" w:hAnsi="Times New Roman" w:cs="Times New Roman"/>
                <w:sz w:val="18"/>
                <w:lang w:val="en-GB"/>
              </w:rPr>
            </w:pPr>
            <w:r w:rsidRPr="00165B8E">
              <w:rPr>
                <w:rFonts w:ascii="Times New Roman" w:hAnsi="Times New Roman" w:cs="Times New Roman"/>
                <w:sz w:val="18"/>
                <w:lang w:val="en-GB"/>
              </w:rPr>
              <w:t>USD</w:t>
            </w:r>
          </w:p>
        </w:tc>
      </w:tr>
    </w:tbl>
    <w:p w14:paraId="025B930B" w14:textId="4514DB51" w:rsidR="000A5E72" w:rsidRPr="00FC0058" w:rsidRDefault="00FC0058" w:rsidP="002344CC">
      <w:pPr>
        <w:pStyle w:val="Heading2"/>
        <w:ind w:left="0"/>
        <w:rPr>
          <w:rFonts w:eastAsia="Times New Roman"/>
          <w:lang w:val="en-GB" w:eastAsia="en-GB"/>
        </w:rPr>
      </w:pPr>
      <w:bookmarkStart w:id="10" w:name="_Toc38626181"/>
      <w:bookmarkStart w:id="11" w:name="_Toc35433678"/>
      <w:r w:rsidRPr="00FC0058">
        <w:rPr>
          <w:rFonts w:eastAsia="Times New Roman"/>
          <w:lang w:val="en-GB" w:eastAsia="en-GB"/>
        </w:rPr>
        <w:lastRenderedPageBreak/>
        <w:t xml:space="preserve">eTable </w:t>
      </w:r>
      <w:r>
        <w:rPr>
          <w:rFonts w:eastAsia="Times New Roman"/>
          <w:lang w:val="en-GB" w:eastAsia="en-GB"/>
        </w:rPr>
        <w:t>3b</w:t>
      </w:r>
      <w:r w:rsidRPr="00FC0058">
        <w:rPr>
          <w:rFonts w:eastAsia="Times New Roman"/>
          <w:lang w:val="en-GB" w:eastAsia="en-GB"/>
        </w:rPr>
        <w:t xml:space="preserve">: </w:t>
      </w:r>
      <w:r w:rsidR="003342BD">
        <w:rPr>
          <w:rFonts w:eastAsia="Times New Roman"/>
          <w:lang w:val="en-GB" w:eastAsia="en-GB"/>
        </w:rPr>
        <w:t>Inciden</w:t>
      </w:r>
      <w:r w:rsidRPr="00FC0058">
        <w:rPr>
          <w:rFonts w:eastAsia="Times New Roman"/>
          <w:lang w:val="en-GB" w:eastAsia="en-GB"/>
        </w:rPr>
        <w:t>ce-based studie</w:t>
      </w:r>
      <w:r w:rsidR="003342BD">
        <w:rPr>
          <w:rFonts w:eastAsia="Times New Roman"/>
          <w:lang w:val="en-GB" w:eastAsia="en-GB"/>
        </w:rPr>
        <w:t>s</w:t>
      </w:r>
      <w:bookmarkEnd w:id="10"/>
    </w:p>
    <w:tbl>
      <w:tblPr>
        <w:tblW w:w="10490" w:type="dxa"/>
        <w:tblInd w:w="-709" w:type="dxa"/>
        <w:tblLayout w:type="fixed"/>
        <w:tblCellMar>
          <w:top w:w="15" w:type="dxa"/>
          <w:left w:w="15" w:type="dxa"/>
          <w:bottom w:w="15" w:type="dxa"/>
          <w:right w:w="15" w:type="dxa"/>
        </w:tblCellMar>
        <w:tblLook w:val="04A0" w:firstRow="1" w:lastRow="0" w:firstColumn="1" w:lastColumn="0" w:noHBand="0" w:noVBand="1"/>
      </w:tblPr>
      <w:tblGrid>
        <w:gridCol w:w="2269"/>
        <w:gridCol w:w="1984"/>
        <w:gridCol w:w="1985"/>
        <w:gridCol w:w="1701"/>
        <w:gridCol w:w="1275"/>
        <w:gridCol w:w="1276"/>
      </w:tblGrid>
      <w:tr w:rsidR="00BB3494" w:rsidRPr="000A5E72" w14:paraId="0177310C" w14:textId="77777777" w:rsidTr="00BB3494">
        <w:trPr>
          <w:tblHeader/>
        </w:trPr>
        <w:tc>
          <w:tcPr>
            <w:tcW w:w="2269" w:type="dxa"/>
            <w:tcBorders>
              <w:top w:val="single" w:sz="12" w:space="0" w:color="DBDBDB" w:themeColor="accent3" w:themeTint="66"/>
              <w:bottom w:val="single" w:sz="12" w:space="0" w:color="DBDBDB" w:themeColor="accent3" w:themeTint="66"/>
            </w:tcBorders>
            <w:shd w:val="clear" w:color="auto" w:fill="auto"/>
            <w:tcMar>
              <w:top w:w="120" w:type="dxa"/>
              <w:left w:w="120" w:type="dxa"/>
              <w:bottom w:w="120" w:type="dxa"/>
              <w:right w:w="120" w:type="dxa"/>
            </w:tcMar>
            <w:vAlign w:val="center"/>
            <w:hideMark/>
          </w:tcPr>
          <w:p w14:paraId="7788DB86" w14:textId="77777777" w:rsidR="00BB3494" w:rsidRPr="000A5E72" w:rsidRDefault="00BB3494" w:rsidP="00B356D8">
            <w:pPr>
              <w:spacing w:after="0" w:line="240" w:lineRule="auto"/>
              <w:rPr>
                <w:rFonts w:ascii="Times New Roman" w:hAnsi="Times New Roman" w:cs="Times New Roman"/>
                <w:b/>
                <w:sz w:val="20"/>
                <w:szCs w:val="20"/>
                <w:lang w:val="en-GB" w:eastAsia="en-GB"/>
              </w:rPr>
            </w:pPr>
            <w:r w:rsidRPr="000A5E72">
              <w:rPr>
                <w:rFonts w:ascii="Times New Roman" w:hAnsi="Times New Roman" w:cs="Times New Roman"/>
                <w:b/>
                <w:sz w:val="20"/>
                <w:szCs w:val="20"/>
                <w:lang w:val="en-GB" w:eastAsia="en-GB"/>
              </w:rPr>
              <w:t>Study</w:t>
            </w:r>
          </w:p>
        </w:tc>
        <w:tc>
          <w:tcPr>
            <w:tcW w:w="1984" w:type="dxa"/>
            <w:tcBorders>
              <w:top w:val="single" w:sz="12" w:space="0" w:color="DBDBDB" w:themeColor="accent3" w:themeTint="66"/>
              <w:bottom w:val="single" w:sz="12" w:space="0" w:color="DBDBDB" w:themeColor="accent3" w:themeTint="66"/>
            </w:tcBorders>
            <w:shd w:val="clear" w:color="auto" w:fill="auto"/>
            <w:tcMar>
              <w:top w:w="120" w:type="dxa"/>
              <w:left w:w="120" w:type="dxa"/>
              <w:bottom w:w="120" w:type="dxa"/>
              <w:right w:w="120" w:type="dxa"/>
            </w:tcMar>
            <w:vAlign w:val="center"/>
            <w:hideMark/>
          </w:tcPr>
          <w:p w14:paraId="259C05E3" w14:textId="6D92F2DA" w:rsidR="00BB3494" w:rsidRPr="000A5E72" w:rsidRDefault="00BB3494" w:rsidP="00B356D8">
            <w:pPr>
              <w:spacing w:after="0" w:line="240" w:lineRule="auto"/>
              <w:jc w:val="center"/>
              <w:rPr>
                <w:rFonts w:ascii="Times New Roman" w:hAnsi="Times New Roman" w:cs="Times New Roman"/>
                <w:b/>
                <w:sz w:val="20"/>
                <w:szCs w:val="20"/>
                <w:lang w:val="en-GB" w:eastAsia="en-GB"/>
              </w:rPr>
            </w:pPr>
            <w:r>
              <w:rPr>
                <w:rFonts w:ascii="Times New Roman" w:hAnsi="Times New Roman" w:cs="Times New Roman"/>
                <w:b/>
                <w:sz w:val="20"/>
                <w:szCs w:val="20"/>
                <w:lang w:val="en-GB" w:eastAsia="en-GB"/>
              </w:rPr>
              <w:t>Cost category</w:t>
            </w:r>
          </w:p>
        </w:tc>
        <w:tc>
          <w:tcPr>
            <w:tcW w:w="1985" w:type="dxa"/>
            <w:tcBorders>
              <w:top w:val="single" w:sz="12" w:space="0" w:color="DBDBDB" w:themeColor="accent3" w:themeTint="66"/>
              <w:bottom w:val="single" w:sz="12" w:space="0" w:color="DBDBDB" w:themeColor="accent3" w:themeTint="66"/>
            </w:tcBorders>
            <w:shd w:val="clear" w:color="auto" w:fill="auto"/>
            <w:tcMar>
              <w:top w:w="120" w:type="dxa"/>
              <w:left w:w="120" w:type="dxa"/>
              <w:bottom w:w="120" w:type="dxa"/>
              <w:right w:w="120" w:type="dxa"/>
            </w:tcMar>
            <w:vAlign w:val="center"/>
          </w:tcPr>
          <w:p w14:paraId="6D9AAD6E" w14:textId="1D54ECB6" w:rsidR="00BB3494" w:rsidRPr="000A5E72" w:rsidRDefault="00BB3494" w:rsidP="00B356D8">
            <w:pPr>
              <w:spacing w:after="0" w:line="240" w:lineRule="auto"/>
              <w:jc w:val="center"/>
              <w:rPr>
                <w:rFonts w:ascii="Times New Roman" w:hAnsi="Times New Roman" w:cs="Times New Roman"/>
                <w:b/>
                <w:sz w:val="20"/>
                <w:szCs w:val="20"/>
                <w:lang w:val="en-GB" w:eastAsia="en-GB"/>
              </w:rPr>
            </w:pPr>
            <w:r>
              <w:rPr>
                <w:rFonts w:ascii="Times New Roman" w:hAnsi="Times New Roman" w:cs="Times New Roman"/>
                <w:b/>
                <w:sz w:val="20"/>
                <w:szCs w:val="20"/>
                <w:lang w:val="en-GB" w:eastAsia="en-GB"/>
              </w:rPr>
              <w:t>Disorder group</w:t>
            </w:r>
          </w:p>
        </w:tc>
        <w:tc>
          <w:tcPr>
            <w:tcW w:w="1701" w:type="dxa"/>
            <w:tcBorders>
              <w:top w:val="single" w:sz="12" w:space="0" w:color="DBDBDB" w:themeColor="accent3" w:themeTint="66"/>
              <w:bottom w:val="single" w:sz="12" w:space="0" w:color="DBDBDB" w:themeColor="accent3" w:themeTint="66"/>
            </w:tcBorders>
            <w:shd w:val="clear" w:color="auto" w:fill="auto"/>
            <w:tcMar>
              <w:top w:w="120" w:type="dxa"/>
              <w:left w:w="120" w:type="dxa"/>
              <w:bottom w:w="120" w:type="dxa"/>
              <w:right w:w="120" w:type="dxa"/>
            </w:tcMar>
            <w:vAlign w:val="center"/>
            <w:hideMark/>
          </w:tcPr>
          <w:p w14:paraId="61FC383D" w14:textId="77777777" w:rsidR="00BB3494" w:rsidRPr="000A5E72" w:rsidRDefault="00BB3494" w:rsidP="00B356D8">
            <w:pPr>
              <w:spacing w:after="0" w:line="240" w:lineRule="auto"/>
              <w:jc w:val="center"/>
              <w:rPr>
                <w:rFonts w:ascii="Times New Roman" w:hAnsi="Times New Roman" w:cs="Times New Roman"/>
                <w:b/>
                <w:sz w:val="20"/>
                <w:szCs w:val="20"/>
                <w:lang w:val="en-GB" w:eastAsia="en-GB"/>
              </w:rPr>
            </w:pPr>
            <w:r w:rsidRPr="000A5E72">
              <w:rPr>
                <w:rFonts w:ascii="Times New Roman" w:hAnsi="Times New Roman" w:cs="Times New Roman"/>
                <w:b/>
                <w:sz w:val="20"/>
                <w:szCs w:val="20"/>
                <w:lang w:val="en-GB" w:eastAsia="en-GB"/>
              </w:rPr>
              <w:t>Diagnostic criteria</w:t>
            </w:r>
          </w:p>
        </w:tc>
        <w:tc>
          <w:tcPr>
            <w:tcW w:w="1275" w:type="dxa"/>
            <w:tcBorders>
              <w:top w:val="single" w:sz="12" w:space="0" w:color="DBDBDB" w:themeColor="accent3" w:themeTint="66"/>
              <w:bottom w:val="single" w:sz="12" w:space="0" w:color="DBDBDB" w:themeColor="accent3" w:themeTint="66"/>
            </w:tcBorders>
            <w:shd w:val="clear" w:color="auto" w:fill="auto"/>
            <w:tcMar>
              <w:top w:w="120" w:type="dxa"/>
              <w:left w:w="120" w:type="dxa"/>
              <w:bottom w:w="120" w:type="dxa"/>
              <w:right w:w="120" w:type="dxa"/>
            </w:tcMar>
            <w:vAlign w:val="center"/>
            <w:hideMark/>
          </w:tcPr>
          <w:p w14:paraId="24066FED" w14:textId="77777777" w:rsidR="00BB3494" w:rsidRPr="000A5E72" w:rsidRDefault="00BB3494" w:rsidP="00B356D8">
            <w:pPr>
              <w:spacing w:after="0" w:line="240" w:lineRule="auto"/>
              <w:jc w:val="center"/>
              <w:rPr>
                <w:rFonts w:ascii="Times New Roman" w:hAnsi="Times New Roman" w:cs="Times New Roman"/>
                <w:b/>
                <w:sz w:val="20"/>
                <w:szCs w:val="20"/>
                <w:lang w:val="en-GB" w:eastAsia="en-GB"/>
              </w:rPr>
            </w:pPr>
            <w:r w:rsidRPr="000A5E72">
              <w:rPr>
                <w:rFonts w:ascii="Times New Roman" w:hAnsi="Times New Roman" w:cs="Times New Roman"/>
                <w:b/>
                <w:sz w:val="20"/>
                <w:szCs w:val="20"/>
                <w:lang w:val="en-GB" w:eastAsia="en-GB"/>
              </w:rPr>
              <w:t>Reference year</w:t>
            </w:r>
          </w:p>
        </w:tc>
        <w:tc>
          <w:tcPr>
            <w:tcW w:w="1276" w:type="dxa"/>
            <w:tcBorders>
              <w:top w:val="single" w:sz="12" w:space="0" w:color="DBDBDB" w:themeColor="accent3" w:themeTint="66"/>
              <w:bottom w:val="single" w:sz="12" w:space="0" w:color="DBDBDB" w:themeColor="accent3" w:themeTint="66"/>
            </w:tcBorders>
            <w:shd w:val="clear" w:color="auto" w:fill="auto"/>
            <w:tcMar>
              <w:top w:w="120" w:type="dxa"/>
              <w:left w:w="120" w:type="dxa"/>
              <w:bottom w:w="120" w:type="dxa"/>
              <w:right w:w="120" w:type="dxa"/>
            </w:tcMar>
            <w:vAlign w:val="center"/>
            <w:hideMark/>
          </w:tcPr>
          <w:p w14:paraId="2600A2ED" w14:textId="77777777" w:rsidR="00BB3494" w:rsidRPr="000A5E72" w:rsidRDefault="00BB3494" w:rsidP="00B356D8">
            <w:pPr>
              <w:spacing w:after="0" w:line="240" w:lineRule="auto"/>
              <w:jc w:val="center"/>
              <w:rPr>
                <w:rFonts w:ascii="Times New Roman" w:hAnsi="Times New Roman" w:cs="Times New Roman"/>
                <w:b/>
                <w:sz w:val="20"/>
                <w:szCs w:val="20"/>
                <w:lang w:val="en-GB" w:eastAsia="en-GB"/>
              </w:rPr>
            </w:pPr>
            <w:r w:rsidRPr="000A5E72">
              <w:rPr>
                <w:rFonts w:ascii="Times New Roman" w:hAnsi="Times New Roman" w:cs="Times New Roman"/>
                <w:b/>
                <w:sz w:val="20"/>
                <w:szCs w:val="20"/>
                <w:lang w:val="en-GB" w:eastAsia="en-GB"/>
              </w:rPr>
              <w:t>Currency</w:t>
            </w:r>
          </w:p>
        </w:tc>
      </w:tr>
      <w:tr w:rsidR="00BB3494" w:rsidRPr="000A5E72" w14:paraId="0C63CFA4" w14:textId="77777777" w:rsidTr="00BB3494">
        <w:trPr>
          <w:tblHeader/>
        </w:trPr>
        <w:tc>
          <w:tcPr>
            <w:tcW w:w="2269" w:type="dxa"/>
            <w:tcBorders>
              <w:top w:val="single" w:sz="12"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D3A9DF6" w14:textId="2E6E7F1A"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Begley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2001</w:t>
            </w:r>
          </w:p>
        </w:tc>
        <w:tc>
          <w:tcPr>
            <w:tcW w:w="1984" w:type="dxa"/>
            <w:tcBorders>
              <w:top w:val="single" w:sz="12"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1C757DF6" w14:textId="1CEFA866"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 and indirect</w:t>
            </w:r>
          </w:p>
        </w:tc>
        <w:tc>
          <w:tcPr>
            <w:tcW w:w="1985" w:type="dxa"/>
            <w:tcBorders>
              <w:top w:val="single" w:sz="12"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626E0DD9" w14:textId="311C1684"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mood disorders</w:t>
            </w:r>
          </w:p>
        </w:tc>
        <w:tc>
          <w:tcPr>
            <w:tcW w:w="1701" w:type="dxa"/>
            <w:tcBorders>
              <w:top w:val="single" w:sz="12"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3316229D" w14:textId="1D98880B"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DSM-III-R</w:t>
            </w:r>
          </w:p>
        </w:tc>
        <w:tc>
          <w:tcPr>
            <w:tcW w:w="1275" w:type="dxa"/>
            <w:tcBorders>
              <w:top w:val="single" w:sz="12"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33AA046" w14:textId="7FA7C969"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1998</w:t>
            </w:r>
          </w:p>
        </w:tc>
        <w:tc>
          <w:tcPr>
            <w:tcW w:w="1276" w:type="dxa"/>
            <w:tcBorders>
              <w:top w:val="single" w:sz="12"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B2382F6" w14:textId="62E6C2EB"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USD</w:t>
            </w:r>
          </w:p>
        </w:tc>
      </w:tr>
      <w:tr w:rsidR="00BB3494" w:rsidRPr="000A5E72" w14:paraId="79A97E05"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E4B57DC" w14:textId="31C91034"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Bereza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2012</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63D88C9" w14:textId="127EAB53"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 and indirect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1B54C08" w14:textId="207F37D7"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neurotic disorders</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3328D8C" w14:textId="4B8DFEC8"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DSM-IV, ICD-10</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656D0801" w14:textId="21742A08"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2008</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2D8FE88" w14:textId="007D338D"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CAD</w:t>
            </w:r>
          </w:p>
        </w:tc>
      </w:tr>
      <w:tr w:rsidR="00BB3494" w:rsidRPr="000A5E72" w14:paraId="58163170"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18BEECAE" w14:textId="22BF8A8E"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Chisholm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2003</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31179C5A" w14:textId="6D1A8B2C"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1D5E828" w14:textId="2E5A177D"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mood disorders</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363840F7" w14:textId="5143DDAB"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DSM-IV</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7211614" w14:textId="339BB8FF"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2000</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3B58C8A5" w14:textId="7814DA3C"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ILS</w:t>
            </w:r>
          </w:p>
        </w:tc>
      </w:tr>
      <w:tr w:rsidR="00BB3494" w:rsidRPr="000A5E72" w14:paraId="25F09EB6"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642BF08" w14:textId="2FE42629"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Chollet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2013</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52945C51" w14:textId="0091EA0A"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0A65E67" w14:textId="78CC2D03"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neurotic disorders</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9805A21" w14:textId="4BE7D2D0"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READ codes</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3C0E6D1E" w14:textId="178F4B35"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2010</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107CFC88" w14:textId="6F44FB54"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GBP</w:t>
            </w:r>
          </w:p>
        </w:tc>
      </w:tr>
      <w:tr w:rsidR="00BB3494" w:rsidRPr="000A5E72" w14:paraId="667888FD"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1147E17A" w14:textId="36230961"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Florence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2016</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14124F8E" w14:textId="23C84D29"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 and indirect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1D82B7A8" w14:textId="5644E9DF"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substance use</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3ACC5CEE" w14:textId="2CCCF0E5"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ICD-9-CM</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4D15F971" w14:textId="4D4255B6"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2013</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5F0F3BDD" w14:textId="04DEFCC4"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USD</w:t>
            </w:r>
          </w:p>
        </w:tc>
      </w:tr>
      <w:tr w:rsidR="00BB3494" w:rsidRPr="000A5E72" w14:paraId="4D17D492"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47B909DB" w14:textId="35A6DB2B" w:rsidR="00BB3494" w:rsidRPr="00A404E5" w:rsidRDefault="00BB3494" w:rsidP="000C32F5">
            <w:pPr>
              <w:spacing w:after="0" w:line="240" w:lineRule="auto"/>
              <w:rPr>
                <w:rFonts w:ascii="Times New Roman" w:hAnsi="Times New Roman" w:cs="Times New Roman"/>
                <w:sz w:val="18"/>
                <w:szCs w:val="18"/>
                <w:lang w:val="en-GB" w:eastAsia="en-GB"/>
              </w:rPr>
            </w:pPr>
            <w:r>
              <w:rPr>
                <w:rFonts w:ascii="Times New Roman" w:hAnsi="Times New Roman" w:cs="Times New Roman"/>
                <w:sz w:val="18"/>
                <w:szCs w:val="18"/>
                <w:lang w:val="en-GB" w:eastAsia="en-GB"/>
              </w:rPr>
              <w:t>Guest and Cookson</w:t>
            </w:r>
            <w:r w:rsidR="00E73031">
              <w:rPr>
                <w:rFonts w:ascii="Times New Roman" w:hAnsi="Times New Roman" w:cs="Times New Roman"/>
                <w:sz w:val="18"/>
                <w:szCs w:val="18"/>
                <w:lang w:val="en-GB" w:eastAsia="en-GB"/>
              </w:rPr>
              <w:t>,</w:t>
            </w:r>
            <w:r>
              <w:rPr>
                <w:rFonts w:ascii="Times New Roman" w:hAnsi="Times New Roman" w:cs="Times New Roman"/>
                <w:sz w:val="18"/>
                <w:szCs w:val="18"/>
                <w:lang w:val="en-GB" w:eastAsia="en-GB"/>
              </w:rPr>
              <w:t xml:space="preserve"> </w:t>
            </w:r>
            <w:r w:rsidRPr="00A404E5">
              <w:rPr>
                <w:rFonts w:ascii="Times New Roman" w:hAnsi="Times New Roman" w:cs="Times New Roman"/>
                <w:sz w:val="18"/>
                <w:szCs w:val="18"/>
                <w:lang w:val="en-GB" w:eastAsia="en-GB"/>
              </w:rPr>
              <w:t>1999</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673B711E" w14:textId="653F63D5"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 and indirect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6E6F814F" w14:textId="4BE5D1F2"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schizophrenia</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46C0A5BD" w14:textId="4AB41C83"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ICD-7, ICD-8, ICD-9</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67A32F2E" w14:textId="7AB6A122"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1997</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A55EAA6" w14:textId="4B50837F"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GBP</w:t>
            </w:r>
          </w:p>
        </w:tc>
      </w:tr>
      <w:tr w:rsidR="00BB3494" w:rsidRPr="000A5E72" w14:paraId="78FEE7AE"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519967DC" w14:textId="160E500C"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Hall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1985</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6D2AE29" w14:textId="45AD7A0F"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 and indirect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B7046DF" w14:textId="2B307242"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schizophrenia</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6D5B82BF" w14:textId="7C9C1B86"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DSM-III, ICD-8</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6AB3B9E4" w14:textId="0BD8E3D0"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1975</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BEF5E3C" w14:textId="1AA8470E"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USD</w:t>
            </w:r>
          </w:p>
        </w:tc>
      </w:tr>
      <w:tr w:rsidR="00BB3494" w:rsidRPr="000A5E72" w14:paraId="6F3AA68B"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6087CA0" w14:textId="653600D4"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Hastrup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2019</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686F3B1F" w14:textId="4D92F85F"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 and indirect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E3BFA9E" w14:textId="1A4F38D8"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schizophrenia</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E0A3785" w14:textId="6C447242"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ICD-10</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5900C507" w14:textId="18E04C3C"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2016</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D9383F9" w14:textId="6FD94FD1"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EUR</w:t>
            </w:r>
          </w:p>
        </w:tc>
      </w:tr>
      <w:tr w:rsidR="00BB3494" w:rsidRPr="000A5E72" w14:paraId="24A45681"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E0A7290" w14:textId="0B5C1106"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Heider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2009</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58CB3571" w14:textId="43AA609C"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6CE0420" w14:textId="7A490F32"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schizophrenia</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880EB76" w14:textId="5FD8D8CA"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DSM-IV</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4D5CB4E" w14:textId="1D019F51"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2000</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48E56D71" w14:textId="6249A969"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EUR</w:t>
            </w:r>
          </w:p>
        </w:tc>
      </w:tr>
      <w:tr w:rsidR="00BB3494" w:rsidRPr="000A5E72" w14:paraId="59A0EF55"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3C9B9C5" w14:textId="15BE247E"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Holden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2013</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48BE92F" w14:textId="3CF6E72A"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67D778F" w14:textId="670F16B0"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behavioural disorders</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3660675E" w14:textId="48E6555F"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Read-codes</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B6A4064" w14:textId="47660BE2"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2009</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2634FB7F" w14:textId="30E2A5EF"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GBP</w:t>
            </w:r>
          </w:p>
        </w:tc>
      </w:tr>
      <w:tr w:rsidR="00BB3494" w:rsidRPr="000A5E72" w14:paraId="68AEDEC7"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6C667B32" w14:textId="79B25071"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Kortmann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2017</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286EEF0" w14:textId="2AA71008"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indirect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D89307A" w14:textId="661ED4A7"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schizophrenia</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63157024" w14:textId="47D0EB07"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ICD-10</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487C1248" w14:textId="34D535A6"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2012</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5AD64200" w14:textId="7277ED6E"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EUR</w:t>
            </w:r>
          </w:p>
        </w:tc>
      </w:tr>
      <w:tr w:rsidR="00BB3494" w:rsidRPr="000A5E72" w14:paraId="27714F84" w14:textId="77777777" w:rsidTr="00BB3494">
        <w:trPr>
          <w:tblHeader/>
        </w:trPr>
        <w:tc>
          <w:tcPr>
            <w:tcW w:w="2269"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4594E4B" w14:textId="7B928065" w:rsidR="00BB3494" w:rsidRPr="00C27797" w:rsidRDefault="00BB3494" w:rsidP="000C32F5">
            <w:pPr>
              <w:spacing w:after="0" w:line="240" w:lineRule="auto"/>
              <w:rPr>
                <w:rFonts w:ascii="Times New Roman" w:hAnsi="Times New Roman" w:cs="Times New Roman"/>
                <w:sz w:val="18"/>
                <w:szCs w:val="18"/>
                <w:lang w:eastAsia="en-GB"/>
              </w:rPr>
            </w:pPr>
            <w:r>
              <w:rPr>
                <w:rFonts w:ascii="Times New Roman" w:hAnsi="Times New Roman" w:cs="Times New Roman"/>
                <w:sz w:val="18"/>
                <w:szCs w:val="18"/>
                <w:lang w:eastAsia="en-GB"/>
              </w:rPr>
              <w:t xml:space="preserve">Kujanpaa </w:t>
            </w:r>
            <w:r w:rsidR="00E73031" w:rsidRPr="00E73031">
              <w:rPr>
                <w:rFonts w:ascii="Times New Roman" w:hAnsi="Times New Roman" w:cs="Times New Roman"/>
                <w:i/>
                <w:sz w:val="18"/>
                <w:szCs w:val="18"/>
                <w:lang w:eastAsia="en-GB"/>
              </w:rPr>
              <w:t xml:space="preserve">et al., </w:t>
            </w:r>
            <w:r w:rsidRPr="00A404E5">
              <w:rPr>
                <w:rFonts w:ascii="Times New Roman" w:hAnsi="Times New Roman" w:cs="Times New Roman"/>
                <w:sz w:val="18"/>
                <w:szCs w:val="18"/>
                <w:lang w:val="en-GB" w:eastAsia="en-GB"/>
              </w:rPr>
              <w:t>2014</w:t>
            </w:r>
          </w:p>
        </w:tc>
        <w:tc>
          <w:tcPr>
            <w:tcW w:w="1984"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566C345" w14:textId="6CE51968"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direct</w:t>
            </w:r>
          </w:p>
        </w:tc>
        <w:tc>
          <w:tcPr>
            <w:tcW w:w="198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525DF180" w14:textId="2C0C89F1"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2+ disorders</w:t>
            </w:r>
          </w:p>
        </w:tc>
        <w:tc>
          <w:tcPr>
            <w:tcW w:w="1701"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906A79E" w14:textId="7814B066"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ICD-10</w:t>
            </w:r>
          </w:p>
        </w:tc>
        <w:tc>
          <w:tcPr>
            <w:tcW w:w="1275"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0F595CBA" w14:textId="4CC02EB1"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2007</w:t>
            </w:r>
          </w:p>
        </w:tc>
        <w:tc>
          <w:tcPr>
            <w:tcW w:w="1276" w:type="dxa"/>
            <w:tcBorders>
              <w:top w:val="single" w:sz="4" w:space="0" w:color="DBDBDB" w:themeColor="accent3" w:themeTint="66"/>
              <w:bottom w:val="single" w:sz="4" w:space="0" w:color="DBDBDB" w:themeColor="accent3" w:themeTint="66"/>
            </w:tcBorders>
            <w:shd w:val="clear" w:color="auto" w:fill="auto"/>
            <w:tcMar>
              <w:top w:w="120" w:type="dxa"/>
              <w:left w:w="120" w:type="dxa"/>
              <w:bottom w:w="120" w:type="dxa"/>
              <w:right w:w="120" w:type="dxa"/>
            </w:tcMar>
            <w:vAlign w:val="center"/>
          </w:tcPr>
          <w:p w14:paraId="7246F6A7" w14:textId="03CC1D0A" w:rsidR="00BB3494" w:rsidRPr="00A404E5" w:rsidRDefault="00BB3494" w:rsidP="00B356D8">
            <w:pPr>
              <w:spacing w:after="0" w:line="240" w:lineRule="auto"/>
              <w:jc w:val="center"/>
              <w:rPr>
                <w:rFonts w:ascii="Times New Roman" w:hAnsi="Times New Roman" w:cs="Times New Roman"/>
                <w:sz w:val="18"/>
                <w:szCs w:val="18"/>
                <w:lang w:val="en-GB" w:eastAsia="en-GB"/>
              </w:rPr>
            </w:pPr>
            <w:r w:rsidRPr="00A404E5">
              <w:rPr>
                <w:rFonts w:ascii="Times New Roman" w:hAnsi="Times New Roman" w:cs="Times New Roman"/>
                <w:sz w:val="18"/>
                <w:szCs w:val="18"/>
                <w:lang w:val="en-GB" w:eastAsia="en-GB"/>
              </w:rPr>
              <w:t>EUR</w:t>
            </w:r>
          </w:p>
        </w:tc>
      </w:tr>
      <w:tr w:rsidR="00BB3494" w:rsidRPr="000A5E72" w14:paraId="6B7AFF7C" w14:textId="77777777" w:rsidTr="00BB3494">
        <w:trPr>
          <w:tblHeader/>
        </w:trPr>
        <w:tc>
          <w:tcPr>
            <w:tcW w:w="2269" w:type="dxa"/>
            <w:tcBorders>
              <w:top w:val="single" w:sz="4" w:space="0" w:color="DBDBDB" w:themeColor="accent3" w:themeTint="66"/>
              <w:bottom w:val="single" w:sz="12" w:space="0" w:color="DDDDDD"/>
            </w:tcBorders>
            <w:shd w:val="clear" w:color="auto" w:fill="auto"/>
            <w:tcMar>
              <w:top w:w="120" w:type="dxa"/>
              <w:left w:w="120" w:type="dxa"/>
              <w:bottom w:w="120" w:type="dxa"/>
              <w:right w:w="120" w:type="dxa"/>
            </w:tcMar>
            <w:vAlign w:val="center"/>
          </w:tcPr>
          <w:p w14:paraId="7F7FC52D" w14:textId="29954E0D" w:rsidR="00BB3494" w:rsidRPr="003C2182" w:rsidRDefault="00BB3494" w:rsidP="000C32F5">
            <w:pPr>
              <w:spacing w:after="0" w:line="240" w:lineRule="auto"/>
              <w:rPr>
                <w:rFonts w:ascii="Times New Roman" w:eastAsia="Times New Roman" w:hAnsi="Times New Roman" w:cs="Times New Roman"/>
                <w:sz w:val="18"/>
                <w:szCs w:val="18"/>
                <w:lang w:val="en-GB" w:eastAsia="en-GB"/>
              </w:rPr>
            </w:pPr>
            <w:r w:rsidRPr="00654FAF">
              <w:rPr>
                <w:rFonts w:ascii="Times New Roman" w:eastAsia="Times New Roman" w:hAnsi="Times New Roman" w:cs="Times New Roman"/>
                <w:sz w:val="18"/>
                <w:szCs w:val="18"/>
                <w:lang w:val="en-GB" w:eastAsia="en-GB"/>
              </w:rPr>
              <w:t>Langley-Hawthorne</w:t>
            </w:r>
            <w:r w:rsidR="00E73031">
              <w:rPr>
                <w:rFonts w:ascii="Times New Roman" w:eastAsia="Times New Roman" w:hAnsi="Times New Roman" w:cs="Times New Roman"/>
                <w:sz w:val="18"/>
                <w:szCs w:val="18"/>
                <w:lang w:val="en-GB" w:eastAsia="en-GB"/>
              </w:rPr>
              <w:t>,</w:t>
            </w:r>
            <w:r>
              <w:rPr>
                <w:rFonts w:ascii="Times New Roman" w:eastAsia="Times New Roman" w:hAnsi="Times New Roman" w:cs="Times New Roman"/>
                <w:sz w:val="18"/>
                <w:szCs w:val="18"/>
                <w:lang w:val="en-GB" w:eastAsia="en-GB"/>
              </w:rPr>
              <w:t xml:space="preserve"> </w:t>
            </w:r>
            <w:r w:rsidRPr="00B356D8">
              <w:rPr>
                <w:rFonts w:ascii="Times New Roman" w:eastAsia="Times New Roman" w:hAnsi="Times New Roman" w:cs="Times New Roman"/>
                <w:sz w:val="18"/>
                <w:szCs w:val="18"/>
                <w:lang w:val="en-GB" w:eastAsia="en-GB"/>
              </w:rPr>
              <w:t>1997</w:t>
            </w:r>
          </w:p>
        </w:tc>
        <w:tc>
          <w:tcPr>
            <w:tcW w:w="1984" w:type="dxa"/>
            <w:tcBorders>
              <w:top w:val="single" w:sz="4" w:space="0" w:color="DBDBDB" w:themeColor="accent3" w:themeTint="66"/>
              <w:bottom w:val="single" w:sz="12" w:space="0" w:color="DDDDDD"/>
            </w:tcBorders>
            <w:shd w:val="clear" w:color="auto" w:fill="auto"/>
            <w:tcMar>
              <w:top w:w="120" w:type="dxa"/>
              <w:left w:w="120" w:type="dxa"/>
              <w:bottom w:w="120" w:type="dxa"/>
              <w:right w:w="120" w:type="dxa"/>
            </w:tcMar>
            <w:vAlign w:val="center"/>
          </w:tcPr>
          <w:p w14:paraId="47E90121" w14:textId="6E934165" w:rsidR="00BB3494" w:rsidRPr="003C2182" w:rsidRDefault="00BB3494" w:rsidP="00B356D8">
            <w:pPr>
              <w:spacing w:after="0" w:line="240" w:lineRule="auto"/>
              <w:jc w:val="center"/>
              <w:rPr>
                <w:rFonts w:ascii="Times New Roman" w:eastAsia="Times New Roman" w:hAnsi="Times New Roman" w:cs="Times New Roman"/>
                <w:sz w:val="18"/>
                <w:szCs w:val="18"/>
                <w:lang w:val="en-GB" w:eastAsia="en-GB"/>
              </w:rPr>
            </w:pPr>
            <w:r w:rsidRPr="00B356D8">
              <w:rPr>
                <w:rFonts w:ascii="Times New Roman" w:eastAsia="Times New Roman" w:hAnsi="Times New Roman" w:cs="Times New Roman"/>
                <w:sz w:val="18"/>
                <w:szCs w:val="18"/>
                <w:lang w:val="en-GB" w:eastAsia="en-GB"/>
              </w:rPr>
              <w:t>direct and indirect</w:t>
            </w:r>
          </w:p>
        </w:tc>
        <w:tc>
          <w:tcPr>
            <w:tcW w:w="1985" w:type="dxa"/>
            <w:tcBorders>
              <w:top w:val="single" w:sz="4" w:space="0" w:color="DBDBDB" w:themeColor="accent3" w:themeTint="66"/>
              <w:bottom w:val="single" w:sz="12" w:space="0" w:color="DBDBDB" w:themeColor="accent3" w:themeTint="66"/>
            </w:tcBorders>
            <w:shd w:val="clear" w:color="auto" w:fill="auto"/>
            <w:tcMar>
              <w:top w:w="120" w:type="dxa"/>
              <w:left w:w="120" w:type="dxa"/>
              <w:bottom w:w="120" w:type="dxa"/>
              <w:right w:w="120" w:type="dxa"/>
            </w:tcMar>
            <w:vAlign w:val="center"/>
          </w:tcPr>
          <w:p w14:paraId="50DD1E69" w14:textId="2240BD0C" w:rsidR="00BB3494" w:rsidRPr="003C2182" w:rsidRDefault="00BB3494" w:rsidP="00B356D8">
            <w:pPr>
              <w:spacing w:after="0" w:line="240" w:lineRule="auto"/>
              <w:jc w:val="center"/>
              <w:rPr>
                <w:rFonts w:ascii="Times New Roman" w:eastAsia="Times New Roman" w:hAnsi="Times New Roman" w:cs="Times New Roman"/>
                <w:sz w:val="18"/>
                <w:szCs w:val="18"/>
                <w:lang w:val="en-GB" w:eastAsia="en-GB"/>
              </w:rPr>
            </w:pPr>
            <w:r w:rsidRPr="00B356D8">
              <w:rPr>
                <w:rFonts w:ascii="Times New Roman" w:eastAsia="Times New Roman" w:hAnsi="Times New Roman" w:cs="Times New Roman"/>
                <w:sz w:val="18"/>
                <w:szCs w:val="18"/>
                <w:lang w:val="en-GB" w:eastAsia="en-GB"/>
              </w:rPr>
              <w:t>schizophrenia</w:t>
            </w:r>
          </w:p>
        </w:tc>
        <w:tc>
          <w:tcPr>
            <w:tcW w:w="1701" w:type="dxa"/>
            <w:tcBorders>
              <w:top w:val="single" w:sz="4" w:space="0" w:color="DBDBDB" w:themeColor="accent3" w:themeTint="66"/>
              <w:bottom w:val="single" w:sz="12" w:space="0" w:color="DBDBDB" w:themeColor="accent3" w:themeTint="66"/>
            </w:tcBorders>
            <w:shd w:val="clear" w:color="auto" w:fill="auto"/>
            <w:tcMar>
              <w:top w:w="120" w:type="dxa"/>
              <w:left w:w="120" w:type="dxa"/>
              <w:bottom w:w="120" w:type="dxa"/>
              <w:right w:w="120" w:type="dxa"/>
            </w:tcMar>
            <w:vAlign w:val="center"/>
          </w:tcPr>
          <w:p w14:paraId="4DE490AA" w14:textId="28A14ADB" w:rsidR="00BB3494" w:rsidRPr="003C2182" w:rsidRDefault="00BB3494" w:rsidP="00B356D8">
            <w:pPr>
              <w:spacing w:after="0" w:line="240" w:lineRule="auto"/>
              <w:jc w:val="center"/>
              <w:rPr>
                <w:rFonts w:ascii="Times New Roman" w:eastAsia="Times New Roman" w:hAnsi="Times New Roman" w:cs="Times New Roman"/>
                <w:sz w:val="18"/>
                <w:szCs w:val="18"/>
                <w:lang w:val="en-GB" w:eastAsia="en-GB"/>
              </w:rPr>
            </w:pPr>
            <w:r w:rsidRPr="00B356D8">
              <w:rPr>
                <w:rFonts w:ascii="Times New Roman" w:eastAsia="Times New Roman" w:hAnsi="Times New Roman" w:cs="Times New Roman"/>
                <w:sz w:val="18"/>
                <w:szCs w:val="18"/>
                <w:lang w:val="en-GB" w:eastAsia="en-GB"/>
              </w:rPr>
              <w:t>DSM-III</w:t>
            </w:r>
          </w:p>
        </w:tc>
        <w:tc>
          <w:tcPr>
            <w:tcW w:w="1275" w:type="dxa"/>
            <w:tcBorders>
              <w:top w:val="single" w:sz="4" w:space="0" w:color="DBDBDB" w:themeColor="accent3" w:themeTint="66"/>
              <w:bottom w:val="single" w:sz="12" w:space="0" w:color="DDDDDD"/>
            </w:tcBorders>
            <w:shd w:val="clear" w:color="auto" w:fill="auto"/>
            <w:tcMar>
              <w:top w:w="120" w:type="dxa"/>
              <w:left w:w="120" w:type="dxa"/>
              <w:bottom w:w="120" w:type="dxa"/>
              <w:right w:w="120" w:type="dxa"/>
            </w:tcMar>
            <w:vAlign w:val="center"/>
          </w:tcPr>
          <w:p w14:paraId="548EA086" w14:textId="4EC170B3" w:rsidR="00BB3494" w:rsidRPr="003C2182" w:rsidRDefault="00BB3494" w:rsidP="00B356D8">
            <w:pPr>
              <w:spacing w:after="0" w:line="240" w:lineRule="auto"/>
              <w:jc w:val="center"/>
              <w:rPr>
                <w:rFonts w:ascii="Times New Roman" w:eastAsia="Times New Roman" w:hAnsi="Times New Roman" w:cs="Times New Roman"/>
                <w:sz w:val="18"/>
                <w:szCs w:val="18"/>
                <w:lang w:val="en-GB" w:eastAsia="en-GB"/>
              </w:rPr>
            </w:pPr>
            <w:r w:rsidRPr="00B356D8">
              <w:rPr>
                <w:rFonts w:ascii="Times New Roman" w:eastAsia="Times New Roman" w:hAnsi="Times New Roman" w:cs="Times New Roman"/>
                <w:sz w:val="18"/>
                <w:szCs w:val="18"/>
                <w:lang w:val="en-GB" w:eastAsia="en-GB"/>
              </w:rPr>
              <w:t>1995</w:t>
            </w:r>
          </w:p>
        </w:tc>
        <w:tc>
          <w:tcPr>
            <w:tcW w:w="1276" w:type="dxa"/>
            <w:tcBorders>
              <w:top w:val="single" w:sz="4" w:space="0" w:color="DBDBDB" w:themeColor="accent3" w:themeTint="66"/>
              <w:bottom w:val="single" w:sz="12" w:space="0" w:color="DDDDDD"/>
            </w:tcBorders>
            <w:shd w:val="clear" w:color="auto" w:fill="auto"/>
            <w:tcMar>
              <w:top w:w="120" w:type="dxa"/>
              <w:left w:w="120" w:type="dxa"/>
              <w:bottom w:w="120" w:type="dxa"/>
              <w:right w:w="120" w:type="dxa"/>
            </w:tcMar>
            <w:vAlign w:val="center"/>
          </w:tcPr>
          <w:p w14:paraId="7EB11B8D" w14:textId="6E0D6541" w:rsidR="00BB3494" w:rsidRPr="003C2182" w:rsidRDefault="00BB3494" w:rsidP="00B356D8">
            <w:pPr>
              <w:spacing w:after="0" w:line="240" w:lineRule="auto"/>
              <w:jc w:val="center"/>
              <w:rPr>
                <w:rFonts w:ascii="Times New Roman" w:eastAsia="Times New Roman" w:hAnsi="Times New Roman" w:cs="Times New Roman"/>
                <w:sz w:val="18"/>
                <w:szCs w:val="18"/>
                <w:lang w:val="en-GB" w:eastAsia="en-GB"/>
              </w:rPr>
            </w:pPr>
            <w:r w:rsidRPr="00B356D8">
              <w:rPr>
                <w:rFonts w:ascii="Times New Roman" w:eastAsia="Times New Roman" w:hAnsi="Times New Roman" w:cs="Times New Roman"/>
                <w:sz w:val="18"/>
                <w:szCs w:val="18"/>
                <w:lang w:val="en-GB" w:eastAsia="en-GB"/>
              </w:rPr>
              <w:t>AUD</w:t>
            </w:r>
          </w:p>
        </w:tc>
      </w:tr>
    </w:tbl>
    <w:p w14:paraId="00C9C054" w14:textId="26E2CB88" w:rsidR="00A404E5" w:rsidRDefault="00A404E5">
      <w:pPr>
        <w:rPr>
          <w:rFonts w:eastAsia="Times New Roman"/>
          <w:lang w:val="en-GB" w:eastAsia="en-GB"/>
        </w:rPr>
      </w:pPr>
    </w:p>
    <w:p w14:paraId="1A8362B1" w14:textId="77777777" w:rsidR="00095502" w:rsidRDefault="00095502">
      <w:pPr>
        <w:rPr>
          <w:rFonts w:eastAsia="Times New Roman"/>
          <w:b/>
          <w:sz w:val="28"/>
          <w:szCs w:val="32"/>
          <w:lang w:val="en-GB" w:eastAsia="en-GB"/>
        </w:rPr>
      </w:pPr>
      <w:r>
        <w:rPr>
          <w:rFonts w:eastAsia="Times New Roman"/>
          <w:lang w:val="en-GB" w:eastAsia="en-GB"/>
        </w:rPr>
        <w:br w:type="page"/>
      </w:r>
    </w:p>
    <w:p w14:paraId="47C97103" w14:textId="4F1C3770" w:rsidR="00955260" w:rsidRPr="00731281" w:rsidRDefault="00425F83" w:rsidP="00CF1C96">
      <w:pPr>
        <w:pStyle w:val="Heading2"/>
        <w:ind w:left="0"/>
        <w:rPr>
          <w:rFonts w:eastAsia="Times New Roman"/>
          <w:lang w:val="en-GB" w:eastAsia="en-GB"/>
        </w:rPr>
      </w:pPr>
      <w:bookmarkStart w:id="12" w:name="_Toc38626182"/>
      <w:r w:rsidRPr="00731281">
        <w:rPr>
          <w:rFonts w:eastAsia="Times New Roman"/>
          <w:lang w:val="en-GB" w:eastAsia="en-GB"/>
        </w:rPr>
        <w:lastRenderedPageBreak/>
        <w:t>e</w:t>
      </w:r>
      <w:r w:rsidR="002668B8" w:rsidRPr="00731281">
        <w:rPr>
          <w:rFonts w:eastAsia="Times New Roman"/>
          <w:lang w:val="en-GB" w:eastAsia="en-GB"/>
        </w:rPr>
        <w:t>Table</w:t>
      </w:r>
      <w:r w:rsidR="0039156F">
        <w:rPr>
          <w:rFonts w:eastAsia="Times New Roman"/>
          <w:lang w:val="en-GB" w:eastAsia="en-GB"/>
        </w:rPr>
        <w:t xml:space="preserve"> 4</w:t>
      </w:r>
      <w:r w:rsidR="00955260" w:rsidRPr="00731281">
        <w:rPr>
          <w:rFonts w:eastAsia="Times New Roman"/>
          <w:lang w:val="en-GB" w:eastAsia="en-GB"/>
        </w:rPr>
        <w:t>: Number of studies by country</w:t>
      </w:r>
      <w:bookmarkEnd w:id="11"/>
      <w:bookmarkEnd w:id="12"/>
    </w:p>
    <w:p w14:paraId="51095B92" w14:textId="4FE97790" w:rsidR="00802D2D" w:rsidRPr="009E0540" w:rsidRDefault="00672B6F" w:rsidP="00672B6F">
      <w:pPr>
        <w:rPr>
          <w:lang w:val="en-GB" w:eastAsia="en-GB"/>
        </w:rPr>
      </w:pPr>
      <w:r w:rsidRPr="009E0540">
        <w:rPr>
          <w:lang w:val="en-GB" w:eastAsia="en-GB"/>
        </w:rPr>
        <w:t>The number of studies by country is shown in the table. The same study could provide estimates for more than one country</w:t>
      </w:r>
      <w:r w:rsidR="00CC5C5E" w:rsidRPr="009E0540">
        <w:rPr>
          <w:lang w:val="en-GB" w:eastAsia="en-GB"/>
        </w:rPr>
        <w:t>. C</w:t>
      </w:r>
      <w:r w:rsidRPr="009E0540">
        <w:rPr>
          <w:lang w:val="en-GB" w:eastAsia="en-GB"/>
        </w:rPr>
        <w:t>onsequently</w:t>
      </w:r>
      <w:r w:rsidR="0030209C" w:rsidRPr="009E0540">
        <w:rPr>
          <w:lang w:val="en-GB" w:eastAsia="en-GB"/>
        </w:rPr>
        <w:t>,</w:t>
      </w:r>
      <w:r w:rsidRPr="009E0540">
        <w:rPr>
          <w:lang w:val="en-GB" w:eastAsia="en-GB"/>
        </w:rPr>
        <w:t xml:space="preserve"> the aggregated number of studies exceeds the number </w:t>
      </w:r>
      <w:r w:rsidR="00CC5C5E" w:rsidRPr="009E0540">
        <w:rPr>
          <w:lang w:val="en-GB" w:eastAsia="en-GB"/>
        </w:rPr>
        <w:t xml:space="preserve">(143) </w:t>
      </w:r>
      <w:r w:rsidRPr="009E0540">
        <w:rPr>
          <w:lang w:val="en-GB" w:eastAsia="en-GB"/>
        </w:rPr>
        <w:t xml:space="preserve">of included studies in the systematic review. There was a markedly variation </w:t>
      </w:r>
      <w:r w:rsidR="0030209C" w:rsidRPr="009E0540">
        <w:rPr>
          <w:lang w:val="en-GB" w:eastAsia="en-GB"/>
        </w:rPr>
        <w:t>by country, where hig</w:t>
      </w:r>
      <w:r w:rsidR="00CC5C5E" w:rsidRPr="009E0540">
        <w:rPr>
          <w:lang w:val="en-GB" w:eastAsia="en-GB"/>
        </w:rPr>
        <w:t>h-income countries had more COI-</w:t>
      </w:r>
      <w:r w:rsidR="0030209C" w:rsidRPr="009E0540">
        <w:rPr>
          <w:lang w:val="en-GB" w:eastAsia="en-GB"/>
        </w:rPr>
        <w:t>studies about mental disorders.</w:t>
      </w:r>
    </w:p>
    <w:tbl>
      <w:tblPr>
        <w:tblStyle w:val="TableGrid"/>
        <w:tblW w:w="0" w:type="auto"/>
        <w:tblInd w:w="-5" w:type="dxa"/>
        <w:tblLook w:val="04A0" w:firstRow="1" w:lastRow="0" w:firstColumn="1" w:lastColumn="0" w:noHBand="0" w:noVBand="1"/>
      </w:tblPr>
      <w:tblGrid>
        <w:gridCol w:w="1996"/>
        <w:gridCol w:w="2819"/>
      </w:tblGrid>
      <w:tr w:rsidR="00955260" w:rsidRPr="00731281" w14:paraId="7FF6B4CE" w14:textId="77777777" w:rsidTr="009537FD">
        <w:trPr>
          <w:trHeight w:val="340"/>
        </w:trPr>
        <w:tc>
          <w:tcPr>
            <w:tcW w:w="1996" w:type="dxa"/>
            <w:shd w:val="clear" w:color="auto" w:fill="1F4E79" w:themeFill="accent1" w:themeFillShade="80"/>
            <w:noWrap/>
            <w:vAlign w:val="center"/>
          </w:tcPr>
          <w:p w14:paraId="16016638" w14:textId="77777777" w:rsidR="00955260" w:rsidRPr="00731281" w:rsidRDefault="00955260" w:rsidP="00672B6F">
            <w:pPr>
              <w:rPr>
                <w:b/>
                <w:color w:val="FFFFFF" w:themeColor="background1"/>
                <w:lang w:val="en-GB" w:eastAsia="en-GB"/>
              </w:rPr>
            </w:pPr>
            <w:r w:rsidRPr="00731281">
              <w:rPr>
                <w:b/>
                <w:color w:val="FFFFFF" w:themeColor="background1"/>
                <w:lang w:val="en-GB" w:eastAsia="en-GB"/>
              </w:rPr>
              <w:t>Country</w:t>
            </w:r>
          </w:p>
        </w:tc>
        <w:tc>
          <w:tcPr>
            <w:tcW w:w="2819" w:type="dxa"/>
            <w:shd w:val="clear" w:color="auto" w:fill="1F4E79" w:themeFill="accent1" w:themeFillShade="80"/>
            <w:noWrap/>
            <w:vAlign w:val="center"/>
          </w:tcPr>
          <w:p w14:paraId="4EBB3BEC" w14:textId="77777777" w:rsidR="00955260" w:rsidRPr="00731281" w:rsidRDefault="00955260" w:rsidP="00672B6F">
            <w:pPr>
              <w:jc w:val="center"/>
              <w:rPr>
                <w:b/>
                <w:color w:val="FFFFFF" w:themeColor="background1"/>
                <w:lang w:val="en-GB" w:eastAsia="en-GB"/>
              </w:rPr>
            </w:pPr>
            <w:r w:rsidRPr="00731281">
              <w:rPr>
                <w:b/>
                <w:color w:val="FFFFFF" w:themeColor="background1"/>
                <w:lang w:val="en-GB" w:eastAsia="en-GB"/>
              </w:rPr>
              <w:t>Number of studies</w:t>
            </w:r>
          </w:p>
        </w:tc>
      </w:tr>
      <w:tr w:rsidR="00955260" w:rsidRPr="00731281" w14:paraId="29EDDB00" w14:textId="77777777" w:rsidTr="00283273">
        <w:trPr>
          <w:trHeight w:val="227"/>
        </w:trPr>
        <w:tc>
          <w:tcPr>
            <w:tcW w:w="1996" w:type="dxa"/>
            <w:noWrap/>
            <w:hideMark/>
          </w:tcPr>
          <w:p w14:paraId="36834E81" w14:textId="77777777" w:rsidR="00955260" w:rsidRPr="00731281" w:rsidRDefault="00955260" w:rsidP="00672B6F">
            <w:pPr>
              <w:rPr>
                <w:sz w:val="20"/>
                <w:szCs w:val="20"/>
                <w:lang w:val="en-GB" w:eastAsia="en-GB"/>
              </w:rPr>
            </w:pPr>
            <w:r w:rsidRPr="00731281">
              <w:rPr>
                <w:sz w:val="20"/>
                <w:szCs w:val="20"/>
                <w:lang w:val="en-GB" w:eastAsia="en-GB"/>
              </w:rPr>
              <w:t>Australia</w:t>
            </w:r>
          </w:p>
        </w:tc>
        <w:tc>
          <w:tcPr>
            <w:tcW w:w="2819" w:type="dxa"/>
            <w:noWrap/>
            <w:hideMark/>
          </w:tcPr>
          <w:p w14:paraId="66677484" w14:textId="77777777" w:rsidR="00955260" w:rsidRPr="00731281" w:rsidRDefault="00955260" w:rsidP="00672B6F">
            <w:pPr>
              <w:jc w:val="center"/>
              <w:rPr>
                <w:sz w:val="20"/>
                <w:szCs w:val="20"/>
                <w:lang w:val="en-GB" w:eastAsia="en-GB"/>
              </w:rPr>
            </w:pPr>
            <w:r w:rsidRPr="00731281">
              <w:rPr>
                <w:sz w:val="20"/>
                <w:szCs w:val="20"/>
                <w:lang w:val="en-GB" w:eastAsia="en-GB"/>
              </w:rPr>
              <w:t>11</w:t>
            </w:r>
          </w:p>
        </w:tc>
      </w:tr>
      <w:tr w:rsidR="00955260" w:rsidRPr="00731281" w14:paraId="1A0659F3" w14:textId="77777777" w:rsidTr="00283273">
        <w:trPr>
          <w:trHeight w:val="227"/>
        </w:trPr>
        <w:tc>
          <w:tcPr>
            <w:tcW w:w="1996" w:type="dxa"/>
            <w:noWrap/>
            <w:hideMark/>
          </w:tcPr>
          <w:p w14:paraId="24F749D2" w14:textId="77777777" w:rsidR="00955260" w:rsidRPr="00731281" w:rsidRDefault="00955260" w:rsidP="00672B6F">
            <w:pPr>
              <w:rPr>
                <w:sz w:val="20"/>
                <w:szCs w:val="20"/>
                <w:lang w:val="en-GB" w:eastAsia="en-GB"/>
              </w:rPr>
            </w:pPr>
            <w:r w:rsidRPr="00731281">
              <w:rPr>
                <w:sz w:val="20"/>
                <w:szCs w:val="20"/>
                <w:lang w:val="en-GB" w:eastAsia="en-GB"/>
              </w:rPr>
              <w:t>Austria</w:t>
            </w:r>
          </w:p>
        </w:tc>
        <w:tc>
          <w:tcPr>
            <w:tcW w:w="2819" w:type="dxa"/>
            <w:noWrap/>
            <w:hideMark/>
          </w:tcPr>
          <w:p w14:paraId="3DD7C752" w14:textId="77777777" w:rsidR="00955260" w:rsidRPr="00731281" w:rsidRDefault="00955260" w:rsidP="00672B6F">
            <w:pPr>
              <w:jc w:val="center"/>
              <w:rPr>
                <w:sz w:val="20"/>
                <w:szCs w:val="20"/>
                <w:lang w:val="en-GB" w:eastAsia="en-GB"/>
              </w:rPr>
            </w:pPr>
            <w:r w:rsidRPr="00731281">
              <w:rPr>
                <w:sz w:val="20"/>
                <w:szCs w:val="20"/>
                <w:lang w:val="en-GB" w:eastAsia="en-GB"/>
              </w:rPr>
              <w:t>3</w:t>
            </w:r>
          </w:p>
        </w:tc>
      </w:tr>
      <w:tr w:rsidR="00955260" w:rsidRPr="00731281" w14:paraId="0B27B4C9" w14:textId="77777777" w:rsidTr="00283273">
        <w:trPr>
          <w:trHeight w:val="227"/>
        </w:trPr>
        <w:tc>
          <w:tcPr>
            <w:tcW w:w="1996" w:type="dxa"/>
            <w:noWrap/>
            <w:hideMark/>
          </w:tcPr>
          <w:p w14:paraId="00B58BDC" w14:textId="77777777" w:rsidR="00955260" w:rsidRPr="00731281" w:rsidRDefault="00955260" w:rsidP="00672B6F">
            <w:pPr>
              <w:rPr>
                <w:sz w:val="20"/>
                <w:szCs w:val="20"/>
                <w:lang w:val="en-GB" w:eastAsia="en-GB"/>
              </w:rPr>
            </w:pPr>
            <w:r w:rsidRPr="00731281">
              <w:rPr>
                <w:sz w:val="20"/>
                <w:szCs w:val="20"/>
                <w:lang w:val="en-GB" w:eastAsia="en-GB"/>
              </w:rPr>
              <w:t>Belgium</w:t>
            </w:r>
          </w:p>
        </w:tc>
        <w:tc>
          <w:tcPr>
            <w:tcW w:w="2819" w:type="dxa"/>
            <w:noWrap/>
            <w:hideMark/>
          </w:tcPr>
          <w:p w14:paraId="4FC31C76"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6BB1C49B" w14:textId="77777777" w:rsidTr="00283273">
        <w:trPr>
          <w:trHeight w:val="227"/>
        </w:trPr>
        <w:tc>
          <w:tcPr>
            <w:tcW w:w="1996" w:type="dxa"/>
            <w:noWrap/>
            <w:hideMark/>
          </w:tcPr>
          <w:p w14:paraId="0D4F40C4" w14:textId="77777777" w:rsidR="00955260" w:rsidRPr="00731281" w:rsidRDefault="00955260" w:rsidP="00672B6F">
            <w:pPr>
              <w:rPr>
                <w:sz w:val="20"/>
                <w:szCs w:val="20"/>
                <w:lang w:val="en-GB" w:eastAsia="en-GB"/>
              </w:rPr>
            </w:pPr>
            <w:r w:rsidRPr="00731281">
              <w:rPr>
                <w:sz w:val="20"/>
                <w:szCs w:val="20"/>
                <w:lang w:val="en-GB" w:eastAsia="en-GB"/>
              </w:rPr>
              <w:t>Brazil</w:t>
            </w:r>
          </w:p>
        </w:tc>
        <w:tc>
          <w:tcPr>
            <w:tcW w:w="2819" w:type="dxa"/>
            <w:noWrap/>
            <w:hideMark/>
          </w:tcPr>
          <w:p w14:paraId="34744618"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63C55AA1" w14:textId="77777777" w:rsidTr="00283273">
        <w:trPr>
          <w:trHeight w:val="227"/>
        </w:trPr>
        <w:tc>
          <w:tcPr>
            <w:tcW w:w="1996" w:type="dxa"/>
            <w:noWrap/>
            <w:hideMark/>
          </w:tcPr>
          <w:p w14:paraId="1DD06FDD" w14:textId="77777777" w:rsidR="00955260" w:rsidRPr="00731281" w:rsidRDefault="00955260" w:rsidP="00672B6F">
            <w:pPr>
              <w:rPr>
                <w:sz w:val="20"/>
                <w:szCs w:val="20"/>
                <w:lang w:val="en-GB" w:eastAsia="en-GB"/>
              </w:rPr>
            </w:pPr>
            <w:r w:rsidRPr="00731281">
              <w:rPr>
                <w:sz w:val="20"/>
                <w:szCs w:val="20"/>
                <w:lang w:val="en-GB" w:eastAsia="en-GB"/>
              </w:rPr>
              <w:t>Bulgaria</w:t>
            </w:r>
          </w:p>
        </w:tc>
        <w:tc>
          <w:tcPr>
            <w:tcW w:w="2819" w:type="dxa"/>
            <w:noWrap/>
            <w:hideMark/>
          </w:tcPr>
          <w:p w14:paraId="60602702"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065603F9" w14:textId="77777777" w:rsidTr="00283273">
        <w:trPr>
          <w:trHeight w:val="227"/>
        </w:trPr>
        <w:tc>
          <w:tcPr>
            <w:tcW w:w="1996" w:type="dxa"/>
            <w:noWrap/>
            <w:hideMark/>
          </w:tcPr>
          <w:p w14:paraId="2532C9B3" w14:textId="77777777" w:rsidR="00955260" w:rsidRPr="00731281" w:rsidRDefault="00955260" w:rsidP="00672B6F">
            <w:pPr>
              <w:rPr>
                <w:sz w:val="20"/>
                <w:szCs w:val="20"/>
                <w:lang w:val="en-GB" w:eastAsia="en-GB"/>
              </w:rPr>
            </w:pPr>
            <w:r w:rsidRPr="00731281">
              <w:rPr>
                <w:sz w:val="20"/>
                <w:szCs w:val="20"/>
                <w:lang w:val="en-GB" w:eastAsia="en-GB"/>
              </w:rPr>
              <w:t>Canada</w:t>
            </w:r>
          </w:p>
        </w:tc>
        <w:tc>
          <w:tcPr>
            <w:tcW w:w="2819" w:type="dxa"/>
            <w:noWrap/>
            <w:hideMark/>
          </w:tcPr>
          <w:p w14:paraId="2870B17E" w14:textId="77777777" w:rsidR="00955260" w:rsidRPr="00731281" w:rsidRDefault="00955260" w:rsidP="00672B6F">
            <w:pPr>
              <w:jc w:val="center"/>
              <w:rPr>
                <w:sz w:val="20"/>
                <w:szCs w:val="20"/>
                <w:lang w:val="en-GB" w:eastAsia="en-GB"/>
              </w:rPr>
            </w:pPr>
            <w:r w:rsidRPr="00731281">
              <w:rPr>
                <w:sz w:val="20"/>
                <w:szCs w:val="20"/>
                <w:lang w:val="en-GB" w:eastAsia="en-GB"/>
              </w:rPr>
              <w:t>7</w:t>
            </w:r>
          </w:p>
        </w:tc>
      </w:tr>
      <w:tr w:rsidR="00955260" w:rsidRPr="00731281" w14:paraId="5581A218" w14:textId="77777777" w:rsidTr="00283273">
        <w:trPr>
          <w:trHeight w:val="227"/>
        </w:trPr>
        <w:tc>
          <w:tcPr>
            <w:tcW w:w="1996" w:type="dxa"/>
            <w:noWrap/>
            <w:hideMark/>
          </w:tcPr>
          <w:p w14:paraId="2CE308BA" w14:textId="77777777" w:rsidR="00955260" w:rsidRPr="00731281" w:rsidRDefault="00955260" w:rsidP="00672B6F">
            <w:pPr>
              <w:rPr>
                <w:sz w:val="20"/>
                <w:szCs w:val="20"/>
                <w:lang w:val="en-GB" w:eastAsia="en-GB"/>
              </w:rPr>
            </w:pPr>
            <w:r w:rsidRPr="00731281">
              <w:rPr>
                <w:sz w:val="20"/>
                <w:szCs w:val="20"/>
                <w:lang w:val="en-GB" w:eastAsia="en-GB"/>
              </w:rPr>
              <w:t>China</w:t>
            </w:r>
          </w:p>
        </w:tc>
        <w:tc>
          <w:tcPr>
            <w:tcW w:w="2819" w:type="dxa"/>
            <w:noWrap/>
            <w:hideMark/>
          </w:tcPr>
          <w:p w14:paraId="1CD293ED"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77C3E600" w14:textId="77777777" w:rsidTr="00283273">
        <w:trPr>
          <w:trHeight w:val="227"/>
        </w:trPr>
        <w:tc>
          <w:tcPr>
            <w:tcW w:w="1996" w:type="dxa"/>
            <w:noWrap/>
            <w:hideMark/>
          </w:tcPr>
          <w:p w14:paraId="693458FE" w14:textId="77777777" w:rsidR="00955260" w:rsidRPr="00731281" w:rsidRDefault="00955260" w:rsidP="00672B6F">
            <w:pPr>
              <w:rPr>
                <w:sz w:val="20"/>
                <w:szCs w:val="20"/>
                <w:lang w:val="en-GB" w:eastAsia="en-GB"/>
              </w:rPr>
            </w:pPr>
            <w:r w:rsidRPr="00731281">
              <w:rPr>
                <w:sz w:val="20"/>
                <w:szCs w:val="20"/>
                <w:lang w:val="en-GB" w:eastAsia="en-GB"/>
              </w:rPr>
              <w:t>Colombia</w:t>
            </w:r>
          </w:p>
        </w:tc>
        <w:tc>
          <w:tcPr>
            <w:tcW w:w="2819" w:type="dxa"/>
            <w:noWrap/>
            <w:hideMark/>
          </w:tcPr>
          <w:p w14:paraId="18470628"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7586FB99" w14:textId="77777777" w:rsidTr="00283273">
        <w:trPr>
          <w:trHeight w:val="227"/>
        </w:trPr>
        <w:tc>
          <w:tcPr>
            <w:tcW w:w="1996" w:type="dxa"/>
            <w:noWrap/>
            <w:hideMark/>
          </w:tcPr>
          <w:p w14:paraId="315B740E" w14:textId="77777777" w:rsidR="00955260" w:rsidRPr="00731281" w:rsidRDefault="00955260" w:rsidP="00672B6F">
            <w:pPr>
              <w:rPr>
                <w:sz w:val="20"/>
                <w:szCs w:val="20"/>
                <w:lang w:val="en-GB" w:eastAsia="en-GB"/>
              </w:rPr>
            </w:pPr>
            <w:r w:rsidRPr="00731281">
              <w:rPr>
                <w:sz w:val="20"/>
                <w:szCs w:val="20"/>
                <w:lang w:val="en-GB" w:eastAsia="en-GB"/>
              </w:rPr>
              <w:t>Cyprus</w:t>
            </w:r>
          </w:p>
        </w:tc>
        <w:tc>
          <w:tcPr>
            <w:tcW w:w="2819" w:type="dxa"/>
            <w:noWrap/>
            <w:hideMark/>
          </w:tcPr>
          <w:p w14:paraId="1C7FFFD9"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00C02369" w14:textId="77777777" w:rsidTr="00283273">
        <w:trPr>
          <w:trHeight w:val="227"/>
        </w:trPr>
        <w:tc>
          <w:tcPr>
            <w:tcW w:w="1996" w:type="dxa"/>
            <w:noWrap/>
            <w:hideMark/>
          </w:tcPr>
          <w:p w14:paraId="566F1FA1" w14:textId="77777777" w:rsidR="00955260" w:rsidRPr="00731281" w:rsidRDefault="00955260" w:rsidP="00672B6F">
            <w:pPr>
              <w:rPr>
                <w:sz w:val="20"/>
                <w:szCs w:val="20"/>
                <w:lang w:val="en-GB" w:eastAsia="en-GB"/>
              </w:rPr>
            </w:pPr>
            <w:r w:rsidRPr="00731281">
              <w:rPr>
                <w:sz w:val="20"/>
                <w:szCs w:val="20"/>
                <w:lang w:val="en-GB" w:eastAsia="en-GB"/>
              </w:rPr>
              <w:t>Czech Republic</w:t>
            </w:r>
          </w:p>
        </w:tc>
        <w:tc>
          <w:tcPr>
            <w:tcW w:w="2819" w:type="dxa"/>
            <w:noWrap/>
            <w:hideMark/>
          </w:tcPr>
          <w:p w14:paraId="001D57DB"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5CF16597" w14:textId="77777777" w:rsidTr="00283273">
        <w:trPr>
          <w:trHeight w:val="227"/>
        </w:trPr>
        <w:tc>
          <w:tcPr>
            <w:tcW w:w="1996" w:type="dxa"/>
            <w:noWrap/>
            <w:hideMark/>
          </w:tcPr>
          <w:p w14:paraId="661B251F" w14:textId="77777777" w:rsidR="00955260" w:rsidRPr="00731281" w:rsidRDefault="00955260" w:rsidP="00672B6F">
            <w:pPr>
              <w:rPr>
                <w:sz w:val="20"/>
                <w:szCs w:val="20"/>
                <w:lang w:val="en-GB" w:eastAsia="en-GB"/>
              </w:rPr>
            </w:pPr>
            <w:r w:rsidRPr="00731281">
              <w:rPr>
                <w:sz w:val="20"/>
                <w:szCs w:val="20"/>
                <w:lang w:val="en-GB" w:eastAsia="en-GB"/>
              </w:rPr>
              <w:t>Denmark</w:t>
            </w:r>
          </w:p>
        </w:tc>
        <w:tc>
          <w:tcPr>
            <w:tcW w:w="2819" w:type="dxa"/>
            <w:noWrap/>
            <w:hideMark/>
          </w:tcPr>
          <w:p w14:paraId="3A6C0465" w14:textId="77777777" w:rsidR="00955260" w:rsidRPr="00731281" w:rsidRDefault="00955260" w:rsidP="00672B6F">
            <w:pPr>
              <w:jc w:val="center"/>
              <w:rPr>
                <w:sz w:val="20"/>
                <w:szCs w:val="20"/>
                <w:lang w:val="en-GB" w:eastAsia="en-GB"/>
              </w:rPr>
            </w:pPr>
            <w:r w:rsidRPr="00731281">
              <w:rPr>
                <w:sz w:val="20"/>
                <w:szCs w:val="20"/>
                <w:lang w:val="en-GB" w:eastAsia="en-GB"/>
              </w:rPr>
              <w:t>5</w:t>
            </w:r>
          </w:p>
        </w:tc>
      </w:tr>
      <w:tr w:rsidR="00955260" w:rsidRPr="00731281" w14:paraId="0560F0A8" w14:textId="77777777" w:rsidTr="00283273">
        <w:trPr>
          <w:trHeight w:val="227"/>
        </w:trPr>
        <w:tc>
          <w:tcPr>
            <w:tcW w:w="1996" w:type="dxa"/>
            <w:noWrap/>
            <w:hideMark/>
          </w:tcPr>
          <w:p w14:paraId="33D335F6" w14:textId="77777777" w:rsidR="00955260" w:rsidRPr="00731281" w:rsidRDefault="00955260" w:rsidP="00672B6F">
            <w:pPr>
              <w:rPr>
                <w:sz w:val="20"/>
                <w:szCs w:val="20"/>
                <w:lang w:val="en-GB" w:eastAsia="en-GB"/>
              </w:rPr>
            </w:pPr>
            <w:r w:rsidRPr="00731281">
              <w:rPr>
                <w:sz w:val="20"/>
                <w:szCs w:val="20"/>
                <w:lang w:val="en-GB" w:eastAsia="en-GB"/>
              </w:rPr>
              <w:t>Estonia</w:t>
            </w:r>
          </w:p>
        </w:tc>
        <w:tc>
          <w:tcPr>
            <w:tcW w:w="2819" w:type="dxa"/>
            <w:noWrap/>
            <w:hideMark/>
          </w:tcPr>
          <w:p w14:paraId="48C9EB9E"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0FA7EEFB" w14:textId="77777777" w:rsidTr="00283273">
        <w:trPr>
          <w:trHeight w:val="227"/>
        </w:trPr>
        <w:tc>
          <w:tcPr>
            <w:tcW w:w="1996" w:type="dxa"/>
            <w:noWrap/>
            <w:hideMark/>
          </w:tcPr>
          <w:p w14:paraId="72FD11DA" w14:textId="77777777" w:rsidR="00955260" w:rsidRPr="00731281" w:rsidRDefault="00955260" w:rsidP="00672B6F">
            <w:pPr>
              <w:rPr>
                <w:sz w:val="20"/>
                <w:szCs w:val="20"/>
                <w:lang w:val="en-GB" w:eastAsia="en-GB"/>
              </w:rPr>
            </w:pPr>
            <w:r w:rsidRPr="00731281">
              <w:rPr>
                <w:sz w:val="20"/>
                <w:szCs w:val="20"/>
                <w:lang w:val="en-GB" w:eastAsia="en-GB"/>
              </w:rPr>
              <w:t>Europe</w:t>
            </w:r>
          </w:p>
        </w:tc>
        <w:tc>
          <w:tcPr>
            <w:tcW w:w="2819" w:type="dxa"/>
            <w:noWrap/>
            <w:hideMark/>
          </w:tcPr>
          <w:p w14:paraId="71A2DA91" w14:textId="77777777" w:rsidR="00955260" w:rsidRPr="00731281" w:rsidRDefault="00955260" w:rsidP="00672B6F">
            <w:pPr>
              <w:jc w:val="center"/>
              <w:rPr>
                <w:sz w:val="20"/>
                <w:szCs w:val="20"/>
                <w:lang w:val="en-GB" w:eastAsia="en-GB"/>
              </w:rPr>
            </w:pPr>
            <w:r w:rsidRPr="00731281">
              <w:rPr>
                <w:sz w:val="20"/>
                <w:szCs w:val="20"/>
                <w:lang w:val="en-GB" w:eastAsia="en-GB"/>
              </w:rPr>
              <w:t>3</w:t>
            </w:r>
          </w:p>
        </w:tc>
      </w:tr>
      <w:tr w:rsidR="00955260" w:rsidRPr="00731281" w14:paraId="6996D390" w14:textId="77777777" w:rsidTr="00283273">
        <w:trPr>
          <w:trHeight w:val="227"/>
        </w:trPr>
        <w:tc>
          <w:tcPr>
            <w:tcW w:w="1996" w:type="dxa"/>
            <w:noWrap/>
            <w:hideMark/>
          </w:tcPr>
          <w:p w14:paraId="3887C1DD" w14:textId="77777777" w:rsidR="00955260" w:rsidRPr="00731281" w:rsidRDefault="00955260" w:rsidP="00672B6F">
            <w:pPr>
              <w:rPr>
                <w:sz w:val="20"/>
                <w:szCs w:val="20"/>
                <w:lang w:val="en-GB" w:eastAsia="en-GB"/>
              </w:rPr>
            </w:pPr>
            <w:r w:rsidRPr="00731281">
              <w:rPr>
                <w:sz w:val="20"/>
                <w:szCs w:val="20"/>
                <w:lang w:val="en-GB" w:eastAsia="en-GB"/>
              </w:rPr>
              <w:t>Finland</w:t>
            </w:r>
          </w:p>
        </w:tc>
        <w:tc>
          <w:tcPr>
            <w:tcW w:w="2819" w:type="dxa"/>
            <w:noWrap/>
            <w:hideMark/>
          </w:tcPr>
          <w:p w14:paraId="4B251B58" w14:textId="77777777" w:rsidR="00955260" w:rsidRPr="00731281" w:rsidRDefault="00955260" w:rsidP="00672B6F">
            <w:pPr>
              <w:jc w:val="center"/>
              <w:rPr>
                <w:sz w:val="20"/>
                <w:szCs w:val="20"/>
                <w:lang w:val="en-GB" w:eastAsia="en-GB"/>
              </w:rPr>
            </w:pPr>
            <w:r w:rsidRPr="00731281">
              <w:rPr>
                <w:sz w:val="20"/>
                <w:szCs w:val="20"/>
                <w:lang w:val="en-GB" w:eastAsia="en-GB"/>
              </w:rPr>
              <w:t>3</w:t>
            </w:r>
          </w:p>
        </w:tc>
      </w:tr>
      <w:tr w:rsidR="00955260" w:rsidRPr="00731281" w14:paraId="3F404173" w14:textId="77777777" w:rsidTr="00283273">
        <w:trPr>
          <w:trHeight w:val="227"/>
        </w:trPr>
        <w:tc>
          <w:tcPr>
            <w:tcW w:w="1996" w:type="dxa"/>
            <w:noWrap/>
            <w:hideMark/>
          </w:tcPr>
          <w:p w14:paraId="5A3F17EC" w14:textId="77777777" w:rsidR="00955260" w:rsidRPr="00731281" w:rsidRDefault="00955260" w:rsidP="00672B6F">
            <w:pPr>
              <w:rPr>
                <w:sz w:val="20"/>
                <w:szCs w:val="20"/>
                <w:lang w:val="en-GB" w:eastAsia="en-GB"/>
              </w:rPr>
            </w:pPr>
            <w:r w:rsidRPr="00731281">
              <w:rPr>
                <w:sz w:val="20"/>
                <w:szCs w:val="20"/>
                <w:lang w:val="en-GB" w:eastAsia="en-GB"/>
              </w:rPr>
              <w:t>France</w:t>
            </w:r>
          </w:p>
        </w:tc>
        <w:tc>
          <w:tcPr>
            <w:tcW w:w="2819" w:type="dxa"/>
            <w:noWrap/>
            <w:hideMark/>
          </w:tcPr>
          <w:p w14:paraId="4185A60E" w14:textId="77777777" w:rsidR="00955260" w:rsidRPr="00731281" w:rsidRDefault="00955260" w:rsidP="00672B6F">
            <w:pPr>
              <w:jc w:val="center"/>
              <w:rPr>
                <w:sz w:val="20"/>
                <w:szCs w:val="20"/>
                <w:lang w:val="en-GB" w:eastAsia="en-GB"/>
              </w:rPr>
            </w:pPr>
            <w:r w:rsidRPr="00731281">
              <w:rPr>
                <w:sz w:val="20"/>
                <w:szCs w:val="20"/>
                <w:lang w:val="en-GB" w:eastAsia="en-GB"/>
              </w:rPr>
              <w:t>9</w:t>
            </w:r>
          </w:p>
        </w:tc>
      </w:tr>
      <w:tr w:rsidR="00955260" w:rsidRPr="00731281" w14:paraId="7B94D9A5" w14:textId="77777777" w:rsidTr="00283273">
        <w:trPr>
          <w:trHeight w:val="227"/>
        </w:trPr>
        <w:tc>
          <w:tcPr>
            <w:tcW w:w="1996" w:type="dxa"/>
            <w:noWrap/>
            <w:hideMark/>
          </w:tcPr>
          <w:p w14:paraId="1F1BB4DE" w14:textId="77777777" w:rsidR="00955260" w:rsidRPr="00731281" w:rsidRDefault="00955260" w:rsidP="00672B6F">
            <w:pPr>
              <w:rPr>
                <w:sz w:val="20"/>
                <w:szCs w:val="20"/>
                <w:lang w:val="en-GB" w:eastAsia="en-GB"/>
              </w:rPr>
            </w:pPr>
            <w:r w:rsidRPr="00731281">
              <w:rPr>
                <w:sz w:val="20"/>
                <w:szCs w:val="20"/>
                <w:lang w:val="en-GB" w:eastAsia="en-GB"/>
              </w:rPr>
              <w:t>Germany</w:t>
            </w:r>
          </w:p>
        </w:tc>
        <w:tc>
          <w:tcPr>
            <w:tcW w:w="2819" w:type="dxa"/>
            <w:noWrap/>
            <w:hideMark/>
          </w:tcPr>
          <w:p w14:paraId="04F66532" w14:textId="77777777" w:rsidR="00955260" w:rsidRPr="00731281" w:rsidRDefault="00955260" w:rsidP="00672B6F">
            <w:pPr>
              <w:jc w:val="center"/>
              <w:rPr>
                <w:sz w:val="20"/>
                <w:szCs w:val="20"/>
                <w:lang w:val="en-GB" w:eastAsia="en-GB"/>
              </w:rPr>
            </w:pPr>
            <w:r w:rsidRPr="00731281">
              <w:rPr>
                <w:sz w:val="20"/>
                <w:szCs w:val="20"/>
                <w:lang w:val="en-GB" w:eastAsia="en-GB"/>
              </w:rPr>
              <w:t>23</w:t>
            </w:r>
          </w:p>
        </w:tc>
      </w:tr>
      <w:tr w:rsidR="00955260" w:rsidRPr="00731281" w14:paraId="0291F037" w14:textId="77777777" w:rsidTr="00283273">
        <w:trPr>
          <w:trHeight w:val="227"/>
        </w:trPr>
        <w:tc>
          <w:tcPr>
            <w:tcW w:w="1996" w:type="dxa"/>
            <w:noWrap/>
            <w:hideMark/>
          </w:tcPr>
          <w:p w14:paraId="186E8EC6" w14:textId="77777777" w:rsidR="00955260" w:rsidRPr="00731281" w:rsidRDefault="00955260" w:rsidP="00672B6F">
            <w:pPr>
              <w:rPr>
                <w:sz w:val="20"/>
                <w:szCs w:val="20"/>
                <w:lang w:val="en-GB" w:eastAsia="en-GB"/>
              </w:rPr>
            </w:pPr>
            <w:r w:rsidRPr="00731281">
              <w:rPr>
                <w:sz w:val="20"/>
                <w:szCs w:val="20"/>
                <w:lang w:val="en-GB" w:eastAsia="en-GB"/>
              </w:rPr>
              <w:t>Ghana</w:t>
            </w:r>
          </w:p>
        </w:tc>
        <w:tc>
          <w:tcPr>
            <w:tcW w:w="2819" w:type="dxa"/>
            <w:noWrap/>
            <w:hideMark/>
          </w:tcPr>
          <w:p w14:paraId="6467F0E8"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003E1D79" w14:textId="77777777" w:rsidTr="00283273">
        <w:trPr>
          <w:trHeight w:val="227"/>
        </w:trPr>
        <w:tc>
          <w:tcPr>
            <w:tcW w:w="1996" w:type="dxa"/>
            <w:noWrap/>
            <w:hideMark/>
          </w:tcPr>
          <w:p w14:paraId="33B93217" w14:textId="77777777" w:rsidR="00955260" w:rsidRPr="00731281" w:rsidRDefault="00955260" w:rsidP="00672B6F">
            <w:pPr>
              <w:rPr>
                <w:sz w:val="20"/>
                <w:szCs w:val="20"/>
                <w:lang w:val="en-GB" w:eastAsia="en-GB"/>
              </w:rPr>
            </w:pPr>
            <w:r w:rsidRPr="00731281">
              <w:rPr>
                <w:sz w:val="20"/>
                <w:szCs w:val="20"/>
                <w:lang w:val="en-GB" w:eastAsia="en-GB"/>
              </w:rPr>
              <w:t>Greece</w:t>
            </w:r>
          </w:p>
        </w:tc>
        <w:tc>
          <w:tcPr>
            <w:tcW w:w="2819" w:type="dxa"/>
            <w:noWrap/>
            <w:hideMark/>
          </w:tcPr>
          <w:p w14:paraId="62C37A77"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640A1C2F" w14:textId="77777777" w:rsidTr="00283273">
        <w:trPr>
          <w:trHeight w:val="227"/>
        </w:trPr>
        <w:tc>
          <w:tcPr>
            <w:tcW w:w="1996" w:type="dxa"/>
            <w:noWrap/>
            <w:hideMark/>
          </w:tcPr>
          <w:p w14:paraId="69FD5032" w14:textId="77777777" w:rsidR="00955260" w:rsidRPr="00731281" w:rsidRDefault="00955260" w:rsidP="00672B6F">
            <w:pPr>
              <w:rPr>
                <w:sz w:val="20"/>
                <w:szCs w:val="20"/>
                <w:lang w:val="en-GB" w:eastAsia="en-GB"/>
              </w:rPr>
            </w:pPr>
            <w:r w:rsidRPr="00731281">
              <w:rPr>
                <w:sz w:val="20"/>
                <w:szCs w:val="20"/>
                <w:lang w:val="en-GB" w:eastAsia="en-GB"/>
              </w:rPr>
              <w:t>Hungary</w:t>
            </w:r>
          </w:p>
        </w:tc>
        <w:tc>
          <w:tcPr>
            <w:tcW w:w="2819" w:type="dxa"/>
            <w:noWrap/>
            <w:hideMark/>
          </w:tcPr>
          <w:p w14:paraId="35FA7292"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2A0E648D" w14:textId="77777777" w:rsidTr="00283273">
        <w:trPr>
          <w:trHeight w:val="227"/>
        </w:trPr>
        <w:tc>
          <w:tcPr>
            <w:tcW w:w="1996" w:type="dxa"/>
            <w:noWrap/>
            <w:hideMark/>
          </w:tcPr>
          <w:p w14:paraId="72E82C69" w14:textId="77777777" w:rsidR="00955260" w:rsidRPr="00731281" w:rsidRDefault="00955260" w:rsidP="00672B6F">
            <w:pPr>
              <w:rPr>
                <w:sz w:val="20"/>
                <w:szCs w:val="20"/>
                <w:lang w:val="en-GB" w:eastAsia="en-GB"/>
              </w:rPr>
            </w:pPr>
            <w:r w:rsidRPr="00731281">
              <w:rPr>
                <w:sz w:val="20"/>
                <w:szCs w:val="20"/>
                <w:lang w:val="en-GB" w:eastAsia="en-GB"/>
              </w:rPr>
              <w:t>Iceland</w:t>
            </w:r>
          </w:p>
        </w:tc>
        <w:tc>
          <w:tcPr>
            <w:tcW w:w="2819" w:type="dxa"/>
            <w:noWrap/>
            <w:hideMark/>
          </w:tcPr>
          <w:p w14:paraId="4FFCA337"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6191B081" w14:textId="77777777" w:rsidTr="00283273">
        <w:trPr>
          <w:trHeight w:val="227"/>
        </w:trPr>
        <w:tc>
          <w:tcPr>
            <w:tcW w:w="1996" w:type="dxa"/>
            <w:noWrap/>
            <w:hideMark/>
          </w:tcPr>
          <w:p w14:paraId="05343A76" w14:textId="77777777" w:rsidR="00955260" w:rsidRPr="00731281" w:rsidRDefault="00955260" w:rsidP="00672B6F">
            <w:pPr>
              <w:rPr>
                <w:sz w:val="20"/>
                <w:szCs w:val="20"/>
                <w:lang w:val="en-GB" w:eastAsia="en-GB"/>
              </w:rPr>
            </w:pPr>
            <w:r w:rsidRPr="00731281">
              <w:rPr>
                <w:sz w:val="20"/>
                <w:szCs w:val="20"/>
                <w:lang w:val="en-GB" w:eastAsia="en-GB"/>
              </w:rPr>
              <w:t>India</w:t>
            </w:r>
          </w:p>
        </w:tc>
        <w:tc>
          <w:tcPr>
            <w:tcW w:w="2819" w:type="dxa"/>
            <w:noWrap/>
            <w:hideMark/>
          </w:tcPr>
          <w:p w14:paraId="3FB36E0D"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1FDF078C" w14:textId="77777777" w:rsidTr="00283273">
        <w:trPr>
          <w:trHeight w:val="227"/>
        </w:trPr>
        <w:tc>
          <w:tcPr>
            <w:tcW w:w="1996" w:type="dxa"/>
            <w:noWrap/>
            <w:hideMark/>
          </w:tcPr>
          <w:p w14:paraId="2D2D1F27" w14:textId="77777777" w:rsidR="00955260" w:rsidRPr="00731281" w:rsidRDefault="00955260" w:rsidP="00672B6F">
            <w:pPr>
              <w:rPr>
                <w:sz w:val="20"/>
                <w:szCs w:val="20"/>
                <w:lang w:val="en-GB" w:eastAsia="en-GB"/>
              </w:rPr>
            </w:pPr>
            <w:r w:rsidRPr="00731281">
              <w:rPr>
                <w:sz w:val="20"/>
                <w:szCs w:val="20"/>
                <w:lang w:val="en-GB" w:eastAsia="en-GB"/>
              </w:rPr>
              <w:t>Ireland</w:t>
            </w:r>
          </w:p>
        </w:tc>
        <w:tc>
          <w:tcPr>
            <w:tcW w:w="2819" w:type="dxa"/>
            <w:noWrap/>
            <w:hideMark/>
          </w:tcPr>
          <w:p w14:paraId="3710F04A" w14:textId="77777777" w:rsidR="00955260" w:rsidRPr="00731281" w:rsidRDefault="00955260" w:rsidP="00672B6F">
            <w:pPr>
              <w:jc w:val="center"/>
              <w:rPr>
                <w:sz w:val="20"/>
                <w:szCs w:val="20"/>
                <w:lang w:val="en-GB" w:eastAsia="en-GB"/>
              </w:rPr>
            </w:pPr>
            <w:r w:rsidRPr="00731281">
              <w:rPr>
                <w:sz w:val="20"/>
                <w:szCs w:val="20"/>
                <w:lang w:val="en-GB" w:eastAsia="en-GB"/>
              </w:rPr>
              <w:t>3</w:t>
            </w:r>
          </w:p>
        </w:tc>
      </w:tr>
      <w:tr w:rsidR="00955260" w:rsidRPr="00731281" w14:paraId="176B2316" w14:textId="77777777" w:rsidTr="00283273">
        <w:trPr>
          <w:trHeight w:val="227"/>
        </w:trPr>
        <w:tc>
          <w:tcPr>
            <w:tcW w:w="1996" w:type="dxa"/>
            <w:noWrap/>
            <w:hideMark/>
          </w:tcPr>
          <w:p w14:paraId="4A315655" w14:textId="77777777" w:rsidR="00955260" w:rsidRPr="00731281" w:rsidRDefault="00955260" w:rsidP="00672B6F">
            <w:pPr>
              <w:rPr>
                <w:sz w:val="20"/>
                <w:szCs w:val="20"/>
                <w:lang w:val="en-GB" w:eastAsia="en-GB"/>
              </w:rPr>
            </w:pPr>
            <w:r w:rsidRPr="00731281">
              <w:rPr>
                <w:sz w:val="20"/>
                <w:szCs w:val="20"/>
                <w:lang w:val="en-GB" w:eastAsia="en-GB"/>
              </w:rPr>
              <w:t>Israel</w:t>
            </w:r>
          </w:p>
        </w:tc>
        <w:tc>
          <w:tcPr>
            <w:tcW w:w="2819" w:type="dxa"/>
            <w:noWrap/>
            <w:hideMark/>
          </w:tcPr>
          <w:p w14:paraId="61C9D7DD"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74145669" w14:textId="77777777" w:rsidTr="00283273">
        <w:trPr>
          <w:trHeight w:val="227"/>
        </w:trPr>
        <w:tc>
          <w:tcPr>
            <w:tcW w:w="1996" w:type="dxa"/>
            <w:noWrap/>
            <w:hideMark/>
          </w:tcPr>
          <w:p w14:paraId="042DC8C1" w14:textId="77777777" w:rsidR="00955260" w:rsidRPr="00731281" w:rsidRDefault="00955260" w:rsidP="00672B6F">
            <w:pPr>
              <w:rPr>
                <w:sz w:val="20"/>
                <w:szCs w:val="20"/>
                <w:lang w:val="en-GB" w:eastAsia="en-GB"/>
              </w:rPr>
            </w:pPr>
            <w:r w:rsidRPr="00731281">
              <w:rPr>
                <w:sz w:val="20"/>
                <w:szCs w:val="20"/>
                <w:lang w:val="en-GB" w:eastAsia="en-GB"/>
              </w:rPr>
              <w:t>Italy</w:t>
            </w:r>
          </w:p>
        </w:tc>
        <w:tc>
          <w:tcPr>
            <w:tcW w:w="2819" w:type="dxa"/>
            <w:noWrap/>
            <w:hideMark/>
          </w:tcPr>
          <w:p w14:paraId="6B7B4BB5" w14:textId="77777777" w:rsidR="00955260" w:rsidRPr="00731281" w:rsidRDefault="00955260" w:rsidP="00672B6F">
            <w:pPr>
              <w:jc w:val="center"/>
              <w:rPr>
                <w:sz w:val="20"/>
                <w:szCs w:val="20"/>
                <w:lang w:val="en-GB" w:eastAsia="en-GB"/>
              </w:rPr>
            </w:pPr>
            <w:r w:rsidRPr="00731281">
              <w:rPr>
                <w:sz w:val="20"/>
                <w:szCs w:val="20"/>
                <w:lang w:val="en-GB" w:eastAsia="en-GB"/>
              </w:rPr>
              <w:t>8</w:t>
            </w:r>
          </w:p>
        </w:tc>
      </w:tr>
      <w:tr w:rsidR="00955260" w:rsidRPr="00731281" w14:paraId="3AFF1108" w14:textId="77777777" w:rsidTr="00283273">
        <w:trPr>
          <w:trHeight w:val="227"/>
        </w:trPr>
        <w:tc>
          <w:tcPr>
            <w:tcW w:w="1996" w:type="dxa"/>
            <w:noWrap/>
            <w:hideMark/>
          </w:tcPr>
          <w:p w14:paraId="4B43FD7E" w14:textId="77777777" w:rsidR="00955260" w:rsidRPr="00731281" w:rsidRDefault="00955260" w:rsidP="00672B6F">
            <w:pPr>
              <w:rPr>
                <w:sz w:val="20"/>
                <w:szCs w:val="20"/>
                <w:lang w:val="en-GB" w:eastAsia="en-GB"/>
              </w:rPr>
            </w:pPr>
            <w:r w:rsidRPr="00731281">
              <w:rPr>
                <w:sz w:val="20"/>
                <w:szCs w:val="20"/>
                <w:lang w:val="en-GB" w:eastAsia="en-GB"/>
              </w:rPr>
              <w:t>Japan</w:t>
            </w:r>
          </w:p>
        </w:tc>
        <w:tc>
          <w:tcPr>
            <w:tcW w:w="2819" w:type="dxa"/>
            <w:noWrap/>
            <w:hideMark/>
          </w:tcPr>
          <w:p w14:paraId="0A60B4A7" w14:textId="77777777" w:rsidR="00955260" w:rsidRPr="00731281" w:rsidRDefault="00955260" w:rsidP="00672B6F">
            <w:pPr>
              <w:jc w:val="center"/>
              <w:rPr>
                <w:sz w:val="20"/>
                <w:szCs w:val="20"/>
                <w:lang w:val="en-GB" w:eastAsia="en-GB"/>
              </w:rPr>
            </w:pPr>
            <w:r w:rsidRPr="00731281">
              <w:rPr>
                <w:sz w:val="20"/>
                <w:szCs w:val="20"/>
                <w:lang w:val="en-GB" w:eastAsia="en-GB"/>
              </w:rPr>
              <w:t>4</w:t>
            </w:r>
          </w:p>
        </w:tc>
      </w:tr>
      <w:tr w:rsidR="00955260" w:rsidRPr="00731281" w14:paraId="2009E6D7" w14:textId="77777777" w:rsidTr="00283273">
        <w:trPr>
          <w:trHeight w:val="227"/>
        </w:trPr>
        <w:tc>
          <w:tcPr>
            <w:tcW w:w="1996" w:type="dxa"/>
            <w:noWrap/>
            <w:hideMark/>
          </w:tcPr>
          <w:p w14:paraId="663D39BE" w14:textId="77777777" w:rsidR="00955260" w:rsidRPr="00731281" w:rsidRDefault="00955260" w:rsidP="00672B6F">
            <w:pPr>
              <w:rPr>
                <w:sz w:val="20"/>
                <w:szCs w:val="20"/>
                <w:lang w:val="en-GB" w:eastAsia="en-GB"/>
              </w:rPr>
            </w:pPr>
            <w:r w:rsidRPr="00731281">
              <w:rPr>
                <w:sz w:val="20"/>
                <w:szCs w:val="20"/>
                <w:lang w:val="en-GB" w:eastAsia="en-GB"/>
              </w:rPr>
              <w:t>Latvia</w:t>
            </w:r>
          </w:p>
        </w:tc>
        <w:tc>
          <w:tcPr>
            <w:tcW w:w="2819" w:type="dxa"/>
            <w:noWrap/>
            <w:hideMark/>
          </w:tcPr>
          <w:p w14:paraId="55DD260F"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3944AED4" w14:textId="77777777" w:rsidTr="00283273">
        <w:trPr>
          <w:trHeight w:val="227"/>
        </w:trPr>
        <w:tc>
          <w:tcPr>
            <w:tcW w:w="1996" w:type="dxa"/>
            <w:noWrap/>
            <w:hideMark/>
          </w:tcPr>
          <w:p w14:paraId="36E99455" w14:textId="77777777" w:rsidR="00955260" w:rsidRPr="00731281" w:rsidRDefault="00955260" w:rsidP="00672B6F">
            <w:pPr>
              <w:rPr>
                <w:sz w:val="20"/>
                <w:szCs w:val="20"/>
                <w:lang w:val="en-GB" w:eastAsia="en-GB"/>
              </w:rPr>
            </w:pPr>
            <w:r w:rsidRPr="00731281">
              <w:rPr>
                <w:sz w:val="20"/>
                <w:szCs w:val="20"/>
                <w:lang w:val="en-GB" w:eastAsia="en-GB"/>
              </w:rPr>
              <w:t>Lithuania</w:t>
            </w:r>
          </w:p>
        </w:tc>
        <w:tc>
          <w:tcPr>
            <w:tcW w:w="2819" w:type="dxa"/>
            <w:noWrap/>
            <w:hideMark/>
          </w:tcPr>
          <w:p w14:paraId="39EC4CA2"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17AC3D8C" w14:textId="77777777" w:rsidTr="00283273">
        <w:trPr>
          <w:trHeight w:val="227"/>
        </w:trPr>
        <w:tc>
          <w:tcPr>
            <w:tcW w:w="1996" w:type="dxa"/>
            <w:noWrap/>
            <w:hideMark/>
          </w:tcPr>
          <w:p w14:paraId="1AF3DBE7" w14:textId="77777777" w:rsidR="00955260" w:rsidRPr="00731281" w:rsidRDefault="00955260" w:rsidP="00672B6F">
            <w:pPr>
              <w:rPr>
                <w:sz w:val="20"/>
                <w:szCs w:val="20"/>
                <w:lang w:val="en-GB" w:eastAsia="en-GB"/>
              </w:rPr>
            </w:pPr>
            <w:r w:rsidRPr="00731281">
              <w:rPr>
                <w:sz w:val="20"/>
                <w:szCs w:val="20"/>
                <w:lang w:val="en-GB" w:eastAsia="en-GB"/>
              </w:rPr>
              <w:t>Luxembourg</w:t>
            </w:r>
          </w:p>
        </w:tc>
        <w:tc>
          <w:tcPr>
            <w:tcW w:w="2819" w:type="dxa"/>
            <w:noWrap/>
            <w:hideMark/>
          </w:tcPr>
          <w:p w14:paraId="1847DB14"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3ECF68F5" w14:textId="77777777" w:rsidTr="00283273">
        <w:trPr>
          <w:trHeight w:val="227"/>
        </w:trPr>
        <w:tc>
          <w:tcPr>
            <w:tcW w:w="1996" w:type="dxa"/>
            <w:noWrap/>
            <w:hideMark/>
          </w:tcPr>
          <w:p w14:paraId="45C1EEF0" w14:textId="77777777" w:rsidR="00955260" w:rsidRPr="00731281" w:rsidRDefault="00955260" w:rsidP="00672B6F">
            <w:pPr>
              <w:rPr>
                <w:sz w:val="20"/>
                <w:szCs w:val="20"/>
                <w:lang w:val="en-GB" w:eastAsia="en-GB"/>
              </w:rPr>
            </w:pPr>
            <w:r w:rsidRPr="00731281">
              <w:rPr>
                <w:sz w:val="20"/>
                <w:szCs w:val="20"/>
                <w:lang w:val="en-GB" w:eastAsia="en-GB"/>
              </w:rPr>
              <w:t>Malaysia</w:t>
            </w:r>
          </w:p>
        </w:tc>
        <w:tc>
          <w:tcPr>
            <w:tcW w:w="2819" w:type="dxa"/>
            <w:noWrap/>
            <w:hideMark/>
          </w:tcPr>
          <w:p w14:paraId="3BF8472D"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143BCB27" w14:textId="77777777" w:rsidTr="00283273">
        <w:trPr>
          <w:trHeight w:val="227"/>
        </w:trPr>
        <w:tc>
          <w:tcPr>
            <w:tcW w:w="1996" w:type="dxa"/>
            <w:noWrap/>
            <w:hideMark/>
          </w:tcPr>
          <w:p w14:paraId="35FA5027" w14:textId="77777777" w:rsidR="00955260" w:rsidRPr="00731281" w:rsidRDefault="00955260" w:rsidP="00672B6F">
            <w:pPr>
              <w:rPr>
                <w:sz w:val="20"/>
                <w:szCs w:val="20"/>
                <w:lang w:val="en-GB" w:eastAsia="en-GB"/>
              </w:rPr>
            </w:pPr>
            <w:r w:rsidRPr="00731281">
              <w:rPr>
                <w:sz w:val="20"/>
                <w:szCs w:val="20"/>
                <w:lang w:val="en-GB" w:eastAsia="en-GB"/>
              </w:rPr>
              <w:t>Malta</w:t>
            </w:r>
          </w:p>
        </w:tc>
        <w:tc>
          <w:tcPr>
            <w:tcW w:w="2819" w:type="dxa"/>
            <w:noWrap/>
            <w:hideMark/>
          </w:tcPr>
          <w:p w14:paraId="5EE1B724"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1BD883D4" w14:textId="77777777" w:rsidTr="00283273">
        <w:trPr>
          <w:trHeight w:val="227"/>
        </w:trPr>
        <w:tc>
          <w:tcPr>
            <w:tcW w:w="1996" w:type="dxa"/>
            <w:noWrap/>
            <w:hideMark/>
          </w:tcPr>
          <w:p w14:paraId="54ED604C" w14:textId="77777777" w:rsidR="00955260" w:rsidRPr="00731281" w:rsidRDefault="00955260" w:rsidP="00672B6F">
            <w:pPr>
              <w:rPr>
                <w:sz w:val="20"/>
                <w:szCs w:val="20"/>
                <w:lang w:val="en-GB" w:eastAsia="en-GB"/>
              </w:rPr>
            </w:pPr>
            <w:r w:rsidRPr="00731281">
              <w:rPr>
                <w:sz w:val="20"/>
                <w:szCs w:val="20"/>
                <w:lang w:val="en-GB" w:eastAsia="en-GB"/>
              </w:rPr>
              <w:t>Netherlands</w:t>
            </w:r>
          </w:p>
        </w:tc>
        <w:tc>
          <w:tcPr>
            <w:tcW w:w="2819" w:type="dxa"/>
            <w:noWrap/>
            <w:hideMark/>
          </w:tcPr>
          <w:p w14:paraId="3194283D" w14:textId="77777777" w:rsidR="00955260" w:rsidRPr="00731281" w:rsidRDefault="00955260" w:rsidP="00672B6F">
            <w:pPr>
              <w:jc w:val="center"/>
              <w:rPr>
                <w:sz w:val="20"/>
                <w:szCs w:val="20"/>
                <w:lang w:val="en-GB" w:eastAsia="en-GB"/>
              </w:rPr>
            </w:pPr>
            <w:r w:rsidRPr="00731281">
              <w:rPr>
                <w:sz w:val="20"/>
                <w:szCs w:val="20"/>
                <w:lang w:val="en-GB" w:eastAsia="en-GB"/>
              </w:rPr>
              <w:t>7</w:t>
            </w:r>
          </w:p>
        </w:tc>
      </w:tr>
      <w:tr w:rsidR="00955260" w:rsidRPr="00731281" w14:paraId="1C72C3B9" w14:textId="77777777" w:rsidTr="00283273">
        <w:trPr>
          <w:trHeight w:val="227"/>
        </w:trPr>
        <w:tc>
          <w:tcPr>
            <w:tcW w:w="1996" w:type="dxa"/>
            <w:noWrap/>
            <w:hideMark/>
          </w:tcPr>
          <w:p w14:paraId="5C46236C" w14:textId="77777777" w:rsidR="00955260" w:rsidRPr="00731281" w:rsidRDefault="00955260" w:rsidP="00672B6F">
            <w:pPr>
              <w:rPr>
                <w:sz w:val="20"/>
                <w:szCs w:val="20"/>
                <w:lang w:val="en-GB" w:eastAsia="en-GB"/>
              </w:rPr>
            </w:pPr>
            <w:r w:rsidRPr="00731281">
              <w:rPr>
                <w:sz w:val="20"/>
                <w:szCs w:val="20"/>
                <w:lang w:val="en-GB" w:eastAsia="en-GB"/>
              </w:rPr>
              <w:t>Nigeria</w:t>
            </w:r>
          </w:p>
        </w:tc>
        <w:tc>
          <w:tcPr>
            <w:tcW w:w="2819" w:type="dxa"/>
            <w:noWrap/>
            <w:hideMark/>
          </w:tcPr>
          <w:p w14:paraId="09C9C40C"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7D7E59D6" w14:textId="77777777" w:rsidTr="00283273">
        <w:trPr>
          <w:trHeight w:val="227"/>
        </w:trPr>
        <w:tc>
          <w:tcPr>
            <w:tcW w:w="1996" w:type="dxa"/>
            <w:noWrap/>
            <w:hideMark/>
          </w:tcPr>
          <w:p w14:paraId="79CB4EFE" w14:textId="77777777" w:rsidR="00955260" w:rsidRPr="00731281" w:rsidRDefault="00955260" w:rsidP="00672B6F">
            <w:pPr>
              <w:rPr>
                <w:sz w:val="20"/>
                <w:szCs w:val="20"/>
                <w:lang w:val="en-GB" w:eastAsia="en-GB"/>
              </w:rPr>
            </w:pPr>
            <w:r w:rsidRPr="00731281">
              <w:rPr>
                <w:sz w:val="20"/>
                <w:szCs w:val="20"/>
                <w:lang w:val="en-GB" w:eastAsia="en-GB"/>
              </w:rPr>
              <w:t>Norway</w:t>
            </w:r>
          </w:p>
        </w:tc>
        <w:tc>
          <w:tcPr>
            <w:tcW w:w="2819" w:type="dxa"/>
            <w:noWrap/>
            <w:hideMark/>
          </w:tcPr>
          <w:p w14:paraId="07A26EB9" w14:textId="77777777" w:rsidR="00955260" w:rsidRPr="00731281" w:rsidRDefault="00955260" w:rsidP="00672B6F">
            <w:pPr>
              <w:jc w:val="center"/>
              <w:rPr>
                <w:sz w:val="20"/>
                <w:szCs w:val="20"/>
                <w:lang w:val="en-GB" w:eastAsia="en-GB"/>
              </w:rPr>
            </w:pPr>
            <w:r w:rsidRPr="00731281">
              <w:rPr>
                <w:sz w:val="20"/>
                <w:szCs w:val="20"/>
                <w:lang w:val="en-GB" w:eastAsia="en-GB"/>
              </w:rPr>
              <w:t>3</w:t>
            </w:r>
          </w:p>
        </w:tc>
      </w:tr>
      <w:tr w:rsidR="00955260" w:rsidRPr="00731281" w14:paraId="0BCDE92C" w14:textId="77777777" w:rsidTr="00283273">
        <w:trPr>
          <w:trHeight w:val="227"/>
        </w:trPr>
        <w:tc>
          <w:tcPr>
            <w:tcW w:w="1996" w:type="dxa"/>
            <w:noWrap/>
            <w:hideMark/>
          </w:tcPr>
          <w:p w14:paraId="73497481" w14:textId="77777777" w:rsidR="00955260" w:rsidRPr="00731281" w:rsidRDefault="00955260" w:rsidP="00672B6F">
            <w:pPr>
              <w:rPr>
                <w:sz w:val="20"/>
                <w:szCs w:val="20"/>
                <w:lang w:val="en-GB" w:eastAsia="en-GB"/>
              </w:rPr>
            </w:pPr>
            <w:r w:rsidRPr="00731281">
              <w:rPr>
                <w:sz w:val="20"/>
                <w:szCs w:val="20"/>
                <w:lang w:val="en-GB" w:eastAsia="en-GB"/>
              </w:rPr>
              <w:t>Poland</w:t>
            </w:r>
          </w:p>
        </w:tc>
        <w:tc>
          <w:tcPr>
            <w:tcW w:w="2819" w:type="dxa"/>
            <w:noWrap/>
            <w:hideMark/>
          </w:tcPr>
          <w:p w14:paraId="64076C2D"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1DFF9964" w14:textId="77777777" w:rsidTr="00283273">
        <w:trPr>
          <w:trHeight w:val="227"/>
        </w:trPr>
        <w:tc>
          <w:tcPr>
            <w:tcW w:w="1996" w:type="dxa"/>
            <w:noWrap/>
            <w:hideMark/>
          </w:tcPr>
          <w:p w14:paraId="7576E2E5" w14:textId="77777777" w:rsidR="00955260" w:rsidRPr="00731281" w:rsidRDefault="00955260" w:rsidP="00672B6F">
            <w:pPr>
              <w:rPr>
                <w:sz w:val="20"/>
                <w:szCs w:val="20"/>
                <w:lang w:val="en-GB" w:eastAsia="en-GB"/>
              </w:rPr>
            </w:pPr>
            <w:r w:rsidRPr="00731281">
              <w:rPr>
                <w:sz w:val="20"/>
                <w:szCs w:val="20"/>
                <w:lang w:val="en-GB" w:eastAsia="en-GB"/>
              </w:rPr>
              <w:t>Portugal</w:t>
            </w:r>
          </w:p>
        </w:tc>
        <w:tc>
          <w:tcPr>
            <w:tcW w:w="2819" w:type="dxa"/>
            <w:noWrap/>
            <w:hideMark/>
          </w:tcPr>
          <w:p w14:paraId="6CEB67F2" w14:textId="77777777" w:rsidR="00955260" w:rsidRPr="00731281" w:rsidRDefault="00955260" w:rsidP="00672B6F">
            <w:pPr>
              <w:jc w:val="center"/>
              <w:rPr>
                <w:sz w:val="20"/>
                <w:szCs w:val="20"/>
                <w:lang w:val="en-GB" w:eastAsia="en-GB"/>
              </w:rPr>
            </w:pPr>
            <w:r w:rsidRPr="00731281">
              <w:rPr>
                <w:sz w:val="20"/>
                <w:szCs w:val="20"/>
                <w:lang w:val="en-GB" w:eastAsia="en-GB"/>
              </w:rPr>
              <w:t>3</w:t>
            </w:r>
          </w:p>
        </w:tc>
      </w:tr>
      <w:tr w:rsidR="00955260" w:rsidRPr="00731281" w14:paraId="1C88A647" w14:textId="77777777" w:rsidTr="00283273">
        <w:trPr>
          <w:trHeight w:val="227"/>
        </w:trPr>
        <w:tc>
          <w:tcPr>
            <w:tcW w:w="1996" w:type="dxa"/>
            <w:noWrap/>
            <w:hideMark/>
          </w:tcPr>
          <w:p w14:paraId="71AC4926" w14:textId="77777777" w:rsidR="00955260" w:rsidRPr="00731281" w:rsidRDefault="00955260" w:rsidP="00672B6F">
            <w:pPr>
              <w:rPr>
                <w:sz w:val="20"/>
                <w:szCs w:val="20"/>
                <w:lang w:val="en-GB" w:eastAsia="en-GB"/>
              </w:rPr>
            </w:pPr>
            <w:r w:rsidRPr="00731281">
              <w:rPr>
                <w:sz w:val="20"/>
                <w:szCs w:val="20"/>
                <w:lang w:val="en-GB" w:eastAsia="en-GB"/>
              </w:rPr>
              <w:t>Romania</w:t>
            </w:r>
          </w:p>
        </w:tc>
        <w:tc>
          <w:tcPr>
            <w:tcW w:w="2819" w:type="dxa"/>
            <w:noWrap/>
            <w:hideMark/>
          </w:tcPr>
          <w:p w14:paraId="797F1D01"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03D4822F" w14:textId="77777777" w:rsidTr="00283273">
        <w:trPr>
          <w:trHeight w:val="227"/>
        </w:trPr>
        <w:tc>
          <w:tcPr>
            <w:tcW w:w="1996" w:type="dxa"/>
            <w:noWrap/>
            <w:hideMark/>
          </w:tcPr>
          <w:p w14:paraId="415FAF76" w14:textId="77777777" w:rsidR="00955260" w:rsidRPr="00731281" w:rsidRDefault="00955260" w:rsidP="00672B6F">
            <w:pPr>
              <w:rPr>
                <w:sz w:val="20"/>
                <w:szCs w:val="20"/>
                <w:lang w:val="en-GB" w:eastAsia="en-GB"/>
              </w:rPr>
            </w:pPr>
            <w:r w:rsidRPr="00731281">
              <w:rPr>
                <w:sz w:val="20"/>
                <w:szCs w:val="20"/>
                <w:lang w:val="en-GB" w:eastAsia="en-GB"/>
              </w:rPr>
              <w:t>Russia</w:t>
            </w:r>
          </w:p>
        </w:tc>
        <w:tc>
          <w:tcPr>
            <w:tcW w:w="2819" w:type="dxa"/>
            <w:noWrap/>
            <w:hideMark/>
          </w:tcPr>
          <w:p w14:paraId="0EDB0827"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70802D28" w14:textId="77777777" w:rsidTr="00283273">
        <w:trPr>
          <w:trHeight w:val="227"/>
        </w:trPr>
        <w:tc>
          <w:tcPr>
            <w:tcW w:w="1996" w:type="dxa"/>
            <w:noWrap/>
            <w:hideMark/>
          </w:tcPr>
          <w:p w14:paraId="0A92F987" w14:textId="77777777" w:rsidR="00955260" w:rsidRPr="00731281" w:rsidRDefault="00955260" w:rsidP="00672B6F">
            <w:pPr>
              <w:rPr>
                <w:sz w:val="20"/>
                <w:szCs w:val="20"/>
                <w:lang w:val="en-GB" w:eastAsia="en-GB"/>
              </w:rPr>
            </w:pPr>
            <w:r w:rsidRPr="00731281">
              <w:rPr>
                <w:sz w:val="20"/>
                <w:szCs w:val="20"/>
                <w:lang w:val="en-GB" w:eastAsia="en-GB"/>
              </w:rPr>
              <w:t>Slovakia</w:t>
            </w:r>
          </w:p>
        </w:tc>
        <w:tc>
          <w:tcPr>
            <w:tcW w:w="2819" w:type="dxa"/>
            <w:noWrap/>
            <w:hideMark/>
          </w:tcPr>
          <w:p w14:paraId="437B6937"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7FFDE131" w14:textId="77777777" w:rsidTr="00283273">
        <w:trPr>
          <w:trHeight w:val="227"/>
        </w:trPr>
        <w:tc>
          <w:tcPr>
            <w:tcW w:w="1996" w:type="dxa"/>
            <w:noWrap/>
            <w:hideMark/>
          </w:tcPr>
          <w:p w14:paraId="005150FF" w14:textId="77777777" w:rsidR="00955260" w:rsidRPr="00731281" w:rsidRDefault="00955260" w:rsidP="00672B6F">
            <w:pPr>
              <w:rPr>
                <w:sz w:val="20"/>
                <w:szCs w:val="20"/>
                <w:lang w:val="en-GB" w:eastAsia="en-GB"/>
              </w:rPr>
            </w:pPr>
            <w:r w:rsidRPr="00731281">
              <w:rPr>
                <w:sz w:val="20"/>
                <w:szCs w:val="20"/>
                <w:lang w:val="en-GB" w:eastAsia="en-GB"/>
              </w:rPr>
              <w:t>Slovenia</w:t>
            </w:r>
          </w:p>
        </w:tc>
        <w:tc>
          <w:tcPr>
            <w:tcW w:w="2819" w:type="dxa"/>
            <w:noWrap/>
            <w:hideMark/>
          </w:tcPr>
          <w:p w14:paraId="4A9CE4AF" w14:textId="77777777" w:rsidR="00955260" w:rsidRPr="00731281" w:rsidRDefault="00955260" w:rsidP="00672B6F">
            <w:pPr>
              <w:jc w:val="center"/>
              <w:rPr>
                <w:sz w:val="20"/>
                <w:szCs w:val="20"/>
                <w:lang w:val="en-GB" w:eastAsia="en-GB"/>
              </w:rPr>
            </w:pPr>
            <w:r w:rsidRPr="00731281">
              <w:rPr>
                <w:sz w:val="20"/>
                <w:szCs w:val="20"/>
                <w:lang w:val="en-GB" w:eastAsia="en-GB"/>
              </w:rPr>
              <w:t>3</w:t>
            </w:r>
          </w:p>
        </w:tc>
      </w:tr>
      <w:tr w:rsidR="00955260" w:rsidRPr="00731281" w14:paraId="0A5FDAB9" w14:textId="77777777" w:rsidTr="00283273">
        <w:trPr>
          <w:trHeight w:val="227"/>
        </w:trPr>
        <w:tc>
          <w:tcPr>
            <w:tcW w:w="1996" w:type="dxa"/>
            <w:noWrap/>
            <w:hideMark/>
          </w:tcPr>
          <w:p w14:paraId="49B5184D" w14:textId="77777777" w:rsidR="00955260" w:rsidRPr="00731281" w:rsidRDefault="00955260" w:rsidP="00672B6F">
            <w:pPr>
              <w:rPr>
                <w:sz w:val="20"/>
                <w:szCs w:val="20"/>
                <w:lang w:val="en-GB" w:eastAsia="en-GB"/>
              </w:rPr>
            </w:pPr>
            <w:r w:rsidRPr="00731281">
              <w:rPr>
                <w:sz w:val="20"/>
                <w:szCs w:val="20"/>
                <w:lang w:val="en-GB" w:eastAsia="en-GB"/>
              </w:rPr>
              <w:t>South Africa</w:t>
            </w:r>
          </w:p>
        </w:tc>
        <w:tc>
          <w:tcPr>
            <w:tcW w:w="2819" w:type="dxa"/>
            <w:noWrap/>
            <w:hideMark/>
          </w:tcPr>
          <w:p w14:paraId="4372136B"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154F7A30" w14:textId="77777777" w:rsidTr="00283273">
        <w:trPr>
          <w:trHeight w:val="227"/>
        </w:trPr>
        <w:tc>
          <w:tcPr>
            <w:tcW w:w="1996" w:type="dxa"/>
            <w:noWrap/>
            <w:hideMark/>
          </w:tcPr>
          <w:p w14:paraId="1A569F6F" w14:textId="77777777" w:rsidR="00955260" w:rsidRPr="00731281" w:rsidRDefault="00955260" w:rsidP="00672B6F">
            <w:pPr>
              <w:rPr>
                <w:sz w:val="20"/>
                <w:szCs w:val="20"/>
                <w:lang w:val="en-GB" w:eastAsia="en-GB"/>
              </w:rPr>
            </w:pPr>
            <w:r w:rsidRPr="00731281">
              <w:rPr>
                <w:sz w:val="20"/>
                <w:szCs w:val="20"/>
                <w:lang w:val="en-GB" w:eastAsia="en-GB"/>
              </w:rPr>
              <w:t>South Korea</w:t>
            </w:r>
          </w:p>
        </w:tc>
        <w:tc>
          <w:tcPr>
            <w:tcW w:w="2819" w:type="dxa"/>
            <w:noWrap/>
            <w:hideMark/>
          </w:tcPr>
          <w:p w14:paraId="082F2FF5" w14:textId="77777777" w:rsidR="00955260" w:rsidRPr="00731281" w:rsidRDefault="00955260" w:rsidP="00672B6F">
            <w:pPr>
              <w:jc w:val="center"/>
              <w:rPr>
                <w:sz w:val="20"/>
                <w:szCs w:val="20"/>
                <w:lang w:val="en-GB" w:eastAsia="en-GB"/>
              </w:rPr>
            </w:pPr>
            <w:r w:rsidRPr="00731281">
              <w:rPr>
                <w:sz w:val="20"/>
                <w:szCs w:val="20"/>
                <w:lang w:val="en-GB" w:eastAsia="en-GB"/>
              </w:rPr>
              <w:t>2</w:t>
            </w:r>
          </w:p>
        </w:tc>
      </w:tr>
      <w:tr w:rsidR="00955260" w:rsidRPr="00731281" w14:paraId="7A05FE14" w14:textId="77777777" w:rsidTr="00283273">
        <w:trPr>
          <w:trHeight w:val="227"/>
        </w:trPr>
        <w:tc>
          <w:tcPr>
            <w:tcW w:w="1996" w:type="dxa"/>
            <w:noWrap/>
            <w:hideMark/>
          </w:tcPr>
          <w:p w14:paraId="250F2F0C" w14:textId="77777777" w:rsidR="00955260" w:rsidRPr="00731281" w:rsidRDefault="00955260" w:rsidP="00672B6F">
            <w:pPr>
              <w:rPr>
                <w:sz w:val="20"/>
                <w:szCs w:val="20"/>
                <w:lang w:val="en-GB" w:eastAsia="en-GB"/>
              </w:rPr>
            </w:pPr>
            <w:r w:rsidRPr="00731281">
              <w:rPr>
                <w:sz w:val="20"/>
                <w:szCs w:val="20"/>
                <w:lang w:val="en-GB" w:eastAsia="en-GB"/>
              </w:rPr>
              <w:t>Spain</w:t>
            </w:r>
          </w:p>
        </w:tc>
        <w:tc>
          <w:tcPr>
            <w:tcW w:w="2819" w:type="dxa"/>
            <w:noWrap/>
            <w:hideMark/>
          </w:tcPr>
          <w:p w14:paraId="528CAE42" w14:textId="77777777" w:rsidR="00955260" w:rsidRPr="00731281" w:rsidRDefault="00955260" w:rsidP="00672B6F">
            <w:pPr>
              <w:jc w:val="center"/>
              <w:rPr>
                <w:sz w:val="20"/>
                <w:szCs w:val="20"/>
                <w:lang w:val="en-GB" w:eastAsia="en-GB"/>
              </w:rPr>
            </w:pPr>
            <w:r w:rsidRPr="00731281">
              <w:rPr>
                <w:sz w:val="20"/>
                <w:szCs w:val="20"/>
                <w:lang w:val="en-GB" w:eastAsia="en-GB"/>
              </w:rPr>
              <w:t>15</w:t>
            </w:r>
          </w:p>
        </w:tc>
      </w:tr>
      <w:tr w:rsidR="00955260" w:rsidRPr="00731281" w14:paraId="63E31254" w14:textId="77777777" w:rsidTr="00283273">
        <w:trPr>
          <w:trHeight w:val="227"/>
        </w:trPr>
        <w:tc>
          <w:tcPr>
            <w:tcW w:w="1996" w:type="dxa"/>
            <w:noWrap/>
            <w:hideMark/>
          </w:tcPr>
          <w:p w14:paraId="52F138E1" w14:textId="77777777" w:rsidR="00955260" w:rsidRPr="00731281" w:rsidRDefault="00955260" w:rsidP="00672B6F">
            <w:pPr>
              <w:rPr>
                <w:sz w:val="20"/>
                <w:szCs w:val="20"/>
                <w:lang w:val="en-GB" w:eastAsia="en-GB"/>
              </w:rPr>
            </w:pPr>
            <w:r w:rsidRPr="00731281">
              <w:rPr>
                <w:sz w:val="20"/>
                <w:szCs w:val="20"/>
                <w:lang w:val="en-GB" w:eastAsia="en-GB"/>
              </w:rPr>
              <w:t>Sweden</w:t>
            </w:r>
          </w:p>
        </w:tc>
        <w:tc>
          <w:tcPr>
            <w:tcW w:w="2819" w:type="dxa"/>
            <w:noWrap/>
            <w:hideMark/>
          </w:tcPr>
          <w:p w14:paraId="0B1FF412" w14:textId="77777777" w:rsidR="00955260" w:rsidRPr="00731281" w:rsidRDefault="00955260" w:rsidP="00672B6F">
            <w:pPr>
              <w:jc w:val="center"/>
              <w:rPr>
                <w:sz w:val="20"/>
                <w:szCs w:val="20"/>
                <w:lang w:val="en-GB" w:eastAsia="en-GB"/>
              </w:rPr>
            </w:pPr>
            <w:r w:rsidRPr="00731281">
              <w:rPr>
                <w:sz w:val="20"/>
                <w:szCs w:val="20"/>
                <w:lang w:val="en-GB" w:eastAsia="en-GB"/>
              </w:rPr>
              <w:t>10</w:t>
            </w:r>
          </w:p>
        </w:tc>
      </w:tr>
      <w:tr w:rsidR="00955260" w:rsidRPr="00731281" w14:paraId="08D25430" w14:textId="77777777" w:rsidTr="00283273">
        <w:trPr>
          <w:trHeight w:val="227"/>
        </w:trPr>
        <w:tc>
          <w:tcPr>
            <w:tcW w:w="1996" w:type="dxa"/>
            <w:noWrap/>
            <w:hideMark/>
          </w:tcPr>
          <w:p w14:paraId="19431EC6" w14:textId="77777777" w:rsidR="00955260" w:rsidRPr="00731281" w:rsidRDefault="00955260" w:rsidP="00672B6F">
            <w:pPr>
              <w:rPr>
                <w:sz w:val="20"/>
                <w:szCs w:val="20"/>
                <w:lang w:val="en-GB" w:eastAsia="en-GB"/>
              </w:rPr>
            </w:pPr>
            <w:r w:rsidRPr="00731281">
              <w:rPr>
                <w:sz w:val="20"/>
                <w:szCs w:val="20"/>
                <w:lang w:val="en-GB" w:eastAsia="en-GB"/>
              </w:rPr>
              <w:t>Switzerland</w:t>
            </w:r>
          </w:p>
        </w:tc>
        <w:tc>
          <w:tcPr>
            <w:tcW w:w="2819" w:type="dxa"/>
            <w:noWrap/>
            <w:hideMark/>
          </w:tcPr>
          <w:p w14:paraId="3F0047E1" w14:textId="77777777" w:rsidR="00955260" w:rsidRPr="00731281" w:rsidRDefault="00955260" w:rsidP="00672B6F">
            <w:pPr>
              <w:jc w:val="center"/>
              <w:rPr>
                <w:sz w:val="20"/>
                <w:szCs w:val="20"/>
                <w:lang w:val="en-GB" w:eastAsia="en-GB"/>
              </w:rPr>
            </w:pPr>
            <w:r w:rsidRPr="00731281">
              <w:rPr>
                <w:sz w:val="20"/>
                <w:szCs w:val="20"/>
                <w:lang w:val="en-GB" w:eastAsia="en-GB"/>
              </w:rPr>
              <w:t>4</w:t>
            </w:r>
          </w:p>
        </w:tc>
      </w:tr>
      <w:tr w:rsidR="00955260" w:rsidRPr="00731281" w14:paraId="273593C8" w14:textId="77777777" w:rsidTr="00283273">
        <w:trPr>
          <w:trHeight w:val="227"/>
        </w:trPr>
        <w:tc>
          <w:tcPr>
            <w:tcW w:w="1996" w:type="dxa"/>
            <w:noWrap/>
            <w:hideMark/>
          </w:tcPr>
          <w:p w14:paraId="07F479ED" w14:textId="77777777" w:rsidR="00955260" w:rsidRPr="00731281" w:rsidRDefault="00955260" w:rsidP="00672B6F">
            <w:pPr>
              <w:rPr>
                <w:sz w:val="20"/>
                <w:szCs w:val="20"/>
                <w:lang w:val="en-GB" w:eastAsia="en-GB"/>
              </w:rPr>
            </w:pPr>
            <w:r w:rsidRPr="00731281">
              <w:rPr>
                <w:sz w:val="20"/>
                <w:szCs w:val="20"/>
                <w:lang w:val="en-GB" w:eastAsia="en-GB"/>
              </w:rPr>
              <w:t>Taiwan</w:t>
            </w:r>
          </w:p>
        </w:tc>
        <w:tc>
          <w:tcPr>
            <w:tcW w:w="2819" w:type="dxa"/>
            <w:noWrap/>
            <w:hideMark/>
          </w:tcPr>
          <w:p w14:paraId="48F62D53" w14:textId="77777777" w:rsidR="00955260" w:rsidRPr="00731281" w:rsidRDefault="00955260" w:rsidP="00672B6F">
            <w:pPr>
              <w:jc w:val="center"/>
              <w:rPr>
                <w:sz w:val="20"/>
                <w:szCs w:val="20"/>
                <w:lang w:val="en-GB" w:eastAsia="en-GB"/>
              </w:rPr>
            </w:pPr>
            <w:r w:rsidRPr="00731281">
              <w:rPr>
                <w:sz w:val="20"/>
                <w:szCs w:val="20"/>
                <w:lang w:val="en-GB" w:eastAsia="en-GB"/>
              </w:rPr>
              <w:t>3</w:t>
            </w:r>
          </w:p>
        </w:tc>
      </w:tr>
      <w:tr w:rsidR="00955260" w:rsidRPr="00731281" w14:paraId="23664167" w14:textId="77777777" w:rsidTr="00283273">
        <w:trPr>
          <w:trHeight w:val="227"/>
        </w:trPr>
        <w:tc>
          <w:tcPr>
            <w:tcW w:w="1996" w:type="dxa"/>
            <w:noWrap/>
            <w:hideMark/>
          </w:tcPr>
          <w:p w14:paraId="4D733633" w14:textId="77777777" w:rsidR="00955260" w:rsidRPr="00731281" w:rsidRDefault="00955260" w:rsidP="00672B6F">
            <w:pPr>
              <w:rPr>
                <w:sz w:val="20"/>
                <w:szCs w:val="20"/>
                <w:lang w:val="en-GB" w:eastAsia="en-GB"/>
              </w:rPr>
            </w:pPr>
            <w:r w:rsidRPr="00731281">
              <w:rPr>
                <w:sz w:val="20"/>
                <w:szCs w:val="20"/>
                <w:lang w:val="en-GB" w:eastAsia="en-GB"/>
              </w:rPr>
              <w:t>Thailand</w:t>
            </w:r>
          </w:p>
        </w:tc>
        <w:tc>
          <w:tcPr>
            <w:tcW w:w="2819" w:type="dxa"/>
            <w:noWrap/>
            <w:hideMark/>
          </w:tcPr>
          <w:p w14:paraId="57F3147F" w14:textId="77777777" w:rsidR="00955260" w:rsidRPr="00731281" w:rsidRDefault="00955260" w:rsidP="00672B6F">
            <w:pPr>
              <w:jc w:val="center"/>
              <w:rPr>
                <w:sz w:val="20"/>
                <w:szCs w:val="20"/>
                <w:lang w:val="en-GB" w:eastAsia="en-GB"/>
              </w:rPr>
            </w:pPr>
            <w:r w:rsidRPr="00731281">
              <w:rPr>
                <w:sz w:val="20"/>
                <w:szCs w:val="20"/>
                <w:lang w:val="en-GB" w:eastAsia="en-GB"/>
              </w:rPr>
              <w:t>1</w:t>
            </w:r>
          </w:p>
        </w:tc>
      </w:tr>
      <w:tr w:rsidR="00955260" w:rsidRPr="00731281" w14:paraId="10FFF3B3" w14:textId="77777777" w:rsidTr="00283273">
        <w:trPr>
          <w:trHeight w:val="227"/>
        </w:trPr>
        <w:tc>
          <w:tcPr>
            <w:tcW w:w="1996" w:type="dxa"/>
            <w:noWrap/>
            <w:hideMark/>
          </w:tcPr>
          <w:p w14:paraId="24E7CA29" w14:textId="77777777" w:rsidR="00955260" w:rsidRPr="00731281" w:rsidRDefault="00955260" w:rsidP="00672B6F">
            <w:pPr>
              <w:rPr>
                <w:sz w:val="20"/>
                <w:szCs w:val="20"/>
                <w:lang w:val="en-GB" w:eastAsia="en-GB"/>
              </w:rPr>
            </w:pPr>
            <w:r w:rsidRPr="00731281">
              <w:rPr>
                <w:sz w:val="20"/>
                <w:szCs w:val="20"/>
                <w:lang w:val="en-GB" w:eastAsia="en-GB"/>
              </w:rPr>
              <w:t>United Kingdom</w:t>
            </w:r>
          </w:p>
        </w:tc>
        <w:tc>
          <w:tcPr>
            <w:tcW w:w="2819" w:type="dxa"/>
            <w:noWrap/>
            <w:hideMark/>
          </w:tcPr>
          <w:p w14:paraId="6B435425" w14:textId="77777777" w:rsidR="00955260" w:rsidRPr="00731281" w:rsidRDefault="00955260" w:rsidP="00672B6F">
            <w:pPr>
              <w:jc w:val="center"/>
              <w:rPr>
                <w:sz w:val="20"/>
                <w:szCs w:val="20"/>
                <w:lang w:val="en-GB" w:eastAsia="en-GB"/>
              </w:rPr>
            </w:pPr>
            <w:r w:rsidRPr="00731281">
              <w:rPr>
                <w:sz w:val="20"/>
                <w:szCs w:val="20"/>
                <w:lang w:val="en-GB" w:eastAsia="en-GB"/>
              </w:rPr>
              <w:t>23</w:t>
            </w:r>
          </w:p>
        </w:tc>
      </w:tr>
      <w:tr w:rsidR="00955260" w:rsidRPr="00731281" w14:paraId="66C169F8" w14:textId="77777777" w:rsidTr="00283273">
        <w:trPr>
          <w:trHeight w:val="227"/>
        </w:trPr>
        <w:tc>
          <w:tcPr>
            <w:tcW w:w="1996" w:type="dxa"/>
            <w:noWrap/>
            <w:hideMark/>
          </w:tcPr>
          <w:p w14:paraId="4634CF00" w14:textId="77777777" w:rsidR="00955260" w:rsidRPr="00731281" w:rsidRDefault="00955260" w:rsidP="00672B6F">
            <w:pPr>
              <w:rPr>
                <w:sz w:val="20"/>
                <w:szCs w:val="20"/>
                <w:lang w:val="en-GB" w:eastAsia="en-GB"/>
              </w:rPr>
            </w:pPr>
            <w:r w:rsidRPr="00731281">
              <w:rPr>
                <w:sz w:val="20"/>
                <w:szCs w:val="20"/>
                <w:lang w:val="en-GB" w:eastAsia="en-GB"/>
              </w:rPr>
              <w:t>United States</w:t>
            </w:r>
          </w:p>
        </w:tc>
        <w:tc>
          <w:tcPr>
            <w:tcW w:w="2819" w:type="dxa"/>
            <w:noWrap/>
            <w:hideMark/>
          </w:tcPr>
          <w:p w14:paraId="72F61CF2" w14:textId="77777777" w:rsidR="00955260" w:rsidRPr="00731281" w:rsidRDefault="00955260" w:rsidP="00672B6F">
            <w:pPr>
              <w:jc w:val="center"/>
              <w:rPr>
                <w:sz w:val="20"/>
                <w:szCs w:val="20"/>
                <w:lang w:val="en-GB" w:eastAsia="en-GB"/>
              </w:rPr>
            </w:pPr>
            <w:r w:rsidRPr="00731281">
              <w:rPr>
                <w:sz w:val="20"/>
                <w:szCs w:val="20"/>
                <w:lang w:val="en-GB" w:eastAsia="en-GB"/>
              </w:rPr>
              <w:t>24</w:t>
            </w:r>
          </w:p>
        </w:tc>
      </w:tr>
      <w:bookmarkEnd w:id="7"/>
    </w:tbl>
    <w:p w14:paraId="407D7DB8" w14:textId="24E1CE3B" w:rsidR="00672B6F" w:rsidRPr="00731281" w:rsidRDefault="00672B6F" w:rsidP="00672B6F">
      <w:pPr>
        <w:rPr>
          <w:lang w:val="en-GB"/>
        </w:rPr>
        <w:sectPr w:rsidR="00672B6F" w:rsidRPr="00731281" w:rsidSect="005C3F8C">
          <w:pgSz w:w="11906" w:h="16838"/>
          <w:pgMar w:top="993" w:right="1440" w:bottom="1440" w:left="1440" w:header="708" w:footer="708" w:gutter="0"/>
          <w:cols w:space="708"/>
          <w:docGrid w:linePitch="360"/>
        </w:sectPr>
      </w:pPr>
    </w:p>
    <w:p w14:paraId="6F7B0F69" w14:textId="51D9C8BA" w:rsidR="00C24BCA" w:rsidRDefault="00C24BCA" w:rsidP="00C24BCA">
      <w:pPr>
        <w:pStyle w:val="Heading2"/>
        <w:ind w:left="0"/>
        <w:rPr>
          <w:lang w:val="en-GB"/>
        </w:rPr>
      </w:pPr>
      <w:bookmarkStart w:id="13" w:name="_Toc35433683"/>
      <w:bookmarkStart w:id="14" w:name="_Toc38626184"/>
      <w:bookmarkStart w:id="15" w:name="_Toc35433684"/>
      <w:bookmarkStart w:id="16" w:name="_Toc35433685"/>
      <w:bookmarkEnd w:id="13"/>
      <w:r>
        <w:rPr>
          <w:lang w:val="en-GB"/>
        </w:rPr>
        <w:lastRenderedPageBreak/>
        <w:t>eTab</w:t>
      </w:r>
      <w:r w:rsidR="002B6D16">
        <w:rPr>
          <w:lang w:val="en-GB"/>
        </w:rPr>
        <w:t>e 5</w:t>
      </w:r>
      <w:r w:rsidRPr="00C24BCA">
        <w:rPr>
          <w:lang w:val="en-GB"/>
        </w:rPr>
        <w:t>:</w:t>
      </w:r>
      <w:r>
        <w:rPr>
          <w:lang w:val="en-GB"/>
        </w:rPr>
        <w:t xml:space="preserve"> Direct vs. indirect cost</w:t>
      </w:r>
      <w:bookmarkEnd w:id="14"/>
    </w:p>
    <w:p w14:paraId="1DD06BF4" w14:textId="0C8FBF11" w:rsidR="00C24BCA" w:rsidRDefault="00C24BCA" w:rsidP="00C24BCA">
      <w:pPr>
        <w:rPr>
          <w:lang w:val="en-GB"/>
        </w:rPr>
      </w:pPr>
      <w:r w:rsidRPr="00710C88">
        <w:rPr>
          <w:lang w:val="en-GB"/>
        </w:rPr>
        <w:t xml:space="preserve">16 </w:t>
      </w:r>
      <w:r>
        <w:rPr>
          <w:lang w:val="en-GB"/>
        </w:rPr>
        <w:t xml:space="preserve">distinct </w:t>
      </w:r>
      <w:r w:rsidRPr="00710C88">
        <w:rPr>
          <w:lang w:val="en-GB"/>
        </w:rPr>
        <w:t>studies reported direct and in</w:t>
      </w:r>
      <w:r>
        <w:rPr>
          <w:lang w:val="en-GB"/>
        </w:rPr>
        <w:t>direct cost from the total societal costs. On average, direct cost constituted 52 % and indirect cost 48 % of the total societal costs. The table below show the percentages divided by disorder group.</w:t>
      </w:r>
    </w:p>
    <w:p w14:paraId="01A19638" w14:textId="77777777" w:rsidR="00C24BCA" w:rsidRDefault="00C24BCA" w:rsidP="00C24BCA">
      <w:pPr>
        <w:rPr>
          <w:lang w:val="en-GB"/>
        </w:rPr>
      </w:pPr>
    </w:p>
    <w:tbl>
      <w:tblPr>
        <w:tblStyle w:val="TableGrid"/>
        <w:tblW w:w="9016" w:type="dxa"/>
        <w:tblLook w:val="04A0" w:firstRow="1" w:lastRow="0" w:firstColumn="1" w:lastColumn="0" w:noHBand="0" w:noVBand="1"/>
      </w:tblPr>
      <w:tblGrid>
        <w:gridCol w:w="2547"/>
        <w:gridCol w:w="1363"/>
        <w:gridCol w:w="1985"/>
        <w:gridCol w:w="1460"/>
        <w:gridCol w:w="1661"/>
      </w:tblGrid>
      <w:tr w:rsidR="00123872" w14:paraId="1C938A91" w14:textId="77777777" w:rsidTr="006D563C">
        <w:trPr>
          <w:trHeight w:val="340"/>
        </w:trPr>
        <w:tc>
          <w:tcPr>
            <w:tcW w:w="2547" w:type="dxa"/>
            <w:shd w:val="clear" w:color="auto" w:fill="1F4E79" w:themeFill="accent1" w:themeFillShade="80"/>
            <w:vAlign w:val="center"/>
          </w:tcPr>
          <w:p w14:paraId="5FCA2AE8" w14:textId="77777777" w:rsidR="00123872" w:rsidRPr="00966379" w:rsidRDefault="00123872" w:rsidP="00123872">
            <w:pPr>
              <w:rPr>
                <w:color w:val="FFFFFF" w:themeColor="background1"/>
                <w:sz w:val="22"/>
                <w:lang w:val="en-GB"/>
              </w:rPr>
            </w:pPr>
            <w:r w:rsidRPr="00966379">
              <w:rPr>
                <w:color w:val="FFFFFF" w:themeColor="background1"/>
                <w:sz w:val="22"/>
                <w:lang w:val="en-GB"/>
              </w:rPr>
              <w:t>Mental disorder group</w:t>
            </w:r>
          </w:p>
        </w:tc>
        <w:tc>
          <w:tcPr>
            <w:tcW w:w="1363" w:type="dxa"/>
            <w:shd w:val="clear" w:color="auto" w:fill="1F4E79" w:themeFill="accent1" w:themeFillShade="80"/>
            <w:vAlign w:val="center"/>
          </w:tcPr>
          <w:p w14:paraId="1B7E7C71" w14:textId="7521D44A" w:rsidR="00123872" w:rsidRDefault="00123872" w:rsidP="00123872">
            <w:pPr>
              <w:jc w:val="center"/>
              <w:rPr>
                <w:color w:val="FFFFFF" w:themeColor="background1"/>
                <w:sz w:val="22"/>
                <w:lang w:val="en-GB"/>
              </w:rPr>
            </w:pPr>
            <w:r w:rsidRPr="00966379">
              <w:rPr>
                <w:color w:val="FFFFFF" w:themeColor="background1"/>
                <w:sz w:val="22"/>
                <w:lang w:val="en-GB"/>
              </w:rPr>
              <w:t>Number of studies*</w:t>
            </w:r>
          </w:p>
        </w:tc>
        <w:tc>
          <w:tcPr>
            <w:tcW w:w="1985" w:type="dxa"/>
            <w:shd w:val="clear" w:color="auto" w:fill="1F4E79" w:themeFill="accent1" w:themeFillShade="80"/>
            <w:vAlign w:val="center"/>
          </w:tcPr>
          <w:p w14:paraId="69DCFA1E" w14:textId="054C0333" w:rsidR="00123872" w:rsidRPr="00966379" w:rsidRDefault="00123872" w:rsidP="00123872">
            <w:pPr>
              <w:jc w:val="center"/>
              <w:rPr>
                <w:color w:val="FFFFFF" w:themeColor="background1"/>
                <w:sz w:val="22"/>
                <w:lang w:val="en-GB"/>
              </w:rPr>
            </w:pPr>
            <w:r w:rsidRPr="00966379">
              <w:rPr>
                <w:color w:val="FFFFFF" w:themeColor="background1"/>
                <w:sz w:val="22"/>
                <w:lang w:val="en-GB"/>
              </w:rPr>
              <w:t xml:space="preserve">Number of </w:t>
            </w:r>
            <w:r>
              <w:rPr>
                <w:color w:val="FFFFFF" w:themeColor="background1"/>
                <w:sz w:val="22"/>
                <w:lang w:val="en-GB"/>
              </w:rPr>
              <w:t>estimates</w:t>
            </w:r>
            <w:r w:rsidRPr="00966379">
              <w:rPr>
                <w:color w:val="FFFFFF" w:themeColor="background1"/>
                <w:sz w:val="22"/>
                <w:lang w:val="en-GB"/>
              </w:rPr>
              <w:t>*</w:t>
            </w:r>
            <w:r w:rsidR="006D563C">
              <w:rPr>
                <w:color w:val="FFFFFF" w:themeColor="background1"/>
                <w:sz w:val="22"/>
                <w:lang w:val="en-GB"/>
              </w:rPr>
              <w:t>*</w:t>
            </w:r>
          </w:p>
        </w:tc>
        <w:tc>
          <w:tcPr>
            <w:tcW w:w="1460" w:type="dxa"/>
            <w:shd w:val="clear" w:color="auto" w:fill="1F4E79" w:themeFill="accent1" w:themeFillShade="80"/>
            <w:vAlign w:val="center"/>
          </w:tcPr>
          <w:p w14:paraId="5D744A0E" w14:textId="77777777" w:rsidR="00123872" w:rsidRPr="00966379" w:rsidRDefault="00123872" w:rsidP="00123872">
            <w:pPr>
              <w:jc w:val="center"/>
              <w:rPr>
                <w:color w:val="FFFFFF" w:themeColor="background1"/>
                <w:sz w:val="22"/>
                <w:lang w:val="en-GB"/>
              </w:rPr>
            </w:pPr>
            <w:r w:rsidRPr="00966379">
              <w:rPr>
                <w:color w:val="FFFFFF" w:themeColor="background1"/>
                <w:sz w:val="22"/>
                <w:lang w:val="en-GB"/>
              </w:rPr>
              <w:t>Direct cost</w:t>
            </w:r>
          </w:p>
        </w:tc>
        <w:tc>
          <w:tcPr>
            <w:tcW w:w="1661" w:type="dxa"/>
            <w:shd w:val="clear" w:color="auto" w:fill="1F4E79" w:themeFill="accent1" w:themeFillShade="80"/>
            <w:vAlign w:val="center"/>
          </w:tcPr>
          <w:p w14:paraId="5149F046" w14:textId="77777777" w:rsidR="00123872" w:rsidRPr="00966379" w:rsidRDefault="00123872" w:rsidP="00123872">
            <w:pPr>
              <w:jc w:val="center"/>
              <w:rPr>
                <w:color w:val="FFFFFF" w:themeColor="background1"/>
                <w:sz w:val="22"/>
                <w:lang w:val="en-GB"/>
              </w:rPr>
            </w:pPr>
            <w:r w:rsidRPr="00966379">
              <w:rPr>
                <w:color w:val="FFFFFF" w:themeColor="background1"/>
                <w:sz w:val="22"/>
                <w:lang w:val="en-GB"/>
              </w:rPr>
              <w:t>Indirect cost</w:t>
            </w:r>
          </w:p>
        </w:tc>
      </w:tr>
      <w:tr w:rsidR="00123872" w14:paraId="10C05BD8" w14:textId="77777777" w:rsidTr="006D563C">
        <w:trPr>
          <w:trHeight w:val="340"/>
        </w:trPr>
        <w:tc>
          <w:tcPr>
            <w:tcW w:w="2547" w:type="dxa"/>
            <w:vAlign w:val="center"/>
          </w:tcPr>
          <w:p w14:paraId="6337AE0C" w14:textId="77777777" w:rsidR="00123872" w:rsidRPr="00966379" w:rsidRDefault="00123872" w:rsidP="00123872">
            <w:pPr>
              <w:rPr>
                <w:sz w:val="22"/>
                <w:lang w:val="en-GB"/>
              </w:rPr>
            </w:pPr>
            <w:r w:rsidRPr="00966379">
              <w:rPr>
                <w:sz w:val="22"/>
                <w:lang w:val="en-GB"/>
              </w:rPr>
              <w:t>Substance use</w:t>
            </w:r>
          </w:p>
        </w:tc>
        <w:tc>
          <w:tcPr>
            <w:tcW w:w="1363" w:type="dxa"/>
            <w:vAlign w:val="center"/>
          </w:tcPr>
          <w:p w14:paraId="5EE487FA" w14:textId="2DDA171E" w:rsidR="00123872" w:rsidRDefault="00123872" w:rsidP="00123872">
            <w:pPr>
              <w:jc w:val="center"/>
              <w:rPr>
                <w:sz w:val="22"/>
                <w:lang w:val="en-GB"/>
              </w:rPr>
            </w:pPr>
            <w:r>
              <w:rPr>
                <w:sz w:val="22"/>
                <w:lang w:val="en-GB"/>
              </w:rPr>
              <w:t>4</w:t>
            </w:r>
          </w:p>
        </w:tc>
        <w:tc>
          <w:tcPr>
            <w:tcW w:w="1985" w:type="dxa"/>
            <w:vAlign w:val="center"/>
          </w:tcPr>
          <w:p w14:paraId="6A1CE63D" w14:textId="0729D075" w:rsidR="00123872" w:rsidRPr="00966379" w:rsidRDefault="00123872" w:rsidP="00123872">
            <w:pPr>
              <w:jc w:val="center"/>
              <w:rPr>
                <w:sz w:val="22"/>
                <w:lang w:val="en-GB"/>
              </w:rPr>
            </w:pPr>
            <w:r>
              <w:rPr>
                <w:sz w:val="22"/>
                <w:lang w:val="en-GB"/>
              </w:rPr>
              <w:t>15</w:t>
            </w:r>
          </w:p>
        </w:tc>
        <w:tc>
          <w:tcPr>
            <w:tcW w:w="1460" w:type="dxa"/>
            <w:vAlign w:val="center"/>
          </w:tcPr>
          <w:p w14:paraId="71B990DE" w14:textId="4CD9FD9A" w:rsidR="00123872" w:rsidRPr="00966379" w:rsidRDefault="00123872" w:rsidP="00123872">
            <w:pPr>
              <w:jc w:val="center"/>
              <w:rPr>
                <w:sz w:val="22"/>
                <w:lang w:val="en-GB"/>
              </w:rPr>
            </w:pPr>
            <w:r>
              <w:rPr>
                <w:sz w:val="22"/>
                <w:lang w:val="en-GB"/>
              </w:rPr>
              <w:t>66</w:t>
            </w:r>
            <w:r w:rsidRPr="00966379">
              <w:rPr>
                <w:sz w:val="22"/>
                <w:lang w:val="en-GB"/>
              </w:rPr>
              <w:t xml:space="preserve"> %</w:t>
            </w:r>
          </w:p>
        </w:tc>
        <w:tc>
          <w:tcPr>
            <w:tcW w:w="1661" w:type="dxa"/>
            <w:vAlign w:val="center"/>
          </w:tcPr>
          <w:p w14:paraId="76F78543" w14:textId="504BDEB8" w:rsidR="00123872" w:rsidRPr="00966379" w:rsidRDefault="00123872" w:rsidP="00123872">
            <w:pPr>
              <w:jc w:val="center"/>
              <w:rPr>
                <w:sz w:val="22"/>
                <w:lang w:val="en-GB"/>
              </w:rPr>
            </w:pPr>
            <w:r>
              <w:rPr>
                <w:sz w:val="22"/>
                <w:lang w:val="en-GB"/>
              </w:rPr>
              <w:t>34</w:t>
            </w:r>
            <w:r w:rsidRPr="00966379">
              <w:rPr>
                <w:sz w:val="22"/>
                <w:lang w:val="en-GB"/>
              </w:rPr>
              <w:t xml:space="preserve"> %</w:t>
            </w:r>
          </w:p>
        </w:tc>
      </w:tr>
      <w:tr w:rsidR="00123872" w14:paraId="4E5EABAF" w14:textId="77777777" w:rsidTr="006D563C">
        <w:trPr>
          <w:trHeight w:val="340"/>
        </w:trPr>
        <w:tc>
          <w:tcPr>
            <w:tcW w:w="2547" w:type="dxa"/>
            <w:vAlign w:val="center"/>
          </w:tcPr>
          <w:p w14:paraId="3E9034BA" w14:textId="77777777" w:rsidR="00123872" w:rsidRPr="00966379" w:rsidRDefault="00123872" w:rsidP="00123872">
            <w:pPr>
              <w:rPr>
                <w:sz w:val="22"/>
                <w:lang w:val="en-GB"/>
              </w:rPr>
            </w:pPr>
            <w:r w:rsidRPr="00966379">
              <w:rPr>
                <w:sz w:val="22"/>
                <w:lang w:val="en-GB"/>
              </w:rPr>
              <w:t>Schizophrenia</w:t>
            </w:r>
          </w:p>
        </w:tc>
        <w:tc>
          <w:tcPr>
            <w:tcW w:w="1363" w:type="dxa"/>
            <w:vAlign w:val="center"/>
          </w:tcPr>
          <w:p w14:paraId="11E9067C" w14:textId="22B593AC" w:rsidR="00123872" w:rsidRDefault="00123872" w:rsidP="00123872">
            <w:pPr>
              <w:jc w:val="center"/>
              <w:rPr>
                <w:sz w:val="22"/>
                <w:lang w:val="en-GB"/>
              </w:rPr>
            </w:pPr>
            <w:r>
              <w:rPr>
                <w:sz w:val="22"/>
                <w:lang w:val="en-GB"/>
              </w:rPr>
              <w:t>7</w:t>
            </w:r>
          </w:p>
        </w:tc>
        <w:tc>
          <w:tcPr>
            <w:tcW w:w="1985" w:type="dxa"/>
            <w:vAlign w:val="center"/>
          </w:tcPr>
          <w:p w14:paraId="3D439372" w14:textId="3214FC20" w:rsidR="00123872" w:rsidRPr="00966379" w:rsidRDefault="00123872" w:rsidP="00123872">
            <w:pPr>
              <w:jc w:val="center"/>
              <w:rPr>
                <w:sz w:val="22"/>
                <w:lang w:val="en-GB"/>
              </w:rPr>
            </w:pPr>
            <w:r>
              <w:rPr>
                <w:sz w:val="22"/>
                <w:lang w:val="en-GB"/>
              </w:rPr>
              <w:t>21</w:t>
            </w:r>
          </w:p>
        </w:tc>
        <w:tc>
          <w:tcPr>
            <w:tcW w:w="1460" w:type="dxa"/>
            <w:vAlign w:val="center"/>
          </w:tcPr>
          <w:p w14:paraId="647C4804" w14:textId="1E8C12D0" w:rsidR="00123872" w:rsidRPr="00966379" w:rsidRDefault="00123872" w:rsidP="00123872">
            <w:pPr>
              <w:jc w:val="center"/>
              <w:rPr>
                <w:sz w:val="22"/>
                <w:lang w:val="en-GB"/>
              </w:rPr>
            </w:pPr>
            <w:r>
              <w:rPr>
                <w:sz w:val="22"/>
                <w:lang w:val="en-GB"/>
              </w:rPr>
              <w:t>45</w:t>
            </w:r>
            <w:r w:rsidRPr="00966379">
              <w:rPr>
                <w:sz w:val="22"/>
                <w:lang w:val="en-GB"/>
              </w:rPr>
              <w:t xml:space="preserve"> %</w:t>
            </w:r>
          </w:p>
        </w:tc>
        <w:tc>
          <w:tcPr>
            <w:tcW w:w="1661" w:type="dxa"/>
            <w:vAlign w:val="center"/>
          </w:tcPr>
          <w:p w14:paraId="0EE3A5DC" w14:textId="2D588ED5" w:rsidR="00123872" w:rsidRPr="00966379" w:rsidRDefault="00123872" w:rsidP="00123872">
            <w:pPr>
              <w:jc w:val="center"/>
              <w:rPr>
                <w:sz w:val="22"/>
                <w:lang w:val="en-GB"/>
              </w:rPr>
            </w:pPr>
            <w:r>
              <w:rPr>
                <w:sz w:val="22"/>
                <w:lang w:val="en-GB"/>
              </w:rPr>
              <w:t>55</w:t>
            </w:r>
            <w:r w:rsidRPr="00966379">
              <w:rPr>
                <w:sz w:val="22"/>
                <w:lang w:val="en-GB"/>
              </w:rPr>
              <w:t xml:space="preserve"> %</w:t>
            </w:r>
          </w:p>
        </w:tc>
      </w:tr>
      <w:tr w:rsidR="00123872" w14:paraId="4A9EF859" w14:textId="77777777" w:rsidTr="006D563C">
        <w:trPr>
          <w:trHeight w:val="340"/>
        </w:trPr>
        <w:tc>
          <w:tcPr>
            <w:tcW w:w="2547" w:type="dxa"/>
            <w:vAlign w:val="center"/>
          </w:tcPr>
          <w:p w14:paraId="20ED2C59" w14:textId="77777777" w:rsidR="00123872" w:rsidRPr="00966379" w:rsidRDefault="00123872" w:rsidP="00123872">
            <w:pPr>
              <w:rPr>
                <w:sz w:val="22"/>
                <w:lang w:val="en-GB"/>
              </w:rPr>
            </w:pPr>
            <w:r w:rsidRPr="00966379">
              <w:rPr>
                <w:sz w:val="22"/>
                <w:lang w:val="en-GB"/>
              </w:rPr>
              <w:t>Personality disorders</w:t>
            </w:r>
          </w:p>
        </w:tc>
        <w:tc>
          <w:tcPr>
            <w:tcW w:w="1363" w:type="dxa"/>
            <w:vAlign w:val="center"/>
          </w:tcPr>
          <w:p w14:paraId="0F4A3D0D" w14:textId="2AEEE2AF" w:rsidR="00123872" w:rsidRDefault="00123872" w:rsidP="00123872">
            <w:pPr>
              <w:jc w:val="center"/>
              <w:rPr>
                <w:sz w:val="22"/>
                <w:lang w:val="en-GB"/>
              </w:rPr>
            </w:pPr>
            <w:r w:rsidRPr="00966379">
              <w:rPr>
                <w:sz w:val="22"/>
                <w:lang w:val="en-GB"/>
              </w:rPr>
              <w:t>2</w:t>
            </w:r>
          </w:p>
        </w:tc>
        <w:tc>
          <w:tcPr>
            <w:tcW w:w="1985" w:type="dxa"/>
            <w:vAlign w:val="center"/>
          </w:tcPr>
          <w:p w14:paraId="45CB08A8" w14:textId="33940C26" w:rsidR="00123872" w:rsidRPr="00966379" w:rsidRDefault="008323C1" w:rsidP="00123872">
            <w:pPr>
              <w:jc w:val="center"/>
              <w:rPr>
                <w:sz w:val="22"/>
                <w:lang w:val="en-GB"/>
              </w:rPr>
            </w:pPr>
            <w:r>
              <w:rPr>
                <w:sz w:val="22"/>
                <w:lang w:val="en-GB"/>
              </w:rPr>
              <w:t>9</w:t>
            </w:r>
          </w:p>
        </w:tc>
        <w:tc>
          <w:tcPr>
            <w:tcW w:w="1460" w:type="dxa"/>
            <w:vAlign w:val="center"/>
          </w:tcPr>
          <w:p w14:paraId="1917E2F6" w14:textId="77777777" w:rsidR="00123872" w:rsidRPr="00966379" w:rsidRDefault="00123872" w:rsidP="00123872">
            <w:pPr>
              <w:jc w:val="center"/>
              <w:rPr>
                <w:sz w:val="22"/>
                <w:lang w:val="en-GB"/>
              </w:rPr>
            </w:pPr>
            <w:r w:rsidRPr="00966379">
              <w:rPr>
                <w:sz w:val="22"/>
                <w:lang w:val="en-GB"/>
              </w:rPr>
              <w:t>21 %</w:t>
            </w:r>
          </w:p>
        </w:tc>
        <w:tc>
          <w:tcPr>
            <w:tcW w:w="1661" w:type="dxa"/>
            <w:vAlign w:val="center"/>
          </w:tcPr>
          <w:p w14:paraId="446AA73F" w14:textId="77777777" w:rsidR="00123872" w:rsidRPr="00966379" w:rsidRDefault="00123872" w:rsidP="00123872">
            <w:pPr>
              <w:jc w:val="center"/>
              <w:rPr>
                <w:sz w:val="22"/>
                <w:lang w:val="en-GB"/>
              </w:rPr>
            </w:pPr>
            <w:r w:rsidRPr="00966379">
              <w:rPr>
                <w:sz w:val="22"/>
                <w:lang w:val="en-GB"/>
              </w:rPr>
              <w:t>79 %</w:t>
            </w:r>
          </w:p>
        </w:tc>
      </w:tr>
      <w:tr w:rsidR="00123872" w14:paraId="53612FED" w14:textId="77777777" w:rsidTr="006D563C">
        <w:trPr>
          <w:trHeight w:val="340"/>
        </w:trPr>
        <w:tc>
          <w:tcPr>
            <w:tcW w:w="2547" w:type="dxa"/>
            <w:vAlign w:val="center"/>
          </w:tcPr>
          <w:p w14:paraId="4FAA4DB7" w14:textId="77777777" w:rsidR="00123872" w:rsidRPr="00966379" w:rsidRDefault="00123872" w:rsidP="00123872">
            <w:pPr>
              <w:rPr>
                <w:sz w:val="22"/>
                <w:lang w:val="en-GB"/>
              </w:rPr>
            </w:pPr>
            <w:r w:rsidRPr="00966379">
              <w:rPr>
                <w:sz w:val="22"/>
                <w:lang w:val="en-GB"/>
              </w:rPr>
              <w:t>Neurotic disorders</w:t>
            </w:r>
          </w:p>
        </w:tc>
        <w:tc>
          <w:tcPr>
            <w:tcW w:w="1363" w:type="dxa"/>
            <w:vAlign w:val="center"/>
          </w:tcPr>
          <w:p w14:paraId="40945104" w14:textId="297B2C11" w:rsidR="00123872" w:rsidRDefault="00123872" w:rsidP="00123872">
            <w:pPr>
              <w:jc w:val="center"/>
              <w:rPr>
                <w:sz w:val="22"/>
                <w:lang w:val="en-GB"/>
              </w:rPr>
            </w:pPr>
            <w:r>
              <w:rPr>
                <w:sz w:val="22"/>
                <w:lang w:val="en-GB"/>
              </w:rPr>
              <w:t>5</w:t>
            </w:r>
          </w:p>
        </w:tc>
        <w:tc>
          <w:tcPr>
            <w:tcW w:w="1985" w:type="dxa"/>
            <w:vAlign w:val="center"/>
          </w:tcPr>
          <w:p w14:paraId="53744816" w14:textId="6F2F7F11" w:rsidR="00123872" w:rsidRPr="00966379" w:rsidRDefault="008323C1" w:rsidP="00123872">
            <w:pPr>
              <w:jc w:val="center"/>
              <w:rPr>
                <w:sz w:val="22"/>
                <w:lang w:val="en-GB"/>
              </w:rPr>
            </w:pPr>
            <w:r>
              <w:rPr>
                <w:sz w:val="22"/>
                <w:lang w:val="en-GB"/>
              </w:rPr>
              <w:t>30</w:t>
            </w:r>
          </w:p>
        </w:tc>
        <w:tc>
          <w:tcPr>
            <w:tcW w:w="1460" w:type="dxa"/>
            <w:vAlign w:val="center"/>
          </w:tcPr>
          <w:p w14:paraId="2EFE4F55" w14:textId="177100E7" w:rsidR="00123872" w:rsidRPr="00966379" w:rsidRDefault="00123872" w:rsidP="00123872">
            <w:pPr>
              <w:jc w:val="center"/>
              <w:rPr>
                <w:sz w:val="22"/>
                <w:lang w:val="en-GB"/>
              </w:rPr>
            </w:pPr>
            <w:r>
              <w:rPr>
                <w:sz w:val="22"/>
                <w:lang w:val="en-GB"/>
              </w:rPr>
              <w:t>58</w:t>
            </w:r>
            <w:r w:rsidRPr="00966379">
              <w:rPr>
                <w:sz w:val="22"/>
                <w:lang w:val="en-GB"/>
              </w:rPr>
              <w:t xml:space="preserve"> %</w:t>
            </w:r>
          </w:p>
        </w:tc>
        <w:tc>
          <w:tcPr>
            <w:tcW w:w="1661" w:type="dxa"/>
            <w:vAlign w:val="center"/>
          </w:tcPr>
          <w:p w14:paraId="6D363376" w14:textId="413341B4" w:rsidR="00123872" w:rsidRPr="00966379" w:rsidRDefault="00123872" w:rsidP="00123872">
            <w:pPr>
              <w:jc w:val="center"/>
              <w:rPr>
                <w:sz w:val="22"/>
                <w:lang w:val="en-GB"/>
              </w:rPr>
            </w:pPr>
            <w:r>
              <w:rPr>
                <w:sz w:val="22"/>
                <w:lang w:val="en-GB"/>
              </w:rPr>
              <w:t>42</w:t>
            </w:r>
            <w:r w:rsidRPr="00966379">
              <w:rPr>
                <w:sz w:val="22"/>
                <w:lang w:val="en-GB"/>
              </w:rPr>
              <w:t xml:space="preserve"> %</w:t>
            </w:r>
          </w:p>
        </w:tc>
      </w:tr>
      <w:tr w:rsidR="00123872" w14:paraId="1A2E8495" w14:textId="77777777" w:rsidTr="006D563C">
        <w:trPr>
          <w:trHeight w:val="340"/>
        </w:trPr>
        <w:tc>
          <w:tcPr>
            <w:tcW w:w="2547" w:type="dxa"/>
            <w:vAlign w:val="center"/>
          </w:tcPr>
          <w:p w14:paraId="52786CE4" w14:textId="77777777" w:rsidR="00123872" w:rsidRPr="00966379" w:rsidRDefault="00123872" w:rsidP="00123872">
            <w:pPr>
              <w:rPr>
                <w:sz w:val="22"/>
                <w:lang w:val="en-GB"/>
              </w:rPr>
            </w:pPr>
            <w:r w:rsidRPr="00966379">
              <w:rPr>
                <w:sz w:val="22"/>
                <w:lang w:val="en-GB"/>
              </w:rPr>
              <w:t>Mood disorders</w:t>
            </w:r>
          </w:p>
        </w:tc>
        <w:tc>
          <w:tcPr>
            <w:tcW w:w="1363" w:type="dxa"/>
            <w:vAlign w:val="center"/>
          </w:tcPr>
          <w:p w14:paraId="62CFF441" w14:textId="75564F81" w:rsidR="00123872" w:rsidRDefault="00123872" w:rsidP="00123872">
            <w:pPr>
              <w:jc w:val="center"/>
              <w:rPr>
                <w:sz w:val="22"/>
                <w:lang w:val="en-GB"/>
              </w:rPr>
            </w:pPr>
            <w:r>
              <w:rPr>
                <w:sz w:val="22"/>
                <w:lang w:val="en-GB"/>
              </w:rPr>
              <w:t>6</w:t>
            </w:r>
          </w:p>
        </w:tc>
        <w:tc>
          <w:tcPr>
            <w:tcW w:w="1985" w:type="dxa"/>
            <w:vAlign w:val="center"/>
          </w:tcPr>
          <w:p w14:paraId="70F63FD7" w14:textId="755326A2" w:rsidR="00123872" w:rsidRPr="00966379" w:rsidRDefault="008323C1" w:rsidP="00123872">
            <w:pPr>
              <w:jc w:val="center"/>
              <w:rPr>
                <w:sz w:val="22"/>
                <w:lang w:val="en-GB"/>
              </w:rPr>
            </w:pPr>
            <w:r>
              <w:rPr>
                <w:sz w:val="22"/>
                <w:lang w:val="en-GB"/>
              </w:rPr>
              <w:t>21</w:t>
            </w:r>
          </w:p>
        </w:tc>
        <w:tc>
          <w:tcPr>
            <w:tcW w:w="1460" w:type="dxa"/>
            <w:vAlign w:val="center"/>
          </w:tcPr>
          <w:p w14:paraId="31FC1337" w14:textId="10FB4F85" w:rsidR="00123872" w:rsidRPr="00966379" w:rsidRDefault="00123872" w:rsidP="00123872">
            <w:pPr>
              <w:jc w:val="center"/>
              <w:rPr>
                <w:sz w:val="22"/>
                <w:lang w:val="en-GB"/>
              </w:rPr>
            </w:pPr>
            <w:r>
              <w:rPr>
                <w:sz w:val="22"/>
                <w:lang w:val="en-GB"/>
              </w:rPr>
              <w:t>47</w:t>
            </w:r>
            <w:r w:rsidRPr="00966379">
              <w:rPr>
                <w:sz w:val="22"/>
                <w:lang w:val="en-GB"/>
              </w:rPr>
              <w:t xml:space="preserve"> %</w:t>
            </w:r>
          </w:p>
        </w:tc>
        <w:tc>
          <w:tcPr>
            <w:tcW w:w="1661" w:type="dxa"/>
            <w:vAlign w:val="center"/>
          </w:tcPr>
          <w:p w14:paraId="2E7A056A" w14:textId="2A76F307" w:rsidR="00123872" w:rsidRPr="00966379" w:rsidRDefault="00123872" w:rsidP="00123872">
            <w:pPr>
              <w:jc w:val="center"/>
              <w:rPr>
                <w:sz w:val="22"/>
                <w:lang w:val="en-GB"/>
              </w:rPr>
            </w:pPr>
            <w:r>
              <w:rPr>
                <w:sz w:val="22"/>
                <w:lang w:val="en-GB"/>
              </w:rPr>
              <w:t>53</w:t>
            </w:r>
            <w:r w:rsidRPr="00966379">
              <w:rPr>
                <w:sz w:val="22"/>
                <w:lang w:val="en-GB"/>
              </w:rPr>
              <w:t xml:space="preserve"> %</w:t>
            </w:r>
          </w:p>
        </w:tc>
      </w:tr>
      <w:tr w:rsidR="00123872" w14:paraId="5F039858" w14:textId="77777777" w:rsidTr="006D563C">
        <w:trPr>
          <w:trHeight w:val="340"/>
        </w:trPr>
        <w:tc>
          <w:tcPr>
            <w:tcW w:w="2547" w:type="dxa"/>
            <w:vAlign w:val="center"/>
          </w:tcPr>
          <w:p w14:paraId="05A11024" w14:textId="77777777" w:rsidR="00123872" w:rsidRPr="00966379" w:rsidRDefault="00123872" w:rsidP="00123872">
            <w:pPr>
              <w:rPr>
                <w:sz w:val="22"/>
                <w:lang w:val="en-GB"/>
              </w:rPr>
            </w:pPr>
            <w:r w:rsidRPr="00966379">
              <w:rPr>
                <w:sz w:val="22"/>
                <w:lang w:val="en-GB"/>
              </w:rPr>
              <w:t>Eating disorders</w:t>
            </w:r>
          </w:p>
        </w:tc>
        <w:tc>
          <w:tcPr>
            <w:tcW w:w="1363" w:type="dxa"/>
            <w:vAlign w:val="center"/>
          </w:tcPr>
          <w:p w14:paraId="1F7F04F1" w14:textId="0B350512" w:rsidR="00123872" w:rsidRDefault="00123872" w:rsidP="00123872">
            <w:pPr>
              <w:jc w:val="center"/>
              <w:rPr>
                <w:sz w:val="22"/>
                <w:lang w:val="en-GB"/>
              </w:rPr>
            </w:pPr>
            <w:r w:rsidRPr="00966379">
              <w:rPr>
                <w:sz w:val="22"/>
                <w:lang w:val="en-GB"/>
              </w:rPr>
              <w:t>2</w:t>
            </w:r>
          </w:p>
        </w:tc>
        <w:tc>
          <w:tcPr>
            <w:tcW w:w="1985" w:type="dxa"/>
            <w:vAlign w:val="center"/>
          </w:tcPr>
          <w:p w14:paraId="0EF4D78C" w14:textId="2BD09D13" w:rsidR="00123872" w:rsidRPr="00966379" w:rsidRDefault="00123872" w:rsidP="00123872">
            <w:pPr>
              <w:jc w:val="center"/>
              <w:rPr>
                <w:sz w:val="22"/>
                <w:lang w:val="en-GB"/>
              </w:rPr>
            </w:pPr>
            <w:r>
              <w:rPr>
                <w:sz w:val="22"/>
                <w:lang w:val="en-GB"/>
              </w:rPr>
              <w:t>9</w:t>
            </w:r>
          </w:p>
        </w:tc>
        <w:tc>
          <w:tcPr>
            <w:tcW w:w="1460" w:type="dxa"/>
            <w:vAlign w:val="center"/>
          </w:tcPr>
          <w:p w14:paraId="61FDDE9D" w14:textId="77777777" w:rsidR="00123872" w:rsidRPr="00966379" w:rsidRDefault="00123872" w:rsidP="00123872">
            <w:pPr>
              <w:jc w:val="center"/>
              <w:rPr>
                <w:sz w:val="22"/>
                <w:lang w:val="en-GB"/>
              </w:rPr>
            </w:pPr>
            <w:r w:rsidRPr="00966379">
              <w:rPr>
                <w:sz w:val="22"/>
                <w:lang w:val="en-GB"/>
              </w:rPr>
              <w:t>74 %</w:t>
            </w:r>
          </w:p>
        </w:tc>
        <w:tc>
          <w:tcPr>
            <w:tcW w:w="1661" w:type="dxa"/>
            <w:vAlign w:val="center"/>
          </w:tcPr>
          <w:p w14:paraId="6352152F" w14:textId="2FA5D24E" w:rsidR="00123872" w:rsidRPr="00966379" w:rsidRDefault="00123872" w:rsidP="00123872">
            <w:pPr>
              <w:jc w:val="center"/>
              <w:rPr>
                <w:sz w:val="22"/>
                <w:lang w:val="en-GB"/>
              </w:rPr>
            </w:pPr>
            <w:r w:rsidRPr="00966379">
              <w:rPr>
                <w:sz w:val="22"/>
                <w:lang w:val="en-GB"/>
              </w:rPr>
              <w:t>26 %</w:t>
            </w:r>
          </w:p>
        </w:tc>
      </w:tr>
    </w:tbl>
    <w:p w14:paraId="436AFA82" w14:textId="670122B8" w:rsidR="006D563C" w:rsidRPr="000931C6" w:rsidRDefault="006D563C" w:rsidP="006D563C">
      <w:pPr>
        <w:spacing w:after="0"/>
        <w:rPr>
          <w:sz w:val="18"/>
          <w:lang w:val="en-GB"/>
        </w:rPr>
      </w:pPr>
      <w:r>
        <w:rPr>
          <w:sz w:val="18"/>
          <w:lang w:val="en-GB"/>
        </w:rPr>
        <w:t>Notes:</w:t>
      </w:r>
      <w:r>
        <w:rPr>
          <w:sz w:val="18"/>
          <w:lang w:val="en-GB"/>
        </w:rPr>
        <w:br/>
        <w:t xml:space="preserve">* </w:t>
      </w:r>
      <w:r w:rsidRPr="000931C6">
        <w:rPr>
          <w:sz w:val="18"/>
          <w:lang w:val="en-GB"/>
        </w:rPr>
        <w:t xml:space="preserve">Some studies reported estimates for more than one disorder group. </w:t>
      </w:r>
    </w:p>
    <w:p w14:paraId="27F853DE" w14:textId="1B76443B" w:rsidR="00C24BCA" w:rsidRPr="000931C6" w:rsidRDefault="00C24BCA" w:rsidP="00C24BCA">
      <w:pPr>
        <w:rPr>
          <w:sz w:val="18"/>
          <w:lang w:val="en-GB"/>
        </w:rPr>
      </w:pPr>
      <w:r w:rsidRPr="000931C6">
        <w:rPr>
          <w:sz w:val="18"/>
          <w:lang w:val="en-GB"/>
        </w:rPr>
        <w:t>*</w:t>
      </w:r>
      <w:r w:rsidR="006D563C">
        <w:rPr>
          <w:sz w:val="18"/>
          <w:lang w:val="en-GB"/>
        </w:rPr>
        <w:t xml:space="preserve">* </w:t>
      </w:r>
      <w:r w:rsidRPr="000931C6">
        <w:rPr>
          <w:sz w:val="18"/>
          <w:lang w:val="en-GB"/>
        </w:rPr>
        <w:t xml:space="preserve">Some studies reported estimates for more than one </w:t>
      </w:r>
      <w:r w:rsidR="00123872">
        <w:rPr>
          <w:sz w:val="18"/>
          <w:lang w:val="en-GB"/>
        </w:rPr>
        <w:t>country</w:t>
      </w:r>
      <w:r w:rsidRPr="000931C6">
        <w:rPr>
          <w:sz w:val="18"/>
          <w:lang w:val="en-GB"/>
        </w:rPr>
        <w:t xml:space="preserve">. </w:t>
      </w:r>
    </w:p>
    <w:p w14:paraId="5AA201ED" w14:textId="77777777" w:rsidR="00C24BCA" w:rsidRDefault="00C24BCA">
      <w:pPr>
        <w:rPr>
          <w:b/>
          <w:sz w:val="28"/>
          <w:szCs w:val="32"/>
          <w:lang w:val="en-GB"/>
        </w:rPr>
      </w:pPr>
      <w:r>
        <w:rPr>
          <w:lang w:val="en-GB"/>
        </w:rPr>
        <w:br w:type="page"/>
      </w:r>
      <w:bookmarkStart w:id="17" w:name="_GoBack"/>
      <w:bookmarkEnd w:id="17"/>
    </w:p>
    <w:p w14:paraId="1C074344" w14:textId="6D446304" w:rsidR="00B97908" w:rsidRPr="00CF310E" w:rsidRDefault="00C24BCA" w:rsidP="00B97908">
      <w:pPr>
        <w:pStyle w:val="Heading2"/>
        <w:ind w:left="0"/>
        <w:rPr>
          <w:rFonts w:eastAsiaTheme="minorHAnsi"/>
          <w:lang w:val="en-GB"/>
        </w:rPr>
      </w:pPr>
      <w:bookmarkStart w:id="18" w:name="_Toc38626185"/>
      <w:r w:rsidRPr="00CF310E">
        <w:rPr>
          <w:rFonts w:eastAsiaTheme="minorHAnsi"/>
          <w:lang w:val="en-GB"/>
        </w:rPr>
        <w:lastRenderedPageBreak/>
        <w:t xml:space="preserve">eTable </w:t>
      </w:r>
      <w:r w:rsidR="002B6D16" w:rsidRPr="00CF310E">
        <w:rPr>
          <w:rFonts w:eastAsiaTheme="minorHAnsi"/>
          <w:lang w:val="en-GB"/>
        </w:rPr>
        <w:t>6</w:t>
      </w:r>
      <w:r w:rsidR="00B97908" w:rsidRPr="00CF310E">
        <w:rPr>
          <w:rFonts w:eastAsiaTheme="minorHAnsi"/>
          <w:lang w:val="en-GB"/>
        </w:rPr>
        <w:t>: Without two multi-site studies</w:t>
      </w:r>
      <w:bookmarkEnd w:id="15"/>
      <w:bookmarkEnd w:id="18"/>
    </w:p>
    <w:p w14:paraId="5DAC3F00" w14:textId="089ADE48" w:rsidR="00B97908" w:rsidRDefault="00B97908" w:rsidP="00B97908">
      <w:pPr>
        <w:pStyle w:val="NoSpacing"/>
        <w:rPr>
          <w:lang w:val="en-GB"/>
        </w:rPr>
      </w:pPr>
      <w:r w:rsidRPr="00B97908">
        <w:rPr>
          <w:lang w:val="en-GB"/>
        </w:rPr>
        <w:t xml:space="preserve">The univariate statistics were </w:t>
      </w:r>
      <w:r w:rsidR="00D72C99">
        <w:rPr>
          <w:lang w:val="en-GB"/>
        </w:rPr>
        <w:t>calculated for the societal</w:t>
      </w:r>
      <w:r w:rsidRPr="00B97908">
        <w:rPr>
          <w:lang w:val="en-GB"/>
        </w:rPr>
        <w:t xml:space="preserve"> cost per patient without the two multi-site studies, </w:t>
      </w:r>
      <w:r w:rsidR="007078B2">
        <w:rPr>
          <w:lang w:val="en-GB"/>
        </w:rPr>
        <w:t xml:space="preserve">Andlin-Sobocki </w:t>
      </w:r>
      <w:r w:rsidR="00E73031" w:rsidRPr="00E73031">
        <w:rPr>
          <w:i/>
          <w:lang w:val="en-GB"/>
        </w:rPr>
        <w:t xml:space="preserve">et al., </w:t>
      </w:r>
      <w:r w:rsidR="007078B2">
        <w:rPr>
          <w:lang w:val="en-GB"/>
        </w:rPr>
        <w:t>2005)</w:t>
      </w:r>
      <w:r w:rsidRPr="00B97908">
        <w:rPr>
          <w:lang w:val="en-GB"/>
        </w:rPr>
        <w:t xml:space="preserve"> </w:t>
      </w:r>
      <w:r w:rsidR="007078B2">
        <w:rPr>
          <w:lang w:val="en-GB"/>
        </w:rPr>
        <w:t xml:space="preserve">and </w:t>
      </w:r>
      <w:r w:rsidR="007078B2" w:rsidRPr="007078B2">
        <w:rPr>
          <w:lang w:val="en-GB"/>
        </w:rPr>
        <w:t xml:space="preserve">Gustavsson </w:t>
      </w:r>
      <w:r w:rsidR="00E73031" w:rsidRPr="00E73031">
        <w:rPr>
          <w:i/>
          <w:lang w:val="en-GB"/>
        </w:rPr>
        <w:t xml:space="preserve">et al., </w:t>
      </w:r>
      <w:r w:rsidR="007078B2" w:rsidRPr="007078B2">
        <w:rPr>
          <w:lang w:val="en-GB"/>
        </w:rPr>
        <w:t xml:space="preserve">2011) </w:t>
      </w:r>
      <w:r w:rsidRPr="00B97908">
        <w:rPr>
          <w:lang w:val="en-GB"/>
        </w:rPr>
        <w:t>to investigate their influence on the results.</w:t>
      </w:r>
    </w:p>
    <w:p w14:paraId="2FBD42C2" w14:textId="77777777" w:rsidR="009537FD" w:rsidRPr="00B97908" w:rsidRDefault="009537FD" w:rsidP="00B97908">
      <w:pPr>
        <w:pStyle w:val="NoSpacing"/>
        <w:rPr>
          <w:lang w:val="en-GB"/>
        </w:rPr>
      </w:pPr>
    </w:p>
    <w:tbl>
      <w:tblPr>
        <w:tblW w:w="11295" w:type="dxa"/>
        <w:tblInd w:w="-1230" w:type="dxa"/>
        <w:tblLayout w:type="fixed"/>
        <w:tblLook w:val="04A0" w:firstRow="1" w:lastRow="0" w:firstColumn="1" w:lastColumn="0" w:noHBand="0" w:noVBand="1"/>
      </w:tblPr>
      <w:tblGrid>
        <w:gridCol w:w="3007"/>
        <w:gridCol w:w="571"/>
        <w:gridCol w:w="1391"/>
        <w:gridCol w:w="1536"/>
        <w:gridCol w:w="1118"/>
        <w:gridCol w:w="1284"/>
        <w:gridCol w:w="1125"/>
        <w:gridCol w:w="1263"/>
      </w:tblGrid>
      <w:tr w:rsidR="00B97908" w:rsidRPr="00123872" w14:paraId="0F19126B" w14:textId="77777777" w:rsidTr="007A2057">
        <w:trPr>
          <w:trHeight w:val="397"/>
        </w:trPr>
        <w:tc>
          <w:tcPr>
            <w:tcW w:w="11295" w:type="dxa"/>
            <w:gridSpan w:val="8"/>
            <w:tcBorders>
              <w:top w:val="single" w:sz="4" w:space="0" w:color="auto"/>
              <w:left w:val="single" w:sz="4" w:space="0" w:color="auto"/>
              <w:bottom w:val="single" w:sz="4" w:space="0" w:color="000000" w:themeColor="text1"/>
              <w:right w:val="single" w:sz="4" w:space="0" w:color="auto"/>
            </w:tcBorders>
            <w:shd w:val="clear" w:color="auto" w:fill="1F4E79" w:themeFill="accent1" w:themeFillShade="80"/>
            <w:vAlign w:val="center"/>
          </w:tcPr>
          <w:p w14:paraId="33F9BECA" w14:textId="77777777" w:rsidR="00B97908" w:rsidRPr="00D72C99" w:rsidRDefault="00B97908" w:rsidP="00B97908">
            <w:pPr>
              <w:spacing w:after="0"/>
              <w:jc w:val="center"/>
              <w:rPr>
                <w:b/>
                <w:lang w:val="en-GB"/>
              </w:rPr>
            </w:pPr>
            <w:r w:rsidRPr="00D72C99">
              <w:rPr>
                <w:b/>
                <w:color w:val="FFFFFF" w:themeColor="background1"/>
                <w:lang w:val="en-GB"/>
              </w:rPr>
              <w:t>Societal cost per patient (USD PPP 2018)</w:t>
            </w:r>
          </w:p>
        </w:tc>
      </w:tr>
      <w:tr w:rsidR="00B97908" w:rsidRPr="000C32F5" w14:paraId="0830DE2F" w14:textId="77777777" w:rsidTr="007A2057">
        <w:trPr>
          <w:trHeight w:val="397"/>
        </w:trPr>
        <w:tc>
          <w:tcPr>
            <w:tcW w:w="3007" w:type="dxa"/>
            <w:tcBorders>
              <w:left w:val="single" w:sz="4" w:space="0" w:color="auto"/>
              <w:bottom w:val="single" w:sz="4" w:space="0" w:color="auto"/>
              <w:right w:val="nil"/>
            </w:tcBorders>
            <w:shd w:val="clear" w:color="auto" w:fill="9CC2E5" w:themeFill="accent1" w:themeFillTint="99"/>
            <w:vAlign w:val="center"/>
          </w:tcPr>
          <w:p w14:paraId="4FE44DD7" w14:textId="77777777" w:rsidR="00B97908" w:rsidRPr="00B97908" w:rsidRDefault="00B97908" w:rsidP="00D72C99">
            <w:pPr>
              <w:pStyle w:val="NoSpacing"/>
              <w:spacing w:after="0"/>
              <w:rPr>
                <w:lang w:val="en-GB"/>
              </w:rPr>
            </w:pPr>
            <w:r w:rsidRPr="00B97908">
              <w:rPr>
                <w:lang w:val="en-GB"/>
              </w:rPr>
              <w:t>Disorder group</w:t>
            </w:r>
          </w:p>
        </w:tc>
        <w:tc>
          <w:tcPr>
            <w:tcW w:w="571" w:type="dxa"/>
            <w:tcBorders>
              <w:left w:val="nil"/>
              <w:bottom w:val="single" w:sz="4" w:space="0" w:color="auto"/>
              <w:right w:val="nil"/>
            </w:tcBorders>
            <w:shd w:val="clear" w:color="auto" w:fill="9CC2E5" w:themeFill="accent1" w:themeFillTint="99"/>
            <w:vAlign w:val="center"/>
          </w:tcPr>
          <w:p w14:paraId="048B0913" w14:textId="77777777" w:rsidR="00B97908" w:rsidRPr="00B97908" w:rsidRDefault="00B97908" w:rsidP="006A3CA8">
            <w:pPr>
              <w:pStyle w:val="NoSpacing"/>
              <w:spacing w:after="0"/>
              <w:jc w:val="center"/>
              <w:rPr>
                <w:lang w:val="en-GB"/>
              </w:rPr>
            </w:pPr>
            <w:r w:rsidRPr="00B97908">
              <w:rPr>
                <w:lang w:val="en-GB"/>
              </w:rPr>
              <w:t>N</w:t>
            </w:r>
          </w:p>
        </w:tc>
        <w:tc>
          <w:tcPr>
            <w:tcW w:w="1391" w:type="dxa"/>
            <w:tcBorders>
              <w:left w:val="nil"/>
              <w:bottom w:val="single" w:sz="4" w:space="0" w:color="auto"/>
              <w:right w:val="nil"/>
            </w:tcBorders>
            <w:shd w:val="clear" w:color="auto" w:fill="9CC2E5" w:themeFill="accent1" w:themeFillTint="99"/>
            <w:vAlign w:val="center"/>
          </w:tcPr>
          <w:p w14:paraId="64E7DAD1" w14:textId="77777777" w:rsidR="00B97908" w:rsidRPr="00B97908" w:rsidRDefault="00B97908" w:rsidP="00D72C99">
            <w:pPr>
              <w:pStyle w:val="NoSpacing"/>
              <w:spacing w:after="0"/>
              <w:jc w:val="right"/>
              <w:rPr>
                <w:lang w:val="en-GB"/>
              </w:rPr>
            </w:pPr>
            <w:r w:rsidRPr="00B97908">
              <w:rPr>
                <w:lang w:val="en-GB"/>
              </w:rPr>
              <w:t>Median</w:t>
            </w:r>
          </w:p>
        </w:tc>
        <w:tc>
          <w:tcPr>
            <w:tcW w:w="1536" w:type="dxa"/>
            <w:tcBorders>
              <w:left w:val="nil"/>
              <w:bottom w:val="single" w:sz="4" w:space="0" w:color="auto"/>
              <w:right w:val="nil"/>
            </w:tcBorders>
            <w:shd w:val="clear" w:color="auto" w:fill="9CC2E5" w:themeFill="accent1" w:themeFillTint="99"/>
            <w:vAlign w:val="center"/>
          </w:tcPr>
          <w:p w14:paraId="2DC2779E" w14:textId="77777777" w:rsidR="00B97908" w:rsidRPr="00B97908" w:rsidRDefault="00B97908" w:rsidP="00D72C99">
            <w:pPr>
              <w:pStyle w:val="NoSpacing"/>
              <w:spacing w:after="0"/>
              <w:jc w:val="right"/>
              <w:rPr>
                <w:lang w:val="en-GB"/>
              </w:rPr>
            </w:pPr>
            <w:r w:rsidRPr="00B97908">
              <w:rPr>
                <w:lang w:val="en-GB"/>
              </w:rPr>
              <w:t>Mean</w:t>
            </w:r>
          </w:p>
        </w:tc>
        <w:tc>
          <w:tcPr>
            <w:tcW w:w="1118" w:type="dxa"/>
            <w:tcBorders>
              <w:left w:val="nil"/>
              <w:bottom w:val="single" w:sz="4" w:space="0" w:color="auto"/>
              <w:right w:val="nil"/>
            </w:tcBorders>
            <w:shd w:val="clear" w:color="auto" w:fill="9CC2E5" w:themeFill="accent1" w:themeFillTint="99"/>
            <w:vAlign w:val="center"/>
          </w:tcPr>
          <w:p w14:paraId="1873AD43" w14:textId="77777777" w:rsidR="00B97908" w:rsidRPr="00B97908" w:rsidRDefault="00B97908" w:rsidP="00D72C99">
            <w:pPr>
              <w:pStyle w:val="NoSpacing"/>
              <w:spacing w:after="0"/>
              <w:jc w:val="right"/>
              <w:rPr>
                <w:lang w:val="en-GB"/>
              </w:rPr>
            </w:pPr>
            <w:r w:rsidRPr="00B97908">
              <w:rPr>
                <w:lang w:val="en-GB"/>
              </w:rPr>
              <w:t>Min.</w:t>
            </w:r>
          </w:p>
        </w:tc>
        <w:tc>
          <w:tcPr>
            <w:tcW w:w="1284" w:type="dxa"/>
            <w:tcBorders>
              <w:left w:val="nil"/>
              <w:bottom w:val="single" w:sz="4" w:space="0" w:color="auto"/>
              <w:right w:val="nil"/>
            </w:tcBorders>
            <w:shd w:val="clear" w:color="auto" w:fill="9CC2E5" w:themeFill="accent1" w:themeFillTint="99"/>
            <w:vAlign w:val="center"/>
          </w:tcPr>
          <w:p w14:paraId="28CA940C" w14:textId="77777777" w:rsidR="00B97908" w:rsidRPr="00B97908" w:rsidRDefault="00B97908" w:rsidP="00D72C99">
            <w:pPr>
              <w:pStyle w:val="NoSpacing"/>
              <w:spacing w:after="0"/>
              <w:jc w:val="right"/>
              <w:rPr>
                <w:lang w:val="en-GB"/>
              </w:rPr>
            </w:pPr>
            <w:r w:rsidRPr="00B97908">
              <w:rPr>
                <w:lang w:val="en-GB"/>
              </w:rPr>
              <w:t>Max.</w:t>
            </w:r>
          </w:p>
        </w:tc>
        <w:tc>
          <w:tcPr>
            <w:tcW w:w="1125" w:type="dxa"/>
            <w:tcBorders>
              <w:left w:val="nil"/>
              <w:bottom w:val="single" w:sz="4" w:space="0" w:color="auto"/>
              <w:right w:val="nil"/>
            </w:tcBorders>
            <w:shd w:val="clear" w:color="auto" w:fill="9CC2E5" w:themeFill="accent1" w:themeFillTint="99"/>
            <w:vAlign w:val="center"/>
          </w:tcPr>
          <w:p w14:paraId="7E9E4661" w14:textId="77777777" w:rsidR="00B97908" w:rsidRPr="00B97908" w:rsidRDefault="00B97908" w:rsidP="00D72C99">
            <w:pPr>
              <w:pStyle w:val="NoSpacing"/>
              <w:spacing w:after="0"/>
              <w:jc w:val="right"/>
              <w:rPr>
                <w:lang w:val="en-GB"/>
              </w:rPr>
            </w:pPr>
            <w:r w:rsidRPr="00B97908">
              <w:rPr>
                <w:lang w:val="en-GB"/>
              </w:rPr>
              <w:t>1st Qu.</w:t>
            </w:r>
          </w:p>
        </w:tc>
        <w:tc>
          <w:tcPr>
            <w:tcW w:w="1263" w:type="dxa"/>
            <w:tcBorders>
              <w:left w:val="nil"/>
              <w:bottom w:val="single" w:sz="4" w:space="0" w:color="auto"/>
              <w:right w:val="single" w:sz="4" w:space="0" w:color="auto"/>
            </w:tcBorders>
            <w:shd w:val="clear" w:color="auto" w:fill="9CC2E5" w:themeFill="accent1" w:themeFillTint="99"/>
            <w:vAlign w:val="center"/>
          </w:tcPr>
          <w:p w14:paraId="18FEF605" w14:textId="77777777" w:rsidR="00B97908" w:rsidRPr="00B97908" w:rsidRDefault="00B97908" w:rsidP="00D72C99">
            <w:pPr>
              <w:pStyle w:val="NoSpacing"/>
              <w:spacing w:after="0"/>
              <w:jc w:val="right"/>
              <w:rPr>
                <w:lang w:val="en-GB"/>
              </w:rPr>
            </w:pPr>
            <w:r w:rsidRPr="00B97908">
              <w:rPr>
                <w:lang w:val="en-GB"/>
              </w:rPr>
              <w:t>3rd Qu.</w:t>
            </w:r>
          </w:p>
        </w:tc>
      </w:tr>
      <w:tr w:rsidR="007A7385" w:rsidRPr="00B97908" w14:paraId="6B5F7011" w14:textId="77777777" w:rsidTr="007A2057">
        <w:trPr>
          <w:trHeight w:val="397"/>
        </w:trPr>
        <w:tc>
          <w:tcPr>
            <w:tcW w:w="3007" w:type="dxa"/>
            <w:tcBorders>
              <w:top w:val="single" w:sz="4" w:space="0" w:color="auto"/>
              <w:left w:val="single" w:sz="4" w:space="0" w:color="auto"/>
              <w:bottom w:val="single" w:sz="4" w:space="0" w:color="auto"/>
              <w:right w:val="nil"/>
            </w:tcBorders>
            <w:vAlign w:val="center"/>
          </w:tcPr>
          <w:p w14:paraId="55C865AC" w14:textId="65AC9E6A" w:rsidR="007A7385" w:rsidRPr="00B97908" w:rsidRDefault="007A7385" w:rsidP="007A7385">
            <w:pPr>
              <w:pStyle w:val="NoSpacing"/>
              <w:spacing w:after="0"/>
              <w:rPr>
                <w:lang w:val="en-GB"/>
              </w:rPr>
            </w:pPr>
            <w:r w:rsidRPr="00B97908">
              <w:rPr>
                <w:lang w:val="en-GB"/>
              </w:rPr>
              <w:t>Substance use</w:t>
            </w:r>
          </w:p>
        </w:tc>
        <w:tc>
          <w:tcPr>
            <w:tcW w:w="571" w:type="dxa"/>
            <w:tcBorders>
              <w:top w:val="single" w:sz="4" w:space="0" w:color="auto"/>
              <w:left w:val="nil"/>
              <w:bottom w:val="single" w:sz="4" w:space="0" w:color="auto"/>
              <w:right w:val="nil"/>
            </w:tcBorders>
            <w:vAlign w:val="center"/>
          </w:tcPr>
          <w:p w14:paraId="03F164F5" w14:textId="418A5099" w:rsidR="007A7385" w:rsidRPr="00B97908" w:rsidRDefault="007A7385" w:rsidP="007A7385">
            <w:pPr>
              <w:pStyle w:val="NoSpacing"/>
              <w:spacing w:after="0"/>
              <w:jc w:val="center"/>
              <w:rPr>
                <w:lang w:val="en-GB"/>
              </w:rPr>
            </w:pPr>
            <w:r>
              <w:rPr>
                <w:lang w:val="en-GB"/>
              </w:rPr>
              <w:t>7</w:t>
            </w:r>
          </w:p>
        </w:tc>
        <w:tc>
          <w:tcPr>
            <w:tcW w:w="1391" w:type="dxa"/>
            <w:tcBorders>
              <w:top w:val="single" w:sz="4" w:space="0" w:color="auto"/>
              <w:left w:val="nil"/>
              <w:bottom w:val="single" w:sz="4" w:space="0" w:color="auto"/>
              <w:right w:val="nil"/>
            </w:tcBorders>
            <w:vAlign w:val="center"/>
          </w:tcPr>
          <w:p w14:paraId="5EBACCF0" w14:textId="7242CDD4" w:rsidR="007A7385" w:rsidRPr="00B97908" w:rsidRDefault="007A7385" w:rsidP="007A7385">
            <w:pPr>
              <w:pStyle w:val="NoSpacing"/>
              <w:spacing w:after="0"/>
              <w:jc w:val="right"/>
              <w:rPr>
                <w:lang w:val="en-GB"/>
              </w:rPr>
            </w:pPr>
            <w:r w:rsidRPr="00455BE9">
              <w:rPr>
                <w:lang w:val="en-GB"/>
              </w:rPr>
              <w:t>3</w:t>
            </w:r>
            <w:r>
              <w:rPr>
                <w:lang w:val="en-GB"/>
              </w:rPr>
              <w:t>,</w:t>
            </w:r>
            <w:r w:rsidRPr="00455BE9">
              <w:rPr>
                <w:lang w:val="en-GB"/>
              </w:rPr>
              <w:t>716</w:t>
            </w:r>
          </w:p>
        </w:tc>
        <w:tc>
          <w:tcPr>
            <w:tcW w:w="1536" w:type="dxa"/>
            <w:tcBorders>
              <w:top w:val="single" w:sz="4" w:space="0" w:color="auto"/>
              <w:left w:val="nil"/>
              <w:bottom w:val="single" w:sz="4" w:space="0" w:color="auto"/>
              <w:right w:val="nil"/>
            </w:tcBorders>
            <w:vAlign w:val="center"/>
          </w:tcPr>
          <w:p w14:paraId="3F550D65" w14:textId="07DF2C77" w:rsidR="007A7385" w:rsidRPr="00B97908" w:rsidRDefault="007A7385" w:rsidP="007A7385">
            <w:pPr>
              <w:pStyle w:val="NoSpacing"/>
              <w:spacing w:after="0"/>
              <w:jc w:val="right"/>
              <w:rPr>
                <w:lang w:val="en-GB"/>
              </w:rPr>
            </w:pPr>
            <w:r w:rsidRPr="00455BE9">
              <w:rPr>
                <w:lang w:val="en-GB"/>
              </w:rPr>
              <w:t>4</w:t>
            </w:r>
            <w:r>
              <w:rPr>
                <w:lang w:val="en-GB"/>
              </w:rPr>
              <w:t>,</w:t>
            </w:r>
            <w:r w:rsidRPr="00455BE9">
              <w:rPr>
                <w:lang w:val="en-GB"/>
              </w:rPr>
              <w:t>438</w:t>
            </w:r>
          </w:p>
        </w:tc>
        <w:tc>
          <w:tcPr>
            <w:tcW w:w="1118" w:type="dxa"/>
            <w:tcBorders>
              <w:top w:val="single" w:sz="4" w:space="0" w:color="auto"/>
              <w:left w:val="nil"/>
              <w:bottom w:val="single" w:sz="4" w:space="0" w:color="auto"/>
              <w:right w:val="nil"/>
            </w:tcBorders>
            <w:vAlign w:val="center"/>
          </w:tcPr>
          <w:p w14:paraId="3CEFBF59" w14:textId="17B97AD2" w:rsidR="007A7385" w:rsidRPr="00B97908" w:rsidRDefault="007A7385" w:rsidP="007A7385">
            <w:pPr>
              <w:pStyle w:val="NoSpacing"/>
              <w:spacing w:after="0"/>
              <w:jc w:val="right"/>
              <w:rPr>
                <w:lang w:val="en-GB"/>
              </w:rPr>
            </w:pPr>
            <w:r w:rsidRPr="00455BE9">
              <w:rPr>
                <w:lang w:val="en-GB"/>
              </w:rPr>
              <w:t>798</w:t>
            </w:r>
          </w:p>
        </w:tc>
        <w:tc>
          <w:tcPr>
            <w:tcW w:w="1284" w:type="dxa"/>
            <w:tcBorders>
              <w:top w:val="single" w:sz="4" w:space="0" w:color="auto"/>
              <w:left w:val="nil"/>
              <w:bottom w:val="single" w:sz="4" w:space="0" w:color="auto"/>
              <w:right w:val="nil"/>
            </w:tcBorders>
            <w:vAlign w:val="center"/>
          </w:tcPr>
          <w:p w14:paraId="548C8323" w14:textId="41A9767F" w:rsidR="007A7385" w:rsidRPr="00B97908" w:rsidRDefault="007A7385" w:rsidP="007A7385">
            <w:pPr>
              <w:pStyle w:val="NoSpacing"/>
              <w:spacing w:after="0"/>
              <w:jc w:val="right"/>
              <w:rPr>
                <w:lang w:val="en-GB"/>
              </w:rPr>
            </w:pPr>
            <w:r>
              <w:rPr>
                <w:lang w:val="en-GB"/>
              </w:rPr>
              <w:t>10,205</w:t>
            </w:r>
          </w:p>
        </w:tc>
        <w:tc>
          <w:tcPr>
            <w:tcW w:w="1125" w:type="dxa"/>
            <w:tcBorders>
              <w:top w:val="single" w:sz="4" w:space="0" w:color="auto"/>
              <w:left w:val="nil"/>
              <w:bottom w:val="single" w:sz="4" w:space="0" w:color="auto"/>
              <w:right w:val="nil"/>
            </w:tcBorders>
            <w:vAlign w:val="center"/>
          </w:tcPr>
          <w:p w14:paraId="2D8FAC55" w14:textId="1D33C66C" w:rsidR="007A7385" w:rsidRPr="002E293E" w:rsidRDefault="007A7385" w:rsidP="007A7385">
            <w:pPr>
              <w:pStyle w:val="NoSpacing"/>
              <w:spacing w:after="0"/>
              <w:jc w:val="right"/>
              <w:rPr>
                <w:lang w:val="en-GB"/>
              </w:rPr>
            </w:pPr>
            <w:r w:rsidRPr="00651C96">
              <w:rPr>
                <w:lang w:val="en-GB"/>
              </w:rPr>
              <w:t>3</w:t>
            </w:r>
            <w:r>
              <w:rPr>
                <w:lang w:val="en-GB"/>
              </w:rPr>
              <w:t>,</w:t>
            </w:r>
            <w:r w:rsidRPr="00651C96">
              <w:rPr>
                <w:lang w:val="en-GB"/>
              </w:rPr>
              <w:t>563</w:t>
            </w:r>
          </w:p>
        </w:tc>
        <w:tc>
          <w:tcPr>
            <w:tcW w:w="1263" w:type="dxa"/>
            <w:tcBorders>
              <w:top w:val="single" w:sz="4" w:space="0" w:color="auto"/>
              <w:left w:val="nil"/>
              <w:bottom w:val="single" w:sz="4" w:space="0" w:color="auto"/>
              <w:right w:val="single" w:sz="4" w:space="0" w:color="auto"/>
            </w:tcBorders>
            <w:vAlign w:val="center"/>
          </w:tcPr>
          <w:p w14:paraId="7BD311D1" w14:textId="01E913E3" w:rsidR="007A7385" w:rsidRPr="002E293E" w:rsidRDefault="007A7385" w:rsidP="007A7385">
            <w:pPr>
              <w:pStyle w:val="NoSpacing"/>
              <w:spacing w:after="0"/>
              <w:jc w:val="right"/>
              <w:rPr>
                <w:lang w:val="en-GB"/>
              </w:rPr>
            </w:pPr>
            <w:r w:rsidRPr="00651C96">
              <w:rPr>
                <w:lang w:val="en-GB"/>
              </w:rPr>
              <w:t>4</w:t>
            </w:r>
            <w:r>
              <w:rPr>
                <w:lang w:val="en-GB"/>
              </w:rPr>
              <w:t>,</w:t>
            </w:r>
            <w:r w:rsidRPr="00651C96">
              <w:rPr>
                <w:lang w:val="en-GB"/>
              </w:rPr>
              <w:t>612</w:t>
            </w:r>
          </w:p>
        </w:tc>
      </w:tr>
      <w:tr w:rsidR="007A7385" w:rsidRPr="00B97908" w14:paraId="2A5784BA" w14:textId="77777777" w:rsidTr="007A2057">
        <w:trPr>
          <w:trHeight w:val="397"/>
        </w:trPr>
        <w:tc>
          <w:tcPr>
            <w:tcW w:w="3007" w:type="dxa"/>
            <w:tcBorders>
              <w:top w:val="single" w:sz="4" w:space="0" w:color="auto"/>
              <w:left w:val="single" w:sz="4" w:space="0" w:color="auto"/>
              <w:bottom w:val="single" w:sz="4" w:space="0" w:color="auto"/>
              <w:right w:val="nil"/>
            </w:tcBorders>
            <w:vAlign w:val="center"/>
          </w:tcPr>
          <w:p w14:paraId="173DC3D2" w14:textId="4BE65EB9" w:rsidR="007A7385" w:rsidRPr="00B97908" w:rsidRDefault="007A7385" w:rsidP="007A7385">
            <w:pPr>
              <w:pStyle w:val="NoSpacing"/>
              <w:spacing w:after="0"/>
              <w:rPr>
                <w:lang w:val="en-GB"/>
              </w:rPr>
            </w:pPr>
            <w:r w:rsidRPr="00B97908">
              <w:rPr>
                <w:lang w:val="en-GB"/>
              </w:rPr>
              <w:t>Schizophrenia</w:t>
            </w:r>
          </w:p>
        </w:tc>
        <w:tc>
          <w:tcPr>
            <w:tcW w:w="571" w:type="dxa"/>
            <w:tcBorders>
              <w:top w:val="single" w:sz="4" w:space="0" w:color="auto"/>
              <w:left w:val="nil"/>
              <w:bottom w:val="single" w:sz="4" w:space="0" w:color="auto"/>
              <w:right w:val="nil"/>
            </w:tcBorders>
            <w:vAlign w:val="center"/>
          </w:tcPr>
          <w:p w14:paraId="378E1ECA" w14:textId="38AA77E5" w:rsidR="007A7385" w:rsidRPr="00B97908" w:rsidRDefault="007A7385" w:rsidP="007A7385">
            <w:pPr>
              <w:pStyle w:val="NoSpacing"/>
              <w:spacing w:after="0"/>
              <w:jc w:val="center"/>
              <w:rPr>
                <w:lang w:val="en-GB"/>
              </w:rPr>
            </w:pPr>
            <w:r>
              <w:rPr>
                <w:lang w:val="en-GB"/>
              </w:rPr>
              <w:t>13</w:t>
            </w:r>
          </w:p>
        </w:tc>
        <w:tc>
          <w:tcPr>
            <w:tcW w:w="1391" w:type="dxa"/>
            <w:tcBorders>
              <w:top w:val="single" w:sz="4" w:space="0" w:color="auto"/>
              <w:left w:val="nil"/>
              <w:bottom w:val="single" w:sz="4" w:space="0" w:color="auto"/>
              <w:right w:val="nil"/>
            </w:tcBorders>
            <w:vAlign w:val="center"/>
          </w:tcPr>
          <w:p w14:paraId="623FFA81" w14:textId="7EC6511F" w:rsidR="007A7385" w:rsidRDefault="007A7385" w:rsidP="007A7385">
            <w:pPr>
              <w:pStyle w:val="NoSpacing"/>
              <w:spacing w:after="0"/>
              <w:jc w:val="right"/>
              <w:rPr>
                <w:lang w:val="en-GB"/>
              </w:rPr>
            </w:pPr>
            <w:r>
              <w:rPr>
                <w:lang w:val="en-GB"/>
              </w:rPr>
              <w:t>34,588</w:t>
            </w:r>
          </w:p>
        </w:tc>
        <w:tc>
          <w:tcPr>
            <w:tcW w:w="1536" w:type="dxa"/>
            <w:tcBorders>
              <w:top w:val="single" w:sz="4" w:space="0" w:color="auto"/>
              <w:left w:val="nil"/>
              <w:bottom w:val="single" w:sz="4" w:space="0" w:color="auto"/>
              <w:right w:val="nil"/>
            </w:tcBorders>
            <w:vAlign w:val="center"/>
          </w:tcPr>
          <w:p w14:paraId="4B7A1FDF" w14:textId="192316AA" w:rsidR="007A7385" w:rsidRPr="00455BE9" w:rsidRDefault="007A7385" w:rsidP="007A7385">
            <w:pPr>
              <w:pStyle w:val="NoSpacing"/>
              <w:spacing w:after="0"/>
              <w:jc w:val="right"/>
              <w:rPr>
                <w:lang w:val="en-GB"/>
              </w:rPr>
            </w:pPr>
            <w:r w:rsidRPr="00455BE9">
              <w:rPr>
                <w:lang w:val="en-GB"/>
              </w:rPr>
              <w:t>40</w:t>
            </w:r>
            <w:r>
              <w:rPr>
                <w:lang w:val="en-GB"/>
              </w:rPr>
              <w:t>,</w:t>
            </w:r>
            <w:r w:rsidRPr="00455BE9">
              <w:rPr>
                <w:lang w:val="en-GB"/>
              </w:rPr>
              <w:t>438</w:t>
            </w:r>
          </w:p>
        </w:tc>
        <w:tc>
          <w:tcPr>
            <w:tcW w:w="1118" w:type="dxa"/>
            <w:tcBorders>
              <w:top w:val="single" w:sz="4" w:space="0" w:color="auto"/>
              <w:left w:val="nil"/>
              <w:bottom w:val="single" w:sz="4" w:space="0" w:color="auto"/>
              <w:right w:val="nil"/>
            </w:tcBorders>
            <w:vAlign w:val="center"/>
          </w:tcPr>
          <w:p w14:paraId="27259544" w14:textId="722929BB" w:rsidR="007A7385" w:rsidRDefault="007A7385" w:rsidP="007A7385">
            <w:pPr>
              <w:pStyle w:val="NoSpacing"/>
              <w:spacing w:after="0"/>
              <w:jc w:val="right"/>
              <w:rPr>
                <w:lang w:val="en-GB"/>
              </w:rPr>
            </w:pPr>
            <w:r>
              <w:rPr>
                <w:lang w:val="en-GB"/>
              </w:rPr>
              <w:t>8,073</w:t>
            </w:r>
          </w:p>
        </w:tc>
        <w:tc>
          <w:tcPr>
            <w:tcW w:w="1284" w:type="dxa"/>
            <w:tcBorders>
              <w:top w:val="single" w:sz="4" w:space="0" w:color="auto"/>
              <w:left w:val="nil"/>
              <w:bottom w:val="single" w:sz="4" w:space="0" w:color="auto"/>
              <w:right w:val="nil"/>
            </w:tcBorders>
            <w:vAlign w:val="center"/>
          </w:tcPr>
          <w:p w14:paraId="67DC10B7" w14:textId="3032F10E" w:rsidR="007A7385" w:rsidRPr="00455BE9" w:rsidRDefault="007A7385" w:rsidP="007A7385">
            <w:pPr>
              <w:pStyle w:val="NoSpacing"/>
              <w:spacing w:after="0"/>
              <w:jc w:val="right"/>
              <w:rPr>
                <w:lang w:val="en-GB"/>
              </w:rPr>
            </w:pPr>
            <w:r>
              <w:rPr>
                <w:lang w:val="en-GB"/>
              </w:rPr>
              <w:t>96,466</w:t>
            </w:r>
          </w:p>
        </w:tc>
        <w:tc>
          <w:tcPr>
            <w:tcW w:w="1125" w:type="dxa"/>
            <w:tcBorders>
              <w:top w:val="single" w:sz="4" w:space="0" w:color="auto"/>
              <w:left w:val="nil"/>
              <w:bottom w:val="single" w:sz="4" w:space="0" w:color="auto"/>
              <w:right w:val="nil"/>
            </w:tcBorders>
            <w:vAlign w:val="center"/>
          </w:tcPr>
          <w:p w14:paraId="007A3379" w14:textId="2D568552" w:rsidR="007A7385" w:rsidRPr="000D1464" w:rsidRDefault="007A7385" w:rsidP="007A7385">
            <w:pPr>
              <w:pStyle w:val="NoSpacing"/>
              <w:spacing w:after="0"/>
              <w:jc w:val="right"/>
              <w:rPr>
                <w:lang w:val="en-GB"/>
              </w:rPr>
            </w:pPr>
            <w:r w:rsidRPr="000D1464">
              <w:rPr>
                <w:lang w:val="en-GB"/>
              </w:rPr>
              <w:t>21</w:t>
            </w:r>
            <w:r>
              <w:rPr>
                <w:lang w:val="en-GB"/>
              </w:rPr>
              <w:t>,</w:t>
            </w:r>
            <w:r w:rsidRPr="000D1464">
              <w:rPr>
                <w:lang w:val="en-GB"/>
              </w:rPr>
              <w:t>500</w:t>
            </w:r>
          </w:p>
        </w:tc>
        <w:tc>
          <w:tcPr>
            <w:tcW w:w="1263" w:type="dxa"/>
            <w:tcBorders>
              <w:top w:val="single" w:sz="4" w:space="0" w:color="auto"/>
              <w:left w:val="nil"/>
              <w:bottom w:val="single" w:sz="4" w:space="0" w:color="auto"/>
              <w:right w:val="single" w:sz="4" w:space="0" w:color="auto"/>
            </w:tcBorders>
            <w:vAlign w:val="center"/>
          </w:tcPr>
          <w:p w14:paraId="6B154727" w14:textId="318EBC9B" w:rsidR="007A7385" w:rsidRPr="000D1464" w:rsidRDefault="007A7385" w:rsidP="007A7385">
            <w:pPr>
              <w:pStyle w:val="NoSpacing"/>
              <w:spacing w:after="0"/>
              <w:jc w:val="right"/>
              <w:rPr>
                <w:lang w:val="en-GB"/>
              </w:rPr>
            </w:pPr>
            <w:r w:rsidRPr="000D1464">
              <w:rPr>
                <w:lang w:val="en-GB"/>
              </w:rPr>
              <w:t>52</w:t>
            </w:r>
            <w:r>
              <w:rPr>
                <w:lang w:val="en-GB"/>
              </w:rPr>
              <w:t>,</w:t>
            </w:r>
            <w:r w:rsidRPr="000D1464">
              <w:rPr>
                <w:lang w:val="en-GB"/>
              </w:rPr>
              <w:t>312</w:t>
            </w:r>
          </w:p>
        </w:tc>
      </w:tr>
      <w:tr w:rsidR="007A7385" w:rsidRPr="00B97908" w14:paraId="0BDB8CA3" w14:textId="77777777" w:rsidTr="007A2057">
        <w:trPr>
          <w:trHeight w:val="397"/>
        </w:trPr>
        <w:tc>
          <w:tcPr>
            <w:tcW w:w="3007" w:type="dxa"/>
            <w:tcBorders>
              <w:top w:val="single" w:sz="4" w:space="0" w:color="auto"/>
              <w:left w:val="single" w:sz="4" w:space="0" w:color="auto"/>
              <w:bottom w:val="single" w:sz="4" w:space="0" w:color="auto"/>
              <w:right w:val="nil"/>
            </w:tcBorders>
            <w:vAlign w:val="center"/>
          </w:tcPr>
          <w:p w14:paraId="4530E964" w14:textId="026EB743" w:rsidR="007A7385" w:rsidRPr="00B97908" w:rsidRDefault="007A7385" w:rsidP="007A7385">
            <w:pPr>
              <w:pStyle w:val="NoSpacing"/>
              <w:spacing w:after="0"/>
              <w:rPr>
                <w:lang w:val="en-GB"/>
              </w:rPr>
            </w:pPr>
            <w:r w:rsidRPr="00B97908">
              <w:rPr>
                <w:lang w:val="en-GB"/>
              </w:rPr>
              <w:t>Mood disorders</w:t>
            </w:r>
          </w:p>
        </w:tc>
        <w:tc>
          <w:tcPr>
            <w:tcW w:w="571" w:type="dxa"/>
            <w:tcBorders>
              <w:top w:val="single" w:sz="4" w:space="0" w:color="auto"/>
              <w:left w:val="nil"/>
              <w:bottom w:val="single" w:sz="4" w:space="0" w:color="auto"/>
              <w:right w:val="nil"/>
            </w:tcBorders>
            <w:vAlign w:val="center"/>
          </w:tcPr>
          <w:p w14:paraId="00766DE9" w14:textId="200BBB37" w:rsidR="007A7385" w:rsidRPr="00B97908" w:rsidRDefault="007A7385" w:rsidP="007A7385">
            <w:pPr>
              <w:pStyle w:val="NoSpacing"/>
              <w:spacing w:after="0"/>
              <w:jc w:val="center"/>
              <w:rPr>
                <w:lang w:val="en-GB"/>
              </w:rPr>
            </w:pPr>
            <w:r>
              <w:rPr>
                <w:lang w:val="en-GB"/>
              </w:rPr>
              <w:t>13</w:t>
            </w:r>
          </w:p>
        </w:tc>
        <w:tc>
          <w:tcPr>
            <w:tcW w:w="1391" w:type="dxa"/>
            <w:tcBorders>
              <w:top w:val="single" w:sz="4" w:space="0" w:color="auto"/>
              <w:left w:val="nil"/>
              <w:bottom w:val="single" w:sz="4" w:space="0" w:color="auto"/>
              <w:right w:val="nil"/>
            </w:tcBorders>
            <w:vAlign w:val="center"/>
          </w:tcPr>
          <w:p w14:paraId="5A6334A5" w14:textId="7D19F535" w:rsidR="007A7385" w:rsidRDefault="007A7385" w:rsidP="007A7385">
            <w:pPr>
              <w:pStyle w:val="NoSpacing"/>
              <w:spacing w:after="0"/>
              <w:jc w:val="right"/>
              <w:rPr>
                <w:lang w:val="en-GB"/>
              </w:rPr>
            </w:pPr>
            <w:r w:rsidRPr="00455BE9">
              <w:rPr>
                <w:lang w:val="en-GB"/>
              </w:rPr>
              <w:t>7</w:t>
            </w:r>
            <w:r>
              <w:rPr>
                <w:lang w:val="en-GB"/>
              </w:rPr>
              <w:t>,</w:t>
            </w:r>
            <w:r w:rsidRPr="00455BE9">
              <w:rPr>
                <w:lang w:val="en-GB"/>
              </w:rPr>
              <w:t>728</w:t>
            </w:r>
          </w:p>
        </w:tc>
        <w:tc>
          <w:tcPr>
            <w:tcW w:w="1536" w:type="dxa"/>
            <w:tcBorders>
              <w:top w:val="single" w:sz="4" w:space="0" w:color="auto"/>
              <w:left w:val="nil"/>
              <w:bottom w:val="single" w:sz="4" w:space="0" w:color="auto"/>
              <w:right w:val="nil"/>
            </w:tcBorders>
            <w:vAlign w:val="center"/>
          </w:tcPr>
          <w:p w14:paraId="2AE79634" w14:textId="67E0F65A" w:rsidR="007A7385" w:rsidRDefault="007A7385" w:rsidP="007A7385">
            <w:pPr>
              <w:pStyle w:val="NoSpacing"/>
              <w:spacing w:after="0"/>
              <w:jc w:val="right"/>
              <w:rPr>
                <w:lang w:val="en-GB"/>
              </w:rPr>
            </w:pPr>
            <w:r>
              <w:rPr>
                <w:lang w:val="en-GB"/>
              </w:rPr>
              <w:t>10,640</w:t>
            </w:r>
          </w:p>
        </w:tc>
        <w:tc>
          <w:tcPr>
            <w:tcW w:w="1118" w:type="dxa"/>
            <w:tcBorders>
              <w:top w:val="single" w:sz="4" w:space="0" w:color="auto"/>
              <w:left w:val="nil"/>
              <w:bottom w:val="single" w:sz="4" w:space="0" w:color="auto"/>
              <w:right w:val="nil"/>
            </w:tcBorders>
            <w:vAlign w:val="center"/>
          </w:tcPr>
          <w:p w14:paraId="117A1C4A" w14:textId="3C57BD87" w:rsidR="007A7385" w:rsidRDefault="007A7385" w:rsidP="007A7385">
            <w:pPr>
              <w:pStyle w:val="NoSpacing"/>
              <w:spacing w:after="0"/>
              <w:jc w:val="right"/>
              <w:rPr>
                <w:lang w:val="en-GB"/>
              </w:rPr>
            </w:pPr>
            <w:r w:rsidRPr="00455BE9">
              <w:rPr>
                <w:lang w:val="en-GB"/>
              </w:rPr>
              <w:t>158</w:t>
            </w:r>
          </w:p>
        </w:tc>
        <w:tc>
          <w:tcPr>
            <w:tcW w:w="1284" w:type="dxa"/>
            <w:tcBorders>
              <w:top w:val="single" w:sz="4" w:space="0" w:color="auto"/>
              <w:left w:val="nil"/>
              <w:bottom w:val="single" w:sz="4" w:space="0" w:color="auto"/>
              <w:right w:val="nil"/>
            </w:tcBorders>
            <w:vAlign w:val="center"/>
          </w:tcPr>
          <w:p w14:paraId="149BFCBB" w14:textId="0D0EADED" w:rsidR="007A7385" w:rsidRPr="001E7018" w:rsidRDefault="007A7385" w:rsidP="007A7385">
            <w:pPr>
              <w:pStyle w:val="NoSpacing"/>
              <w:spacing w:after="0"/>
              <w:jc w:val="right"/>
              <w:rPr>
                <w:lang w:val="en-GB"/>
              </w:rPr>
            </w:pPr>
            <w:r>
              <w:rPr>
                <w:lang w:val="en-GB"/>
              </w:rPr>
              <w:t>40,045</w:t>
            </w:r>
          </w:p>
        </w:tc>
        <w:tc>
          <w:tcPr>
            <w:tcW w:w="1125" w:type="dxa"/>
            <w:tcBorders>
              <w:top w:val="single" w:sz="4" w:space="0" w:color="auto"/>
              <w:left w:val="nil"/>
              <w:bottom w:val="single" w:sz="4" w:space="0" w:color="auto"/>
              <w:right w:val="nil"/>
            </w:tcBorders>
            <w:vAlign w:val="center"/>
          </w:tcPr>
          <w:p w14:paraId="3F3B4E1A" w14:textId="07331453" w:rsidR="007A7385" w:rsidRPr="002E293E" w:rsidRDefault="007A7385" w:rsidP="007A7385">
            <w:pPr>
              <w:pStyle w:val="NoSpacing"/>
              <w:spacing w:after="0"/>
              <w:jc w:val="right"/>
              <w:rPr>
                <w:lang w:val="en-GB"/>
              </w:rPr>
            </w:pPr>
            <w:r w:rsidRPr="000D1464">
              <w:rPr>
                <w:lang w:val="en-GB"/>
              </w:rPr>
              <w:t>3</w:t>
            </w:r>
            <w:r>
              <w:rPr>
                <w:lang w:val="en-GB"/>
              </w:rPr>
              <w:t>,</w:t>
            </w:r>
            <w:r w:rsidRPr="000D1464">
              <w:rPr>
                <w:lang w:val="en-GB"/>
              </w:rPr>
              <w:t>492</w:t>
            </w:r>
          </w:p>
        </w:tc>
        <w:tc>
          <w:tcPr>
            <w:tcW w:w="1263" w:type="dxa"/>
            <w:tcBorders>
              <w:top w:val="single" w:sz="4" w:space="0" w:color="auto"/>
              <w:left w:val="nil"/>
              <w:bottom w:val="single" w:sz="4" w:space="0" w:color="auto"/>
              <w:right w:val="single" w:sz="4" w:space="0" w:color="auto"/>
            </w:tcBorders>
            <w:vAlign w:val="center"/>
          </w:tcPr>
          <w:p w14:paraId="61300FD0" w14:textId="687C44F7" w:rsidR="007A7385" w:rsidRPr="002E293E" w:rsidRDefault="007A7385" w:rsidP="007A7385">
            <w:pPr>
              <w:pStyle w:val="NoSpacing"/>
              <w:spacing w:after="0"/>
              <w:jc w:val="right"/>
              <w:rPr>
                <w:lang w:val="en-GB"/>
              </w:rPr>
            </w:pPr>
            <w:r w:rsidRPr="000D1464">
              <w:rPr>
                <w:lang w:val="en-GB"/>
              </w:rPr>
              <w:t>13</w:t>
            </w:r>
            <w:r>
              <w:rPr>
                <w:lang w:val="en-GB"/>
              </w:rPr>
              <w:t>,</w:t>
            </w:r>
            <w:r w:rsidRPr="000D1464">
              <w:rPr>
                <w:lang w:val="en-GB"/>
              </w:rPr>
              <w:t>969</w:t>
            </w:r>
          </w:p>
        </w:tc>
      </w:tr>
      <w:tr w:rsidR="007A7385" w:rsidRPr="00B97908" w14:paraId="2B8361CF" w14:textId="77777777" w:rsidTr="007A2057">
        <w:trPr>
          <w:trHeight w:val="397"/>
        </w:trPr>
        <w:tc>
          <w:tcPr>
            <w:tcW w:w="3007" w:type="dxa"/>
            <w:tcBorders>
              <w:top w:val="single" w:sz="4" w:space="0" w:color="auto"/>
              <w:left w:val="single" w:sz="4" w:space="0" w:color="auto"/>
              <w:bottom w:val="single" w:sz="4" w:space="0" w:color="auto"/>
              <w:right w:val="nil"/>
            </w:tcBorders>
            <w:vAlign w:val="center"/>
          </w:tcPr>
          <w:p w14:paraId="25BF6D4A" w14:textId="421DF5BC" w:rsidR="007A7385" w:rsidRDefault="007A7385" w:rsidP="007A7385">
            <w:pPr>
              <w:pStyle w:val="NoSpacing"/>
              <w:spacing w:after="0"/>
              <w:rPr>
                <w:lang w:val="en-GB"/>
              </w:rPr>
            </w:pPr>
            <w:r w:rsidRPr="00B97908">
              <w:rPr>
                <w:lang w:val="en-GB"/>
              </w:rPr>
              <w:t>Neurotic disorders</w:t>
            </w:r>
          </w:p>
        </w:tc>
        <w:tc>
          <w:tcPr>
            <w:tcW w:w="571" w:type="dxa"/>
            <w:tcBorders>
              <w:top w:val="single" w:sz="4" w:space="0" w:color="auto"/>
              <w:left w:val="nil"/>
              <w:bottom w:val="single" w:sz="4" w:space="0" w:color="auto"/>
              <w:right w:val="nil"/>
            </w:tcBorders>
            <w:vAlign w:val="center"/>
          </w:tcPr>
          <w:p w14:paraId="3BD07CD6" w14:textId="62DD219B" w:rsidR="007A7385" w:rsidRPr="00B97908" w:rsidRDefault="007A7385" w:rsidP="007A7385">
            <w:pPr>
              <w:pStyle w:val="NoSpacing"/>
              <w:spacing w:after="0"/>
              <w:jc w:val="center"/>
              <w:rPr>
                <w:lang w:val="en-GB"/>
              </w:rPr>
            </w:pPr>
            <w:r>
              <w:rPr>
                <w:lang w:val="en-GB"/>
              </w:rPr>
              <w:t>13</w:t>
            </w:r>
          </w:p>
        </w:tc>
        <w:tc>
          <w:tcPr>
            <w:tcW w:w="1391" w:type="dxa"/>
            <w:tcBorders>
              <w:top w:val="single" w:sz="4" w:space="0" w:color="auto"/>
              <w:left w:val="nil"/>
              <w:bottom w:val="single" w:sz="4" w:space="0" w:color="auto"/>
              <w:right w:val="nil"/>
            </w:tcBorders>
            <w:vAlign w:val="center"/>
          </w:tcPr>
          <w:p w14:paraId="4851E61F" w14:textId="585F180A" w:rsidR="007A7385" w:rsidRPr="00B97908" w:rsidRDefault="007A7385" w:rsidP="007A7385">
            <w:pPr>
              <w:pStyle w:val="NoSpacing"/>
              <w:spacing w:after="0"/>
              <w:jc w:val="right"/>
              <w:rPr>
                <w:lang w:val="en-GB"/>
              </w:rPr>
            </w:pPr>
            <w:r>
              <w:rPr>
                <w:lang w:val="en-GB"/>
              </w:rPr>
              <w:t>1,287</w:t>
            </w:r>
          </w:p>
        </w:tc>
        <w:tc>
          <w:tcPr>
            <w:tcW w:w="1536" w:type="dxa"/>
            <w:tcBorders>
              <w:top w:val="single" w:sz="4" w:space="0" w:color="auto"/>
              <w:left w:val="nil"/>
              <w:bottom w:val="single" w:sz="4" w:space="0" w:color="auto"/>
              <w:right w:val="nil"/>
            </w:tcBorders>
            <w:vAlign w:val="center"/>
          </w:tcPr>
          <w:p w14:paraId="08F61EF0" w14:textId="532A2494" w:rsidR="007A7385" w:rsidRPr="00B97908" w:rsidRDefault="007A7385" w:rsidP="007A7385">
            <w:pPr>
              <w:pStyle w:val="NoSpacing"/>
              <w:spacing w:after="0"/>
              <w:jc w:val="right"/>
              <w:rPr>
                <w:lang w:val="en-GB"/>
              </w:rPr>
            </w:pPr>
            <w:r w:rsidRPr="00455BE9">
              <w:rPr>
                <w:lang w:val="en-GB"/>
              </w:rPr>
              <w:t>2</w:t>
            </w:r>
            <w:r>
              <w:rPr>
                <w:lang w:val="en-GB"/>
              </w:rPr>
              <w:t>,</w:t>
            </w:r>
            <w:r w:rsidRPr="00455BE9">
              <w:rPr>
                <w:lang w:val="en-GB"/>
              </w:rPr>
              <w:t>619</w:t>
            </w:r>
          </w:p>
        </w:tc>
        <w:tc>
          <w:tcPr>
            <w:tcW w:w="1118" w:type="dxa"/>
            <w:tcBorders>
              <w:top w:val="single" w:sz="4" w:space="0" w:color="auto"/>
              <w:left w:val="nil"/>
              <w:bottom w:val="single" w:sz="4" w:space="0" w:color="auto"/>
              <w:right w:val="nil"/>
            </w:tcBorders>
            <w:vAlign w:val="center"/>
          </w:tcPr>
          <w:p w14:paraId="650D9156" w14:textId="12CA1FA7" w:rsidR="007A7385" w:rsidRPr="00B97908" w:rsidRDefault="007A7385" w:rsidP="007A7385">
            <w:pPr>
              <w:pStyle w:val="NoSpacing"/>
              <w:spacing w:after="0"/>
              <w:jc w:val="right"/>
              <w:rPr>
                <w:lang w:val="en-GB"/>
              </w:rPr>
            </w:pPr>
            <w:r w:rsidRPr="00455BE9">
              <w:rPr>
                <w:lang w:val="en-GB"/>
              </w:rPr>
              <w:t>838</w:t>
            </w:r>
          </w:p>
        </w:tc>
        <w:tc>
          <w:tcPr>
            <w:tcW w:w="1284" w:type="dxa"/>
            <w:tcBorders>
              <w:top w:val="single" w:sz="4" w:space="0" w:color="auto"/>
              <w:left w:val="nil"/>
              <w:bottom w:val="single" w:sz="4" w:space="0" w:color="auto"/>
              <w:right w:val="nil"/>
            </w:tcBorders>
            <w:vAlign w:val="center"/>
          </w:tcPr>
          <w:p w14:paraId="548D7A44" w14:textId="6F2D13FF" w:rsidR="007A7385" w:rsidRPr="00B97908" w:rsidRDefault="007A7385" w:rsidP="007A7385">
            <w:pPr>
              <w:pStyle w:val="NoSpacing"/>
              <w:spacing w:after="0"/>
              <w:jc w:val="right"/>
              <w:rPr>
                <w:lang w:val="en-GB"/>
              </w:rPr>
            </w:pPr>
            <w:r>
              <w:rPr>
                <w:lang w:val="en-GB"/>
              </w:rPr>
              <w:t>13,862</w:t>
            </w:r>
          </w:p>
        </w:tc>
        <w:tc>
          <w:tcPr>
            <w:tcW w:w="1125" w:type="dxa"/>
            <w:tcBorders>
              <w:top w:val="single" w:sz="4" w:space="0" w:color="auto"/>
              <w:left w:val="nil"/>
              <w:bottom w:val="single" w:sz="4" w:space="0" w:color="auto"/>
              <w:right w:val="nil"/>
            </w:tcBorders>
            <w:vAlign w:val="center"/>
          </w:tcPr>
          <w:p w14:paraId="52985D5E" w14:textId="2F64FEAC" w:rsidR="007A7385" w:rsidRPr="002E293E" w:rsidRDefault="007A7385" w:rsidP="007A7385">
            <w:pPr>
              <w:pStyle w:val="NoSpacing"/>
              <w:spacing w:after="0"/>
              <w:jc w:val="right"/>
              <w:rPr>
                <w:lang w:val="en-GB"/>
              </w:rPr>
            </w:pPr>
            <w:r w:rsidRPr="000D1464">
              <w:rPr>
                <w:lang w:val="en-GB"/>
              </w:rPr>
              <w:t>1</w:t>
            </w:r>
            <w:r>
              <w:rPr>
                <w:lang w:val="en-GB"/>
              </w:rPr>
              <w:t>,</w:t>
            </w:r>
            <w:r w:rsidRPr="000D1464">
              <w:rPr>
                <w:lang w:val="en-GB"/>
              </w:rPr>
              <w:t>180</w:t>
            </w:r>
          </w:p>
        </w:tc>
        <w:tc>
          <w:tcPr>
            <w:tcW w:w="1263" w:type="dxa"/>
            <w:tcBorders>
              <w:top w:val="single" w:sz="4" w:space="0" w:color="auto"/>
              <w:left w:val="nil"/>
              <w:bottom w:val="single" w:sz="4" w:space="0" w:color="auto"/>
              <w:right w:val="single" w:sz="4" w:space="0" w:color="auto"/>
            </w:tcBorders>
            <w:vAlign w:val="center"/>
          </w:tcPr>
          <w:p w14:paraId="3A42B0BF" w14:textId="4A1927F0" w:rsidR="007A7385" w:rsidRPr="002E293E" w:rsidRDefault="007A7385" w:rsidP="007A7385">
            <w:pPr>
              <w:pStyle w:val="NoSpacing"/>
              <w:spacing w:after="0"/>
              <w:jc w:val="right"/>
              <w:rPr>
                <w:lang w:val="en-GB"/>
              </w:rPr>
            </w:pPr>
            <w:r w:rsidRPr="000D1464">
              <w:rPr>
                <w:lang w:val="en-GB"/>
              </w:rPr>
              <w:t>1</w:t>
            </w:r>
            <w:r>
              <w:rPr>
                <w:lang w:val="en-GB"/>
              </w:rPr>
              <w:t>,</w:t>
            </w:r>
            <w:r w:rsidRPr="000D1464">
              <w:rPr>
                <w:lang w:val="en-GB"/>
              </w:rPr>
              <w:t>619</w:t>
            </w:r>
          </w:p>
        </w:tc>
      </w:tr>
      <w:tr w:rsidR="007A7385" w:rsidRPr="00B97908" w14:paraId="4207317B" w14:textId="77777777" w:rsidTr="007A2057">
        <w:trPr>
          <w:trHeight w:val="397"/>
        </w:trPr>
        <w:tc>
          <w:tcPr>
            <w:tcW w:w="3007" w:type="dxa"/>
            <w:tcBorders>
              <w:top w:val="single" w:sz="4" w:space="0" w:color="auto"/>
              <w:left w:val="single" w:sz="4" w:space="0" w:color="auto"/>
              <w:bottom w:val="single" w:sz="4" w:space="0" w:color="auto"/>
              <w:right w:val="nil"/>
            </w:tcBorders>
            <w:vAlign w:val="center"/>
          </w:tcPr>
          <w:p w14:paraId="7962636E" w14:textId="76E96255" w:rsidR="007A7385" w:rsidRDefault="007A7385" w:rsidP="007A7385">
            <w:pPr>
              <w:pStyle w:val="NoSpacing"/>
              <w:spacing w:after="0"/>
              <w:rPr>
                <w:lang w:val="en-GB"/>
              </w:rPr>
            </w:pPr>
            <w:r w:rsidRPr="00B97908">
              <w:rPr>
                <w:lang w:val="en-GB"/>
              </w:rPr>
              <w:t>Eating disorders</w:t>
            </w:r>
          </w:p>
        </w:tc>
        <w:tc>
          <w:tcPr>
            <w:tcW w:w="571" w:type="dxa"/>
            <w:tcBorders>
              <w:top w:val="single" w:sz="4" w:space="0" w:color="auto"/>
              <w:left w:val="nil"/>
              <w:bottom w:val="single" w:sz="4" w:space="0" w:color="auto"/>
              <w:right w:val="nil"/>
            </w:tcBorders>
            <w:vAlign w:val="center"/>
          </w:tcPr>
          <w:p w14:paraId="4E8D5D0F" w14:textId="6EA657CC" w:rsidR="007A7385" w:rsidRPr="00B97908" w:rsidRDefault="007A7385" w:rsidP="007A7385">
            <w:pPr>
              <w:pStyle w:val="NoSpacing"/>
              <w:spacing w:after="0"/>
              <w:jc w:val="center"/>
              <w:rPr>
                <w:lang w:val="en-GB"/>
              </w:rPr>
            </w:pPr>
            <w:r w:rsidRPr="00B97908">
              <w:rPr>
                <w:lang w:val="en-GB"/>
              </w:rPr>
              <w:t>4</w:t>
            </w:r>
          </w:p>
        </w:tc>
        <w:tc>
          <w:tcPr>
            <w:tcW w:w="1391" w:type="dxa"/>
            <w:tcBorders>
              <w:top w:val="single" w:sz="4" w:space="0" w:color="auto"/>
              <w:left w:val="nil"/>
              <w:bottom w:val="single" w:sz="4" w:space="0" w:color="auto"/>
              <w:right w:val="nil"/>
            </w:tcBorders>
            <w:vAlign w:val="center"/>
          </w:tcPr>
          <w:p w14:paraId="2037EA15" w14:textId="7E83291D" w:rsidR="007A7385" w:rsidRPr="00B97908" w:rsidRDefault="007A7385" w:rsidP="007A7385">
            <w:pPr>
              <w:pStyle w:val="NoSpacing"/>
              <w:spacing w:after="0"/>
              <w:jc w:val="right"/>
              <w:rPr>
                <w:lang w:val="en-GB"/>
              </w:rPr>
            </w:pPr>
            <w:r>
              <w:rPr>
                <w:lang w:val="en-GB"/>
              </w:rPr>
              <w:t>859</w:t>
            </w:r>
          </w:p>
        </w:tc>
        <w:tc>
          <w:tcPr>
            <w:tcW w:w="1536" w:type="dxa"/>
            <w:tcBorders>
              <w:top w:val="single" w:sz="4" w:space="0" w:color="auto"/>
              <w:left w:val="nil"/>
              <w:bottom w:val="single" w:sz="4" w:space="0" w:color="auto"/>
              <w:right w:val="nil"/>
            </w:tcBorders>
            <w:vAlign w:val="center"/>
          </w:tcPr>
          <w:p w14:paraId="1C1BF51B" w14:textId="08CD2F0E" w:rsidR="007A7385" w:rsidRPr="00B97908" w:rsidRDefault="007A7385" w:rsidP="007A7385">
            <w:pPr>
              <w:pStyle w:val="NoSpacing"/>
              <w:spacing w:after="0"/>
              <w:jc w:val="right"/>
              <w:rPr>
                <w:lang w:val="en-GB"/>
              </w:rPr>
            </w:pPr>
            <w:r w:rsidRPr="00455BE9">
              <w:rPr>
                <w:lang w:val="en-GB"/>
              </w:rPr>
              <w:t>9</w:t>
            </w:r>
            <w:r>
              <w:rPr>
                <w:lang w:val="en-GB"/>
              </w:rPr>
              <w:t>,</w:t>
            </w:r>
            <w:r w:rsidRPr="00455BE9">
              <w:rPr>
                <w:lang w:val="en-GB"/>
              </w:rPr>
              <w:t>985</w:t>
            </w:r>
          </w:p>
        </w:tc>
        <w:tc>
          <w:tcPr>
            <w:tcW w:w="1118" w:type="dxa"/>
            <w:tcBorders>
              <w:top w:val="single" w:sz="4" w:space="0" w:color="auto"/>
              <w:left w:val="nil"/>
              <w:bottom w:val="single" w:sz="4" w:space="0" w:color="auto"/>
              <w:right w:val="nil"/>
            </w:tcBorders>
            <w:vAlign w:val="center"/>
          </w:tcPr>
          <w:p w14:paraId="7796DF9A" w14:textId="4292E6C1" w:rsidR="007A7385" w:rsidRPr="00B97908" w:rsidRDefault="007A7385" w:rsidP="007A7385">
            <w:pPr>
              <w:pStyle w:val="NoSpacing"/>
              <w:spacing w:after="0"/>
              <w:jc w:val="right"/>
              <w:rPr>
                <w:lang w:val="en-GB"/>
              </w:rPr>
            </w:pPr>
            <w:r>
              <w:rPr>
                <w:lang w:val="en-GB"/>
              </w:rPr>
              <w:t>41</w:t>
            </w:r>
          </w:p>
        </w:tc>
        <w:tc>
          <w:tcPr>
            <w:tcW w:w="1284" w:type="dxa"/>
            <w:tcBorders>
              <w:top w:val="single" w:sz="4" w:space="0" w:color="auto"/>
              <w:left w:val="nil"/>
              <w:bottom w:val="single" w:sz="4" w:space="0" w:color="auto"/>
              <w:right w:val="nil"/>
            </w:tcBorders>
            <w:vAlign w:val="center"/>
          </w:tcPr>
          <w:p w14:paraId="720D0C21" w14:textId="18AB5C92" w:rsidR="007A7385" w:rsidRPr="00B97908" w:rsidRDefault="007A7385" w:rsidP="007A7385">
            <w:pPr>
              <w:pStyle w:val="NoSpacing"/>
              <w:spacing w:after="0"/>
              <w:jc w:val="right"/>
              <w:rPr>
                <w:lang w:val="en-GB"/>
              </w:rPr>
            </w:pPr>
            <w:r>
              <w:rPr>
                <w:lang w:val="en-GB"/>
              </w:rPr>
              <w:t>38,183</w:t>
            </w:r>
          </w:p>
        </w:tc>
        <w:tc>
          <w:tcPr>
            <w:tcW w:w="1125" w:type="dxa"/>
            <w:tcBorders>
              <w:top w:val="single" w:sz="4" w:space="0" w:color="auto"/>
              <w:left w:val="nil"/>
              <w:bottom w:val="single" w:sz="4" w:space="0" w:color="auto"/>
              <w:right w:val="nil"/>
            </w:tcBorders>
            <w:vAlign w:val="center"/>
          </w:tcPr>
          <w:p w14:paraId="7997517C" w14:textId="010B1A72" w:rsidR="007A7385" w:rsidRPr="00B97908" w:rsidRDefault="007A7385" w:rsidP="007A7385">
            <w:pPr>
              <w:pStyle w:val="NoSpacing"/>
              <w:spacing w:after="0"/>
              <w:jc w:val="right"/>
              <w:rPr>
                <w:lang w:val="en-GB"/>
              </w:rPr>
            </w:pPr>
            <w:r w:rsidRPr="000D1464">
              <w:rPr>
                <w:lang w:val="en-GB"/>
              </w:rPr>
              <w:t>509</w:t>
            </w:r>
          </w:p>
        </w:tc>
        <w:tc>
          <w:tcPr>
            <w:tcW w:w="1263" w:type="dxa"/>
            <w:tcBorders>
              <w:top w:val="single" w:sz="4" w:space="0" w:color="auto"/>
              <w:left w:val="nil"/>
              <w:bottom w:val="single" w:sz="4" w:space="0" w:color="auto"/>
              <w:right w:val="single" w:sz="4" w:space="0" w:color="auto"/>
            </w:tcBorders>
            <w:vAlign w:val="center"/>
          </w:tcPr>
          <w:p w14:paraId="3D1DF9DC" w14:textId="16C0A0E6" w:rsidR="007A7385" w:rsidRPr="00B97908" w:rsidRDefault="007A7385" w:rsidP="007A7385">
            <w:pPr>
              <w:pStyle w:val="NoSpacing"/>
              <w:spacing w:after="0"/>
              <w:jc w:val="right"/>
              <w:rPr>
                <w:lang w:val="en-GB"/>
              </w:rPr>
            </w:pPr>
            <w:r w:rsidRPr="000D1464">
              <w:rPr>
                <w:lang w:val="en-GB"/>
              </w:rPr>
              <w:t>10</w:t>
            </w:r>
            <w:r>
              <w:rPr>
                <w:lang w:val="en-GB"/>
              </w:rPr>
              <w:t>,</w:t>
            </w:r>
            <w:r w:rsidRPr="000D1464">
              <w:rPr>
                <w:lang w:val="en-GB"/>
              </w:rPr>
              <w:t>335</w:t>
            </w:r>
          </w:p>
        </w:tc>
      </w:tr>
      <w:tr w:rsidR="007A7385" w:rsidRPr="00B97908" w14:paraId="4D2FC83F" w14:textId="77777777" w:rsidTr="007A2057">
        <w:trPr>
          <w:trHeight w:val="397"/>
        </w:trPr>
        <w:tc>
          <w:tcPr>
            <w:tcW w:w="3007" w:type="dxa"/>
            <w:tcBorders>
              <w:top w:val="single" w:sz="4" w:space="0" w:color="auto"/>
              <w:left w:val="single" w:sz="4" w:space="0" w:color="auto"/>
              <w:bottom w:val="single" w:sz="4" w:space="0" w:color="auto"/>
              <w:right w:val="nil"/>
            </w:tcBorders>
            <w:vAlign w:val="center"/>
          </w:tcPr>
          <w:p w14:paraId="3FA15892" w14:textId="2A863D47" w:rsidR="007A7385" w:rsidRDefault="007A7385" w:rsidP="007A7385">
            <w:pPr>
              <w:pStyle w:val="NoSpacing"/>
              <w:spacing w:after="0"/>
              <w:rPr>
                <w:lang w:val="en-GB"/>
              </w:rPr>
            </w:pPr>
            <w:r w:rsidRPr="00B97908">
              <w:rPr>
                <w:lang w:val="en-GB"/>
              </w:rPr>
              <w:t>Personality disorders</w:t>
            </w:r>
          </w:p>
        </w:tc>
        <w:tc>
          <w:tcPr>
            <w:tcW w:w="571" w:type="dxa"/>
            <w:tcBorders>
              <w:top w:val="single" w:sz="4" w:space="0" w:color="auto"/>
              <w:left w:val="nil"/>
              <w:bottom w:val="single" w:sz="4" w:space="0" w:color="auto"/>
              <w:right w:val="nil"/>
            </w:tcBorders>
            <w:vAlign w:val="center"/>
          </w:tcPr>
          <w:p w14:paraId="2BCFAE9C" w14:textId="5DB0CEE1" w:rsidR="007A7385" w:rsidRPr="00B97908" w:rsidRDefault="007A7385" w:rsidP="007A7385">
            <w:pPr>
              <w:pStyle w:val="NoSpacing"/>
              <w:spacing w:after="0"/>
              <w:jc w:val="center"/>
              <w:rPr>
                <w:lang w:val="en-GB"/>
              </w:rPr>
            </w:pPr>
            <w:r w:rsidRPr="00B97908">
              <w:rPr>
                <w:lang w:val="en-GB"/>
              </w:rPr>
              <w:t>3</w:t>
            </w:r>
          </w:p>
        </w:tc>
        <w:tc>
          <w:tcPr>
            <w:tcW w:w="1391" w:type="dxa"/>
            <w:tcBorders>
              <w:top w:val="single" w:sz="4" w:space="0" w:color="auto"/>
              <w:left w:val="nil"/>
              <w:bottom w:val="single" w:sz="4" w:space="0" w:color="auto"/>
              <w:right w:val="nil"/>
            </w:tcBorders>
            <w:vAlign w:val="center"/>
          </w:tcPr>
          <w:p w14:paraId="596A5AC8" w14:textId="62FD8266" w:rsidR="007A7385" w:rsidRDefault="007A7385" w:rsidP="007A7385">
            <w:pPr>
              <w:pStyle w:val="NoSpacing"/>
              <w:spacing w:after="0"/>
              <w:jc w:val="right"/>
              <w:rPr>
                <w:lang w:val="en-GB"/>
              </w:rPr>
            </w:pPr>
            <w:r>
              <w:rPr>
                <w:lang w:val="en-GB"/>
              </w:rPr>
              <w:t>6,855</w:t>
            </w:r>
          </w:p>
        </w:tc>
        <w:tc>
          <w:tcPr>
            <w:tcW w:w="1536" w:type="dxa"/>
            <w:tcBorders>
              <w:top w:val="single" w:sz="4" w:space="0" w:color="auto"/>
              <w:left w:val="nil"/>
              <w:bottom w:val="single" w:sz="4" w:space="0" w:color="auto"/>
              <w:right w:val="nil"/>
            </w:tcBorders>
            <w:vAlign w:val="center"/>
          </w:tcPr>
          <w:p w14:paraId="602988C4" w14:textId="32807C24" w:rsidR="007A7385" w:rsidRPr="00455BE9" w:rsidRDefault="007A7385" w:rsidP="007A7385">
            <w:pPr>
              <w:pStyle w:val="NoSpacing"/>
              <w:spacing w:after="0"/>
              <w:jc w:val="right"/>
              <w:rPr>
                <w:lang w:val="en-GB"/>
              </w:rPr>
            </w:pPr>
            <w:r w:rsidRPr="00455BE9">
              <w:rPr>
                <w:lang w:val="en-GB"/>
              </w:rPr>
              <w:t>6</w:t>
            </w:r>
            <w:r>
              <w:rPr>
                <w:lang w:val="en-GB"/>
              </w:rPr>
              <w:t>,</w:t>
            </w:r>
            <w:r w:rsidRPr="00455BE9">
              <w:rPr>
                <w:lang w:val="en-GB"/>
              </w:rPr>
              <w:t>668</w:t>
            </w:r>
          </w:p>
        </w:tc>
        <w:tc>
          <w:tcPr>
            <w:tcW w:w="1118" w:type="dxa"/>
            <w:tcBorders>
              <w:top w:val="single" w:sz="4" w:space="0" w:color="auto"/>
              <w:left w:val="nil"/>
              <w:bottom w:val="single" w:sz="4" w:space="0" w:color="auto"/>
              <w:right w:val="nil"/>
            </w:tcBorders>
            <w:vAlign w:val="center"/>
          </w:tcPr>
          <w:p w14:paraId="3470A670" w14:textId="062738F0" w:rsidR="007A7385" w:rsidRDefault="007A7385" w:rsidP="007A7385">
            <w:pPr>
              <w:pStyle w:val="NoSpacing"/>
              <w:spacing w:after="0"/>
              <w:jc w:val="right"/>
              <w:rPr>
                <w:lang w:val="en-GB"/>
              </w:rPr>
            </w:pPr>
            <w:r w:rsidRPr="00455BE9">
              <w:rPr>
                <w:lang w:val="en-GB"/>
              </w:rPr>
              <w:t>3</w:t>
            </w:r>
            <w:r>
              <w:rPr>
                <w:lang w:val="en-GB"/>
              </w:rPr>
              <w:t>,</w:t>
            </w:r>
            <w:r w:rsidRPr="00455BE9">
              <w:rPr>
                <w:lang w:val="en-GB"/>
              </w:rPr>
              <w:t>547</w:t>
            </w:r>
          </w:p>
        </w:tc>
        <w:tc>
          <w:tcPr>
            <w:tcW w:w="1284" w:type="dxa"/>
            <w:tcBorders>
              <w:top w:val="single" w:sz="4" w:space="0" w:color="auto"/>
              <w:left w:val="nil"/>
              <w:bottom w:val="single" w:sz="4" w:space="0" w:color="auto"/>
              <w:right w:val="nil"/>
            </w:tcBorders>
            <w:vAlign w:val="center"/>
          </w:tcPr>
          <w:p w14:paraId="60ADEB5B" w14:textId="29C00A15" w:rsidR="007A7385" w:rsidRDefault="007A7385" w:rsidP="007A7385">
            <w:pPr>
              <w:pStyle w:val="NoSpacing"/>
              <w:spacing w:after="0"/>
              <w:jc w:val="right"/>
              <w:rPr>
                <w:lang w:val="en-GB"/>
              </w:rPr>
            </w:pPr>
            <w:r w:rsidRPr="00455BE9">
              <w:rPr>
                <w:lang w:val="en-GB"/>
              </w:rPr>
              <w:t>9</w:t>
            </w:r>
            <w:r>
              <w:rPr>
                <w:lang w:val="en-GB"/>
              </w:rPr>
              <w:t>,</w:t>
            </w:r>
            <w:r w:rsidRPr="00455BE9">
              <w:rPr>
                <w:lang w:val="en-GB"/>
              </w:rPr>
              <w:t>602</w:t>
            </w:r>
          </w:p>
        </w:tc>
        <w:tc>
          <w:tcPr>
            <w:tcW w:w="1125" w:type="dxa"/>
            <w:tcBorders>
              <w:top w:val="single" w:sz="4" w:space="0" w:color="auto"/>
              <w:left w:val="nil"/>
              <w:bottom w:val="single" w:sz="4" w:space="0" w:color="auto"/>
              <w:right w:val="nil"/>
            </w:tcBorders>
            <w:vAlign w:val="center"/>
          </w:tcPr>
          <w:p w14:paraId="0B2AE5A4" w14:textId="474F98A0" w:rsidR="007A7385" w:rsidRPr="000D1464" w:rsidRDefault="007A7385" w:rsidP="007A7385">
            <w:pPr>
              <w:pStyle w:val="NoSpacing"/>
              <w:spacing w:after="0"/>
              <w:jc w:val="right"/>
              <w:rPr>
                <w:lang w:val="en-GB"/>
              </w:rPr>
            </w:pPr>
            <w:r w:rsidRPr="000D1464">
              <w:rPr>
                <w:lang w:val="en-GB"/>
              </w:rPr>
              <w:t>5</w:t>
            </w:r>
            <w:r>
              <w:rPr>
                <w:lang w:val="en-GB"/>
              </w:rPr>
              <w:t>,</w:t>
            </w:r>
            <w:r w:rsidRPr="000D1464">
              <w:rPr>
                <w:lang w:val="en-GB"/>
              </w:rPr>
              <w:t>201</w:t>
            </w:r>
          </w:p>
        </w:tc>
        <w:tc>
          <w:tcPr>
            <w:tcW w:w="1263" w:type="dxa"/>
            <w:tcBorders>
              <w:top w:val="single" w:sz="4" w:space="0" w:color="auto"/>
              <w:left w:val="nil"/>
              <w:bottom w:val="single" w:sz="4" w:space="0" w:color="auto"/>
              <w:right w:val="single" w:sz="4" w:space="0" w:color="auto"/>
            </w:tcBorders>
            <w:vAlign w:val="center"/>
          </w:tcPr>
          <w:p w14:paraId="07B8876B" w14:textId="365308D2" w:rsidR="007A7385" w:rsidRPr="000D1464" w:rsidRDefault="007A7385" w:rsidP="007A7385">
            <w:pPr>
              <w:pStyle w:val="NoSpacing"/>
              <w:spacing w:after="0"/>
              <w:jc w:val="right"/>
              <w:rPr>
                <w:lang w:val="en-GB"/>
              </w:rPr>
            </w:pPr>
            <w:r w:rsidRPr="000D1464">
              <w:rPr>
                <w:lang w:val="en-GB"/>
              </w:rPr>
              <w:t>8</w:t>
            </w:r>
            <w:r>
              <w:rPr>
                <w:lang w:val="en-GB"/>
              </w:rPr>
              <w:t>,</w:t>
            </w:r>
            <w:r w:rsidRPr="000D1464">
              <w:rPr>
                <w:lang w:val="en-GB"/>
              </w:rPr>
              <w:t>229</w:t>
            </w:r>
          </w:p>
        </w:tc>
      </w:tr>
      <w:tr w:rsidR="007A7385" w:rsidRPr="00B97908" w14:paraId="5ECC3D72" w14:textId="77777777" w:rsidTr="007A2057">
        <w:trPr>
          <w:trHeight w:val="397"/>
        </w:trPr>
        <w:tc>
          <w:tcPr>
            <w:tcW w:w="3007" w:type="dxa"/>
            <w:tcBorders>
              <w:top w:val="single" w:sz="4" w:space="0" w:color="auto"/>
              <w:left w:val="single" w:sz="4" w:space="0" w:color="auto"/>
              <w:bottom w:val="single" w:sz="4" w:space="0" w:color="auto"/>
              <w:right w:val="nil"/>
            </w:tcBorders>
            <w:vAlign w:val="center"/>
          </w:tcPr>
          <w:p w14:paraId="76C33D0C" w14:textId="1A11C22D" w:rsidR="007A7385" w:rsidRDefault="007A7385" w:rsidP="007A7385">
            <w:pPr>
              <w:pStyle w:val="NoSpacing"/>
              <w:spacing w:after="0"/>
              <w:rPr>
                <w:lang w:val="en-GB"/>
              </w:rPr>
            </w:pPr>
            <w:r w:rsidRPr="00B97908">
              <w:rPr>
                <w:lang w:val="en-GB"/>
              </w:rPr>
              <w:t>Intellectual disabilities</w:t>
            </w:r>
          </w:p>
        </w:tc>
        <w:tc>
          <w:tcPr>
            <w:tcW w:w="571" w:type="dxa"/>
            <w:tcBorders>
              <w:top w:val="single" w:sz="4" w:space="0" w:color="auto"/>
              <w:left w:val="nil"/>
              <w:bottom w:val="single" w:sz="4" w:space="0" w:color="auto"/>
              <w:right w:val="nil"/>
            </w:tcBorders>
            <w:vAlign w:val="center"/>
          </w:tcPr>
          <w:p w14:paraId="3B09EAC6" w14:textId="33D4F0AD" w:rsidR="007A7385" w:rsidRPr="00B97908" w:rsidRDefault="007A7385" w:rsidP="007A7385">
            <w:pPr>
              <w:pStyle w:val="NoSpacing"/>
              <w:spacing w:after="0"/>
              <w:jc w:val="center"/>
              <w:rPr>
                <w:lang w:val="en-GB"/>
              </w:rPr>
            </w:pPr>
            <w:r w:rsidRPr="00B97908">
              <w:rPr>
                <w:lang w:val="en-GB"/>
              </w:rPr>
              <w:t>-</w:t>
            </w:r>
          </w:p>
        </w:tc>
        <w:tc>
          <w:tcPr>
            <w:tcW w:w="1391" w:type="dxa"/>
            <w:tcBorders>
              <w:top w:val="single" w:sz="4" w:space="0" w:color="auto"/>
              <w:left w:val="nil"/>
              <w:bottom w:val="single" w:sz="4" w:space="0" w:color="auto"/>
              <w:right w:val="nil"/>
            </w:tcBorders>
            <w:vAlign w:val="center"/>
          </w:tcPr>
          <w:p w14:paraId="068079B0" w14:textId="0B21DC17" w:rsidR="007A7385" w:rsidRDefault="007A7385" w:rsidP="007A7385">
            <w:pPr>
              <w:pStyle w:val="NoSpacing"/>
              <w:spacing w:after="0"/>
              <w:jc w:val="right"/>
              <w:rPr>
                <w:lang w:val="en-GB"/>
              </w:rPr>
            </w:pPr>
            <w:r>
              <w:rPr>
                <w:lang w:val="en-GB"/>
              </w:rPr>
              <w:t>-</w:t>
            </w:r>
          </w:p>
        </w:tc>
        <w:tc>
          <w:tcPr>
            <w:tcW w:w="1536" w:type="dxa"/>
            <w:tcBorders>
              <w:top w:val="single" w:sz="4" w:space="0" w:color="auto"/>
              <w:left w:val="nil"/>
              <w:bottom w:val="single" w:sz="4" w:space="0" w:color="auto"/>
              <w:right w:val="nil"/>
            </w:tcBorders>
            <w:vAlign w:val="center"/>
          </w:tcPr>
          <w:p w14:paraId="09C8FA8E" w14:textId="2D051D86" w:rsidR="007A7385" w:rsidRDefault="007A7385" w:rsidP="007A7385">
            <w:pPr>
              <w:pStyle w:val="NoSpacing"/>
              <w:spacing w:after="0"/>
              <w:jc w:val="right"/>
              <w:rPr>
                <w:lang w:val="en-GB"/>
              </w:rPr>
            </w:pPr>
            <w:r>
              <w:rPr>
                <w:lang w:val="en-GB"/>
              </w:rPr>
              <w:t>-</w:t>
            </w:r>
          </w:p>
        </w:tc>
        <w:tc>
          <w:tcPr>
            <w:tcW w:w="1118" w:type="dxa"/>
            <w:tcBorders>
              <w:top w:val="single" w:sz="4" w:space="0" w:color="auto"/>
              <w:left w:val="nil"/>
              <w:bottom w:val="single" w:sz="4" w:space="0" w:color="auto"/>
              <w:right w:val="nil"/>
            </w:tcBorders>
            <w:vAlign w:val="center"/>
          </w:tcPr>
          <w:p w14:paraId="7E40D41A" w14:textId="384A55E0" w:rsidR="007A7385" w:rsidRDefault="007A7385" w:rsidP="007A7385">
            <w:pPr>
              <w:pStyle w:val="NoSpacing"/>
              <w:spacing w:after="0"/>
              <w:jc w:val="right"/>
              <w:rPr>
                <w:lang w:val="en-GB"/>
              </w:rPr>
            </w:pPr>
            <w:r>
              <w:rPr>
                <w:lang w:val="en-GB"/>
              </w:rPr>
              <w:t>-</w:t>
            </w:r>
          </w:p>
        </w:tc>
        <w:tc>
          <w:tcPr>
            <w:tcW w:w="1284" w:type="dxa"/>
            <w:tcBorders>
              <w:top w:val="single" w:sz="4" w:space="0" w:color="auto"/>
              <w:left w:val="nil"/>
              <w:bottom w:val="single" w:sz="4" w:space="0" w:color="auto"/>
              <w:right w:val="nil"/>
            </w:tcBorders>
            <w:vAlign w:val="center"/>
          </w:tcPr>
          <w:p w14:paraId="1815E455" w14:textId="16CD550F" w:rsidR="007A7385" w:rsidRPr="007A2057" w:rsidRDefault="007A7385" w:rsidP="007A7385">
            <w:pPr>
              <w:pStyle w:val="NoSpacing"/>
              <w:spacing w:after="0"/>
              <w:jc w:val="right"/>
              <w:rPr>
                <w:lang w:val="en-GB"/>
              </w:rPr>
            </w:pPr>
            <w:r>
              <w:rPr>
                <w:lang w:val="en-GB"/>
              </w:rPr>
              <w:t>-</w:t>
            </w:r>
          </w:p>
        </w:tc>
        <w:tc>
          <w:tcPr>
            <w:tcW w:w="1125" w:type="dxa"/>
            <w:tcBorders>
              <w:top w:val="single" w:sz="4" w:space="0" w:color="auto"/>
              <w:left w:val="nil"/>
              <w:bottom w:val="single" w:sz="4" w:space="0" w:color="auto"/>
              <w:right w:val="nil"/>
            </w:tcBorders>
            <w:vAlign w:val="center"/>
          </w:tcPr>
          <w:p w14:paraId="1AE54029" w14:textId="5E44DC64" w:rsidR="007A7385" w:rsidRPr="002E293E" w:rsidRDefault="007A7385" w:rsidP="007A7385">
            <w:pPr>
              <w:pStyle w:val="NoSpacing"/>
              <w:spacing w:after="0"/>
              <w:jc w:val="right"/>
              <w:rPr>
                <w:lang w:val="en-GB"/>
              </w:rPr>
            </w:pPr>
            <w:r>
              <w:rPr>
                <w:lang w:val="en-GB"/>
              </w:rPr>
              <w:t>-</w:t>
            </w:r>
          </w:p>
        </w:tc>
        <w:tc>
          <w:tcPr>
            <w:tcW w:w="1263" w:type="dxa"/>
            <w:tcBorders>
              <w:top w:val="single" w:sz="4" w:space="0" w:color="auto"/>
              <w:left w:val="nil"/>
              <w:bottom w:val="single" w:sz="4" w:space="0" w:color="auto"/>
              <w:right w:val="single" w:sz="4" w:space="0" w:color="auto"/>
            </w:tcBorders>
            <w:vAlign w:val="center"/>
          </w:tcPr>
          <w:p w14:paraId="67DB2FF8" w14:textId="2F3B895F" w:rsidR="007A7385" w:rsidRPr="002E293E" w:rsidRDefault="007A7385" w:rsidP="007A7385">
            <w:pPr>
              <w:pStyle w:val="NoSpacing"/>
              <w:spacing w:after="0"/>
              <w:jc w:val="right"/>
              <w:rPr>
                <w:lang w:val="en-GB"/>
              </w:rPr>
            </w:pPr>
            <w:r>
              <w:rPr>
                <w:lang w:val="en-GB"/>
              </w:rPr>
              <w:t>-</w:t>
            </w:r>
          </w:p>
        </w:tc>
      </w:tr>
      <w:tr w:rsidR="007A7385" w:rsidRPr="00B97908" w14:paraId="7C634FF2" w14:textId="77777777" w:rsidTr="007A2057">
        <w:trPr>
          <w:trHeight w:val="397"/>
        </w:trPr>
        <w:tc>
          <w:tcPr>
            <w:tcW w:w="3007" w:type="dxa"/>
            <w:tcBorders>
              <w:top w:val="single" w:sz="4" w:space="0" w:color="auto"/>
              <w:left w:val="single" w:sz="4" w:space="0" w:color="auto"/>
              <w:bottom w:val="single" w:sz="4" w:space="0" w:color="auto"/>
              <w:right w:val="nil"/>
            </w:tcBorders>
            <w:vAlign w:val="center"/>
          </w:tcPr>
          <w:p w14:paraId="1F362879" w14:textId="3D7757CA" w:rsidR="007A7385" w:rsidRDefault="007A7385" w:rsidP="007A7385">
            <w:pPr>
              <w:pStyle w:val="NoSpacing"/>
              <w:spacing w:after="0"/>
              <w:rPr>
                <w:lang w:val="en-GB"/>
              </w:rPr>
            </w:pPr>
            <w:r w:rsidRPr="00B97908">
              <w:rPr>
                <w:lang w:val="en-GB"/>
              </w:rPr>
              <w:t>Developmental disorders</w:t>
            </w:r>
          </w:p>
        </w:tc>
        <w:tc>
          <w:tcPr>
            <w:tcW w:w="571" w:type="dxa"/>
            <w:tcBorders>
              <w:top w:val="single" w:sz="4" w:space="0" w:color="auto"/>
              <w:left w:val="nil"/>
              <w:bottom w:val="single" w:sz="4" w:space="0" w:color="auto"/>
              <w:right w:val="nil"/>
            </w:tcBorders>
            <w:vAlign w:val="center"/>
          </w:tcPr>
          <w:p w14:paraId="7BBB7542" w14:textId="35F66A12" w:rsidR="007A7385" w:rsidRPr="00B97908" w:rsidRDefault="007A7385" w:rsidP="007A7385">
            <w:pPr>
              <w:pStyle w:val="NoSpacing"/>
              <w:spacing w:after="0"/>
              <w:jc w:val="center"/>
              <w:rPr>
                <w:lang w:val="en-GB"/>
              </w:rPr>
            </w:pPr>
            <w:r w:rsidRPr="00B97908">
              <w:rPr>
                <w:lang w:val="en-GB"/>
              </w:rPr>
              <w:t>2</w:t>
            </w:r>
          </w:p>
        </w:tc>
        <w:tc>
          <w:tcPr>
            <w:tcW w:w="1391" w:type="dxa"/>
            <w:tcBorders>
              <w:top w:val="single" w:sz="4" w:space="0" w:color="auto"/>
              <w:left w:val="nil"/>
              <w:bottom w:val="single" w:sz="4" w:space="0" w:color="auto"/>
              <w:right w:val="nil"/>
            </w:tcBorders>
            <w:vAlign w:val="center"/>
          </w:tcPr>
          <w:p w14:paraId="618E53DE" w14:textId="494FF773" w:rsidR="007A7385" w:rsidRPr="00B97908" w:rsidRDefault="007A7385" w:rsidP="007A7385">
            <w:pPr>
              <w:pStyle w:val="NoSpacing"/>
              <w:spacing w:after="0"/>
              <w:jc w:val="right"/>
              <w:rPr>
                <w:lang w:val="en-GB"/>
              </w:rPr>
            </w:pPr>
            <w:r>
              <w:rPr>
                <w:lang w:val="en-GB"/>
              </w:rPr>
              <w:t>16,783</w:t>
            </w:r>
          </w:p>
        </w:tc>
        <w:tc>
          <w:tcPr>
            <w:tcW w:w="1536" w:type="dxa"/>
            <w:tcBorders>
              <w:top w:val="single" w:sz="4" w:space="0" w:color="auto"/>
              <w:left w:val="nil"/>
              <w:bottom w:val="single" w:sz="4" w:space="0" w:color="auto"/>
              <w:right w:val="nil"/>
            </w:tcBorders>
            <w:vAlign w:val="center"/>
          </w:tcPr>
          <w:p w14:paraId="2C346542" w14:textId="1BD4D87D" w:rsidR="007A7385" w:rsidRPr="00B97908" w:rsidRDefault="007A7385" w:rsidP="007A7385">
            <w:pPr>
              <w:pStyle w:val="NoSpacing"/>
              <w:spacing w:after="0"/>
              <w:jc w:val="right"/>
              <w:rPr>
                <w:lang w:val="en-GB"/>
              </w:rPr>
            </w:pPr>
            <w:r w:rsidRPr="00455BE9">
              <w:rPr>
                <w:lang w:val="en-GB"/>
              </w:rPr>
              <w:t>16,783</w:t>
            </w:r>
          </w:p>
        </w:tc>
        <w:tc>
          <w:tcPr>
            <w:tcW w:w="1118" w:type="dxa"/>
            <w:tcBorders>
              <w:top w:val="single" w:sz="4" w:space="0" w:color="auto"/>
              <w:left w:val="nil"/>
              <w:bottom w:val="single" w:sz="4" w:space="0" w:color="auto"/>
              <w:right w:val="nil"/>
            </w:tcBorders>
            <w:vAlign w:val="center"/>
          </w:tcPr>
          <w:p w14:paraId="711D673F" w14:textId="4F81E17E" w:rsidR="007A7385" w:rsidRPr="00B97908" w:rsidRDefault="007A7385" w:rsidP="007A7385">
            <w:pPr>
              <w:pStyle w:val="NoSpacing"/>
              <w:spacing w:after="0"/>
              <w:jc w:val="right"/>
              <w:rPr>
                <w:lang w:val="en-GB"/>
              </w:rPr>
            </w:pPr>
            <w:r>
              <w:rPr>
                <w:lang w:val="en-GB"/>
              </w:rPr>
              <w:t>4,236</w:t>
            </w:r>
          </w:p>
        </w:tc>
        <w:tc>
          <w:tcPr>
            <w:tcW w:w="1284" w:type="dxa"/>
            <w:tcBorders>
              <w:top w:val="single" w:sz="4" w:space="0" w:color="auto"/>
              <w:left w:val="nil"/>
              <w:bottom w:val="single" w:sz="4" w:space="0" w:color="auto"/>
              <w:right w:val="nil"/>
            </w:tcBorders>
            <w:vAlign w:val="center"/>
          </w:tcPr>
          <w:p w14:paraId="100EC6AA" w14:textId="44B46D73" w:rsidR="007A7385" w:rsidRPr="00B97908" w:rsidRDefault="007A7385" w:rsidP="007A7385">
            <w:pPr>
              <w:pStyle w:val="NoSpacing"/>
              <w:spacing w:after="0"/>
              <w:jc w:val="right"/>
              <w:rPr>
                <w:lang w:val="en-GB"/>
              </w:rPr>
            </w:pPr>
            <w:r w:rsidRPr="00455BE9">
              <w:rPr>
                <w:lang w:val="en-GB"/>
              </w:rPr>
              <w:t>29</w:t>
            </w:r>
            <w:r>
              <w:rPr>
                <w:lang w:val="en-GB"/>
              </w:rPr>
              <w:t>,</w:t>
            </w:r>
            <w:r w:rsidRPr="00455BE9">
              <w:rPr>
                <w:lang w:val="en-GB"/>
              </w:rPr>
              <w:t>330</w:t>
            </w:r>
          </w:p>
        </w:tc>
        <w:tc>
          <w:tcPr>
            <w:tcW w:w="1125" w:type="dxa"/>
            <w:tcBorders>
              <w:top w:val="single" w:sz="4" w:space="0" w:color="auto"/>
              <w:left w:val="nil"/>
              <w:bottom w:val="single" w:sz="4" w:space="0" w:color="auto"/>
              <w:right w:val="nil"/>
            </w:tcBorders>
            <w:vAlign w:val="center"/>
          </w:tcPr>
          <w:p w14:paraId="21E81517" w14:textId="58D7A3FA" w:rsidR="007A7385" w:rsidRPr="002E293E" w:rsidRDefault="007A7385" w:rsidP="007A7385">
            <w:pPr>
              <w:pStyle w:val="NoSpacing"/>
              <w:spacing w:after="0"/>
              <w:jc w:val="right"/>
              <w:rPr>
                <w:lang w:val="en-GB"/>
              </w:rPr>
            </w:pPr>
            <w:r w:rsidRPr="000D1464">
              <w:rPr>
                <w:lang w:val="en-GB"/>
              </w:rPr>
              <w:t>10</w:t>
            </w:r>
            <w:r>
              <w:rPr>
                <w:lang w:val="en-GB"/>
              </w:rPr>
              <w:t>,</w:t>
            </w:r>
            <w:r w:rsidRPr="000D1464">
              <w:rPr>
                <w:lang w:val="en-GB"/>
              </w:rPr>
              <w:t>509</w:t>
            </w:r>
          </w:p>
        </w:tc>
        <w:tc>
          <w:tcPr>
            <w:tcW w:w="1263" w:type="dxa"/>
            <w:tcBorders>
              <w:top w:val="single" w:sz="4" w:space="0" w:color="auto"/>
              <w:left w:val="nil"/>
              <w:bottom w:val="single" w:sz="4" w:space="0" w:color="auto"/>
              <w:right w:val="single" w:sz="4" w:space="0" w:color="auto"/>
            </w:tcBorders>
            <w:vAlign w:val="center"/>
          </w:tcPr>
          <w:p w14:paraId="5F7DE912" w14:textId="722CD86A" w:rsidR="007A7385" w:rsidRPr="002E293E" w:rsidRDefault="007A7385" w:rsidP="007A7385">
            <w:pPr>
              <w:pStyle w:val="NoSpacing"/>
              <w:spacing w:after="0"/>
              <w:jc w:val="right"/>
              <w:rPr>
                <w:lang w:val="en-GB"/>
              </w:rPr>
            </w:pPr>
            <w:r w:rsidRPr="000D1464">
              <w:rPr>
                <w:lang w:val="en-GB"/>
              </w:rPr>
              <w:t>23</w:t>
            </w:r>
            <w:r>
              <w:rPr>
                <w:lang w:val="en-GB"/>
              </w:rPr>
              <w:t>,</w:t>
            </w:r>
            <w:r w:rsidRPr="000D1464">
              <w:rPr>
                <w:lang w:val="en-GB"/>
              </w:rPr>
              <w:t>056</w:t>
            </w:r>
          </w:p>
        </w:tc>
      </w:tr>
      <w:tr w:rsidR="007A7385" w:rsidRPr="00B97908" w14:paraId="0A0CE930" w14:textId="77777777" w:rsidTr="007A2057">
        <w:trPr>
          <w:trHeight w:val="397"/>
        </w:trPr>
        <w:tc>
          <w:tcPr>
            <w:tcW w:w="3007" w:type="dxa"/>
            <w:tcBorders>
              <w:top w:val="single" w:sz="4" w:space="0" w:color="auto"/>
              <w:left w:val="single" w:sz="4" w:space="0" w:color="auto"/>
              <w:bottom w:val="single" w:sz="4" w:space="0" w:color="auto"/>
              <w:right w:val="nil"/>
            </w:tcBorders>
            <w:vAlign w:val="center"/>
          </w:tcPr>
          <w:p w14:paraId="475B20CE" w14:textId="59F048FC" w:rsidR="007A7385" w:rsidRPr="00B97908" w:rsidRDefault="007A7385" w:rsidP="007A7385">
            <w:pPr>
              <w:pStyle w:val="NoSpacing"/>
              <w:spacing w:after="0"/>
              <w:rPr>
                <w:lang w:val="en-GB"/>
              </w:rPr>
            </w:pPr>
            <w:r w:rsidRPr="00B97908">
              <w:rPr>
                <w:lang w:val="en-GB"/>
              </w:rPr>
              <w:t>Behavioural disorders</w:t>
            </w:r>
          </w:p>
        </w:tc>
        <w:tc>
          <w:tcPr>
            <w:tcW w:w="571" w:type="dxa"/>
            <w:tcBorders>
              <w:top w:val="single" w:sz="4" w:space="0" w:color="auto"/>
              <w:left w:val="nil"/>
              <w:bottom w:val="single" w:sz="4" w:space="0" w:color="auto"/>
              <w:right w:val="nil"/>
            </w:tcBorders>
            <w:vAlign w:val="center"/>
          </w:tcPr>
          <w:p w14:paraId="0E065695" w14:textId="25EF8891" w:rsidR="007A7385" w:rsidRPr="00B97908" w:rsidRDefault="007A7385" w:rsidP="007A7385">
            <w:pPr>
              <w:pStyle w:val="NoSpacing"/>
              <w:spacing w:after="0"/>
              <w:jc w:val="center"/>
              <w:rPr>
                <w:lang w:val="en-GB"/>
              </w:rPr>
            </w:pPr>
            <w:r w:rsidRPr="00B97908">
              <w:rPr>
                <w:lang w:val="en-GB"/>
              </w:rPr>
              <w:t>5</w:t>
            </w:r>
          </w:p>
        </w:tc>
        <w:tc>
          <w:tcPr>
            <w:tcW w:w="1391" w:type="dxa"/>
            <w:tcBorders>
              <w:top w:val="single" w:sz="4" w:space="0" w:color="auto"/>
              <w:left w:val="nil"/>
              <w:bottom w:val="single" w:sz="4" w:space="0" w:color="auto"/>
              <w:right w:val="nil"/>
            </w:tcBorders>
            <w:vAlign w:val="center"/>
          </w:tcPr>
          <w:p w14:paraId="24343A25" w14:textId="7156DFBD" w:rsidR="007A7385" w:rsidRPr="00B97908" w:rsidRDefault="007A7385" w:rsidP="007A7385">
            <w:pPr>
              <w:pStyle w:val="NoSpacing"/>
              <w:spacing w:after="0"/>
              <w:jc w:val="right"/>
              <w:rPr>
                <w:lang w:val="en-GB"/>
              </w:rPr>
            </w:pPr>
            <w:r>
              <w:rPr>
                <w:lang w:val="en-GB"/>
              </w:rPr>
              <w:t>2,151</w:t>
            </w:r>
          </w:p>
        </w:tc>
        <w:tc>
          <w:tcPr>
            <w:tcW w:w="1536" w:type="dxa"/>
            <w:tcBorders>
              <w:top w:val="single" w:sz="4" w:space="0" w:color="auto"/>
              <w:left w:val="nil"/>
              <w:bottom w:val="single" w:sz="4" w:space="0" w:color="auto"/>
              <w:right w:val="nil"/>
            </w:tcBorders>
            <w:vAlign w:val="center"/>
          </w:tcPr>
          <w:p w14:paraId="02A750C5" w14:textId="2CD2574A" w:rsidR="007A7385" w:rsidRPr="00B97908" w:rsidRDefault="007A7385" w:rsidP="007A7385">
            <w:pPr>
              <w:pStyle w:val="NoSpacing"/>
              <w:spacing w:after="0"/>
              <w:jc w:val="right"/>
              <w:rPr>
                <w:lang w:val="en-GB"/>
              </w:rPr>
            </w:pPr>
            <w:r>
              <w:rPr>
                <w:lang w:val="en-GB"/>
              </w:rPr>
              <w:t>5,347</w:t>
            </w:r>
          </w:p>
        </w:tc>
        <w:tc>
          <w:tcPr>
            <w:tcW w:w="1118" w:type="dxa"/>
            <w:tcBorders>
              <w:top w:val="single" w:sz="4" w:space="0" w:color="auto"/>
              <w:left w:val="nil"/>
              <w:bottom w:val="single" w:sz="4" w:space="0" w:color="auto"/>
              <w:right w:val="nil"/>
            </w:tcBorders>
            <w:vAlign w:val="center"/>
          </w:tcPr>
          <w:p w14:paraId="67D2594D" w14:textId="1C6B6EA7" w:rsidR="007A7385" w:rsidRPr="00B97908" w:rsidRDefault="007A7385" w:rsidP="007A7385">
            <w:pPr>
              <w:pStyle w:val="NoSpacing"/>
              <w:spacing w:after="0"/>
              <w:jc w:val="right"/>
              <w:rPr>
                <w:lang w:val="en-GB"/>
              </w:rPr>
            </w:pPr>
            <w:r>
              <w:rPr>
                <w:lang w:val="en-GB"/>
              </w:rPr>
              <w:t>840</w:t>
            </w:r>
          </w:p>
        </w:tc>
        <w:tc>
          <w:tcPr>
            <w:tcW w:w="1284" w:type="dxa"/>
            <w:tcBorders>
              <w:top w:val="single" w:sz="4" w:space="0" w:color="auto"/>
              <w:left w:val="nil"/>
              <w:bottom w:val="single" w:sz="4" w:space="0" w:color="auto"/>
              <w:right w:val="nil"/>
            </w:tcBorders>
            <w:vAlign w:val="center"/>
          </w:tcPr>
          <w:p w14:paraId="0BB8C09C" w14:textId="6080BC0E" w:rsidR="007A7385" w:rsidRPr="00B97908" w:rsidRDefault="007A7385" w:rsidP="007A7385">
            <w:pPr>
              <w:pStyle w:val="NoSpacing"/>
              <w:spacing w:after="0"/>
              <w:jc w:val="right"/>
              <w:rPr>
                <w:lang w:val="en-GB"/>
              </w:rPr>
            </w:pPr>
            <w:r>
              <w:rPr>
                <w:lang w:val="en-GB"/>
              </w:rPr>
              <w:t>12,588</w:t>
            </w:r>
          </w:p>
        </w:tc>
        <w:tc>
          <w:tcPr>
            <w:tcW w:w="1125" w:type="dxa"/>
            <w:tcBorders>
              <w:top w:val="single" w:sz="4" w:space="0" w:color="auto"/>
              <w:left w:val="nil"/>
              <w:bottom w:val="single" w:sz="4" w:space="0" w:color="auto"/>
              <w:right w:val="nil"/>
            </w:tcBorders>
            <w:vAlign w:val="center"/>
          </w:tcPr>
          <w:p w14:paraId="49C1DECA" w14:textId="45BB588D" w:rsidR="007A7385" w:rsidRPr="002E293E" w:rsidRDefault="007A7385" w:rsidP="007A7385">
            <w:pPr>
              <w:pStyle w:val="NoSpacing"/>
              <w:spacing w:after="0"/>
              <w:jc w:val="right"/>
              <w:rPr>
                <w:lang w:val="en-GB"/>
              </w:rPr>
            </w:pPr>
            <w:r w:rsidRPr="00504B99">
              <w:rPr>
                <w:lang w:val="en-GB"/>
              </w:rPr>
              <w:t>1</w:t>
            </w:r>
            <w:r>
              <w:rPr>
                <w:lang w:val="en-GB"/>
              </w:rPr>
              <w:t>,</w:t>
            </w:r>
            <w:r w:rsidRPr="00504B99">
              <w:rPr>
                <w:lang w:val="en-GB"/>
              </w:rPr>
              <w:t>867</w:t>
            </w:r>
          </w:p>
        </w:tc>
        <w:tc>
          <w:tcPr>
            <w:tcW w:w="1263" w:type="dxa"/>
            <w:tcBorders>
              <w:top w:val="single" w:sz="4" w:space="0" w:color="auto"/>
              <w:left w:val="nil"/>
              <w:bottom w:val="single" w:sz="4" w:space="0" w:color="auto"/>
              <w:right w:val="single" w:sz="4" w:space="0" w:color="auto"/>
            </w:tcBorders>
            <w:vAlign w:val="center"/>
          </w:tcPr>
          <w:p w14:paraId="2D8CB51D" w14:textId="1199F247" w:rsidR="007A7385" w:rsidRPr="002E293E" w:rsidRDefault="007A7385" w:rsidP="007A7385">
            <w:pPr>
              <w:pStyle w:val="NoSpacing"/>
              <w:spacing w:after="0"/>
              <w:jc w:val="right"/>
              <w:rPr>
                <w:lang w:val="en-GB"/>
              </w:rPr>
            </w:pPr>
            <w:r w:rsidRPr="00504B99">
              <w:rPr>
                <w:lang w:val="en-GB"/>
              </w:rPr>
              <w:t>9</w:t>
            </w:r>
            <w:r>
              <w:rPr>
                <w:lang w:val="en-GB"/>
              </w:rPr>
              <w:t>,</w:t>
            </w:r>
            <w:r w:rsidRPr="00504B99">
              <w:rPr>
                <w:lang w:val="en-GB"/>
              </w:rPr>
              <w:t>290</w:t>
            </w:r>
          </w:p>
        </w:tc>
      </w:tr>
      <w:tr w:rsidR="007A7385" w:rsidRPr="00123872" w14:paraId="724129D1" w14:textId="77777777" w:rsidTr="007A2057">
        <w:trPr>
          <w:trHeight w:val="283"/>
        </w:trPr>
        <w:tc>
          <w:tcPr>
            <w:tcW w:w="11295" w:type="dxa"/>
            <w:gridSpan w:val="8"/>
            <w:tcBorders>
              <w:top w:val="single" w:sz="4" w:space="0" w:color="auto"/>
            </w:tcBorders>
          </w:tcPr>
          <w:p w14:paraId="1EF68460" w14:textId="51F38471" w:rsidR="007A7385" w:rsidRPr="00B97908" w:rsidRDefault="007A7385" w:rsidP="007A7385">
            <w:pPr>
              <w:pStyle w:val="NoSpacing"/>
              <w:rPr>
                <w:lang w:val="en-GB"/>
              </w:rPr>
            </w:pPr>
            <w:r w:rsidRPr="00B97908">
              <w:rPr>
                <w:sz w:val="18"/>
                <w:lang w:val="en-GB"/>
              </w:rPr>
              <w:t>N = number of estimates (etc. one study can include several estimates for different countries)</w:t>
            </w:r>
          </w:p>
        </w:tc>
      </w:tr>
    </w:tbl>
    <w:p w14:paraId="48EE3A0D" w14:textId="77777777" w:rsidR="00B97908" w:rsidRPr="00B97908" w:rsidRDefault="00B97908" w:rsidP="00B97908">
      <w:pPr>
        <w:pStyle w:val="NoSpacing"/>
        <w:rPr>
          <w:lang w:val="en-GB"/>
        </w:rPr>
      </w:pPr>
    </w:p>
    <w:p w14:paraId="4D6675D0" w14:textId="77777777" w:rsidR="00B97908" w:rsidRDefault="00B97908" w:rsidP="00B97908">
      <w:pPr>
        <w:rPr>
          <w:lang w:val="en-GB"/>
        </w:rPr>
      </w:pPr>
    </w:p>
    <w:p w14:paraId="481B2E2B" w14:textId="77777777" w:rsidR="00B97908" w:rsidRDefault="00B97908">
      <w:pPr>
        <w:rPr>
          <w:rFonts w:eastAsiaTheme="majorEastAsia"/>
          <w:b/>
          <w:sz w:val="28"/>
          <w:szCs w:val="32"/>
          <w:lang w:val="en-GB"/>
        </w:rPr>
      </w:pPr>
      <w:r>
        <w:rPr>
          <w:lang w:val="en-GB"/>
        </w:rPr>
        <w:br w:type="page"/>
      </w:r>
    </w:p>
    <w:p w14:paraId="793FDD62" w14:textId="4C57D0DD" w:rsidR="002B6D16" w:rsidRPr="002B6D16" w:rsidRDefault="002B6D16" w:rsidP="002B6D16">
      <w:pPr>
        <w:pStyle w:val="Heading2"/>
        <w:ind w:left="0"/>
        <w:rPr>
          <w:lang w:val="en-GB"/>
        </w:rPr>
      </w:pPr>
      <w:bookmarkStart w:id="19" w:name="_Toc35433682"/>
      <w:bookmarkStart w:id="20" w:name="_Toc38626183"/>
      <w:bookmarkStart w:id="21" w:name="_Toc38626186"/>
      <w:r w:rsidRPr="002B6D16">
        <w:rPr>
          <w:lang w:val="en-GB"/>
        </w:rPr>
        <w:lastRenderedPageBreak/>
        <w:t xml:space="preserve">eTable </w:t>
      </w:r>
      <w:r>
        <w:rPr>
          <w:lang w:val="en-GB"/>
        </w:rPr>
        <w:t>7</w:t>
      </w:r>
      <w:r w:rsidRPr="002B6D16">
        <w:rPr>
          <w:lang w:val="en-GB"/>
        </w:rPr>
        <w:t>: Quality reporting scores by study</w:t>
      </w:r>
      <w:bookmarkEnd w:id="19"/>
      <w:bookmarkEnd w:id="20"/>
    </w:p>
    <w:p w14:paraId="221CEBC5" w14:textId="77777777" w:rsidR="002B6D16" w:rsidRPr="0092210A" w:rsidRDefault="002B6D16" w:rsidP="002B6D16">
      <w:pPr>
        <w:rPr>
          <w:lang w:val="en-GB"/>
        </w:rPr>
      </w:pPr>
      <w:r w:rsidRPr="0092210A">
        <w:rPr>
          <w:lang w:val="en-GB"/>
        </w:rPr>
        <w:t xml:space="preserve">The quality reporting scores are presented in the table below together with author and publication year. 0 indicates the item was not reported, and 1 indicates it was reported. NA means the item is not applicable (only relevant for item 7 about discounting). The column ‘Score’ contains the total score on a standardized 10-point scale. </w:t>
      </w:r>
    </w:p>
    <w:p w14:paraId="4A8D9F16" w14:textId="77777777" w:rsidR="002B6D16" w:rsidRPr="002B6D16" w:rsidRDefault="002B6D16" w:rsidP="0092210A">
      <w:pPr>
        <w:spacing w:after="0"/>
        <w:rPr>
          <w:lang w:val="en-GB"/>
        </w:rPr>
      </w:pPr>
    </w:p>
    <w:tbl>
      <w:tblPr>
        <w:tblW w:w="11125" w:type="dxa"/>
        <w:tblInd w:w="-998" w:type="dxa"/>
        <w:tblLook w:val="04A0" w:firstRow="1" w:lastRow="0" w:firstColumn="1" w:lastColumn="0" w:noHBand="0" w:noVBand="1"/>
      </w:tblPr>
      <w:tblGrid>
        <w:gridCol w:w="2154"/>
        <w:gridCol w:w="773"/>
        <w:gridCol w:w="454"/>
        <w:gridCol w:w="454"/>
        <w:gridCol w:w="454"/>
        <w:gridCol w:w="454"/>
        <w:gridCol w:w="454"/>
        <w:gridCol w:w="454"/>
        <w:gridCol w:w="510"/>
        <w:gridCol w:w="454"/>
        <w:gridCol w:w="417"/>
        <w:gridCol w:w="550"/>
        <w:gridCol w:w="550"/>
        <w:gridCol w:w="550"/>
        <w:gridCol w:w="550"/>
        <w:gridCol w:w="550"/>
        <w:gridCol w:w="550"/>
        <w:gridCol w:w="843"/>
      </w:tblGrid>
      <w:tr w:rsidR="002B6D16" w:rsidRPr="002B6D16" w14:paraId="7C84A5CB" w14:textId="77777777" w:rsidTr="0092210A">
        <w:trPr>
          <w:trHeight w:val="567"/>
        </w:trPr>
        <w:tc>
          <w:tcPr>
            <w:tcW w:w="2154" w:type="dxa"/>
            <w:tcBorders>
              <w:top w:val="single" w:sz="4" w:space="0" w:color="auto"/>
              <w:left w:val="single" w:sz="4" w:space="0" w:color="auto"/>
              <w:bottom w:val="single" w:sz="4" w:space="0" w:color="auto"/>
            </w:tcBorders>
            <w:shd w:val="clear" w:color="000000" w:fill="203764"/>
            <w:vAlign w:val="center"/>
            <w:hideMark/>
          </w:tcPr>
          <w:p w14:paraId="361CE383" w14:textId="77777777" w:rsidR="002B6D16" w:rsidRPr="002B6D16" w:rsidRDefault="002B6D16" w:rsidP="002B6D16">
            <w:pPr>
              <w:spacing w:after="0"/>
              <w:rPr>
                <w:lang w:val="en-GB" w:eastAsia="en-GB"/>
              </w:rPr>
            </w:pPr>
            <w:r w:rsidRPr="002B6D16">
              <w:rPr>
                <w:lang w:val="en-GB" w:eastAsia="en-GB"/>
              </w:rPr>
              <w:t>Authors</w:t>
            </w:r>
          </w:p>
        </w:tc>
        <w:tc>
          <w:tcPr>
            <w:tcW w:w="723" w:type="dxa"/>
            <w:tcBorders>
              <w:top w:val="single" w:sz="4" w:space="0" w:color="auto"/>
              <w:bottom w:val="single" w:sz="4" w:space="0" w:color="auto"/>
            </w:tcBorders>
            <w:shd w:val="clear" w:color="000000" w:fill="203764"/>
            <w:vAlign w:val="center"/>
            <w:hideMark/>
          </w:tcPr>
          <w:p w14:paraId="0D50EE3C" w14:textId="77777777" w:rsidR="002B6D16" w:rsidRPr="002B6D16" w:rsidRDefault="002B6D16" w:rsidP="002B6D16">
            <w:pPr>
              <w:spacing w:after="0"/>
              <w:rPr>
                <w:lang w:val="en-GB" w:eastAsia="en-GB"/>
              </w:rPr>
            </w:pPr>
            <w:r w:rsidRPr="002B6D16">
              <w:rPr>
                <w:lang w:val="en-GB" w:eastAsia="en-GB"/>
              </w:rPr>
              <w:t>Year</w:t>
            </w:r>
          </w:p>
        </w:tc>
        <w:tc>
          <w:tcPr>
            <w:tcW w:w="454" w:type="dxa"/>
            <w:tcBorders>
              <w:top w:val="single" w:sz="4" w:space="0" w:color="auto"/>
              <w:bottom w:val="single" w:sz="4" w:space="0" w:color="auto"/>
            </w:tcBorders>
            <w:shd w:val="clear" w:color="000000" w:fill="203764"/>
            <w:vAlign w:val="center"/>
            <w:hideMark/>
          </w:tcPr>
          <w:p w14:paraId="74D03EDF" w14:textId="77777777" w:rsidR="002B6D16" w:rsidRPr="002B6D16" w:rsidRDefault="002B6D16" w:rsidP="002B6D16">
            <w:pPr>
              <w:spacing w:after="0"/>
              <w:rPr>
                <w:lang w:val="en-GB" w:eastAsia="en-GB"/>
              </w:rPr>
            </w:pPr>
            <w:r w:rsidRPr="002B6D16">
              <w:rPr>
                <w:lang w:val="en-GB" w:eastAsia="en-GB"/>
              </w:rPr>
              <w:t>1.</w:t>
            </w:r>
          </w:p>
        </w:tc>
        <w:tc>
          <w:tcPr>
            <w:tcW w:w="454" w:type="dxa"/>
            <w:tcBorders>
              <w:top w:val="single" w:sz="4" w:space="0" w:color="auto"/>
              <w:bottom w:val="single" w:sz="4" w:space="0" w:color="auto"/>
            </w:tcBorders>
            <w:shd w:val="clear" w:color="000000" w:fill="203764"/>
            <w:vAlign w:val="center"/>
            <w:hideMark/>
          </w:tcPr>
          <w:p w14:paraId="7408F15C" w14:textId="77777777" w:rsidR="002B6D16" w:rsidRPr="002B6D16" w:rsidRDefault="002B6D16" w:rsidP="002B6D16">
            <w:pPr>
              <w:spacing w:after="0"/>
              <w:rPr>
                <w:lang w:val="en-GB" w:eastAsia="en-GB"/>
              </w:rPr>
            </w:pPr>
            <w:r w:rsidRPr="002B6D16">
              <w:rPr>
                <w:lang w:val="en-GB" w:eastAsia="en-GB"/>
              </w:rPr>
              <w:t>2.</w:t>
            </w:r>
          </w:p>
        </w:tc>
        <w:tc>
          <w:tcPr>
            <w:tcW w:w="454" w:type="dxa"/>
            <w:tcBorders>
              <w:top w:val="single" w:sz="4" w:space="0" w:color="auto"/>
              <w:bottom w:val="single" w:sz="4" w:space="0" w:color="auto"/>
            </w:tcBorders>
            <w:shd w:val="clear" w:color="000000" w:fill="203764"/>
            <w:vAlign w:val="center"/>
            <w:hideMark/>
          </w:tcPr>
          <w:p w14:paraId="16205C79" w14:textId="77777777" w:rsidR="002B6D16" w:rsidRPr="002B6D16" w:rsidRDefault="002B6D16" w:rsidP="002B6D16">
            <w:pPr>
              <w:spacing w:after="0"/>
              <w:rPr>
                <w:lang w:val="en-GB" w:eastAsia="en-GB"/>
              </w:rPr>
            </w:pPr>
            <w:r w:rsidRPr="002B6D16">
              <w:rPr>
                <w:lang w:val="en-GB" w:eastAsia="en-GB"/>
              </w:rPr>
              <w:t>3.</w:t>
            </w:r>
          </w:p>
        </w:tc>
        <w:tc>
          <w:tcPr>
            <w:tcW w:w="454" w:type="dxa"/>
            <w:tcBorders>
              <w:top w:val="single" w:sz="4" w:space="0" w:color="auto"/>
              <w:bottom w:val="single" w:sz="4" w:space="0" w:color="auto"/>
            </w:tcBorders>
            <w:shd w:val="clear" w:color="000000" w:fill="203764"/>
            <w:vAlign w:val="center"/>
            <w:hideMark/>
          </w:tcPr>
          <w:p w14:paraId="72883FC8" w14:textId="77777777" w:rsidR="002B6D16" w:rsidRPr="002B6D16" w:rsidRDefault="002B6D16" w:rsidP="002B6D16">
            <w:pPr>
              <w:spacing w:after="0"/>
              <w:rPr>
                <w:lang w:val="en-GB" w:eastAsia="en-GB"/>
              </w:rPr>
            </w:pPr>
            <w:r w:rsidRPr="002B6D16">
              <w:rPr>
                <w:lang w:val="en-GB" w:eastAsia="en-GB"/>
              </w:rPr>
              <w:t>4.</w:t>
            </w:r>
          </w:p>
        </w:tc>
        <w:tc>
          <w:tcPr>
            <w:tcW w:w="454" w:type="dxa"/>
            <w:tcBorders>
              <w:top w:val="single" w:sz="4" w:space="0" w:color="auto"/>
              <w:bottom w:val="single" w:sz="4" w:space="0" w:color="auto"/>
            </w:tcBorders>
            <w:shd w:val="clear" w:color="000000" w:fill="203764"/>
            <w:vAlign w:val="center"/>
            <w:hideMark/>
          </w:tcPr>
          <w:p w14:paraId="7003D3D7" w14:textId="77777777" w:rsidR="002B6D16" w:rsidRPr="002B6D16" w:rsidRDefault="002B6D16" w:rsidP="002B6D16">
            <w:pPr>
              <w:spacing w:after="0"/>
              <w:rPr>
                <w:lang w:val="en-GB" w:eastAsia="en-GB"/>
              </w:rPr>
            </w:pPr>
            <w:r w:rsidRPr="002B6D16">
              <w:rPr>
                <w:lang w:val="en-GB" w:eastAsia="en-GB"/>
              </w:rPr>
              <w:t>5.</w:t>
            </w:r>
          </w:p>
        </w:tc>
        <w:tc>
          <w:tcPr>
            <w:tcW w:w="454" w:type="dxa"/>
            <w:tcBorders>
              <w:top w:val="single" w:sz="4" w:space="0" w:color="auto"/>
              <w:bottom w:val="single" w:sz="4" w:space="0" w:color="auto"/>
            </w:tcBorders>
            <w:shd w:val="clear" w:color="000000" w:fill="203764"/>
            <w:vAlign w:val="center"/>
            <w:hideMark/>
          </w:tcPr>
          <w:p w14:paraId="5DE2C66E" w14:textId="77777777" w:rsidR="002B6D16" w:rsidRPr="002B6D16" w:rsidRDefault="002B6D16" w:rsidP="002B6D16">
            <w:pPr>
              <w:spacing w:after="0"/>
              <w:rPr>
                <w:lang w:val="en-GB" w:eastAsia="en-GB"/>
              </w:rPr>
            </w:pPr>
            <w:r w:rsidRPr="002B6D16">
              <w:rPr>
                <w:lang w:val="en-GB" w:eastAsia="en-GB"/>
              </w:rPr>
              <w:t>6.</w:t>
            </w:r>
          </w:p>
        </w:tc>
        <w:tc>
          <w:tcPr>
            <w:tcW w:w="510" w:type="dxa"/>
            <w:tcBorders>
              <w:top w:val="single" w:sz="4" w:space="0" w:color="auto"/>
              <w:bottom w:val="single" w:sz="4" w:space="0" w:color="auto"/>
            </w:tcBorders>
            <w:shd w:val="clear" w:color="000000" w:fill="203764"/>
            <w:vAlign w:val="center"/>
            <w:hideMark/>
          </w:tcPr>
          <w:p w14:paraId="5FE35661" w14:textId="77777777" w:rsidR="002B6D16" w:rsidRPr="002B6D16" w:rsidRDefault="002B6D16" w:rsidP="002B6D16">
            <w:pPr>
              <w:spacing w:after="0"/>
              <w:rPr>
                <w:lang w:val="en-GB" w:eastAsia="en-GB"/>
              </w:rPr>
            </w:pPr>
            <w:r w:rsidRPr="002B6D16">
              <w:rPr>
                <w:lang w:val="en-GB" w:eastAsia="en-GB"/>
              </w:rPr>
              <w:t>7.</w:t>
            </w:r>
          </w:p>
        </w:tc>
        <w:tc>
          <w:tcPr>
            <w:tcW w:w="454" w:type="dxa"/>
            <w:tcBorders>
              <w:top w:val="single" w:sz="4" w:space="0" w:color="auto"/>
              <w:bottom w:val="single" w:sz="4" w:space="0" w:color="auto"/>
            </w:tcBorders>
            <w:shd w:val="clear" w:color="000000" w:fill="203764"/>
            <w:vAlign w:val="center"/>
            <w:hideMark/>
          </w:tcPr>
          <w:p w14:paraId="2F75C113" w14:textId="77777777" w:rsidR="002B6D16" w:rsidRPr="002B6D16" w:rsidRDefault="002B6D16" w:rsidP="002B6D16">
            <w:pPr>
              <w:spacing w:after="0"/>
              <w:rPr>
                <w:lang w:val="en-GB" w:eastAsia="en-GB"/>
              </w:rPr>
            </w:pPr>
            <w:r w:rsidRPr="002B6D16">
              <w:rPr>
                <w:lang w:val="en-GB" w:eastAsia="en-GB"/>
              </w:rPr>
              <w:t>8.</w:t>
            </w:r>
          </w:p>
        </w:tc>
        <w:tc>
          <w:tcPr>
            <w:tcW w:w="417" w:type="dxa"/>
            <w:tcBorders>
              <w:top w:val="single" w:sz="4" w:space="0" w:color="auto"/>
              <w:bottom w:val="single" w:sz="4" w:space="0" w:color="auto"/>
            </w:tcBorders>
            <w:shd w:val="clear" w:color="000000" w:fill="203764"/>
            <w:vAlign w:val="center"/>
          </w:tcPr>
          <w:p w14:paraId="537CB6B7" w14:textId="77777777" w:rsidR="002B6D16" w:rsidRPr="002B6D16" w:rsidRDefault="002B6D16" w:rsidP="002B6D16">
            <w:pPr>
              <w:spacing w:after="0"/>
              <w:rPr>
                <w:lang w:val="en-GB" w:eastAsia="en-GB"/>
              </w:rPr>
            </w:pPr>
            <w:r w:rsidRPr="002B6D16">
              <w:rPr>
                <w:lang w:val="en-GB" w:eastAsia="en-GB"/>
              </w:rPr>
              <w:t>9.</w:t>
            </w:r>
          </w:p>
        </w:tc>
        <w:tc>
          <w:tcPr>
            <w:tcW w:w="0" w:type="auto"/>
            <w:tcBorders>
              <w:top w:val="single" w:sz="4" w:space="0" w:color="auto"/>
              <w:bottom w:val="single" w:sz="4" w:space="0" w:color="auto"/>
            </w:tcBorders>
            <w:shd w:val="clear" w:color="000000" w:fill="203764"/>
            <w:vAlign w:val="center"/>
            <w:hideMark/>
          </w:tcPr>
          <w:p w14:paraId="727A68E3" w14:textId="77777777" w:rsidR="002B6D16" w:rsidRPr="002B6D16" w:rsidRDefault="002B6D16" w:rsidP="002B6D16">
            <w:pPr>
              <w:spacing w:after="0"/>
              <w:rPr>
                <w:lang w:val="en-GB" w:eastAsia="en-GB"/>
              </w:rPr>
            </w:pPr>
            <w:r w:rsidRPr="002B6D16">
              <w:rPr>
                <w:lang w:val="en-GB" w:eastAsia="en-GB"/>
              </w:rPr>
              <w:t>10.</w:t>
            </w:r>
          </w:p>
        </w:tc>
        <w:tc>
          <w:tcPr>
            <w:tcW w:w="0" w:type="auto"/>
            <w:tcBorders>
              <w:top w:val="single" w:sz="4" w:space="0" w:color="auto"/>
              <w:bottom w:val="single" w:sz="4" w:space="0" w:color="auto"/>
            </w:tcBorders>
            <w:shd w:val="clear" w:color="000000" w:fill="203764"/>
            <w:vAlign w:val="center"/>
            <w:hideMark/>
          </w:tcPr>
          <w:p w14:paraId="5D16C792" w14:textId="77777777" w:rsidR="002B6D16" w:rsidRPr="002B6D16" w:rsidRDefault="002B6D16" w:rsidP="002B6D16">
            <w:pPr>
              <w:spacing w:after="0"/>
              <w:rPr>
                <w:lang w:val="en-GB" w:eastAsia="en-GB"/>
              </w:rPr>
            </w:pPr>
            <w:r w:rsidRPr="002B6D16">
              <w:rPr>
                <w:lang w:val="en-GB" w:eastAsia="en-GB"/>
              </w:rPr>
              <w:t>11.</w:t>
            </w:r>
          </w:p>
        </w:tc>
        <w:tc>
          <w:tcPr>
            <w:tcW w:w="0" w:type="auto"/>
            <w:tcBorders>
              <w:top w:val="single" w:sz="4" w:space="0" w:color="auto"/>
              <w:bottom w:val="single" w:sz="4" w:space="0" w:color="auto"/>
            </w:tcBorders>
            <w:shd w:val="clear" w:color="000000" w:fill="203764"/>
            <w:vAlign w:val="center"/>
            <w:hideMark/>
          </w:tcPr>
          <w:p w14:paraId="4DF316A9" w14:textId="77777777" w:rsidR="002B6D16" w:rsidRPr="002B6D16" w:rsidRDefault="002B6D16" w:rsidP="002B6D16">
            <w:pPr>
              <w:spacing w:after="0"/>
              <w:rPr>
                <w:lang w:val="en-GB" w:eastAsia="en-GB"/>
              </w:rPr>
            </w:pPr>
            <w:r w:rsidRPr="002B6D16">
              <w:rPr>
                <w:lang w:val="en-GB" w:eastAsia="en-GB"/>
              </w:rPr>
              <w:t>12.</w:t>
            </w:r>
          </w:p>
        </w:tc>
        <w:tc>
          <w:tcPr>
            <w:tcW w:w="0" w:type="auto"/>
            <w:tcBorders>
              <w:top w:val="single" w:sz="4" w:space="0" w:color="auto"/>
              <w:bottom w:val="single" w:sz="4" w:space="0" w:color="auto"/>
            </w:tcBorders>
            <w:shd w:val="clear" w:color="000000" w:fill="203764"/>
            <w:vAlign w:val="center"/>
            <w:hideMark/>
          </w:tcPr>
          <w:p w14:paraId="01B93D72" w14:textId="77777777" w:rsidR="002B6D16" w:rsidRPr="002B6D16" w:rsidRDefault="002B6D16" w:rsidP="002B6D16">
            <w:pPr>
              <w:spacing w:after="0"/>
              <w:rPr>
                <w:lang w:val="en-GB" w:eastAsia="en-GB"/>
              </w:rPr>
            </w:pPr>
            <w:r w:rsidRPr="002B6D16">
              <w:rPr>
                <w:lang w:val="en-GB" w:eastAsia="en-GB"/>
              </w:rPr>
              <w:t>13.</w:t>
            </w:r>
          </w:p>
        </w:tc>
        <w:tc>
          <w:tcPr>
            <w:tcW w:w="550" w:type="dxa"/>
            <w:tcBorders>
              <w:top w:val="single" w:sz="4" w:space="0" w:color="auto"/>
              <w:bottom w:val="single" w:sz="4" w:space="0" w:color="auto"/>
            </w:tcBorders>
            <w:shd w:val="clear" w:color="000000" w:fill="203764"/>
            <w:vAlign w:val="center"/>
            <w:hideMark/>
          </w:tcPr>
          <w:p w14:paraId="3A76EF0B" w14:textId="77777777" w:rsidR="002B6D16" w:rsidRPr="002B6D16" w:rsidRDefault="002B6D16" w:rsidP="002B6D16">
            <w:pPr>
              <w:spacing w:after="0"/>
              <w:rPr>
                <w:lang w:val="en-GB" w:eastAsia="en-GB"/>
              </w:rPr>
            </w:pPr>
            <w:r w:rsidRPr="002B6D16">
              <w:rPr>
                <w:lang w:val="en-GB" w:eastAsia="en-GB"/>
              </w:rPr>
              <w:t>14.</w:t>
            </w:r>
          </w:p>
        </w:tc>
        <w:tc>
          <w:tcPr>
            <w:tcW w:w="550" w:type="dxa"/>
            <w:tcBorders>
              <w:top w:val="single" w:sz="4" w:space="0" w:color="auto"/>
              <w:bottom w:val="single" w:sz="4" w:space="0" w:color="auto"/>
            </w:tcBorders>
            <w:shd w:val="clear" w:color="000000" w:fill="203764"/>
            <w:vAlign w:val="center"/>
            <w:hideMark/>
          </w:tcPr>
          <w:p w14:paraId="7FBD4E6A" w14:textId="77777777" w:rsidR="002B6D16" w:rsidRPr="002B6D16" w:rsidRDefault="002B6D16" w:rsidP="002B6D16">
            <w:pPr>
              <w:spacing w:after="0"/>
              <w:rPr>
                <w:lang w:val="en-GB" w:eastAsia="en-GB"/>
              </w:rPr>
            </w:pPr>
            <w:r w:rsidRPr="002B6D16">
              <w:rPr>
                <w:lang w:val="en-GB" w:eastAsia="en-GB"/>
              </w:rPr>
              <w:t>15.</w:t>
            </w:r>
          </w:p>
        </w:tc>
        <w:tc>
          <w:tcPr>
            <w:tcW w:w="843" w:type="dxa"/>
            <w:tcBorders>
              <w:top w:val="single" w:sz="4" w:space="0" w:color="auto"/>
              <w:bottom w:val="single" w:sz="4" w:space="0" w:color="auto"/>
              <w:right w:val="single" w:sz="4" w:space="0" w:color="auto"/>
            </w:tcBorders>
            <w:shd w:val="clear" w:color="000000" w:fill="203764"/>
            <w:vAlign w:val="center"/>
            <w:hideMark/>
          </w:tcPr>
          <w:p w14:paraId="1C762C0D" w14:textId="77777777" w:rsidR="002B6D16" w:rsidRPr="002B6D16" w:rsidRDefault="002B6D16" w:rsidP="002B6D16">
            <w:pPr>
              <w:spacing w:after="0"/>
              <w:jc w:val="center"/>
              <w:rPr>
                <w:lang w:val="en-GB" w:eastAsia="en-GB"/>
              </w:rPr>
            </w:pPr>
            <w:r w:rsidRPr="002B6D16">
              <w:rPr>
                <w:lang w:val="en-GB" w:eastAsia="en-GB"/>
              </w:rPr>
              <w:t>Score</w:t>
            </w:r>
          </w:p>
        </w:tc>
      </w:tr>
      <w:tr w:rsidR="0067211A" w:rsidRPr="002B6D16" w14:paraId="615DB216"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7D949FF" w14:textId="297D6103" w:rsidR="0067211A" w:rsidRPr="002B6D16" w:rsidRDefault="0067211A" w:rsidP="0067211A">
            <w:pPr>
              <w:spacing w:after="0"/>
              <w:rPr>
                <w:sz w:val="20"/>
                <w:lang w:val="en-GB" w:eastAsia="en-GB"/>
              </w:rPr>
            </w:pPr>
            <w:r w:rsidRPr="00A57714">
              <w:rPr>
                <w:rFonts w:cs="Arial"/>
                <w:color w:val="000000"/>
                <w:sz w:val="20"/>
                <w:szCs w:val="20"/>
              </w:rPr>
              <w:t>Amaddeo et al</w:t>
            </w:r>
          </w:p>
        </w:tc>
        <w:tc>
          <w:tcPr>
            <w:tcW w:w="723" w:type="dxa"/>
            <w:tcBorders>
              <w:top w:val="single" w:sz="4" w:space="0" w:color="auto"/>
              <w:bottom w:val="single" w:sz="4" w:space="0" w:color="auto"/>
            </w:tcBorders>
            <w:shd w:val="clear" w:color="auto" w:fill="auto"/>
            <w:noWrap/>
            <w:vAlign w:val="center"/>
          </w:tcPr>
          <w:p w14:paraId="35F868D2" w14:textId="78D1FCD1" w:rsidR="0067211A" w:rsidRPr="002B6D16" w:rsidRDefault="0067211A" w:rsidP="0067211A">
            <w:pPr>
              <w:spacing w:after="0"/>
              <w:jc w:val="center"/>
              <w:rPr>
                <w:sz w:val="20"/>
                <w:lang w:val="en-GB" w:eastAsia="en-GB"/>
              </w:rPr>
            </w:pPr>
            <w:r w:rsidRPr="00A57714">
              <w:rPr>
                <w:rFonts w:cs="Arial"/>
                <w:color w:val="000000"/>
                <w:sz w:val="20"/>
                <w:szCs w:val="20"/>
              </w:rPr>
              <w:t>1997</w:t>
            </w:r>
          </w:p>
        </w:tc>
        <w:tc>
          <w:tcPr>
            <w:tcW w:w="454" w:type="dxa"/>
            <w:tcBorders>
              <w:top w:val="single" w:sz="4" w:space="0" w:color="auto"/>
              <w:bottom w:val="single" w:sz="4" w:space="0" w:color="auto"/>
            </w:tcBorders>
            <w:shd w:val="clear" w:color="auto" w:fill="auto"/>
            <w:noWrap/>
            <w:vAlign w:val="center"/>
          </w:tcPr>
          <w:p w14:paraId="15DA0813" w14:textId="2ADCCF7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87474D3" w14:textId="740F031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6B2BE22" w14:textId="7EF61F1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350561" w14:textId="43135C8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71C2AB6" w14:textId="58D21A5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E9F651B" w14:textId="0F4926E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3F68040" w14:textId="0466B86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2A2B6A6" w14:textId="73BCEF4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5745B5E6" w14:textId="323468E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8603038" w14:textId="1FA97EB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D268AE5" w14:textId="446E5A8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AAB2FA9" w14:textId="58934A5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4503046" w14:textId="259834B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358CB05" w14:textId="5B2B180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0712D47" w14:textId="1F45FD0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10E2A196" w14:textId="0C36B2FE"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415D8019"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6285DCFB" w14:textId="38EA366D" w:rsidR="0067211A" w:rsidRPr="002B6D16" w:rsidRDefault="0067211A" w:rsidP="0067211A">
            <w:pPr>
              <w:spacing w:after="0"/>
              <w:rPr>
                <w:sz w:val="20"/>
                <w:lang w:val="en-GB" w:eastAsia="en-GB"/>
              </w:rPr>
            </w:pPr>
            <w:r w:rsidRPr="00A57714">
              <w:rPr>
                <w:rFonts w:cs="Arial"/>
                <w:color w:val="000000"/>
                <w:sz w:val="20"/>
                <w:szCs w:val="20"/>
                <w:lang w:val="en-GB"/>
              </w:rPr>
              <w:t>Andlin</w:t>
            </w:r>
            <w:r w:rsidRPr="00A57714">
              <w:rPr>
                <w:rFonts w:ascii="Cambria Math" w:hAnsi="Cambria Math" w:cs="Cambria Math"/>
                <w:color w:val="000000"/>
                <w:sz w:val="20"/>
                <w:szCs w:val="20"/>
                <w:lang w:val="en-GB"/>
              </w:rPr>
              <w:t>‐</w:t>
            </w:r>
            <w:r>
              <w:rPr>
                <w:rFonts w:cs="Arial"/>
                <w:color w:val="000000"/>
                <w:sz w:val="20"/>
                <w:szCs w:val="20"/>
                <w:lang w:val="en-GB"/>
              </w:rPr>
              <w:t>Sobocki et al</w:t>
            </w:r>
          </w:p>
        </w:tc>
        <w:tc>
          <w:tcPr>
            <w:tcW w:w="723" w:type="dxa"/>
            <w:tcBorders>
              <w:top w:val="single" w:sz="4" w:space="0" w:color="auto"/>
              <w:bottom w:val="single" w:sz="4" w:space="0" w:color="auto"/>
            </w:tcBorders>
            <w:shd w:val="clear" w:color="auto" w:fill="auto"/>
            <w:noWrap/>
            <w:vAlign w:val="center"/>
          </w:tcPr>
          <w:p w14:paraId="447B6964" w14:textId="2A428470" w:rsidR="0067211A" w:rsidRPr="002B6D16" w:rsidRDefault="0067211A" w:rsidP="0067211A">
            <w:pPr>
              <w:spacing w:after="0"/>
              <w:jc w:val="center"/>
              <w:rPr>
                <w:sz w:val="20"/>
                <w:lang w:val="en-GB" w:eastAsia="en-GB"/>
              </w:rPr>
            </w:pPr>
            <w:r w:rsidRPr="00A57714">
              <w:rPr>
                <w:rFonts w:cs="Arial"/>
                <w:color w:val="000000"/>
                <w:sz w:val="20"/>
                <w:szCs w:val="20"/>
              </w:rPr>
              <w:t>2005</w:t>
            </w:r>
          </w:p>
        </w:tc>
        <w:tc>
          <w:tcPr>
            <w:tcW w:w="454" w:type="dxa"/>
            <w:tcBorders>
              <w:top w:val="single" w:sz="4" w:space="0" w:color="auto"/>
              <w:bottom w:val="single" w:sz="4" w:space="0" w:color="auto"/>
            </w:tcBorders>
            <w:shd w:val="clear" w:color="auto" w:fill="auto"/>
            <w:noWrap/>
            <w:vAlign w:val="center"/>
          </w:tcPr>
          <w:p w14:paraId="4D8703DC" w14:textId="54DF8CC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FABE34A" w14:textId="1F28DB8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03B7BF5" w14:textId="7D7AA21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50F12F6" w14:textId="64A8E9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E57409B" w14:textId="3F21261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45660F6" w14:textId="75BF39E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0D2915C" w14:textId="441CAB2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91F6803" w14:textId="1ADDFFF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4E62304" w14:textId="51B1343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BDA27D2" w14:textId="162D167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B36752F" w14:textId="5AC4CAE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33A7A5F" w14:textId="4AA98FD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5755060" w14:textId="65FFBEE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0993FC0" w14:textId="1F4AE28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22F9087" w14:textId="16E0591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5C8547A" w14:textId="2BA375C8"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7C7BEF4D"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B080644" w14:textId="43DDB632" w:rsidR="0067211A" w:rsidRPr="002B6D16" w:rsidRDefault="0067211A" w:rsidP="0067211A">
            <w:pPr>
              <w:spacing w:after="0"/>
              <w:rPr>
                <w:sz w:val="20"/>
                <w:lang w:val="en-GB" w:eastAsia="en-GB"/>
              </w:rPr>
            </w:pPr>
            <w:r w:rsidRPr="00A57714">
              <w:rPr>
                <w:rFonts w:cs="Arial"/>
                <w:color w:val="000000"/>
                <w:sz w:val="20"/>
                <w:szCs w:val="20"/>
              </w:rPr>
              <w:t>Balakrishnan et al</w:t>
            </w:r>
          </w:p>
        </w:tc>
        <w:tc>
          <w:tcPr>
            <w:tcW w:w="723" w:type="dxa"/>
            <w:tcBorders>
              <w:top w:val="single" w:sz="4" w:space="0" w:color="auto"/>
              <w:bottom w:val="single" w:sz="4" w:space="0" w:color="auto"/>
            </w:tcBorders>
            <w:shd w:val="clear" w:color="auto" w:fill="auto"/>
            <w:noWrap/>
            <w:vAlign w:val="center"/>
          </w:tcPr>
          <w:p w14:paraId="3DE5279C" w14:textId="4E399007" w:rsidR="0067211A" w:rsidRPr="002B6D16" w:rsidRDefault="0067211A" w:rsidP="0067211A">
            <w:pPr>
              <w:spacing w:after="0"/>
              <w:jc w:val="center"/>
              <w:rPr>
                <w:sz w:val="20"/>
                <w:lang w:val="en-GB" w:eastAsia="en-GB"/>
              </w:rPr>
            </w:pPr>
            <w:r w:rsidRPr="00A57714">
              <w:rPr>
                <w:rFonts w:cs="Arial"/>
                <w:color w:val="000000"/>
                <w:sz w:val="20"/>
                <w:szCs w:val="20"/>
              </w:rPr>
              <w:t>2009</w:t>
            </w:r>
          </w:p>
        </w:tc>
        <w:tc>
          <w:tcPr>
            <w:tcW w:w="454" w:type="dxa"/>
            <w:tcBorders>
              <w:top w:val="single" w:sz="4" w:space="0" w:color="auto"/>
              <w:bottom w:val="single" w:sz="4" w:space="0" w:color="auto"/>
            </w:tcBorders>
            <w:shd w:val="clear" w:color="auto" w:fill="auto"/>
            <w:noWrap/>
            <w:vAlign w:val="center"/>
          </w:tcPr>
          <w:p w14:paraId="1B2D5B66" w14:textId="11572D8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61815B9" w14:textId="587AEE8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506207D" w14:textId="7F1DCAB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71943C9" w14:textId="34F6E39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F4A50D5" w14:textId="7E85DD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10BDAE9" w14:textId="70882E8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EDA0D2F" w14:textId="336D3986"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E38BDAF" w14:textId="00448CB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1D1B4EC" w14:textId="60D81E4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5168D1E" w14:textId="5E0F628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D306109" w14:textId="0F4425F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4076565" w14:textId="4470784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AC9A657" w14:textId="29C2FA9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4FF187E" w14:textId="3814083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95B7F27" w14:textId="738BD08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629CBCB" w14:textId="1A76350B"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42DE22AA"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99864E5" w14:textId="5FDC1DF5" w:rsidR="0067211A" w:rsidRPr="002B6D16" w:rsidRDefault="0067211A" w:rsidP="0067211A">
            <w:pPr>
              <w:spacing w:after="0"/>
              <w:rPr>
                <w:sz w:val="20"/>
                <w:lang w:val="en-GB" w:eastAsia="en-GB"/>
              </w:rPr>
            </w:pPr>
            <w:r w:rsidRPr="00A57714">
              <w:rPr>
                <w:rFonts w:cs="Arial"/>
                <w:color w:val="000000"/>
                <w:sz w:val="20"/>
                <w:szCs w:val="20"/>
                <w:lang w:val="en-GB"/>
              </w:rPr>
              <w:t>Begley</w:t>
            </w:r>
            <w:r>
              <w:rPr>
                <w:rFonts w:cs="Arial"/>
                <w:color w:val="000000"/>
                <w:sz w:val="20"/>
                <w:szCs w:val="20"/>
                <w:lang w:val="en-GB"/>
              </w:rPr>
              <w:t xml:space="preserve"> et al</w:t>
            </w:r>
          </w:p>
        </w:tc>
        <w:tc>
          <w:tcPr>
            <w:tcW w:w="723" w:type="dxa"/>
            <w:tcBorders>
              <w:top w:val="single" w:sz="4" w:space="0" w:color="auto"/>
              <w:bottom w:val="single" w:sz="4" w:space="0" w:color="auto"/>
            </w:tcBorders>
            <w:shd w:val="clear" w:color="auto" w:fill="auto"/>
            <w:noWrap/>
            <w:vAlign w:val="center"/>
          </w:tcPr>
          <w:p w14:paraId="26636BDA" w14:textId="67CF68A8" w:rsidR="0067211A" w:rsidRPr="002B6D16" w:rsidRDefault="0067211A" w:rsidP="0067211A">
            <w:pPr>
              <w:spacing w:after="0"/>
              <w:jc w:val="center"/>
              <w:rPr>
                <w:sz w:val="20"/>
                <w:lang w:val="en-GB" w:eastAsia="en-GB"/>
              </w:rPr>
            </w:pPr>
            <w:r w:rsidRPr="00A57714">
              <w:rPr>
                <w:rFonts w:cs="Arial"/>
                <w:color w:val="000000"/>
                <w:sz w:val="20"/>
                <w:szCs w:val="20"/>
              </w:rPr>
              <w:t>2001</w:t>
            </w:r>
          </w:p>
        </w:tc>
        <w:tc>
          <w:tcPr>
            <w:tcW w:w="454" w:type="dxa"/>
            <w:tcBorders>
              <w:top w:val="single" w:sz="4" w:space="0" w:color="auto"/>
              <w:bottom w:val="single" w:sz="4" w:space="0" w:color="auto"/>
            </w:tcBorders>
            <w:shd w:val="clear" w:color="auto" w:fill="auto"/>
            <w:noWrap/>
            <w:vAlign w:val="center"/>
          </w:tcPr>
          <w:p w14:paraId="4F2D48AF" w14:textId="1AEED9A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74A4E26" w14:textId="5821000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8A4C2DA" w14:textId="050C2D3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3D3DDC5" w14:textId="3F2F9B2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1EF875C" w14:textId="206010E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D28C87D" w14:textId="2074DF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0A024D2" w14:textId="3EC1824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AB17C15" w14:textId="20AF3BA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15F20BC5" w14:textId="7D8F498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1BA4BC1" w14:textId="7D05C40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2F8CDA7" w14:textId="613DE25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DF675C1" w14:textId="1E20D41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3106825" w14:textId="6C75177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778372B" w14:textId="631261B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9E963D5" w14:textId="533C4EF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49A7BBD8" w14:textId="35DC4F54"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28EB0AAC"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5EE49B63" w14:textId="7CBB3B3B" w:rsidR="0067211A" w:rsidRPr="002B6D16" w:rsidRDefault="0067211A" w:rsidP="0067211A">
            <w:pPr>
              <w:spacing w:after="0"/>
              <w:rPr>
                <w:sz w:val="20"/>
                <w:lang w:val="en-GB" w:eastAsia="en-GB"/>
              </w:rPr>
            </w:pPr>
            <w:r w:rsidRPr="00A57714">
              <w:rPr>
                <w:rFonts w:cs="Arial"/>
                <w:color w:val="000000"/>
                <w:sz w:val="20"/>
                <w:szCs w:val="20"/>
              </w:rPr>
              <w:t>Bell et al</w:t>
            </w:r>
          </w:p>
        </w:tc>
        <w:tc>
          <w:tcPr>
            <w:tcW w:w="723" w:type="dxa"/>
            <w:tcBorders>
              <w:top w:val="single" w:sz="4" w:space="0" w:color="auto"/>
              <w:bottom w:val="single" w:sz="4" w:space="0" w:color="auto"/>
            </w:tcBorders>
            <w:shd w:val="clear" w:color="auto" w:fill="auto"/>
            <w:noWrap/>
            <w:vAlign w:val="center"/>
          </w:tcPr>
          <w:p w14:paraId="032A17AF" w14:textId="615B32A0" w:rsidR="0067211A" w:rsidRPr="002B6D16" w:rsidRDefault="0067211A" w:rsidP="0067211A">
            <w:pPr>
              <w:spacing w:after="0"/>
              <w:jc w:val="center"/>
              <w:rPr>
                <w:sz w:val="20"/>
                <w:lang w:val="en-GB" w:eastAsia="en-GB"/>
              </w:rPr>
            </w:pPr>
            <w:r w:rsidRPr="00A57714">
              <w:rPr>
                <w:rFonts w:cs="Arial"/>
                <w:color w:val="000000"/>
                <w:sz w:val="20"/>
                <w:szCs w:val="20"/>
              </w:rPr>
              <w:t>2004</w:t>
            </w:r>
          </w:p>
        </w:tc>
        <w:tc>
          <w:tcPr>
            <w:tcW w:w="454" w:type="dxa"/>
            <w:tcBorders>
              <w:top w:val="single" w:sz="4" w:space="0" w:color="auto"/>
              <w:bottom w:val="single" w:sz="4" w:space="0" w:color="auto"/>
            </w:tcBorders>
            <w:shd w:val="clear" w:color="auto" w:fill="auto"/>
            <w:noWrap/>
            <w:vAlign w:val="center"/>
          </w:tcPr>
          <w:p w14:paraId="00DB4B93" w14:textId="02B2175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7EF0651" w14:textId="0537329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7D23FF1" w14:textId="319B87B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7EBC436" w14:textId="36B3752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AD32648" w14:textId="1DA254C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17069C1" w14:textId="779A9B1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10" w:type="dxa"/>
            <w:tcBorders>
              <w:top w:val="single" w:sz="4" w:space="0" w:color="auto"/>
              <w:bottom w:val="single" w:sz="4" w:space="0" w:color="auto"/>
            </w:tcBorders>
            <w:shd w:val="clear" w:color="auto" w:fill="auto"/>
            <w:noWrap/>
            <w:vAlign w:val="center"/>
          </w:tcPr>
          <w:p w14:paraId="6095E388" w14:textId="013CFB42"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7146D11D" w14:textId="1B7FB91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44D13747" w14:textId="0DED78D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9426E72" w14:textId="6A416CE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493C21C" w14:textId="6AFC33E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38A9CF0" w14:textId="6860BDE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7B38B43" w14:textId="6262006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1DF26EA5" w14:textId="64B5BC04" w:rsidR="0067211A" w:rsidRPr="002B6D16" w:rsidRDefault="0067211A" w:rsidP="0067211A">
            <w:pPr>
              <w:spacing w:after="0"/>
              <w:jc w:val="center"/>
              <w:rPr>
                <w:sz w:val="20"/>
                <w:lang w:val="en-GB" w:eastAsia="en-GB"/>
              </w:rPr>
            </w:pPr>
            <w:r w:rsidRPr="006E572C">
              <w:rPr>
                <w:rFonts w:cs="Arial"/>
                <w:sz w:val="20"/>
                <w:szCs w:val="20"/>
              </w:rPr>
              <w:t>1</w:t>
            </w:r>
          </w:p>
        </w:tc>
        <w:tc>
          <w:tcPr>
            <w:tcW w:w="550" w:type="dxa"/>
            <w:tcBorders>
              <w:top w:val="single" w:sz="4" w:space="0" w:color="auto"/>
              <w:bottom w:val="single" w:sz="4" w:space="0" w:color="auto"/>
            </w:tcBorders>
            <w:shd w:val="clear" w:color="auto" w:fill="auto"/>
            <w:noWrap/>
            <w:vAlign w:val="center"/>
          </w:tcPr>
          <w:p w14:paraId="788B7998" w14:textId="2AFACE6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19C4AB44" w14:textId="469928B3" w:rsidR="0067211A" w:rsidRPr="002B6D16" w:rsidRDefault="0067211A" w:rsidP="0067211A">
            <w:pPr>
              <w:spacing w:after="0"/>
              <w:jc w:val="center"/>
              <w:rPr>
                <w:sz w:val="20"/>
                <w:lang w:val="en-GB" w:eastAsia="en-GB"/>
              </w:rPr>
            </w:pPr>
            <w:r w:rsidRPr="00A57714">
              <w:rPr>
                <w:rFonts w:cs="Arial"/>
                <w:color w:val="000000"/>
                <w:sz w:val="20"/>
                <w:szCs w:val="20"/>
              </w:rPr>
              <w:t>4</w:t>
            </w:r>
          </w:p>
        </w:tc>
      </w:tr>
      <w:tr w:rsidR="0067211A" w:rsidRPr="002B6D16" w14:paraId="7A326997"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C054073" w14:textId="167FF9A7" w:rsidR="0067211A" w:rsidRPr="002B6D16" w:rsidRDefault="0067211A" w:rsidP="0067211A">
            <w:pPr>
              <w:spacing w:after="0"/>
              <w:rPr>
                <w:sz w:val="20"/>
                <w:lang w:val="en-GB" w:eastAsia="en-GB"/>
              </w:rPr>
            </w:pPr>
            <w:r w:rsidRPr="00A57714">
              <w:rPr>
                <w:rFonts w:cs="Arial"/>
                <w:color w:val="000000"/>
                <w:sz w:val="20"/>
                <w:szCs w:val="20"/>
              </w:rPr>
              <w:t>Bendeck et al</w:t>
            </w:r>
          </w:p>
        </w:tc>
        <w:tc>
          <w:tcPr>
            <w:tcW w:w="723" w:type="dxa"/>
            <w:tcBorders>
              <w:top w:val="single" w:sz="4" w:space="0" w:color="auto"/>
              <w:bottom w:val="single" w:sz="4" w:space="0" w:color="auto"/>
            </w:tcBorders>
            <w:shd w:val="clear" w:color="auto" w:fill="auto"/>
            <w:noWrap/>
            <w:vAlign w:val="center"/>
          </w:tcPr>
          <w:p w14:paraId="50865F0F" w14:textId="6AEB566D"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4DF98FC6" w14:textId="615F960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A0D8A26" w14:textId="2B0C2D5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479D13B" w14:textId="0D343A6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05CC756" w14:textId="27B2169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257EE4F" w14:textId="7619015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25E0BCB" w14:textId="3855045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CF72A59" w14:textId="3094CEE2"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61207A73" w14:textId="57D173F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6067567" w14:textId="1959B51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0D2D247" w14:textId="2185640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2D9A9D0" w14:textId="155B92F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3545700" w14:textId="75213A6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59A4496" w14:textId="16CAA89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A460111" w14:textId="77B23F4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AA3A318" w14:textId="0C31ACB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2B4B938" w14:textId="4256C994"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7D73629A"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7B09B44C" w14:textId="223E1275" w:rsidR="0067211A" w:rsidRPr="002B6D16" w:rsidRDefault="0067211A" w:rsidP="0067211A">
            <w:pPr>
              <w:spacing w:after="0"/>
              <w:rPr>
                <w:sz w:val="20"/>
                <w:lang w:val="en-GB" w:eastAsia="en-GB"/>
              </w:rPr>
            </w:pPr>
            <w:r w:rsidRPr="00A57714">
              <w:rPr>
                <w:rFonts w:cs="Arial"/>
                <w:color w:val="000000"/>
                <w:sz w:val="20"/>
                <w:szCs w:val="20"/>
              </w:rPr>
              <w:t>Bereza et al</w:t>
            </w:r>
          </w:p>
        </w:tc>
        <w:tc>
          <w:tcPr>
            <w:tcW w:w="723" w:type="dxa"/>
            <w:tcBorders>
              <w:top w:val="single" w:sz="4" w:space="0" w:color="auto"/>
              <w:bottom w:val="single" w:sz="4" w:space="0" w:color="auto"/>
            </w:tcBorders>
            <w:shd w:val="clear" w:color="auto" w:fill="auto"/>
            <w:noWrap/>
            <w:vAlign w:val="center"/>
          </w:tcPr>
          <w:p w14:paraId="3E56BDEC" w14:textId="7D3A8F5A" w:rsidR="0067211A" w:rsidRPr="002B6D16" w:rsidRDefault="0067211A" w:rsidP="0067211A">
            <w:pPr>
              <w:spacing w:after="0"/>
              <w:jc w:val="center"/>
              <w:rPr>
                <w:sz w:val="20"/>
                <w:lang w:val="en-GB" w:eastAsia="en-GB"/>
              </w:rPr>
            </w:pPr>
            <w:r w:rsidRPr="00A57714">
              <w:rPr>
                <w:rFonts w:cs="Arial"/>
                <w:color w:val="000000"/>
                <w:sz w:val="20"/>
                <w:szCs w:val="20"/>
              </w:rPr>
              <w:t>2012</w:t>
            </w:r>
          </w:p>
        </w:tc>
        <w:tc>
          <w:tcPr>
            <w:tcW w:w="454" w:type="dxa"/>
            <w:tcBorders>
              <w:top w:val="single" w:sz="4" w:space="0" w:color="auto"/>
              <w:bottom w:val="single" w:sz="4" w:space="0" w:color="auto"/>
            </w:tcBorders>
            <w:shd w:val="clear" w:color="auto" w:fill="auto"/>
            <w:noWrap/>
            <w:vAlign w:val="center"/>
          </w:tcPr>
          <w:p w14:paraId="20C0D962" w14:textId="4A9A6B0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160457E" w14:textId="2108C4C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556B1CB" w14:textId="6872134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9EF6301" w14:textId="7B5B91B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FB6084A" w14:textId="02F124E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568BA14" w14:textId="782126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DB757C6" w14:textId="2AD8917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DAF1DD9" w14:textId="515204A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0218DC49" w14:textId="52898D3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EC796D1" w14:textId="01FBCF0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9F18F8B" w14:textId="3441002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31C9A24" w14:textId="3CB09BA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B523E54" w14:textId="5E4F8C2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D2E01E4" w14:textId="2CC0F9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90B7ED0" w14:textId="023D1A4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90CDC7B" w14:textId="768688E1"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7E6E5958"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E9A9AF7" w14:textId="7A465061" w:rsidR="0067211A" w:rsidRPr="002B6D16" w:rsidRDefault="0067211A" w:rsidP="0067211A">
            <w:pPr>
              <w:spacing w:after="0"/>
              <w:rPr>
                <w:sz w:val="20"/>
                <w:lang w:val="en-GB" w:eastAsia="en-GB"/>
              </w:rPr>
            </w:pPr>
            <w:r w:rsidRPr="00A57714">
              <w:rPr>
                <w:rFonts w:cs="Arial"/>
                <w:color w:val="000000"/>
                <w:sz w:val="20"/>
                <w:szCs w:val="20"/>
                <w:lang w:val="en-GB"/>
              </w:rPr>
              <w:t>Birnbaum</w:t>
            </w:r>
            <w:r>
              <w:rPr>
                <w:rFonts w:cs="Arial"/>
                <w:color w:val="000000"/>
                <w:sz w:val="20"/>
                <w:szCs w:val="20"/>
                <w:lang w:val="en-GB"/>
              </w:rPr>
              <w:t xml:space="preserve"> et al</w:t>
            </w:r>
          </w:p>
        </w:tc>
        <w:tc>
          <w:tcPr>
            <w:tcW w:w="723" w:type="dxa"/>
            <w:tcBorders>
              <w:top w:val="single" w:sz="4" w:space="0" w:color="auto"/>
              <w:bottom w:val="single" w:sz="4" w:space="0" w:color="auto"/>
            </w:tcBorders>
            <w:shd w:val="clear" w:color="auto" w:fill="auto"/>
            <w:noWrap/>
            <w:vAlign w:val="center"/>
          </w:tcPr>
          <w:p w14:paraId="1C37DAA9" w14:textId="7521A123" w:rsidR="0067211A" w:rsidRPr="002B6D16" w:rsidRDefault="0067211A" w:rsidP="0067211A">
            <w:pPr>
              <w:spacing w:after="0"/>
              <w:jc w:val="center"/>
              <w:rPr>
                <w:sz w:val="20"/>
                <w:lang w:val="en-GB" w:eastAsia="en-GB"/>
              </w:rPr>
            </w:pPr>
            <w:r w:rsidRPr="00A57714">
              <w:rPr>
                <w:rFonts w:cs="Arial"/>
                <w:color w:val="000000"/>
                <w:sz w:val="20"/>
                <w:szCs w:val="20"/>
              </w:rPr>
              <w:t>2006</w:t>
            </w:r>
          </w:p>
        </w:tc>
        <w:tc>
          <w:tcPr>
            <w:tcW w:w="454" w:type="dxa"/>
            <w:tcBorders>
              <w:top w:val="single" w:sz="4" w:space="0" w:color="auto"/>
              <w:bottom w:val="single" w:sz="4" w:space="0" w:color="auto"/>
            </w:tcBorders>
            <w:shd w:val="clear" w:color="auto" w:fill="auto"/>
            <w:noWrap/>
            <w:vAlign w:val="center"/>
          </w:tcPr>
          <w:p w14:paraId="25CC5293" w14:textId="262FA42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A888854" w14:textId="0CB9C1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2E2B776" w14:textId="4D3537C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EA50581" w14:textId="0DAA02B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BD10552" w14:textId="4E3636F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CC6045E" w14:textId="10E856F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3A23B13" w14:textId="3C5CE70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1C13932" w14:textId="53187C5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5CBBFF37" w14:textId="6D68072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33AC8D5" w14:textId="4AE7375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13763C6" w14:textId="2341D14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4FB9F4F" w14:textId="2F075DA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41B879E" w14:textId="489F971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F2EA438" w14:textId="2D754B7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B5EE0DF" w14:textId="07DDE25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21E58D66" w14:textId="1C26097A"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D2B5CD5"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6A667642" w14:textId="7336E618" w:rsidR="0067211A" w:rsidRPr="002B6D16" w:rsidRDefault="0067211A" w:rsidP="0067211A">
            <w:pPr>
              <w:spacing w:after="0"/>
              <w:rPr>
                <w:sz w:val="20"/>
                <w:lang w:val="en-GB" w:eastAsia="en-GB"/>
              </w:rPr>
            </w:pPr>
            <w:r w:rsidRPr="00A57714">
              <w:rPr>
                <w:rFonts w:cs="Arial"/>
                <w:color w:val="000000"/>
                <w:sz w:val="20"/>
                <w:szCs w:val="20"/>
              </w:rPr>
              <w:t>Bock et al</w:t>
            </w:r>
          </w:p>
        </w:tc>
        <w:tc>
          <w:tcPr>
            <w:tcW w:w="723" w:type="dxa"/>
            <w:tcBorders>
              <w:top w:val="single" w:sz="4" w:space="0" w:color="auto"/>
              <w:bottom w:val="single" w:sz="4" w:space="0" w:color="auto"/>
            </w:tcBorders>
            <w:shd w:val="clear" w:color="auto" w:fill="auto"/>
            <w:noWrap/>
            <w:vAlign w:val="center"/>
          </w:tcPr>
          <w:p w14:paraId="77D3B464" w14:textId="3C3196AB" w:rsidR="0067211A" w:rsidRPr="002B6D16" w:rsidRDefault="0067211A" w:rsidP="0067211A">
            <w:pPr>
              <w:spacing w:after="0"/>
              <w:jc w:val="center"/>
              <w:rPr>
                <w:sz w:val="20"/>
                <w:lang w:val="en-GB" w:eastAsia="en-GB"/>
              </w:rPr>
            </w:pPr>
            <w:r w:rsidRPr="00A57714">
              <w:rPr>
                <w:rFonts w:cs="Arial"/>
                <w:color w:val="000000"/>
                <w:sz w:val="20"/>
                <w:szCs w:val="20"/>
              </w:rPr>
              <w:t>2016</w:t>
            </w:r>
          </w:p>
        </w:tc>
        <w:tc>
          <w:tcPr>
            <w:tcW w:w="454" w:type="dxa"/>
            <w:tcBorders>
              <w:top w:val="single" w:sz="4" w:space="0" w:color="auto"/>
              <w:bottom w:val="single" w:sz="4" w:space="0" w:color="auto"/>
            </w:tcBorders>
            <w:shd w:val="clear" w:color="auto" w:fill="auto"/>
            <w:noWrap/>
            <w:vAlign w:val="center"/>
          </w:tcPr>
          <w:p w14:paraId="0FBC482F" w14:textId="556DDF8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529DD42" w14:textId="7325543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21A10EE" w14:textId="7A1C02A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D086023" w14:textId="1F9F216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55D0B48" w14:textId="36D0563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D86D101" w14:textId="7187420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80CD2FB" w14:textId="6CFC2702"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6F06A2D3" w14:textId="2071614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6CA168F8" w14:textId="38AE9E4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744D6BA" w14:textId="1DFA61A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6EE4EF2" w14:textId="29804FE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F578EA7" w14:textId="3A8638C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D087682" w14:textId="4A3CADF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8B72AE6" w14:textId="14EAB2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5F592F3" w14:textId="0AD837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9131C24" w14:textId="564D6C0C" w:rsidR="0067211A" w:rsidRPr="002B6D16" w:rsidRDefault="0067211A" w:rsidP="0067211A">
            <w:pPr>
              <w:spacing w:after="0"/>
              <w:jc w:val="center"/>
              <w:rPr>
                <w:sz w:val="20"/>
                <w:lang w:val="en-GB" w:eastAsia="en-GB"/>
              </w:rPr>
            </w:pPr>
            <w:r w:rsidRPr="00A57714">
              <w:rPr>
                <w:rFonts w:cs="Arial"/>
                <w:color w:val="000000"/>
                <w:sz w:val="20"/>
                <w:szCs w:val="20"/>
              </w:rPr>
              <w:t>10</w:t>
            </w:r>
          </w:p>
        </w:tc>
      </w:tr>
      <w:tr w:rsidR="0067211A" w:rsidRPr="002B6D16" w14:paraId="66432479"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7395235A" w14:textId="3FF93405" w:rsidR="0067211A" w:rsidRPr="002B6D16" w:rsidRDefault="0067211A" w:rsidP="0067211A">
            <w:pPr>
              <w:spacing w:after="0"/>
              <w:rPr>
                <w:sz w:val="20"/>
                <w:lang w:val="en-GB" w:eastAsia="en-GB"/>
              </w:rPr>
            </w:pPr>
            <w:r w:rsidRPr="00A57714">
              <w:rPr>
                <w:rFonts w:cs="Arial"/>
                <w:color w:val="000000"/>
                <w:sz w:val="20"/>
                <w:szCs w:val="20"/>
              </w:rPr>
              <w:t>Bode et al</w:t>
            </w:r>
          </w:p>
        </w:tc>
        <w:tc>
          <w:tcPr>
            <w:tcW w:w="723" w:type="dxa"/>
            <w:tcBorders>
              <w:top w:val="single" w:sz="4" w:space="0" w:color="auto"/>
              <w:bottom w:val="single" w:sz="4" w:space="0" w:color="auto"/>
            </w:tcBorders>
            <w:shd w:val="clear" w:color="auto" w:fill="auto"/>
            <w:noWrap/>
            <w:vAlign w:val="center"/>
          </w:tcPr>
          <w:p w14:paraId="3B7A3AF1" w14:textId="17CD34A1"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5B340425" w14:textId="3668C24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58FDC0D" w14:textId="6BF2FE8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AF9CC0B" w14:textId="641C6DB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C159C6F" w14:textId="31AA077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41F3160" w14:textId="62EDD92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BB63505" w14:textId="59B023A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81CF87A" w14:textId="555494E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A753D4F" w14:textId="28E08C6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1EBDC323" w14:textId="497801C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0F3DB78" w14:textId="1BE8CA0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6378EEB" w14:textId="4C9BDBE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C729ED2" w14:textId="12508AA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443A2C6" w14:textId="36E32E8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1C86084" w14:textId="447D14C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F2B98F2" w14:textId="0D92524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6975275" w14:textId="3DD56E67"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00A7FACF"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8DB2B38" w14:textId="339A344E" w:rsidR="0067211A" w:rsidRPr="002B6D16" w:rsidRDefault="0067211A" w:rsidP="0067211A">
            <w:pPr>
              <w:spacing w:after="0"/>
              <w:rPr>
                <w:sz w:val="20"/>
                <w:lang w:val="en-GB" w:eastAsia="en-GB"/>
              </w:rPr>
            </w:pPr>
            <w:r w:rsidRPr="00A57714">
              <w:rPr>
                <w:rFonts w:cs="Arial"/>
                <w:color w:val="000000"/>
                <w:sz w:val="20"/>
                <w:szCs w:val="20"/>
              </w:rPr>
              <w:t>Bosmans et al</w:t>
            </w:r>
          </w:p>
        </w:tc>
        <w:tc>
          <w:tcPr>
            <w:tcW w:w="723" w:type="dxa"/>
            <w:tcBorders>
              <w:top w:val="single" w:sz="4" w:space="0" w:color="auto"/>
              <w:bottom w:val="single" w:sz="4" w:space="0" w:color="auto"/>
            </w:tcBorders>
            <w:shd w:val="clear" w:color="auto" w:fill="auto"/>
            <w:noWrap/>
            <w:vAlign w:val="center"/>
          </w:tcPr>
          <w:p w14:paraId="4B15E773" w14:textId="4E30909C" w:rsidR="0067211A" w:rsidRPr="002B6D16" w:rsidRDefault="0067211A" w:rsidP="0067211A">
            <w:pPr>
              <w:spacing w:after="0"/>
              <w:jc w:val="center"/>
              <w:rPr>
                <w:sz w:val="20"/>
                <w:lang w:val="en-GB" w:eastAsia="en-GB"/>
              </w:rPr>
            </w:pPr>
            <w:r w:rsidRPr="00A57714">
              <w:rPr>
                <w:rFonts w:cs="Arial"/>
                <w:color w:val="000000"/>
                <w:sz w:val="20"/>
                <w:szCs w:val="20"/>
              </w:rPr>
              <w:t>2010</w:t>
            </w:r>
          </w:p>
        </w:tc>
        <w:tc>
          <w:tcPr>
            <w:tcW w:w="454" w:type="dxa"/>
            <w:tcBorders>
              <w:top w:val="single" w:sz="4" w:space="0" w:color="auto"/>
              <w:bottom w:val="single" w:sz="4" w:space="0" w:color="auto"/>
            </w:tcBorders>
            <w:shd w:val="clear" w:color="auto" w:fill="auto"/>
            <w:noWrap/>
            <w:vAlign w:val="center"/>
          </w:tcPr>
          <w:p w14:paraId="225CF408" w14:textId="3828962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30A94CC" w14:textId="0814213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7FB314D" w14:textId="074B21C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A9F0C9E" w14:textId="685BD79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2B40BB2" w14:textId="266A7ED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031A700" w14:textId="5E90E6C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BE05DE1" w14:textId="77F256FA"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97E4107" w14:textId="26FFAA3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B918BEA" w14:textId="39328B8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9B16D84" w14:textId="63206C3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6C3552C" w14:textId="6DE3C16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EA721E6" w14:textId="557FADA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CCC2EC6" w14:textId="1E36286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02B40F1" w14:textId="1EB8C28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6671D51" w14:textId="310A5C2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0CDC7603" w14:textId="0050B772"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2623EFC9"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74D9931" w14:textId="7638E907" w:rsidR="0067211A" w:rsidRPr="002B6D16" w:rsidRDefault="0067211A" w:rsidP="0067211A">
            <w:pPr>
              <w:spacing w:after="0"/>
              <w:rPr>
                <w:sz w:val="20"/>
                <w:lang w:val="en-GB" w:eastAsia="en-GB"/>
              </w:rPr>
            </w:pPr>
            <w:r w:rsidRPr="00A57714">
              <w:rPr>
                <w:rFonts w:cs="Arial"/>
                <w:color w:val="000000"/>
                <w:sz w:val="20"/>
                <w:szCs w:val="20"/>
              </w:rPr>
              <w:t>Bourke et al</w:t>
            </w:r>
          </w:p>
        </w:tc>
        <w:tc>
          <w:tcPr>
            <w:tcW w:w="723" w:type="dxa"/>
            <w:tcBorders>
              <w:top w:val="single" w:sz="4" w:space="0" w:color="auto"/>
              <w:bottom w:val="single" w:sz="4" w:space="0" w:color="auto"/>
            </w:tcBorders>
            <w:shd w:val="clear" w:color="auto" w:fill="auto"/>
            <w:noWrap/>
            <w:vAlign w:val="center"/>
          </w:tcPr>
          <w:p w14:paraId="06FACF78" w14:textId="5C7DA34D" w:rsidR="0067211A" w:rsidRPr="002B6D16" w:rsidRDefault="0067211A" w:rsidP="0067211A">
            <w:pPr>
              <w:spacing w:after="0"/>
              <w:jc w:val="center"/>
              <w:rPr>
                <w:sz w:val="20"/>
                <w:lang w:val="en-GB" w:eastAsia="en-GB"/>
              </w:rPr>
            </w:pPr>
            <w:r w:rsidRPr="00A57714">
              <w:rPr>
                <w:rFonts w:cs="Arial"/>
                <w:color w:val="000000"/>
                <w:sz w:val="20"/>
                <w:szCs w:val="20"/>
              </w:rPr>
              <w:t>2018</w:t>
            </w:r>
          </w:p>
        </w:tc>
        <w:tc>
          <w:tcPr>
            <w:tcW w:w="454" w:type="dxa"/>
            <w:tcBorders>
              <w:top w:val="single" w:sz="4" w:space="0" w:color="auto"/>
              <w:bottom w:val="single" w:sz="4" w:space="0" w:color="auto"/>
            </w:tcBorders>
            <w:shd w:val="clear" w:color="auto" w:fill="auto"/>
            <w:noWrap/>
            <w:vAlign w:val="center"/>
          </w:tcPr>
          <w:p w14:paraId="5EF5D781" w14:textId="5AEEB3E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8595073" w14:textId="1278E3E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570046D" w14:textId="42CC3B8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566895D" w14:textId="3015B59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9B07E5D" w14:textId="4BE4372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2EC9DDD" w14:textId="0D23953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A70E63A" w14:textId="29209A4E"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183D08BA" w14:textId="62CC59B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7884903F" w14:textId="549A578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09EC86F" w14:textId="401BFF8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67C146E" w14:textId="0D25B33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1288C16" w14:textId="7A58CCB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B9316D0" w14:textId="3BB1BDB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4DEF5D6" w14:textId="2CC771B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88A0F80" w14:textId="7A63473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381659C" w14:textId="70A7F397"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0149D8B9"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BB2AAE4" w14:textId="4A491498" w:rsidR="0067211A" w:rsidRPr="002B6D16" w:rsidRDefault="0067211A" w:rsidP="0067211A">
            <w:pPr>
              <w:spacing w:after="0"/>
              <w:rPr>
                <w:sz w:val="20"/>
                <w:lang w:val="en-GB" w:eastAsia="en-GB"/>
              </w:rPr>
            </w:pPr>
            <w:r w:rsidRPr="00A57714">
              <w:rPr>
                <w:rFonts w:cs="Arial"/>
                <w:color w:val="000000"/>
                <w:sz w:val="20"/>
                <w:szCs w:val="20"/>
              </w:rPr>
              <w:t>Braun et al</w:t>
            </w:r>
          </w:p>
        </w:tc>
        <w:tc>
          <w:tcPr>
            <w:tcW w:w="723" w:type="dxa"/>
            <w:tcBorders>
              <w:top w:val="single" w:sz="4" w:space="0" w:color="auto"/>
              <w:bottom w:val="single" w:sz="4" w:space="0" w:color="auto"/>
            </w:tcBorders>
            <w:shd w:val="clear" w:color="auto" w:fill="auto"/>
            <w:noWrap/>
            <w:vAlign w:val="center"/>
          </w:tcPr>
          <w:p w14:paraId="2052C180" w14:textId="62D854A9"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21D608B8" w14:textId="2034B9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B193DAE" w14:textId="21B3AEA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26016F4" w14:textId="053F434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B5D40D8" w14:textId="6705177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38D6CC6" w14:textId="4962292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392AB4A" w14:textId="55D2108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CC21B0A" w14:textId="76D167A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D940A5B" w14:textId="5A81821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035DEF9F" w14:textId="3568E79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5BE60D5" w14:textId="1489D5B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3959C74" w14:textId="06D88DF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D9FD626" w14:textId="3CCC322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7E738A3" w14:textId="00ADA73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C748DF9" w14:textId="20F4ABA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E774B3E" w14:textId="656A8BE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18E75CB" w14:textId="08A20290"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136433FE"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90BDAF2" w14:textId="0899A029" w:rsidR="0067211A" w:rsidRPr="002B6D16" w:rsidRDefault="0067211A" w:rsidP="0067211A">
            <w:pPr>
              <w:spacing w:after="0"/>
              <w:rPr>
                <w:sz w:val="20"/>
                <w:lang w:val="en-GB" w:eastAsia="en-GB"/>
              </w:rPr>
            </w:pPr>
            <w:r w:rsidRPr="00A57714">
              <w:rPr>
                <w:rFonts w:cs="Arial"/>
                <w:color w:val="000000"/>
                <w:sz w:val="20"/>
                <w:szCs w:val="20"/>
              </w:rPr>
              <w:t>Brecht et al</w:t>
            </w:r>
          </w:p>
        </w:tc>
        <w:tc>
          <w:tcPr>
            <w:tcW w:w="723" w:type="dxa"/>
            <w:tcBorders>
              <w:top w:val="single" w:sz="4" w:space="0" w:color="auto"/>
              <w:bottom w:val="single" w:sz="4" w:space="0" w:color="auto"/>
            </w:tcBorders>
            <w:shd w:val="clear" w:color="auto" w:fill="auto"/>
            <w:noWrap/>
            <w:vAlign w:val="center"/>
          </w:tcPr>
          <w:p w14:paraId="26DB3010" w14:textId="78DDBA10" w:rsidR="0067211A" w:rsidRPr="002B6D16" w:rsidRDefault="0067211A" w:rsidP="0067211A">
            <w:pPr>
              <w:spacing w:after="0"/>
              <w:jc w:val="center"/>
              <w:rPr>
                <w:sz w:val="20"/>
                <w:lang w:val="en-GB" w:eastAsia="en-GB"/>
              </w:rPr>
            </w:pPr>
            <w:r w:rsidRPr="00A57714">
              <w:rPr>
                <w:rFonts w:cs="Arial"/>
                <w:color w:val="000000"/>
                <w:sz w:val="20"/>
                <w:szCs w:val="20"/>
              </w:rPr>
              <w:t>1996</w:t>
            </w:r>
          </w:p>
        </w:tc>
        <w:tc>
          <w:tcPr>
            <w:tcW w:w="454" w:type="dxa"/>
            <w:tcBorders>
              <w:top w:val="single" w:sz="4" w:space="0" w:color="auto"/>
              <w:bottom w:val="single" w:sz="4" w:space="0" w:color="auto"/>
            </w:tcBorders>
            <w:shd w:val="clear" w:color="auto" w:fill="auto"/>
            <w:noWrap/>
            <w:vAlign w:val="center"/>
          </w:tcPr>
          <w:p w14:paraId="41CF92FE" w14:textId="6D37EFE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346ECCE" w14:textId="15FC112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2F78AC7" w14:textId="022B6FC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D93DC5E" w14:textId="576BA78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C79E774" w14:textId="5807443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BB116CC" w14:textId="29D0856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3C458CA" w14:textId="3F9A028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E8F1E90" w14:textId="125FCD8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33946AB5" w14:textId="005CC81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FCE66E9" w14:textId="0275644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C4EEB97" w14:textId="6C95325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AB0A565" w14:textId="32BA0CF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5C5ED9A" w14:textId="268F343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5392BF3" w14:textId="5ED32AC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3D57DE9F" w14:textId="661DC7D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F044F54" w14:textId="16424D3B"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15BA8777"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62B4F19" w14:textId="53664A6E" w:rsidR="0067211A" w:rsidRPr="002B6D16" w:rsidRDefault="0067211A" w:rsidP="0067211A">
            <w:pPr>
              <w:spacing w:after="0"/>
              <w:rPr>
                <w:sz w:val="20"/>
                <w:lang w:val="en-GB" w:eastAsia="en-GB"/>
              </w:rPr>
            </w:pPr>
            <w:r w:rsidRPr="00A57714">
              <w:rPr>
                <w:rFonts w:cs="Arial"/>
                <w:color w:val="000000"/>
                <w:sz w:val="20"/>
                <w:szCs w:val="20"/>
              </w:rPr>
              <w:t>Burd et al</w:t>
            </w:r>
          </w:p>
        </w:tc>
        <w:tc>
          <w:tcPr>
            <w:tcW w:w="723" w:type="dxa"/>
            <w:tcBorders>
              <w:top w:val="single" w:sz="4" w:space="0" w:color="auto"/>
              <w:bottom w:val="single" w:sz="4" w:space="0" w:color="auto"/>
            </w:tcBorders>
            <w:shd w:val="clear" w:color="auto" w:fill="auto"/>
            <w:noWrap/>
            <w:vAlign w:val="center"/>
          </w:tcPr>
          <w:p w14:paraId="468631EC" w14:textId="7AFAA056" w:rsidR="0067211A" w:rsidRPr="002B6D16" w:rsidRDefault="0067211A" w:rsidP="0067211A">
            <w:pPr>
              <w:spacing w:after="0"/>
              <w:jc w:val="center"/>
              <w:rPr>
                <w:sz w:val="20"/>
                <w:lang w:val="en-GB" w:eastAsia="en-GB"/>
              </w:rPr>
            </w:pPr>
            <w:r w:rsidRPr="00A57714">
              <w:rPr>
                <w:rFonts w:cs="Arial"/>
                <w:color w:val="000000"/>
                <w:sz w:val="20"/>
                <w:szCs w:val="20"/>
              </w:rPr>
              <w:t>2003</w:t>
            </w:r>
          </w:p>
        </w:tc>
        <w:tc>
          <w:tcPr>
            <w:tcW w:w="454" w:type="dxa"/>
            <w:tcBorders>
              <w:top w:val="single" w:sz="4" w:space="0" w:color="auto"/>
              <w:bottom w:val="single" w:sz="4" w:space="0" w:color="auto"/>
            </w:tcBorders>
            <w:shd w:val="clear" w:color="auto" w:fill="auto"/>
            <w:noWrap/>
            <w:vAlign w:val="center"/>
          </w:tcPr>
          <w:p w14:paraId="2535FB49" w14:textId="7BE5FE3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F5DD1D" w14:textId="4155C73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D3060D9" w14:textId="12C856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4005154" w14:textId="2ABDB86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B3CDDF5" w14:textId="4B57D30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91BBCB2" w14:textId="0347B9A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822D773" w14:textId="71AA8DD7"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0BB02801" w14:textId="37105E3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7FFB5DF0" w14:textId="09FACD6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94FCD80" w14:textId="75A7B4F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58B9785" w14:textId="3DD5ACC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74091FF" w14:textId="495190A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32DC4D2" w14:textId="5926378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5DE47651" w14:textId="2A2CCAA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209BECF3" w14:textId="13671A4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18DDF2DB" w14:textId="4F38DC3F"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25964969"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FEB93C8" w14:textId="5A8C30CC" w:rsidR="0067211A" w:rsidRPr="002B6D16" w:rsidRDefault="0067211A" w:rsidP="0067211A">
            <w:pPr>
              <w:spacing w:after="0"/>
              <w:rPr>
                <w:sz w:val="20"/>
                <w:lang w:val="en-GB" w:eastAsia="en-GB"/>
              </w:rPr>
            </w:pPr>
            <w:r w:rsidRPr="00A57714">
              <w:rPr>
                <w:rFonts w:cs="Arial"/>
                <w:color w:val="000000"/>
                <w:sz w:val="20"/>
                <w:szCs w:val="20"/>
              </w:rPr>
              <w:t>Byford et al</w:t>
            </w:r>
          </w:p>
        </w:tc>
        <w:tc>
          <w:tcPr>
            <w:tcW w:w="723" w:type="dxa"/>
            <w:tcBorders>
              <w:top w:val="single" w:sz="4" w:space="0" w:color="auto"/>
              <w:bottom w:val="single" w:sz="4" w:space="0" w:color="auto"/>
            </w:tcBorders>
            <w:shd w:val="clear" w:color="auto" w:fill="auto"/>
            <w:noWrap/>
            <w:vAlign w:val="center"/>
          </w:tcPr>
          <w:p w14:paraId="7B91384B" w14:textId="00A5A69A" w:rsidR="0067211A" w:rsidRPr="002B6D16" w:rsidRDefault="0067211A" w:rsidP="0067211A">
            <w:pPr>
              <w:spacing w:after="0"/>
              <w:jc w:val="center"/>
              <w:rPr>
                <w:sz w:val="20"/>
                <w:lang w:val="en-GB" w:eastAsia="en-GB"/>
              </w:rPr>
            </w:pPr>
            <w:r w:rsidRPr="00A57714">
              <w:rPr>
                <w:rFonts w:cs="Arial"/>
                <w:color w:val="000000"/>
                <w:sz w:val="20"/>
                <w:szCs w:val="20"/>
              </w:rPr>
              <w:t>2011</w:t>
            </w:r>
          </w:p>
        </w:tc>
        <w:tc>
          <w:tcPr>
            <w:tcW w:w="454" w:type="dxa"/>
            <w:tcBorders>
              <w:top w:val="single" w:sz="4" w:space="0" w:color="auto"/>
              <w:bottom w:val="single" w:sz="4" w:space="0" w:color="auto"/>
            </w:tcBorders>
            <w:shd w:val="clear" w:color="auto" w:fill="auto"/>
            <w:noWrap/>
            <w:vAlign w:val="center"/>
          </w:tcPr>
          <w:p w14:paraId="0D2990E2" w14:textId="6DF513F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EA7D67E" w14:textId="6E0D045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7DC4F94" w14:textId="046D4A5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9E5B642" w14:textId="6FCA9EE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C8DE57B" w14:textId="4B3E40C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AA981EB" w14:textId="2E481C1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3E9CCDE" w14:textId="1F6A5342"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7B6538D6" w14:textId="4D08C79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754261ED" w14:textId="64DDEA0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EB3A86D" w14:textId="3068309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D5123A8" w14:textId="281DCC9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CD1B780" w14:textId="1A3F1A6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47990AE" w14:textId="01E558F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66B01B41" w14:textId="5693746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D1287B9" w14:textId="71E6018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AED8865" w14:textId="14C812F6"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7C35CAE2"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118AF5E6" w14:textId="45B6E6FB" w:rsidR="0067211A" w:rsidRPr="002B6D16" w:rsidRDefault="0067211A" w:rsidP="0067211A">
            <w:pPr>
              <w:spacing w:after="0"/>
              <w:rPr>
                <w:sz w:val="20"/>
                <w:lang w:val="en-GB" w:eastAsia="en-GB"/>
              </w:rPr>
            </w:pPr>
            <w:r w:rsidRPr="00A57714">
              <w:rPr>
                <w:rFonts w:cs="Arial"/>
                <w:color w:val="000000"/>
                <w:sz w:val="20"/>
                <w:szCs w:val="20"/>
              </w:rPr>
              <w:t>Carr et al</w:t>
            </w:r>
          </w:p>
        </w:tc>
        <w:tc>
          <w:tcPr>
            <w:tcW w:w="723" w:type="dxa"/>
            <w:tcBorders>
              <w:top w:val="single" w:sz="4" w:space="0" w:color="auto"/>
              <w:bottom w:val="single" w:sz="4" w:space="0" w:color="auto"/>
            </w:tcBorders>
            <w:shd w:val="clear" w:color="auto" w:fill="auto"/>
            <w:noWrap/>
            <w:vAlign w:val="center"/>
          </w:tcPr>
          <w:p w14:paraId="1B08273D" w14:textId="7149D0F9" w:rsidR="0067211A" w:rsidRPr="002B6D16" w:rsidRDefault="0067211A" w:rsidP="0067211A">
            <w:pPr>
              <w:spacing w:after="0"/>
              <w:jc w:val="center"/>
              <w:rPr>
                <w:sz w:val="20"/>
                <w:lang w:val="en-GB" w:eastAsia="en-GB"/>
              </w:rPr>
            </w:pPr>
            <w:r w:rsidRPr="00A57714">
              <w:rPr>
                <w:rFonts w:cs="Arial"/>
                <w:color w:val="000000"/>
                <w:sz w:val="20"/>
                <w:szCs w:val="20"/>
              </w:rPr>
              <w:t>2003</w:t>
            </w:r>
          </w:p>
        </w:tc>
        <w:tc>
          <w:tcPr>
            <w:tcW w:w="454" w:type="dxa"/>
            <w:tcBorders>
              <w:top w:val="single" w:sz="4" w:space="0" w:color="auto"/>
              <w:bottom w:val="single" w:sz="4" w:space="0" w:color="auto"/>
            </w:tcBorders>
            <w:shd w:val="clear" w:color="auto" w:fill="auto"/>
            <w:noWrap/>
            <w:vAlign w:val="center"/>
          </w:tcPr>
          <w:p w14:paraId="22D608DB" w14:textId="37E2D56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81E8E28" w14:textId="1422588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7404AC8" w14:textId="04AB8AD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881A19E" w14:textId="43FA126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021DE66" w14:textId="6B9FD68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E5DCB24" w14:textId="6DF5B0D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F4706FC" w14:textId="058EF491"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02E3C266" w14:textId="58490FE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76A57627" w14:textId="05F3F7B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4B2B1BA" w14:textId="7B732FC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6590B35" w14:textId="0CFCA84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10FB389" w14:textId="53D0949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2679352" w14:textId="03E24FA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A8B70B4" w14:textId="1C16CD3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26F80E9" w14:textId="31CB105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AB13B1D" w14:textId="600F4AD6"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41B69087"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6B529FA" w14:textId="2D66E942" w:rsidR="0067211A" w:rsidRPr="002B6D16" w:rsidRDefault="0067211A" w:rsidP="0067211A">
            <w:pPr>
              <w:spacing w:after="0"/>
              <w:rPr>
                <w:sz w:val="20"/>
                <w:lang w:val="en-GB" w:eastAsia="en-GB"/>
              </w:rPr>
            </w:pPr>
            <w:r w:rsidRPr="00A57714">
              <w:rPr>
                <w:rFonts w:cs="Arial"/>
                <w:color w:val="000000"/>
                <w:sz w:val="20"/>
                <w:szCs w:val="20"/>
              </w:rPr>
              <w:t>Casadei et al</w:t>
            </w:r>
          </w:p>
        </w:tc>
        <w:tc>
          <w:tcPr>
            <w:tcW w:w="723" w:type="dxa"/>
            <w:tcBorders>
              <w:top w:val="single" w:sz="4" w:space="0" w:color="auto"/>
              <w:bottom w:val="single" w:sz="4" w:space="0" w:color="auto"/>
            </w:tcBorders>
            <w:shd w:val="clear" w:color="auto" w:fill="auto"/>
            <w:noWrap/>
            <w:vAlign w:val="center"/>
          </w:tcPr>
          <w:p w14:paraId="5F18289F" w14:textId="30D506E0"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3CDB3C92" w14:textId="777583E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1AF7A97" w14:textId="7253496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3FECCA0" w14:textId="0032FB4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0FCBA77" w14:textId="3EDDF7E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A8A44BD" w14:textId="647C4C7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57BFAE1" w14:textId="0F8E102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05432A7" w14:textId="580F68DC"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927EAE3" w14:textId="6236A9F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4B6AE57A" w14:textId="6622839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EF24778" w14:textId="551E965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FACB1BF" w14:textId="117B403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F2B961F" w14:textId="405B039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62B03C4" w14:textId="7EA5F65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B3C749B" w14:textId="3FE79DA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95248A3" w14:textId="3397DED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4B93F1A" w14:textId="6ECF9A7F"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39533664"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13D35AD8" w14:textId="6D9456B7" w:rsidR="0067211A" w:rsidRPr="002B6D16" w:rsidRDefault="0067211A" w:rsidP="0067211A">
            <w:pPr>
              <w:spacing w:after="0"/>
              <w:rPr>
                <w:sz w:val="20"/>
                <w:lang w:val="en-GB" w:eastAsia="en-GB"/>
              </w:rPr>
            </w:pPr>
            <w:r w:rsidRPr="00A57714">
              <w:rPr>
                <w:rFonts w:cs="Arial"/>
                <w:color w:val="000000"/>
                <w:sz w:val="20"/>
                <w:szCs w:val="20"/>
              </w:rPr>
              <w:t>Chan et al</w:t>
            </w:r>
          </w:p>
        </w:tc>
        <w:tc>
          <w:tcPr>
            <w:tcW w:w="723" w:type="dxa"/>
            <w:tcBorders>
              <w:top w:val="single" w:sz="4" w:space="0" w:color="auto"/>
              <w:bottom w:val="single" w:sz="4" w:space="0" w:color="auto"/>
            </w:tcBorders>
            <w:shd w:val="clear" w:color="auto" w:fill="auto"/>
            <w:noWrap/>
            <w:vAlign w:val="center"/>
          </w:tcPr>
          <w:p w14:paraId="2E50D51B" w14:textId="401D7DA4" w:rsidR="0067211A" w:rsidRPr="002B6D16" w:rsidRDefault="0067211A" w:rsidP="0067211A">
            <w:pPr>
              <w:spacing w:after="0"/>
              <w:jc w:val="center"/>
              <w:rPr>
                <w:sz w:val="20"/>
                <w:lang w:val="en-GB" w:eastAsia="en-GB"/>
              </w:rPr>
            </w:pPr>
            <w:r w:rsidRPr="00A57714">
              <w:rPr>
                <w:rFonts w:cs="Arial"/>
                <w:color w:val="000000"/>
                <w:sz w:val="20"/>
                <w:szCs w:val="20"/>
              </w:rPr>
              <w:t>2002</w:t>
            </w:r>
          </w:p>
        </w:tc>
        <w:tc>
          <w:tcPr>
            <w:tcW w:w="454" w:type="dxa"/>
            <w:tcBorders>
              <w:top w:val="single" w:sz="4" w:space="0" w:color="auto"/>
              <w:bottom w:val="single" w:sz="4" w:space="0" w:color="auto"/>
            </w:tcBorders>
            <w:shd w:val="clear" w:color="auto" w:fill="auto"/>
            <w:noWrap/>
            <w:vAlign w:val="center"/>
          </w:tcPr>
          <w:p w14:paraId="6E0C2EF8" w14:textId="4669E00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472C8D7" w14:textId="66C387F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8FDDEA" w14:textId="7644D7E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4410C83" w14:textId="4A1B1DA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E89C166" w14:textId="0D4D184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5CD4EA8" w14:textId="61A97E1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04F4C64" w14:textId="3E56FC77"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7D324522" w14:textId="2A203F5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0C931B06" w14:textId="322ACBD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28065D0" w14:textId="2EDACBC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2CE8B9F" w14:textId="1AC84E8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8CF08F1" w14:textId="1178BA6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996B62E" w14:textId="5F94C25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5D7D822" w14:textId="68F035C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48B4686" w14:textId="624D147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E1D6908" w14:textId="74B20C72"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2A7E2A14"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85A760A" w14:textId="1FF0D1EC" w:rsidR="0067211A" w:rsidRPr="002B6D16" w:rsidRDefault="0067211A" w:rsidP="0067211A">
            <w:pPr>
              <w:spacing w:after="0"/>
              <w:rPr>
                <w:sz w:val="20"/>
                <w:lang w:val="en-GB" w:eastAsia="en-GB"/>
              </w:rPr>
            </w:pPr>
            <w:r w:rsidRPr="00A57714">
              <w:rPr>
                <w:rFonts w:cs="Arial"/>
                <w:color w:val="000000"/>
                <w:sz w:val="20"/>
                <w:szCs w:val="20"/>
              </w:rPr>
              <w:t>Chang et al</w:t>
            </w:r>
          </w:p>
        </w:tc>
        <w:tc>
          <w:tcPr>
            <w:tcW w:w="723" w:type="dxa"/>
            <w:tcBorders>
              <w:top w:val="single" w:sz="4" w:space="0" w:color="auto"/>
              <w:bottom w:val="single" w:sz="4" w:space="0" w:color="auto"/>
            </w:tcBorders>
            <w:shd w:val="clear" w:color="auto" w:fill="auto"/>
            <w:noWrap/>
            <w:vAlign w:val="center"/>
          </w:tcPr>
          <w:p w14:paraId="516F440F" w14:textId="4591B6AC" w:rsidR="0067211A" w:rsidRPr="002B6D16" w:rsidRDefault="0067211A" w:rsidP="0067211A">
            <w:pPr>
              <w:spacing w:after="0"/>
              <w:jc w:val="center"/>
              <w:rPr>
                <w:sz w:val="20"/>
                <w:lang w:val="en-GB" w:eastAsia="en-GB"/>
              </w:rPr>
            </w:pPr>
            <w:r w:rsidRPr="00A57714">
              <w:rPr>
                <w:rFonts w:cs="Arial"/>
                <w:color w:val="000000"/>
                <w:sz w:val="20"/>
                <w:szCs w:val="20"/>
              </w:rPr>
              <w:t>2008</w:t>
            </w:r>
          </w:p>
        </w:tc>
        <w:tc>
          <w:tcPr>
            <w:tcW w:w="454" w:type="dxa"/>
            <w:tcBorders>
              <w:top w:val="single" w:sz="4" w:space="0" w:color="auto"/>
              <w:bottom w:val="single" w:sz="4" w:space="0" w:color="auto"/>
            </w:tcBorders>
            <w:shd w:val="clear" w:color="auto" w:fill="auto"/>
            <w:noWrap/>
            <w:vAlign w:val="center"/>
          </w:tcPr>
          <w:p w14:paraId="3492D8E7" w14:textId="0219B17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097ED83" w14:textId="2EB8DE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F7F7B07" w14:textId="052C1DD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89F9D7A" w14:textId="0881FF5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E691FC5" w14:textId="7E2DDA4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1F4A93A" w14:textId="401C245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20CD5B0" w14:textId="12AC221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16E7C95" w14:textId="70A55E9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66AE4116" w14:textId="132ABF9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603C47B" w14:textId="6A03E92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9957435" w14:textId="33136D7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597E0B6" w14:textId="0B5AEC8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E945638" w14:textId="3A300A3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BBC93B6" w14:textId="6005F69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C7B8037" w14:textId="5FD2DC2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8F28251" w14:textId="12E61643"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04C704B"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5211423" w14:textId="054A6A8B" w:rsidR="0067211A" w:rsidRPr="002B6D16" w:rsidRDefault="0067211A" w:rsidP="0067211A">
            <w:pPr>
              <w:spacing w:after="0"/>
              <w:rPr>
                <w:sz w:val="20"/>
                <w:lang w:val="en-GB" w:eastAsia="en-GB"/>
              </w:rPr>
            </w:pPr>
            <w:r w:rsidRPr="00A57714">
              <w:rPr>
                <w:rFonts w:cs="Arial"/>
                <w:color w:val="000000"/>
                <w:sz w:val="20"/>
                <w:szCs w:val="20"/>
              </w:rPr>
              <w:t>Chang et al</w:t>
            </w:r>
          </w:p>
        </w:tc>
        <w:tc>
          <w:tcPr>
            <w:tcW w:w="723" w:type="dxa"/>
            <w:tcBorders>
              <w:top w:val="single" w:sz="4" w:space="0" w:color="auto"/>
              <w:bottom w:val="single" w:sz="4" w:space="0" w:color="auto"/>
            </w:tcBorders>
            <w:shd w:val="clear" w:color="auto" w:fill="auto"/>
            <w:noWrap/>
            <w:vAlign w:val="center"/>
          </w:tcPr>
          <w:p w14:paraId="210E5883" w14:textId="08135ACD" w:rsidR="0067211A" w:rsidRPr="002B6D16" w:rsidRDefault="0067211A" w:rsidP="0067211A">
            <w:pPr>
              <w:spacing w:after="0"/>
              <w:jc w:val="center"/>
              <w:rPr>
                <w:sz w:val="20"/>
                <w:lang w:val="en-GB" w:eastAsia="en-GB"/>
              </w:rPr>
            </w:pPr>
            <w:r w:rsidRPr="00A57714">
              <w:rPr>
                <w:rFonts w:cs="Arial"/>
                <w:color w:val="000000"/>
                <w:sz w:val="20"/>
                <w:szCs w:val="20"/>
              </w:rPr>
              <w:t>2012</w:t>
            </w:r>
          </w:p>
        </w:tc>
        <w:tc>
          <w:tcPr>
            <w:tcW w:w="454" w:type="dxa"/>
            <w:tcBorders>
              <w:top w:val="single" w:sz="4" w:space="0" w:color="auto"/>
              <w:bottom w:val="single" w:sz="4" w:space="0" w:color="auto"/>
            </w:tcBorders>
            <w:shd w:val="clear" w:color="auto" w:fill="auto"/>
            <w:noWrap/>
            <w:vAlign w:val="center"/>
          </w:tcPr>
          <w:p w14:paraId="3E664C3E" w14:textId="698F288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587B844" w14:textId="341212B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2B50F6C" w14:textId="3464CA4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71D92DA" w14:textId="19AFD5F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4978F56" w14:textId="09AF261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5629D6D" w14:textId="1F55FCC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33E2781" w14:textId="40CF3AC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7E4F97" w14:textId="690DDD7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62C01185" w14:textId="53F733B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D6D07F6" w14:textId="4D88DB5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AD750BE" w14:textId="1654426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14163EA" w14:textId="39830A3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4A2C826" w14:textId="732B68F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3E51FDD" w14:textId="6366EA8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80434C1" w14:textId="7E3F2CC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468B74A" w14:textId="08E2F129"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C24FFCC"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F7CC1FE" w14:textId="245FC3B0" w:rsidR="0067211A" w:rsidRPr="002B6D16" w:rsidRDefault="0067211A" w:rsidP="0067211A">
            <w:pPr>
              <w:spacing w:after="0"/>
              <w:rPr>
                <w:sz w:val="20"/>
                <w:lang w:val="en-GB" w:eastAsia="en-GB"/>
              </w:rPr>
            </w:pPr>
            <w:r w:rsidRPr="00A57714">
              <w:rPr>
                <w:rFonts w:cs="Arial"/>
                <w:color w:val="000000"/>
                <w:sz w:val="20"/>
                <w:szCs w:val="20"/>
              </w:rPr>
              <w:t>Chevreul et al</w:t>
            </w:r>
          </w:p>
        </w:tc>
        <w:tc>
          <w:tcPr>
            <w:tcW w:w="723" w:type="dxa"/>
            <w:tcBorders>
              <w:top w:val="single" w:sz="4" w:space="0" w:color="auto"/>
              <w:bottom w:val="single" w:sz="4" w:space="0" w:color="auto"/>
            </w:tcBorders>
            <w:shd w:val="clear" w:color="auto" w:fill="auto"/>
            <w:noWrap/>
            <w:vAlign w:val="center"/>
          </w:tcPr>
          <w:p w14:paraId="602AF175" w14:textId="45CB44EA"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6A7DFA94" w14:textId="221FB08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E03013D" w14:textId="34C41D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4537C91" w14:textId="62BF187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1DEA6D0" w14:textId="5819CDB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5B22EC2" w14:textId="70F4D7F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FB8C754" w14:textId="7C0D0DD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EC3CF48" w14:textId="1BD8000B"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8F40155" w14:textId="488655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03E3DD3E" w14:textId="64994ED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7AB5250" w14:textId="6872472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281A924" w14:textId="031F793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342C15E" w14:textId="697AA7C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300ED38" w14:textId="21831A8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5994E6A" w14:textId="3D9D24A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56226E1" w14:textId="5093E75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17A4E91" w14:textId="64AB8D7C"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4A3DAAE3"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275F6E6" w14:textId="47A01DFF" w:rsidR="0067211A" w:rsidRPr="002B6D16" w:rsidRDefault="0067211A" w:rsidP="0067211A">
            <w:pPr>
              <w:spacing w:after="0"/>
              <w:rPr>
                <w:sz w:val="20"/>
                <w:lang w:val="en-GB" w:eastAsia="en-GB"/>
              </w:rPr>
            </w:pPr>
            <w:r w:rsidRPr="00A57714">
              <w:rPr>
                <w:rFonts w:cs="Arial"/>
                <w:color w:val="000000"/>
                <w:sz w:val="20"/>
                <w:szCs w:val="20"/>
              </w:rPr>
              <w:t>Chiavegatto Filho et al</w:t>
            </w:r>
          </w:p>
        </w:tc>
        <w:tc>
          <w:tcPr>
            <w:tcW w:w="723" w:type="dxa"/>
            <w:tcBorders>
              <w:top w:val="single" w:sz="4" w:space="0" w:color="auto"/>
              <w:bottom w:val="single" w:sz="4" w:space="0" w:color="auto"/>
            </w:tcBorders>
            <w:shd w:val="clear" w:color="auto" w:fill="auto"/>
            <w:noWrap/>
            <w:vAlign w:val="center"/>
          </w:tcPr>
          <w:p w14:paraId="228D9B77" w14:textId="09F2C9D4" w:rsidR="0067211A" w:rsidRPr="002B6D16" w:rsidRDefault="0067211A" w:rsidP="0067211A">
            <w:pPr>
              <w:spacing w:after="0"/>
              <w:jc w:val="center"/>
              <w:rPr>
                <w:sz w:val="20"/>
                <w:lang w:val="en-GB" w:eastAsia="en-GB"/>
              </w:rPr>
            </w:pPr>
            <w:r w:rsidRPr="00A57714">
              <w:rPr>
                <w:rFonts w:cs="Arial"/>
                <w:color w:val="000000"/>
                <w:sz w:val="20"/>
                <w:szCs w:val="20"/>
              </w:rPr>
              <w:t>2015</w:t>
            </w:r>
          </w:p>
        </w:tc>
        <w:tc>
          <w:tcPr>
            <w:tcW w:w="454" w:type="dxa"/>
            <w:tcBorders>
              <w:top w:val="single" w:sz="4" w:space="0" w:color="auto"/>
              <w:bottom w:val="single" w:sz="4" w:space="0" w:color="auto"/>
            </w:tcBorders>
            <w:shd w:val="clear" w:color="auto" w:fill="auto"/>
            <w:noWrap/>
            <w:vAlign w:val="center"/>
          </w:tcPr>
          <w:p w14:paraId="2D91E9C4" w14:textId="42356DC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1C1CD42" w14:textId="16C0779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EC3AA4" w14:textId="70B93DC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B925B01" w14:textId="0D83547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8B9FC66" w14:textId="024CC93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2149006" w14:textId="56D0880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9E60E25" w14:textId="18FFDCE7"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19B984B9" w14:textId="2ACA384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7D257A88" w14:textId="2ADEA62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1DA9EA1" w14:textId="3A99319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B045DA1" w14:textId="221108C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188CCD8" w14:textId="028ADC1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8274EC4" w14:textId="242931D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670575F0" w14:textId="5B6B0C9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78A75FE" w14:textId="34CF89E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5DD6A23" w14:textId="2893C2AD"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223CBCC3"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AD1AF24" w14:textId="4F346857" w:rsidR="0067211A" w:rsidRPr="002B6D16" w:rsidRDefault="0067211A" w:rsidP="0067211A">
            <w:pPr>
              <w:spacing w:after="0"/>
              <w:rPr>
                <w:sz w:val="20"/>
                <w:lang w:val="en-GB" w:eastAsia="en-GB"/>
              </w:rPr>
            </w:pPr>
            <w:r w:rsidRPr="00A57714">
              <w:rPr>
                <w:rFonts w:cs="Arial"/>
                <w:color w:val="000000"/>
                <w:sz w:val="20"/>
                <w:szCs w:val="20"/>
              </w:rPr>
              <w:t>Chisholm et al</w:t>
            </w:r>
          </w:p>
        </w:tc>
        <w:tc>
          <w:tcPr>
            <w:tcW w:w="723" w:type="dxa"/>
            <w:tcBorders>
              <w:top w:val="single" w:sz="4" w:space="0" w:color="auto"/>
              <w:bottom w:val="single" w:sz="4" w:space="0" w:color="auto"/>
            </w:tcBorders>
            <w:shd w:val="clear" w:color="auto" w:fill="auto"/>
            <w:noWrap/>
            <w:vAlign w:val="center"/>
          </w:tcPr>
          <w:p w14:paraId="1938C867" w14:textId="41009800" w:rsidR="0067211A" w:rsidRPr="002B6D16" w:rsidRDefault="0067211A" w:rsidP="0067211A">
            <w:pPr>
              <w:spacing w:after="0"/>
              <w:jc w:val="center"/>
              <w:rPr>
                <w:sz w:val="20"/>
                <w:lang w:val="en-GB" w:eastAsia="en-GB"/>
              </w:rPr>
            </w:pPr>
            <w:r w:rsidRPr="00A57714">
              <w:rPr>
                <w:rFonts w:cs="Arial"/>
                <w:color w:val="000000"/>
                <w:sz w:val="20"/>
                <w:szCs w:val="20"/>
              </w:rPr>
              <w:t>2003</w:t>
            </w:r>
          </w:p>
        </w:tc>
        <w:tc>
          <w:tcPr>
            <w:tcW w:w="454" w:type="dxa"/>
            <w:tcBorders>
              <w:top w:val="single" w:sz="4" w:space="0" w:color="auto"/>
              <w:bottom w:val="single" w:sz="4" w:space="0" w:color="auto"/>
            </w:tcBorders>
            <w:shd w:val="clear" w:color="auto" w:fill="auto"/>
            <w:noWrap/>
            <w:vAlign w:val="center"/>
          </w:tcPr>
          <w:p w14:paraId="326CE678" w14:textId="4ED4111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6D25546" w14:textId="38A078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E1E2371" w14:textId="7F2B26C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54264B2" w14:textId="357B6AC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F1DAE72" w14:textId="5ABBF6A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0BA2495" w14:textId="77F37FB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01A2173" w14:textId="5377C87A"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158210E5" w14:textId="3552DC4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9CEEC0C" w14:textId="46D9F94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2424D71" w14:textId="333CA59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4A1D406" w14:textId="38AA077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F4FBA34" w14:textId="6DED707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0A7366F" w14:textId="4900785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9DFF61F" w14:textId="3214BBA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FF1ED23" w14:textId="606EE12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F232485" w14:textId="5C0537A4"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18CB72BA"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F225265" w14:textId="548A6302" w:rsidR="0067211A" w:rsidRPr="002B6D16" w:rsidRDefault="0067211A" w:rsidP="0067211A">
            <w:pPr>
              <w:spacing w:after="0"/>
              <w:rPr>
                <w:sz w:val="20"/>
                <w:lang w:val="en-GB" w:eastAsia="en-GB"/>
              </w:rPr>
            </w:pPr>
            <w:r w:rsidRPr="00A57714">
              <w:rPr>
                <w:rFonts w:cs="Arial"/>
                <w:color w:val="000000"/>
                <w:sz w:val="20"/>
                <w:szCs w:val="20"/>
              </w:rPr>
              <w:t>Chiu et al</w:t>
            </w:r>
          </w:p>
        </w:tc>
        <w:tc>
          <w:tcPr>
            <w:tcW w:w="723" w:type="dxa"/>
            <w:tcBorders>
              <w:top w:val="single" w:sz="4" w:space="0" w:color="auto"/>
              <w:bottom w:val="single" w:sz="4" w:space="0" w:color="auto"/>
            </w:tcBorders>
            <w:shd w:val="clear" w:color="auto" w:fill="auto"/>
            <w:noWrap/>
            <w:vAlign w:val="center"/>
          </w:tcPr>
          <w:p w14:paraId="32BFA018" w14:textId="2EF12AF8"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7C6D836B" w14:textId="750A409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057A3C0" w14:textId="255D9CA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D31A43E" w14:textId="13508A5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476876F" w14:textId="13D8F2B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2368DE9" w14:textId="04E53E8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1EEDC4A" w14:textId="699BF91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385E902" w14:textId="1FB098FE"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5348E1AB" w14:textId="54E9F86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E064533" w14:textId="2EEA6C3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1997478" w14:textId="7247598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715E940" w14:textId="36430D3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EA204EE" w14:textId="455F3AE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8A3FFA6" w14:textId="716422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69326F9" w14:textId="299940F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64AE39E" w14:textId="775CFEE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20AF0FA" w14:textId="2A387FC5"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4F362013"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FFCFD1F" w14:textId="1E688163" w:rsidR="0067211A" w:rsidRPr="002B6D16" w:rsidRDefault="0067211A" w:rsidP="0067211A">
            <w:pPr>
              <w:spacing w:after="0"/>
              <w:rPr>
                <w:sz w:val="20"/>
                <w:lang w:val="en-GB" w:eastAsia="en-GB"/>
              </w:rPr>
            </w:pPr>
            <w:r w:rsidRPr="00A57714">
              <w:rPr>
                <w:rFonts w:cs="Arial"/>
                <w:color w:val="000000"/>
                <w:sz w:val="20"/>
                <w:szCs w:val="20"/>
              </w:rPr>
              <w:t>Chollet et al</w:t>
            </w:r>
          </w:p>
        </w:tc>
        <w:tc>
          <w:tcPr>
            <w:tcW w:w="723" w:type="dxa"/>
            <w:tcBorders>
              <w:top w:val="single" w:sz="4" w:space="0" w:color="auto"/>
              <w:bottom w:val="single" w:sz="4" w:space="0" w:color="auto"/>
            </w:tcBorders>
            <w:shd w:val="clear" w:color="auto" w:fill="auto"/>
            <w:noWrap/>
            <w:vAlign w:val="center"/>
          </w:tcPr>
          <w:p w14:paraId="378766E7" w14:textId="201C9D21"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6083812F" w14:textId="04C4BC8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FFFDD0A" w14:textId="0A82449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5CF90DE" w14:textId="428E26C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6F54C06" w14:textId="6271820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B723E93" w14:textId="3796C83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8D75050" w14:textId="2E8BFF9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730EEC5" w14:textId="4BD8DEE7"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6B44D002" w14:textId="59EC33B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49ECD1C4" w14:textId="5588A7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D381B8E" w14:textId="7685562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C85D7C7" w14:textId="74472BC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5B3A1D2" w14:textId="6968274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753B56D" w14:textId="5BB76D2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1640305" w14:textId="26E2C73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4D4AA4A" w14:textId="650120E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D9599B2" w14:textId="0EC1084F"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52A3EF10"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6A794DA5" w14:textId="0E41D625" w:rsidR="0067211A" w:rsidRPr="002B6D16" w:rsidRDefault="0067211A" w:rsidP="0067211A">
            <w:pPr>
              <w:spacing w:after="0"/>
              <w:rPr>
                <w:sz w:val="20"/>
                <w:lang w:val="en-GB" w:eastAsia="en-GB"/>
              </w:rPr>
            </w:pPr>
            <w:r w:rsidRPr="00A57714">
              <w:rPr>
                <w:rFonts w:cs="Arial"/>
                <w:color w:val="000000"/>
                <w:sz w:val="20"/>
                <w:szCs w:val="20"/>
              </w:rPr>
              <w:t>Cidav et al</w:t>
            </w:r>
          </w:p>
        </w:tc>
        <w:tc>
          <w:tcPr>
            <w:tcW w:w="723" w:type="dxa"/>
            <w:tcBorders>
              <w:top w:val="single" w:sz="4" w:space="0" w:color="auto"/>
              <w:bottom w:val="single" w:sz="4" w:space="0" w:color="auto"/>
            </w:tcBorders>
            <w:shd w:val="clear" w:color="auto" w:fill="auto"/>
            <w:noWrap/>
            <w:vAlign w:val="center"/>
          </w:tcPr>
          <w:p w14:paraId="4AA49D7D" w14:textId="6FB5F582" w:rsidR="0067211A" w:rsidRPr="002B6D16" w:rsidRDefault="0067211A" w:rsidP="0067211A">
            <w:pPr>
              <w:spacing w:after="0"/>
              <w:jc w:val="center"/>
              <w:rPr>
                <w:sz w:val="20"/>
                <w:lang w:val="en-GB" w:eastAsia="en-GB"/>
              </w:rPr>
            </w:pPr>
            <w:r w:rsidRPr="00A57714">
              <w:rPr>
                <w:rFonts w:cs="Arial"/>
                <w:color w:val="000000"/>
                <w:sz w:val="20"/>
                <w:szCs w:val="20"/>
              </w:rPr>
              <w:t>2012</w:t>
            </w:r>
          </w:p>
        </w:tc>
        <w:tc>
          <w:tcPr>
            <w:tcW w:w="454" w:type="dxa"/>
            <w:tcBorders>
              <w:top w:val="single" w:sz="4" w:space="0" w:color="auto"/>
              <w:bottom w:val="single" w:sz="4" w:space="0" w:color="auto"/>
            </w:tcBorders>
            <w:shd w:val="clear" w:color="auto" w:fill="auto"/>
            <w:noWrap/>
            <w:vAlign w:val="center"/>
          </w:tcPr>
          <w:p w14:paraId="283AA97D" w14:textId="329880E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D84FB85" w14:textId="1F96D1F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1B218BA" w14:textId="7801268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86B5157" w14:textId="5F30CFC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81C522B" w14:textId="6EA0F0E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189141C" w14:textId="2F47547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10" w:type="dxa"/>
            <w:tcBorders>
              <w:top w:val="single" w:sz="4" w:space="0" w:color="auto"/>
              <w:bottom w:val="single" w:sz="4" w:space="0" w:color="auto"/>
            </w:tcBorders>
            <w:shd w:val="clear" w:color="auto" w:fill="auto"/>
            <w:noWrap/>
            <w:vAlign w:val="center"/>
          </w:tcPr>
          <w:p w14:paraId="12D563DF" w14:textId="5E80450D"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1F65127E" w14:textId="79E5EC2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03833342" w14:textId="04A235C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B522964" w14:textId="5DF57BB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A0AC6ED" w14:textId="2D9706D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A7E7DFE" w14:textId="15ED981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1B4318C" w14:textId="56F11A4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8DD8B25" w14:textId="7A89E0C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62FE8A1" w14:textId="1681C52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46FC2854" w14:textId="6CC9A167"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3EC61812"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76171CC4" w14:textId="5F196878" w:rsidR="0067211A" w:rsidRPr="002B6D16" w:rsidRDefault="0067211A" w:rsidP="0067211A">
            <w:pPr>
              <w:spacing w:after="0"/>
              <w:ind w:right="-85"/>
              <w:rPr>
                <w:sz w:val="20"/>
                <w:lang w:val="en-GB" w:eastAsia="en-GB"/>
              </w:rPr>
            </w:pPr>
            <w:r w:rsidRPr="00A57714">
              <w:rPr>
                <w:rFonts w:cs="Arial"/>
                <w:color w:val="000000"/>
                <w:sz w:val="20"/>
                <w:szCs w:val="20"/>
              </w:rPr>
              <w:t>Cloutier et al</w:t>
            </w:r>
          </w:p>
        </w:tc>
        <w:tc>
          <w:tcPr>
            <w:tcW w:w="723" w:type="dxa"/>
            <w:tcBorders>
              <w:top w:val="single" w:sz="4" w:space="0" w:color="auto"/>
              <w:bottom w:val="single" w:sz="4" w:space="0" w:color="auto"/>
            </w:tcBorders>
            <w:shd w:val="clear" w:color="auto" w:fill="auto"/>
            <w:noWrap/>
            <w:vAlign w:val="center"/>
          </w:tcPr>
          <w:p w14:paraId="6FB770E1" w14:textId="1B1C707C" w:rsidR="0067211A" w:rsidRPr="002B6D16" w:rsidRDefault="0067211A" w:rsidP="0067211A">
            <w:pPr>
              <w:spacing w:after="0"/>
              <w:jc w:val="center"/>
              <w:rPr>
                <w:sz w:val="20"/>
                <w:lang w:val="en-GB" w:eastAsia="en-GB"/>
              </w:rPr>
            </w:pPr>
            <w:r w:rsidRPr="00A57714">
              <w:rPr>
                <w:rFonts w:cs="Arial"/>
                <w:color w:val="000000"/>
                <w:sz w:val="20"/>
                <w:szCs w:val="20"/>
              </w:rPr>
              <w:t>2016</w:t>
            </w:r>
          </w:p>
        </w:tc>
        <w:tc>
          <w:tcPr>
            <w:tcW w:w="454" w:type="dxa"/>
            <w:tcBorders>
              <w:top w:val="single" w:sz="4" w:space="0" w:color="auto"/>
              <w:bottom w:val="single" w:sz="4" w:space="0" w:color="auto"/>
            </w:tcBorders>
            <w:shd w:val="clear" w:color="auto" w:fill="auto"/>
            <w:noWrap/>
            <w:vAlign w:val="center"/>
          </w:tcPr>
          <w:p w14:paraId="6B72544F" w14:textId="2D1414E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C193C2F" w14:textId="76736D5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F2696B1" w14:textId="453660A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66FBFF1" w14:textId="5226831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82370DF" w14:textId="2A7EF6F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ADD934" w14:textId="63D47E9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2727098" w14:textId="6A09A7D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B561C61" w14:textId="0F79EC4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18BB90A" w14:textId="5369561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8469284" w14:textId="0B17F64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66FC2A6" w14:textId="3150312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88B14FA" w14:textId="6C7973F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AB076E9" w14:textId="0A628E5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ECEBC68" w14:textId="01FA8D4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C1ED40C" w14:textId="040A73B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05B9AA47" w14:textId="4630F450"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0A7C991A"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50963FCF" w14:textId="7F24E9F9" w:rsidR="0067211A" w:rsidRPr="002B6D16" w:rsidRDefault="0067211A" w:rsidP="0067211A">
            <w:pPr>
              <w:spacing w:after="0"/>
              <w:rPr>
                <w:sz w:val="20"/>
                <w:lang w:val="en-GB" w:eastAsia="en-GB"/>
              </w:rPr>
            </w:pPr>
            <w:r w:rsidRPr="00A57714">
              <w:rPr>
                <w:rFonts w:cs="Arial"/>
                <w:color w:val="000000"/>
                <w:sz w:val="20"/>
                <w:szCs w:val="20"/>
                <w:lang w:val="en-GB"/>
              </w:rPr>
              <w:t>Croft-Jeffreys, C and Wilkinson, G</w:t>
            </w:r>
          </w:p>
        </w:tc>
        <w:tc>
          <w:tcPr>
            <w:tcW w:w="723" w:type="dxa"/>
            <w:tcBorders>
              <w:top w:val="single" w:sz="4" w:space="0" w:color="auto"/>
              <w:bottom w:val="single" w:sz="4" w:space="0" w:color="auto"/>
            </w:tcBorders>
            <w:shd w:val="clear" w:color="auto" w:fill="auto"/>
            <w:noWrap/>
            <w:vAlign w:val="center"/>
          </w:tcPr>
          <w:p w14:paraId="2F1AB6CD" w14:textId="62AE0F07" w:rsidR="0067211A" w:rsidRPr="002B6D16" w:rsidRDefault="0067211A" w:rsidP="0067211A">
            <w:pPr>
              <w:spacing w:after="0"/>
              <w:jc w:val="center"/>
              <w:rPr>
                <w:sz w:val="20"/>
                <w:lang w:val="en-GB" w:eastAsia="en-GB"/>
              </w:rPr>
            </w:pPr>
            <w:r w:rsidRPr="00A57714">
              <w:rPr>
                <w:rFonts w:cs="Arial"/>
                <w:color w:val="000000"/>
                <w:sz w:val="20"/>
                <w:szCs w:val="20"/>
              </w:rPr>
              <w:t>1989</w:t>
            </w:r>
          </w:p>
        </w:tc>
        <w:tc>
          <w:tcPr>
            <w:tcW w:w="454" w:type="dxa"/>
            <w:tcBorders>
              <w:top w:val="single" w:sz="4" w:space="0" w:color="auto"/>
              <w:bottom w:val="single" w:sz="4" w:space="0" w:color="auto"/>
            </w:tcBorders>
            <w:shd w:val="clear" w:color="auto" w:fill="auto"/>
            <w:noWrap/>
            <w:vAlign w:val="center"/>
          </w:tcPr>
          <w:p w14:paraId="2EE39EB4" w14:textId="4A83597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D4C3D20" w14:textId="2C0BB62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0D1D762" w14:textId="58577EB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D408DAA" w14:textId="2FA4DAB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0877C0A" w14:textId="62678D1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8AE57D7" w14:textId="399BEFA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36C7C2B" w14:textId="2E4522F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3E445C8" w14:textId="2D5B6D5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755BA10" w14:textId="277F90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ECFB853" w14:textId="63E4F60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1DF310E" w14:textId="61BE530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A69A4F3" w14:textId="5D8475D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1E9E754" w14:textId="3DA945F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55C4E52" w14:textId="21EF046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61355A3B" w14:textId="6988C92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56D37D59" w14:textId="75775C82"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3E6A1173"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690A1EC9" w14:textId="3C57201A" w:rsidR="0067211A" w:rsidRPr="002B6D16" w:rsidRDefault="0067211A" w:rsidP="0067211A">
            <w:pPr>
              <w:spacing w:after="0"/>
              <w:rPr>
                <w:sz w:val="20"/>
                <w:lang w:val="en-GB" w:eastAsia="en-GB"/>
              </w:rPr>
            </w:pPr>
            <w:r w:rsidRPr="00A57714">
              <w:rPr>
                <w:rFonts w:cs="Arial"/>
                <w:color w:val="000000"/>
                <w:sz w:val="20"/>
                <w:szCs w:val="20"/>
              </w:rPr>
              <w:t>Dams et al</w:t>
            </w:r>
          </w:p>
        </w:tc>
        <w:tc>
          <w:tcPr>
            <w:tcW w:w="723" w:type="dxa"/>
            <w:tcBorders>
              <w:top w:val="single" w:sz="4" w:space="0" w:color="auto"/>
              <w:bottom w:val="single" w:sz="4" w:space="0" w:color="auto"/>
            </w:tcBorders>
            <w:shd w:val="clear" w:color="auto" w:fill="auto"/>
            <w:noWrap/>
            <w:vAlign w:val="center"/>
          </w:tcPr>
          <w:p w14:paraId="444BE288" w14:textId="584F313B"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2E3E4942" w14:textId="71207C3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68D3841" w14:textId="064B789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B3CFD6" w14:textId="185E34D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738FD64" w14:textId="711ECD5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05DA519" w14:textId="45B942C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393534D" w14:textId="6F43859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5EF72AF" w14:textId="0C69B02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E0F9744" w14:textId="4D97930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272AD090" w14:textId="4AF0124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08FFB61" w14:textId="76F980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EAB94A1" w14:textId="5CBC4D1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771968B" w14:textId="3EE61E8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BA912DD" w14:textId="1D2E239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0455CE3" w14:textId="0E175B8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0093792" w14:textId="311FFCF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CA5C457" w14:textId="586BD855"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16590727"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62C4C70" w14:textId="780E51FA" w:rsidR="0067211A" w:rsidRPr="002B6D16" w:rsidRDefault="0067211A" w:rsidP="0067211A">
            <w:pPr>
              <w:spacing w:after="0"/>
              <w:rPr>
                <w:sz w:val="20"/>
                <w:lang w:val="en-GB" w:eastAsia="en-GB"/>
              </w:rPr>
            </w:pPr>
            <w:r w:rsidRPr="00A57714">
              <w:rPr>
                <w:rFonts w:cs="Arial"/>
                <w:color w:val="000000"/>
                <w:sz w:val="20"/>
                <w:szCs w:val="20"/>
              </w:rPr>
              <w:t>Das Gupta &amp; Guest</w:t>
            </w:r>
          </w:p>
        </w:tc>
        <w:tc>
          <w:tcPr>
            <w:tcW w:w="723" w:type="dxa"/>
            <w:tcBorders>
              <w:top w:val="single" w:sz="4" w:space="0" w:color="auto"/>
              <w:bottom w:val="single" w:sz="4" w:space="0" w:color="auto"/>
            </w:tcBorders>
            <w:shd w:val="clear" w:color="auto" w:fill="auto"/>
            <w:noWrap/>
            <w:vAlign w:val="center"/>
          </w:tcPr>
          <w:p w14:paraId="6C7D0820" w14:textId="4864290F" w:rsidR="0067211A" w:rsidRPr="002B6D16" w:rsidRDefault="0067211A" w:rsidP="0067211A">
            <w:pPr>
              <w:spacing w:after="0"/>
              <w:jc w:val="center"/>
              <w:rPr>
                <w:sz w:val="20"/>
                <w:lang w:val="en-GB" w:eastAsia="en-GB"/>
              </w:rPr>
            </w:pPr>
            <w:r w:rsidRPr="00A57714">
              <w:rPr>
                <w:rFonts w:cs="Arial"/>
                <w:color w:val="000000"/>
                <w:sz w:val="20"/>
                <w:szCs w:val="20"/>
              </w:rPr>
              <w:t>2002</w:t>
            </w:r>
          </w:p>
        </w:tc>
        <w:tc>
          <w:tcPr>
            <w:tcW w:w="454" w:type="dxa"/>
            <w:tcBorders>
              <w:top w:val="single" w:sz="4" w:space="0" w:color="auto"/>
              <w:bottom w:val="single" w:sz="4" w:space="0" w:color="auto"/>
            </w:tcBorders>
            <w:shd w:val="clear" w:color="auto" w:fill="auto"/>
            <w:noWrap/>
            <w:vAlign w:val="center"/>
          </w:tcPr>
          <w:p w14:paraId="13ADB09C" w14:textId="458812A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95D0341" w14:textId="10410B6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0527907" w14:textId="2A5E593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6F9E607" w14:textId="00923A3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BFA3DE9" w14:textId="04CF837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A25E34C" w14:textId="27F3CE1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A8D914E" w14:textId="4F3532F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40C4E1A" w14:textId="46F1A8B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771D2371" w14:textId="3FE1D78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3E5AAC0" w14:textId="56175E7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CD4559B" w14:textId="598EF88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8E4C438" w14:textId="5CE241D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B4878EE" w14:textId="6F03CDC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653FB1B" w14:textId="7FFA703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ED520F0" w14:textId="45AF998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15D60D8" w14:textId="160FD295"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2939040E"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70741DFC" w14:textId="585D804C" w:rsidR="0067211A" w:rsidRPr="002B6D16" w:rsidRDefault="0067211A" w:rsidP="0067211A">
            <w:pPr>
              <w:spacing w:after="0"/>
              <w:rPr>
                <w:sz w:val="20"/>
                <w:lang w:val="en-GB" w:eastAsia="en-GB"/>
              </w:rPr>
            </w:pPr>
            <w:r w:rsidRPr="00A57714">
              <w:rPr>
                <w:rFonts w:cs="Arial"/>
                <w:color w:val="000000"/>
                <w:sz w:val="20"/>
                <w:szCs w:val="20"/>
              </w:rPr>
              <w:t>de Oliveira et al</w:t>
            </w:r>
          </w:p>
        </w:tc>
        <w:tc>
          <w:tcPr>
            <w:tcW w:w="723" w:type="dxa"/>
            <w:tcBorders>
              <w:top w:val="single" w:sz="4" w:space="0" w:color="auto"/>
              <w:bottom w:val="single" w:sz="4" w:space="0" w:color="auto"/>
            </w:tcBorders>
            <w:shd w:val="clear" w:color="auto" w:fill="auto"/>
            <w:noWrap/>
            <w:vAlign w:val="center"/>
          </w:tcPr>
          <w:p w14:paraId="31AF3CF1" w14:textId="5A557D9B"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2AC1AEB6" w14:textId="1CC08F3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35848B1" w14:textId="2242AD5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CE9A091" w14:textId="72FF8D5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9C1B497" w14:textId="50DEDE3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739DD7F" w14:textId="10FF84B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1F32667" w14:textId="3593958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8153262" w14:textId="79DB7011"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703AA1D4" w14:textId="726746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145F461E" w14:textId="7EFCB61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611A95E" w14:textId="3FE3818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E9B4508" w14:textId="15ECEFC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5B3FB20" w14:textId="3DB7C06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4B5F5CF" w14:textId="4D5CBC6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3A3D15B" w14:textId="79B3BF5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EA34AA7" w14:textId="7FC027D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973C428" w14:textId="137A5D64"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346B1494"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B5D588B" w14:textId="02A87418" w:rsidR="0067211A" w:rsidRPr="002B6D16" w:rsidRDefault="0067211A" w:rsidP="0067211A">
            <w:pPr>
              <w:spacing w:after="0"/>
              <w:rPr>
                <w:sz w:val="20"/>
                <w:lang w:val="en-GB" w:eastAsia="en-GB"/>
              </w:rPr>
            </w:pPr>
            <w:r w:rsidRPr="00A57714">
              <w:rPr>
                <w:rFonts w:cs="Arial"/>
                <w:color w:val="000000"/>
                <w:sz w:val="20"/>
                <w:szCs w:val="20"/>
              </w:rPr>
              <w:t>Degli Esposti et al</w:t>
            </w:r>
          </w:p>
        </w:tc>
        <w:tc>
          <w:tcPr>
            <w:tcW w:w="723" w:type="dxa"/>
            <w:tcBorders>
              <w:top w:val="single" w:sz="4" w:space="0" w:color="auto"/>
              <w:bottom w:val="single" w:sz="4" w:space="0" w:color="auto"/>
            </w:tcBorders>
            <w:shd w:val="clear" w:color="auto" w:fill="auto"/>
            <w:noWrap/>
            <w:vAlign w:val="center"/>
          </w:tcPr>
          <w:p w14:paraId="171A7C9A" w14:textId="50876A49" w:rsidR="0067211A" w:rsidRPr="002B6D16" w:rsidRDefault="0067211A" w:rsidP="0067211A">
            <w:pPr>
              <w:spacing w:after="0"/>
              <w:jc w:val="center"/>
              <w:rPr>
                <w:sz w:val="20"/>
                <w:lang w:val="en-GB" w:eastAsia="en-GB"/>
              </w:rPr>
            </w:pPr>
            <w:r w:rsidRPr="00A57714">
              <w:rPr>
                <w:rFonts w:cs="Arial"/>
                <w:color w:val="000000"/>
                <w:sz w:val="20"/>
                <w:szCs w:val="20"/>
              </w:rPr>
              <w:t>2014</w:t>
            </w:r>
          </w:p>
        </w:tc>
        <w:tc>
          <w:tcPr>
            <w:tcW w:w="454" w:type="dxa"/>
            <w:tcBorders>
              <w:top w:val="single" w:sz="4" w:space="0" w:color="auto"/>
              <w:bottom w:val="single" w:sz="4" w:space="0" w:color="auto"/>
            </w:tcBorders>
            <w:shd w:val="clear" w:color="auto" w:fill="auto"/>
            <w:noWrap/>
            <w:vAlign w:val="center"/>
          </w:tcPr>
          <w:p w14:paraId="6E2AEAF2" w14:textId="760564A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F843F4B" w14:textId="47F28D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F7D2A58" w14:textId="3F1F71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FCE1C74" w14:textId="345EDAD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126679B" w14:textId="35FE112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9617A81" w14:textId="6EE4844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BA56E7F" w14:textId="4FB31E03"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48CCA7D" w14:textId="259335E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1840FAC6" w14:textId="1B88A0F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FE13DD9" w14:textId="6393CB5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F0E5EFC" w14:textId="37EDB25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55EC961" w14:textId="34E04BC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060744A" w14:textId="1BC7579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F5A2402" w14:textId="497867A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024347F" w14:textId="2B2DD1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7FEC8D2" w14:textId="4D103AB1"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04905F6"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B014803" w14:textId="208FF0A9" w:rsidR="0067211A" w:rsidRPr="002B6D16" w:rsidRDefault="0067211A" w:rsidP="0067211A">
            <w:pPr>
              <w:spacing w:after="0"/>
              <w:rPr>
                <w:sz w:val="20"/>
                <w:lang w:val="en-GB" w:eastAsia="en-GB"/>
              </w:rPr>
            </w:pPr>
            <w:r w:rsidRPr="00A57714">
              <w:rPr>
                <w:rFonts w:cs="Arial"/>
                <w:color w:val="000000"/>
                <w:sz w:val="20"/>
                <w:szCs w:val="20"/>
              </w:rPr>
              <w:t>Dilsaver</w:t>
            </w:r>
          </w:p>
        </w:tc>
        <w:tc>
          <w:tcPr>
            <w:tcW w:w="723" w:type="dxa"/>
            <w:tcBorders>
              <w:top w:val="single" w:sz="4" w:space="0" w:color="auto"/>
              <w:bottom w:val="single" w:sz="4" w:space="0" w:color="auto"/>
            </w:tcBorders>
            <w:shd w:val="clear" w:color="auto" w:fill="auto"/>
            <w:noWrap/>
            <w:vAlign w:val="center"/>
          </w:tcPr>
          <w:p w14:paraId="4B345130" w14:textId="0254EF9C" w:rsidR="0067211A" w:rsidRPr="002B6D16" w:rsidRDefault="0067211A" w:rsidP="0067211A">
            <w:pPr>
              <w:spacing w:after="0"/>
              <w:jc w:val="center"/>
              <w:rPr>
                <w:sz w:val="20"/>
                <w:lang w:val="en-GB" w:eastAsia="en-GB"/>
              </w:rPr>
            </w:pPr>
            <w:r w:rsidRPr="00A57714">
              <w:rPr>
                <w:rFonts w:cs="Arial"/>
                <w:color w:val="000000"/>
                <w:sz w:val="20"/>
                <w:szCs w:val="20"/>
              </w:rPr>
              <w:t>2011</w:t>
            </w:r>
          </w:p>
        </w:tc>
        <w:tc>
          <w:tcPr>
            <w:tcW w:w="454" w:type="dxa"/>
            <w:tcBorders>
              <w:top w:val="single" w:sz="4" w:space="0" w:color="auto"/>
              <w:bottom w:val="single" w:sz="4" w:space="0" w:color="auto"/>
            </w:tcBorders>
            <w:shd w:val="clear" w:color="auto" w:fill="auto"/>
            <w:noWrap/>
            <w:vAlign w:val="center"/>
          </w:tcPr>
          <w:p w14:paraId="311B7DD3" w14:textId="0F78DCE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6B6C3E6" w14:textId="2ABEA03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C860388" w14:textId="6E1483B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C423BFE" w14:textId="240CFBD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40452F9" w14:textId="212709C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4EFC9D0" w14:textId="71ADFAF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E1E029B" w14:textId="3A82BFD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056F08B" w14:textId="45072FD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7256BE43" w14:textId="3FC2370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4CE1245" w14:textId="18C6A43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09F9357" w14:textId="1795EE0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4E46C3D" w14:textId="6DD9508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A192EE9" w14:textId="44F3C1B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32976CF" w14:textId="565B151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8BFDF0F" w14:textId="7F45197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3DCFFAB" w14:textId="3C0ED862"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25FC6984"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C7662BE" w14:textId="4CFA5EAC" w:rsidR="0067211A" w:rsidRPr="002B6D16" w:rsidRDefault="0067211A" w:rsidP="0067211A">
            <w:pPr>
              <w:spacing w:after="0"/>
              <w:rPr>
                <w:sz w:val="20"/>
                <w:lang w:val="en-GB" w:eastAsia="en-GB"/>
              </w:rPr>
            </w:pPr>
            <w:r>
              <w:rPr>
                <w:rFonts w:cs="Arial"/>
                <w:color w:val="000000"/>
                <w:sz w:val="20"/>
                <w:szCs w:val="20"/>
                <w:lang w:val="en-GB"/>
              </w:rPr>
              <w:t>DuPont et al</w:t>
            </w:r>
          </w:p>
        </w:tc>
        <w:tc>
          <w:tcPr>
            <w:tcW w:w="723" w:type="dxa"/>
            <w:tcBorders>
              <w:top w:val="single" w:sz="4" w:space="0" w:color="auto"/>
              <w:bottom w:val="single" w:sz="4" w:space="0" w:color="auto"/>
            </w:tcBorders>
            <w:shd w:val="clear" w:color="auto" w:fill="auto"/>
            <w:noWrap/>
            <w:vAlign w:val="center"/>
          </w:tcPr>
          <w:p w14:paraId="54B6EB96" w14:textId="5FB90A34" w:rsidR="0067211A" w:rsidRPr="002B6D16" w:rsidRDefault="0067211A" w:rsidP="0067211A">
            <w:pPr>
              <w:spacing w:after="0"/>
              <w:jc w:val="center"/>
              <w:rPr>
                <w:sz w:val="20"/>
                <w:lang w:val="en-GB" w:eastAsia="en-GB"/>
              </w:rPr>
            </w:pPr>
            <w:r w:rsidRPr="00A57714">
              <w:rPr>
                <w:rFonts w:cs="Arial"/>
                <w:color w:val="000000"/>
                <w:sz w:val="20"/>
                <w:szCs w:val="20"/>
              </w:rPr>
              <w:t>1996</w:t>
            </w:r>
          </w:p>
        </w:tc>
        <w:tc>
          <w:tcPr>
            <w:tcW w:w="454" w:type="dxa"/>
            <w:tcBorders>
              <w:top w:val="single" w:sz="4" w:space="0" w:color="auto"/>
              <w:bottom w:val="single" w:sz="4" w:space="0" w:color="auto"/>
            </w:tcBorders>
            <w:shd w:val="clear" w:color="auto" w:fill="auto"/>
            <w:noWrap/>
            <w:vAlign w:val="center"/>
          </w:tcPr>
          <w:p w14:paraId="0878CE29" w14:textId="58C944E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D89A741" w14:textId="3C6648B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4E23078" w14:textId="3B00375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46A4CDA" w14:textId="1257306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D131831" w14:textId="35E8198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093F734" w14:textId="24277E6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77F52D8" w14:textId="1A27DCC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A99F0DA" w14:textId="064E799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4EB9A081" w14:textId="0B9B7CE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24F4F60" w14:textId="6712BA9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7A4FFE5" w14:textId="548C766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FF9F539" w14:textId="2BA69DC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3413718" w14:textId="31FF2DF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7EB4DB6" w14:textId="2593145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9112F97" w14:textId="167FABD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435B709F" w14:textId="35886794"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50F55EBA"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5F68BA0E" w14:textId="4AFF0C51" w:rsidR="0067211A" w:rsidRPr="002B6D16" w:rsidRDefault="0067211A" w:rsidP="0067211A">
            <w:pPr>
              <w:spacing w:after="0"/>
              <w:rPr>
                <w:sz w:val="20"/>
                <w:lang w:val="en-GB" w:eastAsia="en-GB"/>
              </w:rPr>
            </w:pPr>
            <w:r w:rsidRPr="00A57714">
              <w:rPr>
                <w:rFonts w:cs="Arial"/>
                <w:color w:val="000000"/>
                <w:sz w:val="20"/>
                <w:szCs w:val="20"/>
              </w:rPr>
              <w:t>Ekman et al</w:t>
            </w:r>
          </w:p>
        </w:tc>
        <w:tc>
          <w:tcPr>
            <w:tcW w:w="723" w:type="dxa"/>
            <w:tcBorders>
              <w:top w:val="single" w:sz="4" w:space="0" w:color="auto"/>
              <w:bottom w:val="single" w:sz="4" w:space="0" w:color="auto"/>
            </w:tcBorders>
            <w:shd w:val="clear" w:color="auto" w:fill="auto"/>
            <w:noWrap/>
            <w:vAlign w:val="center"/>
          </w:tcPr>
          <w:p w14:paraId="4FB68167" w14:textId="40C07837" w:rsidR="0067211A" w:rsidRPr="002B6D16" w:rsidRDefault="0067211A" w:rsidP="0067211A">
            <w:pPr>
              <w:spacing w:after="0"/>
              <w:jc w:val="center"/>
              <w:rPr>
                <w:sz w:val="20"/>
                <w:lang w:val="en-GB" w:eastAsia="en-GB"/>
              </w:rPr>
            </w:pPr>
            <w:r w:rsidRPr="00A57714">
              <w:rPr>
                <w:rFonts w:cs="Arial"/>
                <w:color w:val="000000"/>
                <w:sz w:val="20"/>
                <w:szCs w:val="20"/>
              </w:rPr>
              <w:t>2013</w:t>
            </w:r>
            <w:r w:rsidR="00E1675F">
              <w:rPr>
                <w:rFonts w:cs="Arial"/>
                <w:color w:val="000000"/>
                <w:sz w:val="20"/>
                <w:szCs w:val="20"/>
              </w:rPr>
              <w:t>a</w:t>
            </w:r>
          </w:p>
        </w:tc>
        <w:tc>
          <w:tcPr>
            <w:tcW w:w="454" w:type="dxa"/>
            <w:tcBorders>
              <w:top w:val="single" w:sz="4" w:space="0" w:color="auto"/>
              <w:bottom w:val="single" w:sz="4" w:space="0" w:color="auto"/>
            </w:tcBorders>
            <w:shd w:val="clear" w:color="auto" w:fill="auto"/>
            <w:noWrap/>
            <w:vAlign w:val="center"/>
          </w:tcPr>
          <w:p w14:paraId="278F2FDA" w14:textId="08E1E36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B2B7318" w14:textId="5CDD768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CEB42B4" w14:textId="3718F4E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86AA4D8" w14:textId="5378364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E42C7CF" w14:textId="45C7455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F84C22" w14:textId="08BCFF7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A8D789C" w14:textId="55A23E2B"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0058E4B9" w14:textId="4C37D6B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6D4B3DD5" w14:textId="1534A47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A901029" w14:textId="1F9714D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3C8DFD2" w14:textId="0208711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C3F368F" w14:textId="18E7ADD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01CD96D" w14:textId="0B05D2B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DCDFD64" w14:textId="7970FE9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27EDA84" w14:textId="7EE386F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791D717" w14:textId="18BDF8D0"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21364D8F"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703FE972" w14:textId="4D999A36" w:rsidR="0067211A" w:rsidRPr="002B6D16" w:rsidRDefault="0067211A" w:rsidP="0067211A">
            <w:pPr>
              <w:spacing w:after="0"/>
              <w:rPr>
                <w:sz w:val="20"/>
                <w:lang w:val="en-GB" w:eastAsia="en-GB"/>
              </w:rPr>
            </w:pPr>
            <w:r w:rsidRPr="00A57714">
              <w:rPr>
                <w:rFonts w:cs="Arial"/>
                <w:color w:val="000000"/>
                <w:sz w:val="20"/>
                <w:szCs w:val="20"/>
              </w:rPr>
              <w:t>Ekman et al</w:t>
            </w:r>
          </w:p>
        </w:tc>
        <w:tc>
          <w:tcPr>
            <w:tcW w:w="723" w:type="dxa"/>
            <w:tcBorders>
              <w:top w:val="single" w:sz="4" w:space="0" w:color="auto"/>
              <w:bottom w:val="single" w:sz="4" w:space="0" w:color="auto"/>
            </w:tcBorders>
            <w:shd w:val="clear" w:color="auto" w:fill="auto"/>
            <w:noWrap/>
            <w:vAlign w:val="center"/>
          </w:tcPr>
          <w:p w14:paraId="5EEBBF7C" w14:textId="7CC234A3" w:rsidR="0067211A" w:rsidRPr="002B6D16" w:rsidRDefault="0067211A" w:rsidP="0067211A">
            <w:pPr>
              <w:spacing w:after="0"/>
              <w:jc w:val="center"/>
              <w:rPr>
                <w:sz w:val="20"/>
                <w:lang w:val="en-GB" w:eastAsia="en-GB"/>
              </w:rPr>
            </w:pPr>
            <w:r w:rsidRPr="00A57714">
              <w:rPr>
                <w:rFonts w:cs="Arial"/>
                <w:color w:val="000000"/>
                <w:sz w:val="20"/>
                <w:szCs w:val="20"/>
              </w:rPr>
              <w:t>2013</w:t>
            </w:r>
            <w:r w:rsidR="00E1675F">
              <w:rPr>
                <w:rFonts w:cs="Arial"/>
                <w:color w:val="000000"/>
                <w:sz w:val="20"/>
                <w:szCs w:val="20"/>
              </w:rPr>
              <w:t>b</w:t>
            </w:r>
          </w:p>
        </w:tc>
        <w:tc>
          <w:tcPr>
            <w:tcW w:w="454" w:type="dxa"/>
            <w:tcBorders>
              <w:top w:val="single" w:sz="4" w:space="0" w:color="auto"/>
              <w:bottom w:val="single" w:sz="4" w:space="0" w:color="auto"/>
            </w:tcBorders>
            <w:shd w:val="clear" w:color="auto" w:fill="auto"/>
            <w:noWrap/>
            <w:vAlign w:val="center"/>
          </w:tcPr>
          <w:p w14:paraId="151DE8AB" w14:textId="2F04ED4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7739BD3" w14:textId="6B0E859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92DADDD" w14:textId="2727EDC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873EAAD" w14:textId="41DA22A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1FEBE33" w14:textId="686FD99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4D36BB8" w14:textId="25FCA61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DD8265F" w14:textId="687DA251"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844CAA7" w14:textId="36C8D9F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421F2EBA" w14:textId="525E98B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150690A" w14:textId="1215A95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4DA8BCF" w14:textId="640DD73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F32629D" w14:textId="0206B28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AFDCF6B" w14:textId="55FA979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60B000F" w14:textId="0996537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F0DFE2A" w14:textId="670C3A3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6DC6C60" w14:textId="61D1EDB8"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351F9BB1"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B4A20A5" w14:textId="6445B8DD" w:rsidR="0067211A" w:rsidRPr="002B6D16" w:rsidRDefault="0067211A" w:rsidP="0067211A">
            <w:pPr>
              <w:spacing w:after="0"/>
              <w:rPr>
                <w:sz w:val="20"/>
                <w:lang w:val="en-GB" w:eastAsia="en-GB"/>
              </w:rPr>
            </w:pPr>
            <w:r w:rsidRPr="00A57714">
              <w:rPr>
                <w:rFonts w:cs="Arial"/>
                <w:color w:val="000000"/>
                <w:sz w:val="20"/>
                <w:szCs w:val="20"/>
              </w:rPr>
              <w:t>Evensen et al</w:t>
            </w:r>
          </w:p>
        </w:tc>
        <w:tc>
          <w:tcPr>
            <w:tcW w:w="723" w:type="dxa"/>
            <w:tcBorders>
              <w:top w:val="single" w:sz="4" w:space="0" w:color="auto"/>
              <w:bottom w:val="single" w:sz="4" w:space="0" w:color="auto"/>
            </w:tcBorders>
            <w:shd w:val="clear" w:color="auto" w:fill="auto"/>
            <w:noWrap/>
            <w:vAlign w:val="center"/>
          </w:tcPr>
          <w:p w14:paraId="25D32E8A" w14:textId="04CFBE47" w:rsidR="0067211A" w:rsidRPr="002B6D16" w:rsidRDefault="0067211A" w:rsidP="0067211A">
            <w:pPr>
              <w:spacing w:after="0"/>
              <w:jc w:val="center"/>
              <w:rPr>
                <w:sz w:val="20"/>
                <w:lang w:val="en-GB" w:eastAsia="en-GB"/>
              </w:rPr>
            </w:pPr>
            <w:r w:rsidRPr="00A57714">
              <w:rPr>
                <w:rFonts w:cs="Arial"/>
                <w:color w:val="000000"/>
                <w:sz w:val="20"/>
                <w:szCs w:val="20"/>
              </w:rPr>
              <w:t>2015</w:t>
            </w:r>
          </w:p>
        </w:tc>
        <w:tc>
          <w:tcPr>
            <w:tcW w:w="454" w:type="dxa"/>
            <w:tcBorders>
              <w:top w:val="single" w:sz="4" w:space="0" w:color="auto"/>
              <w:bottom w:val="single" w:sz="4" w:space="0" w:color="auto"/>
            </w:tcBorders>
            <w:shd w:val="clear" w:color="auto" w:fill="auto"/>
            <w:noWrap/>
            <w:vAlign w:val="center"/>
          </w:tcPr>
          <w:p w14:paraId="31AD1A62" w14:textId="30C34EB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8D9E88F" w14:textId="4FB04AD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ABB9050" w14:textId="39337A4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89C2926" w14:textId="06E62E9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9E379B6" w14:textId="4797017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6C10BF8" w14:textId="071F460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6F4DC33" w14:textId="55CE960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AB03F5B" w14:textId="715E13F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567B740D" w14:textId="4131800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9200970" w14:textId="2309E33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D16EB0C" w14:textId="4D5E77D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34411A3" w14:textId="3C2767A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56571BB" w14:textId="4EC0BD5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FC8F2C5" w14:textId="532BE77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B162F41" w14:textId="565B1FD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D1FB997" w14:textId="5CCDF53B"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7771CE12"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18A493DE" w14:textId="309EF29B" w:rsidR="0067211A" w:rsidRPr="002B6D16" w:rsidRDefault="0067211A" w:rsidP="0067211A">
            <w:pPr>
              <w:spacing w:after="0"/>
              <w:rPr>
                <w:sz w:val="20"/>
                <w:lang w:val="en-GB" w:eastAsia="en-GB"/>
              </w:rPr>
            </w:pPr>
            <w:r w:rsidRPr="00A57714">
              <w:rPr>
                <w:rFonts w:cs="Arial"/>
                <w:color w:val="000000"/>
                <w:sz w:val="20"/>
                <w:szCs w:val="20"/>
              </w:rPr>
              <w:t>Ewest et al</w:t>
            </w:r>
          </w:p>
        </w:tc>
        <w:tc>
          <w:tcPr>
            <w:tcW w:w="723" w:type="dxa"/>
            <w:tcBorders>
              <w:top w:val="single" w:sz="4" w:space="0" w:color="auto"/>
              <w:bottom w:val="single" w:sz="4" w:space="0" w:color="auto"/>
            </w:tcBorders>
            <w:shd w:val="clear" w:color="auto" w:fill="auto"/>
            <w:noWrap/>
            <w:vAlign w:val="center"/>
          </w:tcPr>
          <w:p w14:paraId="7CC978D2" w14:textId="1DC41739"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582D13F0" w14:textId="06BB952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462BD92" w14:textId="655538B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B0F6CA4" w14:textId="116E2FA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9C7D147" w14:textId="4B28069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1B47AD2" w14:textId="5990D92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3D87E97" w14:textId="24E72C9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10" w:type="dxa"/>
            <w:tcBorders>
              <w:top w:val="single" w:sz="4" w:space="0" w:color="auto"/>
              <w:bottom w:val="single" w:sz="4" w:space="0" w:color="auto"/>
            </w:tcBorders>
            <w:shd w:val="clear" w:color="auto" w:fill="auto"/>
            <w:noWrap/>
            <w:vAlign w:val="center"/>
          </w:tcPr>
          <w:p w14:paraId="337D3874" w14:textId="53A5A57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5EB8C8F" w14:textId="14CAC56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187C42A9" w14:textId="420449E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21618C5" w14:textId="3993E6F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4C1336D" w14:textId="7A0FF5C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2DED22A" w14:textId="5154DD0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9314883" w14:textId="3FAF908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2B7865B" w14:textId="4D48A67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5AA36D0" w14:textId="7726329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E0596AA" w14:textId="34D37E3E"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0512D34C"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63FB9255" w14:textId="74246F6C" w:rsidR="0067211A" w:rsidRPr="002B6D16" w:rsidRDefault="0067211A" w:rsidP="0067211A">
            <w:pPr>
              <w:spacing w:after="0"/>
              <w:rPr>
                <w:sz w:val="20"/>
                <w:lang w:val="en-GB" w:eastAsia="en-GB"/>
              </w:rPr>
            </w:pPr>
            <w:r w:rsidRPr="00A57714">
              <w:rPr>
                <w:rFonts w:cs="Arial"/>
                <w:color w:val="000000"/>
                <w:sz w:val="20"/>
                <w:szCs w:val="20"/>
              </w:rPr>
              <w:t>Ferry et al</w:t>
            </w:r>
          </w:p>
        </w:tc>
        <w:tc>
          <w:tcPr>
            <w:tcW w:w="723" w:type="dxa"/>
            <w:tcBorders>
              <w:top w:val="single" w:sz="4" w:space="0" w:color="auto"/>
              <w:bottom w:val="single" w:sz="4" w:space="0" w:color="auto"/>
            </w:tcBorders>
            <w:shd w:val="clear" w:color="auto" w:fill="auto"/>
            <w:noWrap/>
            <w:vAlign w:val="center"/>
          </w:tcPr>
          <w:p w14:paraId="4529A237" w14:textId="3B390935" w:rsidR="0067211A" w:rsidRPr="002B6D16" w:rsidRDefault="0067211A" w:rsidP="0067211A">
            <w:pPr>
              <w:spacing w:after="0"/>
              <w:jc w:val="center"/>
              <w:rPr>
                <w:sz w:val="20"/>
                <w:lang w:val="en-GB" w:eastAsia="en-GB"/>
              </w:rPr>
            </w:pPr>
            <w:r w:rsidRPr="00A57714">
              <w:rPr>
                <w:rFonts w:cs="Arial"/>
                <w:color w:val="000000"/>
                <w:sz w:val="20"/>
                <w:szCs w:val="20"/>
              </w:rPr>
              <w:t>2015</w:t>
            </w:r>
          </w:p>
        </w:tc>
        <w:tc>
          <w:tcPr>
            <w:tcW w:w="454" w:type="dxa"/>
            <w:tcBorders>
              <w:top w:val="single" w:sz="4" w:space="0" w:color="auto"/>
              <w:bottom w:val="single" w:sz="4" w:space="0" w:color="auto"/>
            </w:tcBorders>
            <w:shd w:val="clear" w:color="auto" w:fill="auto"/>
            <w:noWrap/>
            <w:vAlign w:val="center"/>
          </w:tcPr>
          <w:p w14:paraId="694101ED" w14:textId="1623119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DF3DB27" w14:textId="5A66B7C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F2B6341" w14:textId="31A62D8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E8B604D" w14:textId="4F2D902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3FA197B" w14:textId="21FEEDA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CB03D4D" w14:textId="4BF0B55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02CA6F7" w14:textId="6C6A1DAD"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1C0E0C1A" w14:textId="3E0169D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61F30807" w14:textId="5746177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387D26E" w14:textId="36FF69E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CA0904A" w14:textId="7F8EA0C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6CC47EA" w14:textId="1DBBC92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5EFBE77" w14:textId="4821314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96AA8A1" w14:textId="3C6CC65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BD41AAF" w14:textId="3401C50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3105828" w14:textId="02398809"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43BCA55B"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E40B924" w14:textId="046DC55F" w:rsidR="0067211A" w:rsidRPr="002B6D16" w:rsidRDefault="0067211A" w:rsidP="0067211A">
            <w:pPr>
              <w:spacing w:after="0"/>
              <w:rPr>
                <w:sz w:val="20"/>
                <w:lang w:val="en-GB" w:eastAsia="en-GB"/>
              </w:rPr>
            </w:pPr>
            <w:r w:rsidRPr="00A57714">
              <w:rPr>
                <w:rFonts w:cs="Arial"/>
                <w:color w:val="000000"/>
                <w:sz w:val="20"/>
                <w:szCs w:val="20"/>
                <w:lang w:val="en-GB"/>
              </w:rPr>
              <w:lastRenderedPageBreak/>
              <w:t>Fineberg</w:t>
            </w:r>
            <w:r>
              <w:rPr>
                <w:rFonts w:cs="Arial"/>
                <w:color w:val="000000"/>
                <w:sz w:val="20"/>
                <w:szCs w:val="20"/>
                <w:lang w:val="en-GB"/>
              </w:rPr>
              <w:t xml:space="preserve"> et al</w:t>
            </w:r>
          </w:p>
        </w:tc>
        <w:tc>
          <w:tcPr>
            <w:tcW w:w="723" w:type="dxa"/>
            <w:tcBorders>
              <w:top w:val="single" w:sz="4" w:space="0" w:color="auto"/>
              <w:bottom w:val="single" w:sz="4" w:space="0" w:color="auto"/>
            </w:tcBorders>
            <w:shd w:val="clear" w:color="auto" w:fill="auto"/>
            <w:noWrap/>
            <w:vAlign w:val="center"/>
          </w:tcPr>
          <w:p w14:paraId="540B6C33" w14:textId="340CF0D1"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5542BD5D" w14:textId="6F7F568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C6774A5" w14:textId="032708E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7F2D24F" w14:textId="0B8E596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97AD7A0" w14:textId="6F09383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8AECE11" w14:textId="4FBF48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524642E" w14:textId="785BAA7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023F1CF" w14:textId="6FA68E8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E005568" w14:textId="63B7F82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1DD9745D" w14:textId="23B8329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A51D7BF" w14:textId="6C7A4BD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0CE8A8F" w14:textId="2ABD11D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EA6776D" w14:textId="326118C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3406498" w14:textId="5200575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85FE673" w14:textId="7222B42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02188B58" w14:textId="38658A4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02A65FFA" w14:textId="2DFE00B4"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723FF3F8"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72072FD" w14:textId="2E20738F" w:rsidR="0067211A" w:rsidRPr="002B6D16" w:rsidRDefault="0067211A" w:rsidP="0067211A">
            <w:pPr>
              <w:spacing w:after="0"/>
              <w:rPr>
                <w:sz w:val="20"/>
                <w:lang w:val="en-GB" w:eastAsia="en-GB"/>
              </w:rPr>
            </w:pPr>
            <w:r w:rsidRPr="00A57714">
              <w:rPr>
                <w:rFonts w:cs="Arial"/>
                <w:color w:val="000000"/>
                <w:sz w:val="20"/>
                <w:szCs w:val="20"/>
              </w:rPr>
              <w:t>Fisher et al</w:t>
            </w:r>
          </w:p>
        </w:tc>
        <w:tc>
          <w:tcPr>
            <w:tcW w:w="723" w:type="dxa"/>
            <w:tcBorders>
              <w:top w:val="single" w:sz="4" w:space="0" w:color="auto"/>
              <w:bottom w:val="single" w:sz="4" w:space="0" w:color="auto"/>
            </w:tcBorders>
            <w:shd w:val="clear" w:color="auto" w:fill="auto"/>
            <w:noWrap/>
            <w:vAlign w:val="center"/>
          </w:tcPr>
          <w:p w14:paraId="72E82B6C" w14:textId="1FA80F16" w:rsidR="0067211A" w:rsidRPr="002B6D16" w:rsidRDefault="0067211A" w:rsidP="0067211A">
            <w:pPr>
              <w:spacing w:after="0"/>
              <w:jc w:val="center"/>
              <w:rPr>
                <w:sz w:val="20"/>
                <w:lang w:val="en-GB" w:eastAsia="en-GB"/>
              </w:rPr>
            </w:pPr>
            <w:r w:rsidRPr="00A57714">
              <w:rPr>
                <w:rFonts w:cs="Arial"/>
                <w:color w:val="000000"/>
                <w:sz w:val="20"/>
                <w:szCs w:val="20"/>
              </w:rPr>
              <w:t>2007</w:t>
            </w:r>
          </w:p>
        </w:tc>
        <w:tc>
          <w:tcPr>
            <w:tcW w:w="454" w:type="dxa"/>
            <w:tcBorders>
              <w:top w:val="single" w:sz="4" w:space="0" w:color="auto"/>
              <w:bottom w:val="single" w:sz="4" w:space="0" w:color="auto"/>
            </w:tcBorders>
            <w:shd w:val="clear" w:color="auto" w:fill="auto"/>
            <w:noWrap/>
            <w:vAlign w:val="center"/>
          </w:tcPr>
          <w:p w14:paraId="4FD6D46E" w14:textId="0D57744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FA06616" w14:textId="6F14342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77949EF" w14:textId="7521F27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3163E0D" w14:textId="325FBCE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7574599" w14:textId="1DDE1B7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A15E65C" w14:textId="6CD09D9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53320DA" w14:textId="1A3B73C4"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55802555" w14:textId="75D4F70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0251B6D" w14:textId="061687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A99ED81" w14:textId="294D11C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E393D97" w14:textId="0CAFFB3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4FC8786" w14:textId="5645A42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6E7E5F7" w14:textId="48B856D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96DF6BD" w14:textId="62E7958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A9FB1D7" w14:textId="69600A5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B763E47" w14:textId="7312AA69"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42C6E900"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1A7F6A8E" w14:textId="6E169302" w:rsidR="0067211A" w:rsidRPr="002B6D16" w:rsidRDefault="0067211A" w:rsidP="0067211A">
            <w:pPr>
              <w:spacing w:after="0"/>
              <w:rPr>
                <w:sz w:val="20"/>
                <w:lang w:val="en-GB" w:eastAsia="en-GB"/>
              </w:rPr>
            </w:pPr>
            <w:r w:rsidRPr="00A57714">
              <w:rPr>
                <w:rFonts w:cs="Arial"/>
                <w:color w:val="000000"/>
                <w:sz w:val="20"/>
                <w:szCs w:val="20"/>
              </w:rPr>
              <w:t>Fitzgerald et al</w:t>
            </w:r>
          </w:p>
        </w:tc>
        <w:tc>
          <w:tcPr>
            <w:tcW w:w="723" w:type="dxa"/>
            <w:tcBorders>
              <w:top w:val="single" w:sz="4" w:space="0" w:color="auto"/>
              <w:bottom w:val="single" w:sz="4" w:space="0" w:color="auto"/>
            </w:tcBorders>
            <w:shd w:val="clear" w:color="auto" w:fill="auto"/>
            <w:noWrap/>
            <w:vAlign w:val="center"/>
          </w:tcPr>
          <w:p w14:paraId="25278DFF" w14:textId="4488D676" w:rsidR="0067211A" w:rsidRPr="002B6D16" w:rsidRDefault="0067211A" w:rsidP="0067211A">
            <w:pPr>
              <w:spacing w:after="0"/>
              <w:jc w:val="center"/>
              <w:rPr>
                <w:sz w:val="20"/>
                <w:lang w:val="en-GB" w:eastAsia="en-GB"/>
              </w:rPr>
            </w:pPr>
            <w:r w:rsidRPr="00A57714">
              <w:rPr>
                <w:rFonts w:cs="Arial"/>
                <w:color w:val="000000"/>
                <w:sz w:val="20"/>
                <w:szCs w:val="20"/>
              </w:rPr>
              <w:t>2007</w:t>
            </w:r>
          </w:p>
        </w:tc>
        <w:tc>
          <w:tcPr>
            <w:tcW w:w="454" w:type="dxa"/>
            <w:tcBorders>
              <w:top w:val="single" w:sz="4" w:space="0" w:color="auto"/>
              <w:bottom w:val="single" w:sz="4" w:space="0" w:color="auto"/>
            </w:tcBorders>
            <w:shd w:val="clear" w:color="auto" w:fill="auto"/>
            <w:noWrap/>
            <w:vAlign w:val="center"/>
          </w:tcPr>
          <w:p w14:paraId="797F4341" w14:textId="50983B7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4409BA" w14:textId="7B2E32D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735FAD1" w14:textId="3660A66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CE3DA06" w14:textId="34DC06C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C2FF791" w14:textId="77FD89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73931EB" w14:textId="54A38C7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10" w:type="dxa"/>
            <w:tcBorders>
              <w:top w:val="single" w:sz="4" w:space="0" w:color="auto"/>
              <w:bottom w:val="single" w:sz="4" w:space="0" w:color="auto"/>
            </w:tcBorders>
            <w:shd w:val="clear" w:color="auto" w:fill="auto"/>
            <w:noWrap/>
            <w:vAlign w:val="center"/>
          </w:tcPr>
          <w:p w14:paraId="783CDFB5" w14:textId="2151B90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25F0CB4" w14:textId="57343A0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377293D" w14:textId="09A2FB6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D75C674" w14:textId="4C92941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A4B19F3" w14:textId="2E48777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E2F2F88" w14:textId="2D1B2DA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33F4D5A" w14:textId="06B22B7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E871A1D" w14:textId="7C3A53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00188A8" w14:textId="64B4EFF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5E44F67" w14:textId="67E2424E"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363EFD68"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63E582E2" w14:textId="544EA379" w:rsidR="0067211A" w:rsidRPr="002B6D16" w:rsidRDefault="0067211A" w:rsidP="0067211A">
            <w:pPr>
              <w:spacing w:after="0"/>
              <w:rPr>
                <w:sz w:val="20"/>
                <w:lang w:val="en-GB" w:eastAsia="en-GB"/>
              </w:rPr>
            </w:pPr>
            <w:r>
              <w:rPr>
                <w:rFonts w:cs="Arial"/>
                <w:color w:val="000000"/>
                <w:sz w:val="20"/>
                <w:szCs w:val="20"/>
                <w:lang w:val="en-GB"/>
              </w:rPr>
              <w:t>Florence et al</w:t>
            </w:r>
          </w:p>
        </w:tc>
        <w:tc>
          <w:tcPr>
            <w:tcW w:w="723" w:type="dxa"/>
            <w:tcBorders>
              <w:top w:val="single" w:sz="4" w:space="0" w:color="auto"/>
              <w:bottom w:val="single" w:sz="4" w:space="0" w:color="auto"/>
            </w:tcBorders>
            <w:shd w:val="clear" w:color="auto" w:fill="auto"/>
            <w:noWrap/>
            <w:vAlign w:val="center"/>
          </w:tcPr>
          <w:p w14:paraId="76DB08CA" w14:textId="16556BBA" w:rsidR="0067211A" w:rsidRPr="002B6D16" w:rsidRDefault="0067211A" w:rsidP="0067211A">
            <w:pPr>
              <w:spacing w:after="0"/>
              <w:jc w:val="center"/>
              <w:rPr>
                <w:sz w:val="20"/>
                <w:lang w:val="en-GB" w:eastAsia="en-GB"/>
              </w:rPr>
            </w:pPr>
            <w:r w:rsidRPr="00A57714">
              <w:rPr>
                <w:rFonts w:cs="Arial"/>
                <w:color w:val="000000"/>
                <w:sz w:val="20"/>
                <w:szCs w:val="20"/>
              </w:rPr>
              <w:t>2016</w:t>
            </w:r>
          </w:p>
        </w:tc>
        <w:tc>
          <w:tcPr>
            <w:tcW w:w="454" w:type="dxa"/>
            <w:tcBorders>
              <w:top w:val="single" w:sz="4" w:space="0" w:color="auto"/>
              <w:bottom w:val="single" w:sz="4" w:space="0" w:color="auto"/>
            </w:tcBorders>
            <w:shd w:val="clear" w:color="auto" w:fill="auto"/>
            <w:noWrap/>
            <w:vAlign w:val="center"/>
          </w:tcPr>
          <w:p w14:paraId="4BED34C7" w14:textId="6612827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60E98D2" w14:textId="6F238BB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909AB05" w14:textId="41B38A5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2F2CCE2" w14:textId="1FCF723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7AAF3CA" w14:textId="745E7C4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4573F43" w14:textId="67D3969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222ADA0" w14:textId="3B464D52"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76BCD7C" w14:textId="13110A6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DB6D95A" w14:textId="0FC99D9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ABD1A3A" w14:textId="44AF60D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3A3F651" w14:textId="1723717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42D53B3" w14:textId="45C5067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9F0BE70" w14:textId="32962FC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33C6A24F" w14:textId="46B43E6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64D7F72" w14:textId="0BCC114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461F34F2" w14:textId="3C2E3907"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75ECB58F"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98C624A" w14:textId="0BD9C383" w:rsidR="0067211A" w:rsidRPr="002B6D16" w:rsidRDefault="0067211A" w:rsidP="0067211A">
            <w:pPr>
              <w:spacing w:after="0"/>
              <w:rPr>
                <w:sz w:val="20"/>
                <w:lang w:val="en-GB" w:eastAsia="en-GB"/>
              </w:rPr>
            </w:pPr>
            <w:r w:rsidRPr="00A57714">
              <w:rPr>
                <w:rFonts w:cs="Arial"/>
                <w:color w:val="000000"/>
                <w:sz w:val="20"/>
                <w:szCs w:val="20"/>
              </w:rPr>
              <w:t>Frey, S</w:t>
            </w:r>
          </w:p>
        </w:tc>
        <w:tc>
          <w:tcPr>
            <w:tcW w:w="723" w:type="dxa"/>
            <w:tcBorders>
              <w:top w:val="single" w:sz="4" w:space="0" w:color="auto"/>
              <w:bottom w:val="single" w:sz="4" w:space="0" w:color="auto"/>
            </w:tcBorders>
            <w:shd w:val="clear" w:color="auto" w:fill="auto"/>
            <w:noWrap/>
            <w:vAlign w:val="center"/>
          </w:tcPr>
          <w:p w14:paraId="09A36CC1" w14:textId="5E0D98FD" w:rsidR="0067211A" w:rsidRPr="002B6D16" w:rsidRDefault="0067211A" w:rsidP="0067211A">
            <w:pPr>
              <w:spacing w:after="0"/>
              <w:jc w:val="center"/>
              <w:rPr>
                <w:sz w:val="20"/>
                <w:lang w:val="en-GB" w:eastAsia="en-GB"/>
              </w:rPr>
            </w:pPr>
            <w:r w:rsidRPr="00A57714">
              <w:rPr>
                <w:rFonts w:cs="Arial"/>
                <w:color w:val="000000"/>
                <w:sz w:val="20"/>
                <w:szCs w:val="20"/>
              </w:rPr>
              <w:t>2014</w:t>
            </w:r>
          </w:p>
        </w:tc>
        <w:tc>
          <w:tcPr>
            <w:tcW w:w="454" w:type="dxa"/>
            <w:tcBorders>
              <w:top w:val="single" w:sz="4" w:space="0" w:color="auto"/>
              <w:bottom w:val="single" w:sz="4" w:space="0" w:color="auto"/>
            </w:tcBorders>
            <w:shd w:val="clear" w:color="auto" w:fill="auto"/>
            <w:noWrap/>
            <w:vAlign w:val="center"/>
          </w:tcPr>
          <w:p w14:paraId="5D8FE09C" w14:textId="4AB2FD8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3A898DC" w14:textId="4FB5C35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5FD281C" w14:textId="0B12E40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BF87B22" w14:textId="6EC1AB3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698B3B4" w14:textId="16D2474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B32A6AE" w14:textId="1C064B9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1313415" w14:textId="388E819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7A7DF6B" w14:textId="4E0DB43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E330B40" w14:textId="7EC6F38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74367FE" w14:textId="3179443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FF981FE" w14:textId="143A67B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1FCDDE4" w14:textId="1FA9B5B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CD94DF7" w14:textId="4CAE00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790EA46" w14:textId="4A62B7C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D786ED9" w14:textId="48323E2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041587E" w14:textId="6652A6E6" w:rsidR="0067211A" w:rsidRPr="002B6D16" w:rsidRDefault="0067211A" w:rsidP="0067211A">
            <w:pPr>
              <w:spacing w:after="0"/>
              <w:jc w:val="center"/>
              <w:rPr>
                <w:sz w:val="20"/>
                <w:lang w:val="en-GB" w:eastAsia="en-GB"/>
              </w:rPr>
            </w:pPr>
            <w:r w:rsidRPr="00A57714">
              <w:rPr>
                <w:rFonts w:cs="Arial"/>
                <w:color w:val="000000"/>
                <w:sz w:val="20"/>
                <w:szCs w:val="20"/>
              </w:rPr>
              <w:t>10</w:t>
            </w:r>
          </w:p>
        </w:tc>
      </w:tr>
      <w:tr w:rsidR="0067211A" w:rsidRPr="002B6D16" w14:paraId="71006754"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14FE1C59" w14:textId="10D56A10" w:rsidR="0067211A" w:rsidRPr="002B6D16" w:rsidRDefault="0067211A" w:rsidP="0067211A">
            <w:pPr>
              <w:spacing w:after="0"/>
              <w:rPr>
                <w:sz w:val="20"/>
                <w:lang w:val="en-GB" w:eastAsia="en-GB"/>
              </w:rPr>
            </w:pPr>
            <w:r w:rsidRPr="00A57714">
              <w:rPr>
                <w:rFonts w:cs="Arial"/>
                <w:color w:val="000000"/>
                <w:sz w:val="20"/>
                <w:szCs w:val="20"/>
              </w:rPr>
              <w:t xml:space="preserve">Ganz </w:t>
            </w:r>
          </w:p>
        </w:tc>
        <w:tc>
          <w:tcPr>
            <w:tcW w:w="723" w:type="dxa"/>
            <w:tcBorders>
              <w:top w:val="single" w:sz="4" w:space="0" w:color="auto"/>
              <w:bottom w:val="single" w:sz="4" w:space="0" w:color="auto"/>
            </w:tcBorders>
            <w:shd w:val="clear" w:color="auto" w:fill="auto"/>
            <w:noWrap/>
            <w:vAlign w:val="center"/>
          </w:tcPr>
          <w:p w14:paraId="73923D4C" w14:textId="364B6F24" w:rsidR="0067211A" w:rsidRPr="002B6D16" w:rsidRDefault="0067211A" w:rsidP="0067211A">
            <w:pPr>
              <w:spacing w:after="0"/>
              <w:jc w:val="center"/>
              <w:rPr>
                <w:sz w:val="20"/>
                <w:lang w:val="en-GB" w:eastAsia="en-GB"/>
              </w:rPr>
            </w:pPr>
            <w:r w:rsidRPr="00A57714">
              <w:rPr>
                <w:rFonts w:cs="Arial"/>
                <w:color w:val="000000"/>
                <w:sz w:val="20"/>
                <w:szCs w:val="20"/>
              </w:rPr>
              <w:t>2007</w:t>
            </w:r>
          </w:p>
        </w:tc>
        <w:tc>
          <w:tcPr>
            <w:tcW w:w="454" w:type="dxa"/>
            <w:tcBorders>
              <w:top w:val="single" w:sz="4" w:space="0" w:color="auto"/>
              <w:bottom w:val="single" w:sz="4" w:space="0" w:color="auto"/>
            </w:tcBorders>
            <w:shd w:val="clear" w:color="auto" w:fill="auto"/>
            <w:noWrap/>
            <w:vAlign w:val="center"/>
          </w:tcPr>
          <w:p w14:paraId="4C468AF0" w14:textId="06F399A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94CFC9E" w14:textId="4A59C8B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98414AA" w14:textId="7176381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B197A60" w14:textId="5F53F21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B788CB1" w14:textId="327AA3A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ABA37A5" w14:textId="25E46AC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4F58A82" w14:textId="46E1F1F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ACF87B3" w14:textId="650D8DF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4695BC23" w14:textId="540C1DC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95F69F2" w14:textId="6FDEA44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C7063F2" w14:textId="4B51C50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EB71EA4" w14:textId="1AFFCFF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21F70B7" w14:textId="62DB1D3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B33EEF9" w14:textId="0AFB931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263C623" w14:textId="70463B8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18B4F3F9" w14:textId="09EAD40B"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86FBFF8"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788F37B" w14:textId="37A32C64" w:rsidR="0067211A" w:rsidRPr="002B6D16" w:rsidRDefault="0067211A" w:rsidP="0067211A">
            <w:pPr>
              <w:spacing w:after="0"/>
              <w:rPr>
                <w:sz w:val="20"/>
                <w:lang w:val="en-GB" w:eastAsia="en-GB"/>
              </w:rPr>
            </w:pPr>
            <w:r w:rsidRPr="00A57714">
              <w:rPr>
                <w:rFonts w:cs="Arial"/>
                <w:color w:val="000000"/>
                <w:sz w:val="20"/>
                <w:szCs w:val="20"/>
              </w:rPr>
              <w:t>Gerhardt et al</w:t>
            </w:r>
          </w:p>
        </w:tc>
        <w:tc>
          <w:tcPr>
            <w:tcW w:w="723" w:type="dxa"/>
            <w:tcBorders>
              <w:top w:val="single" w:sz="4" w:space="0" w:color="auto"/>
              <w:bottom w:val="single" w:sz="4" w:space="0" w:color="auto"/>
            </w:tcBorders>
            <w:shd w:val="clear" w:color="auto" w:fill="auto"/>
            <w:noWrap/>
            <w:vAlign w:val="center"/>
          </w:tcPr>
          <w:p w14:paraId="1BF19A2A" w14:textId="15C180EA" w:rsidR="0067211A" w:rsidRPr="002B6D16" w:rsidRDefault="0067211A" w:rsidP="0067211A">
            <w:pPr>
              <w:spacing w:after="0"/>
              <w:jc w:val="center"/>
              <w:rPr>
                <w:sz w:val="20"/>
                <w:lang w:val="en-GB" w:eastAsia="en-GB"/>
              </w:rPr>
            </w:pPr>
            <w:r w:rsidRPr="00A57714">
              <w:rPr>
                <w:rFonts w:cs="Arial"/>
                <w:color w:val="000000"/>
                <w:sz w:val="20"/>
                <w:szCs w:val="20"/>
              </w:rPr>
              <w:t>2018</w:t>
            </w:r>
          </w:p>
        </w:tc>
        <w:tc>
          <w:tcPr>
            <w:tcW w:w="454" w:type="dxa"/>
            <w:tcBorders>
              <w:top w:val="single" w:sz="4" w:space="0" w:color="auto"/>
              <w:bottom w:val="single" w:sz="4" w:space="0" w:color="auto"/>
            </w:tcBorders>
            <w:shd w:val="clear" w:color="auto" w:fill="auto"/>
            <w:noWrap/>
            <w:vAlign w:val="center"/>
          </w:tcPr>
          <w:p w14:paraId="1EB406FD" w14:textId="3B7B48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B7CE78E" w14:textId="03A5E19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1CC3604" w14:textId="0DCC0B1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40DBA6" w14:textId="67D3264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D371884" w14:textId="2A7094B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5B46D0D" w14:textId="3C04F96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5C8512F" w14:textId="25E1D47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0DF3A29" w14:textId="63A0BB7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4EC718AD" w14:textId="28447CB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70A8043" w14:textId="6671C3C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8E754E4" w14:textId="356FE1A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DB0A4C4" w14:textId="2030F7B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CADC972" w14:textId="119C3A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215F6E1" w14:textId="3171364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FACCEC2" w14:textId="5F3D134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384CB15" w14:textId="4E01D708"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3545312"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622450AD" w14:textId="2B1E8C87" w:rsidR="0067211A" w:rsidRPr="002B6D16" w:rsidRDefault="0067211A" w:rsidP="0067211A">
            <w:pPr>
              <w:spacing w:after="0"/>
              <w:rPr>
                <w:sz w:val="20"/>
                <w:lang w:val="en-GB" w:eastAsia="en-GB"/>
              </w:rPr>
            </w:pPr>
            <w:r w:rsidRPr="00A57714">
              <w:rPr>
                <w:rFonts w:cs="Arial"/>
                <w:color w:val="000000"/>
                <w:sz w:val="20"/>
                <w:szCs w:val="20"/>
              </w:rPr>
              <w:t>Greenberg et al</w:t>
            </w:r>
          </w:p>
        </w:tc>
        <w:tc>
          <w:tcPr>
            <w:tcW w:w="723" w:type="dxa"/>
            <w:tcBorders>
              <w:top w:val="single" w:sz="4" w:space="0" w:color="auto"/>
              <w:bottom w:val="single" w:sz="4" w:space="0" w:color="auto"/>
            </w:tcBorders>
            <w:shd w:val="clear" w:color="auto" w:fill="auto"/>
            <w:noWrap/>
            <w:vAlign w:val="center"/>
          </w:tcPr>
          <w:p w14:paraId="2637F6E8" w14:textId="46A127A3" w:rsidR="0067211A" w:rsidRPr="002B6D16" w:rsidRDefault="0067211A" w:rsidP="0067211A">
            <w:pPr>
              <w:spacing w:after="0"/>
              <w:jc w:val="center"/>
              <w:rPr>
                <w:sz w:val="20"/>
                <w:lang w:val="en-GB" w:eastAsia="en-GB"/>
              </w:rPr>
            </w:pPr>
            <w:r w:rsidRPr="00A57714">
              <w:rPr>
                <w:rFonts w:cs="Arial"/>
                <w:color w:val="000000"/>
                <w:sz w:val="20"/>
                <w:szCs w:val="20"/>
              </w:rPr>
              <w:t>1999</w:t>
            </w:r>
          </w:p>
        </w:tc>
        <w:tc>
          <w:tcPr>
            <w:tcW w:w="454" w:type="dxa"/>
            <w:tcBorders>
              <w:top w:val="single" w:sz="4" w:space="0" w:color="auto"/>
              <w:bottom w:val="single" w:sz="4" w:space="0" w:color="auto"/>
            </w:tcBorders>
            <w:shd w:val="clear" w:color="auto" w:fill="auto"/>
            <w:noWrap/>
            <w:vAlign w:val="center"/>
          </w:tcPr>
          <w:p w14:paraId="4C07F800" w14:textId="2F7A837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8C1EA0B" w14:textId="0A1136C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23CA439" w14:textId="516E668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B75250E" w14:textId="135F14E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81B57C9" w14:textId="41B23BB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C03A1B8" w14:textId="6DAA764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25FF8AB" w14:textId="3F87AF7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6D39661" w14:textId="536290C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E3CF469" w14:textId="0759703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3792CA5" w14:textId="0D320DB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AB2A13E" w14:textId="5444563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1E07F33" w14:textId="5CAC025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C7C796F" w14:textId="4DE2FB0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E4B49C0" w14:textId="17C52E9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95944F5" w14:textId="0297F6D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0B74EBC" w14:textId="5A37D621"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63E89DEA"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7503AC08" w14:textId="35BACC2E" w:rsidR="0067211A" w:rsidRPr="002B6D16" w:rsidRDefault="0067211A" w:rsidP="0067211A">
            <w:pPr>
              <w:spacing w:after="0"/>
              <w:rPr>
                <w:sz w:val="20"/>
                <w:lang w:val="en-GB" w:eastAsia="en-GB"/>
              </w:rPr>
            </w:pPr>
            <w:r w:rsidRPr="00A57714">
              <w:rPr>
                <w:rFonts w:cs="Arial"/>
                <w:color w:val="000000"/>
                <w:sz w:val="20"/>
                <w:szCs w:val="20"/>
              </w:rPr>
              <w:t>Greenberg et al</w:t>
            </w:r>
          </w:p>
        </w:tc>
        <w:tc>
          <w:tcPr>
            <w:tcW w:w="723" w:type="dxa"/>
            <w:tcBorders>
              <w:top w:val="single" w:sz="4" w:space="0" w:color="auto"/>
              <w:bottom w:val="single" w:sz="4" w:space="0" w:color="auto"/>
            </w:tcBorders>
            <w:shd w:val="clear" w:color="auto" w:fill="auto"/>
            <w:noWrap/>
            <w:vAlign w:val="center"/>
          </w:tcPr>
          <w:p w14:paraId="28EBAE96" w14:textId="1D08EF26" w:rsidR="0067211A" w:rsidRPr="002B6D16" w:rsidRDefault="0067211A" w:rsidP="0067211A">
            <w:pPr>
              <w:spacing w:after="0"/>
              <w:jc w:val="center"/>
              <w:rPr>
                <w:sz w:val="20"/>
                <w:lang w:val="en-GB" w:eastAsia="en-GB"/>
              </w:rPr>
            </w:pPr>
            <w:r w:rsidRPr="00A57714">
              <w:rPr>
                <w:rFonts w:cs="Arial"/>
                <w:color w:val="000000"/>
                <w:sz w:val="20"/>
                <w:szCs w:val="20"/>
              </w:rPr>
              <w:t>2003</w:t>
            </w:r>
          </w:p>
        </w:tc>
        <w:tc>
          <w:tcPr>
            <w:tcW w:w="454" w:type="dxa"/>
            <w:tcBorders>
              <w:top w:val="single" w:sz="4" w:space="0" w:color="auto"/>
              <w:bottom w:val="single" w:sz="4" w:space="0" w:color="auto"/>
            </w:tcBorders>
            <w:shd w:val="clear" w:color="auto" w:fill="auto"/>
            <w:noWrap/>
            <w:vAlign w:val="center"/>
          </w:tcPr>
          <w:p w14:paraId="749577BF" w14:textId="7ACB50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51FD0A0" w14:textId="64E9C96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09355E0" w14:textId="77E091B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F5264B7" w14:textId="7D42174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6EEA15D" w14:textId="6B82FE7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BB1414F" w14:textId="1B68093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A2322FA" w14:textId="01359C6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101C243" w14:textId="00BE021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B865E7B" w14:textId="1462408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CE35BDD" w14:textId="18529E8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9481C8E" w14:textId="34974DB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E7C434E" w14:textId="2B8CF99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02F11BC" w14:textId="5A5046C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28C7F94B" w14:textId="54B8EAF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AB37B3B" w14:textId="551C039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28B4525" w14:textId="445616F0"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17CBF5E8"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6DFF156A" w14:textId="4B70E034" w:rsidR="0067211A" w:rsidRPr="002B6D16" w:rsidRDefault="0067211A" w:rsidP="0067211A">
            <w:pPr>
              <w:spacing w:after="0"/>
              <w:rPr>
                <w:sz w:val="20"/>
                <w:lang w:val="en-GB" w:eastAsia="en-GB"/>
              </w:rPr>
            </w:pPr>
            <w:r w:rsidRPr="00A57714">
              <w:rPr>
                <w:rFonts w:cs="Arial"/>
                <w:color w:val="000000"/>
                <w:sz w:val="20"/>
                <w:szCs w:val="20"/>
              </w:rPr>
              <w:t>Guest &amp; Cookson</w:t>
            </w:r>
          </w:p>
        </w:tc>
        <w:tc>
          <w:tcPr>
            <w:tcW w:w="723" w:type="dxa"/>
            <w:tcBorders>
              <w:top w:val="single" w:sz="4" w:space="0" w:color="auto"/>
              <w:bottom w:val="single" w:sz="4" w:space="0" w:color="auto"/>
            </w:tcBorders>
            <w:shd w:val="clear" w:color="auto" w:fill="auto"/>
            <w:noWrap/>
            <w:vAlign w:val="center"/>
          </w:tcPr>
          <w:p w14:paraId="6DE56390" w14:textId="0758A592" w:rsidR="0067211A" w:rsidRPr="002B6D16" w:rsidRDefault="0067211A" w:rsidP="0067211A">
            <w:pPr>
              <w:spacing w:after="0"/>
              <w:jc w:val="center"/>
              <w:rPr>
                <w:sz w:val="20"/>
                <w:lang w:val="en-GB" w:eastAsia="en-GB"/>
              </w:rPr>
            </w:pPr>
            <w:r w:rsidRPr="00A57714">
              <w:rPr>
                <w:rFonts w:cs="Arial"/>
                <w:color w:val="000000"/>
                <w:sz w:val="20"/>
                <w:szCs w:val="20"/>
              </w:rPr>
              <w:t>1999</w:t>
            </w:r>
          </w:p>
        </w:tc>
        <w:tc>
          <w:tcPr>
            <w:tcW w:w="454" w:type="dxa"/>
            <w:tcBorders>
              <w:top w:val="single" w:sz="4" w:space="0" w:color="auto"/>
              <w:bottom w:val="single" w:sz="4" w:space="0" w:color="auto"/>
            </w:tcBorders>
            <w:shd w:val="clear" w:color="auto" w:fill="auto"/>
            <w:noWrap/>
            <w:vAlign w:val="center"/>
          </w:tcPr>
          <w:p w14:paraId="1429866C" w14:textId="6ED4976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816A17F" w14:textId="6CC1EBB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73E4AD2" w14:textId="667CB17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BC93147" w14:textId="58B0B79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0746C94" w14:textId="0E7FC66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D761FF1" w14:textId="56EBB0F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7B4208B" w14:textId="2AEFDE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4512C9E" w14:textId="4F3C682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7929851C" w14:textId="5B73A92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8E46999" w14:textId="7F2E38D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DB3F81B" w14:textId="2B47052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C4228BA" w14:textId="5E9E08A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12170C4" w14:textId="6FBFCEA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AEFD928" w14:textId="2C68D06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E6AB815" w14:textId="4C0F447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0F24F4B1" w14:textId="41A0A899"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487BD444"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6A58353" w14:textId="6102C085" w:rsidR="0067211A" w:rsidRPr="002B6D16" w:rsidRDefault="0067211A" w:rsidP="0067211A">
            <w:pPr>
              <w:spacing w:after="0"/>
              <w:rPr>
                <w:sz w:val="20"/>
                <w:lang w:val="en-GB" w:eastAsia="en-GB"/>
              </w:rPr>
            </w:pPr>
            <w:r w:rsidRPr="00A57714">
              <w:rPr>
                <w:rFonts w:cs="Arial"/>
                <w:color w:val="000000"/>
                <w:sz w:val="20"/>
                <w:szCs w:val="20"/>
              </w:rPr>
              <w:t>Gupte-Singh et al</w:t>
            </w:r>
          </w:p>
        </w:tc>
        <w:tc>
          <w:tcPr>
            <w:tcW w:w="723" w:type="dxa"/>
            <w:tcBorders>
              <w:top w:val="single" w:sz="4" w:space="0" w:color="auto"/>
              <w:bottom w:val="single" w:sz="4" w:space="0" w:color="auto"/>
            </w:tcBorders>
            <w:shd w:val="clear" w:color="auto" w:fill="auto"/>
            <w:noWrap/>
            <w:vAlign w:val="center"/>
          </w:tcPr>
          <w:p w14:paraId="16ABC9EB" w14:textId="30D6BF1A"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576DE9C7" w14:textId="396E1B1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EAE53FB" w14:textId="5012289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0D8921B" w14:textId="63ACA7A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F6A126A" w14:textId="71A9DB8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351490B" w14:textId="1C58E7E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06C1159" w14:textId="19C437A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CE261D2" w14:textId="1797826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3CF6AA3" w14:textId="2A7315A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73AD5A5" w14:textId="1C130FF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722DA09" w14:textId="2257940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F133C80" w14:textId="14D7881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004BAF1" w14:textId="2B8CE49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0846B1F" w14:textId="572AA04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30E4740" w14:textId="1954278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5D02490" w14:textId="4C7C339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D1778A3" w14:textId="5834147C"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664181D5"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518B0061" w14:textId="66DD708F" w:rsidR="0067211A" w:rsidRPr="002B6D16" w:rsidRDefault="0067211A" w:rsidP="0067211A">
            <w:pPr>
              <w:spacing w:after="0"/>
              <w:rPr>
                <w:sz w:val="20"/>
                <w:lang w:val="en-GB" w:eastAsia="en-GB"/>
              </w:rPr>
            </w:pPr>
            <w:r w:rsidRPr="00A57714">
              <w:rPr>
                <w:rFonts w:cs="Arial"/>
                <w:color w:val="000000"/>
                <w:sz w:val="20"/>
                <w:szCs w:val="20"/>
              </w:rPr>
              <w:t>Gustavsson et al</w:t>
            </w:r>
          </w:p>
        </w:tc>
        <w:tc>
          <w:tcPr>
            <w:tcW w:w="723" w:type="dxa"/>
            <w:tcBorders>
              <w:top w:val="single" w:sz="4" w:space="0" w:color="auto"/>
              <w:bottom w:val="single" w:sz="4" w:space="0" w:color="auto"/>
            </w:tcBorders>
            <w:shd w:val="clear" w:color="auto" w:fill="auto"/>
            <w:noWrap/>
            <w:vAlign w:val="center"/>
          </w:tcPr>
          <w:p w14:paraId="5C9A749C" w14:textId="37602945" w:rsidR="0067211A" w:rsidRPr="002B6D16" w:rsidRDefault="0067211A" w:rsidP="0067211A">
            <w:pPr>
              <w:spacing w:after="0"/>
              <w:jc w:val="center"/>
              <w:rPr>
                <w:sz w:val="20"/>
                <w:lang w:val="en-GB" w:eastAsia="en-GB"/>
              </w:rPr>
            </w:pPr>
            <w:r w:rsidRPr="00A57714">
              <w:rPr>
                <w:rFonts w:cs="Arial"/>
                <w:color w:val="000000"/>
                <w:sz w:val="20"/>
                <w:szCs w:val="20"/>
              </w:rPr>
              <w:t>2011</w:t>
            </w:r>
          </w:p>
        </w:tc>
        <w:tc>
          <w:tcPr>
            <w:tcW w:w="454" w:type="dxa"/>
            <w:tcBorders>
              <w:top w:val="single" w:sz="4" w:space="0" w:color="auto"/>
              <w:bottom w:val="single" w:sz="4" w:space="0" w:color="auto"/>
            </w:tcBorders>
            <w:shd w:val="clear" w:color="auto" w:fill="auto"/>
            <w:noWrap/>
            <w:vAlign w:val="center"/>
          </w:tcPr>
          <w:p w14:paraId="2C7869AD" w14:textId="7F1BFC3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7AE5FF" w14:textId="6FA743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FD61A70" w14:textId="7ECE279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3C11A5F" w14:textId="45D2538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1D86A1" w14:textId="30DB436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1C29958" w14:textId="66B491D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1818A0D" w14:textId="384BC863"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119A00B3" w14:textId="4E534B4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5C197CC3" w14:textId="6C7C411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8D42559" w14:textId="75DA7FD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DA99F5F" w14:textId="5A6890E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F53E9C2" w14:textId="788C211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13BA70B" w14:textId="32DD94F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8843C98" w14:textId="79A9AC0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41566C4" w14:textId="7D38E3D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41434FD" w14:textId="55102161"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14E99173"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7A1EC3DC" w14:textId="29163C32" w:rsidR="0067211A" w:rsidRPr="0067211A" w:rsidRDefault="0067211A" w:rsidP="0067211A">
            <w:pPr>
              <w:spacing w:after="0"/>
              <w:rPr>
                <w:sz w:val="20"/>
                <w:lang w:eastAsia="en-GB"/>
              </w:rPr>
            </w:pPr>
            <w:r w:rsidRPr="00A57714">
              <w:rPr>
                <w:rFonts w:cs="Arial"/>
                <w:color w:val="000000"/>
                <w:sz w:val="20"/>
                <w:szCs w:val="20"/>
              </w:rPr>
              <w:t>Hakkaart-van Roijen et al</w:t>
            </w:r>
          </w:p>
        </w:tc>
        <w:tc>
          <w:tcPr>
            <w:tcW w:w="723" w:type="dxa"/>
            <w:tcBorders>
              <w:top w:val="single" w:sz="4" w:space="0" w:color="auto"/>
              <w:bottom w:val="single" w:sz="4" w:space="0" w:color="auto"/>
            </w:tcBorders>
            <w:shd w:val="clear" w:color="auto" w:fill="auto"/>
            <w:noWrap/>
            <w:vAlign w:val="center"/>
          </w:tcPr>
          <w:p w14:paraId="094CB5F4" w14:textId="163693B2" w:rsidR="0067211A" w:rsidRPr="002B6D16" w:rsidRDefault="0067211A" w:rsidP="0067211A">
            <w:pPr>
              <w:spacing w:after="0"/>
              <w:jc w:val="center"/>
              <w:rPr>
                <w:sz w:val="20"/>
                <w:lang w:val="en-GB" w:eastAsia="en-GB"/>
              </w:rPr>
            </w:pPr>
            <w:r w:rsidRPr="00A57714">
              <w:rPr>
                <w:rFonts w:cs="Arial"/>
                <w:color w:val="000000"/>
                <w:sz w:val="20"/>
                <w:szCs w:val="20"/>
              </w:rPr>
              <w:t>2007</w:t>
            </w:r>
          </w:p>
        </w:tc>
        <w:tc>
          <w:tcPr>
            <w:tcW w:w="454" w:type="dxa"/>
            <w:tcBorders>
              <w:top w:val="single" w:sz="4" w:space="0" w:color="auto"/>
              <w:bottom w:val="single" w:sz="4" w:space="0" w:color="auto"/>
            </w:tcBorders>
            <w:shd w:val="clear" w:color="auto" w:fill="auto"/>
            <w:noWrap/>
            <w:vAlign w:val="center"/>
          </w:tcPr>
          <w:p w14:paraId="5EECFBD3" w14:textId="46CCDC1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485B19B" w14:textId="3C255D8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7FB6CFC" w14:textId="00824D8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390EC0B" w14:textId="21E4F81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9BC3C6F" w14:textId="680DEE6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5675161" w14:textId="797FFAA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7A9D505" w14:textId="3DBF221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95E1867" w14:textId="688CD01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9DAFD5D" w14:textId="7D189BA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1369960" w14:textId="3417916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6A6C161" w14:textId="073230D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6558759" w14:textId="2B88EE8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A362465" w14:textId="3F3317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A1EFFF9" w14:textId="260D997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24EBFAA" w14:textId="72C4CB2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21B85D2" w14:textId="25FE552C"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28504C93"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5F7DB02F" w14:textId="62A9C52E" w:rsidR="0067211A" w:rsidRPr="002B6D16" w:rsidRDefault="0067211A" w:rsidP="0067211A">
            <w:pPr>
              <w:spacing w:after="0"/>
              <w:rPr>
                <w:sz w:val="20"/>
                <w:lang w:val="en-GB" w:eastAsia="en-GB"/>
              </w:rPr>
            </w:pPr>
            <w:r w:rsidRPr="00A57714">
              <w:rPr>
                <w:rFonts w:cs="Arial"/>
                <w:color w:val="000000"/>
                <w:sz w:val="20"/>
                <w:szCs w:val="20"/>
                <w:lang w:val="en-GB"/>
              </w:rPr>
              <w:t>Hall</w:t>
            </w:r>
            <w:r>
              <w:rPr>
                <w:rFonts w:cs="Arial"/>
                <w:color w:val="000000"/>
                <w:sz w:val="20"/>
                <w:szCs w:val="20"/>
                <w:lang w:val="en-GB"/>
              </w:rPr>
              <w:t xml:space="preserve"> et al</w:t>
            </w:r>
          </w:p>
        </w:tc>
        <w:tc>
          <w:tcPr>
            <w:tcW w:w="723" w:type="dxa"/>
            <w:tcBorders>
              <w:top w:val="single" w:sz="4" w:space="0" w:color="auto"/>
              <w:bottom w:val="single" w:sz="4" w:space="0" w:color="auto"/>
            </w:tcBorders>
            <w:shd w:val="clear" w:color="auto" w:fill="auto"/>
            <w:noWrap/>
            <w:vAlign w:val="center"/>
          </w:tcPr>
          <w:p w14:paraId="73DCD8E2" w14:textId="60F0B6D7" w:rsidR="0067211A" w:rsidRPr="002B6D16" w:rsidRDefault="0067211A" w:rsidP="0067211A">
            <w:pPr>
              <w:spacing w:after="0"/>
              <w:jc w:val="center"/>
              <w:rPr>
                <w:sz w:val="20"/>
                <w:lang w:val="en-GB" w:eastAsia="en-GB"/>
              </w:rPr>
            </w:pPr>
            <w:r w:rsidRPr="00A57714">
              <w:rPr>
                <w:rFonts w:cs="Arial"/>
                <w:color w:val="000000"/>
                <w:sz w:val="20"/>
                <w:szCs w:val="20"/>
              </w:rPr>
              <w:t>1985</w:t>
            </w:r>
          </w:p>
        </w:tc>
        <w:tc>
          <w:tcPr>
            <w:tcW w:w="454" w:type="dxa"/>
            <w:tcBorders>
              <w:top w:val="single" w:sz="4" w:space="0" w:color="auto"/>
              <w:bottom w:val="single" w:sz="4" w:space="0" w:color="auto"/>
            </w:tcBorders>
            <w:shd w:val="clear" w:color="auto" w:fill="auto"/>
            <w:noWrap/>
            <w:vAlign w:val="center"/>
          </w:tcPr>
          <w:p w14:paraId="7A793FD2" w14:textId="0DA33B0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89266E2" w14:textId="4A1C957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381AEDD" w14:textId="459E13B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11E280E" w14:textId="5C66995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CF37DC5" w14:textId="671553E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42CE2DC" w14:textId="383FBE3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907C1CD" w14:textId="00706DB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9A2B1EF" w14:textId="742EC2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0190FD36" w14:textId="40F6F5B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24EBCDC" w14:textId="5D3CAFD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1B01F44" w14:textId="7C31ABF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CAC1C6E" w14:textId="189EB75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1CB63F0" w14:textId="1BEC364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2C5EAAE" w14:textId="4FEB526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DC8FA5E" w14:textId="11C528F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239A3DD" w14:textId="52F38107"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6B28833D"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B965D79" w14:textId="640C9D18" w:rsidR="0067211A" w:rsidRPr="002B6D16" w:rsidRDefault="0067211A" w:rsidP="0067211A">
            <w:pPr>
              <w:spacing w:after="0"/>
              <w:rPr>
                <w:sz w:val="20"/>
                <w:lang w:val="en-GB" w:eastAsia="en-GB"/>
              </w:rPr>
            </w:pPr>
            <w:r w:rsidRPr="00A57714">
              <w:rPr>
                <w:rFonts w:cs="Arial"/>
                <w:color w:val="000000"/>
                <w:sz w:val="20"/>
                <w:szCs w:val="20"/>
              </w:rPr>
              <w:t>Hastrup et al</w:t>
            </w:r>
          </w:p>
        </w:tc>
        <w:tc>
          <w:tcPr>
            <w:tcW w:w="723" w:type="dxa"/>
            <w:tcBorders>
              <w:top w:val="single" w:sz="4" w:space="0" w:color="auto"/>
              <w:bottom w:val="single" w:sz="4" w:space="0" w:color="auto"/>
            </w:tcBorders>
            <w:shd w:val="clear" w:color="auto" w:fill="auto"/>
            <w:noWrap/>
            <w:vAlign w:val="center"/>
          </w:tcPr>
          <w:p w14:paraId="428CBC08" w14:textId="67A70BF9" w:rsidR="0067211A" w:rsidRPr="002B6D16" w:rsidRDefault="0067211A" w:rsidP="0067211A">
            <w:pPr>
              <w:spacing w:after="0"/>
              <w:jc w:val="center"/>
              <w:rPr>
                <w:sz w:val="20"/>
                <w:lang w:val="en-GB" w:eastAsia="en-GB"/>
              </w:rPr>
            </w:pPr>
            <w:r w:rsidRPr="00A57714">
              <w:rPr>
                <w:rFonts w:cs="Arial"/>
                <w:color w:val="000000"/>
                <w:sz w:val="20"/>
                <w:szCs w:val="20"/>
              </w:rPr>
              <w:t>2019</w:t>
            </w:r>
          </w:p>
        </w:tc>
        <w:tc>
          <w:tcPr>
            <w:tcW w:w="454" w:type="dxa"/>
            <w:tcBorders>
              <w:top w:val="single" w:sz="4" w:space="0" w:color="auto"/>
              <w:bottom w:val="single" w:sz="4" w:space="0" w:color="auto"/>
            </w:tcBorders>
            <w:shd w:val="clear" w:color="auto" w:fill="auto"/>
            <w:noWrap/>
            <w:vAlign w:val="center"/>
          </w:tcPr>
          <w:p w14:paraId="2C1646EA" w14:textId="0E83367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DAB47D6" w14:textId="5ACE038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EEFCBDC" w14:textId="2C69E24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06C9F26" w14:textId="751B8DC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22241AE" w14:textId="3D1AAAB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73E97FE" w14:textId="4312FFF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7598E58" w14:textId="4AF2CBB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1B679BF" w14:textId="5F7E50F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20695B92" w14:textId="0BF629D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4EAB8F3" w14:textId="7DB009D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BC5EBA3" w14:textId="6575D2F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2EDB03F" w14:textId="742C577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38F272B" w14:textId="6424D12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5DE8500" w14:textId="73791D2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4A10573" w14:textId="0861879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05AEC4F" w14:textId="5747441B"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4DB72956"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C3FB4C6" w14:textId="4DCD47C6" w:rsidR="0067211A" w:rsidRPr="002B6D16" w:rsidRDefault="0067211A" w:rsidP="0067211A">
            <w:pPr>
              <w:spacing w:after="0"/>
              <w:rPr>
                <w:sz w:val="20"/>
                <w:lang w:val="en-GB" w:eastAsia="en-GB"/>
              </w:rPr>
            </w:pPr>
            <w:r w:rsidRPr="00A57714">
              <w:rPr>
                <w:rFonts w:cs="Arial"/>
                <w:color w:val="000000"/>
                <w:sz w:val="20"/>
                <w:szCs w:val="20"/>
              </w:rPr>
              <w:t>Hawthorne et al</w:t>
            </w:r>
          </w:p>
        </w:tc>
        <w:tc>
          <w:tcPr>
            <w:tcW w:w="723" w:type="dxa"/>
            <w:tcBorders>
              <w:top w:val="single" w:sz="4" w:space="0" w:color="auto"/>
              <w:bottom w:val="single" w:sz="4" w:space="0" w:color="auto"/>
            </w:tcBorders>
            <w:shd w:val="clear" w:color="auto" w:fill="auto"/>
            <w:noWrap/>
            <w:vAlign w:val="center"/>
          </w:tcPr>
          <w:p w14:paraId="0306BBEB" w14:textId="5997E249" w:rsidR="0067211A" w:rsidRPr="002B6D16" w:rsidRDefault="0067211A" w:rsidP="0067211A">
            <w:pPr>
              <w:spacing w:after="0"/>
              <w:jc w:val="center"/>
              <w:rPr>
                <w:sz w:val="20"/>
                <w:lang w:val="en-GB" w:eastAsia="en-GB"/>
              </w:rPr>
            </w:pPr>
            <w:r w:rsidRPr="00A57714">
              <w:rPr>
                <w:rFonts w:cs="Arial"/>
                <w:color w:val="000000"/>
                <w:sz w:val="20"/>
                <w:szCs w:val="20"/>
              </w:rPr>
              <w:t>2003</w:t>
            </w:r>
          </w:p>
        </w:tc>
        <w:tc>
          <w:tcPr>
            <w:tcW w:w="454" w:type="dxa"/>
            <w:tcBorders>
              <w:top w:val="single" w:sz="4" w:space="0" w:color="auto"/>
              <w:bottom w:val="single" w:sz="4" w:space="0" w:color="auto"/>
            </w:tcBorders>
            <w:shd w:val="clear" w:color="auto" w:fill="auto"/>
            <w:noWrap/>
            <w:vAlign w:val="center"/>
          </w:tcPr>
          <w:p w14:paraId="3463CB63" w14:textId="32D0DEE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37E6477" w14:textId="1203988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2E10F5B" w14:textId="2EFF931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F170614" w14:textId="1DBAB29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150F5F2" w14:textId="1E6257D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9F82619" w14:textId="3DD1DA0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FDA571D" w14:textId="36A549F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64CB8B1" w14:textId="7E12FD9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856513E" w14:textId="39967B0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277836E" w14:textId="5CFB270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DF9C684" w14:textId="2A15A6D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241683B" w14:textId="1BAF4C4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24874B3" w14:textId="2F0DC0B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0B1EBFE" w14:textId="3DA6270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4B73782" w14:textId="2A344A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3D92D99" w14:textId="0F4B10B9"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34DD1526"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6B9B185" w14:textId="70C6A23E" w:rsidR="0067211A" w:rsidRPr="002B6D16" w:rsidRDefault="0067211A" w:rsidP="0067211A">
            <w:pPr>
              <w:spacing w:after="0"/>
              <w:rPr>
                <w:sz w:val="20"/>
                <w:lang w:val="en-GB" w:eastAsia="en-GB"/>
              </w:rPr>
            </w:pPr>
            <w:r w:rsidRPr="00A57714">
              <w:rPr>
                <w:rFonts w:cs="Arial"/>
                <w:color w:val="000000"/>
                <w:sz w:val="20"/>
                <w:szCs w:val="20"/>
              </w:rPr>
              <w:t>Heider et al</w:t>
            </w:r>
          </w:p>
        </w:tc>
        <w:tc>
          <w:tcPr>
            <w:tcW w:w="723" w:type="dxa"/>
            <w:tcBorders>
              <w:top w:val="single" w:sz="4" w:space="0" w:color="auto"/>
              <w:bottom w:val="single" w:sz="4" w:space="0" w:color="auto"/>
            </w:tcBorders>
            <w:shd w:val="clear" w:color="auto" w:fill="auto"/>
            <w:noWrap/>
            <w:vAlign w:val="center"/>
          </w:tcPr>
          <w:p w14:paraId="1CDBF6A9" w14:textId="495279F9" w:rsidR="0067211A" w:rsidRPr="002B6D16" w:rsidRDefault="0067211A" w:rsidP="0067211A">
            <w:pPr>
              <w:spacing w:after="0"/>
              <w:jc w:val="center"/>
              <w:rPr>
                <w:sz w:val="20"/>
                <w:lang w:val="en-GB" w:eastAsia="en-GB"/>
              </w:rPr>
            </w:pPr>
            <w:r w:rsidRPr="00A57714">
              <w:rPr>
                <w:rFonts w:cs="Arial"/>
                <w:color w:val="000000"/>
                <w:sz w:val="20"/>
                <w:szCs w:val="20"/>
              </w:rPr>
              <w:t>2009</w:t>
            </w:r>
          </w:p>
        </w:tc>
        <w:tc>
          <w:tcPr>
            <w:tcW w:w="454" w:type="dxa"/>
            <w:tcBorders>
              <w:top w:val="single" w:sz="4" w:space="0" w:color="auto"/>
              <w:bottom w:val="single" w:sz="4" w:space="0" w:color="auto"/>
            </w:tcBorders>
            <w:shd w:val="clear" w:color="auto" w:fill="auto"/>
            <w:noWrap/>
            <w:vAlign w:val="center"/>
          </w:tcPr>
          <w:p w14:paraId="3D9285D7" w14:textId="7C1E115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92557C8" w14:textId="288CD05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8A562DA" w14:textId="3D214BE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BCE452D" w14:textId="4168F25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3408C1E" w14:textId="7226F51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E4C1A49" w14:textId="5B9621C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10" w:type="dxa"/>
            <w:tcBorders>
              <w:top w:val="single" w:sz="4" w:space="0" w:color="auto"/>
              <w:bottom w:val="single" w:sz="4" w:space="0" w:color="auto"/>
            </w:tcBorders>
            <w:shd w:val="clear" w:color="auto" w:fill="auto"/>
            <w:noWrap/>
            <w:vAlign w:val="center"/>
          </w:tcPr>
          <w:p w14:paraId="489955FC" w14:textId="299A39F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D847AF1" w14:textId="1CAD8EF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1E6D3397" w14:textId="49519CD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E60D8A2" w14:textId="5AFA2C5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463A235" w14:textId="4A8499D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D529F8C" w14:textId="5C0FA85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5BFA4F6" w14:textId="5FB9475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42848CF" w14:textId="61F321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87E0610" w14:textId="4751B6D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5BB7DFC" w14:textId="1453E00A"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748623AE"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0811C29" w14:textId="4137CA2C" w:rsidR="0067211A" w:rsidRPr="002B6D16" w:rsidRDefault="0067211A" w:rsidP="0067211A">
            <w:pPr>
              <w:spacing w:after="0"/>
              <w:rPr>
                <w:sz w:val="20"/>
                <w:lang w:val="en-GB" w:eastAsia="en-GB"/>
              </w:rPr>
            </w:pPr>
            <w:r w:rsidRPr="00A57714">
              <w:rPr>
                <w:rFonts w:cs="Arial"/>
                <w:color w:val="000000"/>
                <w:sz w:val="20"/>
                <w:szCs w:val="20"/>
              </w:rPr>
              <w:t>Hertzman, Peter</w:t>
            </w:r>
          </w:p>
        </w:tc>
        <w:tc>
          <w:tcPr>
            <w:tcW w:w="723" w:type="dxa"/>
            <w:tcBorders>
              <w:top w:val="single" w:sz="4" w:space="0" w:color="auto"/>
              <w:bottom w:val="single" w:sz="4" w:space="0" w:color="auto"/>
            </w:tcBorders>
            <w:shd w:val="clear" w:color="auto" w:fill="auto"/>
            <w:noWrap/>
            <w:vAlign w:val="center"/>
          </w:tcPr>
          <w:p w14:paraId="14222411" w14:textId="6EBF5E29" w:rsidR="0067211A" w:rsidRPr="002B6D16" w:rsidRDefault="0067211A" w:rsidP="0067211A">
            <w:pPr>
              <w:spacing w:after="0"/>
              <w:jc w:val="center"/>
              <w:rPr>
                <w:sz w:val="20"/>
                <w:lang w:val="en-GB" w:eastAsia="en-GB"/>
              </w:rPr>
            </w:pPr>
            <w:r w:rsidRPr="00A57714">
              <w:rPr>
                <w:rFonts w:cs="Arial"/>
                <w:color w:val="000000"/>
                <w:sz w:val="20"/>
                <w:szCs w:val="20"/>
              </w:rPr>
              <w:t>1983</w:t>
            </w:r>
          </w:p>
        </w:tc>
        <w:tc>
          <w:tcPr>
            <w:tcW w:w="454" w:type="dxa"/>
            <w:tcBorders>
              <w:top w:val="single" w:sz="4" w:space="0" w:color="auto"/>
              <w:bottom w:val="single" w:sz="4" w:space="0" w:color="auto"/>
            </w:tcBorders>
            <w:shd w:val="clear" w:color="auto" w:fill="auto"/>
            <w:noWrap/>
            <w:vAlign w:val="center"/>
          </w:tcPr>
          <w:p w14:paraId="7CCE6B7A" w14:textId="3E8C2D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5FE1638" w14:textId="22C8C24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FA70F3A" w14:textId="0AD1870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6FFF657" w14:textId="233575E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49A5261" w14:textId="54F8E36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F5726DC" w14:textId="6B38C10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D7A94AB" w14:textId="7B51345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A660A8" w14:textId="75525D9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13D6BC50" w14:textId="73DDAEF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0031424" w14:textId="1A8F1C3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1288312" w14:textId="7F3A510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A3902CA" w14:textId="7B428A3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82CAA2B" w14:textId="42BCA3A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4890E18" w14:textId="59DF823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48EEA867" w14:textId="6E92EFB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06BF50A9" w14:textId="3ED66043"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446587ED"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5913C491" w14:textId="57CBC1CB" w:rsidR="0067211A" w:rsidRPr="002B6D16" w:rsidRDefault="0067211A" w:rsidP="0067211A">
            <w:pPr>
              <w:spacing w:after="0"/>
              <w:rPr>
                <w:sz w:val="20"/>
                <w:lang w:val="en-GB" w:eastAsia="en-GB"/>
              </w:rPr>
            </w:pPr>
            <w:r w:rsidRPr="00A57714">
              <w:rPr>
                <w:rFonts w:cs="Arial"/>
                <w:color w:val="000000"/>
                <w:sz w:val="20"/>
                <w:szCs w:val="20"/>
              </w:rPr>
              <w:t>Hjortsberg</w:t>
            </w:r>
            <w:r>
              <w:rPr>
                <w:rFonts w:cs="Arial"/>
                <w:color w:val="000000"/>
                <w:sz w:val="20"/>
                <w:szCs w:val="20"/>
              </w:rPr>
              <w:t xml:space="preserve"> et al</w:t>
            </w:r>
          </w:p>
        </w:tc>
        <w:tc>
          <w:tcPr>
            <w:tcW w:w="723" w:type="dxa"/>
            <w:tcBorders>
              <w:top w:val="single" w:sz="4" w:space="0" w:color="auto"/>
              <w:bottom w:val="single" w:sz="4" w:space="0" w:color="auto"/>
            </w:tcBorders>
            <w:shd w:val="clear" w:color="auto" w:fill="auto"/>
            <w:noWrap/>
            <w:vAlign w:val="center"/>
          </w:tcPr>
          <w:p w14:paraId="6668E057" w14:textId="2AF92018" w:rsidR="0067211A" w:rsidRPr="002B6D16" w:rsidRDefault="0067211A" w:rsidP="0067211A">
            <w:pPr>
              <w:spacing w:after="0"/>
              <w:jc w:val="center"/>
              <w:rPr>
                <w:sz w:val="20"/>
                <w:lang w:val="en-GB" w:eastAsia="en-GB"/>
              </w:rPr>
            </w:pPr>
            <w:r w:rsidRPr="00A57714">
              <w:rPr>
                <w:rFonts w:cs="Arial"/>
                <w:color w:val="000000"/>
                <w:sz w:val="20"/>
                <w:szCs w:val="20"/>
              </w:rPr>
              <w:t>2011</w:t>
            </w:r>
          </w:p>
        </w:tc>
        <w:tc>
          <w:tcPr>
            <w:tcW w:w="454" w:type="dxa"/>
            <w:tcBorders>
              <w:top w:val="single" w:sz="4" w:space="0" w:color="auto"/>
              <w:bottom w:val="single" w:sz="4" w:space="0" w:color="auto"/>
            </w:tcBorders>
            <w:shd w:val="clear" w:color="auto" w:fill="auto"/>
            <w:noWrap/>
            <w:vAlign w:val="center"/>
          </w:tcPr>
          <w:p w14:paraId="6073587F" w14:textId="325109E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416F9BF" w14:textId="69F6DC8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077E6A9" w14:textId="3E76AF7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2D8A5CE" w14:textId="6A368C5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C5DA374" w14:textId="49B21E0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F548E42" w14:textId="5137A0A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9E229C8" w14:textId="5E1B0EE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469B327" w14:textId="4F17341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560A9C4F" w14:textId="483557F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01B64ED" w14:textId="417BF5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5FBDD51" w14:textId="4B758DA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A666B22" w14:textId="77C9136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628B0C0" w14:textId="77F9D29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2116E79" w14:textId="4611076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1C7DEB0" w14:textId="1654FF5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4BB6F1C2" w14:textId="212D0955"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668E4BDC"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61C70E2" w14:textId="2FB72C58" w:rsidR="0067211A" w:rsidRPr="002B6D16" w:rsidRDefault="0067211A" w:rsidP="0067211A">
            <w:pPr>
              <w:spacing w:after="0"/>
              <w:rPr>
                <w:sz w:val="20"/>
                <w:lang w:val="en-GB" w:eastAsia="en-GB"/>
              </w:rPr>
            </w:pPr>
            <w:r w:rsidRPr="00A57714">
              <w:rPr>
                <w:rFonts w:cs="Arial"/>
                <w:color w:val="000000"/>
                <w:sz w:val="20"/>
                <w:szCs w:val="20"/>
              </w:rPr>
              <w:t>Holden et al</w:t>
            </w:r>
          </w:p>
        </w:tc>
        <w:tc>
          <w:tcPr>
            <w:tcW w:w="723" w:type="dxa"/>
            <w:tcBorders>
              <w:top w:val="single" w:sz="4" w:space="0" w:color="auto"/>
              <w:bottom w:val="single" w:sz="4" w:space="0" w:color="auto"/>
            </w:tcBorders>
            <w:shd w:val="clear" w:color="auto" w:fill="auto"/>
            <w:noWrap/>
            <w:vAlign w:val="center"/>
          </w:tcPr>
          <w:p w14:paraId="0C234327" w14:textId="5A4B2A00"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3FD3F9B9" w14:textId="10972BB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21FFDC8" w14:textId="12753D5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057B7BF" w14:textId="36BFD48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0310F47" w14:textId="784829C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523D80F" w14:textId="0377E47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B2472F2" w14:textId="2984074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10" w:type="dxa"/>
            <w:tcBorders>
              <w:top w:val="single" w:sz="4" w:space="0" w:color="auto"/>
              <w:bottom w:val="single" w:sz="4" w:space="0" w:color="auto"/>
            </w:tcBorders>
            <w:shd w:val="clear" w:color="auto" w:fill="auto"/>
            <w:noWrap/>
            <w:vAlign w:val="center"/>
          </w:tcPr>
          <w:p w14:paraId="605A69EE" w14:textId="491870D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79EBC43" w14:textId="49AE6CA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6FA8FFEC" w14:textId="438A4BF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16EF9AB" w14:textId="2B91C0D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96CF58D" w14:textId="119EC33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41519A9" w14:textId="12B475D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8863066" w14:textId="301996E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EFBA83F" w14:textId="60BF78B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7726802" w14:textId="2C87831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B0CD683" w14:textId="142A2416"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766D0A6"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7C0122E4" w14:textId="7CB3AE14" w:rsidR="0067211A" w:rsidRPr="002B6D16" w:rsidRDefault="0067211A" w:rsidP="0067211A">
            <w:pPr>
              <w:spacing w:after="0"/>
              <w:rPr>
                <w:sz w:val="20"/>
                <w:lang w:val="en-GB" w:eastAsia="en-GB"/>
              </w:rPr>
            </w:pPr>
            <w:r w:rsidRPr="00A57714">
              <w:rPr>
                <w:rFonts w:cs="Arial"/>
                <w:color w:val="000000"/>
                <w:sz w:val="20"/>
                <w:szCs w:val="20"/>
              </w:rPr>
              <w:t>Hu et al</w:t>
            </w:r>
          </w:p>
        </w:tc>
        <w:tc>
          <w:tcPr>
            <w:tcW w:w="723" w:type="dxa"/>
            <w:tcBorders>
              <w:top w:val="single" w:sz="4" w:space="0" w:color="auto"/>
              <w:bottom w:val="single" w:sz="4" w:space="0" w:color="auto"/>
            </w:tcBorders>
            <w:shd w:val="clear" w:color="auto" w:fill="auto"/>
            <w:noWrap/>
            <w:vAlign w:val="center"/>
          </w:tcPr>
          <w:p w14:paraId="52A47B37" w14:textId="75A0B654" w:rsidR="0067211A" w:rsidRPr="002B6D16" w:rsidRDefault="0067211A" w:rsidP="0067211A">
            <w:pPr>
              <w:spacing w:after="0"/>
              <w:jc w:val="center"/>
              <w:rPr>
                <w:sz w:val="20"/>
                <w:lang w:val="en-GB" w:eastAsia="en-GB"/>
              </w:rPr>
            </w:pPr>
            <w:r w:rsidRPr="00A57714">
              <w:rPr>
                <w:rFonts w:cs="Arial"/>
                <w:color w:val="000000"/>
                <w:sz w:val="20"/>
                <w:szCs w:val="20"/>
              </w:rPr>
              <w:t>2007</w:t>
            </w:r>
          </w:p>
        </w:tc>
        <w:tc>
          <w:tcPr>
            <w:tcW w:w="454" w:type="dxa"/>
            <w:tcBorders>
              <w:top w:val="single" w:sz="4" w:space="0" w:color="auto"/>
              <w:bottom w:val="single" w:sz="4" w:space="0" w:color="auto"/>
            </w:tcBorders>
            <w:shd w:val="clear" w:color="auto" w:fill="auto"/>
            <w:noWrap/>
            <w:vAlign w:val="center"/>
          </w:tcPr>
          <w:p w14:paraId="0B17C686" w14:textId="317FB1A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A27B87B" w14:textId="0ACEEDF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0DD0A31" w14:textId="3F8C139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ADCECE4" w14:textId="7BD77EA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878C0AB" w14:textId="1523033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B8431CA" w14:textId="7B3E5AE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9771223" w14:textId="2232EDB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7FF9703" w14:textId="16D5971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351472D" w14:textId="1B12F80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0245135" w14:textId="41C1B26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C4C1927" w14:textId="3EE60A6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E6D97CD" w14:textId="1A2A34B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D658941" w14:textId="603415E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B4F3B7C" w14:textId="49395A8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9A9D8B8" w14:textId="38536A9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23EBC810" w14:textId="72E600A5"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4B22232E"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E5F4B0B" w14:textId="1DBCE691" w:rsidR="0067211A" w:rsidRPr="002B6D16" w:rsidRDefault="0067211A" w:rsidP="0067211A">
            <w:pPr>
              <w:spacing w:after="0"/>
              <w:rPr>
                <w:sz w:val="20"/>
                <w:lang w:val="en-GB" w:eastAsia="en-GB"/>
              </w:rPr>
            </w:pPr>
            <w:r>
              <w:rPr>
                <w:rFonts w:cs="Arial"/>
                <w:color w:val="000000"/>
                <w:sz w:val="20"/>
                <w:szCs w:val="20"/>
                <w:lang w:val="en-GB"/>
              </w:rPr>
              <w:t>Jarbrink</w:t>
            </w:r>
            <w:r w:rsidRPr="00A57714">
              <w:rPr>
                <w:rFonts w:cs="Arial"/>
                <w:color w:val="000000"/>
                <w:sz w:val="20"/>
                <w:szCs w:val="20"/>
                <w:lang w:val="en-GB"/>
              </w:rPr>
              <w:t xml:space="preserve"> </w:t>
            </w:r>
            <w:r>
              <w:rPr>
                <w:rFonts w:cs="Arial"/>
                <w:color w:val="000000"/>
                <w:sz w:val="20"/>
                <w:szCs w:val="20"/>
                <w:lang w:val="en-GB"/>
              </w:rPr>
              <w:t>&amp; Knapp</w:t>
            </w:r>
          </w:p>
        </w:tc>
        <w:tc>
          <w:tcPr>
            <w:tcW w:w="723" w:type="dxa"/>
            <w:tcBorders>
              <w:top w:val="single" w:sz="4" w:space="0" w:color="auto"/>
              <w:bottom w:val="single" w:sz="4" w:space="0" w:color="auto"/>
            </w:tcBorders>
            <w:shd w:val="clear" w:color="auto" w:fill="auto"/>
            <w:noWrap/>
            <w:vAlign w:val="center"/>
          </w:tcPr>
          <w:p w14:paraId="18CEBD90" w14:textId="2905EE96" w:rsidR="0067211A" w:rsidRPr="002B6D16" w:rsidRDefault="0067211A" w:rsidP="0067211A">
            <w:pPr>
              <w:spacing w:after="0"/>
              <w:jc w:val="center"/>
              <w:rPr>
                <w:sz w:val="20"/>
                <w:lang w:val="en-GB" w:eastAsia="en-GB"/>
              </w:rPr>
            </w:pPr>
            <w:r w:rsidRPr="00A57714">
              <w:rPr>
                <w:rFonts w:cs="Arial"/>
                <w:color w:val="000000"/>
                <w:sz w:val="20"/>
                <w:szCs w:val="20"/>
              </w:rPr>
              <w:t>2001</w:t>
            </w:r>
          </w:p>
        </w:tc>
        <w:tc>
          <w:tcPr>
            <w:tcW w:w="454" w:type="dxa"/>
            <w:tcBorders>
              <w:top w:val="single" w:sz="4" w:space="0" w:color="auto"/>
              <w:bottom w:val="single" w:sz="4" w:space="0" w:color="auto"/>
            </w:tcBorders>
            <w:shd w:val="clear" w:color="auto" w:fill="auto"/>
            <w:noWrap/>
            <w:vAlign w:val="center"/>
          </w:tcPr>
          <w:p w14:paraId="4E4B0B9D" w14:textId="639EC64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00958C2" w14:textId="5D29B78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19ED255" w14:textId="2472D48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4F7E822" w14:textId="644FAC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59157DC" w14:textId="5F92432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3E48856" w14:textId="092794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14F16EC" w14:textId="4E82523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2F20BF" w14:textId="7898878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507FE07" w14:textId="0E9442C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EA926B1" w14:textId="68D3769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A3E071B" w14:textId="1379103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8A35022" w14:textId="2670D36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C45DA1A" w14:textId="516A9E5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ECD08AA" w14:textId="024A130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3AD226EB" w14:textId="6EC7D03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2B2BD1F3" w14:textId="6DC0EFD0"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2185E520"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77AC759F" w14:textId="16FC727D" w:rsidR="0067211A" w:rsidRPr="002B6D16" w:rsidRDefault="0067211A" w:rsidP="0067211A">
            <w:pPr>
              <w:spacing w:after="0"/>
              <w:rPr>
                <w:sz w:val="20"/>
                <w:lang w:val="en-GB" w:eastAsia="en-GB"/>
              </w:rPr>
            </w:pPr>
            <w:r w:rsidRPr="00A57714">
              <w:rPr>
                <w:rFonts w:cs="Arial"/>
                <w:color w:val="000000"/>
                <w:sz w:val="20"/>
                <w:szCs w:val="20"/>
                <w:lang w:val="en-GB"/>
              </w:rPr>
              <w:t>Kilian</w:t>
            </w:r>
            <w:r>
              <w:rPr>
                <w:rFonts w:cs="Arial"/>
                <w:color w:val="000000"/>
                <w:sz w:val="20"/>
                <w:szCs w:val="20"/>
                <w:lang w:val="en-GB"/>
              </w:rPr>
              <w:t xml:space="preserve"> et al</w:t>
            </w:r>
          </w:p>
        </w:tc>
        <w:tc>
          <w:tcPr>
            <w:tcW w:w="723" w:type="dxa"/>
            <w:tcBorders>
              <w:top w:val="single" w:sz="4" w:space="0" w:color="auto"/>
              <w:bottom w:val="single" w:sz="4" w:space="0" w:color="auto"/>
            </w:tcBorders>
            <w:shd w:val="clear" w:color="auto" w:fill="auto"/>
            <w:noWrap/>
            <w:vAlign w:val="center"/>
          </w:tcPr>
          <w:p w14:paraId="2E2953C4" w14:textId="38E39A6A" w:rsidR="0067211A" w:rsidRPr="002B6D16" w:rsidRDefault="0067211A" w:rsidP="0067211A">
            <w:pPr>
              <w:spacing w:after="0"/>
              <w:jc w:val="center"/>
              <w:rPr>
                <w:sz w:val="20"/>
                <w:lang w:val="en-GB" w:eastAsia="en-GB"/>
              </w:rPr>
            </w:pPr>
            <w:r w:rsidRPr="00A57714">
              <w:rPr>
                <w:rFonts w:cs="Arial"/>
                <w:color w:val="000000"/>
                <w:sz w:val="20"/>
                <w:szCs w:val="20"/>
              </w:rPr>
              <w:t>2001</w:t>
            </w:r>
          </w:p>
        </w:tc>
        <w:tc>
          <w:tcPr>
            <w:tcW w:w="454" w:type="dxa"/>
            <w:tcBorders>
              <w:top w:val="single" w:sz="4" w:space="0" w:color="auto"/>
              <w:bottom w:val="single" w:sz="4" w:space="0" w:color="auto"/>
            </w:tcBorders>
            <w:shd w:val="clear" w:color="auto" w:fill="auto"/>
            <w:noWrap/>
            <w:vAlign w:val="center"/>
          </w:tcPr>
          <w:p w14:paraId="027F5B8D" w14:textId="0EA7AF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AE7DF6D" w14:textId="52093BC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C734312" w14:textId="47482DE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CE0FEA7" w14:textId="37157EC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E9622D5" w14:textId="4EADC1A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0C3413D" w14:textId="7AEA2AC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DAA7E61" w14:textId="0479219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0BF1214" w14:textId="36096D8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3D253DA4" w14:textId="22BC84B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8BA9525" w14:textId="353BB5F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8F88636" w14:textId="4EC1D1D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14169F5" w14:textId="7C9C665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58AB985" w14:textId="170F291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5FBCACE" w14:textId="3BA9342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17A0101D" w14:textId="65425DE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7296E2C0" w14:textId="1C161A52" w:rsidR="0067211A" w:rsidRPr="002B6D16" w:rsidRDefault="0067211A" w:rsidP="0067211A">
            <w:pPr>
              <w:spacing w:after="0"/>
              <w:jc w:val="center"/>
              <w:rPr>
                <w:sz w:val="20"/>
                <w:lang w:val="en-GB" w:eastAsia="en-GB"/>
              </w:rPr>
            </w:pPr>
            <w:r w:rsidRPr="00A57714">
              <w:rPr>
                <w:rFonts w:cs="Arial"/>
                <w:color w:val="000000"/>
                <w:sz w:val="20"/>
                <w:szCs w:val="20"/>
              </w:rPr>
              <w:t>3</w:t>
            </w:r>
          </w:p>
        </w:tc>
      </w:tr>
      <w:tr w:rsidR="0067211A" w:rsidRPr="002B6D16" w14:paraId="071202C9"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8B3BC64" w14:textId="14A514A7" w:rsidR="0067211A" w:rsidRPr="002B6D16" w:rsidRDefault="0067211A" w:rsidP="0067211A">
            <w:pPr>
              <w:spacing w:after="0"/>
              <w:rPr>
                <w:sz w:val="20"/>
                <w:lang w:val="en-GB" w:eastAsia="en-GB"/>
              </w:rPr>
            </w:pPr>
            <w:r w:rsidRPr="00A57714">
              <w:rPr>
                <w:rFonts w:cs="Arial"/>
                <w:color w:val="000000"/>
                <w:sz w:val="20"/>
                <w:szCs w:val="20"/>
                <w:lang w:val="en-GB"/>
              </w:rPr>
              <w:t>Kind</w:t>
            </w:r>
            <w:r>
              <w:rPr>
                <w:rFonts w:cs="Arial"/>
                <w:color w:val="000000"/>
                <w:sz w:val="20"/>
                <w:szCs w:val="20"/>
                <w:lang w:val="en-GB"/>
              </w:rPr>
              <w:t xml:space="preserve"> &amp; Sorensen</w:t>
            </w:r>
          </w:p>
        </w:tc>
        <w:tc>
          <w:tcPr>
            <w:tcW w:w="723" w:type="dxa"/>
            <w:tcBorders>
              <w:top w:val="single" w:sz="4" w:space="0" w:color="auto"/>
              <w:bottom w:val="single" w:sz="4" w:space="0" w:color="auto"/>
            </w:tcBorders>
            <w:shd w:val="clear" w:color="auto" w:fill="auto"/>
            <w:noWrap/>
            <w:vAlign w:val="center"/>
          </w:tcPr>
          <w:p w14:paraId="124F11E9" w14:textId="26548C15" w:rsidR="0067211A" w:rsidRPr="002B6D16" w:rsidRDefault="0067211A" w:rsidP="0067211A">
            <w:pPr>
              <w:spacing w:after="0"/>
              <w:jc w:val="center"/>
              <w:rPr>
                <w:sz w:val="20"/>
                <w:lang w:val="en-GB" w:eastAsia="en-GB"/>
              </w:rPr>
            </w:pPr>
            <w:r w:rsidRPr="00A57714">
              <w:rPr>
                <w:rFonts w:cs="Arial"/>
                <w:color w:val="000000"/>
                <w:sz w:val="20"/>
                <w:szCs w:val="20"/>
              </w:rPr>
              <w:t>1993</w:t>
            </w:r>
          </w:p>
        </w:tc>
        <w:tc>
          <w:tcPr>
            <w:tcW w:w="454" w:type="dxa"/>
            <w:tcBorders>
              <w:top w:val="single" w:sz="4" w:space="0" w:color="auto"/>
              <w:bottom w:val="single" w:sz="4" w:space="0" w:color="auto"/>
            </w:tcBorders>
            <w:shd w:val="clear" w:color="auto" w:fill="auto"/>
            <w:noWrap/>
            <w:vAlign w:val="center"/>
          </w:tcPr>
          <w:p w14:paraId="7E6ED95A" w14:textId="148EDA7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D955D5C" w14:textId="4760FDF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62B8270" w14:textId="6EFB158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E37F1CF" w14:textId="3175324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34453FD" w14:textId="7817D3F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F56D6D1" w14:textId="452ABD2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17BFBD3" w14:textId="13A89F0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C7896B5" w14:textId="46E87E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93A7B6A" w14:textId="603E0AA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39D6D4C" w14:textId="472C3F6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976C3A5" w14:textId="078920D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C3C4BE9" w14:textId="32BEC54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039019D" w14:textId="5BA4275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45FFA0F4" w14:textId="43850A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ACE7DF7" w14:textId="61E01E7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5EC357F4" w14:textId="6E858DFD" w:rsidR="0067211A" w:rsidRPr="002B6D16" w:rsidRDefault="0067211A" w:rsidP="0067211A">
            <w:pPr>
              <w:spacing w:after="0"/>
              <w:jc w:val="center"/>
              <w:rPr>
                <w:sz w:val="20"/>
                <w:lang w:val="en-GB" w:eastAsia="en-GB"/>
              </w:rPr>
            </w:pPr>
            <w:r w:rsidRPr="00A57714">
              <w:rPr>
                <w:rFonts w:cs="Arial"/>
                <w:color w:val="000000"/>
                <w:sz w:val="20"/>
                <w:szCs w:val="20"/>
              </w:rPr>
              <w:t>4</w:t>
            </w:r>
          </w:p>
        </w:tc>
      </w:tr>
      <w:tr w:rsidR="0067211A" w:rsidRPr="002B6D16" w14:paraId="2A77EACA"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59019603" w14:textId="078E05EA" w:rsidR="0067211A" w:rsidRPr="002B6D16" w:rsidRDefault="0067211A" w:rsidP="0067211A">
            <w:pPr>
              <w:spacing w:after="0"/>
              <w:rPr>
                <w:sz w:val="20"/>
                <w:lang w:val="en-GB" w:eastAsia="en-GB"/>
              </w:rPr>
            </w:pPr>
            <w:r>
              <w:rPr>
                <w:rFonts w:cs="Arial"/>
                <w:color w:val="000000"/>
                <w:sz w:val="20"/>
                <w:szCs w:val="20"/>
              </w:rPr>
              <w:t>Kleine-Budde et al</w:t>
            </w:r>
          </w:p>
        </w:tc>
        <w:tc>
          <w:tcPr>
            <w:tcW w:w="723" w:type="dxa"/>
            <w:tcBorders>
              <w:top w:val="single" w:sz="4" w:space="0" w:color="auto"/>
              <w:bottom w:val="single" w:sz="4" w:space="0" w:color="auto"/>
            </w:tcBorders>
            <w:shd w:val="clear" w:color="auto" w:fill="auto"/>
            <w:noWrap/>
            <w:vAlign w:val="center"/>
          </w:tcPr>
          <w:p w14:paraId="2CE4C563" w14:textId="3C7B2288"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5F7527B4" w14:textId="5AE88F2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C80FBD5" w14:textId="26C98E0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B49F33E" w14:textId="1D5ABD3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F057BB3" w14:textId="3D18FD6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0674456" w14:textId="02BE5B3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4B58DED" w14:textId="5BBF38E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412B282" w14:textId="51F6FEE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C571759" w14:textId="0B9D3CC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04275706" w14:textId="2A328BB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44242AA" w14:textId="7026E65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D046A85" w14:textId="1F60536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D774669" w14:textId="4D6D6E1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3D4F8AC" w14:textId="7A262F7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C549FC0" w14:textId="25F8D04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581443D" w14:textId="555A6BF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B23E0E7" w14:textId="28F62FA1"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3B2ED3D9"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55771E60" w14:textId="038BE5A9" w:rsidR="0067211A" w:rsidRPr="002B6D16" w:rsidRDefault="0067211A" w:rsidP="0067211A">
            <w:pPr>
              <w:spacing w:after="0"/>
              <w:rPr>
                <w:sz w:val="20"/>
                <w:lang w:val="en-GB" w:eastAsia="en-GB"/>
              </w:rPr>
            </w:pPr>
            <w:r>
              <w:rPr>
                <w:rFonts w:cs="Arial"/>
                <w:color w:val="000000"/>
                <w:sz w:val="20"/>
                <w:szCs w:val="20"/>
              </w:rPr>
              <w:t>Klora et al</w:t>
            </w:r>
          </w:p>
        </w:tc>
        <w:tc>
          <w:tcPr>
            <w:tcW w:w="723" w:type="dxa"/>
            <w:tcBorders>
              <w:top w:val="single" w:sz="4" w:space="0" w:color="auto"/>
              <w:bottom w:val="single" w:sz="4" w:space="0" w:color="auto"/>
            </w:tcBorders>
            <w:shd w:val="clear" w:color="auto" w:fill="auto"/>
            <w:noWrap/>
            <w:vAlign w:val="center"/>
          </w:tcPr>
          <w:p w14:paraId="55D51E4B" w14:textId="58BE8BE2" w:rsidR="0067211A" w:rsidRPr="002B6D16" w:rsidRDefault="0067211A" w:rsidP="0067211A">
            <w:pPr>
              <w:spacing w:after="0"/>
              <w:jc w:val="center"/>
              <w:rPr>
                <w:sz w:val="20"/>
                <w:lang w:val="en-GB" w:eastAsia="en-GB"/>
              </w:rPr>
            </w:pPr>
            <w:r w:rsidRPr="00A57714">
              <w:rPr>
                <w:rFonts w:cs="Arial"/>
                <w:color w:val="000000"/>
                <w:sz w:val="20"/>
                <w:szCs w:val="20"/>
              </w:rPr>
              <w:t>2015</w:t>
            </w:r>
          </w:p>
        </w:tc>
        <w:tc>
          <w:tcPr>
            <w:tcW w:w="454" w:type="dxa"/>
            <w:tcBorders>
              <w:top w:val="single" w:sz="4" w:space="0" w:color="auto"/>
              <w:bottom w:val="single" w:sz="4" w:space="0" w:color="auto"/>
            </w:tcBorders>
            <w:shd w:val="clear" w:color="auto" w:fill="auto"/>
            <w:noWrap/>
            <w:vAlign w:val="center"/>
          </w:tcPr>
          <w:p w14:paraId="6BF7FFC8" w14:textId="21092F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41C8203" w14:textId="787999A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4B4655C" w14:textId="6C07E79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7A16412" w14:textId="064C82E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588E4E0" w14:textId="40473CF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FC13327" w14:textId="07FB00D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1D42779" w14:textId="435CE10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2FB31A8" w14:textId="5D325D2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9ACFF08" w14:textId="702B97A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CC09944" w14:textId="536695C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3C4AADB" w14:textId="218CA32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ADB75CB" w14:textId="2B5CAB7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042A53D" w14:textId="1D2A13C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7CA13B7" w14:textId="72465BB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E632561" w14:textId="103956D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C9DC22C" w14:textId="3150CB16"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511E83DD"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E81F8B6" w14:textId="67513450" w:rsidR="0067211A" w:rsidRPr="002B6D16" w:rsidRDefault="0067211A" w:rsidP="0067211A">
            <w:pPr>
              <w:spacing w:after="0"/>
              <w:rPr>
                <w:sz w:val="20"/>
                <w:lang w:val="en-GB" w:eastAsia="en-GB"/>
              </w:rPr>
            </w:pPr>
            <w:r>
              <w:rPr>
                <w:rFonts w:cs="Arial"/>
                <w:color w:val="000000"/>
                <w:sz w:val="20"/>
                <w:szCs w:val="20"/>
                <w:lang w:val="en-GB"/>
              </w:rPr>
              <w:t>Knapp et al</w:t>
            </w:r>
          </w:p>
        </w:tc>
        <w:tc>
          <w:tcPr>
            <w:tcW w:w="723" w:type="dxa"/>
            <w:tcBorders>
              <w:top w:val="single" w:sz="4" w:space="0" w:color="auto"/>
              <w:bottom w:val="single" w:sz="4" w:space="0" w:color="auto"/>
            </w:tcBorders>
            <w:shd w:val="clear" w:color="auto" w:fill="auto"/>
            <w:noWrap/>
            <w:vAlign w:val="center"/>
          </w:tcPr>
          <w:p w14:paraId="2B2F1F88" w14:textId="7EE4B3B6" w:rsidR="0067211A" w:rsidRPr="002B6D16" w:rsidRDefault="0067211A" w:rsidP="0067211A">
            <w:pPr>
              <w:spacing w:after="0"/>
              <w:jc w:val="center"/>
              <w:rPr>
                <w:sz w:val="20"/>
                <w:lang w:val="en-GB" w:eastAsia="en-GB"/>
              </w:rPr>
            </w:pPr>
            <w:r w:rsidRPr="00A57714">
              <w:rPr>
                <w:rFonts w:cs="Arial"/>
                <w:color w:val="000000"/>
                <w:sz w:val="20"/>
                <w:szCs w:val="20"/>
              </w:rPr>
              <w:t>2002</w:t>
            </w:r>
          </w:p>
        </w:tc>
        <w:tc>
          <w:tcPr>
            <w:tcW w:w="454" w:type="dxa"/>
            <w:tcBorders>
              <w:top w:val="single" w:sz="4" w:space="0" w:color="auto"/>
              <w:bottom w:val="single" w:sz="4" w:space="0" w:color="auto"/>
            </w:tcBorders>
            <w:shd w:val="clear" w:color="auto" w:fill="auto"/>
            <w:noWrap/>
            <w:vAlign w:val="center"/>
          </w:tcPr>
          <w:p w14:paraId="49D96DD6" w14:textId="26CF3FD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55784E2" w14:textId="77D0ABD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9919948" w14:textId="1B5C37C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1B24E6C" w14:textId="3BD5D3B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0777B66" w14:textId="15290E2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2C5BCB0" w14:textId="631161E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6E49477" w14:textId="2CE5FCC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A205B9F" w14:textId="0E1EABD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166793B1" w14:textId="49B4341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E99B83B" w14:textId="2140664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A3D7B7D" w14:textId="3E9F68B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3B72BE5" w14:textId="047FEDB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51BE6F4" w14:textId="3ACEA3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A77F4BC" w14:textId="2468026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6F49ED2" w14:textId="4531C62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017DC5EB" w14:textId="631CEA31"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5C47B04E"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1AB597AB" w14:textId="17EC664A" w:rsidR="0067211A" w:rsidRPr="002B6D16" w:rsidRDefault="0067211A" w:rsidP="0067211A">
            <w:pPr>
              <w:spacing w:after="0"/>
              <w:rPr>
                <w:sz w:val="20"/>
                <w:lang w:val="en-GB" w:eastAsia="en-GB"/>
              </w:rPr>
            </w:pPr>
            <w:r w:rsidRPr="00A57714">
              <w:rPr>
                <w:rFonts w:cs="Arial"/>
                <w:color w:val="000000"/>
                <w:sz w:val="20"/>
                <w:szCs w:val="20"/>
                <w:lang w:val="en-GB"/>
              </w:rPr>
              <w:t>Kortmann</w:t>
            </w:r>
            <w:r>
              <w:rPr>
                <w:rFonts w:cs="Arial"/>
                <w:color w:val="000000"/>
                <w:sz w:val="20"/>
                <w:szCs w:val="20"/>
                <w:lang w:val="en-GB"/>
              </w:rPr>
              <w:t xml:space="preserve"> et al</w:t>
            </w:r>
          </w:p>
        </w:tc>
        <w:tc>
          <w:tcPr>
            <w:tcW w:w="723" w:type="dxa"/>
            <w:tcBorders>
              <w:top w:val="single" w:sz="4" w:space="0" w:color="auto"/>
              <w:bottom w:val="single" w:sz="4" w:space="0" w:color="auto"/>
            </w:tcBorders>
            <w:shd w:val="clear" w:color="auto" w:fill="auto"/>
            <w:noWrap/>
            <w:vAlign w:val="center"/>
          </w:tcPr>
          <w:p w14:paraId="43884D05" w14:textId="79FD18A0"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5EFF80BF" w14:textId="7DA6B55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AFB079E" w14:textId="7F870D1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B5FDEE9" w14:textId="7B0E006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7F7786D" w14:textId="6332293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BD390AA" w14:textId="1662F21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E61A3E6" w14:textId="6CEDA25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2D975BD" w14:textId="737A8CF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B869C91" w14:textId="3F7FE9E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66313666" w14:textId="293E1A7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900CB16" w14:textId="4E8A1A4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E7BD145" w14:textId="231DECF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F1852CD" w14:textId="4E1929F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32D83BA" w14:textId="366B6E8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42336C8" w14:textId="527AFDD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65F98A0B" w14:textId="5368022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3131BDB6" w14:textId="6B117618"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D6901E0"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5437B39" w14:textId="45CD2BAD" w:rsidR="0067211A" w:rsidRPr="002B6D16" w:rsidRDefault="0067211A" w:rsidP="0067211A">
            <w:pPr>
              <w:spacing w:after="0"/>
              <w:rPr>
                <w:sz w:val="20"/>
                <w:lang w:val="en-GB" w:eastAsia="en-GB"/>
              </w:rPr>
            </w:pPr>
            <w:r w:rsidRPr="00A57714">
              <w:rPr>
                <w:rFonts w:cs="Arial"/>
                <w:color w:val="000000"/>
                <w:sz w:val="20"/>
                <w:szCs w:val="20"/>
                <w:lang w:val="en-GB"/>
              </w:rPr>
              <w:t>Krauth</w:t>
            </w:r>
            <w:r>
              <w:rPr>
                <w:rFonts w:cs="Arial"/>
                <w:color w:val="000000"/>
                <w:sz w:val="20"/>
                <w:szCs w:val="20"/>
                <w:lang w:val="en-GB"/>
              </w:rPr>
              <w:t xml:space="preserve"> et al</w:t>
            </w:r>
          </w:p>
        </w:tc>
        <w:tc>
          <w:tcPr>
            <w:tcW w:w="723" w:type="dxa"/>
            <w:tcBorders>
              <w:top w:val="single" w:sz="4" w:space="0" w:color="auto"/>
              <w:bottom w:val="single" w:sz="4" w:space="0" w:color="auto"/>
            </w:tcBorders>
            <w:shd w:val="clear" w:color="auto" w:fill="auto"/>
            <w:noWrap/>
            <w:vAlign w:val="center"/>
          </w:tcPr>
          <w:p w14:paraId="48DB2035" w14:textId="421E4DA9" w:rsidR="0067211A" w:rsidRPr="002B6D16" w:rsidRDefault="0067211A" w:rsidP="0067211A">
            <w:pPr>
              <w:spacing w:after="0"/>
              <w:jc w:val="center"/>
              <w:rPr>
                <w:sz w:val="20"/>
                <w:lang w:val="en-GB" w:eastAsia="en-GB"/>
              </w:rPr>
            </w:pPr>
            <w:r w:rsidRPr="00A57714">
              <w:rPr>
                <w:rFonts w:cs="Arial"/>
                <w:color w:val="000000"/>
                <w:sz w:val="20"/>
                <w:szCs w:val="20"/>
              </w:rPr>
              <w:t>2002</w:t>
            </w:r>
          </w:p>
        </w:tc>
        <w:tc>
          <w:tcPr>
            <w:tcW w:w="454" w:type="dxa"/>
            <w:tcBorders>
              <w:top w:val="single" w:sz="4" w:space="0" w:color="auto"/>
              <w:bottom w:val="single" w:sz="4" w:space="0" w:color="auto"/>
            </w:tcBorders>
            <w:shd w:val="clear" w:color="auto" w:fill="auto"/>
            <w:noWrap/>
            <w:vAlign w:val="center"/>
          </w:tcPr>
          <w:p w14:paraId="196F7DAE" w14:textId="1F96291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5352951" w14:textId="5EB2D88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37EEF9A" w14:textId="0E2A95D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7BAC55A" w14:textId="12C2C27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33208CD" w14:textId="54ABA1B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1888B19" w14:textId="576758F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E4D03C4" w14:textId="32CE09F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B964D32" w14:textId="25617F6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01C4C95" w14:textId="28618C7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8B2CCAA" w14:textId="4156FA0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E627C1D" w14:textId="40C323A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3401CA7" w14:textId="193CA01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D9834BD" w14:textId="45D5FF4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532C4373" w14:textId="3DAE07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424784E" w14:textId="5870FD1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662826E5" w14:textId="4D86C1FF"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53DC7892"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079AA52" w14:textId="75D6D3C2" w:rsidR="0067211A" w:rsidRPr="002B6D16" w:rsidRDefault="0067211A" w:rsidP="0067211A">
            <w:pPr>
              <w:spacing w:after="0"/>
              <w:rPr>
                <w:sz w:val="20"/>
                <w:lang w:eastAsia="en-GB"/>
              </w:rPr>
            </w:pPr>
            <w:r>
              <w:rPr>
                <w:rFonts w:cs="Arial"/>
                <w:color w:val="000000"/>
                <w:sz w:val="20"/>
                <w:szCs w:val="20"/>
                <w:lang w:val="en-GB"/>
              </w:rPr>
              <w:t>Kujanpaa et al</w:t>
            </w:r>
          </w:p>
        </w:tc>
        <w:tc>
          <w:tcPr>
            <w:tcW w:w="723" w:type="dxa"/>
            <w:tcBorders>
              <w:top w:val="single" w:sz="4" w:space="0" w:color="auto"/>
              <w:bottom w:val="single" w:sz="4" w:space="0" w:color="auto"/>
            </w:tcBorders>
            <w:shd w:val="clear" w:color="auto" w:fill="auto"/>
            <w:noWrap/>
            <w:vAlign w:val="center"/>
          </w:tcPr>
          <w:p w14:paraId="4687CB41" w14:textId="0B54CD9E" w:rsidR="0067211A" w:rsidRPr="002B6D16" w:rsidRDefault="0067211A" w:rsidP="0067211A">
            <w:pPr>
              <w:spacing w:after="0"/>
              <w:jc w:val="center"/>
              <w:rPr>
                <w:sz w:val="20"/>
                <w:lang w:val="en-GB" w:eastAsia="en-GB"/>
              </w:rPr>
            </w:pPr>
            <w:r w:rsidRPr="00A57714">
              <w:rPr>
                <w:rFonts w:cs="Arial"/>
                <w:color w:val="000000"/>
                <w:sz w:val="20"/>
                <w:szCs w:val="20"/>
              </w:rPr>
              <w:t>2014</w:t>
            </w:r>
          </w:p>
        </w:tc>
        <w:tc>
          <w:tcPr>
            <w:tcW w:w="454" w:type="dxa"/>
            <w:tcBorders>
              <w:top w:val="single" w:sz="4" w:space="0" w:color="auto"/>
              <w:bottom w:val="single" w:sz="4" w:space="0" w:color="auto"/>
            </w:tcBorders>
            <w:shd w:val="clear" w:color="auto" w:fill="auto"/>
            <w:noWrap/>
            <w:vAlign w:val="center"/>
          </w:tcPr>
          <w:p w14:paraId="628D50AE" w14:textId="4F60CE4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25D1BC5" w14:textId="4FD5AC1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8FF385F" w14:textId="5337E0B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2226C40" w14:textId="21B3ED8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D9FC7FD" w14:textId="0EACE86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5C80E99" w14:textId="1A5BA6E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6E4EDAD" w14:textId="491DF72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77F0DD8" w14:textId="1DA079B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7042E504" w14:textId="3069A7A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158CA94" w14:textId="6050E95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66080FB" w14:textId="1B1563C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F4108A1" w14:textId="1EA0F48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CF4F477" w14:textId="1FD28E5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2C5322E4" w14:textId="6BABF75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0C6E5E5F" w14:textId="3F3C02D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01271850" w14:textId="2483F83C"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198B414B"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C0A6C21" w14:textId="7397E047" w:rsidR="0067211A" w:rsidRPr="002B6D16" w:rsidRDefault="0067211A" w:rsidP="0067211A">
            <w:pPr>
              <w:spacing w:after="0"/>
              <w:rPr>
                <w:sz w:val="20"/>
                <w:lang w:val="en-GB" w:eastAsia="en-GB"/>
              </w:rPr>
            </w:pPr>
            <w:r>
              <w:rPr>
                <w:rFonts w:cs="Arial"/>
                <w:color w:val="000000"/>
                <w:sz w:val="20"/>
                <w:szCs w:val="20"/>
                <w:lang w:val="en-GB"/>
              </w:rPr>
              <w:t>Laidi et al</w:t>
            </w:r>
          </w:p>
        </w:tc>
        <w:tc>
          <w:tcPr>
            <w:tcW w:w="723" w:type="dxa"/>
            <w:tcBorders>
              <w:top w:val="single" w:sz="4" w:space="0" w:color="auto"/>
              <w:bottom w:val="single" w:sz="4" w:space="0" w:color="auto"/>
            </w:tcBorders>
            <w:shd w:val="clear" w:color="auto" w:fill="auto"/>
            <w:noWrap/>
            <w:vAlign w:val="center"/>
          </w:tcPr>
          <w:p w14:paraId="46E3134B" w14:textId="1476EA56" w:rsidR="0067211A" w:rsidRPr="002B6D16" w:rsidRDefault="0067211A" w:rsidP="0067211A">
            <w:pPr>
              <w:spacing w:after="0"/>
              <w:jc w:val="center"/>
              <w:rPr>
                <w:sz w:val="20"/>
                <w:lang w:val="en-GB" w:eastAsia="en-GB"/>
              </w:rPr>
            </w:pPr>
            <w:r w:rsidRPr="00A57714">
              <w:rPr>
                <w:rFonts w:cs="Arial"/>
                <w:color w:val="000000"/>
                <w:sz w:val="20"/>
                <w:szCs w:val="20"/>
              </w:rPr>
              <w:t>2018</w:t>
            </w:r>
          </w:p>
        </w:tc>
        <w:tc>
          <w:tcPr>
            <w:tcW w:w="454" w:type="dxa"/>
            <w:tcBorders>
              <w:top w:val="single" w:sz="4" w:space="0" w:color="auto"/>
              <w:bottom w:val="single" w:sz="4" w:space="0" w:color="auto"/>
            </w:tcBorders>
            <w:shd w:val="clear" w:color="auto" w:fill="auto"/>
            <w:noWrap/>
            <w:vAlign w:val="center"/>
          </w:tcPr>
          <w:p w14:paraId="1067EDE7" w14:textId="3108908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E1E7F98" w14:textId="309E4A9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311F1C3" w14:textId="43A1374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274B64F" w14:textId="1AD1D11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82C0E7" w14:textId="7E4F51B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D2F2D58" w14:textId="43FDFA8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5EB511F" w14:textId="0181A17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F940F65" w14:textId="651BBBC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3E1F5635" w14:textId="73FEA2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33AF1CA" w14:textId="0A9C725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75AB79D" w14:textId="2EDC544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E42C4BA" w14:textId="559A9A6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281BA02" w14:textId="27228DD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5C9BF89" w14:textId="73A7D62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7C5B853" w14:textId="08CEA13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73CFB8E" w14:textId="4AC49BC0"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3F417277"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E549166" w14:textId="029C8C72" w:rsidR="0067211A" w:rsidRPr="002B6D16" w:rsidRDefault="0067211A" w:rsidP="0067211A">
            <w:pPr>
              <w:spacing w:after="0"/>
              <w:rPr>
                <w:sz w:val="20"/>
                <w:lang w:val="en-GB" w:eastAsia="en-GB"/>
              </w:rPr>
            </w:pPr>
            <w:r>
              <w:rPr>
                <w:rFonts w:cs="Arial"/>
                <w:color w:val="000000"/>
                <w:sz w:val="20"/>
                <w:szCs w:val="20"/>
              </w:rPr>
              <w:t>Lang et al</w:t>
            </w:r>
          </w:p>
        </w:tc>
        <w:tc>
          <w:tcPr>
            <w:tcW w:w="723" w:type="dxa"/>
            <w:tcBorders>
              <w:top w:val="single" w:sz="4" w:space="0" w:color="auto"/>
              <w:bottom w:val="single" w:sz="4" w:space="0" w:color="auto"/>
            </w:tcBorders>
            <w:shd w:val="clear" w:color="auto" w:fill="auto"/>
            <w:noWrap/>
            <w:vAlign w:val="center"/>
          </w:tcPr>
          <w:p w14:paraId="5D5A9D8A" w14:textId="53B0743B" w:rsidR="0067211A" w:rsidRPr="002B6D16" w:rsidRDefault="0067211A" w:rsidP="0067211A">
            <w:pPr>
              <w:spacing w:after="0"/>
              <w:jc w:val="center"/>
              <w:rPr>
                <w:sz w:val="20"/>
                <w:lang w:val="en-GB" w:eastAsia="en-GB"/>
              </w:rPr>
            </w:pPr>
            <w:r w:rsidRPr="00A57714">
              <w:rPr>
                <w:rFonts w:cs="Arial"/>
                <w:color w:val="000000"/>
                <w:sz w:val="20"/>
                <w:szCs w:val="20"/>
              </w:rPr>
              <w:t>2004</w:t>
            </w:r>
          </w:p>
        </w:tc>
        <w:tc>
          <w:tcPr>
            <w:tcW w:w="454" w:type="dxa"/>
            <w:tcBorders>
              <w:top w:val="single" w:sz="4" w:space="0" w:color="auto"/>
              <w:bottom w:val="single" w:sz="4" w:space="0" w:color="auto"/>
            </w:tcBorders>
            <w:shd w:val="clear" w:color="auto" w:fill="auto"/>
            <w:noWrap/>
            <w:vAlign w:val="center"/>
          </w:tcPr>
          <w:p w14:paraId="785AACC4" w14:textId="3367D17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9A2E226" w14:textId="30DB16B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8CAAAE4" w14:textId="6002966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20AB38F" w14:textId="5E511B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F9760C5" w14:textId="689DAF0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D684E03" w14:textId="04507A9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585D13D" w14:textId="1E7B743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9B8C649" w14:textId="0125D31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609BB00A" w14:textId="231F2DC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FBD6173" w14:textId="7E2B4B9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F504F3F" w14:textId="5E0086B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6FCEEE4" w14:textId="553DC17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06573DA" w14:textId="3D341D5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F1A2F8F" w14:textId="135773E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A9F7815" w14:textId="1D05DC6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2CEB6A4" w14:textId="7977C3B9"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7F26CD57"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CD1249C" w14:textId="02EA8187" w:rsidR="0067211A" w:rsidRPr="002B6D16" w:rsidRDefault="0067211A" w:rsidP="0067211A">
            <w:pPr>
              <w:spacing w:after="0"/>
              <w:rPr>
                <w:sz w:val="20"/>
                <w:lang w:val="en-GB" w:eastAsia="en-GB"/>
              </w:rPr>
            </w:pPr>
            <w:r>
              <w:rPr>
                <w:rFonts w:cs="Arial"/>
                <w:color w:val="000000"/>
                <w:sz w:val="20"/>
                <w:szCs w:val="20"/>
              </w:rPr>
              <w:t>Langley-Hawthorne</w:t>
            </w:r>
          </w:p>
        </w:tc>
        <w:tc>
          <w:tcPr>
            <w:tcW w:w="723" w:type="dxa"/>
            <w:tcBorders>
              <w:top w:val="single" w:sz="4" w:space="0" w:color="auto"/>
              <w:bottom w:val="single" w:sz="4" w:space="0" w:color="auto"/>
            </w:tcBorders>
            <w:shd w:val="clear" w:color="auto" w:fill="auto"/>
            <w:noWrap/>
            <w:vAlign w:val="center"/>
          </w:tcPr>
          <w:p w14:paraId="0E76454C" w14:textId="67995E73" w:rsidR="0067211A" w:rsidRPr="002B6D16" w:rsidRDefault="0067211A" w:rsidP="0067211A">
            <w:pPr>
              <w:spacing w:after="0"/>
              <w:jc w:val="center"/>
              <w:rPr>
                <w:sz w:val="20"/>
                <w:lang w:val="en-GB" w:eastAsia="en-GB"/>
              </w:rPr>
            </w:pPr>
            <w:r w:rsidRPr="00A57714">
              <w:rPr>
                <w:rFonts w:cs="Arial"/>
                <w:color w:val="000000"/>
                <w:sz w:val="20"/>
                <w:szCs w:val="20"/>
              </w:rPr>
              <w:t>1997</w:t>
            </w:r>
          </w:p>
        </w:tc>
        <w:tc>
          <w:tcPr>
            <w:tcW w:w="454" w:type="dxa"/>
            <w:tcBorders>
              <w:top w:val="single" w:sz="4" w:space="0" w:color="auto"/>
              <w:bottom w:val="single" w:sz="4" w:space="0" w:color="auto"/>
            </w:tcBorders>
            <w:shd w:val="clear" w:color="auto" w:fill="auto"/>
            <w:noWrap/>
            <w:vAlign w:val="center"/>
          </w:tcPr>
          <w:p w14:paraId="6A4D392B" w14:textId="01C93E6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F97082E" w14:textId="206B494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0219338" w14:textId="4EE74FE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319A243" w14:textId="1AF0843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972B2C9" w14:textId="180C25A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041D00A" w14:textId="250CD64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7D6F5C3" w14:textId="78842EA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C9F036B" w14:textId="01FE17C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0B5307F3" w14:textId="0BE4059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B64B438" w14:textId="45B73DD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1629200" w14:textId="21CC0C4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D87D2AF" w14:textId="2BFEFC2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EAA3E64" w14:textId="701BEBC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742872B8" w14:textId="7A32524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4EC5E85E" w14:textId="778AF47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19702ACE" w14:textId="0E844227"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086AC5B4"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EA07EC4" w14:textId="4B9AD904" w:rsidR="0067211A" w:rsidRPr="002B6D16" w:rsidRDefault="0067211A" w:rsidP="0067211A">
            <w:pPr>
              <w:spacing w:after="0"/>
              <w:rPr>
                <w:sz w:val="20"/>
                <w:lang w:val="en-GB" w:eastAsia="en-GB"/>
              </w:rPr>
            </w:pPr>
            <w:r>
              <w:rPr>
                <w:rFonts w:cs="Arial"/>
                <w:color w:val="000000"/>
                <w:sz w:val="20"/>
                <w:szCs w:val="20"/>
                <w:lang w:val="en-GB"/>
              </w:rPr>
              <w:t>Lee et al</w:t>
            </w:r>
          </w:p>
        </w:tc>
        <w:tc>
          <w:tcPr>
            <w:tcW w:w="723" w:type="dxa"/>
            <w:tcBorders>
              <w:top w:val="single" w:sz="4" w:space="0" w:color="auto"/>
              <w:bottom w:val="single" w:sz="4" w:space="0" w:color="auto"/>
            </w:tcBorders>
            <w:shd w:val="clear" w:color="auto" w:fill="auto"/>
            <w:noWrap/>
            <w:vAlign w:val="center"/>
          </w:tcPr>
          <w:p w14:paraId="3E2BD7EE" w14:textId="428B4B67"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33079E2D" w14:textId="74D8960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64C0096" w14:textId="340105D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CBF44F8" w14:textId="264A5EB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0C5CD11" w14:textId="0E20D9F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F58B91A" w14:textId="1D55BA4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9C1EF91" w14:textId="7CD7494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01059CE" w14:textId="6A23C1D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E51FC4A" w14:textId="78D0888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A489586" w14:textId="7313B0E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D9D0C39" w14:textId="5576C84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CEAB8AE" w14:textId="48EDA8A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3BBBA1C" w14:textId="606BE13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3DFA847" w14:textId="25ACC17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647790C" w14:textId="6F85F58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EFB7F41" w14:textId="0129F27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14D9570" w14:textId="7CFE8756"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3F6EC6E6"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32F3FF8" w14:textId="0C92F646" w:rsidR="0067211A" w:rsidRPr="002B6D16" w:rsidRDefault="0067211A" w:rsidP="0067211A">
            <w:pPr>
              <w:spacing w:after="0"/>
              <w:rPr>
                <w:sz w:val="20"/>
                <w:lang w:val="en-GB" w:eastAsia="en-GB"/>
              </w:rPr>
            </w:pPr>
            <w:r w:rsidRPr="00A57714">
              <w:rPr>
                <w:rFonts w:cs="Arial"/>
                <w:color w:val="000000"/>
                <w:sz w:val="20"/>
                <w:szCs w:val="20"/>
                <w:lang w:val="en-GB"/>
              </w:rPr>
              <w:t>Libutzki</w:t>
            </w:r>
            <w:r>
              <w:rPr>
                <w:rFonts w:cs="Arial"/>
                <w:color w:val="000000"/>
                <w:sz w:val="20"/>
                <w:szCs w:val="20"/>
                <w:lang w:val="en-GB"/>
              </w:rPr>
              <w:t xml:space="preserve"> et al</w:t>
            </w:r>
          </w:p>
        </w:tc>
        <w:tc>
          <w:tcPr>
            <w:tcW w:w="723" w:type="dxa"/>
            <w:tcBorders>
              <w:top w:val="single" w:sz="4" w:space="0" w:color="auto"/>
              <w:bottom w:val="single" w:sz="4" w:space="0" w:color="auto"/>
            </w:tcBorders>
            <w:shd w:val="clear" w:color="auto" w:fill="auto"/>
            <w:noWrap/>
            <w:vAlign w:val="center"/>
          </w:tcPr>
          <w:p w14:paraId="46B5BBB3" w14:textId="64D07C3F" w:rsidR="0067211A" w:rsidRPr="002B6D16" w:rsidRDefault="0067211A" w:rsidP="0067211A">
            <w:pPr>
              <w:spacing w:after="0"/>
              <w:jc w:val="center"/>
              <w:rPr>
                <w:sz w:val="20"/>
                <w:lang w:val="en-GB" w:eastAsia="en-GB"/>
              </w:rPr>
            </w:pPr>
            <w:r w:rsidRPr="00A57714">
              <w:rPr>
                <w:rFonts w:cs="Arial"/>
                <w:color w:val="000000"/>
                <w:sz w:val="20"/>
                <w:szCs w:val="20"/>
              </w:rPr>
              <w:t>2019</w:t>
            </w:r>
          </w:p>
        </w:tc>
        <w:tc>
          <w:tcPr>
            <w:tcW w:w="454" w:type="dxa"/>
            <w:tcBorders>
              <w:top w:val="single" w:sz="4" w:space="0" w:color="auto"/>
              <w:bottom w:val="single" w:sz="4" w:space="0" w:color="auto"/>
            </w:tcBorders>
            <w:shd w:val="clear" w:color="auto" w:fill="auto"/>
            <w:noWrap/>
            <w:vAlign w:val="center"/>
          </w:tcPr>
          <w:p w14:paraId="44EE9B1F" w14:textId="2D3B779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0C1BD9F" w14:textId="5D68D67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3942991" w14:textId="19F88CE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60B9158" w14:textId="6F42C63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4D3A593" w14:textId="6FBC458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683D29D" w14:textId="24C4934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A33C58D" w14:textId="2452E40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F2E7702" w14:textId="1B02ED9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449857D3" w14:textId="5A605AF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36E1A29" w14:textId="3D8DC12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1EE6EEF" w14:textId="02376A0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322B113" w14:textId="22EA7FB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4EFEF1C" w14:textId="1932FAD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3B4CA68" w14:textId="53CD9C5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9C5CB53" w14:textId="11F2883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4161D4C" w14:textId="2BE1B2BE"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30D49F62"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17D13AAD" w14:textId="456AC3AE" w:rsidR="0067211A" w:rsidRPr="002B6D16" w:rsidRDefault="0067211A" w:rsidP="0067211A">
            <w:pPr>
              <w:spacing w:after="0"/>
              <w:rPr>
                <w:sz w:val="20"/>
                <w:lang w:val="en-GB" w:eastAsia="en-GB"/>
              </w:rPr>
            </w:pPr>
            <w:r>
              <w:rPr>
                <w:rFonts w:cs="Arial"/>
                <w:color w:val="000000"/>
                <w:sz w:val="20"/>
                <w:szCs w:val="20"/>
                <w:lang w:val="en-GB"/>
              </w:rPr>
              <w:t>Lima et al</w:t>
            </w:r>
          </w:p>
        </w:tc>
        <w:tc>
          <w:tcPr>
            <w:tcW w:w="723" w:type="dxa"/>
            <w:tcBorders>
              <w:top w:val="single" w:sz="4" w:space="0" w:color="auto"/>
              <w:bottom w:val="single" w:sz="4" w:space="0" w:color="auto"/>
            </w:tcBorders>
            <w:shd w:val="clear" w:color="auto" w:fill="auto"/>
            <w:noWrap/>
            <w:vAlign w:val="center"/>
          </w:tcPr>
          <w:p w14:paraId="50C4BF83" w14:textId="475F5738" w:rsidR="0067211A" w:rsidRPr="002B6D16" w:rsidRDefault="0067211A" w:rsidP="0067211A">
            <w:pPr>
              <w:spacing w:after="0"/>
              <w:jc w:val="center"/>
              <w:rPr>
                <w:sz w:val="20"/>
                <w:lang w:val="en-GB" w:eastAsia="en-GB"/>
              </w:rPr>
            </w:pPr>
            <w:r w:rsidRPr="00A57714">
              <w:rPr>
                <w:rFonts w:cs="Arial"/>
                <w:color w:val="000000"/>
                <w:sz w:val="20"/>
                <w:szCs w:val="20"/>
              </w:rPr>
              <w:t>2003</w:t>
            </w:r>
          </w:p>
        </w:tc>
        <w:tc>
          <w:tcPr>
            <w:tcW w:w="454" w:type="dxa"/>
            <w:tcBorders>
              <w:top w:val="single" w:sz="4" w:space="0" w:color="auto"/>
              <w:bottom w:val="single" w:sz="4" w:space="0" w:color="auto"/>
            </w:tcBorders>
            <w:shd w:val="clear" w:color="auto" w:fill="auto"/>
            <w:noWrap/>
            <w:vAlign w:val="center"/>
          </w:tcPr>
          <w:p w14:paraId="26F3D511" w14:textId="2FA1CBC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341A3CC" w14:textId="6D1328E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835B2E9" w14:textId="1314BB5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F1D5A66" w14:textId="1D641D6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421FF61" w14:textId="24C7AFC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74EFDAF" w14:textId="1BAE950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C670D6C" w14:textId="1398B29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87AC2D2" w14:textId="640844C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7890E347" w14:textId="2C42DA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96C17B2" w14:textId="1BD7CFD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2D60012" w14:textId="414D19D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6CDAEC6" w14:textId="45E5F3F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BB69BB2" w14:textId="21CC81C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77FFD97" w14:textId="3D9A7FB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430627E" w14:textId="6B23391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F3F7768" w14:textId="17B993E0"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3DAD8F67"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67F33AD5" w14:textId="2DE3D044" w:rsidR="0067211A" w:rsidRPr="002B6D16" w:rsidRDefault="0067211A" w:rsidP="0067211A">
            <w:pPr>
              <w:spacing w:after="0"/>
              <w:rPr>
                <w:sz w:val="20"/>
                <w:lang w:val="en-GB" w:eastAsia="en-GB"/>
              </w:rPr>
            </w:pPr>
            <w:r w:rsidRPr="00A57714">
              <w:rPr>
                <w:rFonts w:cs="Arial"/>
                <w:color w:val="000000"/>
                <w:sz w:val="20"/>
                <w:szCs w:val="20"/>
              </w:rPr>
              <w:t>Lin et al</w:t>
            </w:r>
          </w:p>
        </w:tc>
        <w:tc>
          <w:tcPr>
            <w:tcW w:w="723" w:type="dxa"/>
            <w:tcBorders>
              <w:top w:val="single" w:sz="4" w:space="0" w:color="auto"/>
              <w:bottom w:val="single" w:sz="4" w:space="0" w:color="auto"/>
            </w:tcBorders>
            <w:shd w:val="clear" w:color="auto" w:fill="auto"/>
            <w:noWrap/>
            <w:vAlign w:val="center"/>
          </w:tcPr>
          <w:p w14:paraId="7924DB1C" w14:textId="784AB9AE" w:rsidR="0067211A" w:rsidRPr="002B6D16" w:rsidRDefault="0067211A" w:rsidP="0067211A">
            <w:pPr>
              <w:spacing w:after="0"/>
              <w:jc w:val="center"/>
              <w:rPr>
                <w:sz w:val="20"/>
                <w:lang w:val="en-GB" w:eastAsia="en-GB"/>
              </w:rPr>
            </w:pPr>
            <w:r w:rsidRPr="00A57714">
              <w:rPr>
                <w:rFonts w:cs="Arial"/>
                <w:color w:val="000000"/>
                <w:sz w:val="20"/>
                <w:szCs w:val="20"/>
              </w:rPr>
              <w:t>2011</w:t>
            </w:r>
          </w:p>
        </w:tc>
        <w:tc>
          <w:tcPr>
            <w:tcW w:w="454" w:type="dxa"/>
            <w:tcBorders>
              <w:top w:val="single" w:sz="4" w:space="0" w:color="auto"/>
              <w:bottom w:val="single" w:sz="4" w:space="0" w:color="auto"/>
            </w:tcBorders>
            <w:shd w:val="clear" w:color="auto" w:fill="auto"/>
            <w:noWrap/>
            <w:vAlign w:val="center"/>
          </w:tcPr>
          <w:p w14:paraId="15F6CA4B" w14:textId="65C234E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7BB624F" w14:textId="66757DE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AB739FB" w14:textId="446AFE6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2381E63" w14:textId="57AE6AD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DF28B63" w14:textId="5945A78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CDA437B" w14:textId="6037BA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C5BC2D1" w14:textId="5507555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74D8C97" w14:textId="1561F44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5174D54" w14:textId="69E4089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9FE6C80" w14:textId="6C29DA9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095544D" w14:textId="1CB5033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BCFD3BB" w14:textId="67484B5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EFA8AE4" w14:textId="5B7F089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CAF447C" w14:textId="33798DB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1AE34C66" w14:textId="593E0E1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1CF6A891" w14:textId="4689C1FD"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240F875C"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6633C42" w14:textId="0F2982C0" w:rsidR="0067211A" w:rsidRPr="002B6D16" w:rsidRDefault="0067211A" w:rsidP="0067211A">
            <w:pPr>
              <w:spacing w:after="0"/>
              <w:rPr>
                <w:sz w:val="20"/>
                <w:lang w:val="en-GB" w:eastAsia="en-GB"/>
              </w:rPr>
            </w:pPr>
            <w:r w:rsidRPr="00A57714">
              <w:rPr>
                <w:rFonts w:cs="Arial"/>
                <w:color w:val="000000"/>
                <w:sz w:val="20"/>
                <w:szCs w:val="20"/>
              </w:rPr>
              <w:t>Lin et al</w:t>
            </w:r>
          </w:p>
        </w:tc>
        <w:tc>
          <w:tcPr>
            <w:tcW w:w="723" w:type="dxa"/>
            <w:tcBorders>
              <w:top w:val="single" w:sz="4" w:space="0" w:color="auto"/>
              <w:bottom w:val="single" w:sz="4" w:space="0" w:color="auto"/>
            </w:tcBorders>
            <w:shd w:val="clear" w:color="auto" w:fill="auto"/>
            <w:noWrap/>
            <w:vAlign w:val="center"/>
          </w:tcPr>
          <w:p w14:paraId="680B81A5" w14:textId="69DF2449"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1C7996B2" w14:textId="307FEDD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F96F8E3" w14:textId="36D5465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DD70E94" w14:textId="2EF7AE7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E57362F" w14:textId="6EED4D5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C66A91" w14:textId="20BE01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0F2E6B5" w14:textId="344079F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189AA22" w14:textId="28939EF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950C845" w14:textId="424575D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B1FEAD1" w14:textId="7DC5ACD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2800F33" w14:textId="23848CB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5D3BEA5" w14:textId="2F1850B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7456C61" w14:textId="52DDEB8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D5B84B2" w14:textId="26A077F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AFE657D" w14:textId="7527699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7C882CCF" w14:textId="0409BEE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0F2BF2D5" w14:textId="1147EBB0"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99DD07D"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02C88DD2" w14:textId="465A4CFA" w:rsidR="0067211A" w:rsidRPr="002B6D16" w:rsidRDefault="0067211A" w:rsidP="0067211A">
            <w:pPr>
              <w:spacing w:after="0"/>
              <w:rPr>
                <w:sz w:val="20"/>
                <w:lang w:val="en-GB" w:eastAsia="en-GB"/>
              </w:rPr>
            </w:pPr>
            <w:r w:rsidRPr="00A57714">
              <w:rPr>
                <w:rFonts w:cs="Arial"/>
                <w:color w:val="000000"/>
                <w:sz w:val="20"/>
                <w:szCs w:val="20"/>
              </w:rPr>
              <w:t>Ling et al</w:t>
            </w:r>
          </w:p>
        </w:tc>
        <w:tc>
          <w:tcPr>
            <w:tcW w:w="723" w:type="dxa"/>
            <w:tcBorders>
              <w:top w:val="single" w:sz="4" w:space="0" w:color="auto"/>
              <w:bottom w:val="single" w:sz="4" w:space="0" w:color="auto"/>
            </w:tcBorders>
            <w:shd w:val="clear" w:color="auto" w:fill="auto"/>
            <w:noWrap/>
            <w:vAlign w:val="center"/>
          </w:tcPr>
          <w:p w14:paraId="62F56A02" w14:textId="3DB54CD7"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7BF0BBD2" w14:textId="6F51B42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D626A1D" w14:textId="2C7983D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38DBA12" w14:textId="4CC41EE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F280EB9" w14:textId="1AE1920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EC97BF1" w14:textId="5AABECC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2A490E2" w14:textId="10A7B77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E57211D" w14:textId="0D36C91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F9E4EC5" w14:textId="09CC73C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0740B15D" w14:textId="03829AF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7E0EF70" w14:textId="4480EC3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B4E6D6F" w14:textId="20F31A6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AC91BAF" w14:textId="2948B72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037D2D4" w14:textId="65A68BC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89FE915" w14:textId="414C8DB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9BD8AD7" w14:textId="30E538B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7844D7E" w14:textId="0801C11E"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7FF2EDA5"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6540CAD" w14:textId="3C2C3BDF" w:rsidR="0067211A" w:rsidRPr="002B6D16" w:rsidRDefault="0067211A" w:rsidP="0067211A">
            <w:pPr>
              <w:spacing w:after="0"/>
              <w:rPr>
                <w:sz w:val="20"/>
                <w:lang w:val="en-GB" w:eastAsia="en-GB"/>
              </w:rPr>
            </w:pPr>
            <w:r w:rsidRPr="00A57714">
              <w:rPr>
                <w:rFonts w:cs="Arial"/>
                <w:color w:val="000000"/>
                <w:sz w:val="20"/>
                <w:szCs w:val="20"/>
              </w:rPr>
              <w:t>Liptak et al</w:t>
            </w:r>
          </w:p>
        </w:tc>
        <w:tc>
          <w:tcPr>
            <w:tcW w:w="723" w:type="dxa"/>
            <w:tcBorders>
              <w:top w:val="single" w:sz="4" w:space="0" w:color="auto"/>
              <w:bottom w:val="single" w:sz="4" w:space="0" w:color="auto"/>
            </w:tcBorders>
            <w:shd w:val="clear" w:color="auto" w:fill="auto"/>
            <w:noWrap/>
            <w:vAlign w:val="center"/>
          </w:tcPr>
          <w:p w14:paraId="01770458" w14:textId="1ECA99CC" w:rsidR="0067211A" w:rsidRPr="002B6D16" w:rsidRDefault="0067211A" w:rsidP="0067211A">
            <w:pPr>
              <w:spacing w:after="0"/>
              <w:jc w:val="center"/>
              <w:rPr>
                <w:sz w:val="20"/>
                <w:lang w:val="en-GB" w:eastAsia="en-GB"/>
              </w:rPr>
            </w:pPr>
            <w:r w:rsidRPr="00A57714">
              <w:rPr>
                <w:rFonts w:cs="Arial"/>
                <w:color w:val="000000"/>
                <w:sz w:val="20"/>
                <w:szCs w:val="20"/>
              </w:rPr>
              <w:t>2006</w:t>
            </w:r>
          </w:p>
        </w:tc>
        <w:tc>
          <w:tcPr>
            <w:tcW w:w="454" w:type="dxa"/>
            <w:tcBorders>
              <w:top w:val="single" w:sz="4" w:space="0" w:color="auto"/>
              <w:bottom w:val="single" w:sz="4" w:space="0" w:color="auto"/>
            </w:tcBorders>
            <w:shd w:val="clear" w:color="auto" w:fill="auto"/>
            <w:noWrap/>
            <w:vAlign w:val="center"/>
          </w:tcPr>
          <w:p w14:paraId="4DEE5FFC" w14:textId="5D7AD98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CE53358" w14:textId="4CF83FF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FEF9262" w14:textId="6ABB202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4CF8427" w14:textId="27CE4DB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80DC21B" w14:textId="308755F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DC5C0E" w14:textId="52FAD12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10" w:type="dxa"/>
            <w:tcBorders>
              <w:top w:val="single" w:sz="4" w:space="0" w:color="auto"/>
              <w:bottom w:val="single" w:sz="4" w:space="0" w:color="auto"/>
            </w:tcBorders>
            <w:shd w:val="clear" w:color="auto" w:fill="auto"/>
            <w:noWrap/>
            <w:vAlign w:val="center"/>
          </w:tcPr>
          <w:p w14:paraId="7AC43B2E" w14:textId="7B37BEB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51F5975" w14:textId="249CF0C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EB7C030" w14:textId="33CE3BB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A54AD61" w14:textId="09D6B10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D8C4810" w14:textId="0C514A0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9B58840" w14:textId="2592DAF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438AB3C" w14:textId="0DE82F4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D0DE82C" w14:textId="1F6B351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990D5D8" w14:textId="6EE0ECA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4468B4F5" w14:textId="548CE4A4"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401DE5A1"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2593E08F" w14:textId="54C63FDD" w:rsidR="0067211A" w:rsidRPr="002B6D16" w:rsidRDefault="0067211A" w:rsidP="0067211A">
            <w:pPr>
              <w:spacing w:after="0"/>
              <w:rPr>
                <w:sz w:val="20"/>
                <w:lang w:val="en-GB" w:eastAsia="en-GB"/>
              </w:rPr>
            </w:pPr>
            <w:r w:rsidRPr="00A57714">
              <w:rPr>
                <w:rFonts w:cs="Arial"/>
                <w:color w:val="000000"/>
                <w:sz w:val="20"/>
                <w:szCs w:val="20"/>
              </w:rPr>
              <w:t>Lund et al</w:t>
            </w:r>
          </w:p>
        </w:tc>
        <w:tc>
          <w:tcPr>
            <w:tcW w:w="723" w:type="dxa"/>
            <w:tcBorders>
              <w:top w:val="single" w:sz="4" w:space="0" w:color="auto"/>
              <w:bottom w:val="single" w:sz="4" w:space="0" w:color="auto"/>
            </w:tcBorders>
            <w:shd w:val="clear" w:color="auto" w:fill="auto"/>
            <w:noWrap/>
            <w:vAlign w:val="center"/>
          </w:tcPr>
          <w:p w14:paraId="351A8D1D" w14:textId="61D45B19"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56A47018" w14:textId="2AB7B6E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D6D2B65" w14:textId="64F0C08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026CA5C" w14:textId="03175B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B2E1140" w14:textId="32168BC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1589852" w14:textId="25FC9C2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ED853FB" w14:textId="670016C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C1ACE5A" w14:textId="0976C57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B6B2A70" w14:textId="2C82DCD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1947D911" w14:textId="335E35A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45F1480" w14:textId="403D784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EA25C98" w14:textId="113BF42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5C73B37" w14:textId="4411D35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7377A88" w14:textId="7AE53DF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6648D2B" w14:textId="47862D2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A889BB0" w14:textId="017E181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5C98C73" w14:textId="5371EE0D"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36539DCC"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55FF20C3" w14:textId="079AA9D4" w:rsidR="0067211A" w:rsidRPr="002B6D16" w:rsidRDefault="0067211A" w:rsidP="0067211A">
            <w:pPr>
              <w:spacing w:after="0"/>
              <w:rPr>
                <w:sz w:val="20"/>
                <w:lang w:val="en-GB" w:eastAsia="en-GB"/>
              </w:rPr>
            </w:pPr>
            <w:r w:rsidRPr="00A57714">
              <w:rPr>
                <w:rFonts w:cs="Arial"/>
                <w:color w:val="000000"/>
                <w:sz w:val="20"/>
                <w:szCs w:val="20"/>
              </w:rPr>
              <w:t>Lunsky et al</w:t>
            </w:r>
          </w:p>
        </w:tc>
        <w:tc>
          <w:tcPr>
            <w:tcW w:w="723" w:type="dxa"/>
            <w:tcBorders>
              <w:top w:val="single" w:sz="4" w:space="0" w:color="auto"/>
              <w:bottom w:val="single" w:sz="4" w:space="0" w:color="auto"/>
            </w:tcBorders>
            <w:shd w:val="clear" w:color="auto" w:fill="auto"/>
            <w:noWrap/>
            <w:vAlign w:val="center"/>
          </w:tcPr>
          <w:p w14:paraId="3798B96C" w14:textId="12749873" w:rsidR="0067211A" w:rsidRPr="002B6D16" w:rsidRDefault="0067211A" w:rsidP="0067211A">
            <w:pPr>
              <w:spacing w:after="0"/>
              <w:jc w:val="center"/>
              <w:rPr>
                <w:sz w:val="20"/>
                <w:lang w:val="en-GB" w:eastAsia="en-GB"/>
              </w:rPr>
            </w:pPr>
            <w:r w:rsidRPr="00A57714">
              <w:rPr>
                <w:rFonts w:cs="Arial"/>
                <w:color w:val="000000"/>
                <w:sz w:val="20"/>
                <w:szCs w:val="20"/>
              </w:rPr>
              <w:t>2019</w:t>
            </w:r>
          </w:p>
        </w:tc>
        <w:tc>
          <w:tcPr>
            <w:tcW w:w="454" w:type="dxa"/>
            <w:tcBorders>
              <w:top w:val="single" w:sz="4" w:space="0" w:color="auto"/>
              <w:bottom w:val="single" w:sz="4" w:space="0" w:color="auto"/>
            </w:tcBorders>
            <w:shd w:val="clear" w:color="auto" w:fill="auto"/>
            <w:noWrap/>
            <w:vAlign w:val="center"/>
          </w:tcPr>
          <w:p w14:paraId="790E433E" w14:textId="1E0935B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33687A7" w14:textId="625E815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DFEDB52" w14:textId="5E9430C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530C7D5" w14:textId="76213F0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B6F178F" w14:textId="747ADFF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FE7B957" w14:textId="28EF792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7BE2A21" w14:textId="06068B7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56300A4" w14:textId="4421B2C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021C6674" w14:textId="5BD3F52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6931F93" w14:textId="6D718F5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52EFD0F" w14:textId="3896090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6AEEAD7" w14:textId="6EE613F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F73EB08" w14:textId="0B988ED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D0C8333" w14:textId="76ACE39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4120794" w14:textId="61A3D9A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2B9A09E" w14:textId="24D12C3B"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7D86EAFE"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40D97121" w14:textId="51397883" w:rsidR="0067211A" w:rsidRPr="002B6D16" w:rsidRDefault="0067211A" w:rsidP="0067211A">
            <w:pPr>
              <w:spacing w:after="0"/>
              <w:rPr>
                <w:sz w:val="20"/>
                <w:lang w:val="en-GB" w:eastAsia="en-GB"/>
              </w:rPr>
            </w:pPr>
            <w:r w:rsidRPr="00A57714">
              <w:rPr>
                <w:rFonts w:cs="Arial"/>
                <w:color w:val="000000"/>
                <w:sz w:val="20"/>
                <w:szCs w:val="20"/>
              </w:rPr>
              <w:t>Maercker et al</w:t>
            </w:r>
          </w:p>
        </w:tc>
        <w:tc>
          <w:tcPr>
            <w:tcW w:w="723" w:type="dxa"/>
            <w:tcBorders>
              <w:top w:val="single" w:sz="4" w:space="0" w:color="auto"/>
              <w:bottom w:val="single" w:sz="4" w:space="0" w:color="auto"/>
            </w:tcBorders>
            <w:shd w:val="clear" w:color="auto" w:fill="auto"/>
            <w:noWrap/>
            <w:vAlign w:val="center"/>
          </w:tcPr>
          <w:p w14:paraId="70D5C68B" w14:textId="65A53890"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542EAE3E" w14:textId="0E77D6D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DDF6228" w14:textId="267A9B0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DC56602" w14:textId="48992A1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8E72D86" w14:textId="36F16F9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7CA3C82" w14:textId="675260D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47FFE00" w14:textId="5E59533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D40175E" w14:textId="23DB748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ECD7B65" w14:textId="3511197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4C038A1D" w14:textId="6C0A77D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ED64BC2" w14:textId="68A55BB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E25276B" w14:textId="2ABD1E4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2661AD3" w14:textId="343F619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21FDA29" w14:textId="7E90730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6B0111A3" w14:textId="0699360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30E83A4" w14:textId="3EBA487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EDCF3EE" w14:textId="06F0715C"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3430EEDD" w14:textId="77777777" w:rsidTr="0092210A">
        <w:trPr>
          <w:trHeight w:val="255"/>
        </w:trPr>
        <w:tc>
          <w:tcPr>
            <w:tcW w:w="2154" w:type="dxa"/>
            <w:tcBorders>
              <w:top w:val="single" w:sz="4" w:space="0" w:color="auto"/>
              <w:left w:val="single" w:sz="4" w:space="0" w:color="auto"/>
              <w:bottom w:val="single" w:sz="4" w:space="0" w:color="auto"/>
            </w:tcBorders>
            <w:shd w:val="clear" w:color="auto" w:fill="auto"/>
            <w:noWrap/>
            <w:vAlign w:val="center"/>
          </w:tcPr>
          <w:p w14:paraId="3BF20417" w14:textId="4C7A3282" w:rsidR="0067211A" w:rsidRPr="002B6D16" w:rsidRDefault="0067211A" w:rsidP="0067211A">
            <w:pPr>
              <w:spacing w:after="0"/>
              <w:rPr>
                <w:sz w:val="20"/>
                <w:lang w:val="en-GB" w:eastAsia="en-GB"/>
              </w:rPr>
            </w:pPr>
            <w:r w:rsidRPr="00A57714">
              <w:rPr>
                <w:rFonts w:cs="Arial"/>
                <w:color w:val="000000"/>
                <w:sz w:val="20"/>
                <w:szCs w:val="20"/>
              </w:rPr>
              <w:t>Mangalore &amp; Knapp</w:t>
            </w:r>
          </w:p>
        </w:tc>
        <w:tc>
          <w:tcPr>
            <w:tcW w:w="723" w:type="dxa"/>
            <w:tcBorders>
              <w:top w:val="single" w:sz="4" w:space="0" w:color="auto"/>
              <w:bottom w:val="single" w:sz="4" w:space="0" w:color="auto"/>
            </w:tcBorders>
            <w:shd w:val="clear" w:color="auto" w:fill="auto"/>
            <w:noWrap/>
            <w:vAlign w:val="center"/>
          </w:tcPr>
          <w:p w14:paraId="4E93BCE6" w14:textId="064B6695" w:rsidR="0067211A" w:rsidRPr="002B6D16" w:rsidRDefault="0067211A" w:rsidP="0067211A">
            <w:pPr>
              <w:spacing w:after="0"/>
              <w:jc w:val="center"/>
              <w:rPr>
                <w:sz w:val="20"/>
                <w:lang w:val="en-GB" w:eastAsia="en-GB"/>
              </w:rPr>
            </w:pPr>
            <w:r w:rsidRPr="00A57714">
              <w:rPr>
                <w:rFonts w:cs="Arial"/>
                <w:color w:val="000000"/>
                <w:sz w:val="20"/>
                <w:szCs w:val="20"/>
              </w:rPr>
              <w:t>2007</w:t>
            </w:r>
          </w:p>
        </w:tc>
        <w:tc>
          <w:tcPr>
            <w:tcW w:w="454" w:type="dxa"/>
            <w:tcBorders>
              <w:top w:val="single" w:sz="4" w:space="0" w:color="auto"/>
              <w:bottom w:val="single" w:sz="4" w:space="0" w:color="auto"/>
            </w:tcBorders>
            <w:shd w:val="clear" w:color="auto" w:fill="auto"/>
            <w:noWrap/>
            <w:vAlign w:val="center"/>
          </w:tcPr>
          <w:p w14:paraId="14C29587" w14:textId="15AB1A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7EF2AF2" w14:textId="601AE4F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D4F43A7" w14:textId="02CE97C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4E35148" w14:textId="4AA22C3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FB21B7B" w14:textId="4A86781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ED54633" w14:textId="23BB14B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6F310EF" w14:textId="5B16164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5DD64C9" w14:textId="7960A5C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09704332" w14:textId="0BC4F89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2CE9647" w14:textId="1E82B51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A67F5B7" w14:textId="176B131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14A31BE" w14:textId="01C764D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6630BB5" w14:textId="59747B0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0C4F5BF" w14:textId="649F823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F1475CF" w14:textId="5654942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EF83C60" w14:textId="685CD592"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302676C5"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44872C5" w14:textId="5E8D28A3" w:rsidR="0067211A" w:rsidRPr="002B6D16" w:rsidRDefault="0067211A" w:rsidP="0067211A">
            <w:pPr>
              <w:spacing w:after="0"/>
              <w:rPr>
                <w:sz w:val="20"/>
                <w:lang w:val="en-GB" w:eastAsia="en-GB"/>
              </w:rPr>
            </w:pPr>
            <w:r w:rsidRPr="00A57714">
              <w:rPr>
                <w:rFonts w:cs="Arial"/>
                <w:color w:val="000000"/>
                <w:sz w:val="20"/>
                <w:szCs w:val="20"/>
              </w:rPr>
              <w:t>Manthey et al</w:t>
            </w:r>
          </w:p>
        </w:tc>
        <w:tc>
          <w:tcPr>
            <w:tcW w:w="723" w:type="dxa"/>
            <w:tcBorders>
              <w:top w:val="single" w:sz="4" w:space="0" w:color="auto"/>
              <w:bottom w:val="single" w:sz="4" w:space="0" w:color="auto"/>
            </w:tcBorders>
            <w:shd w:val="clear" w:color="auto" w:fill="auto"/>
            <w:noWrap/>
            <w:vAlign w:val="center"/>
          </w:tcPr>
          <w:p w14:paraId="7A67CB47" w14:textId="0DC943EE" w:rsidR="0067211A" w:rsidRPr="002B6D16" w:rsidRDefault="0067211A" w:rsidP="0067211A">
            <w:pPr>
              <w:spacing w:after="0"/>
              <w:jc w:val="center"/>
              <w:rPr>
                <w:sz w:val="20"/>
                <w:lang w:val="en-GB" w:eastAsia="en-GB"/>
              </w:rPr>
            </w:pPr>
            <w:r w:rsidRPr="00A57714">
              <w:rPr>
                <w:rFonts w:cs="Arial"/>
                <w:color w:val="000000"/>
                <w:sz w:val="20"/>
                <w:szCs w:val="20"/>
              </w:rPr>
              <w:t>2016</w:t>
            </w:r>
          </w:p>
        </w:tc>
        <w:tc>
          <w:tcPr>
            <w:tcW w:w="454" w:type="dxa"/>
            <w:tcBorders>
              <w:top w:val="single" w:sz="4" w:space="0" w:color="auto"/>
              <w:bottom w:val="single" w:sz="4" w:space="0" w:color="auto"/>
            </w:tcBorders>
            <w:shd w:val="clear" w:color="auto" w:fill="auto"/>
            <w:noWrap/>
            <w:vAlign w:val="center"/>
          </w:tcPr>
          <w:p w14:paraId="7AEE4937" w14:textId="7D3FBE3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7BCEE0" w14:textId="11719CD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2BC1FA6" w14:textId="4E9A17E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616E698" w14:textId="0893DD2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7990D0B" w14:textId="2B98BC2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59635D5" w14:textId="1D77C00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E9BE493" w14:textId="160D759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D9CBE15" w14:textId="1D645D6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1350E03" w14:textId="2E5EDE9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B674F99" w14:textId="088E92A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5657780" w14:textId="609D39A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0A637F3" w14:textId="0AB8C65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3BD45EF" w14:textId="6D9D737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F30C7CD" w14:textId="4C64364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D6DE57B" w14:textId="3B82767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C0969A4" w14:textId="2F39FC34"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3621E478"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4EA73443" w14:textId="43C31CF0" w:rsidR="0067211A" w:rsidRPr="002B6D16" w:rsidRDefault="0067211A" w:rsidP="0067211A">
            <w:pPr>
              <w:spacing w:after="0"/>
              <w:rPr>
                <w:sz w:val="20"/>
                <w:lang w:val="en-GB" w:eastAsia="en-GB"/>
              </w:rPr>
            </w:pPr>
            <w:r w:rsidRPr="00A57714">
              <w:rPr>
                <w:rFonts w:cs="Arial"/>
                <w:color w:val="000000"/>
                <w:sz w:val="20"/>
                <w:szCs w:val="20"/>
              </w:rPr>
              <w:t>Mark et al</w:t>
            </w:r>
          </w:p>
        </w:tc>
        <w:tc>
          <w:tcPr>
            <w:tcW w:w="723" w:type="dxa"/>
            <w:tcBorders>
              <w:top w:val="single" w:sz="4" w:space="0" w:color="auto"/>
              <w:bottom w:val="single" w:sz="4" w:space="0" w:color="auto"/>
            </w:tcBorders>
            <w:shd w:val="clear" w:color="auto" w:fill="auto"/>
            <w:noWrap/>
            <w:vAlign w:val="center"/>
          </w:tcPr>
          <w:p w14:paraId="7F8CE03A" w14:textId="57BB7C2F" w:rsidR="0067211A" w:rsidRPr="002B6D16" w:rsidRDefault="0067211A" w:rsidP="0067211A">
            <w:pPr>
              <w:spacing w:after="0"/>
              <w:jc w:val="center"/>
              <w:rPr>
                <w:sz w:val="20"/>
                <w:lang w:val="en-GB" w:eastAsia="en-GB"/>
              </w:rPr>
            </w:pPr>
            <w:r w:rsidRPr="00A57714">
              <w:rPr>
                <w:rFonts w:cs="Arial"/>
                <w:color w:val="000000"/>
                <w:sz w:val="20"/>
                <w:szCs w:val="20"/>
              </w:rPr>
              <w:t>2000</w:t>
            </w:r>
          </w:p>
        </w:tc>
        <w:tc>
          <w:tcPr>
            <w:tcW w:w="454" w:type="dxa"/>
            <w:tcBorders>
              <w:top w:val="single" w:sz="4" w:space="0" w:color="auto"/>
              <w:bottom w:val="single" w:sz="4" w:space="0" w:color="auto"/>
            </w:tcBorders>
            <w:shd w:val="clear" w:color="auto" w:fill="auto"/>
            <w:noWrap/>
            <w:vAlign w:val="center"/>
          </w:tcPr>
          <w:p w14:paraId="5A8314DE" w14:textId="4E9806A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1C475F7" w14:textId="3943AD2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8EE8576" w14:textId="74576AE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182B5BE" w14:textId="58AC9AF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E830480" w14:textId="70C21CE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3509178" w14:textId="61DB603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4E982CF" w14:textId="38082FD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D4C0D5A" w14:textId="2D1F6A7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59A8FA7A" w14:textId="29438B7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29E10C8" w14:textId="1F4AAF0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4F6A92A" w14:textId="0F293BA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5C4884C" w14:textId="3BE1E0D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FADB5DC" w14:textId="637B5EE9" w:rsidR="0067211A" w:rsidRPr="002B6D16" w:rsidRDefault="0067211A" w:rsidP="0067211A">
            <w:pPr>
              <w:spacing w:after="0"/>
              <w:jc w:val="center"/>
              <w:rPr>
                <w:sz w:val="20"/>
                <w:lang w:val="en-GB" w:eastAsia="en-GB"/>
              </w:rPr>
            </w:pPr>
            <w:r w:rsidRPr="006E572C">
              <w:rPr>
                <w:rFonts w:cs="Arial"/>
                <w:color w:val="9C6500"/>
                <w:sz w:val="20"/>
                <w:szCs w:val="20"/>
              </w:rPr>
              <w:t>1</w:t>
            </w:r>
          </w:p>
        </w:tc>
        <w:tc>
          <w:tcPr>
            <w:tcW w:w="550" w:type="dxa"/>
            <w:tcBorders>
              <w:top w:val="single" w:sz="4" w:space="0" w:color="auto"/>
              <w:bottom w:val="single" w:sz="4" w:space="0" w:color="auto"/>
            </w:tcBorders>
            <w:shd w:val="clear" w:color="auto" w:fill="auto"/>
            <w:noWrap/>
            <w:vAlign w:val="center"/>
          </w:tcPr>
          <w:p w14:paraId="66268220" w14:textId="0EF5037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6E5AF138" w14:textId="68919DA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31E4EB41" w14:textId="58620769"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605CE29A"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4D46B0DA" w14:textId="2C306A12" w:rsidR="0067211A" w:rsidRPr="002B6D16" w:rsidRDefault="0067211A" w:rsidP="0067211A">
            <w:pPr>
              <w:spacing w:after="0"/>
              <w:rPr>
                <w:sz w:val="20"/>
                <w:lang w:val="en-GB" w:eastAsia="en-GB"/>
              </w:rPr>
            </w:pPr>
            <w:r w:rsidRPr="00A57714">
              <w:rPr>
                <w:rFonts w:cs="Arial"/>
                <w:color w:val="000000"/>
                <w:sz w:val="20"/>
                <w:szCs w:val="20"/>
              </w:rPr>
              <w:t>Masís et al</w:t>
            </w:r>
          </w:p>
        </w:tc>
        <w:tc>
          <w:tcPr>
            <w:tcW w:w="723" w:type="dxa"/>
            <w:tcBorders>
              <w:top w:val="single" w:sz="4" w:space="0" w:color="auto"/>
              <w:bottom w:val="single" w:sz="4" w:space="0" w:color="auto"/>
            </w:tcBorders>
            <w:shd w:val="clear" w:color="auto" w:fill="auto"/>
            <w:noWrap/>
            <w:vAlign w:val="center"/>
          </w:tcPr>
          <w:p w14:paraId="2BFB6C32" w14:textId="5CACA1CA" w:rsidR="0067211A" w:rsidRPr="002B6D16" w:rsidRDefault="0067211A" w:rsidP="0067211A">
            <w:pPr>
              <w:spacing w:after="0"/>
              <w:jc w:val="center"/>
              <w:rPr>
                <w:sz w:val="20"/>
                <w:lang w:val="en-GB" w:eastAsia="en-GB"/>
              </w:rPr>
            </w:pPr>
            <w:r w:rsidRPr="00A57714">
              <w:rPr>
                <w:rFonts w:cs="Arial"/>
                <w:color w:val="000000"/>
                <w:sz w:val="20"/>
                <w:szCs w:val="20"/>
              </w:rPr>
              <w:t>2010</w:t>
            </w:r>
          </w:p>
        </w:tc>
        <w:tc>
          <w:tcPr>
            <w:tcW w:w="454" w:type="dxa"/>
            <w:tcBorders>
              <w:top w:val="single" w:sz="4" w:space="0" w:color="auto"/>
              <w:bottom w:val="single" w:sz="4" w:space="0" w:color="auto"/>
            </w:tcBorders>
            <w:shd w:val="clear" w:color="auto" w:fill="auto"/>
            <w:noWrap/>
            <w:vAlign w:val="center"/>
          </w:tcPr>
          <w:p w14:paraId="67727B33" w14:textId="65C79CF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DED46D8" w14:textId="35DDC71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2C394DB" w14:textId="182B6D8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4323482" w14:textId="5515F2B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5151361" w14:textId="460E31E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4954AE8" w14:textId="299E0ED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E675183" w14:textId="2FAC1B5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CAF0761" w14:textId="78A256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1BAC039" w14:textId="06D616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46D1615" w14:textId="5E20715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7F5197E" w14:textId="1DA8D32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0DFC5E6" w14:textId="70B929A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3B7DB33" w14:textId="0A7FC52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F611AC6" w14:textId="62BA7EB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B4D29AC" w14:textId="279B483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6A447C2E" w14:textId="32060667"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57ED6A79"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666E0B61" w14:textId="78320566" w:rsidR="0067211A" w:rsidRPr="002B6D16" w:rsidRDefault="0067211A" w:rsidP="0067211A">
            <w:pPr>
              <w:spacing w:after="0"/>
              <w:rPr>
                <w:sz w:val="20"/>
                <w:lang w:val="en-GB" w:eastAsia="en-GB"/>
              </w:rPr>
            </w:pPr>
            <w:r w:rsidRPr="00A57714">
              <w:rPr>
                <w:rFonts w:cs="Arial"/>
                <w:color w:val="000000"/>
                <w:sz w:val="20"/>
                <w:szCs w:val="20"/>
              </w:rPr>
              <w:t>Mennini et al</w:t>
            </w:r>
          </w:p>
        </w:tc>
        <w:tc>
          <w:tcPr>
            <w:tcW w:w="723" w:type="dxa"/>
            <w:tcBorders>
              <w:top w:val="single" w:sz="4" w:space="0" w:color="auto"/>
              <w:bottom w:val="single" w:sz="4" w:space="0" w:color="auto"/>
            </w:tcBorders>
            <w:shd w:val="clear" w:color="auto" w:fill="auto"/>
            <w:noWrap/>
            <w:vAlign w:val="center"/>
          </w:tcPr>
          <w:p w14:paraId="26B7757C" w14:textId="36399EC4" w:rsidR="0067211A" w:rsidRPr="002B6D16" w:rsidRDefault="0067211A" w:rsidP="0067211A">
            <w:pPr>
              <w:spacing w:after="0"/>
              <w:jc w:val="center"/>
              <w:rPr>
                <w:sz w:val="20"/>
                <w:lang w:val="en-GB" w:eastAsia="en-GB"/>
              </w:rPr>
            </w:pPr>
            <w:r w:rsidRPr="00A57714">
              <w:rPr>
                <w:rFonts w:cs="Arial"/>
                <w:color w:val="000000"/>
                <w:sz w:val="20"/>
                <w:szCs w:val="20"/>
              </w:rPr>
              <w:t>2014</w:t>
            </w:r>
          </w:p>
        </w:tc>
        <w:tc>
          <w:tcPr>
            <w:tcW w:w="454" w:type="dxa"/>
            <w:tcBorders>
              <w:top w:val="single" w:sz="4" w:space="0" w:color="auto"/>
              <w:bottom w:val="single" w:sz="4" w:space="0" w:color="auto"/>
            </w:tcBorders>
            <w:shd w:val="clear" w:color="auto" w:fill="auto"/>
            <w:noWrap/>
            <w:vAlign w:val="center"/>
          </w:tcPr>
          <w:p w14:paraId="6722E971" w14:textId="5B8C880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1627442" w14:textId="394BC25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912EA81" w14:textId="2A6C8F1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5BB5198" w14:textId="21B9C09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E362270" w14:textId="6E1D4D6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DD403F1" w14:textId="752F09E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9A82BEA" w14:textId="289C10FA"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3A9710C" w14:textId="06441ED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0662A651" w14:textId="7E60C82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1931372" w14:textId="61EC093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25DC1B9" w14:textId="3729621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1DDB0B8" w14:textId="49A5A6A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0D16CDE" w14:textId="72F8719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5D4A5B63" w14:textId="402AD53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08A0BD89" w14:textId="4643A3A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1993D8B6" w14:textId="472F2F2F" w:rsidR="0067211A" w:rsidRPr="002B6D16" w:rsidRDefault="0067211A" w:rsidP="0067211A">
            <w:pPr>
              <w:spacing w:after="0"/>
              <w:jc w:val="center"/>
              <w:rPr>
                <w:sz w:val="20"/>
                <w:lang w:val="en-GB" w:eastAsia="en-GB"/>
              </w:rPr>
            </w:pPr>
            <w:r w:rsidRPr="00A57714">
              <w:rPr>
                <w:rFonts w:cs="Arial"/>
                <w:color w:val="000000"/>
                <w:sz w:val="20"/>
                <w:szCs w:val="20"/>
              </w:rPr>
              <w:t>4</w:t>
            </w:r>
          </w:p>
        </w:tc>
      </w:tr>
      <w:tr w:rsidR="0067211A" w:rsidRPr="002B6D16" w14:paraId="2493B26D"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4A1A922D" w14:textId="7A0FB211" w:rsidR="0067211A" w:rsidRPr="002B6D16" w:rsidRDefault="0067211A" w:rsidP="0067211A">
            <w:pPr>
              <w:spacing w:after="0"/>
              <w:rPr>
                <w:sz w:val="20"/>
                <w:lang w:val="en-GB" w:eastAsia="en-GB"/>
              </w:rPr>
            </w:pPr>
            <w:r w:rsidRPr="00A57714">
              <w:rPr>
                <w:rFonts w:cs="Arial"/>
                <w:color w:val="000000"/>
                <w:sz w:val="20"/>
                <w:szCs w:val="20"/>
                <w:lang w:val="en-GB"/>
              </w:rPr>
              <w:t>Moreno</w:t>
            </w:r>
            <w:r>
              <w:rPr>
                <w:rFonts w:cs="Arial"/>
                <w:color w:val="000000"/>
                <w:sz w:val="20"/>
                <w:szCs w:val="20"/>
                <w:lang w:val="en-GB"/>
              </w:rPr>
              <w:t xml:space="preserve"> et al</w:t>
            </w:r>
          </w:p>
        </w:tc>
        <w:tc>
          <w:tcPr>
            <w:tcW w:w="723" w:type="dxa"/>
            <w:tcBorders>
              <w:top w:val="single" w:sz="4" w:space="0" w:color="auto"/>
              <w:bottom w:val="single" w:sz="4" w:space="0" w:color="auto"/>
            </w:tcBorders>
            <w:shd w:val="clear" w:color="auto" w:fill="auto"/>
            <w:noWrap/>
            <w:vAlign w:val="center"/>
          </w:tcPr>
          <w:p w14:paraId="7866A99A" w14:textId="03664E62" w:rsidR="0067211A" w:rsidRPr="002B6D16" w:rsidRDefault="0067211A" w:rsidP="0067211A">
            <w:pPr>
              <w:spacing w:after="0"/>
              <w:jc w:val="center"/>
              <w:rPr>
                <w:sz w:val="20"/>
                <w:lang w:val="en-GB" w:eastAsia="en-GB"/>
              </w:rPr>
            </w:pPr>
            <w:r w:rsidRPr="00A57714">
              <w:rPr>
                <w:rFonts w:cs="Arial"/>
                <w:color w:val="000000"/>
                <w:sz w:val="20"/>
                <w:szCs w:val="20"/>
              </w:rPr>
              <w:t>2006</w:t>
            </w:r>
          </w:p>
        </w:tc>
        <w:tc>
          <w:tcPr>
            <w:tcW w:w="454" w:type="dxa"/>
            <w:tcBorders>
              <w:top w:val="single" w:sz="4" w:space="0" w:color="auto"/>
              <w:bottom w:val="single" w:sz="4" w:space="0" w:color="auto"/>
            </w:tcBorders>
            <w:shd w:val="clear" w:color="auto" w:fill="auto"/>
            <w:noWrap/>
            <w:vAlign w:val="center"/>
          </w:tcPr>
          <w:p w14:paraId="1585704F" w14:textId="06D9BC9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B3247D0" w14:textId="6A251F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F9CA7C" w14:textId="2D44127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3D9BB4F" w14:textId="2784328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2F38B62" w14:textId="1592FE5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4370597" w14:textId="4335452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DDE6DA2" w14:textId="6DA9A27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920E2C0" w14:textId="1FCA476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5DA7C62D" w14:textId="2E233A9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86A91CE" w14:textId="188AFDA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B683D0F" w14:textId="2731F13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8FB759D" w14:textId="41FFCD5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1DBE9F8" w14:textId="0D75F80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3CAB9215" w14:textId="01B7C69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D0FF1F1" w14:textId="024B016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07C17AE1" w14:textId="58601B99"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09DCA6AA"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130CB46" w14:textId="6A4446E1" w:rsidR="0067211A" w:rsidRPr="002B6D16" w:rsidRDefault="0067211A" w:rsidP="0067211A">
            <w:pPr>
              <w:spacing w:after="0"/>
              <w:rPr>
                <w:sz w:val="20"/>
                <w:lang w:val="en-GB" w:eastAsia="en-GB"/>
              </w:rPr>
            </w:pPr>
            <w:r w:rsidRPr="00A57714">
              <w:rPr>
                <w:rFonts w:cs="Arial"/>
                <w:color w:val="000000"/>
                <w:sz w:val="20"/>
                <w:szCs w:val="20"/>
              </w:rPr>
              <w:t>Nakamura &amp; Takano</w:t>
            </w:r>
          </w:p>
        </w:tc>
        <w:tc>
          <w:tcPr>
            <w:tcW w:w="723" w:type="dxa"/>
            <w:tcBorders>
              <w:top w:val="single" w:sz="4" w:space="0" w:color="auto"/>
              <w:bottom w:val="single" w:sz="4" w:space="0" w:color="auto"/>
            </w:tcBorders>
            <w:shd w:val="clear" w:color="auto" w:fill="auto"/>
            <w:noWrap/>
            <w:vAlign w:val="center"/>
          </w:tcPr>
          <w:p w14:paraId="57F327CD" w14:textId="6D6A0D1A" w:rsidR="0067211A" w:rsidRPr="002B6D16" w:rsidRDefault="0067211A" w:rsidP="0067211A">
            <w:pPr>
              <w:spacing w:after="0"/>
              <w:jc w:val="center"/>
              <w:rPr>
                <w:sz w:val="20"/>
                <w:lang w:val="en-GB" w:eastAsia="en-GB"/>
              </w:rPr>
            </w:pPr>
            <w:r w:rsidRPr="00A57714">
              <w:rPr>
                <w:rFonts w:cs="Arial"/>
                <w:color w:val="000000"/>
                <w:sz w:val="20"/>
                <w:szCs w:val="20"/>
              </w:rPr>
              <w:t>1993</w:t>
            </w:r>
          </w:p>
        </w:tc>
        <w:tc>
          <w:tcPr>
            <w:tcW w:w="454" w:type="dxa"/>
            <w:tcBorders>
              <w:top w:val="single" w:sz="4" w:space="0" w:color="auto"/>
              <w:bottom w:val="single" w:sz="4" w:space="0" w:color="auto"/>
            </w:tcBorders>
            <w:shd w:val="clear" w:color="auto" w:fill="auto"/>
            <w:noWrap/>
            <w:vAlign w:val="center"/>
          </w:tcPr>
          <w:p w14:paraId="264AC87A" w14:textId="1885A20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DF9C478" w14:textId="59A5722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1F2E266" w14:textId="3B19484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DE41C60" w14:textId="53F71DF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32166FE" w14:textId="4A4579D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378E920" w14:textId="665F7F7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0945C12" w14:textId="78AA2D6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69D0A83" w14:textId="339CD09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41A9139D" w14:textId="21F9FFC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E624794" w14:textId="0ED72CF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B60AE90" w14:textId="6FE5FE1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715B42F" w14:textId="65518ED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6AE623E" w14:textId="04E0FFC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AFB9F0B" w14:textId="46C262C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2113D83" w14:textId="2A54E13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4A71C699" w14:textId="15188F75"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7372A4EB"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70F27B61" w14:textId="391927CC" w:rsidR="0067211A" w:rsidRPr="002B6D16" w:rsidRDefault="0067211A" w:rsidP="0067211A">
            <w:pPr>
              <w:spacing w:after="0"/>
              <w:rPr>
                <w:sz w:val="20"/>
                <w:lang w:val="en-GB" w:eastAsia="en-GB"/>
              </w:rPr>
            </w:pPr>
            <w:r w:rsidRPr="00A57714">
              <w:rPr>
                <w:rFonts w:cs="Arial"/>
                <w:color w:val="000000"/>
                <w:sz w:val="20"/>
                <w:szCs w:val="20"/>
              </w:rPr>
              <w:t>Neil et al</w:t>
            </w:r>
          </w:p>
        </w:tc>
        <w:tc>
          <w:tcPr>
            <w:tcW w:w="723" w:type="dxa"/>
            <w:tcBorders>
              <w:top w:val="single" w:sz="4" w:space="0" w:color="auto"/>
              <w:bottom w:val="single" w:sz="4" w:space="0" w:color="auto"/>
            </w:tcBorders>
            <w:shd w:val="clear" w:color="auto" w:fill="auto"/>
            <w:noWrap/>
            <w:vAlign w:val="center"/>
          </w:tcPr>
          <w:p w14:paraId="21743E36" w14:textId="28E49A8E" w:rsidR="0067211A" w:rsidRPr="002B6D16" w:rsidRDefault="0067211A" w:rsidP="0067211A">
            <w:pPr>
              <w:spacing w:after="0"/>
              <w:jc w:val="center"/>
              <w:rPr>
                <w:sz w:val="20"/>
                <w:lang w:val="en-GB" w:eastAsia="en-GB"/>
              </w:rPr>
            </w:pPr>
            <w:r w:rsidRPr="00A57714">
              <w:rPr>
                <w:rFonts w:cs="Arial"/>
                <w:color w:val="000000"/>
                <w:sz w:val="20"/>
                <w:szCs w:val="20"/>
              </w:rPr>
              <w:t>2014</w:t>
            </w:r>
          </w:p>
        </w:tc>
        <w:tc>
          <w:tcPr>
            <w:tcW w:w="454" w:type="dxa"/>
            <w:tcBorders>
              <w:top w:val="single" w:sz="4" w:space="0" w:color="auto"/>
              <w:bottom w:val="single" w:sz="4" w:space="0" w:color="auto"/>
            </w:tcBorders>
            <w:shd w:val="clear" w:color="auto" w:fill="auto"/>
            <w:noWrap/>
            <w:vAlign w:val="center"/>
          </w:tcPr>
          <w:p w14:paraId="03836EC5" w14:textId="650A15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43D242D" w14:textId="4ED74B6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8A1BD6C" w14:textId="3475600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FECA15E" w14:textId="15F2A9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3F7516B" w14:textId="195187C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1FB272D" w14:textId="67D3BC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B1AB0C1" w14:textId="4101014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9FBB9ED" w14:textId="5E9B44A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9187C75" w14:textId="05A5B38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B6B79A7" w14:textId="40E51B5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527041C" w14:textId="30575FA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4D59D89" w14:textId="22FE661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20951CF" w14:textId="149F259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A943F27" w14:textId="38721C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447838D" w14:textId="0CC0E8E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68E7D89" w14:textId="10E194E1"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7196DAF7"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102DB566" w14:textId="179A2DF4" w:rsidR="0067211A" w:rsidRPr="002B6D16" w:rsidRDefault="0067211A" w:rsidP="0067211A">
            <w:pPr>
              <w:spacing w:after="0"/>
              <w:rPr>
                <w:sz w:val="20"/>
                <w:lang w:val="en-GB" w:eastAsia="en-GB"/>
              </w:rPr>
            </w:pPr>
            <w:r w:rsidRPr="00A57714">
              <w:rPr>
                <w:rFonts w:cs="Arial"/>
                <w:color w:val="000000"/>
                <w:sz w:val="20"/>
                <w:szCs w:val="20"/>
              </w:rPr>
              <w:t>Okumura &amp; Higuchi</w:t>
            </w:r>
          </w:p>
        </w:tc>
        <w:tc>
          <w:tcPr>
            <w:tcW w:w="723" w:type="dxa"/>
            <w:tcBorders>
              <w:top w:val="single" w:sz="4" w:space="0" w:color="auto"/>
              <w:bottom w:val="single" w:sz="4" w:space="0" w:color="auto"/>
            </w:tcBorders>
            <w:shd w:val="clear" w:color="auto" w:fill="auto"/>
            <w:noWrap/>
            <w:vAlign w:val="center"/>
          </w:tcPr>
          <w:p w14:paraId="4494BE6E" w14:textId="7DDBD18F" w:rsidR="0067211A" w:rsidRPr="002B6D16" w:rsidRDefault="0067211A" w:rsidP="0067211A">
            <w:pPr>
              <w:spacing w:after="0"/>
              <w:jc w:val="center"/>
              <w:rPr>
                <w:sz w:val="20"/>
                <w:lang w:val="en-GB" w:eastAsia="en-GB"/>
              </w:rPr>
            </w:pPr>
            <w:r w:rsidRPr="00A57714">
              <w:rPr>
                <w:rFonts w:cs="Arial"/>
                <w:color w:val="000000"/>
                <w:sz w:val="20"/>
                <w:szCs w:val="20"/>
              </w:rPr>
              <w:t>2011</w:t>
            </w:r>
          </w:p>
        </w:tc>
        <w:tc>
          <w:tcPr>
            <w:tcW w:w="454" w:type="dxa"/>
            <w:tcBorders>
              <w:top w:val="single" w:sz="4" w:space="0" w:color="auto"/>
              <w:bottom w:val="single" w:sz="4" w:space="0" w:color="auto"/>
            </w:tcBorders>
            <w:shd w:val="clear" w:color="auto" w:fill="auto"/>
            <w:noWrap/>
            <w:vAlign w:val="center"/>
          </w:tcPr>
          <w:p w14:paraId="195A5A87" w14:textId="750367A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A4FBB58" w14:textId="1EACC36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FD2F1B1" w14:textId="64D0BD0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A8EDB27" w14:textId="36F180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57A6ECA" w14:textId="69E9F37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4F90C87" w14:textId="4F2DA06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1628C61" w14:textId="24705608"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6CB0504F" w14:textId="04A141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4305D645" w14:textId="396D02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1F9DA60" w14:textId="25F9DAA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93B6F63" w14:textId="7D45419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82D12FC" w14:textId="64F2BF7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43E4EA5" w14:textId="4FA7D7E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55C0EF3" w14:textId="7513729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7B62F43" w14:textId="061F0B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33FCC8B" w14:textId="6F25C8ED"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6E9A60AE"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435B3A47" w14:textId="18F0F64E" w:rsidR="0067211A" w:rsidRPr="002B6D16" w:rsidRDefault="0067211A" w:rsidP="0067211A">
            <w:pPr>
              <w:spacing w:after="0"/>
              <w:rPr>
                <w:sz w:val="20"/>
                <w:lang w:val="en-GB" w:eastAsia="en-GB"/>
              </w:rPr>
            </w:pPr>
            <w:r w:rsidRPr="00A57714">
              <w:rPr>
                <w:rFonts w:cs="Arial"/>
                <w:color w:val="000000"/>
                <w:sz w:val="20"/>
                <w:szCs w:val="20"/>
              </w:rPr>
              <w:t>Olesen et al</w:t>
            </w:r>
          </w:p>
        </w:tc>
        <w:tc>
          <w:tcPr>
            <w:tcW w:w="723" w:type="dxa"/>
            <w:tcBorders>
              <w:top w:val="single" w:sz="4" w:space="0" w:color="auto"/>
              <w:bottom w:val="single" w:sz="4" w:space="0" w:color="auto"/>
            </w:tcBorders>
            <w:shd w:val="clear" w:color="auto" w:fill="auto"/>
            <w:noWrap/>
            <w:vAlign w:val="center"/>
          </w:tcPr>
          <w:p w14:paraId="1DD79C13" w14:textId="2A69E1ED" w:rsidR="0067211A" w:rsidRPr="002B6D16" w:rsidRDefault="0067211A" w:rsidP="0067211A">
            <w:pPr>
              <w:spacing w:after="0"/>
              <w:jc w:val="center"/>
              <w:rPr>
                <w:sz w:val="20"/>
                <w:lang w:val="en-GB" w:eastAsia="en-GB"/>
              </w:rPr>
            </w:pPr>
            <w:r w:rsidRPr="00A57714">
              <w:rPr>
                <w:rFonts w:cs="Arial"/>
                <w:color w:val="000000"/>
                <w:sz w:val="20"/>
                <w:szCs w:val="20"/>
              </w:rPr>
              <w:t>2012</w:t>
            </w:r>
          </w:p>
        </w:tc>
        <w:tc>
          <w:tcPr>
            <w:tcW w:w="454" w:type="dxa"/>
            <w:tcBorders>
              <w:top w:val="single" w:sz="4" w:space="0" w:color="auto"/>
              <w:bottom w:val="single" w:sz="4" w:space="0" w:color="auto"/>
            </w:tcBorders>
            <w:shd w:val="clear" w:color="auto" w:fill="auto"/>
            <w:noWrap/>
            <w:vAlign w:val="center"/>
          </w:tcPr>
          <w:p w14:paraId="738B360D" w14:textId="3B0D018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EA596EB" w14:textId="7D00C6B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19B9B7F" w14:textId="21D3AA6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9A94714" w14:textId="503C0DB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E18B27D" w14:textId="2AE66A4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48458BA" w14:textId="64885FB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44CA007" w14:textId="5ECBD5BA"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2AA3F8D2" w14:textId="4CD324E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6F8D66AE" w14:textId="5B3B6DB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EA90B9D" w14:textId="11ECB70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62F36D0" w14:textId="4135A40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C56ACEA" w14:textId="41E2E51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43487AA" w14:textId="387B1B1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E456BEE" w14:textId="65CC021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84A8E3C" w14:textId="5E7A50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F3F688A" w14:textId="3303195E"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6B57AC60"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337BD871" w14:textId="2AE875FC" w:rsidR="0067211A" w:rsidRPr="002B6D16" w:rsidRDefault="0067211A" w:rsidP="0067211A">
            <w:pPr>
              <w:spacing w:after="0"/>
              <w:rPr>
                <w:sz w:val="20"/>
                <w:lang w:val="en-GB" w:eastAsia="en-GB"/>
              </w:rPr>
            </w:pPr>
            <w:r w:rsidRPr="00A57714">
              <w:rPr>
                <w:rFonts w:cs="Arial"/>
                <w:color w:val="000000"/>
                <w:sz w:val="20"/>
                <w:szCs w:val="20"/>
              </w:rPr>
              <w:lastRenderedPageBreak/>
              <w:t>Oliva-Moreno et al</w:t>
            </w:r>
          </w:p>
        </w:tc>
        <w:tc>
          <w:tcPr>
            <w:tcW w:w="723" w:type="dxa"/>
            <w:tcBorders>
              <w:top w:val="single" w:sz="4" w:space="0" w:color="auto"/>
              <w:bottom w:val="single" w:sz="4" w:space="0" w:color="auto"/>
            </w:tcBorders>
            <w:shd w:val="clear" w:color="auto" w:fill="auto"/>
            <w:noWrap/>
            <w:vAlign w:val="center"/>
          </w:tcPr>
          <w:p w14:paraId="312B29D0" w14:textId="638F8C1C" w:rsidR="0067211A" w:rsidRPr="002B6D16" w:rsidRDefault="0067211A" w:rsidP="0067211A">
            <w:pPr>
              <w:spacing w:after="0"/>
              <w:jc w:val="center"/>
              <w:rPr>
                <w:sz w:val="20"/>
                <w:lang w:val="en-GB" w:eastAsia="en-GB"/>
              </w:rPr>
            </w:pPr>
            <w:r w:rsidRPr="00A57714">
              <w:rPr>
                <w:rFonts w:cs="Arial"/>
                <w:color w:val="000000"/>
                <w:sz w:val="20"/>
                <w:szCs w:val="20"/>
              </w:rPr>
              <w:t>2006</w:t>
            </w:r>
          </w:p>
        </w:tc>
        <w:tc>
          <w:tcPr>
            <w:tcW w:w="454" w:type="dxa"/>
            <w:tcBorders>
              <w:top w:val="single" w:sz="4" w:space="0" w:color="auto"/>
              <w:bottom w:val="single" w:sz="4" w:space="0" w:color="auto"/>
            </w:tcBorders>
            <w:shd w:val="clear" w:color="auto" w:fill="auto"/>
            <w:noWrap/>
            <w:vAlign w:val="center"/>
          </w:tcPr>
          <w:p w14:paraId="5FEFE455" w14:textId="14FEF54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1176D92" w14:textId="141455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AD3219A" w14:textId="6B2F24E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0BCE731" w14:textId="0AA68F8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9FDF8E7" w14:textId="32DDD68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F426EF0" w14:textId="037C161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2A6CFCB" w14:textId="4A6865C5"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47E7A16" w14:textId="2215023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731E6193" w14:textId="1B03EFE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F923E75" w14:textId="0117093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8730AA9" w14:textId="6BC8974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06CCE7C" w14:textId="09618AD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93A43C2" w14:textId="7E192B8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B466C14" w14:textId="26A6F14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7AD05D1" w14:textId="6D83A6C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73C518DC" w14:textId="435EE79E"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1DBBCC4A"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1D7CD3D7" w14:textId="645F9EE0" w:rsidR="0067211A" w:rsidRPr="002B6D16" w:rsidRDefault="0067211A" w:rsidP="0067211A">
            <w:pPr>
              <w:spacing w:after="0"/>
              <w:rPr>
                <w:sz w:val="20"/>
                <w:lang w:val="en-GB" w:eastAsia="en-GB"/>
              </w:rPr>
            </w:pPr>
            <w:r w:rsidRPr="00A57714">
              <w:rPr>
                <w:rFonts w:cs="Arial"/>
                <w:color w:val="000000"/>
                <w:sz w:val="20"/>
                <w:szCs w:val="20"/>
              </w:rPr>
              <w:t>Opoku-Boateng et al</w:t>
            </w:r>
          </w:p>
        </w:tc>
        <w:tc>
          <w:tcPr>
            <w:tcW w:w="723" w:type="dxa"/>
            <w:tcBorders>
              <w:top w:val="single" w:sz="4" w:space="0" w:color="auto"/>
              <w:bottom w:val="single" w:sz="4" w:space="0" w:color="auto"/>
            </w:tcBorders>
            <w:shd w:val="clear" w:color="auto" w:fill="auto"/>
            <w:noWrap/>
            <w:vAlign w:val="center"/>
          </w:tcPr>
          <w:p w14:paraId="58D7A769" w14:textId="2CEF784D"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643E4BD9" w14:textId="79E6F2E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4F0A277" w14:textId="2C011B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E9598E1" w14:textId="418D9A4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C16CDED" w14:textId="70643E6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1E6BCF1" w14:textId="50BAE07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BEB13BD" w14:textId="2C430AF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460F741" w14:textId="2309046B"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26FA4EEC" w14:textId="2BFB506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6BB287E0" w14:textId="6348E0A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B139BE7" w14:textId="7DDF40F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A50CCBF" w14:textId="78CBCC1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8CBC7CE" w14:textId="3D62A84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CBCEC9A" w14:textId="0CDEEF6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6CD7D5A" w14:textId="5F9432E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44EC261" w14:textId="537220A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C83F786" w14:textId="4310537C"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60529D88"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4898E90E" w14:textId="28E061B0" w:rsidR="0067211A" w:rsidRPr="002B6D16" w:rsidRDefault="0067211A" w:rsidP="0067211A">
            <w:pPr>
              <w:spacing w:after="0"/>
              <w:rPr>
                <w:sz w:val="20"/>
                <w:lang w:val="en-GB" w:eastAsia="en-GB"/>
              </w:rPr>
            </w:pPr>
            <w:r w:rsidRPr="00A57714">
              <w:rPr>
                <w:rFonts w:cs="Arial"/>
                <w:color w:val="000000"/>
                <w:sz w:val="20"/>
                <w:szCs w:val="20"/>
              </w:rPr>
              <w:t>Pamias Massana et al</w:t>
            </w:r>
          </w:p>
        </w:tc>
        <w:tc>
          <w:tcPr>
            <w:tcW w:w="723" w:type="dxa"/>
            <w:tcBorders>
              <w:top w:val="single" w:sz="4" w:space="0" w:color="auto"/>
              <w:bottom w:val="single" w:sz="4" w:space="0" w:color="auto"/>
            </w:tcBorders>
            <w:shd w:val="clear" w:color="auto" w:fill="auto"/>
            <w:noWrap/>
            <w:vAlign w:val="center"/>
          </w:tcPr>
          <w:p w14:paraId="2D31A471" w14:textId="58E9A8EF" w:rsidR="0067211A" w:rsidRPr="002B6D16" w:rsidRDefault="0067211A" w:rsidP="0067211A">
            <w:pPr>
              <w:spacing w:after="0"/>
              <w:jc w:val="center"/>
              <w:rPr>
                <w:sz w:val="20"/>
                <w:lang w:val="en-GB" w:eastAsia="en-GB"/>
              </w:rPr>
            </w:pPr>
            <w:r w:rsidRPr="00A57714">
              <w:rPr>
                <w:rFonts w:cs="Arial"/>
                <w:color w:val="000000"/>
                <w:sz w:val="20"/>
                <w:szCs w:val="20"/>
              </w:rPr>
              <w:t>2012</w:t>
            </w:r>
          </w:p>
        </w:tc>
        <w:tc>
          <w:tcPr>
            <w:tcW w:w="454" w:type="dxa"/>
            <w:tcBorders>
              <w:top w:val="single" w:sz="4" w:space="0" w:color="auto"/>
              <w:bottom w:val="single" w:sz="4" w:space="0" w:color="auto"/>
            </w:tcBorders>
            <w:shd w:val="clear" w:color="auto" w:fill="auto"/>
            <w:noWrap/>
            <w:vAlign w:val="center"/>
          </w:tcPr>
          <w:p w14:paraId="647E3B2C" w14:textId="1702AD7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9B0E2B2" w14:textId="5CC69E5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1F5AD17" w14:textId="4AB5CBE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8FE30CE" w14:textId="3B5BEAE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AA34CF1" w14:textId="5050850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5CB87FF" w14:textId="3C0C2BD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C2D48A9" w14:textId="39FAD0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0493B29" w14:textId="6611AFA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646F5D79" w14:textId="4F8CA14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F61D309" w14:textId="611464E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6E9BF37" w14:textId="666EF32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0594445" w14:textId="4972790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B9CFA1D" w14:textId="4799F04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033E55B" w14:textId="77A40C3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1F29E18" w14:textId="6B748E5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53A79D83" w14:textId="5F21A5BE"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6E5B7653"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C724D4F" w14:textId="5B04B85D" w:rsidR="0067211A" w:rsidRPr="002B6D16" w:rsidRDefault="0067211A" w:rsidP="0067211A">
            <w:pPr>
              <w:spacing w:after="0"/>
              <w:rPr>
                <w:sz w:val="20"/>
                <w:lang w:val="en-GB" w:eastAsia="en-GB"/>
              </w:rPr>
            </w:pPr>
            <w:r>
              <w:rPr>
                <w:rFonts w:cs="Arial"/>
                <w:color w:val="000000"/>
                <w:sz w:val="20"/>
                <w:szCs w:val="20"/>
                <w:lang w:val="en-GB"/>
              </w:rPr>
              <w:t>Pares-Badell et al</w:t>
            </w:r>
          </w:p>
        </w:tc>
        <w:tc>
          <w:tcPr>
            <w:tcW w:w="723" w:type="dxa"/>
            <w:tcBorders>
              <w:top w:val="single" w:sz="4" w:space="0" w:color="auto"/>
              <w:bottom w:val="single" w:sz="4" w:space="0" w:color="auto"/>
            </w:tcBorders>
            <w:shd w:val="clear" w:color="auto" w:fill="auto"/>
            <w:noWrap/>
            <w:vAlign w:val="center"/>
          </w:tcPr>
          <w:p w14:paraId="280CC6E9" w14:textId="56EAB114" w:rsidR="0067211A" w:rsidRPr="002B6D16" w:rsidRDefault="0067211A" w:rsidP="0067211A">
            <w:pPr>
              <w:spacing w:after="0"/>
              <w:jc w:val="center"/>
              <w:rPr>
                <w:sz w:val="20"/>
                <w:lang w:val="en-GB" w:eastAsia="en-GB"/>
              </w:rPr>
            </w:pPr>
            <w:r w:rsidRPr="00A57714">
              <w:rPr>
                <w:rFonts w:cs="Arial"/>
                <w:color w:val="000000"/>
                <w:sz w:val="20"/>
                <w:szCs w:val="20"/>
              </w:rPr>
              <w:t>2014</w:t>
            </w:r>
          </w:p>
        </w:tc>
        <w:tc>
          <w:tcPr>
            <w:tcW w:w="454" w:type="dxa"/>
            <w:tcBorders>
              <w:top w:val="single" w:sz="4" w:space="0" w:color="auto"/>
              <w:bottom w:val="single" w:sz="4" w:space="0" w:color="auto"/>
            </w:tcBorders>
            <w:shd w:val="clear" w:color="auto" w:fill="auto"/>
            <w:noWrap/>
            <w:vAlign w:val="center"/>
          </w:tcPr>
          <w:p w14:paraId="0D37B21D" w14:textId="0498228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CB8B15E" w14:textId="5B70B1B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4792AC8" w14:textId="0D5D8C5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76B0701" w14:textId="58DD086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FF8B516" w14:textId="3297E60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347F36B" w14:textId="0860847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A523553" w14:textId="79C7A97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ED488BF" w14:textId="7BBD36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5A8EC7D3" w14:textId="24D96D1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294CB96" w14:textId="443BA11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152FC7B" w14:textId="3EA0BC7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7ACBCFF" w14:textId="376BD0E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8DB52F5" w14:textId="3E3A821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10A766B" w14:textId="659E7BF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96DB29F" w14:textId="0C0655A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606A701A" w14:textId="3FF5FD57"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598AC823"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45D74909" w14:textId="7337D512" w:rsidR="0067211A" w:rsidRPr="002B6D16" w:rsidRDefault="0067211A" w:rsidP="0067211A">
            <w:pPr>
              <w:spacing w:after="0"/>
              <w:rPr>
                <w:sz w:val="20"/>
                <w:lang w:val="en-GB" w:eastAsia="en-GB"/>
              </w:rPr>
            </w:pPr>
            <w:r w:rsidRPr="00A57714">
              <w:rPr>
                <w:rFonts w:cs="Arial"/>
                <w:color w:val="000000"/>
                <w:sz w:val="20"/>
                <w:szCs w:val="20"/>
              </w:rPr>
              <w:t>Patel et al</w:t>
            </w:r>
          </w:p>
        </w:tc>
        <w:tc>
          <w:tcPr>
            <w:tcW w:w="723" w:type="dxa"/>
            <w:tcBorders>
              <w:top w:val="single" w:sz="4" w:space="0" w:color="auto"/>
              <w:bottom w:val="single" w:sz="4" w:space="0" w:color="auto"/>
            </w:tcBorders>
            <w:shd w:val="clear" w:color="auto" w:fill="auto"/>
            <w:noWrap/>
            <w:vAlign w:val="center"/>
          </w:tcPr>
          <w:p w14:paraId="6F19B3E9" w14:textId="1F15BDE6" w:rsidR="0067211A" w:rsidRPr="002B6D16" w:rsidRDefault="0067211A" w:rsidP="0067211A">
            <w:pPr>
              <w:spacing w:after="0"/>
              <w:jc w:val="center"/>
              <w:rPr>
                <w:sz w:val="20"/>
                <w:lang w:val="en-GB" w:eastAsia="en-GB"/>
              </w:rPr>
            </w:pPr>
            <w:r w:rsidRPr="00A57714">
              <w:rPr>
                <w:rFonts w:cs="Arial"/>
                <w:color w:val="000000"/>
                <w:sz w:val="20"/>
                <w:szCs w:val="20"/>
              </w:rPr>
              <w:t>2002</w:t>
            </w:r>
          </w:p>
        </w:tc>
        <w:tc>
          <w:tcPr>
            <w:tcW w:w="454" w:type="dxa"/>
            <w:tcBorders>
              <w:top w:val="single" w:sz="4" w:space="0" w:color="auto"/>
              <w:bottom w:val="single" w:sz="4" w:space="0" w:color="auto"/>
            </w:tcBorders>
            <w:shd w:val="clear" w:color="auto" w:fill="auto"/>
            <w:noWrap/>
            <w:vAlign w:val="center"/>
          </w:tcPr>
          <w:p w14:paraId="4817E316" w14:textId="2022F10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76F9D21" w14:textId="7785768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FEBE888" w14:textId="562102D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84498AD" w14:textId="4B76DE3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AA1F4A6" w14:textId="2A38350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23348F1" w14:textId="4957453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48207B7" w14:textId="3406B8CE"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0B6EB9DF" w14:textId="00EC73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1DD67EF" w14:textId="0A10413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5E914CC" w14:textId="2CA2B89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9CF81F2" w14:textId="798F72F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8B8DE5C" w14:textId="0F3B7A7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73720CE" w14:textId="77D4FC2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68F226D8" w14:textId="40DAE38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2CC92C86" w14:textId="285766B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CBDD46A" w14:textId="26A06B0F"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57EE9DB8"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3C2CDA8E" w14:textId="2CAA9199" w:rsidR="0067211A" w:rsidRPr="002B6D16" w:rsidRDefault="0067211A" w:rsidP="0067211A">
            <w:pPr>
              <w:spacing w:after="0"/>
              <w:rPr>
                <w:sz w:val="20"/>
                <w:lang w:val="en-GB" w:eastAsia="en-GB"/>
              </w:rPr>
            </w:pPr>
            <w:r w:rsidRPr="00A57714">
              <w:rPr>
                <w:rFonts w:cs="Arial"/>
                <w:color w:val="000000"/>
                <w:sz w:val="20"/>
                <w:szCs w:val="20"/>
              </w:rPr>
              <w:t>Phanthunane et al</w:t>
            </w:r>
          </w:p>
        </w:tc>
        <w:tc>
          <w:tcPr>
            <w:tcW w:w="723" w:type="dxa"/>
            <w:tcBorders>
              <w:top w:val="single" w:sz="4" w:space="0" w:color="auto"/>
              <w:bottom w:val="single" w:sz="4" w:space="0" w:color="auto"/>
            </w:tcBorders>
            <w:shd w:val="clear" w:color="auto" w:fill="auto"/>
            <w:noWrap/>
            <w:vAlign w:val="center"/>
          </w:tcPr>
          <w:p w14:paraId="1FC94C62" w14:textId="309CCBA3" w:rsidR="0067211A" w:rsidRPr="002B6D16" w:rsidRDefault="0067211A" w:rsidP="0067211A">
            <w:pPr>
              <w:spacing w:after="0"/>
              <w:jc w:val="center"/>
              <w:rPr>
                <w:sz w:val="20"/>
                <w:lang w:val="en-GB" w:eastAsia="en-GB"/>
              </w:rPr>
            </w:pPr>
            <w:r w:rsidRPr="00A57714">
              <w:rPr>
                <w:rFonts w:cs="Arial"/>
                <w:color w:val="000000"/>
                <w:sz w:val="20"/>
                <w:szCs w:val="20"/>
              </w:rPr>
              <w:t>2012</w:t>
            </w:r>
          </w:p>
        </w:tc>
        <w:tc>
          <w:tcPr>
            <w:tcW w:w="454" w:type="dxa"/>
            <w:tcBorders>
              <w:top w:val="single" w:sz="4" w:space="0" w:color="auto"/>
              <w:bottom w:val="single" w:sz="4" w:space="0" w:color="auto"/>
            </w:tcBorders>
            <w:shd w:val="clear" w:color="auto" w:fill="auto"/>
            <w:noWrap/>
            <w:vAlign w:val="center"/>
          </w:tcPr>
          <w:p w14:paraId="08841A6E" w14:textId="0A3D04B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EF6A4BC" w14:textId="61EA5B1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71A91AB" w14:textId="76B531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1533101" w14:textId="2045A63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F8BABB5" w14:textId="2B06BDA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C472F5F" w14:textId="3CA5E36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1F13531" w14:textId="4311509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D925EF0" w14:textId="0A4E765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4350D143" w14:textId="7F1EE99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E78DA66" w14:textId="5FF4BEC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D5F337A" w14:textId="4B474EE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846A08B" w14:textId="09ABBF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889CA71" w14:textId="1CD4DC5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92811A4" w14:textId="2D1579C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1398A16" w14:textId="2BEE8DE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77328BD" w14:textId="387647BB"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37E5B848"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78258B7C" w14:textId="7CF75B4B" w:rsidR="0067211A" w:rsidRPr="002B6D16" w:rsidRDefault="0067211A" w:rsidP="0067211A">
            <w:pPr>
              <w:spacing w:after="0"/>
              <w:rPr>
                <w:sz w:val="20"/>
                <w:lang w:val="en-GB" w:eastAsia="en-GB"/>
              </w:rPr>
            </w:pPr>
            <w:r w:rsidRPr="00A57714">
              <w:rPr>
                <w:rFonts w:cs="Arial"/>
                <w:color w:val="000000"/>
                <w:sz w:val="20"/>
                <w:szCs w:val="20"/>
              </w:rPr>
              <w:t>Pletscher et al</w:t>
            </w:r>
          </w:p>
        </w:tc>
        <w:tc>
          <w:tcPr>
            <w:tcW w:w="723" w:type="dxa"/>
            <w:tcBorders>
              <w:top w:val="single" w:sz="4" w:space="0" w:color="auto"/>
              <w:bottom w:val="single" w:sz="4" w:space="0" w:color="auto"/>
            </w:tcBorders>
            <w:shd w:val="clear" w:color="auto" w:fill="auto"/>
            <w:noWrap/>
            <w:vAlign w:val="center"/>
          </w:tcPr>
          <w:p w14:paraId="5365069D" w14:textId="4E5B63B9" w:rsidR="0067211A" w:rsidRPr="002B6D16" w:rsidRDefault="0067211A" w:rsidP="0067211A">
            <w:pPr>
              <w:spacing w:after="0"/>
              <w:jc w:val="center"/>
              <w:rPr>
                <w:sz w:val="20"/>
                <w:lang w:val="en-GB" w:eastAsia="en-GB"/>
              </w:rPr>
            </w:pPr>
            <w:r w:rsidRPr="00A57714">
              <w:rPr>
                <w:rFonts w:cs="Arial"/>
                <w:color w:val="000000"/>
                <w:sz w:val="20"/>
                <w:szCs w:val="20"/>
              </w:rPr>
              <w:t>2015</w:t>
            </w:r>
          </w:p>
        </w:tc>
        <w:tc>
          <w:tcPr>
            <w:tcW w:w="454" w:type="dxa"/>
            <w:tcBorders>
              <w:top w:val="single" w:sz="4" w:space="0" w:color="auto"/>
              <w:bottom w:val="single" w:sz="4" w:space="0" w:color="auto"/>
            </w:tcBorders>
            <w:shd w:val="clear" w:color="auto" w:fill="auto"/>
            <w:noWrap/>
            <w:vAlign w:val="center"/>
          </w:tcPr>
          <w:p w14:paraId="65BB8488" w14:textId="230D9C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5D84AE4" w14:textId="5C473F9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5BE05D7" w14:textId="345E9ED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5F2C9FE" w14:textId="2D00F0B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E3BFAA6" w14:textId="1820001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E0BA94B" w14:textId="1EB12BA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06A66CE" w14:textId="0DE3AA31"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6CF6CE64" w14:textId="7204C01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5358BF33" w14:textId="3B4A053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EABDE86" w14:textId="21B7580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28469BB" w14:textId="11B8520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CD92DD5" w14:textId="6730398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2C02ACF" w14:textId="401AC49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1370649" w14:textId="5DF557B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6F91C79" w14:textId="2833909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DC634D5" w14:textId="2F8E30EA"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292D7CC7"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02DB6106" w14:textId="447DF78A" w:rsidR="0067211A" w:rsidRPr="002B6D16" w:rsidRDefault="0067211A" w:rsidP="0067211A">
            <w:pPr>
              <w:spacing w:after="0"/>
              <w:rPr>
                <w:sz w:val="20"/>
                <w:lang w:val="en-GB" w:eastAsia="en-GB"/>
              </w:rPr>
            </w:pPr>
            <w:r w:rsidRPr="00A57714">
              <w:rPr>
                <w:rFonts w:cs="Arial"/>
                <w:color w:val="000000"/>
                <w:sz w:val="20"/>
                <w:szCs w:val="20"/>
              </w:rPr>
              <w:t>Quintero et al</w:t>
            </w:r>
          </w:p>
        </w:tc>
        <w:tc>
          <w:tcPr>
            <w:tcW w:w="723" w:type="dxa"/>
            <w:tcBorders>
              <w:top w:val="single" w:sz="4" w:space="0" w:color="auto"/>
              <w:bottom w:val="single" w:sz="4" w:space="0" w:color="auto"/>
            </w:tcBorders>
            <w:shd w:val="clear" w:color="auto" w:fill="auto"/>
            <w:noWrap/>
            <w:vAlign w:val="center"/>
          </w:tcPr>
          <w:p w14:paraId="3525E5DE" w14:textId="68001415" w:rsidR="0067211A" w:rsidRPr="002B6D16" w:rsidRDefault="0067211A" w:rsidP="0067211A">
            <w:pPr>
              <w:spacing w:after="0"/>
              <w:jc w:val="center"/>
              <w:rPr>
                <w:sz w:val="20"/>
                <w:lang w:val="en-GB" w:eastAsia="en-GB"/>
              </w:rPr>
            </w:pPr>
            <w:r w:rsidRPr="00A57714">
              <w:rPr>
                <w:rFonts w:cs="Arial"/>
                <w:color w:val="000000"/>
                <w:sz w:val="20"/>
                <w:szCs w:val="20"/>
              </w:rPr>
              <w:t>2018</w:t>
            </w:r>
          </w:p>
        </w:tc>
        <w:tc>
          <w:tcPr>
            <w:tcW w:w="454" w:type="dxa"/>
            <w:tcBorders>
              <w:top w:val="single" w:sz="4" w:space="0" w:color="auto"/>
              <w:bottom w:val="single" w:sz="4" w:space="0" w:color="auto"/>
            </w:tcBorders>
            <w:shd w:val="clear" w:color="auto" w:fill="auto"/>
            <w:noWrap/>
            <w:vAlign w:val="center"/>
          </w:tcPr>
          <w:p w14:paraId="09F04275" w14:textId="660F529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1322D96" w14:textId="74E0CA2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D0BBE57" w14:textId="6EB7AC0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691EA32" w14:textId="174E95F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6D24ACB" w14:textId="3CDC7C2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C8C244B" w14:textId="71939FF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758FCDA" w14:textId="476C7842"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2BE92C76" w14:textId="274E585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2B5B68AF" w14:textId="03A0C03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CCBD5CB" w14:textId="48FA4B4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2D5ACE1" w14:textId="4525D79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A560F60" w14:textId="57CC0FD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298B556" w14:textId="4A89C65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7716775" w14:textId="2289BEE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49AA45C" w14:textId="196DADF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BA02161" w14:textId="5197B816"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60692A6A"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1189F68" w14:textId="7FE6BAC3" w:rsidR="0067211A" w:rsidRPr="002B6D16" w:rsidRDefault="0067211A" w:rsidP="0067211A">
            <w:pPr>
              <w:spacing w:after="0"/>
              <w:rPr>
                <w:sz w:val="20"/>
                <w:lang w:val="en-GB" w:eastAsia="en-GB"/>
              </w:rPr>
            </w:pPr>
            <w:r w:rsidRPr="00A57714">
              <w:rPr>
                <w:rFonts w:cs="Arial"/>
                <w:color w:val="000000"/>
                <w:sz w:val="20"/>
                <w:szCs w:val="20"/>
              </w:rPr>
              <w:t>Rice &amp; Miller</w:t>
            </w:r>
          </w:p>
        </w:tc>
        <w:tc>
          <w:tcPr>
            <w:tcW w:w="723" w:type="dxa"/>
            <w:tcBorders>
              <w:top w:val="single" w:sz="4" w:space="0" w:color="auto"/>
              <w:bottom w:val="single" w:sz="4" w:space="0" w:color="auto"/>
            </w:tcBorders>
            <w:shd w:val="clear" w:color="auto" w:fill="auto"/>
            <w:noWrap/>
            <w:vAlign w:val="center"/>
          </w:tcPr>
          <w:p w14:paraId="38A82CB4" w14:textId="64C9E672" w:rsidR="0067211A" w:rsidRPr="002B6D16" w:rsidRDefault="0067211A" w:rsidP="0067211A">
            <w:pPr>
              <w:spacing w:after="0"/>
              <w:jc w:val="center"/>
              <w:rPr>
                <w:sz w:val="20"/>
                <w:lang w:val="en-GB" w:eastAsia="en-GB"/>
              </w:rPr>
            </w:pPr>
            <w:r w:rsidRPr="00A57714">
              <w:rPr>
                <w:rFonts w:cs="Arial"/>
                <w:color w:val="000000"/>
                <w:sz w:val="20"/>
                <w:szCs w:val="20"/>
              </w:rPr>
              <w:t>1998</w:t>
            </w:r>
          </w:p>
        </w:tc>
        <w:tc>
          <w:tcPr>
            <w:tcW w:w="454" w:type="dxa"/>
            <w:tcBorders>
              <w:top w:val="single" w:sz="4" w:space="0" w:color="auto"/>
              <w:bottom w:val="single" w:sz="4" w:space="0" w:color="auto"/>
            </w:tcBorders>
            <w:shd w:val="clear" w:color="auto" w:fill="auto"/>
            <w:noWrap/>
            <w:vAlign w:val="center"/>
          </w:tcPr>
          <w:p w14:paraId="26C7B9A7" w14:textId="309A938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72A015A" w14:textId="3519B1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182B0B1" w14:textId="35C9BB7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DC1255C" w14:textId="1728821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5C2F099" w14:textId="0813945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294E912" w14:textId="722F456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5BE44A3" w14:textId="1A86017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F5BE6AC" w14:textId="21F3210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3AD3CEF" w14:textId="0747BC0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8077EC2" w14:textId="6604226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2969B76" w14:textId="47A840B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6D6E68B" w14:textId="1CC7F6B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D5732E5" w14:textId="3E50877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5485136" w14:textId="326A01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2604C2C" w14:textId="27BEDB5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23571FBC" w14:textId="5B665564"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517D98BE"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3D8D0A69" w14:textId="6D9DD7A2" w:rsidR="0067211A" w:rsidRPr="002B6D16" w:rsidRDefault="0067211A" w:rsidP="0067211A">
            <w:pPr>
              <w:spacing w:after="0"/>
              <w:rPr>
                <w:sz w:val="20"/>
                <w:lang w:val="en-GB" w:eastAsia="en-GB"/>
              </w:rPr>
            </w:pPr>
            <w:r w:rsidRPr="00A57714">
              <w:rPr>
                <w:rFonts w:cs="Arial"/>
                <w:color w:val="000000"/>
                <w:sz w:val="20"/>
                <w:szCs w:val="20"/>
              </w:rPr>
              <w:t>Ritter &amp; Berends</w:t>
            </w:r>
          </w:p>
        </w:tc>
        <w:tc>
          <w:tcPr>
            <w:tcW w:w="723" w:type="dxa"/>
            <w:tcBorders>
              <w:top w:val="single" w:sz="4" w:space="0" w:color="auto"/>
              <w:bottom w:val="single" w:sz="4" w:space="0" w:color="auto"/>
            </w:tcBorders>
            <w:shd w:val="clear" w:color="auto" w:fill="auto"/>
            <w:noWrap/>
            <w:vAlign w:val="center"/>
          </w:tcPr>
          <w:p w14:paraId="66D5392E" w14:textId="41AFE6BD" w:rsidR="0067211A" w:rsidRPr="002B6D16" w:rsidRDefault="0067211A" w:rsidP="0067211A">
            <w:pPr>
              <w:spacing w:after="0"/>
              <w:jc w:val="center"/>
              <w:rPr>
                <w:sz w:val="20"/>
                <w:lang w:val="en-GB" w:eastAsia="en-GB"/>
              </w:rPr>
            </w:pPr>
            <w:r w:rsidRPr="00A57714">
              <w:rPr>
                <w:rFonts w:cs="Arial"/>
                <w:color w:val="000000"/>
                <w:sz w:val="20"/>
                <w:szCs w:val="20"/>
              </w:rPr>
              <w:t>2015</w:t>
            </w:r>
          </w:p>
        </w:tc>
        <w:tc>
          <w:tcPr>
            <w:tcW w:w="454" w:type="dxa"/>
            <w:tcBorders>
              <w:top w:val="single" w:sz="4" w:space="0" w:color="auto"/>
              <w:bottom w:val="single" w:sz="4" w:space="0" w:color="auto"/>
            </w:tcBorders>
            <w:shd w:val="clear" w:color="auto" w:fill="auto"/>
            <w:noWrap/>
            <w:vAlign w:val="center"/>
          </w:tcPr>
          <w:p w14:paraId="1CFF8E27" w14:textId="1433B3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FD2BFD" w14:textId="1E86BDA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58D36C5" w14:textId="3227AB1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57ADD56" w14:textId="36DBFE0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58A07CE" w14:textId="30AE315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B5A4254" w14:textId="25A85A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0AF57D9" w14:textId="46B17100"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01C9F6AE" w14:textId="2048DB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C091254" w14:textId="26232AE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311054C" w14:textId="2E324ED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F050AD9" w14:textId="5B0857C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F7E29A7" w14:textId="6A1CC29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610F191" w14:textId="6C62DFE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731011ED" w14:textId="28342C6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A8CB186" w14:textId="74977D7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12834869" w14:textId="2653883A"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7617FB81"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A599E7E" w14:textId="266C5DB4" w:rsidR="0067211A" w:rsidRPr="002B6D16" w:rsidRDefault="0067211A" w:rsidP="0067211A">
            <w:pPr>
              <w:spacing w:after="0"/>
              <w:rPr>
                <w:sz w:val="20"/>
                <w:lang w:val="en-GB" w:eastAsia="en-GB"/>
              </w:rPr>
            </w:pPr>
            <w:r>
              <w:rPr>
                <w:rFonts w:cs="Arial"/>
                <w:color w:val="000000"/>
                <w:sz w:val="20"/>
                <w:szCs w:val="20"/>
                <w:lang w:val="en-GB"/>
              </w:rPr>
              <w:t>Rouillon et al</w:t>
            </w:r>
          </w:p>
        </w:tc>
        <w:tc>
          <w:tcPr>
            <w:tcW w:w="723" w:type="dxa"/>
            <w:tcBorders>
              <w:top w:val="single" w:sz="4" w:space="0" w:color="auto"/>
              <w:bottom w:val="single" w:sz="4" w:space="0" w:color="auto"/>
            </w:tcBorders>
            <w:shd w:val="clear" w:color="auto" w:fill="auto"/>
            <w:noWrap/>
            <w:vAlign w:val="center"/>
          </w:tcPr>
          <w:p w14:paraId="3B223013" w14:textId="6B5E306C" w:rsidR="0067211A" w:rsidRPr="002B6D16" w:rsidRDefault="0067211A" w:rsidP="0067211A">
            <w:pPr>
              <w:spacing w:after="0"/>
              <w:jc w:val="center"/>
              <w:rPr>
                <w:sz w:val="20"/>
                <w:lang w:val="en-GB" w:eastAsia="en-GB"/>
              </w:rPr>
            </w:pPr>
            <w:r w:rsidRPr="00A57714">
              <w:rPr>
                <w:rFonts w:cs="Arial"/>
                <w:color w:val="000000"/>
                <w:sz w:val="20"/>
                <w:szCs w:val="20"/>
              </w:rPr>
              <w:t>1997</w:t>
            </w:r>
          </w:p>
        </w:tc>
        <w:tc>
          <w:tcPr>
            <w:tcW w:w="454" w:type="dxa"/>
            <w:tcBorders>
              <w:top w:val="single" w:sz="4" w:space="0" w:color="auto"/>
              <w:bottom w:val="single" w:sz="4" w:space="0" w:color="auto"/>
            </w:tcBorders>
            <w:shd w:val="clear" w:color="auto" w:fill="auto"/>
            <w:noWrap/>
            <w:vAlign w:val="center"/>
          </w:tcPr>
          <w:p w14:paraId="299B1CC0" w14:textId="1774A01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EAAAF0B" w14:textId="702F3C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50A02CD" w14:textId="5F2524D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C1A4917" w14:textId="2F02AAC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772D04B" w14:textId="145DDB3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AADBE64" w14:textId="6FAEFDA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66DC098" w14:textId="2744FBF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B825EE2" w14:textId="1C8394A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537EF1DF" w14:textId="7EEA23D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811D5E6" w14:textId="776E5EF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F47A2E2" w14:textId="603D7AC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A409923" w14:textId="319AF5F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B3F8FE3" w14:textId="20D9B80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07FA579" w14:textId="5B75B51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BFBDAA9" w14:textId="4DB117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8007F13" w14:textId="2F994803"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0B46F37E"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11186A85" w14:textId="623F4079" w:rsidR="0067211A" w:rsidRPr="002B6D16" w:rsidRDefault="0067211A" w:rsidP="0067211A">
            <w:pPr>
              <w:spacing w:after="0"/>
              <w:rPr>
                <w:sz w:val="20"/>
                <w:lang w:val="en-GB" w:eastAsia="en-GB"/>
              </w:rPr>
            </w:pPr>
            <w:r w:rsidRPr="00A57714">
              <w:rPr>
                <w:rFonts w:cs="Arial"/>
                <w:color w:val="000000"/>
                <w:sz w:val="20"/>
                <w:szCs w:val="20"/>
              </w:rPr>
              <w:t>Rovira et al</w:t>
            </w:r>
          </w:p>
        </w:tc>
        <w:tc>
          <w:tcPr>
            <w:tcW w:w="723" w:type="dxa"/>
            <w:tcBorders>
              <w:top w:val="single" w:sz="4" w:space="0" w:color="auto"/>
              <w:bottom w:val="single" w:sz="4" w:space="0" w:color="auto"/>
            </w:tcBorders>
            <w:shd w:val="clear" w:color="auto" w:fill="auto"/>
            <w:noWrap/>
            <w:vAlign w:val="center"/>
          </w:tcPr>
          <w:p w14:paraId="70BB1E18" w14:textId="27DF2CAA" w:rsidR="0067211A" w:rsidRPr="002B6D16" w:rsidRDefault="0067211A" w:rsidP="0067211A">
            <w:pPr>
              <w:spacing w:after="0"/>
              <w:jc w:val="center"/>
              <w:rPr>
                <w:sz w:val="20"/>
                <w:lang w:val="en-GB" w:eastAsia="en-GB"/>
              </w:rPr>
            </w:pPr>
            <w:r w:rsidRPr="00A57714">
              <w:rPr>
                <w:rFonts w:cs="Arial"/>
                <w:color w:val="000000"/>
                <w:sz w:val="20"/>
                <w:szCs w:val="20"/>
              </w:rPr>
              <w:t>2012</w:t>
            </w:r>
          </w:p>
        </w:tc>
        <w:tc>
          <w:tcPr>
            <w:tcW w:w="454" w:type="dxa"/>
            <w:tcBorders>
              <w:top w:val="single" w:sz="4" w:space="0" w:color="auto"/>
              <w:bottom w:val="single" w:sz="4" w:space="0" w:color="auto"/>
            </w:tcBorders>
            <w:shd w:val="clear" w:color="auto" w:fill="auto"/>
            <w:noWrap/>
            <w:vAlign w:val="center"/>
          </w:tcPr>
          <w:p w14:paraId="557E7E3F" w14:textId="37C146F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0BE16B8" w14:textId="0CCCE12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77A76E5" w14:textId="2AE56F9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0301851" w14:textId="3EF64A4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021AF33" w14:textId="098C1A2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74AEDD9" w14:textId="5ED4F36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0939220" w14:textId="2A8ACC6D"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08598582" w14:textId="29D13DC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6D638253" w14:textId="5B3CB0E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D8B898A" w14:textId="425B2FB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D282F74" w14:textId="3F422FE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9B13115" w14:textId="6933D7F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DB4D874" w14:textId="04F17AB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DE0D493" w14:textId="3EFDCA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547DDBF" w14:textId="293DFD9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4112DA21" w14:textId="3CC810F4"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15722B39"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3BF7D189" w14:textId="6DDFC651" w:rsidR="0067211A" w:rsidRPr="002B6D16" w:rsidRDefault="0067211A" w:rsidP="0067211A">
            <w:pPr>
              <w:spacing w:after="0"/>
              <w:rPr>
                <w:sz w:val="20"/>
                <w:lang w:val="en-GB" w:eastAsia="en-GB"/>
              </w:rPr>
            </w:pPr>
            <w:r>
              <w:rPr>
                <w:rFonts w:cs="Arial"/>
                <w:color w:val="000000"/>
                <w:sz w:val="20"/>
                <w:szCs w:val="20"/>
              </w:rPr>
              <w:t>Runge &amp; Grunze</w:t>
            </w:r>
          </w:p>
        </w:tc>
        <w:tc>
          <w:tcPr>
            <w:tcW w:w="723" w:type="dxa"/>
            <w:tcBorders>
              <w:top w:val="single" w:sz="4" w:space="0" w:color="auto"/>
              <w:bottom w:val="single" w:sz="4" w:space="0" w:color="auto"/>
            </w:tcBorders>
            <w:shd w:val="clear" w:color="auto" w:fill="auto"/>
            <w:noWrap/>
            <w:vAlign w:val="center"/>
          </w:tcPr>
          <w:p w14:paraId="2D2E476B" w14:textId="16C5EED1" w:rsidR="0067211A" w:rsidRPr="002B6D16" w:rsidRDefault="0067211A" w:rsidP="0067211A">
            <w:pPr>
              <w:spacing w:after="0"/>
              <w:jc w:val="center"/>
              <w:rPr>
                <w:sz w:val="20"/>
                <w:lang w:val="en-GB" w:eastAsia="en-GB"/>
              </w:rPr>
            </w:pPr>
            <w:r w:rsidRPr="00A57714">
              <w:rPr>
                <w:rFonts w:cs="Arial"/>
                <w:color w:val="000000"/>
                <w:sz w:val="20"/>
                <w:szCs w:val="20"/>
              </w:rPr>
              <w:t>2004</w:t>
            </w:r>
          </w:p>
        </w:tc>
        <w:tc>
          <w:tcPr>
            <w:tcW w:w="454" w:type="dxa"/>
            <w:tcBorders>
              <w:top w:val="single" w:sz="4" w:space="0" w:color="auto"/>
              <w:bottom w:val="single" w:sz="4" w:space="0" w:color="auto"/>
            </w:tcBorders>
            <w:shd w:val="clear" w:color="auto" w:fill="auto"/>
            <w:noWrap/>
            <w:vAlign w:val="center"/>
          </w:tcPr>
          <w:p w14:paraId="637694C2" w14:textId="42677F1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735BBDA" w14:textId="1782C9C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374912E" w14:textId="0F82C06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9F27CA2" w14:textId="261B768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6A43469" w14:textId="069FB7D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47B66A7" w14:textId="385DA5C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D1DEB95" w14:textId="7BAD8CD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FE3A7F0" w14:textId="4C022F1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5BAEA948" w14:textId="0AD5446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6A11C2D" w14:textId="32ACC12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DC2CF33" w14:textId="287A204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593C419" w14:textId="7034FEF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0D6D491" w14:textId="3C26F66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CA57E37" w14:textId="3DC83DD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3E7DF06" w14:textId="45FA1CB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1639C5A" w14:textId="4F7F9E11"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9804792"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7F0ED5E" w14:textId="129DEC51" w:rsidR="0067211A" w:rsidRPr="002B6D16" w:rsidRDefault="0067211A" w:rsidP="0067211A">
            <w:pPr>
              <w:spacing w:after="0"/>
              <w:rPr>
                <w:sz w:val="20"/>
                <w:lang w:val="en-GB" w:eastAsia="en-GB"/>
              </w:rPr>
            </w:pPr>
            <w:r w:rsidRPr="00A57714">
              <w:rPr>
                <w:rFonts w:cs="Arial"/>
                <w:color w:val="000000"/>
                <w:sz w:val="20"/>
                <w:szCs w:val="20"/>
              </w:rPr>
              <w:t xml:space="preserve">Sado </w:t>
            </w:r>
          </w:p>
        </w:tc>
        <w:tc>
          <w:tcPr>
            <w:tcW w:w="723" w:type="dxa"/>
            <w:tcBorders>
              <w:top w:val="single" w:sz="4" w:space="0" w:color="auto"/>
              <w:bottom w:val="single" w:sz="4" w:space="0" w:color="auto"/>
            </w:tcBorders>
            <w:shd w:val="clear" w:color="auto" w:fill="auto"/>
            <w:noWrap/>
            <w:vAlign w:val="center"/>
          </w:tcPr>
          <w:p w14:paraId="50CF09D0" w14:textId="4A6EB426" w:rsidR="0067211A" w:rsidRPr="002B6D16" w:rsidRDefault="0067211A" w:rsidP="0067211A">
            <w:pPr>
              <w:spacing w:after="0"/>
              <w:jc w:val="center"/>
              <w:rPr>
                <w:sz w:val="20"/>
                <w:lang w:val="en-GB" w:eastAsia="en-GB"/>
              </w:rPr>
            </w:pPr>
            <w:r w:rsidRPr="00A57714">
              <w:rPr>
                <w:rFonts w:cs="Arial"/>
                <w:color w:val="000000"/>
                <w:sz w:val="20"/>
                <w:szCs w:val="20"/>
              </w:rPr>
              <w:t>2014</w:t>
            </w:r>
          </w:p>
        </w:tc>
        <w:tc>
          <w:tcPr>
            <w:tcW w:w="454" w:type="dxa"/>
            <w:tcBorders>
              <w:top w:val="single" w:sz="4" w:space="0" w:color="auto"/>
              <w:bottom w:val="single" w:sz="4" w:space="0" w:color="auto"/>
            </w:tcBorders>
            <w:shd w:val="clear" w:color="auto" w:fill="auto"/>
            <w:noWrap/>
            <w:vAlign w:val="center"/>
          </w:tcPr>
          <w:p w14:paraId="31B84229" w14:textId="1401FB4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4CEF152" w14:textId="2B10EA9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0C82C6" w14:textId="4303A37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501B150" w14:textId="7DA3614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CFBF333" w14:textId="7FD6BD9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8ADBAA7" w14:textId="6C347F6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BDE6B51" w14:textId="3508971E"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EC7C350" w14:textId="259A27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109CB972" w14:textId="25F3C00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782F4AC" w14:textId="131A86C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5F15569" w14:textId="7BB0C5D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6665857" w14:textId="47A2FBF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F57C81E" w14:textId="52A8D60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5A4D774" w14:textId="32276CD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FEA4B98" w14:textId="2D88151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A62C084" w14:textId="1266F3A6"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65F1C60D"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394667AF" w14:textId="73976768" w:rsidR="0067211A" w:rsidRPr="002B6D16" w:rsidRDefault="0067211A" w:rsidP="0067211A">
            <w:pPr>
              <w:spacing w:after="0"/>
              <w:rPr>
                <w:sz w:val="20"/>
                <w:lang w:val="en-GB" w:eastAsia="en-GB"/>
              </w:rPr>
            </w:pPr>
            <w:r w:rsidRPr="00A57714">
              <w:rPr>
                <w:rFonts w:cs="Arial"/>
                <w:color w:val="000000"/>
                <w:sz w:val="20"/>
                <w:szCs w:val="20"/>
              </w:rPr>
              <w:t>Sado et al</w:t>
            </w:r>
          </w:p>
        </w:tc>
        <w:tc>
          <w:tcPr>
            <w:tcW w:w="723" w:type="dxa"/>
            <w:tcBorders>
              <w:top w:val="single" w:sz="4" w:space="0" w:color="auto"/>
              <w:bottom w:val="single" w:sz="4" w:space="0" w:color="auto"/>
            </w:tcBorders>
            <w:shd w:val="clear" w:color="auto" w:fill="auto"/>
            <w:noWrap/>
            <w:vAlign w:val="center"/>
          </w:tcPr>
          <w:p w14:paraId="5D046E87" w14:textId="031B835E"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0E11159A" w14:textId="518B5F6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0765F48" w14:textId="6AD8ADD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83218B0" w14:textId="1593034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4E9CF02" w14:textId="43F093C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8B76CF9" w14:textId="7F6217D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FDC5FDB" w14:textId="7139E8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4560E67" w14:textId="55A7BBC1"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547367F3" w14:textId="1EDAC7F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6A67A9A5" w14:textId="4A36E57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5E40D03" w14:textId="370DD4A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8D3FF69" w14:textId="28A4F7D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7FA3863" w14:textId="5BC5E5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551EE42" w14:textId="52070D2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32E079D" w14:textId="738F9B4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7E6B6E7" w14:textId="6745E3E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09037D7C" w14:textId="7EAAA561"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592B358C"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0747CFEC" w14:textId="1A2453AC" w:rsidR="0067211A" w:rsidRPr="002B6D16" w:rsidRDefault="0067211A" w:rsidP="0067211A">
            <w:pPr>
              <w:spacing w:after="0"/>
              <w:rPr>
                <w:sz w:val="20"/>
                <w:lang w:val="en-GB" w:eastAsia="en-GB"/>
              </w:rPr>
            </w:pPr>
            <w:r w:rsidRPr="00A57714">
              <w:rPr>
                <w:rFonts w:cs="Arial"/>
                <w:color w:val="000000"/>
                <w:sz w:val="20"/>
                <w:szCs w:val="20"/>
              </w:rPr>
              <w:t>Salvador-Carulla et al</w:t>
            </w:r>
          </w:p>
        </w:tc>
        <w:tc>
          <w:tcPr>
            <w:tcW w:w="723" w:type="dxa"/>
            <w:tcBorders>
              <w:top w:val="single" w:sz="4" w:space="0" w:color="auto"/>
              <w:bottom w:val="single" w:sz="4" w:space="0" w:color="auto"/>
            </w:tcBorders>
            <w:shd w:val="clear" w:color="auto" w:fill="auto"/>
            <w:noWrap/>
            <w:vAlign w:val="center"/>
          </w:tcPr>
          <w:p w14:paraId="69003320" w14:textId="2909D1AD" w:rsidR="0067211A" w:rsidRPr="002B6D16" w:rsidRDefault="0067211A" w:rsidP="0067211A">
            <w:pPr>
              <w:spacing w:after="0"/>
              <w:jc w:val="center"/>
              <w:rPr>
                <w:sz w:val="20"/>
                <w:lang w:val="en-GB" w:eastAsia="en-GB"/>
              </w:rPr>
            </w:pPr>
            <w:r w:rsidRPr="00A57714">
              <w:rPr>
                <w:rFonts w:cs="Arial"/>
                <w:color w:val="000000"/>
                <w:sz w:val="20"/>
                <w:szCs w:val="20"/>
              </w:rPr>
              <w:t>2014</w:t>
            </w:r>
          </w:p>
        </w:tc>
        <w:tc>
          <w:tcPr>
            <w:tcW w:w="454" w:type="dxa"/>
            <w:tcBorders>
              <w:top w:val="single" w:sz="4" w:space="0" w:color="auto"/>
              <w:bottom w:val="single" w:sz="4" w:space="0" w:color="auto"/>
            </w:tcBorders>
            <w:shd w:val="clear" w:color="auto" w:fill="auto"/>
            <w:noWrap/>
            <w:vAlign w:val="center"/>
          </w:tcPr>
          <w:p w14:paraId="47B63AC6" w14:textId="78BDB3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4F9AA34" w14:textId="20A8F85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903526C" w14:textId="0D4C65D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F7DE8A7" w14:textId="46EBDE7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C532C54" w14:textId="61C1801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DD86E4D" w14:textId="575D14C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30C6D5D" w14:textId="28F214B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ECC907B" w14:textId="6A1294B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48CF96B9" w14:textId="65DF11B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ED62174" w14:textId="39B72A9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7CE4EB5" w14:textId="42E8C00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0AE615A" w14:textId="761BFE6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CD98D3D" w14:textId="2AFC575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10C4B4F" w14:textId="2DAE8F6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FB1C99F" w14:textId="1CC109A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290D43F" w14:textId="487DB8B8"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4ABCC25E"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69B232B2" w14:textId="6F7A78EB" w:rsidR="0067211A" w:rsidRPr="002B6D16" w:rsidRDefault="0067211A" w:rsidP="0067211A">
            <w:pPr>
              <w:spacing w:after="0"/>
              <w:rPr>
                <w:sz w:val="20"/>
                <w:lang w:val="en-GB" w:eastAsia="en-GB"/>
              </w:rPr>
            </w:pPr>
            <w:r w:rsidRPr="00A57714">
              <w:rPr>
                <w:rFonts w:cs="Arial"/>
                <w:color w:val="000000"/>
                <w:sz w:val="20"/>
                <w:szCs w:val="20"/>
              </w:rPr>
              <w:t>Salvador-Carulla et al</w:t>
            </w:r>
          </w:p>
        </w:tc>
        <w:tc>
          <w:tcPr>
            <w:tcW w:w="723" w:type="dxa"/>
            <w:tcBorders>
              <w:top w:val="single" w:sz="4" w:space="0" w:color="auto"/>
              <w:bottom w:val="single" w:sz="4" w:space="0" w:color="auto"/>
            </w:tcBorders>
            <w:shd w:val="clear" w:color="auto" w:fill="auto"/>
            <w:noWrap/>
            <w:vAlign w:val="center"/>
          </w:tcPr>
          <w:p w14:paraId="744FB3A6" w14:textId="0D5A94AA" w:rsidR="0067211A" w:rsidRPr="002B6D16" w:rsidRDefault="0067211A" w:rsidP="0067211A">
            <w:pPr>
              <w:spacing w:after="0"/>
              <w:jc w:val="center"/>
              <w:rPr>
                <w:sz w:val="20"/>
                <w:lang w:val="en-GB" w:eastAsia="en-GB"/>
              </w:rPr>
            </w:pPr>
            <w:r w:rsidRPr="00A57714">
              <w:rPr>
                <w:rFonts w:cs="Arial"/>
                <w:color w:val="000000"/>
                <w:sz w:val="20"/>
                <w:szCs w:val="20"/>
              </w:rPr>
              <w:t>2011</w:t>
            </w:r>
          </w:p>
        </w:tc>
        <w:tc>
          <w:tcPr>
            <w:tcW w:w="454" w:type="dxa"/>
            <w:tcBorders>
              <w:top w:val="single" w:sz="4" w:space="0" w:color="auto"/>
              <w:bottom w:val="single" w:sz="4" w:space="0" w:color="auto"/>
            </w:tcBorders>
            <w:shd w:val="clear" w:color="auto" w:fill="auto"/>
            <w:noWrap/>
            <w:vAlign w:val="center"/>
          </w:tcPr>
          <w:p w14:paraId="30ABD11B" w14:textId="6705F20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A81BE91" w14:textId="6A23FB0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E789EA2" w14:textId="0162CDC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46AA484" w14:textId="467D440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A361294" w14:textId="4EA6A5B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7737B33" w14:textId="6A3144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44A3FA7" w14:textId="7F30650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F78A157" w14:textId="7EA032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61D25EDF" w14:textId="62C7E9F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E8E69CD" w14:textId="2A673FB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87DC0AE" w14:textId="5604E0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B559992" w14:textId="1414E50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DF13F06" w14:textId="00A3639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B0B7981" w14:textId="173038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2415024" w14:textId="2FFDED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EAC1560" w14:textId="2396E922"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6033CD91"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46796D5C" w14:textId="17EABE65" w:rsidR="0067211A" w:rsidRPr="002B6D16" w:rsidRDefault="0067211A" w:rsidP="0067211A">
            <w:pPr>
              <w:spacing w:after="0"/>
              <w:rPr>
                <w:sz w:val="20"/>
                <w:lang w:val="en-GB" w:eastAsia="en-GB"/>
              </w:rPr>
            </w:pPr>
            <w:r w:rsidRPr="00A57714">
              <w:rPr>
                <w:rFonts w:cs="Arial"/>
                <w:color w:val="000000"/>
                <w:sz w:val="20"/>
                <w:szCs w:val="20"/>
              </w:rPr>
              <w:t>Samnaliev et al</w:t>
            </w:r>
          </w:p>
        </w:tc>
        <w:tc>
          <w:tcPr>
            <w:tcW w:w="723" w:type="dxa"/>
            <w:tcBorders>
              <w:top w:val="single" w:sz="4" w:space="0" w:color="auto"/>
              <w:bottom w:val="single" w:sz="4" w:space="0" w:color="auto"/>
            </w:tcBorders>
            <w:shd w:val="clear" w:color="auto" w:fill="auto"/>
            <w:noWrap/>
            <w:vAlign w:val="center"/>
          </w:tcPr>
          <w:p w14:paraId="3B653AC3" w14:textId="121C3B71" w:rsidR="0067211A" w:rsidRPr="002B6D16" w:rsidRDefault="0067211A" w:rsidP="0067211A">
            <w:pPr>
              <w:spacing w:after="0"/>
              <w:jc w:val="center"/>
              <w:rPr>
                <w:sz w:val="20"/>
                <w:lang w:val="en-GB" w:eastAsia="en-GB"/>
              </w:rPr>
            </w:pPr>
            <w:r w:rsidRPr="00A57714">
              <w:rPr>
                <w:rFonts w:cs="Arial"/>
                <w:color w:val="000000"/>
                <w:sz w:val="20"/>
                <w:szCs w:val="20"/>
              </w:rPr>
              <w:t>2015</w:t>
            </w:r>
          </w:p>
        </w:tc>
        <w:tc>
          <w:tcPr>
            <w:tcW w:w="454" w:type="dxa"/>
            <w:tcBorders>
              <w:top w:val="single" w:sz="4" w:space="0" w:color="auto"/>
              <w:bottom w:val="single" w:sz="4" w:space="0" w:color="auto"/>
            </w:tcBorders>
            <w:shd w:val="clear" w:color="auto" w:fill="auto"/>
            <w:noWrap/>
            <w:vAlign w:val="center"/>
          </w:tcPr>
          <w:p w14:paraId="358C2A99" w14:textId="6021077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D4B0EAA" w14:textId="6E290B0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37E7CDB" w14:textId="37998D8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688A304" w14:textId="18D7102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2E2B8E8" w14:textId="0D93135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EDC57B3" w14:textId="5E59B76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61D4970" w14:textId="32DE29F0"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5C97559B" w14:textId="0FFB9A2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34BC0855" w14:textId="4255AC5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C98635F" w14:textId="6BC0C40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D28F9B8" w14:textId="5D2DB64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800E940" w14:textId="3DB7C62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6011B2F" w14:textId="4E39644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37CB93B" w14:textId="0AC9457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2DB007F" w14:textId="667AFD9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6AEEFD6" w14:textId="61C9DB30"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0F6522EE"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3E6211F0" w14:textId="151856E2" w:rsidR="0067211A" w:rsidRPr="002B6D16" w:rsidRDefault="0067211A" w:rsidP="0067211A">
            <w:pPr>
              <w:spacing w:after="0"/>
              <w:rPr>
                <w:sz w:val="20"/>
                <w:lang w:val="en-GB" w:eastAsia="en-GB"/>
              </w:rPr>
            </w:pPr>
            <w:r w:rsidRPr="00A57714">
              <w:rPr>
                <w:rFonts w:cs="Arial"/>
                <w:color w:val="000000"/>
                <w:sz w:val="20"/>
                <w:szCs w:val="20"/>
              </w:rPr>
              <w:t>Sandelin et al</w:t>
            </w:r>
          </w:p>
        </w:tc>
        <w:tc>
          <w:tcPr>
            <w:tcW w:w="723" w:type="dxa"/>
            <w:tcBorders>
              <w:top w:val="single" w:sz="4" w:space="0" w:color="auto"/>
              <w:bottom w:val="single" w:sz="4" w:space="0" w:color="auto"/>
            </w:tcBorders>
            <w:shd w:val="clear" w:color="auto" w:fill="auto"/>
            <w:noWrap/>
            <w:vAlign w:val="center"/>
          </w:tcPr>
          <w:p w14:paraId="5356EAFE" w14:textId="303D8FDC"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48820510" w14:textId="44C4A8D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F091B24" w14:textId="478D0E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B63163C" w14:textId="097BB7C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358D3B1" w14:textId="6A458FC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1BDE341" w14:textId="09A99A4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CC3DFB2" w14:textId="4A8FD56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1699A84" w14:textId="0AFBB5AE"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B598542" w14:textId="75758A1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7459FD81" w14:textId="393F387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B5F3779" w14:textId="496642B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EDFEF4D" w14:textId="731A284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FEC4EB6" w14:textId="4D87A4F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79491FB" w14:textId="67D0D06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9B11963" w14:textId="50D8DB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A279E37" w14:textId="2A7C2C1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0CED871D" w14:textId="1EFAC305"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60CD9B3C"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35F9AB33" w14:textId="7296D1C7" w:rsidR="0067211A" w:rsidRPr="002B6D16" w:rsidRDefault="0067211A" w:rsidP="0067211A">
            <w:pPr>
              <w:spacing w:after="0"/>
              <w:rPr>
                <w:sz w:val="20"/>
                <w:lang w:val="en-GB" w:eastAsia="en-GB"/>
              </w:rPr>
            </w:pPr>
            <w:r w:rsidRPr="00A57714">
              <w:rPr>
                <w:rFonts w:cs="Arial"/>
                <w:color w:val="000000"/>
                <w:sz w:val="20"/>
                <w:szCs w:val="20"/>
              </w:rPr>
              <w:t>Sarlon et al</w:t>
            </w:r>
          </w:p>
        </w:tc>
        <w:tc>
          <w:tcPr>
            <w:tcW w:w="723" w:type="dxa"/>
            <w:tcBorders>
              <w:top w:val="single" w:sz="4" w:space="0" w:color="auto"/>
              <w:bottom w:val="single" w:sz="4" w:space="0" w:color="auto"/>
            </w:tcBorders>
            <w:shd w:val="clear" w:color="auto" w:fill="auto"/>
            <w:noWrap/>
            <w:vAlign w:val="center"/>
          </w:tcPr>
          <w:p w14:paraId="462999D8" w14:textId="7DE11EEB" w:rsidR="0067211A" w:rsidRPr="002B6D16" w:rsidRDefault="0067211A" w:rsidP="0067211A">
            <w:pPr>
              <w:spacing w:after="0"/>
              <w:jc w:val="center"/>
              <w:rPr>
                <w:sz w:val="20"/>
                <w:lang w:val="en-GB" w:eastAsia="en-GB"/>
              </w:rPr>
            </w:pPr>
            <w:r w:rsidRPr="00A57714">
              <w:rPr>
                <w:rFonts w:cs="Arial"/>
                <w:color w:val="000000"/>
                <w:sz w:val="20"/>
                <w:szCs w:val="20"/>
              </w:rPr>
              <w:t>2012</w:t>
            </w:r>
          </w:p>
        </w:tc>
        <w:tc>
          <w:tcPr>
            <w:tcW w:w="454" w:type="dxa"/>
            <w:tcBorders>
              <w:top w:val="single" w:sz="4" w:space="0" w:color="auto"/>
              <w:bottom w:val="single" w:sz="4" w:space="0" w:color="auto"/>
            </w:tcBorders>
            <w:shd w:val="clear" w:color="auto" w:fill="auto"/>
            <w:noWrap/>
            <w:vAlign w:val="center"/>
          </w:tcPr>
          <w:p w14:paraId="44FFD6E6" w14:textId="406C1D8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5E410D2" w14:textId="0EB4825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96604E8" w14:textId="3DF9A22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9D7101A" w14:textId="2CCE2B0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A91646C" w14:textId="7C5661B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6C67F2A" w14:textId="18F0B5E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80958BB" w14:textId="65802155"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499DDC0B" w14:textId="7F8BAAB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480F713B" w14:textId="2C2143D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377B91B" w14:textId="13335CD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304FE06" w14:textId="347DEC5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1921562" w14:textId="5DDFA01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C4B04F9" w14:textId="670D62D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50AC362" w14:textId="07953C0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8F67B6A" w14:textId="032BB5C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2E9722A" w14:textId="5D752845"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6948A223"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4AC92ECE" w14:textId="457610F4" w:rsidR="0067211A" w:rsidRPr="002B6D16" w:rsidRDefault="0067211A" w:rsidP="0067211A">
            <w:pPr>
              <w:spacing w:after="0"/>
              <w:rPr>
                <w:sz w:val="20"/>
                <w:lang w:val="en-GB" w:eastAsia="en-GB"/>
              </w:rPr>
            </w:pPr>
            <w:r w:rsidRPr="00A57714">
              <w:rPr>
                <w:rFonts w:cs="Arial"/>
                <w:color w:val="000000"/>
                <w:sz w:val="20"/>
                <w:szCs w:val="20"/>
              </w:rPr>
              <w:t>Schlander</w:t>
            </w:r>
          </w:p>
        </w:tc>
        <w:tc>
          <w:tcPr>
            <w:tcW w:w="723" w:type="dxa"/>
            <w:tcBorders>
              <w:top w:val="single" w:sz="4" w:space="0" w:color="auto"/>
              <w:bottom w:val="single" w:sz="4" w:space="0" w:color="auto"/>
            </w:tcBorders>
            <w:shd w:val="clear" w:color="auto" w:fill="auto"/>
            <w:noWrap/>
            <w:vAlign w:val="center"/>
          </w:tcPr>
          <w:p w14:paraId="23155ECB" w14:textId="2537088F" w:rsidR="0067211A" w:rsidRPr="002B6D16" w:rsidRDefault="0067211A" w:rsidP="0067211A">
            <w:pPr>
              <w:spacing w:after="0"/>
              <w:jc w:val="center"/>
              <w:rPr>
                <w:sz w:val="20"/>
                <w:lang w:val="en-GB" w:eastAsia="en-GB"/>
              </w:rPr>
            </w:pPr>
            <w:r w:rsidRPr="00A57714">
              <w:rPr>
                <w:rFonts w:cs="Arial"/>
                <w:color w:val="000000"/>
                <w:sz w:val="20"/>
                <w:szCs w:val="20"/>
              </w:rPr>
              <w:t>2007</w:t>
            </w:r>
          </w:p>
        </w:tc>
        <w:tc>
          <w:tcPr>
            <w:tcW w:w="454" w:type="dxa"/>
            <w:tcBorders>
              <w:top w:val="single" w:sz="4" w:space="0" w:color="auto"/>
              <w:bottom w:val="single" w:sz="4" w:space="0" w:color="auto"/>
            </w:tcBorders>
            <w:shd w:val="clear" w:color="auto" w:fill="auto"/>
            <w:noWrap/>
            <w:vAlign w:val="center"/>
          </w:tcPr>
          <w:p w14:paraId="05E24FF1" w14:textId="4B50106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6217AE2" w14:textId="5991C03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D7421FE" w14:textId="4788E44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B48EAB5" w14:textId="69AAB59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7610F00" w14:textId="5505190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1894664" w14:textId="3F9D093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A5E70E6" w14:textId="06775242"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541E0A16" w14:textId="2A9B683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1F75C25D" w14:textId="26F9252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3AE317F" w14:textId="3F13EF1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CAD8218" w14:textId="7AC8F51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764ABF6" w14:textId="0A70419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C25BCA8" w14:textId="0F91E30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3EC34D07" w14:textId="6AC03A5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56ED0C5" w14:textId="6B8B2CE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674BFD7D" w14:textId="5ACEAAAA"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2C08F6E9"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228110FA" w14:textId="3CE93CCF" w:rsidR="0067211A" w:rsidRPr="002B6D16" w:rsidRDefault="0067211A" w:rsidP="0067211A">
            <w:pPr>
              <w:spacing w:after="0"/>
              <w:rPr>
                <w:sz w:val="20"/>
                <w:lang w:val="en-GB" w:eastAsia="en-GB"/>
              </w:rPr>
            </w:pPr>
            <w:r w:rsidRPr="00A57714">
              <w:rPr>
                <w:rFonts w:cs="Arial"/>
                <w:color w:val="000000"/>
                <w:sz w:val="20"/>
                <w:szCs w:val="20"/>
              </w:rPr>
              <w:t>Schofield et al</w:t>
            </w:r>
          </w:p>
        </w:tc>
        <w:tc>
          <w:tcPr>
            <w:tcW w:w="723" w:type="dxa"/>
            <w:tcBorders>
              <w:top w:val="single" w:sz="4" w:space="0" w:color="auto"/>
              <w:bottom w:val="single" w:sz="4" w:space="0" w:color="auto"/>
            </w:tcBorders>
            <w:shd w:val="clear" w:color="auto" w:fill="auto"/>
            <w:noWrap/>
            <w:vAlign w:val="center"/>
          </w:tcPr>
          <w:p w14:paraId="4C750EC0" w14:textId="0CF4AE76" w:rsidR="0067211A" w:rsidRPr="002B6D16" w:rsidRDefault="0067211A" w:rsidP="0067211A">
            <w:pPr>
              <w:spacing w:after="0"/>
              <w:jc w:val="center"/>
              <w:rPr>
                <w:sz w:val="20"/>
                <w:lang w:val="en-GB" w:eastAsia="en-GB"/>
              </w:rPr>
            </w:pPr>
            <w:r w:rsidRPr="00A57714">
              <w:rPr>
                <w:rFonts w:cs="Arial"/>
                <w:color w:val="000000"/>
                <w:sz w:val="20"/>
                <w:szCs w:val="20"/>
              </w:rPr>
              <w:t>2011</w:t>
            </w:r>
          </w:p>
        </w:tc>
        <w:tc>
          <w:tcPr>
            <w:tcW w:w="454" w:type="dxa"/>
            <w:tcBorders>
              <w:top w:val="single" w:sz="4" w:space="0" w:color="auto"/>
              <w:bottom w:val="single" w:sz="4" w:space="0" w:color="auto"/>
            </w:tcBorders>
            <w:shd w:val="clear" w:color="auto" w:fill="auto"/>
            <w:noWrap/>
            <w:vAlign w:val="center"/>
          </w:tcPr>
          <w:p w14:paraId="41C3C3FA" w14:textId="21D5955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E421AB3" w14:textId="19CF3ED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9070671" w14:textId="3EA9965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D8EE67B" w14:textId="0AF96D3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E2CD6D3" w14:textId="1DDF6FC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93A23D7" w14:textId="1FD02A3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67D91A6" w14:textId="0FF062A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A495D07" w14:textId="1405CFB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1B82B993" w14:textId="3DFDEB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11602B0" w14:textId="514E04A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471DBF3" w14:textId="391466A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F0FD417" w14:textId="5EB42B6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D48615A" w14:textId="40F0FFF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CCBA238" w14:textId="78990E8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B1B272C" w14:textId="22D05DA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2BBA7AE2" w14:textId="565CB06E"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6284C533"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6EF51512" w14:textId="3881606B" w:rsidR="0067211A" w:rsidRPr="002B6D16" w:rsidRDefault="0067211A" w:rsidP="0067211A">
            <w:pPr>
              <w:spacing w:after="0"/>
              <w:rPr>
                <w:sz w:val="20"/>
                <w:lang w:val="en-GB" w:eastAsia="en-GB"/>
              </w:rPr>
            </w:pPr>
            <w:r w:rsidRPr="00A57714">
              <w:rPr>
                <w:rFonts w:cs="Arial"/>
                <w:color w:val="000000"/>
                <w:sz w:val="20"/>
                <w:szCs w:val="20"/>
              </w:rPr>
              <w:t>Sharma et al</w:t>
            </w:r>
          </w:p>
        </w:tc>
        <w:tc>
          <w:tcPr>
            <w:tcW w:w="723" w:type="dxa"/>
            <w:tcBorders>
              <w:top w:val="single" w:sz="4" w:space="0" w:color="auto"/>
              <w:bottom w:val="single" w:sz="4" w:space="0" w:color="auto"/>
            </w:tcBorders>
            <w:shd w:val="clear" w:color="auto" w:fill="auto"/>
            <w:noWrap/>
            <w:vAlign w:val="center"/>
          </w:tcPr>
          <w:p w14:paraId="4B3637DE" w14:textId="1C4372B9" w:rsidR="0067211A" w:rsidRPr="002B6D16" w:rsidRDefault="0067211A" w:rsidP="0067211A">
            <w:pPr>
              <w:spacing w:after="0"/>
              <w:jc w:val="center"/>
              <w:rPr>
                <w:sz w:val="20"/>
                <w:lang w:val="en-GB" w:eastAsia="en-GB"/>
              </w:rPr>
            </w:pPr>
            <w:r w:rsidRPr="00A57714">
              <w:rPr>
                <w:rFonts w:cs="Arial"/>
                <w:color w:val="000000"/>
                <w:sz w:val="20"/>
                <w:szCs w:val="20"/>
              </w:rPr>
              <w:t>2006</w:t>
            </w:r>
          </w:p>
        </w:tc>
        <w:tc>
          <w:tcPr>
            <w:tcW w:w="454" w:type="dxa"/>
            <w:tcBorders>
              <w:top w:val="single" w:sz="4" w:space="0" w:color="auto"/>
              <w:bottom w:val="single" w:sz="4" w:space="0" w:color="auto"/>
            </w:tcBorders>
            <w:shd w:val="clear" w:color="auto" w:fill="auto"/>
            <w:noWrap/>
            <w:vAlign w:val="center"/>
          </w:tcPr>
          <w:p w14:paraId="7A0A21E0" w14:textId="6294D34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1C29398" w14:textId="027B6F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0A52CEC" w14:textId="5460B23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BB93991" w14:textId="1CA10BE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BE255BB" w14:textId="695237F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4FFA9B1" w14:textId="1239EE8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F1DE570" w14:textId="538064D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8F7B02A" w14:textId="7FA8937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212DF0C2" w14:textId="012E51D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A7A1079" w14:textId="69075B1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7D6F588" w14:textId="5A3E1FA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C963ABF" w14:textId="1C50311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A589125" w14:textId="4B79064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72C51786" w14:textId="7CF24BA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0E245CC7" w14:textId="764CFD3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40803C1" w14:textId="01A8819F"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0EA7A859"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1A8E1750" w14:textId="0535F299" w:rsidR="0067211A" w:rsidRPr="002B6D16" w:rsidRDefault="0067211A" w:rsidP="0067211A">
            <w:pPr>
              <w:spacing w:after="0"/>
              <w:rPr>
                <w:sz w:val="20"/>
                <w:lang w:val="en-GB" w:eastAsia="en-GB"/>
              </w:rPr>
            </w:pPr>
            <w:r w:rsidRPr="00A57714">
              <w:rPr>
                <w:rFonts w:cs="Arial"/>
                <w:color w:val="000000"/>
                <w:sz w:val="20"/>
                <w:szCs w:val="20"/>
              </w:rPr>
              <w:t>Shei et al</w:t>
            </w:r>
          </w:p>
        </w:tc>
        <w:tc>
          <w:tcPr>
            <w:tcW w:w="723" w:type="dxa"/>
            <w:tcBorders>
              <w:top w:val="single" w:sz="4" w:space="0" w:color="auto"/>
              <w:bottom w:val="single" w:sz="4" w:space="0" w:color="auto"/>
            </w:tcBorders>
            <w:shd w:val="clear" w:color="auto" w:fill="auto"/>
            <w:noWrap/>
            <w:vAlign w:val="center"/>
          </w:tcPr>
          <w:p w14:paraId="58210D1C" w14:textId="78AD8539" w:rsidR="0067211A" w:rsidRPr="002B6D16" w:rsidRDefault="0067211A" w:rsidP="0067211A">
            <w:pPr>
              <w:spacing w:after="0"/>
              <w:jc w:val="center"/>
              <w:rPr>
                <w:sz w:val="20"/>
                <w:lang w:val="en-GB" w:eastAsia="en-GB"/>
              </w:rPr>
            </w:pPr>
            <w:r w:rsidRPr="00A57714">
              <w:rPr>
                <w:rFonts w:cs="Arial"/>
                <w:color w:val="000000"/>
                <w:sz w:val="20"/>
                <w:szCs w:val="20"/>
              </w:rPr>
              <w:t>2015</w:t>
            </w:r>
          </w:p>
        </w:tc>
        <w:tc>
          <w:tcPr>
            <w:tcW w:w="454" w:type="dxa"/>
            <w:tcBorders>
              <w:top w:val="single" w:sz="4" w:space="0" w:color="auto"/>
              <w:bottom w:val="single" w:sz="4" w:space="0" w:color="auto"/>
            </w:tcBorders>
            <w:shd w:val="clear" w:color="auto" w:fill="auto"/>
            <w:noWrap/>
            <w:vAlign w:val="center"/>
          </w:tcPr>
          <w:p w14:paraId="0700DC18" w14:textId="33DCCBA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7082DEE" w14:textId="387D878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FD6D98E" w14:textId="42C5394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064EB1D" w14:textId="233366E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A9C78CD" w14:textId="0600A84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FD30BF8" w14:textId="62439F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E7EE51C" w14:textId="5754764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5284FF7" w14:textId="5E4B0A8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690AD0B" w14:textId="7FDF39A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74B51A5" w14:textId="31B485E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F87E7D4" w14:textId="7580CF1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BD59564" w14:textId="6995BB0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BD11451" w14:textId="30362BA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F052BFD" w14:textId="2935938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475441A" w14:textId="0768ED5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1C28651" w14:textId="128B4DD7"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02EE1151"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0F2066B" w14:textId="4EC5BA5C" w:rsidR="0067211A" w:rsidRPr="002B6D16" w:rsidRDefault="0067211A" w:rsidP="0067211A">
            <w:pPr>
              <w:spacing w:after="0"/>
              <w:rPr>
                <w:sz w:val="20"/>
                <w:lang w:val="en-GB" w:eastAsia="en-GB"/>
              </w:rPr>
            </w:pPr>
            <w:r w:rsidRPr="00A57714">
              <w:rPr>
                <w:rFonts w:cs="Arial"/>
                <w:color w:val="000000"/>
                <w:sz w:val="20"/>
                <w:szCs w:val="20"/>
              </w:rPr>
              <w:t>Shirneshan E</w:t>
            </w:r>
          </w:p>
        </w:tc>
        <w:tc>
          <w:tcPr>
            <w:tcW w:w="723" w:type="dxa"/>
            <w:tcBorders>
              <w:top w:val="single" w:sz="4" w:space="0" w:color="auto"/>
              <w:bottom w:val="single" w:sz="4" w:space="0" w:color="auto"/>
            </w:tcBorders>
            <w:shd w:val="clear" w:color="auto" w:fill="auto"/>
            <w:noWrap/>
            <w:vAlign w:val="center"/>
          </w:tcPr>
          <w:p w14:paraId="6FED1787" w14:textId="5ED4852E" w:rsidR="0067211A" w:rsidRPr="002B6D16" w:rsidRDefault="0067211A" w:rsidP="0067211A">
            <w:pPr>
              <w:spacing w:after="0"/>
              <w:jc w:val="center"/>
              <w:rPr>
                <w:sz w:val="20"/>
                <w:lang w:val="en-GB" w:eastAsia="en-GB"/>
              </w:rPr>
            </w:pPr>
            <w:r w:rsidRPr="00A57714">
              <w:rPr>
                <w:rFonts w:cs="Arial"/>
                <w:color w:val="000000"/>
                <w:sz w:val="20"/>
                <w:szCs w:val="20"/>
              </w:rPr>
              <w:t>2014</w:t>
            </w:r>
          </w:p>
        </w:tc>
        <w:tc>
          <w:tcPr>
            <w:tcW w:w="454" w:type="dxa"/>
            <w:tcBorders>
              <w:top w:val="single" w:sz="4" w:space="0" w:color="auto"/>
              <w:bottom w:val="single" w:sz="4" w:space="0" w:color="auto"/>
            </w:tcBorders>
            <w:shd w:val="clear" w:color="auto" w:fill="auto"/>
            <w:noWrap/>
            <w:vAlign w:val="center"/>
          </w:tcPr>
          <w:p w14:paraId="75AC7C04" w14:textId="1A061B8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51EADE5" w14:textId="775B513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502218E" w14:textId="05470A1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DCE05B3" w14:textId="115AD1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3BD77F2" w14:textId="643236B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6AF698A" w14:textId="756A217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327098D1" w14:textId="039285E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4A360EB" w14:textId="2728E2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2AC9ECCA" w14:textId="667A266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F8DDDEC" w14:textId="7720048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08766BA" w14:textId="225A70F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57CA5B2" w14:textId="02AD210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9ED5304" w14:textId="46D8ED3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0968084" w14:textId="0B10875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8CD2D67" w14:textId="1424B58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2253C660" w14:textId="143EF83B"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7ECC52CE"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021B0BFF" w14:textId="0658B5B1" w:rsidR="0067211A" w:rsidRPr="002B6D16" w:rsidRDefault="0067211A" w:rsidP="0067211A">
            <w:pPr>
              <w:spacing w:after="0"/>
              <w:rPr>
                <w:sz w:val="20"/>
                <w:lang w:val="en-GB" w:eastAsia="en-GB"/>
              </w:rPr>
            </w:pPr>
            <w:r w:rsidRPr="00A57714">
              <w:rPr>
                <w:rFonts w:cs="Arial"/>
                <w:color w:val="000000"/>
                <w:sz w:val="20"/>
                <w:szCs w:val="20"/>
              </w:rPr>
              <w:t>Slomp et al</w:t>
            </w:r>
          </w:p>
        </w:tc>
        <w:tc>
          <w:tcPr>
            <w:tcW w:w="723" w:type="dxa"/>
            <w:tcBorders>
              <w:top w:val="single" w:sz="4" w:space="0" w:color="auto"/>
              <w:bottom w:val="single" w:sz="4" w:space="0" w:color="auto"/>
            </w:tcBorders>
            <w:shd w:val="clear" w:color="auto" w:fill="auto"/>
            <w:noWrap/>
            <w:vAlign w:val="center"/>
          </w:tcPr>
          <w:p w14:paraId="62A7F8A0" w14:textId="368DCBA6" w:rsidR="0067211A" w:rsidRPr="002B6D16" w:rsidRDefault="0067211A" w:rsidP="0067211A">
            <w:pPr>
              <w:spacing w:after="0"/>
              <w:jc w:val="center"/>
              <w:rPr>
                <w:sz w:val="20"/>
                <w:lang w:val="en-GB" w:eastAsia="en-GB"/>
              </w:rPr>
            </w:pPr>
            <w:r w:rsidRPr="00A57714">
              <w:rPr>
                <w:rFonts w:cs="Arial"/>
                <w:color w:val="000000"/>
                <w:sz w:val="20"/>
                <w:szCs w:val="20"/>
              </w:rPr>
              <w:t>2012</w:t>
            </w:r>
          </w:p>
        </w:tc>
        <w:tc>
          <w:tcPr>
            <w:tcW w:w="454" w:type="dxa"/>
            <w:tcBorders>
              <w:top w:val="single" w:sz="4" w:space="0" w:color="auto"/>
              <w:bottom w:val="single" w:sz="4" w:space="0" w:color="auto"/>
            </w:tcBorders>
            <w:shd w:val="clear" w:color="auto" w:fill="auto"/>
            <w:noWrap/>
            <w:vAlign w:val="center"/>
          </w:tcPr>
          <w:p w14:paraId="60F9EB6F" w14:textId="78CA7C2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EC9E74D" w14:textId="0B094CF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2BB56FA" w14:textId="7ED987B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804A522" w14:textId="7A37C92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5401444" w14:textId="492D939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6566BE9" w14:textId="74841CB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10" w:type="dxa"/>
            <w:tcBorders>
              <w:top w:val="single" w:sz="4" w:space="0" w:color="auto"/>
              <w:bottom w:val="single" w:sz="4" w:space="0" w:color="auto"/>
            </w:tcBorders>
            <w:shd w:val="clear" w:color="auto" w:fill="auto"/>
            <w:noWrap/>
            <w:vAlign w:val="center"/>
          </w:tcPr>
          <w:p w14:paraId="1C76C97A" w14:textId="0B4F556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41BFC27" w14:textId="7D8D1D9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10A52BCD" w14:textId="29B6539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B8E23D3" w14:textId="52B1F1B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7013304" w14:textId="0F92F13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40EE05E" w14:textId="133CAED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9C24DAA" w14:textId="1A0D0CA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E2A5298" w14:textId="01AA6D1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8AF50E9" w14:textId="02287EE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48BFBD41" w14:textId="0E6651B1"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3A4868D1"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7F91B420" w14:textId="2044E733" w:rsidR="0067211A" w:rsidRPr="002B6D16" w:rsidRDefault="0067211A" w:rsidP="0067211A">
            <w:pPr>
              <w:spacing w:after="0"/>
              <w:rPr>
                <w:sz w:val="20"/>
                <w:lang w:val="en-GB" w:eastAsia="en-GB"/>
              </w:rPr>
            </w:pPr>
            <w:r w:rsidRPr="00A57714">
              <w:rPr>
                <w:rFonts w:cs="Arial"/>
                <w:color w:val="000000"/>
                <w:sz w:val="20"/>
                <w:szCs w:val="20"/>
              </w:rPr>
              <w:t>Smit et al</w:t>
            </w:r>
          </w:p>
        </w:tc>
        <w:tc>
          <w:tcPr>
            <w:tcW w:w="723" w:type="dxa"/>
            <w:tcBorders>
              <w:top w:val="single" w:sz="4" w:space="0" w:color="auto"/>
              <w:bottom w:val="single" w:sz="4" w:space="0" w:color="auto"/>
            </w:tcBorders>
            <w:shd w:val="clear" w:color="auto" w:fill="auto"/>
            <w:noWrap/>
            <w:vAlign w:val="center"/>
          </w:tcPr>
          <w:p w14:paraId="13B8233E" w14:textId="25841ACA" w:rsidR="0067211A" w:rsidRPr="002B6D16" w:rsidRDefault="0067211A" w:rsidP="0067211A">
            <w:pPr>
              <w:spacing w:after="0"/>
              <w:jc w:val="center"/>
              <w:rPr>
                <w:sz w:val="20"/>
                <w:lang w:val="en-GB" w:eastAsia="en-GB"/>
              </w:rPr>
            </w:pPr>
            <w:r w:rsidRPr="00A57714">
              <w:rPr>
                <w:rFonts w:cs="Arial"/>
                <w:color w:val="000000"/>
                <w:sz w:val="20"/>
                <w:szCs w:val="20"/>
              </w:rPr>
              <w:t>2006</w:t>
            </w:r>
          </w:p>
        </w:tc>
        <w:tc>
          <w:tcPr>
            <w:tcW w:w="454" w:type="dxa"/>
            <w:tcBorders>
              <w:top w:val="single" w:sz="4" w:space="0" w:color="auto"/>
              <w:bottom w:val="single" w:sz="4" w:space="0" w:color="auto"/>
            </w:tcBorders>
            <w:shd w:val="clear" w:color="auto" w:fill="auto"/>
            <w:noWrap/>
            <w:vAlign w:val="center"/>
          </w:tcPr>
          <w:p w14:paraId="1A2CBF7E" w14:textId="580470B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1BB0091" w14:textId="3D64818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E119291" w14:textId="53C9231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330A0FD" w14:textId="6653A1B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B9CDB5C" w14:textId="316FAF1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B981CE9" w14:textId="249CD56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599CADE" w14:textId="2FB2C3C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80897A4" w14:textId="780D857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5CAE451E" w14:textId="39C59D0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49E883C" w14:textId="6D256F4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0DD34B2" w14:textId="5029F16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13B74C4" w14:textId="741F89C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0FB76D2" w14:textId="78F5BDC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A0A1442" w14:textId="067E92E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FB7E3C6" w14:textId="40D5608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CA9D476" w14:textId="051F63D0"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22490F82"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06E9EB60" w14:textId="1D313DDF" w:rsidR="0067211A" w:rsidRPr="002B6D16" w:rsidRDefault="0067211A" w:rsidP="0067211A">
            <w:pPr>
              <w:spacing w:after="0"/>
              <w:rPr>
                <w:sz w:val="20"/>
                <w:lang w:val="en-GB" w:eastAsia="en-GB"/>
              </w:rPr>
            </w:pPr>
            <w:r w:rsidRPr="00A57714">
              <w:rPr>
                <w:rFonts w:cs="Arial"/>
                <w:color w:val="000000"/>
                <w:sz w:val="20"/>
                <w:szCs w:val="20"/>
              </w:rPr>
              <w:t>Sobocki et al</w:t>
            </w:r>
          </w:p>
        </w:tc>
        <w:tc>
          <w:tcPr>
            <w:tcW w:w="723" w:type="dxa"/>
            <w:tcBorders>
              <w:top w:val="single" w:sz="4" w:space="0" w:color="auto"/>
              <w:bottom w:val="single" w:sz="4" w:space="0" w:color="auto"/>
            </w:tcBorders>
            <w:shd w:val="clear" w:color="auto" w:fill="auto"/>
            <w:noWrap/>
            <w:vAlign w:val="center"/>
          </w:tcPr>
          <w:p w14:paraId="56F7865C" w14:textId="392FBAD2" w:rsidR="0067211A" w:rsidRPr="002B6D16" w:rsidRDefault="0067211A" w:rsidP="0067211A">
            <w:pPr>
              <w:spacing w:after="0"/>
              <w:jc w:val="center"/>
              <w:rPr>
                <w:sz w:val="20"/>
                <w:lang w:val="en-GB" w:eastAsia="en-GB"/>
              </w:rPr>
            </w:pPr>
            <w:r w:rsidRPr="00A57714">
              <w:rPr>
                <w:rFonts w:cs="Arial"/>
                <w:color w:val="000000"/>
                <w:sz w:val="20"/>
                <w:szCs w:val="20"/>
              </w:rPr>
              <w:t>2007</w:t>
            </w:r>
          </w:p>
        </w:tc>
        <w:tc>
          <w:tcPr>
            <w:tcW w:w="454" w:type="dxa"/>
            <w:tcBorders>
              <w:top w:val="single" w:sz="4" w:space="0" w:color="auto"/>
              <w:bottom w:val="single" w:sz="4" w:space="0" w:color="auto"/>
            </w:tcBorders>
            <w:shd w:val="clear" w:color="auto" w:fill="auto"/>
            <w:noWrap/>
            <w:vAlign w:val="center"/>
          </w:tcPr>
          <w:p w14:paraId="70EA5202" w14:textId="771EDF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85907B7" w14:textId="767EBF0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A89F463" w14:textId="7773741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9714BEF" w14:textId="23397CA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A7B0516" w14:textId="6F6F2A7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C7F011A" w14:textId="16BC17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F59E954" w14:textId="48EBE820"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7594622" w14:textId="1D34FCF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76E461B0" w14:textId="14D9C52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28486E3" w14:textId="016C79A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1378650" w14:textId="3984B0E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A28685A" w14:textId="3283333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B3834DD" w14:textId="6E51554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650D8E7" w14:textId="4141150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69DEEDD" w14:textId="78D17D9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3E138B3" w14:textId="0B1E1C52"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455CF54A"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67E4B807" w14:textId="610B5739" w:rsidR="0067211A" w:rsidRPr="002B6D16" w:rsidRDefault="0067211A" w:rsidP="0067211A">
            <w:pPr>
              <w:spacing w:after="0"/>
              <w:rPr>
                <w:sz w:val="20"/>
                <w:lang w:val="en-GB" w:eastAsia="en-GB"/>
              </w:rPr>
            </w:pPr>
            <w:r w:rsidRPr="00A57714">
              <w:rPr>
                <w:rFonts w:cs="Arial"/>
                <w:color w:val="000000"/>
                <w:sz w:val="20"/>
                <w:szCs w:val="20"/>
              </w:rPr>
              <w:t>Soeteman et al</w:t>
            </w:r>
          </w:p>
        </w:tc>
        <w:tc>
          <w:tcPr>
            <w:tcW w:w="723" w:type="dxa"/>
            <w:tcBorders>
              <w:top w:val="single" w:sz="4" w:space="0" w:color="auto"/>
              <w:bottom w:val="single" w:sz="4" w:space="0" w:color="auto"/>
            </w:tcBorders>
            <w:shd w:val="clear" w:color="auto" w:fill="auto"/>
            <w:noWrap/>
            <w:vAlign w:val="center"/>
          </w:tcPr>
          <w:p w14:paraId="4C74E186" w14:textId="1110114C" w:rsidR="0067211A" w:rsidRPr="002B6D16" w:rsidRDefault="0067211A" w:rsidP="0067211A">
            <w:pPr>
              <w:spacing w:after="0"/>
              <w:jc w:val="center"/>
              <w:rPr>
                <w:sz w:val="20"/>
                <w:lang w:val="en-GB" w:eastAsia="en-GB"/>
              </w:rPr>
            </w:pPr>
            <w:r w:rsidRPr="00A57714">
              <w:rPr>
                <w:rFonts w:cs="Arial"/>
                <w:color w:val="000000"/>
                <w:sz w:val="20"/>
                <w:szCs w:val="20"/>
              </w:rPr>
              <w:t>2008</w:t>
            </w:r>
          </w:p>
        </w:tc>
        <w:tc>
          <w:tcPr>
            <w:tcW w:w="454" w:type="dxa"/>
            <w:tcBorders>
              <w:top w:val="single" w:sz="4" w:space="0" w:color="auto"/>
              <w:bottom w:val="single" w:sz="4" w:space="0" w:color="auto"/>
            </w:tcBorders>
            <w:shd w:val="clear" w:color="auto" w:fill="auto"/>
            <w:noWrap/>
            <w:vAlign w:val="center"/>
          </w:tcPr>
          <w:p w14:paraId="3AFCAA9F" w14:textId="30745C5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A2A608B" w14:textId="7B0827C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6C6729D" w14:textId="02EA44B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627BAC3" w14:textId="705B41C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D34C0DA" w14:textId="77F8321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BD74841" w14:textId="07A6540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CFBD662" w14:textId="12F268E3"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45C2F51" w14:textId="78AE85D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4F8FF55D" w14:textId="5A52280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0C4E0CD" w14:textId="1CD59B8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BF10783" w14:textId="49BCA33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8BA3422" w14:textId="64CD997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A6EECD2" w14:textId="3E8658E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C80006B" w14:textId="430E7A5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59CD153" w14:textId="1D78AB0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1C174FCC" w14:textId="5FB29502"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23626AA6"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1A3AE9DB" w14:textId="65148802" w:rsidR="0067211A" w:rsidRPr="002B6D16" w:rsidRDefault="0067211A" w:rsidP="0067211A">
            <w:pPr>
              <w:spacing w:after="0"/>
              <w:rPr>
                <w:sz w:val="20"/>
                <w:lang w:val="en-GB" w:eastAsia="en-GB"/>
              </w:rPr>
            </w:pPr>
            <w:r w:rsidRPr="00A57714">
              <w:rPr>
                <w:rFonts w:cs="Arial"/>
                <w:color w:val="000000"/>
                <w:sz w:val="20"/>
                <w:szCs w:val="20"/>
              </w:rPr>
              <w:t>Souêtre et al</w:t>
            </w:r>
          </w:p>
        </w:tc>
        <w:tc>
          <w:tcPr>
            <w:tcW w:w="723" w:type="dxa"/>
            <w:tcBorders>
              <w:top w:val="single" w:sz="4" w:space="0" w:color="auto"/>
              <w:bottom w:val="single" w:sz="4" w:space="0" w:color="auto"/>
            </w:tcBorders>
            <w:shd w:val="clear" w:color="auto" w:fill="auto"/>
            <w:noWrap/>
            <w:vAlign w:val="center"/>
          </w:tcPr>
          <w:p w14:paraId="612A4575" w14:textId="6D2137BF" w:rsidR="0067211A" w:rsidRPr="002B6D16" w:rsidRDefault="0067211A" w:rsidP="0067211A">
            <w:pPr>
              <w:spacing w:after="0"/>
              <w:jc w:val="center"/>
              <w:rPr>
                <w:sz w:val="20"/>
                <w:lang w:val="en-GB" w:eastAsia="en-GB"/>
              </w:rPr>
            </w:pPr>
            <w:r w:rsidRPr="00A57714">
              <w:rPr>
                <w:rFonts w:cs="Arial"/>
                <w:color w:val="000000"/>
                <w:sz w:val="20"/>
                <w:szCs w:val="20"/>
              </w:rPr>
              <w:t>1994</w:t>
            </w:r>
          </w:p>
        </w:tc>
        <w:tc>
          <w:tcPr>
            <w:tcW w:w="454" w:type="dxa"/>
            <w:tcBorders>
              <w:top w:val="single" w:sz="4" w:space="0" w:color="auto"/>
              <w:bottom w:val="single" w:sz="4" w:space="0" w:color="auto"/>
            </w:tcBorders>
            <w:shd w:val="clear" w:color="auto" w:fill="auto"/>
            <w:noWrap/>
            <w:vAlign w:val="center"/>
          </w:tcPr>
          <w:p w14:paraId="2DB77D9C" w14:textId="2E6492B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35A96EC" w14:textId="635D92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55CBFFC" w14:textId="17C0B9A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23E2840" w14:textId="579F270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59AE2EA" w14:textId="0FA98FA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1FFDF4F" w14:textId="76F8345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026C24D" w14:textId="2AFD869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9F8CD54" w14:textId="5B21085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18E9E2B0" w14:textId="1D493E3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FAA453D" w14:textId="1DE439D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22F240E" w14:textId="578CBF7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5870056" w14:textId="4D9AB69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7248F27" w14:textId="435C723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0948F94" w14:textId="4C965EE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1E54F463" w14:textId="3FC3A33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C3048B7" w14:textId="48725430"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749A6683"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11A237CD" w14:textId="15ED3761" w:rsidR="0067211A" w:rsidRPr="002B6D16" w:rsidRDefault="0067211A" w:rsidP="0067211A">
            <w:pPr>
              <w:spacing w:after="0"/>
              <w:rPr>
                <w:sz w:val="20"/>
                <w:lang w:val="en-GB" w:eastAsia="en-GB"/>
              </w:rPr>
            </w:pPr>
            <w:r w:rsidRPr="00A57714">
              <w:rPr>
                <w:rFonts w:cs="Arial"/>
                <w:color w:val="000000"/>
                <w:sz w:val="20"/>
                <w:szCs w:val="20"/>
              </w:rPr>
              <w:t>Stoudemire et al</w:t>
            </w:r>
          </w:p>
        </w:tc>
        <w:tc>
          <w:tcPr>
            <w:tcW w:w="723" w:type="dxa"/>
            <w:tcBorders>
              <w:top w:val="single" w:sz="4" w:space="0" w:color="auto"/>
              <w:bottom w:val="single" w:sz="4" w:space="0" w:color="auto"/>
            </w:tcBorders>
            <w:shd w:val="clear" w:color="auto" w:fill="auto"/>
            <w:noWrap/>
            <w:vAlign w:val="center"/>
          </w:tcPr>
          <w:p w14:paraId="1743709E" w14:textId="2E548DC7" w:rsidR="0067211A" w:rsidRPr="002B6D16" w:rsidRDefault="0067211A" w:rsidP="0067211A">
            <w:pPr>
              <w:spacing w:after="0"/>
              <w:jc w:val="center"/>
              <w:rPr>
                <w:sz w:val="20"/>
                <w:lang w:val="en-GB" w:eastAsia="en-GB"/>
              </w:rPr>
            </w:pPr>
            <w:r w:rsidRPr="00A57714">
              <w:rPr>
                <w:rFonts w:cs="Arial"/>
                <w:color w:val="000000"/>
                <w:sz w:val="20"/>
                <w:szCs w:val="20"/>
              </w:rPr>
              <w:t>1986</w:t>
            </w:r>
          </w:p>
        </w:tc>
        <w:tc>
          <w:tcPr>
            <w:tcW w:w="454" w:type="dxa"/>
            <w:tcBorders>
              <w:top w:val="single" w:sz="4" w:space="0" w:color="auto"/>
              <w:bottom w:val="single" w:sz="4" w:space="0" w:color="auto"/>
            </w:tcBorders>
            <w:shd w:val="clear" w:color="auto" w:fill="auto"/>
            <w:noWrap/>
            <w:vAlign w:val="center"/>
          </w:tcPr>
          <w:p w14:paraId="11441945" w14:textId="7CCFDB7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C8A248F" w14:textId="4D234BB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AA98080" w14:textId="5E1C32B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3B3A6C3" w14:textId="7AD3BAF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E114EC6" w14:textId="27B8F0B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907C3CB" w14:textId="7CF8A6D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10" w:type="dxa"/>
            <w:tcBorders>
              <w:top w:val="single" w:sz="4" w:space="0" w:color="auto"/>
              <w:bottom w:val="single" w:sz="4" w:space="0" w:color="auto"/>
            </w:tcBorders>
            <w:shd w:val="clear" w:color="auto" w:fill="auto"/>
            <w:noWrap/>
            <w:vAlign w:val="center"/>
          </w:tcPr>
          <w:p w14:paraId="49EF0F9F" w14:textId="6A24EBE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3372E89" w14:textId="257A011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27012D90" w14:textId="548792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33DC773" w14:textId="701EB50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4197453" w14:textId="65137B1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F905D34" w14:textId="376658B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05497EA" w14:textId="6C65DD6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2854C7F2" w14:textId="1AECE8A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78763E2" w14:textId="0DA730B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000FAE32" w14:textId="71D510AA"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14ED1843"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625BB231" w14:textId="732BC943" w:rsidR="0067211A" w:rsidRPr="002B6D16" w:rsidRDefault="0067211A" w:rsidP="0067211A">
            <w:pPr>
              <w:spacing w:after="0"/>
              <w:rPr>
                <w:sz w:val="20"/>
                <w:lang w:val="en-GB" w:eastAsia="en-GB"/>
              </w:rPr>
            </w:pPr>
            <w:r w:rsidRPr="00A57714">
              <w:rPr>
                <w:rFonts w:cs="Arial"/>
                <w:color w:val="000000"/>
                <w:sz w:val="20"/>
                <w:szCs w:val="20"/>
              </w:rPr>
              <w:t>Strydom et al</w:t>
            </w:r>
          </w:p>
        </w:tc>
        <w:tc>
          <w:tcPr>
            <w:tcW w:w="723" w:type="dxa"/>
            <w:tcBorders>
              <w:top w:val="single" w:sz="4" w:space="0" w:color="auto"/>
              <w:bottom w:val="single" w:sz="4" w:space="0" w:color="auto"/>
            </w:tcBorders>
            <w:shd w:val="clear" w:color="auto" w:fill="auto"/>
            <w:noWrap/>
            <w:vAlign w:val="center"/>
          </w:tcPr>
          <w:p w14:paraId="72CFD9FD" w14:textId="40C87577" w:rsidR="0067211A" w:rsidRPr="002B6D16" w:rsidRDefault="0067211A" w:rsidP="0067211A">
            <w:pPr>
              <w:spacing w:after="0"/>
              <w:jc w:val="center"/>
              <w:rPr>
                <w:sz w:val="20"/>
                <w:lang w:val="en-GB" w:eastAsia="en-GB"/>
              </w:rPr>
            </w:pPr>
            <w:r w:rsidRPr="00A57714">
              <w:rPr>
                <w:rFonts w:cs="Arial"/>
                <w:color w:val="000000"/>
                <w:sz w:val="20"/>
                <w:szCs w:val="20"/>
              </w:rPr>
              <w:t>2010</w:t>
            </w:r>
          </w:p>
        </w:tc>
        <w:tc>
          <w:tcPr>
            <w:tcW w:w="454" w:type="dxa"/>
            <w:tcBorders>
              <w:top w:val="single" w:sz="4" w:space="0" w:color="auto"/>
              <w:bottom w:val="single" w:sz="4" w:space="0" w:color="auto"/>
            </w:tcBorders>
            <w:shd w:val="clear" w:color="auto" w:fill="auto"/>
            <w:noWrap/>
            <w:vAlign w:val="center"/>
          </w:tcPr>
          <w:p w14:paraId="2AEAB719" w14:textId="654F3D8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97EFB0C" w14:textId="2BF95CE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771C157" w14:textId="186F095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2131979" w14:textId="76C5A07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1C4FBE5" w14:textId="16A939D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D0037DC" w14:textId="751BB8E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0C6BF18E" w14:textId="439155A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41E9E18" w14:textId="3990AD1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45A3B976" w14:textId="7E4CD34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50ECD4B" w14:textId="6452EE3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3E67F87" w14:textId="5C8890B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CB72A40" w14:textId="7E2477D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9DC824F" w14:textId="5815AE1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B7FFF38" w14:textId="52C4C3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86EDE1D" w14:textId="6199988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04BBF0D" w14:textId="5869F012"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715EB529"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66C88134" w14:textId="5A2BABC8" w:rsidR="0067211A" w:rsidRPr="002B6D16" w:rsidRDefault="0067211A" w:rsidP="0067211A">
            <w:pPr>
              <w:spacing w:after="0"/>
              <w:rPr>
                <w:sz w:val="20"/>
                <w:lang w:val="en-GB" w:eastAsia="en-GB"/>
              </w:rPr>
            </w:pPr>
            <w:r w:rsidRPr="00A57714">
              <w:rPr>
                <w:rFonts w:cs="Arial"/>
                <w:color w:val="000000"/>
                <w:sz w:val="20"/>
                <w:szCs w:val="20"/>
              </w:rPr>
              <w:t>Suleiman et al</w:t>
            </w:r>
          </w:p>
        </w:tc>
        <w:tc>
          <w:tcPr>
            <w:tcW w:w="723" w:type="dxa"/>
            <w:tcBorders>
              <w:top w:val="single" w:sz="4" w:space="0" w:color="auto"/>
              <w:bottom w:val="single" w:sz="4" w:space="0" w:color="auto"/>
            </w:tcBorders>
            <w:shd w:val="clear" w:color="auto" w:fill="auto"/>
            <w:noWrap/>
            <w:vAlign w:val="center"/>
          </w:tcPr>
          <w:p w14:paraId="351190F1" w14:textId="11C7E670" w:rsidR="0067211A" w:rsidRPr="002B6D16" w:rsidRDefault="0067211A" w:rsidP="0067211A">
            <w:pPr>
              <w:spacing w:after="0"/>
              <w:jc w:val="center"/>
              <w:rPr>
                <w:sz w:val="20"/>
                <w:lang w:val="en-GB" w:eastAsia="en-GB"/>
              </w:rPr>
            </w:pPr>
            <w:r w:rsidRPr="00A57714">
              <w:rPr>
                <w:rFonts w:cs="Arial"/>
                <w:color w:val="000000"/>
                <w:sz w:val="20"/>
                <w:szCs w:val="20"/>
              </w:rPr>
              <w:t>1997</w:t>
            </w:r>
          </w:p>
        </w:tc>
        <w:tc>
          <w:tcPr>
            <w:tcW w:w="454" w:type="dxa"/>
            <w:tcBorders>
              <w:top w:val="single" w:sz="4" w:space="0" w:color="auto"/>
              <w:bottom w:val="single" w:sz="4" w:space="0" w:color="auto"/>
            </w:tcBorders>
            <w:shd w:val="clear" w:color="auto" w:fill="auto"/>
            <w:noWrap/>
            <w:vAlign w:val="center"/>
          </w:tcPr>
          <w:p w14:paraId="7DF23A59" w14:textId="3CE00D9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0B56F81" w14:textId="7A76F8F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B83756A" w14:textId="413A90D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D3C3D45" w14:textId="7ED2A7D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6B077122" w14:textId="727D13D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78C02DD" w14:textId="436EA5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156A622" w14:textId="06D4BD7A"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24305BFE" w14:textId="2A75965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6E45D9A4" w14:textId="7C1530B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8BB5587" w14:textId="53FBB82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5CCD3B8" w14:textId="7AD45C7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DE2EBBE" w14:textId="3FEB8F0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57AD72D" w14:textId="4ADAE5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49DBCA1" w14:textId="4A92C21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725A39D0" w14:textId="7B2D1BC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0A68CBCA" w14:textId="084BACAA"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66B8C3B3"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958C940" w14:textId="4E1EA278" w:rsidR="0067211A" w:rsidRPr="002B6D16" w:rsidRDefault="0067211A" w:rsidP="0067211A">
            <w:pPr>
              <w:spacing w:after="0"/>
              <w:rPr>
                <w:sz w:val="20"/>
                <w:lang w:val="en-GB" w:eastAsia="en-GB"/>
              </w:rPr>
            </w:pPr>
            <w:r w:rsidRPr="00A57714">
              <w:rPr>
                <w:rFonts w:cs="Arial"/>
                <w:color w:val="000000"/>
                <w:sz w:val="20"/>
                <w:szCs w:val="20"/>
              </w:rPr>
              <w:t>Sundhedsministeriet [Ministry of Health]</w:t>
            </w:r>
          </w:p>
        </w:tc>
        <w:tc>
          <w:tcPr>
            <w:tcW w:w="723" w:type="dxa"/>
            <w:tcBorders>
              <w:top w:val="single" w:sz="4" w:space="0" w:color="auto"/>
              <w:bottom w:val="single" w:sz="4" w:space="0" w:color="auto"/>
            </w:tcBorders>
            <w:shd w:val="clear" w:color="auto" w:fill="auto"/>
            <w:noWrap/>
            <w:vAlign w:val="center"/>
          </w:tcPr>
          <w:p w14:paraId="3E2D70B2" w14:textId="2786A073" w:rsidR="0067211A" w:rsidRPr="002B6D16" w:rsidRDefault="0067211A" w:rsidP="0067211A">
            <w:pPr>
              <w:spacing w:after="0"/>
              <w:jc w:val="center"/>
              <w:rPr>
                <w:sz w:val="20"/>
                <w:lang w:val="en-GB" w:eastAsia="en-GB"/>
              </w:rPr>
            </w:pPr>
            <w:r w:rsidRPr="00A57714">
              <w:rPr>
                <w:rFonts w:cs="Arial"/>
                <w:color w:val="000000"/>
                <w:sz w:val="20"/>
                <w:szCs w:val="20"/>
              </w:rPr>
              <w:t>1999</w:t>
            </w:r>
          </w:p>
        </w:tc>
        <w:tc>
          <w:tcPr>
            <w:tcW w:w="454" w:type="dxa"/>
            <w:tcBorders>
              <w:top w:val="single" w:sz="4" w:space="0" w:color="auto"/>
              <w:bottom w:val="single" w:sz="4" w:space="0" w:color="auto"/>
            </w:tcBorders>
            <w:shd w:val="clear" w:color="auto" w:fill="auto"/>
            <w:noWrap/>
            <w:vAlign w:val="center"/>
          </w:tcPr>
          <w:p w14:paraId="70492B56" w14:textId="72C6338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21077CE" w14:textId="38B343B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CD0F387" w14:textId="5038B72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71B45C7" w14:textId="2AD6B1C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C50C4EC" w14:textId="096DEC2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19F8593" w14:textId="5908EF4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FD42B5A" w14:textId="46D14F1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98FD218" w14:textId="66D3F15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0D7BB79E" w14:textId="6BDE2AC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E3FD428" w14:textId="451B4F5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1BADF5E" w14:textId="43C0521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917F504" w14:textId="441921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71F4216" w14:textId="131D949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5374992" w14:textId="70DAB78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50E1804" w14:textId="11C093B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8BC3135" w14:textId="2684C24C"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06D5C01E"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9389732" w14:textId="3E3F8958" w:rsidR="0067211A" w:rsidRPr="002B6D16" w:rsidRDefault="0067211A" w:rsidP="0067211A">
            <w:pPr>
              <w:spacing w:after="0"/>
              <w:rPr>
                <w:sz w:val="20"/>
                <w:lang w:val="en-GB" w:eastAsia="en-GB"/>
              </w:rPr>
            </w:pPr>
            <w:r w:rsidRPr="00A57714">
              <w:rPr>
                <w:rFonts w:cs="Arial"/>
                <w:color w:val="000000"/>
                <w:sz w:val="20"/>
                <w:szCs w:val="20"/>
              </w:rPr>
              <w:t>Telford et al</w:t>
            </w:r>
          </w:p>
        </w:tc>
        <w:tc>
          <w:tcPr>
            <w:tcW w:w="723" w:type="dxa"/>
            <w:tcBorders>
              <w:top w:val="single" w:sz="4" w:space="0" w:color="auto"/>
              <w:bottom w:val="single" w:sz="4" w:space="0" w:color="auto"/>
            </w:tcBorders>
            <w:shd w:val="clear" w:color="auto" w:fill="auto"/>
            <w:noWrap/>
            <w:vAlign w:val="center"/>
          </w:tcPr>
          <w:p w14:paraId="6B0D4BF4" w14:textId="76ED5822"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7827B3F7" w14:textId="0A5B0FE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6301354" w14:textId="627D0A9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D623617" w14:textId="720B691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BC1C926" w14:textId="3ACB805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44EAADF" w14:textId="2C0702C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8FDEE59" w14:textId="2402C4E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0ADB528" w14:textId="1949346E"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30B9DCB" w14:textId="286D174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5FB13B8D" w14:textId="7C221AC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D468304" w14:textId="4369983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51CEE6C" w14:textId="4502172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1F36107" w14:textId="7C3E24F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0DE216F" w14:textId="771C87E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4B57BA3" w14:textId="1C97362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154EDA9" w14:textId="7004A89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422E573E" w14:textId="0CE4BD51" w:rsidR="0067211A" w:rsidRPr="002B6D16" w:rsidRDefault="0067211A" w:rsidP="0067211A">
            <w:pPr>
              <w:spacing w:after="0"/>
              <w:jc w:val="center"/>
              <w:rPr>
                <w:sz w:val="20"/>
                <w:lang w:val="en-GB" w:eastAsia="en-GB"/>
              </w:rPr>
            </w:pPr>
            <w:r w:rsidRPr="00A57714">
              <w:rPr>
                <w:rFonts w:cs="Arial"/>
                <w:color w:val="000000"/>
                <w:sz w:val="20"/>
                <w:szCs w:val="20"/>
              </w:rPr>
              <w:t>10</w:t>
            </w:r>
          </w:p>
        </w:tc>
      </w:tr>
      <w:tr w:rsidR="0067211A" w:rsidRPr="002B6D16" w14:paraId="09694628"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137E32A" w14:textId="42D5532D" w:rsidR="0067211A" w:rsidRPr="002B6D16" w:rsidRDefault="0067211A" w:rsidP="0067211A">
            <w:pPr>
              <w:spacing w:after="0"/>
              <w:rPr>
                <w:sz w:val="20"/>
                <w:lang w:val="en-GB" w:eastAsia="en-GB"/>
              </w:rPr>
            </w:pPr>
            <w:r w:rsidRPr="00A57714">
              <w:rPr>
                <w:rFonts w:cs="Arial"/>
                <w:color w:val="000000"/>
                <w:sz w:val="20"/>
                <w:szCs w:val="20"/>
              </w:rPr>
              <w:t>Teoh et al</w:t>
            </w:r>
          </w:p>
        </w:tc>
        <w:tc>
          <w:tcPr>
            <w:tcW w:w="723" w:type="dxa"/>
            <w:tcBorders>
              <w:top w:val="single" w:sz="4" w:space="0" w:color="auto"/>
              <w:bottom w:val="single" w:sz="4" w:space="0" w:color="auto"/>
            </w:tcBorders>
            <w:shd w:val="clear" w:color="auto" w:fill="auto"/>
            <w:noWrap/>
            <w:vAlign w:val="center"/>
          </w:tcPr>
          <w:p w14:paraId="681298CC" w14:textId="7E470BE8" w:rsidR="0067211A" w:rsidRPr="002B6D16" w:rsidRDefault="0067211A" w:rsidP="0067211A">
            <w:pPr>
              <w:spacing w:after="0"/>
              <w:jc w:val="center"/>
              <w:rPr>
                <w:sz w:val="20"/>
                <w:lang w:val="en-GB" w:eastAsia="en-GB"/>
              </w:rPr>
            </w:pPr>
            <w:r w:rsidRPr="00A57714">
              <w:rPr>
                <w:rFonts w:cs="Arial"/>
                <w:color w:val="000000"/>
                <w:sz w:val="20"/>
                <w:szCs w:val="20"/>
              </w:rPr>
              <w:t>2017</w:t>
            </w:r>
          </w:p>
        </w:tc>
        <w:tc>
          <w:tcPr>
            <w:tcW w:w="454" w:type="dxa"/>
            <w:tcBorders>
              <w:top w:val="single" w:sz="4" w:space="0" w:color="auto"/>
              <w:bottom w:val="single" w:sz="4" w:space="0" w:color="auto"/>
            </w:tcBorders>
            <w:shd w:val="clear" w:color="auto" w:fill="auto"/>
            <w:noWrap/>
            <w:vAlign w:val="center"/>
          </w:tcPr>
          <w:p w14:paraId="2C7CC272" w14:textId="06A0AF5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93C5E50" w14:textId="5D7300A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BFB072B" w14:textId="1FED106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84EC9DF" w14:textId="649A7A4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1A35444" w14:textId="15511D1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1E48FE4" w14:textId="63D55FB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870F9D7" w14:textId="0BC57B9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12D890B" w14:textId="3224469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AEF3FF7" w14:textId="34B437A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775BFD3" w14:textId="00C757F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B4CB401" w14:textId="7A853EF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8A26699" w14:textId="64CE87F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946EC6C" w14:textId="6241FCB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0E8DA34" w14:textId="188811D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007D71A" w14:textId="3720D1B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7D3F4F6" w14:textId="33F46BB8"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6A97DDE2"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26B51645" w14:textId="7A629B80" w:rsidR="0067211A" w:rsidRPr="002B6D16" w:rsidRDefault="0067211A" w:rsidP="0067211A">
            <w:pPr>
              <w:spacing w:after="0"/>
              <w:rPr>
                <w:sz w:val="20"/>
                <w:lang w:val="en-GB" w:eastAsia="en-GB"/>
              </w:rPr>
            </w:pPr>
            <w:r w:rsidRPr="00A57714">
              <w:rPr>
                <w:rFonts w:cs="Arial"/>
                <w:color w:val="000000"/>
                <w:sz w:val="20"/>
                <w:szCs w:val="20"/>
              </w:rPr>
              <w:t>Thomas et al</w:t>
            </w:r>
          </w:p>
        </w:tc>
        <w:tc>
          <w:tcPr>
            <w:tcW w:w="723" w:type="dxa"/>
            <w:tcBorders>
              <w:top w:val="single" w:sz="4" w:space="0" w:color="auto"/>
              <w:bottom w:val="single" w:sz="4" w:space="0" w:color="auto"/>
            </w:tcBorders>
            <w:shd w:val="clear" w:color="auto" w:fill="auto"/>
            <w:noWrap/>
            <w:vAlign w:val="center"/>
          </w:tcPr>
          <w:p w14:paraId="0C240F37" w14:textId="3727B1AB" w:rsidR="0067211A" w:rsidRPr="002B6D16" w:rsidRDefault="0067211A" w:rsidP="0067211A">
            <w:pPr>
              <w:spacing w:after="0"/>
              <w:jc w:val="center"/>
              <w:rPr>
                <w:sz w:val="20"/>
                <w:lang w:val="en-GB" w:eastAsia="en-GB"/>
              </w:rPr>
            </w:pPr>
            <w:r w:rsidRPr="00A57714">
              <w:rPr>
                <w:rFonts w:cs="Arial"/>
                <w:color w:val="000000"/>
                <w:sz w:val="20"/>
                <w:szCs w:val="20"/>
              </w:rPr>
              <w:t>2003</w:t>
            </w:r>
          </w:p>
        </w:tc>
        <w:tc>
          <w:tcPr>
            <w:tcW w:w="454" w:type="dxa"/>
            <w:tcBorders>
              <w:top w:val="single" w:sz="4" w:space="0" w:color="auto"/>
              <w:bottom w:val="single" w:sz="4" w:space="0" w:color="auto"/>
            </w:tcBorders>
            <w:shd w:val="clear" w:color="auto" w:fill="auto"/>
            <w:noWrap/>
            <w:vAlign w:val="center"/>
          </w:tcPr>
          <w:p w14:paraId="5E6862A8" w14:textId="08D7B5F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59DB147" w14:textId="566C1A6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DA6E05C" w14:textId="0C3D7CD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5FA1505" w14:textId="2DEB306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605345C" w14:textId="32ABBEC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0B69B92" w14:textId="01C27AF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87AE3F8" w14:textId="1CF4F33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D884FD9" w14:textId="7C23140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16C1EDC" w14:textId="68C4C80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1BE8AE66" w14:textId="603AB33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87735AD" w14:textId="46FB57A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05317A6" w14:textId="335E340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EBF0110" w14:textId="3FFEB74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098A0C5" w14:textId="29C9E4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A5C9D3B" w14:textId="414653B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3E08970F" w14:textId="780BDE78" w:rsidR="0067211A" w:rsidRPr="002B6D16" w:rsidRDefault="0067211A" w:rsidP="0067211A">
            <w:pPr>
              <w:spacing w:after="0"/>
              <w:jc w:val="center"/>
              <w:rPr>
                <w:sz w:val="20"/>
                <w:lang w:val="en-GB" w:eastAsia="en-GB"/>
              </w:rPr>
            </w:pPr>
            <w:r w:rsidRPr="00A57714">
              <w:rPr>
                <w:rFonts w:cs="Arial"/>
                <w:color w:val="000000"/>
                <w:sz w:val="20"/>
                <w:szCs w:val="20"/>
              </w:rPr>
              <w:t>7</w:t>
            </w:r>
          </w:p>
        </w:tc>
      </w:tr>
      <w:tr w:rsidR="0067211A" w:rsidRPr="002B6D16" w14:paraId="194EE310"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5F281339" w14:textId="2E89D061" w:rsidR="0067211A" w:rsidRPr="002B6D16" w:rsidRDefault="0067211A" w:rsidP="0067211A">
            <w:pPr>
              <w:spacing w:after="0"/>
              <w:rPr>
                <w:sz w:val="20"/>
                <w:lang w:val="en-GB" w:eastAsia="en-GB"/>
              </w:rPr>
            </w:pPr>
            <w:r w:rsidRPr="00A57714">
              <w:rPr>
                <w:rFonts w:cs="Arial"/>
                <w:color w:val="000000"/>
                <w:sz w:val="20"/>
                <w:szCs w:val="20"/>
              </w:rPr>
              <w:t xml:space="preserve">Tiainen &amp; Rehnberg </w:t>
            </w:r>
          </w:p>
        </w:tc>
        <w:tc>
          <w:tcPr>
            <w:tcW w:w="723" w:type="dxa"/>
            <w:tcBorders>
              <w:top w:val="single" w:sz="4" w:space="0" w:color="auto"/>
              <w:bottom w:val="single" w:sz="4" w:space="0" w:color="auto"/>
            </w:tcBorders>
            <w:shd w:val="clear" w:color="auto" w:fill="auto"/>
            <w:noWrap/>
            <w:vAlign w:val="center"/>
          </w:tcPr>
          <w:p w14:paraId="1F764FAB" w14:textId="58B0A5EC" w:rsidR="0067211A" w:rsidRPr="002B6D16" w:rsidRDefault="0067211A" w:rsidP="0067211A">
            <w:pPr>
              <w:spacing w:after="0"/>
              <w:jc w:val="center"/>
              <w:rPr>
                <w:sz w:val="20"/>
                <w:lang w:val="en-GB" w:eastAsia="en-GB"/>
              </w:rPr>
            </w:pPr>
            <w:r w:rsidRPr="00A57714">
              <w:rPr>
                <w:rFonts w:cs="Arial"/>
                <w:color w:val="000000"/>
                <w:sz w:val="20"/>
                <w:szCs w:val="20"/>
              </w:rPr>
              <w:t>2010</w:t>
            </w:r>
          </w:p>
        </w:tc>
        <w:tc>
          <w:tcPr>
            <w:tcW w:w="454" w:type="dxa"/>
            <w:tcBorders>
              <w:top w:val="single" w:sz="4" w:space="0" w:color="auto"/>
              <w:bottom w:val="single" w:sz="4" w:space="0" w:color="auto"/>
            </w:tcBorders>
            <w:shd w:val="clear" w:color="auto" w:fill="auto"/>
            <w:noWrap/>
            <w:vAlign w:val="center"/>
          </w:tcPr>
          <w:p w14:paraId="18DB246C" w14:textId="0BDA3F8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A10F9C9" w14:textId="4EC2F98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84B507C" w14:textId="28EA81D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C5B954A" w14:textId="4783BC8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07B1578" w14:textId="23E402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CF3716A" w14:textId="7D45727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252BAA9" w14:textId="6C451DD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ACFC659" w14:textId="3297910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0FF94630" w14:textId="7BA2DEF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9064AAB" w14:textId="32501FB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16B7AE8" w14:textId="46DC96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356E8A2" w14:textId="177D03F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382733DE" w14:textId="320F12F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2FD9B26" w14:textId="0756A86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635CFED" w14:textId="228847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3976B01C" w14:textId="2784D91C"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2139642D"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02699BD5" w14:textId="3B57848D" w:rsidR="0067211A" w:rsidRPr="002B6D16" w:rsidRDefault="0067211A" w:rsidP="0067211A">
            <w:pPr>
              <w:spacing w:after="0"/>
              <w:rPr>
                <w:sz w:val="20"/>
                <w:lang w:val="en-GB" w:eastAsia="en-GB"/>
              </w:rPr>
            </w:pPr>
            <w:r w:rsidRPr="00A57714">
              <w:rPr>
                <w:rFonts w:cs="Arial"/>
                <w:color w:val="000000"/>
                <w:sz w:val="20"/>
                <w:szCs w:val="20"/>
              </w:rPr>
              <w:t>Tomonaga et al</w:t>
            </w:r>
          </w:p>
        </w:tc>
        <w:tc>
          <w:tcPr>
            <w:tcW w:w="723" w:type="dxa"/>
            <w:tcBorders>
              <w:top w:val="single" w:sz="4" w:space="0" w:color="auto"/>
              <w:bottom w:val="single" w:sz="4" w:space="0" w:color="auto"/>
            </w:tcBorders>
            <w:shd w:val="clear" w:color="auto" w:fill="auto"/>
            <w:noWrap/>
            <w:vAlign w:val="center"/>
          </w:tcPr>
          <w:p w14:paraId="288BE4A4" w14:textId="1295FB7D"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19CF2C24" w14:textId="1EDD938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BDD3346" w14:textId="357230F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004E83C" w14:textId="78CE06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74E1D8A" w14:textId="12D06D0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AD00583" w14:textId="60F4714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97025EB" w14:textId="1CA982D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1E6B6C1C" w14:textId="2E0C21E2"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1A1F2971" w14:textId="227C970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885A187" w14:textId="20BB66D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9928AD6" w14:textId="506480B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5E528EF" w14:textId="3AAB0B6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3600F99" w14:textId="4EE1523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74331F4" w14:textId="351C2C7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7E04185" w14:textId="14E2062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013E6A08" w14:textId="3E12DFD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27658CC" w14:textId="22A5526A"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0DF0BF36"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31C4DE07" w14:textId="34224B08" w:rsidR="0067211A" w:rsidRPr="002B6D16" w:rsidRDefault="0067211A" w:rsidP="0067211A">
            <w:pPr>
              <w:spacing w:after="0"/>
              <w:rPr>
                <w:sz w:val="20"/>
                <w:lang w:val="en-GB" w:eastAsia="en-GB"/>
              </w:rPr>
            </w:pPr>
            <w:r w:rsidRPr="00A57714">
              <w:rPr>
                <w:rFonts w:cs="Arial"/>
                <w:color w:val="000000"/>
                <w:sz w:val="20"/>
                <w:szCs w:val="20"/>
              </w:rPr>
              <w:t>Trivedi et al</w:t>
            </w:r>
          </w:p>
        </w:tc>
        <w:tc>
          <w:tcPr>
            <w:tcW w:w="723" w:type="dxa"/>
            <w:tcBorders>
              <w:top w:val="single" w:sz="4" w:space="0" w:color="auto"/>
              <w:bottom w:val="single" w:sz="4" w:space="0" w:color="auto"/>
            </w:tcBorders>
            <w:shd w:val="clear" w:color="auto" w:fill="auto"/>
            <w:noWrap/>
            <w:vAlign w:val="center"/>
          </w:tcPr>
          <w:p w14:paraId="6886778D" w14:textId="522CB315" w:rsidR="0067211A" w:rsidRPr="002B6D16" w:rsidRDefault="0067211A" w:rsidP="0067211A">
            <w:pPr>
              <w:spacing w:after="0"/>
              <w:jc w:val="center"/>
              <w:rPr>
                <w:sz w:val="20"/>
                <w:lang w:val="en-GB" w:eastAsia="en-GB"/>
              </w:rPr>
            </w:pPr>
            <w:r w:rsidRPr="00A57714">
              <w:rPr>
                <w:rFonts w:cs="Arial"/>
                <w:color w:val="000000"/>
                <w:sz w:val="20"/>
                <w:szCs w:val="20"/>
              </w:rPr>
              <w:t>2004</w:t>
            </w:r>
          </w:p>
        </w:tc>
        <w:tc>
          <w:tcPr>
            <w:tcW w:w="454" w:type="dxa"/>
            <w:tcBorders>
              <w:top w:val="single" w:sz="4" w:space="0" w:color="auto"/>
              <w:bottom w:val="single" w:sz="4" w:space="0" w:color="auto"/>
            </w:tcBorders>
            <w:shd w:val="clear" w:color="auto" w:fill="auto"/>
            <w:noWrap/>
            <w:vAlign w:val="center"/>
          </w:tcPr>
          <w:p w14:paraId="09A5413B" w14:textId="17DF181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3C42238" w14:textId="64AB7CD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6617125" w14:textId="21E26D6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33E7820" w14:textId="068BBB9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E933BBE" w14:textId="39A8926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167B2E1" w14:textId="13047D1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24626D2" w14:textId="2E408E43"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684C3242" w14:textId="7D9E7A2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4E31045D" w14:textId="43C2086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9813D53" w14:textId="05C8712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E1A7550" w14:textId="75A94E3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81367EF" w14:textId="7B2B640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B872EFC" w14:textId="4AA97A1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0C2280B9" w14:textId="62BCE56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22B0E066" w14:textId="03BA34C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69D5C74" w14:textId="15BDF9BB" w:rsidR="0067211A" w:rsidRPr="002B6D16" w:rsidRDefault="0067211A" w:rsidP="0067211A">
            <w:pPr>
              <w:spacing w:after="0"/>
              <w:jc w:val="center"/>
              <w:rPr>
                <w:sz w:val="20"/>
                <w:lang w:val="en-GB" w:eastAsia="en-GB"/>
              </w:rPr>
            </w:pPr>
            <w:r w:rsidRPr="00A57714">
              <w:rPr>
                <w:rFonts w:cs="Arial"/>
                <w:color w:val="000000"/>
                <w:sz w:val="20"/>
                <w:szCs w:val="20"/>
              </w:rPr>
              <w:t>4</w:t>
            </w:r>
          </w:p>
        </w:tc>
      </w:tr>
      <w:tr w:rsidR="0067211A" w:rsidRPr="002B6D16" w14:paraId="6FDBDF5D"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67E431D6" w14:textId="64FE9599" w:rsidR="0067211A" w:rsidRPr="002B6D16" w:rsidRDefault="0067211A" w:rsidP="0067211A">
            <w:pPr>
              <w:spacing w:after="0"/>
              <w:rPr>
                <w:sz w:val="20"/>
                <w:lang w:val="en-GB" w:eastAsia="en-GB"/>
              </w:rPr>
            </w:pPr>
            <w:r w:rsidRPr="00A57714">
              <w:rPr>
                <w:rFonts w:cs="Arial"/>
                <w:color w:val="000000"/>
                <w:sz w:val="20"/>
                <w:szCs w:val="20"/>
              </w:rPr>
              <w:t>Trogdon et al</w:t>
            </w:r>
          </w:p>
        </w:tc>
        <w:tc>
          <w:tcPr>
            <w:tcW w:w="723" w:type="dxa"/>
            <w:tcBorders>
              <w:top w:val="single" w:sz="4" w:space="0" w:color="auto"/>
              <w:bottom w:val="single" w:sz="4" w:space="0" w:color="auto"/>
            </w:tcBorders>
            <w:shd w:val="clear" w:color="auto" w:fill="auto"/>
            <w:noWrap/>
            <w:vAlign w:val="center"/>
          </w:tcPr>
          <w:p w14:paraId="3858D9ED" w14:textId="4AF71E3D" w:rsidR="0067211A" w:rsidRPr="002B6D16" w:rsidRDefault="0067211A" w:rsidP="0067211A">
            <w:pPr>
              <w:spacing w:after="0"/>
              <w:jc w:val="center"/>
              <w:rPr>
                <w:sz w:val="20"/>
                <w:lang w:val="en-GB" w:eastAsia="en-GB"/>
              </w:rPr>
            </w:pPr>
            <w:r w:rsidRPr="00A57714">
              <w:rPr>
                <w:rFonts w:cs="Arial"/>
                <w:color w:val="000000"/>
                <w:sz w:val="20"/>
                <w:szCs w:val="20"/>
              </w:rPr>
              <w:t>2015</w:t>
            </w:r>
          </w:p>
        </w:tc>
        <w:tc>
          <w:tcPr>
            <w:tcW w:w="454" w:type="dxa"/>
            <w:tcBorders>
              <w:top w:val="single" w:sz="4" w:space="0" w:color="auto"/>
              <w:bottom w:val="single" w:sz="4" w:space="0" w:color="auto"/>
            </w:tcBorders>
            <w:shd w:val="clear" w:color="auto" w:fill="auto"/>
            <w:noWrap/>
            <w:vAlign w:val="center"/>
          </w:tcPr>
          <w:p w14:paraId="43AD2440" w14:textId="054FD92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4548C35" w14:textId="6349D86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A93A8BE" w14:textId="230096B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DBD528C" w14:textId="68A3423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3149050" w14:textId="5A2F763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6F12387" w14:textId="69D6239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7BECE368" w14:textId="571F75D9"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49DD062A" w14:textId="6CF8EF8E"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3F425CFD" w14:textId="250AFFB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FF626AE" w14:textId="3201D7E4"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136DA12" w14:textId="0BC424B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058BDEE" w14:textId="7EC04C2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77B21B0" w14:textId="32355FD0"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39C828B1" w14:textId="44A96F8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ECDDA47" w14:textId="3328540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4A3BB6AD" w14:textId="12A5280F"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151549E6"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6114EECA" w14:textId="62CDF7B8" w:rsidR="0067211A" w:rsidRPr="002B6D16" w:rsidRDefault="0067211A" w:rsidP="0067211A">
            <w:pPr>
              <w:spacing w:after="0"/>
              <w:rPr>
                <w:sz w:val="20"/>
                <w:lang w:val="en-GB" w:eastAsia="en-GB"/>
              </w:rPr>
            </w:pPr>
            <w:r w:rsidRPr="00A57714">
              <w:rPr>
                <w:rFonts w:cs="Arial"/>
                <w:color w:val="000000"/>
                <w:sz w:val="20"/>
                <w:szCs w:val="20"/>
              </w:rPr>
              <w:t>Vasiliadis et al</w:t>
            </w:r>
          </w:p>
        </w:tc>
        <w:tc>
          <w:tcPr>
            <w:tcW w:w="723" w:type="dxa"/>
            <w:tcBorders>
              <w:top w:val="single" w:sz="4" w:space="0" w:color="auto"/>
              <w:bottom w:val="single" w:sz="4" w:space="0" w:color="auto"/>
            </w:tcBorders>
            <w:shd w:val="clear" w:color="auto" w:fill="auto"/>
            <w:noWrap/>
            <w:vAlign w:val="center"/>
          </w:tcPr>
          <w:p w14:paraId="7B19ACE5" w14:textId="71CED706" w:rsidR="0067211A" w:rsidRPr="002B6D16" w:rsidRDefault="0067211A" w:rsidP="0067211A">
            <w:pPr>
              <w:spacing w:after="0"/>
              <w:jc w:val="center"/>
              <w:rPr>
                <w:sz w:val="20"/>
                <w:lang w:val="en-GB" w:eastAsia="en-GB"/>
              </w:rPr>
            </w:pPr>
            <w:r w:rsidRPr="00A57714">
              <w:rPr>
                <w:rFonts w:cs="Arial"/>
                <w:color w:val="000000"/>
                <w:sz w:val="20"/>
                <w:szCs w:val="20"/>
              </w:rPr>
              <w:t>2013</w:t>
            </w:r>
          </w:p>
        </w:tc>
        <w:tc>
          <w:tcPr>
            <w:tcW w:w="454" w:type="dxa"/>
            <w:tcBorders>
              <w:top w:val="single" w:sz="4" w:space="0" w:color="auto"/>
              <w:bottom w:val="single" w:sz="4" w:space="0" w:color="auto"/>
            </w:tcBorders>
            <w:shd w:val="clear" w:color="auto" w:fill="auto"/>
            <w:noWrap/>
            <w:vAlign w:val="center"/>
          </w:tcPr>
          <w:p w14:paraId="230AD484" w14:textId="271BE46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1878139" w14:textId="7415705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6756D87" w14:textId="7582E92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1F7BDC5" w14:textId="3A36943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6837ED6E" w14:textId="5AE009B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49C7E03" w14:textId="5FE1C39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10" w:type="dxa"/>
            <w:tcBorders>
              <w:top w:val="single" w:sz="4" w:space="0" w:color="auto"/>
              <w:bottom w:val="single" w:sz="4" w:space="0" w:color="auto"/>
            </w:tcBorders>
            <w:shd w:val="clear" w:color="auto" w:fill="auto"/>
            <w:noWrap/>
            <w:vAlign w:val="center"/>
          </w:tcPr>
          <w:p w14:paraId="429B05E4" w14:textId="7319595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503DDCA3" w14:textId="2E851E2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704626C3" w14:textId="43E24C7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E4A06F7" w14:textId="5B9CD8C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8FA22F3" w14:textId="2B346EA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F1B895C" w14:textId="1585F7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E717A64" w14:textId="4F6B326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27144CA" w14:textId="5E78B52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0E68D9E5" w14:textId="57CAE4B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677BD7DE" w14:textId="410B1FC1"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2E586F8E"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6CC0C5C2" w14:textId="6D61190E" w:rsidR="0067211A" w:rsidRPr="002B6D16" w:rsidRDefault="0067211A" w:rsidP="0067211A">
            <w:pPr>
              <w:spacing w:after="0"/>
              <w:rPr>
                <w:sz w:val="20"/>
                <w:lang w:val="en-GB" w:eastAsia="en-GB"/>
              </w:rPr>
            </w:pPr>
            <w:r w:rsidRPr="00A57714">
              <w:rPr>
                <w:rFonts w:cs="Arial"/>
                <w:color w:val="000000"/>
                <w:sz w:val="20"/>
                <w:szCs w:val="20"/>
              </w:rPr>
              <w:t>Vazquez-Polo et al</w:t>
            </w:r>
          </w:p>
        </w:tc>
        <w:tc>
          <w:tcPr>
            <w:tcW w:w="723" w:type="dxa"/>
            <w:tcBorders>
              <w:top w:val="single" w:sz="4" w:space="0" w:color="auto"/>
              <w:bottom w:val="single" w:sz="4" w:space="0" w:color="auto"/>
            </w:tcBorders>
            <w:shd w:val="clear" w:color="auto" w:fill="auto"/>
            <w:noWrap/>
            <w:vAlign w:val="center"/>
          </w:tcPr>
          <w:p w14:paraId="3A6F8F13" w14:textId="4C006193" w:rsidR="0067211A" w:rsidRPr="002B6D16" w:rsidRDefault="0067211A" w:rsidP="0067211A">
            <w:pPr>
              <w:spacing w:after="0"/>
              <w:jc w:val="center"/>
              <w:rPr>
                <w:sz w:val="20"/>
                <w:lang w:val="en-GB" w:eastAsia="en-GB"/>
              </w:rPr>
            </w:pPr>
            <w:r w:rsidRPr="00A57714">
              <w:rPr>
                <w:rFonts w:cs="Arial"/>
                <w:color w:val="000000"/>
                <w:sz w:val="20"/>
                <w:szCs w:val="20"/>
              </w:rPr>
              <w:t>2005</w:t>
            </w:r>
          </w:p>
        </w:tc>
        <w:tc>
          <w:tcPr>
            <w:tcW w:w="454" w:type="dxa"/>
            <w:tcBorders>
              <w:top w:val="single" w:sz="4" w:space="0" w:color="auto"/>
              <w:bottom w:val="single" w:sz="4" w:space="0" w:color="auto"/>
            </w:tcBorders>
            <w:shd w:val="clear" w:color="auto" w:fill="auto"/>
            <w:noWrap/>
            <w:vAlign w:val="center"/>
          </w:tcPr>
          <w:p w14:paraId="64D09F72" w14:textId="45AC21B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281C68F" w14:textId="77953C3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7AB363D" w14:textId="3335188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E4C9747" w14:textId="16FAAC3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B5465D2" w14:textId="29AD842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FD2F9C4" w14:textId="00B3EBF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BC48AD4" w14:textId="1171339C"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2E0EAA74" w14:textId="3ED5B45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03ADE9E7" w14:textId="2773B28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41F2FA84" w14:textId="1C94A31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1816B41" w14:textId="0D4145C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7CFC5328" w14:textId="1C1DD0E3" w:rsidR="0067211A" w:rsidRPr="002B6D16" w:rsidRDefault="0067211A" w:rsidP="0067211A">
            <w:pPr>
              <w:spacing w:after="0"/>
              <w:jc w:val="center"/>
              <w:rPr>
                <w:sz w:val="20"/>
                <w:lang w:val="en-GB" w:eastAsia="en-GB"/>
              </w:rPr>
            </w:pPr>
            <w:r w:rsidRPr="006E572C">
              <w:rPr>
                <w:rFonts w:cs="Arial"/>
                <w:sz w:val="20"/>
                <w:szCs w:val="20"/>
              </w:rPr>
              <w:t>1</w:t>
            </w:r>
          </w:p>
        </w:tc>
        <w:tc>
          <w:tcPr>
            <w:tcW w:w="0" w:type="auto"/>
            <w:tcBorders>
              <w:top w:val="single" w:sz="4" w:space="0" w:color="auto"/>
              <w:bottom w:val="single" w:sz="4" w:space="0" w:color="auto"/>
            </w:tcBorders>
            <w:shd w:val="clear" w:color="auto" w:fill="auto"/>
            <w:noWrap/>
            <w:vAlign w:val="center"/>
          </w:tcPr>
          <w:p w14:paraId="770F2EB9" w14:textId="3EE34ACA" w:rsidR="0067211A" w:rsidRPr="002B6D16" w:rsidRDefault="0067211A" w:rsidP="0067211A">
            <w:pPr>
              <w:spacing w:after="0"/>
              <w:jc w:val="center"/>
              <w:rPr>
                <w:sz w:val="20"/>
                <w:lang w:val="en-GB" w:eastAsia="en-GB"/>
              </w:rPr>
            </w:pPr>
            <w:r w:rsidRPr="006E572C">
              <w:rPr>
                <w:rFonts w:cs="Arial"/>
                <w:sz w:val="20"/>
                <w:szCs w:val="20"/>
              </w:rPr>
              <w:t>1</w:t>
            </w:r>
          </w:p>
        </w:tc>
        <w:tc>
          <w:tcPr>
            <w:tcW w:w="550" w:type="dxa"/>
            <w:tcBorders>
              <w:top w:val="single" w:sz="4" w:space="0" w:color="auto"/>
              <w:bottom w:val="single" w:sz="4" w:space="0" w:color="auto"/>
            </w:tcBorders>
            <w:shd w:val="clear" w:color="auto" w:fill="auto"/>
            <w:noWrap/>
            <w:vAlign w:val="center"/>
          </w:tcPr>
          <w:p w14:paraId="1C805F87" w14:textId="30B8F54F" w:rsidR="0067211A" w:rsidRPr="002B6D16" w:rsidRDefault="0067211A" w:rsidP="0067211A">
            <w:pPr>
              <w:spacing w:after="0"/>
              <w:jc w:val="center"/>
              <w:rPr>
                <w:sz w:val="20"/>
                <w:lang w:val="en-GB" w:eastAsia="en-GB"/>
              </w:rPr>
            </w:pPr>
            <w:r w:rsidRPr="006E572C">
              <w:rPr>
                <w:rFonts w:cs="Arial"/>
                <w:sz w:val="20"/>
                <w:szCs w:val="20"/>
              </w:rPr>
              <w:t>1</w:t>
            </w:r>
          </w:p>
        </w:tc>
        <w:tc>
          <w:tcPr>
            <w:tcW w:w="550" w:type="dxa"/>
            <w:tcBorders>
              <w:top w:val="single" w:sz="4" w:space="0" w:color="auto"/>
              <w:bottom w:val="single" w:sz="4" w:space="0" w:color="auto"/>
            </w:tcBorders>
            <w:shd w:val="clear" w:color="auto" w:fill="auto"/>
            <w:noWrap/>
            <w:vAlign w:val="center"/>
          </w:tcPr>
          <w:p w14:paraId="03DD7C50" w14:textId="42A7ADF1" w:rsidR="0067211A" w:rsidRPr="002B6D16" w:rsidRDefault="0067211A" w:rsidP="0067211A">
            <w:pPr>
              <w:spacing w:after="0"/>
              <w:jc w:val="center"/>
              <w:rPr>
                <w:sz w:val="20"/>
                <w:lang w:val="en-GB" w:eastAsia="en-GB"/>
              </w:rPr>
            </w:pPr>
            <w:r w:rsidRPr="006E572C">
              <w:rPr>
                <w:rFonts w:cs="Arial"/>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62F6BA5D" w14:textId="6D54E84F" w:rsidR="0067211A" w:rsidRPr="002B6D16" w:rsidRDefault="0067211A" w:rsidP="0067211A">
            <w:pPr>
              <w:spacing w:after="0"/>
              <w:jc w:val="center"/>
              <w:rPr>
                <w:sz w:val="20"/>
                <w:lang w:val="en-GB" w:eastAsia="en-GB"/>
              </w:rPr>
            </w:pPr>
            <w:r w:rsidRPr="00A57714">
              <w:rPr>
                <w:rFonts w:cs="Arial"/>
                <w:color w:val="000000"/>
                <w:sz w:val="20"/>
                <w:szCs w:val="20"/>
              </w:rPr>
              <w:t>9</w:t>
            </w:r>
          </w:p>
        </w:tc>
      </w:tr>
      <w:tr w:rsidR="0067211A" w:rsidRPr="002B6D16" w14:paraId="16226332"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11BC7866" w14:textId="28E17BBE" w:rsidR="0067211A" w:rsidRPr="002B6D16" w:rsidRDefault="0067211A" w:rsidP="0067211A">
            <w:pPr>
              <w:spacing w:after="0"/>
              <w:rPr>
                <w:sz w:val="20"/>
                <w:lang w:val="en-GB" w:eastAsia="en-GB"/>
              </w:rPr>
            </w:pPr>
            <w:r w:rsidRPr="00A57714">
              <w:rPr>
                <w:rFonts w:cs="Arial"/>
                <w:color w:val="000000"/>
                <w:sz w:val="20"/>
                <w:szCs w:val="20"/>
              </w:rPr>
              <w:t>Vodušek et al</w:t>
            </w:r>
          </w:p>
        </w:tc>
        <w:tc>
          <w:tcPr>
            <w:tcW w:w="723" w:type="dxa"/>
            <w:tcBorders>
              <w:top w:val="single" w:sz="4" w:space="0" w:color="auto"/>
              <w:bottom w:val="single" w:sz="4" w:space="0" w:color="auto"/>
            </w:tcBorders>
            <w:shd w:val="clear" w:color="auto" w:fill="auto"/>
            <w:noWrap/>
            <w:vAlign w:val="center"/>
          </w:tcPr>
          <w:p w14:paraId="0663A46B" w14:textId="5B9C1E40" w:rsidR="0067211A" w:rsidRPr="002B6D16" w:rsidRDefault="0067211A" w:rsidP="0067211A">
            <w:pPr>
              <w:spacing w:after="0"/>
              <w:jc w:val="center"/>
              <w:rPr>
                <w:sz w:val="20"/>
                <w:lang w:val="en-GB" w:eastAsia="en-GB"/>
              </w:rPr>
            </w:pPr>
            <w:r w:rsidRPr="00A57714">
              <w:rPr>
                <w:rFonts w:cs="Arial"/>
                <w:color w:val="000000"/>
                <w:sz w:val="20"/>
                <w:szCs w:val="20"/>
              </w:rPr>
              <w:t>2008</w:t>
            </w:r>
          </w:p>
        </w:tc>
        <w:tc>
          <w:tcPr>
            <w:tcW w:w="454" w:type="dxa"/>
            <w:tcBorders>
              <w:top w:val="single" w:sz="4" w:space="0" w:color="auto"/>
              <w:bottom w:val="single" w:sz="4" w:space="0" w:color="auto"/>
            </w:tcBorders>
            <w:shd w:val="clear" w:color="auto" w:fill="auto"/>
            <w:noWrap/>
            <w:vAlign w:val="center"/>
          </w:tcPr>
          <w:p w14:paraId="37A75BA9" w14:textId="0F41775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A74447A" w14:textId="5D8AE76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973CD3E" w14:textId="34DCC5E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A95A3F4" w14:textId="14A19E3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9BFBF13" w14:textId="17406A2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C122A6C" w14:textId="1D34DB1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FF24800" w14:textId="0FC4FBE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CC10EE1" w14:textId="1300E03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35649047" w14:textId="23A6EEF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DFFB2A8" w14:textId="5629F75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575C016" w14:textId="230258E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156B295" w14:textId="2C19C51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460DC682" w14:textId="73AB43D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98554E7" w14:textId="0C56A7AA"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2B16D612" w14:textId="736AD15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61F3434" w14:textId="1F480481" w:rsidR="0067211A" w:rsidRPr="002B6D16" w:rsidRDefault="0067211A" w:rsidP="0067211A">
            <w:pPr>
              <w:spacing w:after="0"/>
              <w:jc w:val="center"/>
              <w:rPr>
                <w:sz w:val="20"/>
                <w:lang w:val="en-GB" w:eastAsia="en-GB"/>
              </w:rPr>
            </w:pPr>
            <w:r w:rsidRPr="00A57714">
              <w:rPr>
                <w:rFonts w:cs="Arial"/>
                <w:color w:val="000000"/>
                <w:sz w:val="20"/>
                <w:szCs w:val="20"/>
              </w:rPr>
              <w:t>5</w:t>
            </w:r>
          </w:p>
        </w:tc>
      </w:tr>
      <w:tr w:rsidR="0067211A" w:rsidRPr="002B6D16" w14:paraId="5359044D"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40442066" w14:textId="4988C706" w:rsidR="0067211A" w:rsidRPr="002B6D16" w:rsidRDefault="0067211A" w:rsidP="0067211A">
            <w:pPr>
              <w:spacing w:after="0"/>
              <w:rPr>
                <w:sz w:val="20"/>
                <w:lang w:val="en-GB" w:eastAsia="en-GB"/>
              </w:rPr>
            </w:pPr>
            <w:r w:rsidRPr="00A57714">
              <w:rPr>
                <w:rFonts w:cs="Arial"/>
                <w:color w:val="000000"/>
                <w:sz w:val="20"/>
                <w:szCs w:val="20"/>
              </w:rPr>
              <w:t>Wagner et al</w:t>
            </w:r>
          </w:p>
        </w:tc>
        <w:tc>
          <w:tcPr>
            <w:tcW w:w="723" w:type="dxa"/>
            <w:tcBorders>
              <w:top w:val="single" w:sz="4" w:space="0" w:color="auto"/>
              <w:bottom w:val="single" w:sz="4" w:space="0" w:color="auto"/>
            </w:tcBorders>
            <w:shd w:val="clear" w:color="auto" w:fill="auto"/>
            <w:noWrap/>
            <w:vAlign w:val="center"/>
          </w:tcPr>
          <w:p w14:paraId="109BBB7B" w14:textId="64B2C990" w:rsidR="0067211A" w:rsidRPr="002B6D16" w:rsidRDefault="0067211A" w:rsidP="0067211A">
            <w:pPr>
              <w:spacing w:after="0"/>
              <w:jc w:val="center"/>
              <w:rPr>
                <w:sz w:val="20"/>
                <w:lang w:val="en-GB" w:eastAsia="en-GB"/>
              </w:rPr>
            </w:pPr>
            <w:r w:rsidRPr="00A57714">
              <w:rPr>
                <w:rFonts w:cs="Arial"/>
                <w:color w:val="000000"/>
                <w:sz w:val="20"/>
                <w:szCs w:val="20"/>
              </w:rPr>
              <w:t>2016</w:t>
            </w:r>
          </w:p>
        </w:tc>
        <w:tc>
          <w:tcPr>
            <w:tcW w:w="454" w:type="dxa"/>
            <w:tcBorders>
              <w:top w:val="single" w:sz="4" w:space="0" w:color="auto"/>
              <w:bottom w:val="single" w:sz="4" w:space="0" w:color="auto"/>
            </w:tcBorders>
            <w:shd w:val="clear" w:color="auto" w:fill="auto"/>
            <w:noWrap/>
            <w:vAlign w:val="center"/>
          </w:tcPr>
          <w:p w14:paraId="417409AB" w14:textId="39EB86A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BA3B080" w14:textId="1B98CF3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1B6EDFF" w14:textId="50524D1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1D54521" w14:textId="0063681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DC9AF45" w14:textId="009CBE7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7D55D150" w14:textId="184427C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604BF5CD" w14:textId="09B72D97"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5D21B088" w14:textId="535CB14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17" w:type="dxa"/>
            <w:tcBorders>
              <w:top w:val="single" w:sz="4" w:space="0" w:color="auto"/>
              <w:bottom w:val="single" w:sz="4" w:space="0" w:color="auto"/>
            </w:tcBorders>
            <w:vAlign w:val="center"/>
          </w:tcPr>
          <w:p w14:paraId="707E434B" w14:textId="260AC0B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36E8980C" w14:textId="058F51D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41DCB52" w14:textId="6642A10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60DBCCA" w14:textId="25279AA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8106D78" w14:textId="7B64B2B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944777F" w14:textId="6129CDB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32A93A59" w14:textId="1BC66D7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13041CC" w14:textId="31454585"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39C2691D"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1906EBF8" w14:textId="4218175E" w:rsidR="0067211A" w:rsidRPr="002B6D16" w:rsidRDefault="0067211A" w:rsidP="0067211A">
            <w:pPr>
              <w:spacing w:after="0"/>
              <w:rPr>
                <w:sz w:val="20"/>
                <w:lang w:val="en-GB" w:eastAsia="en-GB"/>
              </w:rPr>
            </w:pPr>
            <w:r w:rsidRPr="00A57714">
              <w:rPr>
                <w:rFonts w:cs="Arial"/>
                <w:color w:val="000000"/>
                <w:sz w:val="20"/>
                <w:szCs w:val="20"/>
              </w:rPr>
              <w:t>Wancata et al</w:t>
            </w:r>
          </w:p>
        </w:tc>
        <w:tc>
          <w:tcPr>
            <w:tcW w:w="723" w:type="dxa"/>
            <w:tcBorders>
              <w:top w:val="single" w:sz="4" w:space="0" w:color="auto"/>
              <w:bottom w:val="single" w:sz="4" w:space="0" w:color="auto"/>
            </w:tcBorders>
            <w:shd w:val="clear" w:color="auto" w:fill="auto"/>
            <w:noWrap/>
            <w:vAlign w:val="center"/>
          </w:tcPr>
          <w:p w14:paraId="39975572" w14:textId="6801AE7C" w:rsidR="0067211A" w:rsidRPr="002B6D16" w:rsidRDefault="0067211A" w:rsidP="0067211A">
            <w:pPr>
              <w:spacing w:after="0"/>
              <w:jc w:val="center"/>
              <w:rPr>
                <w:sz w:val="20"/>
                <w:lang w:val="en-GB" w:eastAsia="en-GB"/>
              </w:rPr>
            </w:pPr>
            <w:r w:rsidRPr="00A57714">
              <w:rPr>
                <w:rFonts w:cs="Arial"/>
                <w:color w:val="000000"/>
                <w:sz w:val="20"/>
                <w:szCs w:val="20"/>
              </w:rPr>
              <w:t>2007</w:t>
            </w:r>
          </w:p>
        </w:tc>
        <w:tc>
          <w:tcPr>
            <w:tcW w:w="454" w:type="dxa"/>
            <w:tcBorders>
              <w:top w:val="single" w:sz="4" w:space="0" w:color="auto"/>
              <w:bottom w:val="single" w:sz="4" w:space="0" w:color="auto"/>
            </w:tcBorders>
            <w:shd w:val="clear" w:color="auto" w:fill="auto"/>
            <w:noWrap/>
            <w:vAlign w:val="center"/>
          </w:tcPr>
          <w:p w14:paraId="7DB5D3C5" w14:textId="238FBE3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38A3935" w14:textId="5C80FE6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8C17DD9" w14:textId="5BAD692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2205AE46" w14:textId="26A7B092"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EFB6EFF" w14:textId="0A2D9BBF"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EDE15FD" w14:textId="12BCA58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8FE4D39" w14:textId="6A27469E"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5EE55407" w14:textId="7FCD110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1ED585F5" w14:textId="791366D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0080D3B0" w14:textId="785D984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6945A595" w14:textId="39A7C8F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FEE2A22" w14:textId="74D5783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ED339F5" w14:textId="3C725AB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8636383" w14:textId="0A0F95F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7ED8DED" w14:textId="12F9235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7F6AA82B" w14:textId="5C6C4ECE"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34E48479"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72476229" w14:textId="4247ED6D" w:rsidR="0067211A" w:rsidRPr="002B6D16" w:rsidRDefault="0067211A" w:rsidP="0067211A">
            <w:pPr>
              <w:spacing w:after="0"/>
              <w:rPr>
                <w:sz w:val="20"/>
                <w:lang w:val="en-GB" w:eastAsia="en-GB"/>
              </w:rPr>
            </w:pPr>
            <w:r w:rsidRPr="00A57714">
              <w:rPr>
                <w:rFonts w:cs="Arial"/>
                <w:color w:val="000000"/>
                <w:sz w:val="20"/>
                <w:szCs w:val="20"/>
              </w:rPr>
              <w:t>Young et al</w:t>
            </w:r>
          </w:p>
        </w:tc>
        <w:tc>
          <w:tcPr>
            <w:tcW w:w="723" w:type="dxa"/>
            <w:tcBorders>
              <w:top w:val="single" w:sz="4" w:space="0" w:color="auto"/>
              <w:bottom w:val="single" w:sz="4" w:space="0" w:color="auto"/>
            </w:tcBorders>
            <w:shd w:val="clear" w:color="auto" w:fill="auto"/>
            <w:noWrap/>
            <w:vAlign w:val="center"/>
          </w:tcPr>
          <w:p w14:paraId="378DBCED" w14:textId="3E312D3B" w:rsidR="0067211A" w:rsidRPr="002B6D16" w:rsidRDefault="0067211A" w:rsidP="0067211A">
            <w:pPr>
              <w:spacing w:after="0"/>
              <w:jc w:val="center"/>
              <w:rPr>
                <w:sz w:val="20"/>
                <w:lang w:val="en-GB" w:eastAsia="en-GB"/>
              </w:rPr>
            </w:pPr>
            <w:r w:rsidRPr="00A57714">
              <w:rPr>
                <w:rFonts w:cs="Arial"/>
                <w:color w:val="000000"/>
                <w:sz w:val="20"/>
                <w:szCs w:val="20"/>
              </w:rPr>
              <w:t>2011</w:t>
            </w:r>
          </w:p>
        </w:tc>
        <w:tc>
          <w:tcPr>
            <w:tcW w:w="454" w:type="dxa"/>
            <w:tcBorders>
              <w:top w:val="single" w:sz="4" w:space="0" w:color="auto"/>
              <w:bottom w:val="single" w:sz="4" w:space="0" w:color="auto"/>
            </w:tcBorders>
            <w:shd w:val="clear" w:color="auto" w:fill="auto"/>
            <w:noWrap/>
            <w:vAlign w:val="center"/>
          </w:tcPr>
          <w:p w14:paraId="539597A7" w14:textId="7FA11057"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CE7CD6B" w14:textId="60FCC6A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3C03CFD" w14:textId="5C5CCD0D"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10F09BD1" w14:textId="6F335F4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79965599" w14:textId="20DA6AA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75EC306" w14:textId="76395B8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296C7B26" w14:textId="11786CD6"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41BD1C99" w14:textId="53F402B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0EFEF17A" w14:textId="5319106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5828B44" w14:textId="03981FA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C25A783" w14:textId="7E0345B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B983770" w14:textId="5E97A8C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9939E48" w14:textId="7B33700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7F2BD46B" w14:textId="7F5E89A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F8109C7" w14:textId="68D47B80"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2460E957" w14:textId="0A10D1A9" w:rsidR="0067211A" w:rsidRPr="002B6D16" w:rsidRDefault="0067211A" w:rsidP="0067211A">
            <w:pPr>
              <w:spacing w:after="0"/>
              <w:jc w:val="center"/>
              <w:rPr>
                <w:sz w:val="20"/>
                <w:lang w:val="en-GB" w:eastAsia="en-GB"/>
              </w:rPr>
            </w:pPr>
            <w:r w:rsidRPr="00A57714">
              <w:rPr>
                <w:rFonts w:cs="Arial"/>
                <w:color w:val="000000"/>
                <w:sz w:val="20"/>
                <w:szCs w:val="20"/>
              </w:rPr>
              <w:t>6</w:t>
            </w:r>
          </w:p>
        </w:tc>
      </w:tr>
      <w:tr w:rsidR="0067211A" w:rsidRPr="002B6D16" w14:paraId="6094E322"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3DBAF5F1" w14:textId="66313D7D" w:rsidR="0067211A" w:rsidRPr="002B6D16" w:rsidRDefault="0067211A" w:rsidP="0067211A">
            <w:pPr>
              <w:spacing w:after="0"/>
              <w:rPr>
                <w:sz w:val="20"/>
                <w:lang w:val="en-GB" w:eastAsia="en-GB"/>
              </w:rPr>
            </w:pPr>
            <w:r w:rsidRPr="00A57714">
              <w:rPr>
                <w:rFonts w:cs="Arial"/>
                <w:color w:val="000000"/>
                <w:sz w:val="20"/>
                <w:szCs w:val="20"/>
              </w:rPr>
              <w:t>Zeidler et al</w:t>
            </w:r>
          </w:p>
        </w:tc>
        <w:tc>
          <w:tcPr>
            <w:tcW w:w="723" w:type="dxa"/>
            <w:tcBorders>
              <w:top w:val="single" w:sz="4" w:space="0" w:color="auto"/>
              <w:bottom w:val="single" w:sz="4" w:space="0" w:color="auto"/>
            </w:tcBorders>
            <w:shd w:val="clear" w:color="auto" w:fill="auto"/>
            <w:noWrap/>
            <w:vAlign w:val="center"/>
          </w:tcPr>
          <w:p w14:paraId="4879EC2D" w14:textId="12AEEA86" w:rsidR="0067211A" w:rsidRPr="002B6D16" w:rsidRDefault="0067211A" w:rsidP="0067211A">
            <w:pPr>
              <w:spacing w:after="0"/>
              <w:jc w:val="center"/>
              <w:rPr>
                <w:sz w:val="20"/>
                <w:lang w:val="en-GB" w:eastAsia="en-GB"/>
              </w:rPr>
            </w:pPr>
            <w:r w:rsidRPr="00A57714">
              <w:rPr>
                <w:rFonts w:cs="Arial"/>
                <w:color w:val="000000"/>
                <w:sz w:val="20"/>
                <w:szCs w:val="20"/>
              </w:rPr>
              <w:t>2012</w:t>
            </w:r>
          </w:p>
        </w:tc>
        <w:tc>
          <w:tcPr>
            <w:tcW w:w="454" w:type="dxa"/>
            <w:tcBorders>
              <w:top w:val="single" w:sz="4" w:space="0" w:color="auto"/>
              <w:bottom w:val="single" w:sz="4" w:space="0" w:color="auto"/>
            </w:tcBorders>
            <w:shd w:val="clear" w:color="auto" w:fill="auto"/>
            <w:noWrap/>
            <w:vAlign w:val="center"/>
          </w:tcPr>
          <w:p w14:paraId="08665B15" w14:textId="5B67CE0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9C0FB36" w14:textId="3858AB7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B722480" w14:textId="3CB7509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44EF3331" w14:textId="5F9BB8E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78BBFD6" w14:textId="7412308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74B30D6" w14:textId="78DD132B"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A9D4F24" w14:textId="54354E55"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5FF20A44" w14:textId="1C0AFA8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6380CC03" w14:textId="6C3908B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F1F6BD9" w14:textId="63105D3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53795F17" w14:textId="05D54095"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241C779" w14:textId="611B44A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608E7028" w14:textId="6E26BC0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53718A78" w14:textId="5F0812D6"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45D9F290" w14:textId="53C781DE"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553B5767" w14:textId="470A0366" w:rsidR="0067211A" w:rsidRPr="002B6D16" w:rsidRDefault="0067211A" w:rsidP="0067211A">
            <w:pPr>
              <w:spacing w:after="0"/>
              <w:jc w:val="center"/>
              <w:rPr>
                <w:sz w:val="20"/>
                <w:lang w:val="en-GB" w:eastAsia="en-GB"/>
              </w:rPr>
            </w:pPr>
            <w:r w:rsidRPr="00A57714">
              <w:rPr>
                <w:rFonts w:cs="Arial"/>
                <w:color w:val="000000"/>
                <w:sz w:val="20"/>
                <w:szCs w:val="20"/>
              </w:rPr>
              <w:t>8</w:t>
            </w:r>
          </w:p>
        </w:tc>
      </w:tr>
      <w:tr w:rsidR="0067211A" w:rsidRPr="002B6D16" w14:paraId="73E4ABC6"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4ADA6B97" w14:textId="77670A7B" w:rsidR="0067211A" w:rsidRPr="002B6D16" w:rsidRDefault="0067211A" w:rsidP="0067211A">
            <w:pPr>
              <w:spacing w:after="0"/>
              <w:rPr>
                <w:sz w:val="20"/>
                <w:lang w:val="en-GB" w:eastAsia="en-GB"/>
              </w:rPr>
            </w:pPr>
            <w:r w:rsidRPr="00A57714">
              <w:rPr>
                <w:rFonts w:cs="Arial"/>
                <w:color w:val="000000"/>
                <w:sz w:val="20"/>
                <w:szCs w:val="20"/>
              </w:rPr>
              <w:t xml:space="preserve">Zuvekas &amp; Meyerhoefer </w:t>
            </w:r>
          </w:p>
        </w:tc>
        <w:tc>
          <w:tcPr>
            <w:tcW w:w="723" w:type="dxa"/>
            <w:tcBorders>
              <w:top w:val="single" w:sz="4" w:space="0" w:color="auto"/>
              <w:bottom w:val="single" w:sz="4" w:space="0" w:color="auto"/>
            </w:tcBorders>
            <w:shd w:val="clear" w:color="auto" w:fill="auto"/>
            <w:noWrap/>
            <w:vAlign w:val="center"/>
          </w:tcPr>
          <w:p w14:paraId="385E4A56" w14:textId="0926189B" w:rsidR="0067211A" w:rsidRPr="002B6D16" w:rsidRDefault="0067211A" w:rsidP="0067211A">
            <w:pPr>
              <w:spacing w:after="0"/>
              <w:jc w:val="center"/>
              <w:rPr>
                <w:sz w:val="20"/>
                <w:lang w:val="en-GB" w:eastAsia="en-GB"/>
              </w:rPr>
            </w:pPr>
            <w:r w:rsidRPr="00A57714">
              <w:rPr>
                <w:rFonts w:cs="Arial"/>
                <w:color w:val="000000"/>
                <w:sz w:val="20"/>
                <w:szCs w:val="20"/>
              </w:rPr>
              <w:t>2009</w:t>
            </w:r>
          </w:p>
        </w:tc>
        <w:tc>
          <w:tcPr>
            <w:tcW w:w="454" w:type="dxa"/>
            <w:tcBorders>
              <w:top w:val="single" w:sz="4" w:space="0" w:color="auto"/>
              <w:bottom w:val="single" w:sz="4" w:space="0" w:color="auto"/>
            </w:tcBorders>
            <w:shd w:val="clear" w:color="auto" w:fill="auto"/>
            <w:noWrap/>
            <w:vAlign w:val="center"/>
          </w:tcPr>
          <w:p w14:paraId="14568DDA" w14:textId="158AAD4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578C980B" w14:textId="042654C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47B1D282" w14:textId="4D8E79C2"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BE5B061" w14:textId="6DE1D4C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05AC22FA" w14:textId="0BADA7B3"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37C68AF7" w14:textId="20072ECF"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56CDFDC5" w14:textId="4E9B7831"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378D58D1" w14:textId="3D5EC41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44951321" w14:textId="7795B3D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260BC496" w14:textId="452056BB"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2C81820A" w14:textId="04AC1CE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F668169" w14:textId="59DC882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1A7F99CD" w14:textId="7C6024A5"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2C3BFC4E" w14:textId="0F6ABE0A"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144B03F8" w14:textId="0D092EE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843" w:type="dxa"/>
            <w:tcBorders>
              <w:top w:val="single" w:sz="4" w:space="0" w:color="auto"/>
              <w:bottom w:val="single" w:sz="4" w:space="0" w:color="auto"/>
              <w:right w:val="single" w:sz="4" w:space="0" w:color="auto"/>
            </w:tcBorders>
            <w:shd w:val="clear" w:color="auto" w:fill="auto"/>
            <w:noWrap/>
            <w:vAlign w:val="center"/>
          </w:tcPr>
          <w:p w14:paraId="1CE40D73" w14:textId="775E4AC3" w:rsidR="0067211A" w:rsidRPr="002B6D16" w:rsidRDefault="0067211A" w:rsidP="0067211A">
            <w:pPr>
              <w:spacing w:after="0"/>
              <w:jc w:val="center"/>
              <w:rPr>
                <w:sz w:val="20"/>
                <w:lang w:val="en-GB" w:eastAsia="en-GB"/>
              </w:rPr>
            </w:pPr>
            <w:r w:rsidRPr="00A57714">
              <w:rPr>
                <w:rFonts w:cs="Arial"/>
                <w:color w:val="000000"/>
                <w:sz w:val="20"/>
                <w:szCs w:val="20"/>
              </w:rPr>
              <w:t>4</w:t>
            </w:r>
          </w:p>
        </w:tc>
      </w:tr>
      <w:tr w:rsidR="0067211A" w:rsidRPr="002B6D16" w14:paraId="6EB82D0C" w14:textId="77777777" w:rsidTr="0092210A">
        <w:trPr>
          <w:trHeight w:val="240"/>
        </w:trPr>
        <w:tc>
          <w:tcPr>
            <w:tcW w:w="2154" w:type="dxa"/>
            <w:tcBorders>
              <w:top w:val="single" w:sz="4" w:space="0" w:color="auto"/>
              <w:left w:val="single" w:sz="4" w:space="0" w:color="auto"/>
              <w:bottom w:val="single" w:sz="4" w:space="0" w:color="auto"/>
            </w:tcBorders>
            <w:shd w:val="clear" w:color="auto" w:fill="auto"/>
            <w:noWrap/>
            <w:vAlign w:val="center"/>
          </w:tcPr>
          <w:p w14:paraId="269EB135" w14:textId="5D614343" w:rsidR="0067211A" w:rsidRPr="002B6D16" w:rsidRDefault="0067211A" w:rsidP="0067211A">
            <w:pPr>
              <w:spacing w:after="0"/>
              <w:rPr>
                <w:sz w:val="20"/>
                <w:lang w:val="en-GB" w:eastAsia="en-GB"/>
              </w:rPr>
            </w:pPr>
            <w:r w:rsidRPr="00A57714">
              <w:rPr>
                <w:rFonts w:cs="Arial"/>
                <w:color w:val="000000"/>
                <w:sz w:val="20"/>
                <w:szCs w:val="20"/>
              </w:rPr>
              <w:t>Ösby et al</w:t>
            </w:r>
          </w:p>
        </w:tc>
        <w:tc>
          <w:tcPr>
            <w:tcW w:w="723" w:type="dxa"/>
            <w:tcBorders>
              <w:top w:val="single" w:sz="4" w:space="0" w:color="auto"/>
              <w:bottom w:val="single" w:sz="4" w:space="0" w:color="auto"/>
            </w:tcBorders>
            <w:shd w:val="clear" w:color="auto" w:fill="auto"/>
            <w:noWrap/>
            <w:vAlign w:val="center"/>
          </w:tcPr>
          <w:p w14:paraId="310115D9" w14:textId="2B8AD8BA" w:rsidR="0067211A" w:rsidRPr="002B6D16" w:rsidRDefault="0067211A" w:rsidP="0067211A">
            <w:pPr>
              <w:spacing w:after="0"/>
              <w:jc w:val="center"/>
              <w:rPr>
                <w:sz w:val="20"/>
                <w:lang w:val="en-GB" w:eastAsia="en-GB"/>
              </w:rPr>
            </w:pPr>
            <w:r w:rsidRPr="00A57714">
              <w:rPr>
                <w:rFonts w:cs="Arial"/>
                <w:color w:val="000000"/>
                <w:sz w:val="20"/>
                <w:szCs w:val="20"/>
              </w:rPr>
              <w:t>2009</w:t>
            </w:r>
          </w:p>
        </w:tc>
        <w:tc>
          <w:tcPr>
            <w:tcW w:w="454" w:type="dxa"/>
            <w:tcBorders>
              <w:top w:val="single" w:sz="4" w:space="0" w:color="auto"/>
              <w:bottom w:val="single" w:sz="4" w:space="0" w:color="auto"/>
            </w:tcBorders>
            <w:shd w:val="clear" w:color="auto" w:fill="auto"/>
            <w:noWrap/>
            <w:vAlign w:val="center"/>
          </w:tcPr>
          <w:p w14:paraId="11AFE646" w14:textId="08A926D9"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2421C700" w14:textId="5C440D0D"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3EDC0DFC" w14:textId="39B58ABC"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B116539" w14:textId="04980E11"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54" w:type="dxa"/>
            <w:tcBorders>
              <w:top w:val="single" w:sz="4" w:space="0" w:color="auto"/>
              <w:bottom w:val="single" w:sz="4" w:space="0" w:color="auto"/>
            </w:tcBorders>
            <w:shd w:val="clear" w:color="auto" w:fill="auto"/>
            <w:noWrap/>
            <w:vAlign w:val="center"/>
          </w:tcPr>
          <w:p w14:paraId="05650C09" w14:textId="58604564"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454" w:type="dxa"/>
            <w:tcBorders>
              <w:top w:val="single" w:sz="4" w:space="0" w:color="auto"/>
              <w:bottom w:val="single" w:sz="4" w:space="0" w:color="auto"/>
            </w:tcBorders>
            <w:shd w:val="clear" w:color="auto" w:fill="auto"/>
            <w:noWrap/>
            <w:vAlign w:val="center"/>
          </w:tcPr>
          <w:p w14:paraId="108B5DF5" w14:textId="0052F56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10" w:type="dxa"/>
            <w:tcBorders>
              <w:top w:val="single" w:sz="4" w:space="0" w:color="auto"/>
              <w:bottom w:val="single" w:sz="4" w:space="0" w:color="auto"/>
            </w:tcBorders>
            <w:shd w:val="clear" w:color="auto" w:fill="auto"/>
            <w:noWrap/>
            <w:vAlign w:val="center"/>
          </w:tcPr>
          <w:p w14:paraId="4DA04BAE" w14:textId="099D55BA" w:rsidR="0067211A" w:rsidRPr="002B6D16" w:rsidRDefault="0067211A" w:rsidP="0067211A">
            <w:pPr>
              <w:spacing w:after="0"/>
              <w:jc w:val="center"/>
              <w:rPr>
                <w:sz w:val="20"/>
                <w:lang w:val="en-GB" w:eastAsia="en-GB"/>
              </w:rPr>
            </w:pPr>
            <w:r w:rsidRPr="006E572C">
              <w:rPr>
                <w:rFonts w:cs="Arial"/>
                <w:color w:val="000000"/>
                <w:sz w:val="20"/>
                <w:szCs w:val="20"/>
              </w:rPr>
              <w:t>NA</w:t>
            </w:r>
          </w:p>
        </w:tc>
        <w:tc>
          <w:tcPr>
            <w:tcW w:w="454" w:type="dxa"/>
            <w:tcBorders>
              <w:top w:val="single" w:sz="4" w:space="0" w:color="auto"/>
              <w:bottom w:val="single" w:sz="4" w:space="0" w:color="auto"/>
            </w:tcBorders>
            <w:shd w:val="clear" w:color="auto" w:fill="auto"/>
            <w:noWrap/>
            <w:vAlign w:val="center"/>
          </w:tcPr>
          <w:p w14:paraId="19843D96" w14:textId="73EE63DC"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417" w:type="dxa"/>
            <w:tcBorders>
              <w:top w:val="single" w:sz="4" w:space="0" w:color="auto"/>
              <w:bottom w:val="single" w:sz="4" w:space="0" w:color="auto"/>
            </w:tcBorders>
            <w:vAlign w:val="center"/>
          </w:tcPr>
          <w:p w14:paraId="013B6223" w14:textId="1B79EC58"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0" w:type="auto"/>
            <w:tcBorders>
              <w:top w:val="single" w:sz="4" w:space="0" w:color="auto"/>
              <w:bottom w:val="single" w:sz="4" w:space="0" w:color="auto"/>
            </w:tcBorders>
            <w:shd w:val="clear" w:color="auto" w:fill="auto"/>
            <w:noWrap/>
            <w:vAlign w:val="center"/>
          </w:tcPr>
          <w:p w14:paraId="5E30867F" w14:textId="2F6CB939"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06A48F4E" w14:textId="790A7D98"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21A681E" w14:textId="228131C6"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0" w:type="auto"/>
            <w:tcBorders>
              <w:top w:val="single" w:sz="4" w:space="0" w:color="auto"/>
              <w:bottom w:val="single" w:sz="4" w:space="0" w:color="auto"/>
            </w:tcBorders>
            <w:shd w:val="clear" w:color="auto" w:fill="auto"/>
            <w:noWrap/>
            <w:vAlign w:val="center"/>
          </w:tcPr>
          <w:p w14:paraId="7A193D5B" w14:textId="515F2EA7" w:rsidR="0067211A" w:rsidRPr="002B6D16" w:rsidRDefault="0067211A" w:rsidP="0067211A">
            <w:pPr>
              <w:spacing w:after="0"/>
              <w:jc w:val="center"/>
              <w:rPr>
                <w:sz w:val="20"/>
                <w:lang w:val="en-GB" w:eastAsia="en-GB"/>
              </w:rPr>
            </w:pPr>
            <w:r w:rsidRPr="006E572C">
              <w:rPr>
                <w:rFonts w:cs="Arial"/>
                <w:color w:val="000000"/>
                <w:sz w:val="20"/>
                <w:szCs w:val="20"/>
              </w:rPr>
              <w:t>0</w:t>
            </w:r>
          </w:p>
        </w:tc>
        <w:tc>
          <w:tcPr>
            <w:tcW w:w="550" w:type="dxa"/>
            <w:tcBorders>
              <w:top w:val="single" w:sz="4" w:space="0" w:color="auto"/>
              <w:bottom w:val="single" w:sz="4" w:space="0" w:color="auto"/>
            </w:tcBorders>
            <w:shd w:val="clear" w:color="auto" w:fill="auto"/>
            <w:noWrap/>
            <w:vAlign w:val="center"/>
          </w:tcPr>
          <w:p w14:paraId="3553D301" w14:textId="4B8D9F93"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550" w:type="dxa"/>
            <w:tcBorders>
              <w:top w:val="single" w:sz="4" w:space="0" w:color="auto"/>
              <w:bottom w:val="single" w:sz="4" w:space="0" w:color="auto"/>
            </w:tcBorders>
            <w:shd w:val="clear" w:color="auto" w:fill="auto"/>
            <w:noWrap/>
            <w:vAlign w:val="center"/>
          </w:tcPr>
          <w:p w14:paraId="6BD2AC72" w14:textId="132F9B41" w:rsidR="0067211A" w:rsidRPr="002B6D16" w:rsidRDefault="0067211A" w:rsidP="0067211A">
            <w:pPr>
              <w:spacing w:after="0"/>
              <w:jc w:val="center"/>
              <w:rPr>
                <w:sz w:val="20"/>
                <w:lang w:val="en-GB" w:eastAsia="en-GB"/>
              </w:rPr>
            </w:pPr>
            <w:r w:rsidRPr="006E572C">
              <w:rPr>
                <w:rFonts w:cs="Arial"/>
                <w:color w:val="000000"/>
                <w:sz w:val="20"/>
                <w:szCs w:val="20"/>
              </w:rPr>
              <w:t>1</w:t>
            </w:r>
          </w:p>
        </w:tc>
        <w:tc>
          <w:tcPr>
            <w:tcW w:w="843" w:type="dxa"/>
            <w:tcBorders>
              <w:top w:val="single" w:sz="4" w:space="0" w:color="auto"/>
              <w:bottom w:val="single" w:sz="4" w:space="0" w:color="auto"/>
              <w:right w:val="single" w:sz="4" w:space="0" w:color="auto"/>
            </w:tcBorders>
            <w:shd w:val="clear" w:color="auto" w:fill="auto"/>
            <w:noWrap/>
            <w:vAlign w:val="center"/>
          </w:tcPr>
          <w:p w14:paraId="0C2E7E83" w14:textId="10A67849" w:rsidR="0067211A" w:rsidRPr="002B6D16" w:rsidRDefault="0067211A" w:rsidP="0067211A">
            <w:pPr>
              <w:spacing w:after="0"/>
              <w:jc w:val="center"/>
              <w:rPr>
                <w:sz w:val="20"/>
                <w:lang w:val="en-GB" w:eastAsia="en-GB"/>
              </w:rPr>
            </w:pPr>
            <w:r w:rsidRPr="00A57714">
              <w:rPr>
                <w:rFonts w:cs="Arial"/>
                <w:color w:val="000000"/>
                <w:sz w:val="20"/>
                <w:szCs w:val="20"/>
              </w:rPr>
              <w:t>6</w:t>
            </w:r>
          </w:p>
        </w:tc>
      </w:tr>
    </w:tbl>
    <w:p w14:paraId="2AA50DD0" w14:textId="77777777" w:rsidR="002B6D16" w:rsidRPr="002B6D16" w:rsidRDefault="002B6D16" w:rsidP="002B6D16">
      <w:pPr>
        <w:rPr>
          <w:sz w:val="18"/>
          <w:lang w:val="en-GB"/>
        </w:rPr>
      </w:pPr>
      <w:r w:rsidRPr="002B6D16">
        <w:rPr>
          <w:sz w:val="18"/>
          <w:lang w:val="en-GB"/>
        </w:rPr>
        <w:t>Note: the scores have been standardized to a 10-point scale.</w:t>
      </w:r>
    </w:p>
    <w:p w14:paraId="76F85198" w14:textId="77777777" w:rsidR="002B6D16" w:rsidRDefault="002B6D16" w:rsidP="002B6D16">
      <w:pPr>
        <w:rPr>
          <w:lang w:val="en-GB"/>
        </w:rPr>
      </w:pPr>
    </w:p>
    <w:p w14:paraId="1CFE0141" w14:textId="65DB1512" w:rsidR="00D2349A" w:rsidRPr="00A86E0B" w:rsidRDefault="00D2349A" w:rsidP="00CF1C96">
      <w:pPr>
        <w:pStyle w:val="Heading2"/>
        <w:ind w:left="0"/>
        <w:rPr>
          <w:lang w:val="en-GB" w:eastAsia="en-GB"/>
        </w:rPr>
      </w:pPr>
      <w:r w:rsidRPr="00A86E0B">
        <w:rPr>
          <w:lang w:val="en-GB"/>
        </w:rPr>
        <w:lastRenderedPageBreak/>
        <w:t>e</w:t>
      </w:r>
      <w:r w:rsidRPr="00A86E0B">
        <w:rPr>
          <w:lang w:val="en-GB" w:eastAsia="en-GB"/>
        </w:rPr>
        <w:t xml:space="preserve">Table </w:t>
      </w:r>
      <w:r w:rsidR="00C24BCA" w:rsidRPr="00A86E0B">
        <w:rPr>
          <w:lang w:val="en-GB" w:eastAsia="en-GB"/>
        </w:rPr>
        <w:t>8</w:t>
      </w:r>
      <w:r w:rsidRPr="00A86E0B">
        <w:rPr>
          <w:lang w:val="en-GB" w:eastAsia="en-GB"/>
        </w:rPr>
        <w:t xml:space="preserve">: Societal cost </w:t>
      </w:r>
      <w:bookmarkEnd w:id="16"/>
      <w:bookmarkEnd w:id="21"/>
      <w:r w:rsidR="004D657A" w:rsidRPr="00A86E0B">
        <w:rPr>
          <w:lang w:val="en-GB" w:eastAsia="en-GB"/>
        </w:rPr>
        <w:t>in studies with high quality reporting scores</w:t>
      </w:r>
    </w:p>
    <w:p w14:paraId="1DBD294E" w14:textId="69AF7B08" w:rsidR="00567802" w:rsidRPr="009E0540" w:rsidRDefault="00567802" w:rsidP="00567802">
      <w:pPr>
        <w:rPr>
          <w:lang w:val="en-GB" w:eastAsia="en-GB"/>
        </w:rPr>
      </w:pPr>
      <w:r w:rsidRPr="009E0540">
        <w:rPr>
          <w:lang w:val="en-GB" w:eastAsia="en-GB"/>
        </w:rPr>
        <w:t xml:space="preserve">Studies with a quality reporting score below 7 </w:t>
      </w:r>
      <w:r w:rsidR="004D657A" w:rsidRPr="009E0540">
        <w:rPr>
          <w:lang w:val="en-GB" w:eastAsia="en-GB"/>
        </w:rPr>
        <w:t>were</w:t>
      </w:r>
      <w:r w:rsidRPr="009E0540">
        <w:rPr>
          <w:lang w:val="en-GB" w:eastAsia="en-GB"/>
        </w:rPr>
        <w:t xml:space="preserve"> excluded to investigate their influence on the univariate statistics and the figures for societal mean costs per patient.</w:t>
      </w:r>
    </w:p>
    <w:p w14:paraId="2FE9B00F" w14:textId="77777777" w:rsidR="00567802" w:rsidRPr="00567802" w:rsidRDefault="00567802" w:rsidP="00391D85">
      <w:pPr>
        <w:spacing w:after="0"/>
        <w:rPr>
          <w:sz w:val="22"/>
          <w:lang w:val="en-GB" w:eastAsia="en-GB"/>
        </w:rPr>
      </w:pPr>
    </w:p>
    <w:tbl>
      <w:tblPr>
        <w:tblStyle w:val="TableGrid1"/>
        <w:tblW w:w="11477" w:type="dxa"/>
        <w:tblInd w:w="-1230" w:type="dxa"/>
        <w:tblLook w:val="04A0" w:firstRow="1" w:lastRow="0" w:firstColumn="1" w:lastColumn="0" w:noHBand="0" w:noVBand="1"/>
      </w:tblPr>
      <w:tblGrid>
        <w:gridCol w:w="3161"/>
        <w:gridCol w:w="617"/>
        <w:gridCol w:w="1386"/>
        <w:gridCol w:w="1527"/>
        <w:gridCol w:w="1123"/>
        <w:gridCol w:w="1284"/>
        <w:gridCol w:w="1123"/>
        <w:gridCol w:w="1256"/>
      </w:tblGrid>
      <w:tr w:rsidR="00D2349A" w:rsidRPr="00123872" w14:paraId="54F482CE" w14:textId="77777777" w:rsidTr="009537FD">
        <w:trPr>
          <w:trHeight w:val="397"/>
        </w:trPr>
        <w:tc>
          <w:tcPr>
            <w:tcW w:w="11477" w:type="dxa"/>
            <w:gridSpan w:val="8"/>
            <w:tcBorders>
              <w:bottom w:val="single" w:sz="4" w:space="0" w:color="000000" w:themeColor="text1"/>
            </w:tcBorders>
            <w:shd w:val="clear" w:color="auto" w:fill="1F4E79" w:themeFill="accent1" w:themeFillShade="80"/>
            <w:vAlign w:val="center"/>
          </w:tcPr>
          <w:p w14:paraId="5782EE15" w14:textId="77777777" w:rsidR="00D2349A" w:rsidRPr="00A41A0D" w:rsidRDefault="00D2349A" w:rsidP="00A41A0D">
            <w:pPr>
              <w:spacing w:line="259" w:lineRule="auto"/>
              <w:jc w:val="center"/>
              <w:rPr>
                <w:rFonts w:cs="Arial"/>
                <w:b/>
                <w:szCs w:val="24"/>
                <w:lang w:val="en-GB" w:eastAsia="en-GB"/>
              </w:rPr>
            </w:pPr>
            <w:r w:rsidRPr="00A41A0D">
              <w:rPr>
                <w:rFonts w:cs="Arial"/>
                <w:b/>
                <w:color w:val="FFFFFF" w:themeColor="background1"/>
                <w:szCs w:val="24"/>
                <w:lang w:val="en-GB" w:eastAsia="en-GB"/>
              </w:rPr>
              <w:t>Societal cost per patient (USD PPP 2018)</w:t>
            </w:r>
          </w:p>
        </w:tc>
      </w:tr>
      <w:tr w:rsidR="00A41A0D" w:rsidRPr="00731281" w14:paraId="1C371CE5" w14:textId="77777777" w:rsidTr="00195253">
        <w:trPr>
          <w:trHeight w:val="397"/>
        </w:trPr>
        <w:tc>
          <w:tcPr>
            <w:tcW w:w="3161" w:type="dxa"/>
            <w:tcBorders>
              <w:bottom w:val="single" w:sz="4" w:space="0" w:color="auto"/>
              <w:right w:val="nil"/>
            </w:tcBorders>
            <w:shd w:val="clear" w:color="auto" w:fill="9CC2E5" w:themeFill="accent1" w:themeFillTint="99"/>
            <w:vAlign w:val="center"/>
          </w:tcPr>
          <w:p w14:paraId="434AF73F" w14:textId="32C57C49" w:rsidR="00A41A0D" w:rsidRPr="00A41A0D" w:rsidRDefault="00A41A0D" w:rsidP="00A41A0D">
            <w:pPr>
              <w:spacing w:line="259" w:lineRule="auto"/>
              <w:rPr>
                <w:rFonts w:cs="Arial"/>
                <w:szCs w:val="24"/>
                <w:lang w:val="en-GB" w:eastAsia="en-GB"/>
              </w:rPr>
            </w:pPr>
            <w:r w:rsidRPr="00A41A0D">
              <w:rPr>
                <w:rFonts w:cs="Arial"/>
                <w:szCs w:val="24"/>
                <w:lang w:val="en-GB" w:eastAsia="en-GB"/>
              </w:rPr>
              <w:t>Disorder group</w:t>
            </w:r>
          </w:p>
        </w:tc>
        <w:tc>
          <w:tcPr>
            <w:tcW w:w="617" w:type="dxa"/>
            <w:tcBorders>
              <w:left w:val="nil"/>
              <w:bottom w:val="single" w:sz="4" w:space="0" w:color="auto"/>
              <w:right w:val="nil"/>
            </w:tcBorders>
            <w:shd w:val="clear" w:color="auto" w:fill="9CC2E5" w:themeFill="accent1" w:themeFillTint="99"/>
            <w:vAlign w:val="center"/>
          </w:tcPr>
          <w:p w14:paraId="2DFC00A2" w14:textId="77777777" w:rsidR="00A41A0D" w:rsidRPr="00A41A0D" w:rsidRDefault="00A41A0D" w:rsidP="00D72C99">
            <w:pPr>
              <w:spacing w:line="259" w:lineRule="auto"/>
              <w:jc w:val="center"/>
              <w:rPr>
                <w:rFonts w:cs="Arial"/>
                <w:szCs w:val="24"/>
                <w:lang w:val="en-GB" w:eastAsia="en-GB"/>
              </w:rPr>
            </w:pPr>
            <w:r w:rsidRPr="00A41A0D">
              <w:rPr>
                <w:rFonts w:cs="Arial"/>
                <w:szCs w:val="24"/>
                <w:lang w:val="en-GB" w:eastAsia="en-GB"/>
              </w:rPr>
              <w:t>N</w:t>
            </w:r>
          </w:p>
        </w:tc>
        <w:tc>
          <w:tcPr>
            <w:tcW w:w="1386" w:type="dxa"/>
            <w:tcBorders>
              <w:left w:val="nil"/>
              <w:bottom w:val="single" w:sz="4" w:space="0" w:color="auto"/>
              <w:right w:val="nil"/>
            </w:tcBorders>
            <w:shd w:val="clear" w:color="auto" w:fill="9CC2E5" w:themeFill="accent1" w:themeFillTint="99"/>
            <w:vAlign w:val="center"/>
          </w:tcPr>
          <w:p w14:paraId="37B10B0A" w14:textId="29A09B2A" w:rsidR="00A41A0D" w:rsidRPr="00A41A0D" w:rsidRDefault="00A41A0D" w:rsidP="00D72C99">
            <w:pPr>
              <w:spacing w:line="259" w:lineRule="auto"/>
              <w:jc w:val="right"/>
              <w:rPr>
                <w:rFonts w:cs="Arial"/>
                <w:szCs w:val="24"/>
                <w:lang w:val="en-GB" w:eastAsia="en-GB"/>
              </w:rPr>
            </w:pPr>
            <w:r w:rsidRPr="00A41A0D">
              <w:rPr>
                <w:rFonts w:cs="Arial"/>
                <w:szCs w:val="24"/>
                <w:lang w:val="en-GB" w:eastAsia="en-GB"/>
              </w:rPr>
              <w:t>Median</w:t>
            </w:r>
          </w:p>
        </w:tc>
        <w:tc>
          <w:tcPr>
            <w:tcW w:w="1527" w:type="dxa"/>
            <w:tcBorders>
              <w:left w:val="nil"/>
              <w:bottom w:val="single" w:sz="4" w:space="0" w:color="auto"/>
              <w:right w:val="nil"/>
            </w:tcBorders>
            <w:shd w:val="clear" w:color="auto" w:fill="9CC2E5" w:themeFill="accent1" w:themeFillTint="99"/>
            <w:vAlign w:val="center"/>
          </w:tcPr>
          <w:p w14:paraId="1E013D5A" w14:textId="72A36E42" w:rsidR="00A41A0D" w:rsidRPr="00A41A0D" w:rsidRDefault="00A41A0D" w:rsidP="00D72C99">
            <w:pPr>
              <w:spacing w:line="259" w:lineRule="auto"/>
              <w:jc w:val="right"/>
              <w:rPr>
                <w:rFonts w:cs="Arial"/>
                <w:szCs w:val="24"/>
                <w:lang w:val="en-GB" w:eastAsia="en-GB"/>
              </w:rPr>
            </w:pPr>
            <w:r w:rsidRPr="00A41A0D">
              <w:rPr>
                <w:rFonts w:cs="Arial"/>
                <w:szCs w:val="24"/>
                <w:lang w:val="en-GB" w:eastAsia="en-GB"/>
              </w:rPr>
              <w:t>Mean</w:t>
            </w:r>
          </w:p>
        </w:tc>
        <w:tc>
          <w:tcPr>
            <w:tcW w:w="1123" w:type="dxa"/>
            <w:tcBorders>
              <w:left w:val="nil"/>
              <w:bottom w:val="single" w:sz="4" w:space="0" w:color="auto"/>
              <w:right w:val="nil"/>
            </w:tcBorders>
            <w:shd w:val="clear" w:color="auto" w:fill="9CC2E5" w:themeFill="accent1" w:themeFillTint="99"/>
            <w:vAlign w:val="center"/>
          </w:tcPr>
          <w:p w14:paraId="309B5A72" w14:textId="77777777" w:rsidR="00A41A0D" w:rsidRPr="00A41A0D" w:rsidRDefault="00A41A0D" w:rsidP="00D72C99">
            <w:pPr>
              <w:spacing w:line="259" w:lineRule="auto"/>
              <w:jc w:val="right"/>
              <w:rPr>
                <w:rFonts w:cs="Arial"/>
                <w:szCs w:val="24"/>
                <w:lang w:val="en-GB" w:eastAsia="en-GB"/>
              </w:rPr>
            </w:pPr>
            <w:r w:rsidRPr="00A41A0D">
              <w:rPr>
                <w:rFonts w:cs="Arial"/>
                <w:szCs w:val="24"/>
                <w:lang w:val="en-GB" w:eastAsia="en-GB"/>
              </w:rPr>
              <w:t>Min.</w:t>
            </w:r>
          </w:p>
        </w:tc>
        <w:tc>
          <w:tcPr>
            <w:tcW w:w="1284" w:type="dxa"/>
            <w:tcBorders>
              <w:left w:val="nil"/>
              <w:bottom w:val="single" w:sz="4" w:space="0" w:color="auto"/>
              <w:right w:val="nil"/>
            </w:tcBorders>
            <w:shd w:val="clear" w:color="auto" w:fill="9CC2E5" w:themeFill="accent1" w:themeFillTint="99"/>
            <w:vAlign w:val="center"/>
          </w:tcPr>
          <w:p w14:paraId="52E99C75" w14:textId="77777777" w:rsidR="00A41A0D" w:rsidRPr="00A41A0D" w:rsidRDefault="00A41A0D" w:rsidP="00D72C99">
            <w:pPr>
              <w:spacing w:line="259" w:lineRule="auto"/>
              <w:jc w:val="right"/>
              <w:rPr>
                <w:rFonts w:cs="Arial"/>
                <w:szCs w:val="24"/>
                <w:lang w:val="en-GB" w:eastAsia="en-GB"/>
              </w:rPr>
            </w:pPr>
            <w:r w:rsidRPr="00A41A0D">
              <w:rPr>
                <w:rFonts w:cs="Arial"/>
                <w:szCs w:val="24"/>
                <w:lang w:val="en-GB" w:eastAsia="en-GB"/>
              </w:rPr>
              <w:t>Max.</w:t>
            </w:r>
          </w:p>
        </w:tc>
        <w:tc>
          <w:tcPr>
            <w:tcW w:w="1123" w:type="dxa"/>
            <w:tcBorders>
              <w:left w:val="nil"/>
              <w:bottom w:val="single" w:sz="4" w:space="0" w:color="auto"/>
              <w:right w:val="nil"/>
            </w:tcBorders>
            <w:shd w:val="clear" w:color="auto" w:fill="9CC2E5" w:themeFill="accent1" w:themeFillTint="99"/>
            <w:vAlign w:val="center"/>
          </w:tcPr>
          <w:p w14:paraId="6724148F" w14:textId="77777777" w:rsidR="00A41A0D" w:rsidRPr="00A41A0D" w:rsidRDefault="00A41A0D" w:rsidP="00D72C99">
            <w:pPr>
              <w:spacing w:line="259" w:lineRule="auto"/>
              <w:jc w:val="right"/>
              <w:rPr>
                <w:rFonts w:cs="Arial"/>
                <w:szCs w:val="24"/>
                <w:lang w:val="en-GB" w:eastAsia="en-GB"/>
              </w:rPr>
            </w:pPr>
            <w:r w:rsidRPr="00A41A0D">
              <w:rPr>
                <w:rFonts w:cs="Arial"/>
                <w:szCs w:val="24"/>
                <w:lang w:val="en-GB" w:eastAsia="en-GB"/>
              </w:rPr>
              <w:t>1st Qu.</w:t>
            </w:r>
          </w:p>
        </w:tc>
        <w:tc>
          <w:tcPr>
            <w:tcW w:w="1256" w:type="dxa"/>
            <w:tcBorders>
              <w:left w:val="nil"/>
              <w:bottom w:val="single" w:sz="4" w:space="0" w:color="auto"/>
            </w:tcBorders>
            <w:shd w:val="clear" w:color="auto" w:fill="9CC2E5" w:themeFill="accent1" w:themeFillTint="99"/>
            <w:vAlign w:val="center"/>
          </w:tcPr>
          <w:p w14:paraId="6E35ACE7" w14:textId="59EB4BBD" w:rsidR="00A41A0D" w:rsidRPr="00A41A0D" w:rsidRDefault="00A41A0D" w:rsidP="00D72C99">
            <w:pPr>
              <w:spacing w:line="259" w:lineRule="auto"/>
              <w:jc w:val="right"/>
              <w:rPr>
                <w:rFonts w:cs="Arial"/>
                <w:szCs w:val="24"/>
                <w:lang w:val="en-GB" w:eastAsia="en-GB"/>
              </w:rPr>
            </w:pPr>
            <w:r w:rsidRPr="00A41A0D">
              <w:rPr>
                <w:rFonts w:cs="Arial"/>
                <w:szCs w:val="24"/>
                <w:lang w:val="en-GB" w:eastAsia="en-GB"/>
              </w:rPr>
              <w:t>3rd Qu.</w:t>
            </w:r>
          </w:p>
        </w:tc>
      </w:tr>
      <w:tr w:rsidR="000B0A23" w:rsidRPr="006706BE" w14:paraId="78E20B66" w14:textId="77777777" w:rsidTr="00195253">
        <w:trPr>
          <w:trHeight w:val="397"/>
        </w:trPr>
        <w:tc>
          <w:tcPr>
            <w:tcW w:w="3161" w:type="dxa"/>
            <w:tcBorders>
              <w:top w:val="single" w:sz="4" w:space="0" w:color="auto"/>
              <w:left w:val="single" w:sz="4" w:space="0" w:color="auto"/>
              <w:bottom w:val="single" w:sz="4" w:space="0" w:color="auto"/>
              <w:right w:val="nil"/>
            </w:tcBorders>
            <w:vAlign w:val="center"/>
          </w:tcPr>
          <w:p w14:paraId="095C4427" w14:textId="6FB8143A" w:rsidR="000B0A23" w:rsidRPr="00A41A0D" w:rsidRDefault="000B0A23" w:rsidP="000B0A23">
            <w:pPr>
              <w:spacing w:line="259" w:lineRule="auto"/>
              <w:rPr>
                <w:rFonts w:cs="Arial"/>
                <w:szCs w:val="24"/>
                <w:lang w:val="en-GB" w:eastAsia="en-GB"/>
              </w:rPr>
            </w:pPr>
            <w:r w:rsidRPr="00A41A0D">
              <w:rPr>
                <w:rFonts w:cs="Arial"/>
                <w:szCs w:val="24"/>
                <w:lang w:val="en-GB" w:eastAsia="en-GB"/>
              </w:rPr>
              <w:t>Substance use</w:t>
            </w:r>
          </w:p>
        </w:tc>
        <w:tc>
          <w:tcPr>
            <w:tcW w:w="617" w:type="dxa"/>
            <w:tcBorders>
              <w:top w:val="single" w:sz="4" w:space="0" w:color="auto"/>
              <w:left w:val="nil"/>
              <w:bottom w:val="single" w:sz="4" w:space="0" w:color="auto"/>
              <w:right w:val="nil"/>
            </w:tcBorders>
            <w:vAlign w:val="center"/>
          </w:tcPr>
          <w:p w14:paraId="33AF402B" w14:textId="4E8216D4" w:rsidR="000B0A23" w:rsidRPr="00A41A0D" w:rsidRDefault="000B0A23" w:rsidP="000B0A23">
            <w:pPr>
              <w:spacing w:line="259" w:lineRule="auto"/>
              <w:jc w:val="center"/>
              <w:rPr>
                <w:rFonts w:cs="Arial"/>
                <w:szCs w:val="24"/>
                <w:lang w:val="en-GB" w:eastAsia="en-GB"/>
              </w:rPr>
            </w:pPr>
            <w:r w:rsidRPr="00A41A0D">
              <w:rPr>
                <w:rFonts w:cs="Arial"/>
                <w:szCs w:val="24"/>
                <w:lang w:val="en-GB" w:eastAsia="en-GB"/>
              </w:rPr>
              <w:t>93</w:t>
            </w:r>
          </w:p>
        </w:tc>
        <w:tc>
          <w:tcPr>
            <w:tcW w:w="1386" w:type="dxa"/>
            <w:tcBorders>
              <w:top w:val="single" w:sz="4" w:space="0" w:color="auto"/>
              <w:left w:val="nil"/>
              <w:bottom w:val="single" w:sz="4" w:space="0" w:color="auto"/>
              <w:right w:val="nil"/>
            </w:tcBorders>
            <w:vAlign w:val="center"/>
          </w:tcPr>
          <w:p w14:paraId="653D8DB5" w14:textId="6FB29E0D" w:rsidR="000B0A23" w:rsidRPr="00A41A0D" w:rsidRDefault="000B0A23" w:rsidP="000B0A23">
            <w:pPr>
              <w:spacing w:line="259" w:lineRule="auto"/>
              <w:jc w:val="right"/>
              <w:rPr>
                <w:rFonts w:cs="Arial"/>
                <w:szCs w:val="24"/>
                <w:lang w:val="en-GB" w:eastAsia="en-GB"/>
              </w:rPr>
            </w:pPr>
            <w:r>
              <w:rPr>
                <w:rFonts w:cs="Arial"/>
                <w:szCs w:val="24"/>
                <w:lang w:val="en-GB" w:eastAsia="en-GB"/>
              </w:rPr>
              <w:t>4,755</w:t>
            </w:r>
          </w:p>
        </w:tc>
        <w:tc>
          <w:tcPr>
            <w:tcW w:w="1527" w:type="dxa"/>
            <w:tcBorders>
              <w:top w:val="single" w:sz="4" w:space="0" w:color="auto"/>
              <w:left w:val="nil"/>
              <w:bottom w:val="single" w:sz="4" w:space="0" w:color="auto"/>
              <w:right w:val="nil"/>
            </w:tcBorders>
            <w:vAlign w:val="center"/>
          </w:tcPr>
          <w:p w14:paraId="05723BAA" w14:textId="32664D2A" w:rsidR="000B0A23" w:rsidRPr="00A41A0D" w:rsidRDefault="000B0A23" w:rsidP="000B0A23">
            <w:pPr>
              <w:spacing w:line="259" w:lineRule="auto"/>
              <w:jc w:val="right"/>
              <w:rPr>
                <w:rFonts w:cs="Arial"/>
                <w:szCs w:val="24"/>
                <w:lang w:val="en-GB" w:eastAsia="en-GB"/>
              </w:rPr>
            </w:pPr>
            <w:r>
              <w:rPr>
                <w:rFonts w:cs="Arial"/>
                <w:szCs w:val="24"/>
                <w:lang w:val="en-GB" w:eastAsia="en-GB"/>
              </w:rPr>
              <w:t>5,091</w:t>
            </w:r>
          </w:p>
        </w:tc>
        <w:tc>
          <w:tcPr>
            <w:tcW w:w="1123" w:type="dxa"/>
            <w:tcBorders>
              <w:top w:val="single" w:sz="4" w:space="0" w:color="auto"/>
              <w:left w:val="nil"/>
              <w:bottom w:val="single" w:sz="4" w:space="0" w:color="auto"/>
              <w:right w:val="nil"/>
            </w:tcBorders>
            <w:vAlign w:val="center"/>
          </w:tcPr>
          <w:p w14:paraId="0A67933F" w14:textId="19AB023A" w:rsidR="000B0A23" w:rsidRPr="00A41A0D" w:rsidRDefault="000B0A23" w:rsidP="000B0A23">
            <w:pPr>
              <w:spacing w:line="259" w:lineRule="auto"/>
              <w:jc w:val="right"/>
              <w:rPr>
                <w:rFonts w:cs="Arial"/>
                <w:szCs w:val="24"/>
                <w:lang w:val="en-GB" w:eastAsia="en-GB"/>
              </w:rPr>
            </w:pPr>
            <w:r w:rsidRPr="00402BC4">
              <w:rPr>
                <w:rFonts w:cs="Arial"/>
                <w:szCs w:val="24"/>
                <w:lang w:val="en-GB" w:eastAsia="en-GB"/>
              </w:rPr>
              <w:t>798</w:t>
            </w:r>
          </w:p>
        </w:tc>
        <w:tc>
          <w:tcPr>
            <w:tcW w:w="1284" w:type="dxa"/>
            <w:tcBorders>
              <w:top w:val="single" w:sz="4" w:space="0" w:color="auto"/>
              <w:left w:val="nil"/>
              <w:bottom w:val="single" w:sz="4" w:space="0" w:color="auto"/>
              <w:right w:val="nil"/>
            </w:tcBorders>
            <w:vAlign w:val="center"/>
          </w:tcPr>
          <w:p w14:paraId="42888AFD" w14:textId="508126DD" w:rsidR="000B0A23" w:rsidRPr="00A41A0D" w:rsidRDefault="000B0A23" w:rsidP="000B0A23">
            <w:pPr>
              <w:spacing w:line="259" w:lineRule="auto"/>
              <w:jc w:val="right"/>
              <w:rPr>
                <w:rFonts w:cs="Arial"/>
                <w:szCs w:val="24"/>
                <w:lang w:val="en-GB" w:eastAsia="en-GB"/>
              </w:rPr>
            </w:pPr>
            <w:r w:rsidRPr="00A86E0B">
              <w:rPr>
                <w:rFonts w:cs="Arial"/>
                <w:szCs w:val="24"/>
                <w:lang w:val="en-GB" w:eastAsia="en-GB"/>
              </w:rPr>
              <w:t>11,944</w:t>
            </w:r>
          </w:p>
        </w:tc>
        <w:tc>
          <w:tcPr>
            <w:tcW w:w="1123" w:type="dxa"/>
            <w:tcBorders>
              <w:top w:val="single" w:sz="4" w:space="0" w:color="auto"/>
              <w:left w:val="nil"/>
              <w:bottom w:val="single" w:sz="4" w:space="0" w:color="auto"/>
              <w:right w:val="nil"/>
            </w:tcBorders>
            <w:shd w:val="clear" w:color="auto" w:fill="auto"/>
            <w:vAlign w:val="center"/>
          </w:tcPr>
          <w:p w14:paraId="0B48E11B" w14:textId="05BCC42E" w:rsidR="000B0A23" w:rsidRPr="006706BE" w:rsidRDefault="000B0A23" w:rsidP="000B0A23">
            <w:pPr>
              <w:spacing w:line="259" w:lineRule="auto"/>
              <w:jc w:val="right"/>
              <w:rPr>
                <w:rFonts w:cs="Arial"/>
                <w:szCs w:val="24"/>
                <w:lang w:val="en-GB" w:eastAsia="en-GB"/>
              </w:rPr>
            </w:pPr>
            <w:r w:rsidRPr="00A86E0B">
              <w:rPr>
                <w:rFonts w:cs="Arial"/>
                <w:szCs w:val="24"/>
                <w:lang w:val="en-GB" w:eastAsia="en-GB"/>
              </w:rPr>
              <w:t>2,986</w:t>
            </w:r>
          </w:p>
        </w:tc>
        <w:tc>
          <w:tcPr>
            <w:tcW w:w="1256" w:type="dxa"/>
            <w:tcBorders>
              <w:top w:val="single" w:sz="4" w:space="0" w:color="auto"/>
              <w:left w:val="nil"/>
              <w:bottom w:val="single" w:sz="4" w:space="0" w:color="auto"/>
              <w:right w:val="single" w:sz="4" w:space="0" w:color="auto"/>
            </w:tcBorders>
            <w:shd w:val="clear" w:color="auto" w:fill="auto"/>
            <w:vAlign w:val="center"/>
          </w:tcPr>
          <w:p w14:paraId="05F09072" w14:textId="6CDCDA85" w:rsidR="000B0A23" w:rsidRPr="006706BE" w:rsidRDefault="000B0A23" w:rsidP="000B0A23">
            <w:pPr>
              <w:spacing w:line="259" w:lineRule="auto"/>
              <w:jc w:val="right"/>
              <w:rPr>
                <w:rFonts w:cs="Arial"/>
                <w:szCs w:val="24"/>
                <w:lang w:val="en-GB" w:eastAsia="en-GB"/>
              </w:rPr>
            </w:pPr>
            <w:r w:rsidRPr="00A86E0B">
              <w:rPr>
                <w:rFonts w:cs="Arial"/>
                <w:szCs w:val="24"/>
                <w:lang w:val="en-GB" w:eastAsia="en-GB"/>
              </w:rPr>
              <w:t>6,522</w:t>
            </w:r>
          </w:p>
        </w:tc>
      </w:tr>
      <w:tr w:rsidR="000B0A23" w:rsidRPr="006706BE" w14:paraId="698E1317" w14:textId="77777777" w:rsidTr="00195253">
        <w:trPr>
          <w:trHeight w:val="397"/>
        </w:trPr>
        <w:tc>
          <w:tcPr>
            <w:tcW w:w="3161" w:type="dxa"/>
            <w:tcBorders>
              <w:top w:val="single" w:sz="4" w:space="0" w:color="auto"/>
              <w:left w:val="single" w:sz="4" w:space="0" w:color="auto"/>
              <w:bottom w:val="single" w:sz="4" w:space="0" w:color="auto"/>
              <w:right w:val="nil"/>
            </w:tcBorders>
            <w:vAlign w:val="center"/>
          </w:tcPr>
          <w:p w14:paraId="6B757E75" w14:textId="2573F724" w:rsidR="000B0A23" w:rsidRPr="00A41A0D" w:rsidRDefault="000B0A23" w:rsidP="000B0A23">
            <w:pPr>
              <w:rPr>
                <w:rFonts w:cs="Arial"/>
                <w:szCs w:val="24"/>
                <w:lang w:val="en-GB" w:eastAsia="en-GB"/>
              </w:rPr>
            </w:pPr>
            <w:r w:rsidRPr="00A41A0D">
              <w:rPr>
                <w:rFonts w:cs="Arial"/>
                <w:szCs w:val="24"/>
                <w:lang w:val="en-GB" w:eastAsia="en-GB"/>
              </w:rPr>
              <w:t>Schizophrenia</w:t>
            </w:r>
          </w:p>
        </w:tc>
        <w:tc>
          <w:tcPr>
            <w:tcW w:w="617" w:type="dxa"/>
            <w:tcBorders>
              <w:top w:val="single" w:sz="4" w:space="0" w:color="auto"/>
              <w:left w:val="nil"/>
              <w:bottom w:val="single" w:sz="4" w:space="0" w:color="auto"/>
              <w:right w:val="nil"/>
            </w:tcBorders>
            <w:vAlign w:val="center"/>
          </w:tcPr>
          <w:p w14:paraId="158138C1" w14:textId="22FFEA61" w:rsidR="000B0A23" w:rsidRPr="00A41A0D" w:rsidRDefault="000B0A23" w:rsidP="000B0A23">
            <w:pPr>
              <w:jc w:val="center"/>
              <w:rPr>
                <w:rFonts w:cs="Arial"/>
                <w:szCs w:val="24"/>
                <w:lang w:val="en-GB" w:eastAsia="en-GB"/>
              </w:rPr>
            </w:pPr>
            <w:r w:rsidRPr="00A41A0D">
              <w:rPr>
                <w:rFonts w:cs="Arial"/>
                <w:szCs w:val="24"/>
                <w:lang w:val="en-GB" w:eastAsia="en-GB"/>
              </w:rPr>
              <w:t>67</w:t>
            </w:r>
          </w:p>
        </w:tc>
        <w:tc>
          <w:tcPr>
            <w:tcW w:w="1386" w:type="dxa"/>
            <w:tcBorders>
              <w:top w:val="single" w:sz="4" w:space="0" w:color="auto"/>
              <w:left w:val="nil"/>
              <w:bottom w:val="single" w:sz="4" w:space="0" w:color="auto"/>
              <w:right w:val="nil"/>
            </w:tcBorders>
            <w:vAlign w:val="center"/>
          </w:tcPr>
          <w:p w14:paraId="196B0D79" w14:textId="4ECF6214" w:rsidR="000B0A23" w:rsidRPr="008E18A7" w:rsidRDefault="000B0A23" w:rsidP="000B0A23">
            <w:pPr>
              <w:jc w:val="right"/>
              <w:rPr>
                <w:rFonts w:cs="Arial"/>
                <w:szCs w:val="24"/>
                <w:lang w:val="en-GB" w:eastAsia="en-GB"/>
              </w:rPr>
            </w:pPr>
            <w:r>
              <w:rPr>
                <w:rFonts w:cs="Arial"/>
                <w:szCs w:val="24"/>
                <w:lang w:val="en-GB" w:eastAsia="en-GB"/>
              </w:rPr>
              <w:t>12,727</w:t>
            </w:r>
          </w:p>
        </w:tc>
        <w:tc>
          <w:tcPr>
            <w:tcW w:w="1527" w:type="dxa"/>
            <w:tcBorders>
              <w:top w:val="single" w:sz="4" w:space="0" w:color="auto"/>
              <w:left w:val="nil"/>
              <w:bottom w:val="single" w:sz="4" w:space="0" w:color="auto"/>
              <w:right w:val="nil"/>
            </w:tcBorders>
            <w:vAlign w:val="center"/>
          </w:tcPr>
          <w:p w14:paraId="3AF087C4" w14:textId="04F2871D" w:rsidR="000B0A23" w:rsidRPr="008E18A7" w:rsidRDefault="000B0A23" w:rsidP="000B0A23">
            <w:pPr>
              <w:jc w:val="right"/>
              <w:rPr>
                <w:rFonts w:cs="Arial"/>
                <w:szCs w:val="24"/>
                <w:lang w:val="en-GB" w:eastAsia="en-GB"/>
              </w:rPr>
            </w:pPr>
            <w:r w:rsidRPr="00402BC4">
              <w:rPr>
                <w:rFonts w:cs="Arial"/>
                <w:szCs w:val="24"/>
                <w:lang w:val="en-GB" w:eastAsia="en-GB"/>
              </w:rPr>
              <w:t>16</w:t>
            </w:r>
            <w:r>
              <w:rPr>
                <w:rFonts w:cs="Arial"/>
                <w:szCs w:val="24"/>
                <w:lang w:val="en-GB" w:eastAsia="en-GB"/>
              </w:rPr>
              <w:t>,</w:t>
            </w:r>
            <w:r w:rsidRPr="00402BC4">
              <w:rPr>
                <w:rFonts w:cs="Arial"/>
                <w:szCs w:val="24"/>
                <w:lang w:val="en-GB" w:eastAsia="en-GB"/>
              </w:rPr>
              <w:t>771</w:t>
            </w:r>
          </w:p>
        </w:tc>
        <w:tc>
          <w:tcPr>
            <w:tcW w:w="1123" w:type="dxa"/>
            <w:tcBorders>
              <w:top w:val="single" w:sz="4" w:space="0" w:color="auto"/>
              <w:left w:val="nil"/>
              <w:bottom w:val="single" w:sz="4" w:space="0" w:color="auto"/>
              <w:right w:val="nil"/>
            </w:tcBorders>
            <w:vAlign w:val="center"/>
          </w:tcPr>
          <w:p w14:paraId="38953582" w14:textId="673621F3" w:rsidR="000B0A23" w:rsidRPr="008E18A7" w:rsidRDefault="000B0A23" w:rsidP="000B0A23">
            <w:pPr>
              <w:jc w:val="right"/>
              <w:rPr>
                <w:rFonts w:cs="Arial"/>
                <w:szCs w:val="24"/>
                <w:lang w:val="en-GB" w:eastAsia="en-GB"/>
              </w:rPr>
            </w:pPr>
            <w:r w:rsidRPr="00402BC4">
              <w:rPr>
                <w:rFonts w:cs="Arial"/>
                <w:szCs w:val="24"/>
                <w:lang w:val="en-GB" w:eastAsia="en-GB"/>
              </w:rPr>
              <w:t>3</w:t>
            </w:r>
            <w:r>
              <w:rPr>
                <w:rFonts w:cs="Arial"/>
                <w:szCs w:val="24"/>
                <w:lang w:val="en-GB" w:eastAsia="en-GB"/>
              </w:rPr>
              <w:t>,</w:t>
            </w:r>
            <w:r w:rsidRPr="00402BC4">
              <w:rPr>
                <w:rFonts w:cs="Arial"/>
                <w:szCs w:val="24"/>
                <w:lang w:val="en-GB" w:eastAsia="en-GB"/>
              </w:rPr>
              <w:t>255</w:t>
            </w:r>
          </w:p>
        </w:tc>
        <w:tc>
          <w:tcPr>
            <w:tcW w:w="1284" w:type="dxa"/>
            <w:tcBorders>
              <w:top w:val="single" w:sz="4" w:space="0" w:color="auto"/>
              <w:left w:val="nil"/>
              <w:bottom w:val="single" w:sz="4" w:space="0" w:color="auto"/>
              <w:right w:val="nil"/>
            </w:tcBorders>
            <w:vAlign w:val="center"/>
          </w:tcPr>
          <w:p w14:paraId="4F3284C2" w14:textId="22C14CE2" w:rsidR="000B0A23" w:rsidRPr="008E18A7" w:rsidRDefault="000B0A23" w:rsidP="000B0A23">
            <w:pPr>
              <w:jc w:val="right"/>
              <w:rPr>
                <w:rFonts w:cs="Arial"/>
                <w:szCs w:val="24"/>
                <w:lang w:val="en-GB" w:eastAsia="en-GB"/>
              </w:rPr>
            </w:pPr>
            <w:r w:rsidRPr="00A86E0B">
              <w:rPr>
                <w:rFonts w:cs="Arial"/>
                <w:szCs w:val="24"/>
                <w:lang w:val="en-GB" w:eastAsia="en-GB"/>
              </w:rPr>
              <w:t>71,878</w:t>
            </w:r>
          </w:p>
        </w:tc>
        <w:tc>
          <w:tcPr>
            <w:tcW w:w="1123" w:type="dxa"/>
            <w:tcBorders>
              <w:top w:val="single" w:sz="4" w:space="0" w:color="auto"/>
              <w:left w:val="nil"/>
              <w:bottom w:val="single" w:sz="4" w:space="0" w:color="auto"/>
              <w:right w:val="nil"/>
            </w:tcBorders>
            <w:shd w:val="clear" w:color="auto" w:fill="auto"/>
            <w:vAlign w:val="center"/>
          </w:tcPr>
          <w:p w14:paraId="601BD9B8" w14:textId="6CAF3944" w:rsidR="000B0A23" w:rsidRPr="00AD5D34" w:rsidRDefault="000B0A23" w:rsidP="000B0A23">
            <w:pPr>
              <w:jc w:val="right"/>
              <w:rPr>
                <w:rFonts w:cs="Arial"/>
                <w:szCs w:val="24"/>
                <w:lang w:val="en-GB" w:eastAsia="en-GB"/>
              </w:rPr>
            </w:pPr>
            <w:r w:rsidRPr="00A86E0B">
              <w:rPr>
                <w:rFonts w:cs="Arial"/>
                <w:szCs w:val="24"/>
                <w:lang w:val="en-GB" w:eastAsia="en-GB"/>
              </w:rPr>
              <w:t>8,050</w:t>
            </w:r>
          </w:p>
        </w:tc>
        <w:tc>
          <w:tcPr>
            <w:tcW w:w="1256" w:type="dxa"/>
            <w:tcBorders>
              <w:top w:val="single" w:sz="4" w:space="0" w:color="auto"/>
              <w:left w:val="nil"/>
              <w:bottom w:val="single" w:sz="4" w:space="0" w:color="auto"/>
              <w:right w:val="single" w:sz="4" w:space="0" w:color="auto"/>
            </w:tcBorders>
            <w:shd w:val="clear" w:color="auto" w:fill="auto"/>
            <w:vAlign w:val="center"/>
          </w:tcPr>
          <w:p w14:paraId="277C607B" w14:textId="1BDDC24E" w:rsidR="000B0A23" w:rsidRPr="00AD5D34" w:rsidRDefault="000B0A23" w:rsidP="000B0A23">
            <w:pPr>
              <w:jc w:val="right"/>
              <w:rPr>
                <w:rFonts w:cs="Arial"/>
                <w:szCs w:val="24"/>
                <w:lang w:val="en-GB" w:eastAsia="en-GB"/>
              </w:rPr>
            </w:pPr>
            <w:r w:rsidRPr="00A86E0B">
              <w:rPr>
                <w:rFonts w:cs="Arial"/>
                <w:szCs w:val="24"/>
                <w:lang w:val="en-GB" w:eastAsia="en-GB"/>
              </w:rPr>
              <w:t>20,590</w:t>
            </w:r>
          </w:p>
        </w:tc>
      </w:tr>
      <w:tr w:rsidR="000B0A23" w:rsidRPr="006706BE" w14:paraId="3FDC85BD" w14:textId="77777777" w:rsidTr="00195253">
        <w:trPr>
          <w:trHeight w:val="397"/>
        </w:trPr>
        <w:tc>
          <w:tcPr>
            <w:tcW w:w="3161" w:type="dxa"/>
            <w:tcBorders>
              <w:top w:val="single" w:sz="4" w:space="0" w:color="auto"/>
              <w:left w:val="single" w:sz="4" w:space="0" w:color="auto"/>
              <w:bottom w:val="single" w:sz="4" w:space="0" w:color="auto"/>
              <w:right w:val="nil"/>
            </w:tcBorders>
            <w:vAlign w:val="center"/>
          </w:tcPr>
          <w:p w14:paraId="20F5DA29" w14:textId="188E0836" w:rsidR="000B0A23" w:rsidRPr="00A41A0D" w:rsidRDefault="000B0A23" w:rsidP="000B0A23">
            <w:pPr>
              <w:rPr>
                <w:rFonts w:cs="Arial"/>
                <w:szCs w:val="24"/>
                <w:lang w:val="en-GB" w:eastAsia="en-GB"/>
              </w:rPr>
            </w:pPr>
            <w:r w:rsidRPr="00A41A0D">
              <w:rPr>
                <w:rFonts w:cs="Arial"/>
                <w:szCs w:val="24"/>
                <w:lang w:val="en-GB" w:eastAsia="en-GB"/>
              </w:rPr>
              <w:t>Mood disorders</w:t>
            </w:r>
          </w:p>
        </w:tc>
        <w:tc>
          <w:tcPr>
            <w:tcW w:w="617" w:type="dxa"/>
            <w:tcBorders>
              <w:top w:val="single" w:sz="4" w:space="0" w:color="auto"/>
              <w:left w:val="nil"/>
              <w:bottom w:val="single" w:sz="4" w:space="0" w:color="auto"/>
              <w:right w:val="nil"/>
            </w:tcBorders>
            <w:vAlign w:val="center"/>
          </w:tcPr>
          <w:p w14:paraId="12BF0EB8" w14:textId="7F8965D4" w:rsidR="000B0A23" w:rsidRPr="00A41A0D" w:rsidRDefault="000B0A23" w:rsidP="000B0A23">
            <w:pPr>
              <w:jc w:val="center"/>
              <w:rPr>
                <w:rFonts w:cs="Arial"/>
                <w:szCs w:val="24"/>
                <w:lang w:val="en-GB" w:eastAsia="en-GB"/>
              </w:rPr>
            </w:pPr>
            <w:r w:rsidRPr="00A41A0D">
              <w:rPr>
                <w:rFonts w:cs="Arial"/>
                <w:szCs w:val="24"/>
                <w:lang w:val="en-GB" w:eastAsia="en-GB"/>
              </w:rPr>
              <w:t>96</w:t>
            </w:r>
          </w:p>
        </w:tc>
        <w:tc>
          <w:tcPr>
            <w:tcW w:w="1386" w:type="dxa"/>
            <w:tcBorders>
              <w:top w:val="single" w:sz="4" w:space="0" w:color="auto"/>
              <w:left w:val="nil"/>
              <w:bottom w:val="single" w:sz="4" w:space="0" w:color="auto"/>
              <w:right w:val="nil"/>
            </w:tcBorders>
            <w:vAlign w:val="center"/>
          </w:tcPr>
          <w:p w14:paraId="46A468AF" w14:textId="5514746B" w:rsidR="000B0A23" w:rsidRPr="00A41A0D" w:rsidRDefault="000B0A23" w:rsidP="000B0A23">
            <w:pPr>
              <w:jc w:val="right"/>
              <w:rPr>
                <w:rFonts w:cs="Arial"/>
                <w:szCs w:val="24"/>
                <w:lang w:val="en-GB" w:eastAsia="en-GB"/>
              </w:rPr>
            </w:pPr>
            <w:r>
              <w:rPr>
                <w:rFonts w:cs="Arial"/>
                <w:szCs w:val="24"/>
                <w:lang w:val="en-GB" w:eastAsia="en-GB"/>
              </w:rPr>
              <w:t>4,443</w:t>
            </w:r>
          </w:p>
        </w:tc>
        <w:tc>
          <w:tcPr>
            <w:tcW w:w="1527" w:type="dxa"/>
            <w:tcBorders>
              <w:top w:val="single" w:sz="4" w:space="0" w:color="auto"/>
              <w:left w:val="nil"/>
              <w:bottom w:val="single" w:sz="4" w:space="0" w:color="auto"/>
              <w:right w:val="nil"/>
            </w:tcBorders>
            <w:vAlign w:val="center"/>
          </w:tcPr>
          <w:p w14:paraId="2C50D220" w14:textId="0CC31733" w:rsidR="000B0A23" w:rsidRPr="00A41A0D" w:rsidRDefault="000B0A23" w:rsidP="000B0A23">
            <w:pPr>
              <w:jc w:val="right"/>
              <w:rPr>
                <w:rFonts w:cs="Arial"/>
                <w:szCs w:val="24"/>
                <w:lang w:val="en-GB" w:eastAsia="en-GB"/>
              </w:rPr>
            </w:pPr>
            <w:r>
              <w:rPr>
                <w:rFonts w:cs="Arial"/>
                <w:szCs w:val="24"/>
                <w:lang w:val="en-GB" w:eastAsia="en-GB"/>
              </w:rPr>
              <w:t>5,670</w:t>
            </w:r>
          </w:p>
        </w:tc>
        <w:tc>
          <w:tcPr>
            <w:tcW w:w="1123" w:type="dxa"/>
            <w:tcBorders>
              <w:top w:val="single" w:sz="4" w:space="0" w:color="auto"/>
              <w:left w:val="nil"/>
              <w:bottom w:val="single" w:sz="4" w:space="0" w:color="auto"/>
              <w:right w:val="nil"/>
            </w:tcBorders>
            <w:vAlign w:val="center"/>
          </w:tcPr>
          <w:p w14:paraId="3399D338" w14:textId="335DA957" w:rsidR="000B0A23" w:rsidRPr="00A41A0D" w:rsidRDefault="000B0A23" w:rsidP="000B0A23">
            <w:pPr>
              <w:jc w:val="right"/>
              <w:rPr>
                <w:rFonts w:cs="Arial"/>
                <w:szCs w:val="24"/>
                <w:lang w:val="en-GB" w:eastAsia="en-GB"/>
              </w:rPr>
            </w:pPr>
            <w:r>
              <w:rPr>
                <w:rFonts w:cs="Arial"/>
                <w:szCs w:val="24"/>
                <w:lang w:val="en-GB" w:eastAsia="en-GB"/>
              </w:rPr>
              <w:t>888</w:t>
            </w:r>
          </w:p>
        </w:tc>
        <w:tc>
          <w:tcPr>
            <w:tcW w:w="1284" w:type="dxa"/>
            <w:tcBorders>
              <w:top w:val="single" w:sz="4" w:space="0" w:color="auto"/>
              <w:left w:val="nil"/>
              <w:bottom w:val="single" w:sz="4" w:space="0" w:color="auto"/>
              <w:right w:val="nil"/>
            </w:tcBorders>
            <w:vAlign w:val="center"/>
          </w:tcPr>
          <w:p w14:paraId="2F48CAA9" w14:textId="2B362FB8" w:rsidR="000B0A23" w:rsidRPr="00A86E0B" w:rsidRDefault="000B0A23" w:rsidP="000B0A23">
            <w:pPr>
              <w:jc w:val="right"/>
              <w:rPr>
                <w:rFonts w:cs="Arial"/>
                <w:szCs w:val="24"/>
                <w:lang w:val="en-GB" w:eastAsia="en-GB"/>
              </w:rPr>
            </w:pPr>
            <w:r w:rsidRPr="00A86E0B">
              <w:rPr>
                <w:rFonts w:cs="Arial"/>
                <w:szCs w:val="24"/>
                <w:lang w:val="en-GB" w:eastAsia="en-GB"/>
              </w:rPr>
              <w:t>40,045</w:t>
            </w:r>
          </w:p>
        </w:tc>
        <w:tc>
          <w:tcPr>
            <w:tcW w:w="1123" w:type="dxa"/>
            <w:tcBorders>
              <w:top w:val="single" w:sz="4" w:space="0" w:color="auto"/>
              <w:left w:val="nil"/>
              <w:bottom w:val="single" w:sz="4" w:space="0" w:color="auto"/>
              <w:right w:val="nil"/>
            </w:tcBorders>
            <w:shd w:val="clear" w:color="auto" w:fill="auto"/>
            <w:vAlign w:val="center"/>
          </w:tcPr>
          <w:p w14:paraId="16937B88" w14:textId="58D179C3" w:rsidR="000B0A23" w:rsidRPr="00A86E0B" w:rsidRDefault="000B0A23" w:rsidP="000B0A23">
            <w:pPr>
              <w:jc w:val="right"/>
              <w:rPr>
                <w:rFonts w:cs="Arial"/>
                <w:szCs w:val="24"/>
                <w:lang w:val="en-GB" w:eastAsia="en-GB"/>
              </w:rPr>
            </w:pPr>
            <w:r w:rsidRPr="00A86E0B">
              <w:rPr>
                <w:rFonts w:cs="Arial"/>
                <w:szCs w:val="24"/>
                <w:lang w:val="en-GB" w:eastAsia="en-GB"/>
              </w:rPr>
              <w:t>2,835</w:t>
            </w:r>
          </w:p>
        </w:tc>
        <w:tc>
          <w:tcPr>
            <w:tcW w:w="1256" w:type="dxa"/>
            <w:tcBorders>
              <w:top w:val="single" w:sz="4" w:space="0" w:color="auto"/>
              <w:left w:val="nil"/>
              <w:bottom w:val="single" w:sz="4" w:space="0" w:color="auto"/>
              <w:right w:val="single" w:sz="4" w:space="0" w:color="auto"/>
            </w:tcBorders>
            <w:shd w:val="clear" w:color="auto" w:fill="auto"/>
            <w:vAlign w:val="center"/>
          </w:tcPr>
          <w:p w14:paraId="32F6C47C" w14:textId="37642938" w:rsidR="000B0A23" w:rsidRPr="00A86E0B" w:rsidRDefault="000B0A23" w:rsidP="000B0A23">
            <w:pPr>
              <w:jc w:val="right"/>
              <w:rPr>
                <w:rFonts w:cs="Arial"/>
                <w:szCs w:val="24"/>
                <w:lang w:val="en-GB" w:eastAsia="en-GB"/>
              </w:rPr>
            </w:pPr>
            <w:r w:rsidRPr="00A86E0B">
              <w:rPr>
                <w:rFonts w:cs="Arial"/>
                <w:szCs w:val="24"/>
                <w:lang w:val="en-GB" w:eastAsia="en-GB"/>
              </w:rPr>
              <w:t>6,949</w:t>
            </w:r>
          </w:p>
        </w:tc>
      </w:tr>
      <w:tr w:rsidR="000B0A23" w:rsidRPr="00731281" w14:paraId="53AB7046" w14:textId="77777777" w:rsidTr="00195253">
        <w:trPr>
          <w:trHeight w:val="397"/>
        </w:trPr>
        <w:tc>
          <w:tcPr>
            <w:tcW w:w="3161" w:type="dxa"/>
            <w:tcBorders>
              <w:top w:val="single" w:sz="4" w:space="0" w:color="auto"/>
              <w:left w:val="single" w:sz="4" w:space="0" w:color="auto"/>
              <w:bottom w:val="single" w:sz="4" w:space="0" w:color="auto"/>
              <w:right w:val="nil"/>
            </w:tcBorders>
            <w:vAlign w:val="center"/>
          </w:tcPr>
          <w:p w14:paraId="12DC4BC8" w14:textId="10EB8BF0" w:rsidR="000B0A23" w:rsidRPr="00A41A0D" w:rsidRDefault="000B0A23" w:rsidP="000B0A23">
            <w:pPr>
              <w:spacing w:line="259" w:lineRule="auto"/>
              <w:rPr>
                <w:rFonts w:cs="Arial"/>
                <w:szCs w:val="24"/>
                <w:lang w:val="en-GB" w:eastAsia="en-GB"/>
              </w:rPr>
            </w:pPr>
            <w:r w:rsidRPr="00A41A0D">
              <w:rPr>
                <w:rFonts w:cs="Arial"/>
                <w:szCs w:val="24"/>
                <w:lang w:val="en-GB" w:eastAsia="en-GB"/>
              </w:rPr>
              <w:t>Neurotic disorders</w:t>
            </w:r>
          </w:p>
        </w:tc>
        <w:tc>
          <w:tcPr>
            <w:tcW w:w="617" w:type="dxa"/>
            <w:tcBorders>
              <w:top w:val="single" w:sz="4" w:space="0" w:color="auto"/>
              <w:left w:val="nil"/>
              <w:bottom w:val="single" w:sz="4" w:space="0" w:color="auto"/>
              <w:right w:val="nil"/>
            </w:tcBorders>
            <w:vAlign w:val="center"/>
          </w:tcPr>
          <w:p w14:paraId="2853F7B9" w14:textId="7F095CBE" w:rsidR="000B0A23" w:rsidRPr="00A41A0D" w:rsidRDefault="000B0A23" w:rsidP="000B0A23">
            <w:pPr>
              <w:spacing w:line="259" w:lineRule="auto"/>
              <w:jc w:val="center"/>
              <w:rPr>
                <w:rFonts w:cs="Arial"/>
                <w:szCs w:val="24"/>
                <w:lang w:val="en-GB" w:eastAsia="en-GB"/>
              </w:rPr>
            </w:pPr>
            <w:r w:rsidRPr="00A41A0D">
              <w:rPr>
                <w:rFonts w:cs="Arial"/>
                <w:szCs w:val="24"/>
                <w:lang w:val="en-GB" w:eastAsia="en-GB"/>
              </w:rPr>
              <w:t>214</w:t>
            </w:r>
          </w:p>
        </w:tc>
        <w:tc>
          <w:tcPr>
            <w:tcW w:w="1386" w:type="dxa"/>
            <w:tcBorders>
              <w:top w:val="single" w:sz="4" w:space="0" w:color="auto"/>
              <w:left w:val="nil"/>
              <w:bottom w:val="single" w:sz="4" w:space="0" w:color="auto"/>
              <w:right w:val="nil"/>
            </w:tcBorders>
            <w:vAlign w:val="center"/>
          </w:tcPr>
          <w:p w14:paraId="3853334C" w14:textId="2537D737" w:rsidR="000B0A23" w:rsidRPr="00A41A0D" w:rsidRDefault="000B0A23" w:rsidP="000B0A23">
            <w:pPr>
              <w:spacing w:line="259" w:lineRule="auto"/>
              <w:jc w:val="right"/>
              <w:rPr>
                <w:rFonts w:cs="Arial"/>
                <w:szCs w:val="24"/>
                <w:lang w:val="en-GB" w:eastAsia="en-GB"/>
              </w:rPr>
            </w:pPr>
            <w:r>
              <w:rPr>
                <w:rFonts w:cs="Arial"/>
                <w:szCs w:val="24"/>
                <w:lang w:val="en-GB" w:eastAsia="en-GB"/>
              </w:rPr>
              <w:t>933</w:t>
            </w:r>
          </w:p>
        </w:tc>
        <w:tc>
          <w:tcPr>
            <w:tcW w:w="1527" w:type="dxa"/>
            <w:tcBorders>
              <w:top w:val="single" w:sz="4" w:space="0" w:color="auto"/>
              <w:left w:val="nil"/>
              <w:bottom w:val="single" w:sz="4" w:space="0" w:color="auto"/>
              <w:right w:val="nil"/>
            </w:tcBorders>
            <w:vAlign w:val="center"/>
          </w:tcPr>
          <w:p w14:paraId="6AE3C233" w14:textId="6A482BED" w:rsidR="000B0A23" w:rsidRPr="00A41A0D" w:rsidRDefault="000B0A23" w:rsidP="000B0A23">
            <w:pPr>
              <w:spacing w:line="259" w:lineRule="auto"/>
              <w:jc w:val="right"/>
              <w:rPr>
                <w:rFonts w:cs="Arial"/>
                <w:szCs w:val="24"/>
                <w:lang w:val="en-GB" w:eastAsia="en-GB"/>
              </w:rPr>
            </w:pPr>
            <w:r>
              <w:rPr>
                <w:rFonts w:cs="Arial"/>
                <w:szCs w:val="24"/>
                <w:lang w:val="en-GB" w:eastAsia="en-GB"/>
              </w:rPr>
              <w:t>1,161</w:t>
            </w:r>
          </w:p>
        </w:tc>
        <w:tc>
          <w:tcPr>
            <w:tcW w:w="1123" w:type="dxa"/>
            <w:tcBorders>
              <w:top w:val="single" w:sz="4" w:space="0" w:color="auto"/>
              <w:left w:val="nil"/>
              <w:bottom w:val="single" w:sz="4" w:space="0" w:color="auto"/>
              <w:right w:val="nil"/>
            </w:tcBorders>
            <w:vAlign w:val="center"/>
          </w:tcPr>
          <w:p w14:paraId="3E9E0554" w14:textId="6DC9FFDB" w:rsidR="000B0A23" w:rsidRPr="00A41A0D" w:rsidRDefault="000B0A23" w:rsidP="000B0A23">
            <w:pPr>
              <w:spacing w:line="259" w:lineRule="auto"/>
              <w:jc w:val="right"/>
              <w:rPr>
                <w:rFonts w:cs="Arial"/>
                <w:szCs w:val="24"/>
                <w:lang w:val="en-GB" w:eastAsia="en-GB"/>
              </w:rPr>
            </w:pPr>
            <w:r w:rsidRPr="00402BC4">
              <w:rPr>
                <w:rFonts w:cs="Arial"/>
                <w:szCs w:val="24"/>
                <w:lang w:val="en-GB" w:eastAsia="en-GB"/>
              </w:rPr>
              <w:t>128</w:t>
            </w:r>
          </w:p>
        </w:tc>
        <w:tc>
          <w:tcPr>
            <w:tcW w:w="1284" w:type="dxa"/>
            <w:tcBorders>
              <w:top w:val="single" w:sz="4" w:space="0" w:color="auto"/>
              <w:left w:val="nil"/>
              <w:bottom w:val="single" w:sz="4" w:space="0" w:color="auto"/>
              <w:right w:val="nil"/>
            </w:tcBorders>
            <w:vAlign w:val="center"/>
          </w:tcPr>
          <w:p w14:paraId="4F3F4972" w14:textId="79696FD0"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13,862</w:t>
            </w:r>
          </w:p>
        </w:tc>
        <w:tc>
          <w:tcPr>
            <w:tcW w:w="1123" w:type="dxa"/>
            <w:tcBorders>
              <w:top w:val="single" w:sz="4" w:space="0" w:color="auto"/>
              <w:left w:val="nil"/>
              <w:bottom w:val="single" w:sz="4" w:space="0" w:color="auto"/>
              <w:right w:val="nil"/>
            </w:tcBorders>
            <w:vAlign w:val="center"/>
          </w:tcPr>
          <w:p w14:paraId="49F183C3" w14:textId="5CF3771F"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552</w:t>
            </w:r>
          </w:p>
        </w:tc>
        <w:tc>
          <w:tcPr>
            <w:tcW w:w="1256" w:type="dxa"/>
            <w:tcBorders>
              <w:top w:val="single" w:sz="4" w:space="0" w:color="auto"/>
              <w:left w:val="nil"/>
              <w:bottom w:val="single" w:sz="4" w:space="0" w:color="auto"/>
              <w:right w:val="single" w:sz="4" w:space="0" w:color="auto"/>
            </w:tcBorders>
            <w:vAlign w:val="center"/>
          </w:tcPr>
          <w:p w14:paraId="5158B884" w14:textId="02D71920"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1499</w:t>
            </w:r>
          </w:p>
        </w:tc>
      </w:tr>
      <w:tr w:rsidR="000B0A23" w:rsidRPr="006361E8" w14:paraId="4C4164BA" w14:textId="77777777" w:rsidTr="00195253">
        <w:trPr>
          <w:trHeight w:val="397"/>
        </w:trPr>
        <w:tc>
          <w:tcPr>
            <w:tcW w:w="3161" w:type="dxa"/>
            <w:tcBorders>
              <w:top w:val="single" w:sz="4" w:space="0" w:color="auto"/>
              <w:left w:val="single" w:sz="4" w:space="0" w:color="auto"/>
              <w:bottom w:val="single" w:sz="4" w:space="0" w:color="auto"/>
              <w:right w:val="nil"/>
            </w:tcBorders>
            <w:vAlign w:val="center"/>
          </w:tcPr>
          <w:p w14:paraId="72FF22D7" w14:textId="58F9C991" w:rsidR="000B0A23" w:rsidRPr="00A41A0D" w:rsidRDefault="000B0A23" w:rsidP="000B0A23">
            <w:pPr>
              <w:spacing w:line="259" w:lineRule="auto"/>
              <w:rPr>
                <w:rFonts w:cs="Arial"/>
                <w:szCs w:val="24"/>
                <w:lang w:val="en-GB" w:eastAsia="en-GB"/>
              </w:rPr>
            </w:pPr>
            <w:r w:rsidRPr="00A41A0D">
              <w:rPr>
                <w:rFonts w:cs="Arial"/>
                <w:szCs w:val="24"/>
                <w:lang w:val="en-GB" w:eastAsia="en-GB"/>
              </w:rPr>
              <w:t>Eating disorders</w:t>
            </w:r>
          </w:p>
        </w:tc>
        <w:tc>
          <w:tcPr>
            <w:tcW w:w="617" w:type="dxa"/>
            <w:tcBorders>
              <w:top w:val="single" w:sz="4" w:space="0" w:color="auto"/>
              <w:left w:val="nil"/>
              <w:bottom w:val="single" w:sz="4" w:space="0" w:color="auto"/>
              <w:right w:val="nil"/>
            </w:tcBorders>
            <w:vAlign w:val="center"/>
          </w:tcPr>
          <w:p w14:paraId="40E88426" w14:textId="0B7C30FF" w:rsidR="000B0A23" w:rsidRPr="00A41A0D" w:rsidRDefault="000B0A23" w:rsidP="000B0A23">
            <w:pPr>
              <w:spacing w:line="259" w:lineRule="auto"/>
              <w:jc w:val="center"/>
              <w:rPr>
                <w:rFonts w:cs="Arial"/>
                <w:szCs w:val="24"/>
                <w:lang w:val="en-GB" w:eastAsia="en-GB"/>
              </w:rPr>
            </w:pPr>
            <w:r w:rsidRPr="00A41A0D">
              <w:rPr>
                <w:rFonts w:cs="Arial"/>
                <w:szCs w:val="24"/>
                <w:lang w:val="en-GB" w:eastAsia="en-GB"/>
              </w:rPr>
              <w:t>33</w:t>
            </w:r>
          </w:p>
        </w:tc>
        <w:tc>
          <w:tcPr>
            <w:tcW w:w="1386" w:type="dxa"/>
            <w:tcBorders>
              <w:top w:val="single" w:sz="4" w:space="0" w:color="auto"/>
              <w:left w:val="nil"/>
              <w:bottom w:val="single" w:sz="4" w:space="0" w:color="auto"/>
              <w:right w:val="nil"/>
            </w:tcBorders>
            <w:vAlign w:val="center"/>
          </w:tcPr>
          <w:p w14:paraId="33226AF7" w14:textId="36704AAE" w:rsidR="000B0A23" w:rsidRPr="00A41A0D" w:rsidRDefault="000B0A23" w:rsidP="000B0A23">
            <w:pPr>
              <w:spacing w:line="259" w:lineRule="auto"/>
              <w:jc w:val="right"/>
              <w:rPr>
                <w:rFonts w:cs="Arial"/>
                <w:szCs w:val="24"/>
                <w:lang w:val="en-GB" w:eastAsia="en-GB"/>
              </w:rPr>
            </w:pPr>
            <w:r>
              <w:rPr>
                <w:rFonts w:cs="Arial"/>
                <w:szCs w:val="24"/>
                <w:lang w:val="en-GB" w:eastAsia="en-GB"/>
              </w:rPr>
              <w:t>535</w:t>
            </w:r>
          </w:p>
        </w:tc>
        <w:tc>
          <w:tcPr>
            <w:tcW w:w="1527" w:type="dxa"/>
            <w:tcBorders>
              <w:top w:val="single" w:sz="4" w:space="0" w:color="auto"/>
              <w:left w:val="nil"/>
              <w:bottom w:val="single" w:sz="4" w:space="0" w:color="auto"/>
              <w:right w:val="nil"/>
            </w:tcBorders>
            <w:vAlign w:val="center"/>
          </w:tcPr>
          <w:p w14:paraId="4A6E524F" w14:textId="0CEDB6DA" w:rsidR="000B0A23" w:rsidRPr="00A41A0D" w:rsidRDefault="000B0A23" w:rsidP="000B0A23">
            <w:pPr>
              <w:spacing w:line="259" w:lineRule="auto"/>
              <w:jc w:val="right"/>
              <w:rPr>
                <w:rFonts w:cs="Arial"/>
                <w:szCs w:val="24"/>
                <w:lang w:val="en-GB" w:eastAsia="en-GB"/>
              </w:rPr>
            </w:pPr>
            <w:r w:rsidRPr="008E18A7">
              <w:rPr>
                <w:rFonts w:cs="Arial"/>
                <w:szCs w:val="24"/>
                <w:lang w:val="en-GB" w:eastAsia="en-GB"/>
              </w:rPr>
              <w:t>1</w:t>
            </w:r>
            <w:r>
              <w:rPr>
                <w:rFonts w:cs="Arial"/>
                <w:szCs w:val="24"/>
                <w:lang w:val="en-GB" w:eastAsia="en-GB"/>
              </w:rPr>
              <w:t>,</w:t>
            </w:r>
            <w:r w:rsidRPr="008E18A7">
              <w:rPr>
                <w:rFonts w:cs="Arial"/>
                <w:szCs w:val="24"/>
                <w:lang w:val="en-GB" w:eastAsia="en-GB"/>
              </w:rPr>
              <w:t>658</w:t>
            </w:r>
          </w:p>
        </w:tc>
        <w:tc>
          <w:tcPr>
            <w:tcW w:w="1123" w:type="dxa"/>
            <w:tcBorders>
              <w:top w:val="single" w:sz="4" w:space="0" w:color="auto"/>
              <w:left w:val="nil"/>
              <w:bottom w:val="single" w:sz="4" w:space="0" w:color="auto"/>
              <w:right w:val="nil"/>
            </w:tcBorders>
            <w:vAlign w:val="center"/>
          </w:tcPr>
          <w:p w14:paraId="05586C9B" w14:textId="168C812B" w:rsidR="000B0A23" w:rsidRPr="00A41A0D" w:rsidRDefault="000B0A23" w:rsidP="000B0A23">
            <w:pPr>
              <w:spacing w:line="259" w:lineRule="auto"/>
              <w:jc w:val="right"/>
              <w:rPr>
                <w:rFonts w:cs="Arial"/>
                <w:szCs w:val="24"/>
                <w:lang w:val="en-GB" w:eastAsia="en-GB"/>
              </w:rPr>
            </w:pPr>
            <w:r>
              <w:rPr>
                <w:rFonts w:cs="Arial"/>
                <w:szCs w:val="24"/>
                <w:lang w:val="en-GB" w:eastAsia="en-GB"/>
              </w:rPr>
              <w:t>41</w:t>
            </w:r>
          </w:p>
        </w:tc>
        <w:tc>
          <w:tcPr>
            <w:tcW w:w="1284" w:type="dxa"/>
            <w:tcBorders>
              <w:top w:val="single" w:sz="4" w:space="0" w:color="auto"/>
              <w:left w:val="nil"/>
              <w:bottom w:val="single" w:sz="4" w:space="0" w:color="auto"/>
              <w:right w:val="nil"/>
            </w:tcBorders>
            <w:vAlign w:val="center"/>
          </w:tcPr>
          <w:p w14:paraId="2C4B29DC" w14:textId="27441C66"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38,183</w:t>
            </w:r>
          </w:p>
        </w:tc>
        <w:tc>
          <w:tcPr>
            <w:tcW w:w="1123" w:type="dxa"/>
            <w:tcBorders>
              <w:top w:val="single" w:sz="4" w:space="0" w:color="auto"/>
              <w:left w:val="nil"/>
              <w:bottom w:val="single" w:sz="4" w:space="0" w:color="auto"/>
              <w:right w:val="nil"/>
            </w:tcBorders>
            <w:vAlign w:val="center"/>
          </w:tcPr>
          <w:p w14:paraId="5A91B590" w14:textId="7B023D5B"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320</w:t>
            </w:r>
          </w:p>
        </w:tc>
        <w:tc>
          <w:tcPr>
            <w:tcW w:w="1256" w:type="dxa"/>
            <w:tcBorders>
              <w:top w:val="single" w:sz="4" w:space="0" w:color="auto"/>
              <w:left w:val="nil"/>
              <w:bottom w:val="single" w:sz="4" w:space="0" w:color="auto"/>
              <w:right w:val="single" w:sz="4" w:space="0" w:color="auto"/>
            </w:tcBorders>
            <w:vAlign w:val="center"/>
          </w:tcPr>
          <w:p w14:paraId="22EF2A95" w14:textId="6142C12D"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700</w:t>
            </w:r>
          </w:p>
        </w:tc>
      </w:tr>
      <w:tr w:rsidR="000B0A23" w:rsidRPr="00731281" w14:paraId="4A0F28C6" w14:textId="77777777" w:rsidTr="00195253">
        <w:trPr>
          <w:trHeight w:val="397"/>
        </w:trPr>
        <w:tc>
          <w:tcPr>
            <w:tcW w:w="3161" w:type="dxa"/>
            <w:tcBorders>
              <w:top w:val="single" w:sz="4" w:space="0" w:color="auto"/>
              <w:left w:val="single" w:sz="4" w:space="0" w:color="auto"/>
              <w:bottom w:val="single" w:sz="4" w:space="0" w:color="auto"/>
              <w:right w:val="nil"/>
            </w:tcBorders>
            <w:vAlign w:val="center"/>
          </w:tcPr>
          <w:p w14:paraId="03C2222B" w14:textId="7DF9551A" w:rsidR="000B0A23" w:rsidRPr="00A41A0D" w:rsidRDefault="000B0A23" w:rsidP="000B0A23">
            <w:pPr>
              <w:spacing w:line="259" w:lineRule="auto"/>
              <w:rPr>
                <w:rFonts w:cs="Arial"/>
                <w:szCs w:val="24"/>
                <w:lang w:val="en-GB" w:eastAsia="en-GB"/>
              </w:rPr>
            </w:pPr>
            <w:r w:rsidRPr="00A41A0D">
              <w:rPr>
                <w:rFonts w:cs="Arial"/>
                <w:szCs w:val="24"/>
                <w:lang w:val="en-GB" w:eastAsia="en-GB"/>
              </w:rPr>
              <w:t>Personality disorders</w:t>
            </w:r>
          </w:p>
        </w:tc>
        <w:tc>
          <w:tcPr>
            <w:tcW w:w="617" w:type="dxa"/>
            <w:tcBorders>
              <w:top w:val="single" w:sz="4" w:space="0" w:color="auto"/>
              <w:left w:val="nil"/>
              <w:bottom w:val="single" w:sz="4" w:space="0" w:color="auto"/>
              <w:right w:val="nil"/>
            </w:tcBorders>
            <w:vAlign w:val="center"/>
          </w:tcPr>
          <w:p w14:paraId="49A582FE" w14:textId="251506FA" w:rsidR="000B0A23" w:rsidRPr="00A41A0D" w:rsidRDefault="000B0A23" w:rsidP="000B0A23">
            <w:pPr>
              <w:spacing w:line="259" w:lineRule="auto"/>
              <w:jc w:val="center"/>
              <w:rPr>
                <w:rFonts w:cs="Arial"/>
                <w:szCs w:val="24"/>
                <w:lang w:val="en-GB" w:eastAsia="en-GB"/>
              </w:rPr>
            </w:pPr>
            <w:r w:rsidRPr="00A41A0D">
              <w:rPr>
                <w:rFonts w:cs="Arial"/>
                <w:szCs w:val="24"/>
                <w:lang w:val="en-GB" w:eastAsia="en-GB"/>
              </w:rPr>
              <w:t>32</w:t>
            </w:r>
          </w:p>
        </w:tc>
        <w:tc>
          <w:tcPr>
            <w:tcW w:w="1386" w:type="dxa"/>
            <w:tcBorders>
              <w:top w:val="single" w:sz="4" w:space="0" w:color="auto"/>
              <w:left w:val="nil"/>
              <w:bottom w:val="single" w:sz="4" w:space="0" w:color="auto"/>
              <w:right w:val="nil"/>
            </w:tcBorders>
            <w:vAlign w:val="center"/>
          </w:tcPr>
          <w:p w14:paraId="6D9F2D07" w14:textId="32B96C14" w:rsidR="000B0A23" w:rsidRPr="00A41A0D" w:rsidRDefault="000B0A23" w:rsidP="000B0A23">
            <w:pPr>
              <w:spacing w:line="259" w:lineRule="auto"/>
              <w:jc w:val="right"/>
              <w:rPr>
                <w:rFonts w:cs="Arial"/>
                <w:szCs w:val="24"/>
                <w:lang w:val="en-GB" w:eastAsia="en-GB"/>
              </w:rPr>
            </w:pPr>
            <w:r>
              <w:rPr>
                <w:rFonts w:cs="Arial"/>
                <w:szCs w:val="24"/>
                <w:lang w:val="en-GB" w:eastAsia="en-GB"/>
              </w:rPr>
              <w:t>5,663</w:t>
            </w:r>
          </w:p>
        </w:tc>
        <w:tc>
          <w:tcPr>
            <w:tcW w:w="1527" w:type="dxa"/>
            <w:tcBorders>
              <w:top w:val="single" w:sz="4" w:space="0" w:color="auto"/>
              <w:left w:val="nil"/>
              <w:bottom w:val="single" w:sz="4" w:space="0" w:color="auto"/>
              <w:right w:val="nil"/>
            </w:tcBorders>
            <w:vAlign w:val="center"/>
          </w:tcPr>
          <w:p w14:paraId="0E8F4ED2" w14:textId="0E740B24" w:rsidR="000B0A23" w:rsidRPr="00A41A0D" w:rsidRDefault="000B0A23" w:rsidP="000B0A23">
            <w:pPr>
              <w:spacing w:line="259" w:lineRule="auto"/>
              <w:jc w:val="right"/>
              <w:rPr>
                <w:rFonts w:cs="Arial"/>
                <w:szCs w:val="24"/>
                <w:lang w:val="en-GB" w:eastAsia="en-GB"/>
              </w:rPr>
            </w:pPr>
            <w:r>
              <w:rPr>
                <w:rFonts w:cs="Arial"/>
                <w:szCs w:val="24"/>
                <w:lang w:val="en-GB" w:eastAsia="en-GB"/>
              </w:rPr>
              <w:t>5,796</w:t>
            </w:r>
          </w:p>
        </w:tc>
        <w:tc>
          <w:tcPr>
            <w:tcW w:w="1123" w:type="dxa"/>
            <w:tcBorders>
              <w:top w:val="single" w:sz="4" w:space="0" w:color="auto"/>
              <w:left w:val="nil"/>
              <w:bottom w:val="single" w:sz="4" w:space="0" w:color="auto"/>
              <w:right w:val="nil"/>
            </w:tcBorders>
            <w:vAlign w:val="center"/>
          </w:tcPr>
          <w:p w14:paraId="2ACF89B5" w14:textId="14DC2FAF" w:rsidR="000B0A23" w:rsidRPr="00A41A0D" w:rsidRDefault="000B0A23" w:rsidP="000B0A23">
            <w:pPr>
              <w:spacing w:line="259" w:lineRule="auto"/>
              <w:jc w:val="right"/>
              <w:rPr>
                <w:rFonts w:cs="Arial"/>
                <w:szCs w:val="24"/>
                <w:lang w:val="en-GB" w:eastAsia="en-GB"/>
              </w:rPr>
            </w:pPr>
            <w:r>
              <w:rPr>
                <w:rFonts w:cs="Arial"/>
                <w:szCs w:val="24"/>
                <w:lang w:val="en-GB" w:eastAsia="en-GB"/>
              </w:rPr>
              <w:t>1,637</w:t>
            </w:r>
          </w:p>
        </w:tc>
        <w:tc>
          <w:tcPr>
            <w:tcW w:w="1284" w:type="dxa"/>
            <w:tcBorders>
              <w:top w:val="single" w:sz="4" w:space="0" w:color="auto"/>
              <w:left w:val="nil"/>
              <w:bottom w:val="single" w:sz="4" w:space="0" w:color="auto"/>
              <w:right w:val="nil"/>
            </w:tcBorders>
            <w:vAlign w:val="center"/>
          </w:tcPr>
          <w:p w14:paraId="76E2C02A" w14:textId="5E1E0A9D"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10,051</w:t>
            </w:r>
          </w:p>
        </w:tc>
        <w:tc>
          <w:tcPr>
            <w:tcW w:w="1123" w:type="dxa"/>
            <w:tcBorders>
              <w:top w:val="single" w:sz="4" w:space="0" w:color="auto"/>
              <w:left w:val="nil"/>
              <w:bottom w:val="single" w:sz="4" w:space="0" w:color="auto"/>
              <w:right w:val="nil"/>
            </w:tcBorders>
            <w:vAlign w:val="center"/>
          </w:tcPr>
          <w:p w14:paraId="73F2FC2C" w14:textId="418A1229"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3,513</w:t>
            </w:r>
          </w:p>
        </w:tc>
        <w:tc>
          <w:tcPr>
            <w:tcW w:w="1256" w:type="dxa"/>
            <w:tcBorders>
              <w:top w:val="single" w:sz="4" w:space="0" w:color="auto"/>
              <w:left w:val="nil"/>
              <w:bottom w:val="single" w:sz="4" w:space="0" w:color="auto"/>
              <w:right w:val="single" w:sz="4" w:space="0" w:color="auto"/>
            </w:tcBorders>
            <w:vAlign w:val="center"/>
          </w:tcPr>
          <w:p w14:paraId="4BC119FF" w14:textId="27658DB0"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7,664</w:t>
            </w:r>
          </w:p>
        </w:tc>
      </w:tr>
      <w:tr w:rsidR="000B0A23" w:rsidRPr="00731281" w14:paraId="1758D72B" w14:textId="77777777" w:rsidTr="00195253">
        <w:trPr>
          <w:trHeight w:val="397"/>
        </w:trPr>
        <w:tc>
          <w:tcPr>
            <w:tcW w:w="3161" w:type="dxa"/>
            <w:tcBorders>
              <w:top w:val="single" w:sz="4" w:space="0" w:color="auto"/>
              <w:left w:val="single" w:sz="4" w:space="0" w:color="auto"/>
              <w:bottom w:val="single" w:sz="4" w:space="0" w:color="auto"/>
              <w:right w:val="nil"/>
            </w:tcBorders>
            <w:vAlign w:val="center"/>
          </w:tcPr>
          <w:p w14:paraId="7324F459" w14:textId="64DA57C2" w:rsidR="000B0A23" w:rsidRPr="00A41A0D" w:rsidRDefault="000B0A23" w:rsidP="000B0A23">
            <w:pPr>
              <w:rPr>
                <w:rFonts w:cs="Arial"/>
                <w:szCs w:val="24"/>
                <w:lang w:val="en-GB" w:eastAsia="en-GB"/>
              </w:rPr>
            </w:pPr>
            <w:r w:rsidRPr="00A41A0D">
              <w:rPr>
                <w:rFonts w:cs="Arial"/>
                <w:szCs w:val="24"/>
                <w:lang w:val="en-GB" w:eastAsia="en-GB"/>
              </w:rPr>
              <w:t>Intellectual disabilities</w:t>
            </w:r>
          </w:p>
        </w:tc>
        <w:tc>
          <w:tcPr>
            <w:tcW w:w="617" w:type="dxa"/>
            <w:tcBorders>
              <w:top w:val="single" w:sz="4" w:space="0" w:color="auto"/>
              <w:left w:val="nil"/>
              <w:bottom w:val="single" w:sz="4" w:space="0" w:color="auto"/>
              <w:right w:val="nil"/>
            </w:tcBorders>
            <w:vAlign w:val="center"/>
          </w:tcPr>
          <w:p w14:paraId="6BBEF630" w14:textId="38D69944" w:rsidR="000B0A23" w:rsidRPr="00A41A0D" w:rsidRDefault="000B0A23" w:rsidP="000B0A23">
            <w:pPr>
              <w:jc w:val="center"/>
              <w:rPr>
                <w:rFonts w:cs="Arial"/>
                <w:szCs w:val="24"/>
                <w:lang w:val="en-GB" w:eastAsia="en-GB"/>
              </w:rPr>
            </w:pPr>
            <w:r w:rsidRPr="00A41A0D">
              <w:rPr>
                <w:rFonts w:cs="Arial"/>
                <w:szCs w:val="24"/>
                <w:lang w:val="en-GB" w:eastAsia="en-GB"/>
              </w:rPr>
              <w:t>30</w:t>
            </w:r>
          </w:p>
        </w:tc>
        <w:tc>
          <w:tcPr>
            <w:tcW w:w="1386" w:type="dxa"/>
            <w:tcBorders>
              <w:top w:val="single" w:sz="4" w:space="0" w:color="auto"/>
              <w:left w:val="nil"/>
              <w:bottom w:val="single" w:sz="4" w:space="0" w:color="auto"/>
              <w:right w:val="nil"/>
            </w:tcBorders>
            <w:vAlign w:val="center"/>
          </w:tcPr>
          <w:p w14:paraId="17F77305" w14:textId="1BC2937B" w:rsidR="000B0A23" w:rsidRPr="00A41A0D" w:rsidRDefault="000B0A23" w:rsidP="000B0A23">
            <w:pPr>
              <w:jc w:val="right"/>
              <w:rPr>
                <w:rFonts w:cs="Arial"/>
                <w:szCs w:val="24"/>
                <w:lang w:val="en-GB" w:eastAsia="en-GB"/>
              </w:rPr>
            </w:pPr>
            <w:r w:rsidRPr="008E18A7">
              <w:rPr>
                <w:rFonts w:cs="Arial"/>
                <w:szCs w:val="24"/>
                <w:lang w:val="en-GB" w:eastAsia="en-GB"/>
              </w:rPr>
              <w:t>10</w:t>
            </w:r>
            <w:r>
              <w:rPr>
                <w:rFonts w:cs="Arial"/>
                <w:szCs w:val="24"/>
                <w:lang w:val="en-GB" w:eastAsia="en-GB"/>
              </w:rPr>
              <w:t>,</w:t>
            </w:r>
            <w:r w:rsidRPr="008E18A7">
              <w:rPr>
                <w:rFonts w:cs="Arial"/>
                <w:szCs w:val="24"/>
                <w:lang w:val="en-GB" w:eastAsia="en-GB"/>
              </w:rPr>
              <w:t>105</w:t>
            </w:r>
          </w:p>
        </w:tc>
        <w:tc>
          <w:tcPr>
            <w:tcW w:w="1527" w:type="dxa"/>
            <w:tcBorders>
              <w:top w:val="single" w:sz="4" w:space="0" w:color="auto"/>
              <w:left w:val="nil"/>
              <w:bottom w:val="single" w:sz="4" w:space="0" w:color="auto"/>
              <w:right w:val="nil"/>
            </w:tcBorders>
            <w:vAlign w:val="center"/>
          </w:tcPr>
          <w:p w14:paraId="0B0449BB" w14:textId="12A09DFE" w:rsidR="000B0A23" w:rsidRPr="00A41A0D" w:rsidRDefault="000B0A23" w:rsidP="000B0A23">
            <w:pPr>
              <w:jc w:val="right"/>
              <w:rPr>
                <w:rFonts w:cs="Arial"/>
                <w:szCs w:val="24"/>
                <w:lang w:val="en-GB" w:eastAsia="en-GB"/>
              </w:rPr>
            </w:pPr>
            <w:r>
              <w:rPr>
                <w:rFonts w:cs="Arial"/>
                <w:szCs w:val="24"/>
                <w:lang w:val="en-GB" w:eastAsia="en-GB"/>
              </w:rPr>
              <w:t>9,762</w:t>
            </w:r>
          </w:p>
        </w:tc>
        <w:tc>
          <w:tcPr>
            <w:tcW w:w="1123" w:type="dxa"/>
            <w:tcBorders>
              <w:top w:val="single" w:sz="4" w:space="0" w:color="auto"/>
              <w:left w:val="nil"/>
              <w:bottom w:val="single" w:sz="4" w:space="0" w:color="auto"/>
              <w:right w:val="nil"/>
            </w:tcBorders>
            <w:vAlign w:val="center"/>
          </w:tcPr>
          <w:p w14:paraId="3E8D4647" w14:textId="36D9D79D" w:rsidR="000B0A23" w:rsidRPr="00A41A0D" w:rsidRDefault="000B0A23" w:rsidP="000B0A23">
            <w:pPr>
              <w:jc w:val="right"/>
              <w:rPr>
                <w:rFonts w:cs="Arial"/>
                <w:szCs w:val="24"/>
                <w:lang w:val="en-GB" w:eastAsia="en-GB"/>
              </w:rPr>
            </w:pPr>
            <w:r>
              <w:rPr>
                <w:rFonts w:cs="Arial"/>
                <w:szCs w:val="24"/>
                <w:lang w:val="en-GB" w:eastAsia="en-GB"/>
              </w:rPr>
              <w:t>3,052</w:t>
            </w:r>
          </w:p>
        </w:tc>
        <w:tc>
          <w:tcPr>
            <w:tcW w:w="1284" w:type="dxa"/>
            <w:tcBorders>
              <w:top w:val="single" w:sz="4" w:space="0" w:color="auto"/>
              <w:left w:val="nil"/>
              <w:bottom w:val="single" w:sz="4" w:space="0" w:color="auto"/>
              <w:right w:val="nil"/>
            </w:tcBorders>
            <w:vAlign w:val="center"/>
          </w:tcPr>
          <w:p w14:paraId="4CCDE63D" w14:textId="5E3180AB" w:rsidR="000B0A23" w:rsidRPr="00A86E0B" w:rsidRDefault="000B0A23" w:rsidP="000B0A23">
            <w:pPr>
              <w:jc w:val="right"/>
              <w:rPr>
                <w:rFonts w:cs="Arial"/>
                <w:szCs w:val="24"/>
                <w:lang w:val="en-GB" w:eastAsia="en-GB"/>
              </w:rPr>
            </w:pPr>
            <w:r w:rsidRPr="00A86E0B">
              <w:rPr>
                <w:rFonts w:cs="Arial"/>
                <w:szCs w:val="24"/>
                <w:lang w:val="en-GB" w:eastAsia="en-GB"/>
              </w:rPr>
              <w:t>22,040</w:t>
            </w:r>
          </w:p>
        </w:tc>
        <w:tc>
          <w:tcPr>
            <w:tcW w:w="1123" w:type="dxa"/>
            <w:tcBorders>
              <w:top w:val="single" w:sz="4" w:space="0" w:color="auto"/>
              <w:left w:val="nil"/>
              <w:bottom w:val="single" w:sz="4" w:space="0" w:color="auto"/>
              <w:right w:val="nil"/>
            </w:tcBorders>
            <w:vAlign w:val="center"/>
          </w:tcPr>
          <w:p w14:paraId="120680D7" w14:textId="2C2209C6" w:rsidR="000B0A23" w:rsidRPr="00A86E0B" w:rsidRDefault="000B0A23" w:rsidP="000B0A23">
            <w:pPr>
              <w:jc w:val="right"/>
              <w:rPr>
                <w:rFonts w:cs="Arial"/>
                <w:szCs w:val="24"/>
                <w:lang w:val="en-GB" w:eastAsia="en-GB"/>
              </w:rPr>
            </w:pPr>
            <w:r w:rsidRPr="00A86E0B">
              <w:rPr>
                <w:rFonts w:cs="Arial"/>
                <w:szCs w:val="24"/>
                <w:lang w:val="en-GB" w:eastAsia="en-GB"/>
              </w:rPr>
              <w:t>6,431</w:t>
            </w:r>
          </w:p>
        </w:tc>
        <w:tc>
          <w:tcPr>
            <w:tcW w:w="1256" w:type="dxa"/>
            <w:tcBorders>
              <w:top w:val="single" w:sz="4" w:space="0" w:color="auto"/>
              <w:left w:val="nil"/>
              <w:bottom w:val="single" w:sz="4" w:space="0" w:color="auto"/>
              <w:right w:val="single" w:sz="4" w:space="0" w:color="auto"/>
            </w:tcBorders>
            <w:vAlign w:val="center"/>
          </w:tcPr>
          <w:p w14:paraId="1E8960F2" w14:textId="09B0F602" w:rsidR="000B0A23" w:rsidRPr="00A86E0B" w:rsidRDefault="000B0A23" w:rsidP="000B0A23">
            <w:pPr>
              <w:jc w:val="right"/>
              <w:rPr>
                <w:rFonts w:cs="Arial"/>
                <w:szCs w:val="24"/>
                <w:lang w:val="en-GB" w:eastAsia="en-GB"/>
              </w:rPr>
            </w:pPr>
            <w:r w:rsidRPr="00A86E0B">
              <w:rPr>
                <w:rFonts w:cs="Arial"/>
                <w:szCs w:val="24"/>
                <w:lang w:val="en-GB" w:eastAsia="en-GB"/>
              </w:rPr>
              <w:t>12,174</w:t>
            </w:r>
          </w:p>
        </w:tc>
      </w:tr>
      <w:tr w:rsidR="000B0A23" w:rsidRPr="00731281" w14:paraId="6F3B73DC" w14:textId="77777777" w:rsidTr="00195253">
        <w:trPr>
          <w:trHeight w:val="397"/>
        </w:trPr>
        <w:tc>
          <w:tcPr>
            <w:tcW w:w="3161" w:type="dxa"/>
            <w:tcBorders>
              <w:top w:val="single" w:sz="4" w:space="0" w:color="auto"/>
              <w:left w:val="single" w:sz="4" w:space="0" w:color="auto"/>
              <w:bottom w:val="single" w:sz="4" w:space="0" w:color="auto"/>
              <w:right w:val="nil"/>
            </w:tcBorders>
            <w:vAlign w:val="center"/>
          </w:tcPr>
          <w:p w14:paraId="4C3E25E2" w14:textId="170DDBAB" w:rsidR="000B0A23" w:rsidRPr="00A41A0D" w:rsidRDefault="000B0A23" w:rsidP="000B0A23">
            <w:pPr>
              <w:rPr>
                <w:rFonts w:cs="Arial"/>
                <w:szCs w:val="24"/>
                <w:lang w:val="en-GB" w:eastAsia="en-GB"/>
              </w:rPr>
            </w:pPr>
            <w:r w:rsidRPr="00A41A0D">
              <w:rPr>
                <w:rFonts w:cs="Arial"/>
                <w:szCs w:val="24"/>
                <w:lang w:val="en-GB" w:eastAsia="en-GB"/>
              </w:rPr>
              <w:t>Developmental disorders</w:t>
            </w:r>
          </w:p>
        </w:tc>
        <w:tc>
          <w:tcPr>
            <w:tcW w:w="617" w:type="dxa"/>
            <w:tcBorders>
              <w:top w:val="single" w:sz="4" w:space="0" w:color="auto"/>
              <w:left w:val="nil"/>
              <w:bottom w:val="single" w:sz="4" w:space="0" w:color="auto"/>
              <w:right w:val="nil"/>
            </w:tcBorders>
            <w:vAlign w:val="center"/>
          </w:tcPr>
          <w:p w14:paraId="07401C95" w14:textId="55FDBF3E" w:rsidR="000B0A23" w:rsidRPr="00A41A0D" w:rsidRDefault="000B0A23" w:rsidP="000B0A23">
            <w:pPr>
              <w:jc w:val="center"/>
              <w:rPr>
                <w:rFonts w:cs="Arial"/>
                <w:szCs w:val="24"/>
                <w:lang w:val="en-GB" w:eastAsia="en-GB"/>
              </w:rPr>
            </w:pPr>
            <w:r w:rsidRPr="00A41A0D">
              <w:rPr>
                <w:rFonts w:cs="Arial"/>
                <w:szCs w:val="24"/>
                <w:lang w:val="en-GB" w:eastAsia="en-GB"/>
              </w:rPr>
              <w:t>1</w:t>
            </w:r>
          </w:p>
        </w:tc>
        <w:tc>
          <w:tcPr>
            <w:tcW w:w="1386" w:type="dxa"/>
            <w:tcBorders>
              <w:top w:val="single" w:sz="4" w:space="0" w:color="auto"/>
              <w:left w:val="nil"/>
              <w:bottom w:val="single" w:sz="4" w:space="0" w:color="auto"/>
              <w:right w:val="nil"/>
            </w:tcBorders>
            <w:vAlign w:val="center"/>
          </w:tcPr>
          <w:p w14:paraId="41952C90" w14:textId="029E9A2C" w:rsidR="000B0A23" w:rsidRDefault="000B0A23" w:rsidP="000B0A23">
            <w:pPr>
              <w:jc w:val="right"/>
              <w:rPr>
                <w:rFonts w:cs="Arial"/>
                <w:szCs w:val="24"/>
                <w:lang w:val="en-GB" w:eastAsia="en-GB"/>
              </w:rPr>
            </w:pPr>
            <w:r w:rsidRPr="008E18A7">
              <w:rPr>
                <w:rFonts w:cs="Arial"/>
                <w:szCs w:val="24"/>
                <w:lang w:val="en-GB" w:eastAsia="en-GB"/>
              </w:rPr>
              <w:t>29</w:t>
            </w:r>
            <w:r>
              <w:rPr>
                <w:rFonts w:cs="Arial"/>
                <w:szCs w:val="24"/>
                <w:lang w:val="en-GB" w:eastAsia="en-GB"/>
              </w:rPr>
              <w:t>,</w:t>
            </w:r>
            <w:r w:rsidRPr="008E18A7">
              <w:rPr>
                <w:rFonts w:cs="Arial"/>
                <w:szCs w:val="24"/>
                <w:lang w:val="en-GB" w:eastAsia="en-GB"/>
              </w:rPr>
              <w:t>330</w:t>
            </w:r>
          </w:p>
        </w:tc>
        <w:tc>
          <w:tcPr>
            <w:tcW w:w="1527" w:type="dxa"/>
            <w:tcBorders>
              <w:top w:val="single" w:sz="4" w:space="0" w:color="auto"/>
              <w:left w:val="nil"/>
              <w:bottom w:val="single" w:sz="4" w:space="0" w:color="auto"/>
              <w:right w:val="nil"/>
            </w:tcBorders>
            <w:vAlign w:val="center"/>
          </w:tcPr>
          <w:p w14:paraId="12DB5F24" w14:textId="198D4C00" w:rsidR="000B0A23" w:rsidRDefault="000B0A23" w:rsidP="000B0A23">
            <w:pPr>
              <w:jc w:val="right"/>
              <w:rPr>
                <w:rFonts w:cs="Arial"/>
                <w:szCs w:val="24"/>
                <w:lang w:val="en-GB" w:eastAsia="en-GB"/>
              </w:rPr>
            </w:pPr>
            <w:r w:rsidRPr="008E18A7">
              <w:rPr>
                <w:rFonts w:cs="Arial"/>
                <w:szCs w:val="24"/>
                <w:lang w:val="en-GB" w:eastAsia="en-GB"/>
              </w:rPr>
              <w:t>29,330</w:t>
            </w:r>
          </w:p>
        </w:tc>
        <w:tc>
          <w:tcPr>
            <w:tcW w:w="1123" w:type="dxa"/>
            <w:tcBorders>
              <w:top w:val="single" w:sz="4" w:space="0" w:color="auto"/>
              <w:left w:val="nil"/>
              <w:bottom w:val="single" w:sz="4" w:space="0" w:color="auto"/>
              <w:right w:val="nil"/>
            </w:tcBorders>
            <w:vAlign w:val="center"/>
          </w:tcPr>
          <w:p w14:paraId="04DD9EDB" w14:textId="5CA95073" w:rsidR="000B0A23" w:rsidRDefault="000B0A23" w:rsidP="000B0A23">
            <w:pPr>
              <w:jc w:val="right"/>
              <w:rPr>
                <w:rFonts w:cs="Arial"/>
                <w:szCs w:val="24"/>
                <w:lang w:val="en-GB" w:eastAsia="en-GB"/>
              </w:rPr>
            </w:pPr>
            <w:r w:rsidRPr="008E18A7">
              <w:rPr>
                <w:rFonts w:cs="Arial"/>
                <w:szCs w:val="24"/>
                <w:lang w:val="en-GB" w:eastAsia="en-GB"/>
              </w:rPr>
              <w:t>29,330</w:t>
            </w:r>
          </w:p>
        </w:tc>
        <w:tc>
          <w:tcPr>
            <w:tcW w:w="1284" w:type="dxa"/>
            <w:tcBorders>
              <w:top w:val="single" w:sz="4" w:space="0" w:color="auto"/>
              <w:left w:val="nil"/>
              <w:bottom w:val="single" w:sz="4" w:space="0" w:color="auto"/>
              <w:right w:val="nil"/>
            </w:tcBorders>
            <w:vAlign w:val="center"/>
          </w:tcPr>
          <w:p w14:paraId="4523E291" w14:textId="66804250" w:rsidR="000B0A23" w:rsidRPr="00A86E0B" w:rsidRDefault="000B0A23" w:rsidP="000B0A23">
            <w:pPr>
              <w:jc w:val="right"/>
              <w:rPr>
                <w:rFonts w:cs="Arial"/>
                <w:szCs w:val="24"/>
                <w:lang w:val="en-GB" w:eastAsia="en-GB"/>
              </w:rPr>
            </w:pPr>
            <w:r w:rsidRPr="008E18A7">
              <w:rPr>
                <w:rFonts w:cs="Arial"/>
                <w:szCs w:val="24"/>
                <w:lang w:val="en-GB" w:eastAsia="en-GB"/>
              </w:rPr>
              <w:t>29,330</w:t>
            </w:r>
          </w:p>
        </w:tc>
        <w:tc>
          <w:tcPr>
            <w:tcW w:w="1123" w:type="dxa"/>
            <w:tcBorders>
              <w:top w:val="single" w:sz="4" w:space="0" w:color="auto"/>
              <w:left w:val="nil"/>
              <w:bottom w:val="single" w:sz="4" w:space="0" w:color="auto"/>
              <w:right w:val="nil"/>
            </w:tcBorders>
            <w:vAlign w:val="center"/>
          </w:tcPr>
          <w:p w14:paraId="0CB7B88F" w14:textId="617CDE89" w:rsidR="000B0A23" w:rsidRPr="00A86E0B" w:rsidRDefault="000B0A23" w:rsidP="000B0A23">
            <w:pPr>
              <w:jc w:val="right"/>
              <w:rPr>
                <w:rFonts w:cs="Arial"/>
                <w:szCs w:val="24"/>
                <w:lang w:val="en-GB" w:eastAsia="en-GB"/>
              </w:rPr>
            </w:pPr>
            <w:r w:rsidRPr="00AD5D34">
              <w:rPr>
                <w:rFonts w:cs="Arial"/>
                <w:szCs w:val="24"/>
                <w:lang w:val="en-GB" w:eastAsia="en-GB"/>
              </w:rPr>
              <w:t>29</w:t>
            </w:r>
            <w:r>
              <w:rPr>
                <w:rFonts w:cs="Arial"/>
                <w:szCs w:val="24"/>
                <w:lang w:val="en-GB" w:eastAsia="en-GB"/>
              </w:rPr>
              <w:t>,</w:t>
            </w:r>
            <w:r w:rsidRPr="00AD5D34">
              <w:rPr>
                <w:rFonts w:cs="Arial"/>
                <w:szCs w:val="24"/>
                <w:lang w:val="en-GB" w:eastAsia="en-GB"/>
              </w:rPr>
              <w:t>330</w:t>
            </w:r>
          </w:p>
        </w:tc>
        <w:tc>
          <w:tcPr>
            <w:tcW w:w="1256" w:type="dxa"/>
            <w:tcBorders>
              <w:top w:val="single" w:sz="4" w:space="0" w:color="auto"/>
              <w:left w:val="nil"/>
              <w:bottom w:val="single" w:sz="4" w:space="0" w:color="auto"/>
              <w:right w:val="single" w:sz="4" w:space="0" w:color="auto"/>
            </w:tcBorders>
            <w:vAlign w:val="center"/>
          </w:tcPr>
          <w:p w14:paraId="7F2FFE4B" w14:textId="1B473D78" w:rsidR="000B0A23" w:rsidRPr="00A86E0B" w:rsidRDefault="000B0A23" w:rsidP="000B0A23">
            <w:pPr>
              <w:jc w:val="right"/>
              <w:rPr>
                <w:rFonts w:cs="Arial"/>
                <w:szCs w:val="24"/>
                <w:lang w:val="en-GB" w:eastAsia="en-GB"/>
              </w:rPr>
            </w:pPr>
            <w:r w:rsidRPr="00AD5D34">
              <w:rPr>
                <w:rFonts w:cs="Arial"/>
                <w:szCs w:val="24"/>
                <w:lang w:val="en-GB" w:eastAsia="en-GB"/>
              </w:rPr>
              <w:t>29</w:t>
            </w:r>
            <w:r>
              <w:rPr>
                <w:rFonts w:cs="Arial"/>
                <w:szCs w:val="24"/>
                <w:lang w:val="en-GB" w:eastAsia="en-GB"/>
              </w:rPr>
              <w:t>,</w:t>
            </w:r>
            <w:r w:rsidRPr="00AD5D34">
              <w:rPr>
                <w:rFonts w:cs="Arial"/>
                <w:szCs w:val="24"/>
                <w:lang w:val="en-GB" w:eastAsia="en-GB"/>
              </w:rPr>
              <w:t>330</w:t>
            </w:r>
          </w:p>
        </w:tc>
      </w:tr>
      <w:tr w:rsidR="000B0A23" w:rsidRPr="00731281" w14:paraId="05D4B1A4" w14:textId="77777777" w:rsidTr="00195253">
        <w:trPr>
          <w:trHeight w:val="397"/>
        </w:trPr>
        <w:tc>
          <w:tcPr>
            <w:tcW w:w="3161" w:type="dxa"/>
            <w:tcBorders>
              <w:top w:val="single" w:sz="4" w:space="0" w:color="auto"/>
              <w:left w:val="single" w:sz="4" w:space="0" w:color="auto"/>
              <w:bottom w:val="single" w:sz="4" w:space="0" w:color="auto"/>
              <w:right w:val="nil"/>
            </w:tcBorders>
            <w:vAlign w:val="center"/>
          </w:tcPr>
          <w:p w14:paraId="53FC1459" w14:textId="203B3AB0" w:rsidR="000B0A23" w:rsidRPr="00A41A0D" w:rsidRDefault="000B0A23" w:rsidP="000B0A23">
            <w:pPr>
              <w:spacing w:line="259" w:lineRule="auto"/>
              <w:rPr>
                <w:rFonts w:cs="Arial"/>
                <w:szCs w:val="24"/>
                <w:lang w:val="en-GB" w:eastAsia="en-GB"/>
              </w:rPr>
            </w:pPr>
            <w:r w:rsidRPr="00A41A0D">
              <w:rPr>
                <w:rFonts w:cs="Arial"/>
                <w:szCs w:val="24"/>
                <w:lang w:val="en-GB" w:eastAsia="en-GB"/>
              </w:rPr>
              <w:t>Behavioural disorders</w:t>
            </w:r>
          </w:p>
        </w:tc>
        <w:tc>
          <w:tcPr>
            <w:tcW w:w="617" w:type="dxa"/>
            <w:tcBorders>
              <w:top w:val="single" w:sz="4" w:space="0" w:color="auto"/>
              <w:left w:val="nil"/>
              <w:bottom w:val="single" w:sz="4" w:space="0" w:color="auto"/>
              <w:right w:val="nil"/>
            </w:tcBorders>
            <w:vAlign w:val="center"/>
          </w:tcPr>
          <w:p w14:paraId="08A57D51" w14:textId="0384E38E" w:rsidR="000B0A23" w:rsidRPr="00A41A0D" w:rsidRDefault="000B0A23" w:rsidP="000B0A23">
            <w:pPr>
              <w:spacing w:line="259" w:lineRule="auto"/>
              <w:jc w:val="center"/>
              <w:rPr>
                <w:rFonts w:cs="Arial"/>
                <w:szCs w:val="24"/>
                <w:lang w:val="en-GB" w:eastAsia="en-GB"/>
              </w:rPr>
            </w:pPr>
            <w:r>
              <w:rPr>
                <w:rFonts w:cs="Arial"/>
                <w:szCs w:val="24"/>
                <w:lang w:val="en-GB" w:eastAsia="en-GB"/>
              </w:rPr>
              <w:t>4</w:t>
            </w:r>
          </w:p>
        </w:tc>
        <w:tc>
          <w:tcPr>
            <w:tcW w:w="1386" w:type="dxa"/>
            <w:tcBorders>
              <w:top w:val="single" w:sz="4" w:space="0" w:color="auto"/>
              <w:left w:val="nil"/>
              <w:bottom w:val="single" w:sz="4" w:space="0" w:color="auto"/>
              <w:right w:val="nil"/>
            </w:tcBorders>
            <w:vAlign w:val="center"/>
          </w:tcPr>
          <w:p w14:paraId="4FC53DE1" w14:textId="46CAD71A" w:rsidR="000B0A23" w:rsidRPr="00A41A0D" w:rsidRDefault="000B0A23" w:rsidP="000B0A23">
            <w:pPr>
              <w:spacing w:line="259" w:lineRule="auto"/>
              <w:jc w:val="right"/>
              <w:rPr>
                <w:rFonts w:cs="Arial"/>
                <w:szCs w:val="24"/>
                <w:lang w:val="en-GB" w:eastAsia="en-GB"/>
              </w:rPr>
            </w:pPr>
            <w:r>
              <w:rPr>
                <w:rFonts w:cs="Arial"/>
                <w:szCs w:val="24"/>
                <w:lang w:val="en-GB" w:eastAsia="en-GB"/>
              </w:rPr>
              <w:t>2,009</w:t>
            </w:r>
          </w:p>
        </w:tc>
        <w:tc>
          <w:tcPr>
            <w:tcW w:w="1527" w:type="dxa"/>
            <w:tcBorders>
              <w:top w:val="single" w:sz="4" w:space="0" w:color="auto"/>
              <w:left w:val="nil"/>
              <w:bottom w:val="single" w:sz="4" w:space="0" w:color="auto"/>
              <w:right w:val="nil"/>
            </w:tcBorders>
            <w:vAlign w:val="center"/>
          </w:tcPr>
          <w:p w14:paraId="5CE3B615" w14:textId="73D86B32" w:rsidR="000B0A23" w:rsidRPr="00A41A0D" w:rsidRDefault="000B0A23" w:rsidP="000B0A23">
            <w:pPr>
              <w:spacing w:line="259" w:lineRule="auto"/>
              <w:jc w:val="right"/>
              <w:rPr>
                <w:rFonts w:cs="Arial"/>
                <w:szCs w:val="24"/>
                <w:lang w:val="en-GB" w:eastAsia="en-GB"/>
              </w:rPr>
            </w:pPr>
            <w:r w:rsidRPr="008E18A7">
              <w:rPr>
                <w:rFonts w:cs="Arial"/>
                <w:szCs w:val="24"/>
                <w:lang w:val="en-GB" w:eastAsia="en-GB"/>
              </w:rPr>
              <w:t>3</w:t>
            </w:r>
            <w:r>
              <w:rPr>
                <w:rFonts w:cs="Arial"/>
                <w:szCs w:val="24"/>
                <w:lang w:val="en-GB" w:eastAsia="en-GB"/>
              </w:rPr>
              <w:t>,</w:t>
            </w:r>
            <w:r w:rsidRPr="008E18A7">
              <w:rPr>
                <w:rFonts w:cs="Arial"/>
                <w:szCs w:val="24"/>
                <w:lang w:val="en-GB" w:eastAsia="en-GB"/>
              </w:rPr>
              <w:t>537</w:t>
            </w:r>
          </w:p>
        </w:tc>
        <w:tc>
          <w:tcPr>
            <w:tcW w:w="1123" w:type="dxa"/>
            <w:tcBorders>
              <w:top w:val="single" w:sz="4" w:space="0" w:color="auto"/>
              <w:left w:val="nil"/>
              <w:bottom w:val="single" w:sz="4" w:space="0" w:color="auto"/>
              <w:right w:val="nil"/>
            </w:tcBorders>
            <w:vAlign w:val="center"/>
          </w:tcPr>
          <w:p w14:paraId="26CD1933" w14:textId="772CDA1A" w:rsidR="000B0A23" w:rsidRPr="00A41A0D" w:rsidRDefault="000B0A23" w:rsidP="000B0A23">
            <w:pPr>
              <w:spacing w:line="259" w:lineRule="auto"/>
              <w:jc w:val="right"/>
              <w:rPr>
                <w:rFonts w:cs="Arial"/>
                <w:szCs w:val="24"/>
                <w:lang w:val="en-GB" w:eastAsia="en-GB"/>
              </w:rPr>
            </w:pPr>
            <w:r w:rsidRPr="008E18A7">
              <w:rPr>
                <w:rFonts w:cs="Arial"/>
                <w:szCs w:val="24"/>
                <w:lang w:val="en-GB" w:eastAsia="en-GB"/>
              </w:rPr>
              <w:t>840</w:t>
            </w:r>
          </w:p>
        </w:tc>
        <w:tc>
          <w:tcPr>
            <w:tcW w:w="1284" w:type="dxa"/>
            <w:tcBorders>
              <w:top w:val="single" w:sz="4" w:space="0" w:color="auto"/>
              <w:left w:val="nil"/>
              <w:bottom w:val="single" w:sz="4" w:space="0" w:color="auto"/>
              <w:right w:val="nil"/>
            </w:tcBorders>
            <w:vAlign w:val="center"/>
          </w:tcPr>
          <w:p w14:paraId="254C7DA4" w14:textId="083C4368"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9,290</w:t>
            </w:r>
          </w:p>
        </w:tc>
        <w:tc>
          <w:tcPr>
            <w:tcW w:w="1123" w:type="dxa"/>
            <w:tcBorders>
              <w:top w:val="single" w:sz="4" w:space="0" w:color="auto"/>
              <w:left w:val="nil"/>
              <w:bottom w:val="single" w:sz="4" w:space="0" w:color="auto"/>
              <w:right w:val="nil"/>
            </w:tcBorders>
            <w:vAlign w:val="center"/>
          </w:tcPr>
          <w:p w14:paraId="027CB454" w14:textId="78BF01FC"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1,610</w:t>
            </w:r>
          </w:p>
        </w:tc>
        <w:tc>
          <w:tcPr>
            <w:tcW w:w="1256" w:type="dxa"/>
            <w:tcBorders>
              <w:top w:val="single" w:sz="4" w:space="0" w:color="auto"/>
              <w:left w:val="nil"/>
              <w:bottom w:val="single" w:sz="4" w:space="0" w:color="auto"/>
              <w:right w:val="single" w:sz="4" w:space="0" w:color="auto"/>
            </w:tcBorders>
            <w:vAlign w:val="center"/>
          </w:tcPr>
          <w:p w14:paraId="051EB364" w14:textId="3547D821"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3,936</w:t>
            </w:r>
          </w:p>
        </w:tc>
      </w:tr>
      <w:tr w:rsidR="000B0A23" w:rsidRPr="00731281" w14:paraId="60606526" w14:textId="77777777" w:rsidTr="00195253">
        <w:trPr>
          <w:trHeight w:val="397"/>
        </w:trPr>
        <w:tc>
          <w:tcPr>
            <w:tcW w:w="3161" w:type="dxa"/>
            <w:tcBorders>
              <w:top w:val="single" w:sz="4" w:space="0" w:color="auto"/>
              <w:left w:val="single" w:sz="4" w:space="0" w:color="auto"/>
              <w:bottom w:val="single" w:sz="4" w:space="0" w:color="auto"/>
              <w:right w:val="nil"/>
            </w:tcBorders>
            <w:vAlign w:val="center"/>
          </w:tcPr>
          <w:p w14:paraId="4BAF8E6D" w14:textId="6BC74EF2" w:rsidR="000B0A23" w:rsidRPr="00A41A0D" w:rsidRDefault="000B0A23" w:rsidP="000B0A23">
            <w:pPr>
              <w:spacing w:line="259" w:lineRule="auto"/>
              <w:rPr>
                <w:rFonts w:cs="Arial"/>
                <w:szCs w:val="24"/>
                <w:lang w:val="en-GB" w:eastAsia="en-GB"/>
              </w:rPr>
            </w:pPr>
            <w:r>
              <w:rPr>
                <w:rFonts w:cs="Arial"/>
                <w:szCs w:val="24"/>
                <w:lang w:val="en-GB" w:eastAsia="en-GB"/>
              </w:rPr>
              <w:t>Developmental &amp; behavioural disorders</w:t>
            </w:r>
          </w:p>
        </w:tc>
        <w:tc>
          <w:tcPr>
            <w:tcW w:w="617" w:type="dxa"/>
            <w:tcBorders>
              <w:top w:val="single" w:sz="4" w:space="0" w:color="auto"/>
              <w:left w:val="nil"/>
              <w:bottom w:val="single" w:sz="4" w:space="0" w:color="auto"/>
              <w:right w:val="nil"/>
            </w:tcBorders>
            <w:vAlign w:val="center"/>
          </w:tcPr>
          <w:p w14:paraId="28F7BC7A" w14:textId="79CD63CB" w:rsidR="000B0A23" w:rsidRPr="00A41A0D" w:rsidRDefault="000B0A23" w:rsidP="000B0A23">
            <w:pPr>
              <w:spacing w:line="259" w:lineRule="auto"/>
              <w:jc w:val="center"/>
              <w:rPr>
                <w:rFonts w:cs="Arial"/>
                <w:szCs w:val="24"/>
                <w:lang w:val="en-GB" w:eastAsia="en-GB"/>
              </w:rPr>
            </w:pPr>
            <w:r>
              <w:rPr>
                <w:rFonts w:cs="Arial"/>
                <w:szCs w:val="24"/>
                <w:lang w:val="en-GB" w:eastAsia="en-GB"/>
              </w:rPr>
              <w:t>30</w:t>
            </w:r>
          </w:p>
        </w:tc>
        <w:tc>
          <w:tcPr>
            <w:tcW w:w="1386" w:type="dxa"/>
            <w:tcBorders>
              <w:top w:val="single" w:sz="4" w:space="0" w:color="auto"/>
              <w:left w:val="nil"/>
              <w:bottom w:val="single" w:sz="4" w:space="0" w:color="auto"/>
              <w:right w:val="nil"/>
            </w:tcBorders>
            <w:vAlign w:val="center"/>
          </w:tcPr>
          <w:p w14:paraId="43064ED7" w14:textId="577A63D9" w:rsidR="000B0A23" w:rsidRPr="00A41A0D" w:rsidRDefault="000B0A23" w:rsidP="000B0A23">
            <w:pPr>
              <w:spacing w:line="259" w:lineRule="auto"/>
              <w:jc w:val="right"/>
              <w:rPr>
                <w:rFonts w:cs="Arial"/>
                <w:szCs w:val="24"/>
                <w:lang w:val="en-GB" w:eastAsia="en-GB"/>
              </w:rPr>
            </w:pPr>
            <w:r>
              <w:rPr>
                <w:rFonts w:cs="Arial"/>
                <w:szCs w:val="24"/>
                <w:lang w:val="en-GB" w:eastAsia="en-GB"/>
              </w:rPr>
              <w:t>3,564</w:t>
            </w:r>
          </w:p>
        </w:tc>
        <w:tc>
          <w:tcPr>
            <w:tcW w:w="1527" w:type="dxa"/>
            <w:tcBorders>
              <w:top w:val="single" w:sz="4" w:space="0" w:color="auto"/>
              <w:left w:val="nil"/>
              <w:bottom w:val="single" w:sz="4" w:space="0" w:color="auto"/>
              <w:right w:val="nil"/>
            </w:tcBorders>
            <w:vAlign w:val="center"/>
          </w:tcPr>
          <w:p w14:paraId="640B629F" w14:textId="0D55547A" w:rsidR="000B0A23" w:rsidRPr="00A41A0D" w:rsidRDefault="000B0A23" w:rsidP="000B0A23">
            <w:pPr>
              <w:spacing w:line="259" w:lineRule="auto"/>
              <w:jc w:val="right"/>
              <w:rPr>
                <w:rFonts w:cs="Arial"/>
                <w:szCs w:val="24"/>
                <w:lang w:val="en-GB" w:eastAsia="en-GB"/>
              </w:rPr>
            </w:pPr>
            <w:r w:rsidRPr="008E18A7">
              <w:rPr>
                <w:rFonts w:cs="Arial"/>
                <w:szCs w:val="24"/>
                <w:lang w:val="en-GB" w:eastAsia="en-GB"/>
              </w:rPr>
              <w:t>3</w:t>
            </w:r>
            <w:r>
              <w:rPr>
                <w:rFonts w:cs="Arial"/>
                <w:szCs w:val="24"/>
                <w:lang w:val="en-GB" w:eastAsia="en-GB"/>
              </w:rPr>
              <w:t>,</w:t>
            </w:r>
            <w:r w:rsidRPr="008E18A7">
              <w:rPr>
                <w:rFonts w:cs="Arial"/>
                <w:szCs w:val="24"/>
                <w:lang w:val="en-GB" w:eastAsia="en-GB"/>
              </w:rPr>
              <w:t>672</w:t>
            </w:r>
          </w:p>
        </w:tc>
        <w:tc>
          <w:tcPr>
            <w:tcW w:w="1123" w:type="dxa"/>
            <w:tcBorders>
              <w:top w:val="single" w:sz="4" w:space="0" w:color="auto"/>
              <w:left w:val="nil"/>
              <w:bottom w:val="single" w:sz="4" w:space="0" w:color="auto"/>
              <w:right w:val="nil"/>
            </w:tcBorders>
            <w:vAlign w:val="center"/>
          </w:tcPr>
          <w:p w14:paraId="23D369C5" w14:textId="1D967B3A" w:rsidR="000B0A23" w:rsidRPr="00A41A0D" w:rsidRDefault="000B0A23" w:rsidP="000B0A23">
            <w:pPr>
              <w:spacing w:line="259" w:lineRule="auto"/>
              <w:jc w:val="right"/>
              <w:rPr>
                <w:rFonts w:cs="Arial"/>
                <w:szCs w:val="24"/>
                <w:lang w:val="en-GB" w:eastAsia="en-GB"/>
              </w:rPr>
            </w:pPr>
            <w:r w:rsidRPr="008E18A7">
              <w:rPr>
                <w:rFonts w:cs="Arial"/>
                <w:szCs w:val="24"/>
                <w:lang w:val="en-GB" w:eastAsia="en-GB"/>
              </w:rPr>
              <w:t>1</w:t>
            </w:r>
            <w:r>
              <w:rPr>
                <w:rFonts w:cs="Arial"/>
                <w:szCs w:val="24"/>
                <w:lang w:val="en-GB" w:eastAsia="en-GB"/>
              </w:rPr>
              <w:t>,</w:t>
            </w:r>
            <w:r w:rsidRPr="008E18A7">
              <w:rPr>
                <w:rFonts w:cs="Arial"/>
                <w:szCs w:val="24"/>
                <w:lang w:val="en-GB" w:eastAsia="en-GB"/>
              </w:rPr>
              <w:t>368</w:t>
            </w:r>
          </w:p>
        </w:tc>
        <w:tc>
          <w:tcPr>
            <w:tcW w:w="1284" w:type="dxa"/>
            <w:tcBorders>
              <w:top w:val="single" w:sz="4" w:space="0" w:color="auto"/>
              <w:left w:val="nil"/>
              <w:bottom w:val="single" w:sz="4" w:space="0" w:color="auto"/>
              <w:right w:val="nil"/>
            </w:tcBorders>
            <w:vAlign w:val="center"/>
          </w:tcPr>
          <w:p w14:paraId="008D75A6" w14:textId="31022EAC"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9,473</w:t>
            </w:r>
          </w:p>
        </w:tc>
        <w:tc>
          <w:tcPr>
            <w:tcW w:w="1123" w:type="dxa"/>
            <w:tcBorders>
              <w:top w:val="single" w:sz="4" w:space="0" w:color="auto"/>
              <w:left w:val="nil"/>
              <w:bottom w:val="single" w:sz="4" w:space="0" w:color="auto"/>
              <w:right w:val="nil"/>
            </w:tcBorders>
            <w:vAlign w:val="center"/>
          </w:tcPr>
          <w:p w14:paraId="4DE714EE" w14:textId="3BC544B7"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2,621</w:t>
            </w:r>
          </w:p>
        </w:tc>
        <w:tc>
          <w:tcPr>
            <w:tcW w:w="1256" w:type="dxa"/>
            <w:tcBorders>
              <w:top w:val="single" w:sz="4" w:space="0" w:color="auto"/>
              <w:left w:val="nil"/>
              <w:bottom w:val="single" w:sz="4" w:space="0" w:color="auto"/>
              <w:right w:val="single" w:sz="4" w:space="0" w:color="auto"/>
            </w:tcBorders>
            <w:vAlign w:val="center"/>
          </w:tcPr>
          <w:p w14:paraId="351ACE12" w14:textId="3744F712" w:rsidR="000B0A23" w:rsidRPr="00A86E0B" w:rsidRDefault="000B0A23" w:rsidP="000B0A23">
            <w:pPr>
              <w:spacing w:line="259" w:lineRule="auto"/>
              <w:jc w:val="right"/>
              <w:rPr>
                <w:rFonts w:cs="Arial"/>
                <w:szCs w:val="24"/>
                <w:lang w:val="en-GB" w:eastAsia="en-GB"/>
              </w:rPr>
            </w:pPr>
            <w:r w:rsidRPr="00A86E0B">
              <w:rPr>
                <w:rFonts w:cs="Arial"/>
                <w:szCs w:val="24"/>
                <w:lang w:val="en-GB" w:eastAsia="en-GB"/>
              </w:rPr>
              <w:t>4,142</w:t>
            </w:r>
          </w:p>
        </w:tc>
      </w:tr>
      <w:tr w:rsidR="000B0A23" w:rsidRPr="00123872" w14:paraId="4274FAF3" w14:textId="77777777" w:rsidTr="00D2349A">
        <w:trPr>
          <w:trHeight w:val="283"/>
        </w:trPr>
        <w:tc>
          <w:tcPr>
            <w:tcW w:w="11477" w:type="dxa"/>
            <w:gridSpan w:val="8"/>
            <w:tcBorders>
              <w:top w:val="single" w:sz="4" w:space="0" w:color="auto"/>
              <w:left w:val="nil"/>
              <w:bottom w:val="nil"/>
              <w:right w:val="nil"/>
            </w:tcBorders>
          </w:tcPr>
          <w:p w14:paraId="5A1DC0A9" w14:textId="4ED41EAD" w:rsidR="000B0A23" w:rsidRPr="00D72C99" w:rsidRDefault="000B0A23" w:rsidP="000B0A23">
            <w:pPr>
              <w:spacing w:after="160" w:line="259" w:lineRule="auto"/>
              <w:rPr>
                <w:rFonts w:cs="Arial"/>
                <w:sz w:val="18"/>
                <w:szCs w:val="24"/>
                <w:lang w:val="en-GB" w:eastAsia="en-GB"/>
              </w:rPr>
            </w:pPr>
            <w:r w:rsidRPr="00D72C99">
              <w:rPr>
                <w:rFonts w:cs="Arial"/>
                <w:sz w:val="18"/>
                <w:szCs w:val="24"/>
                <w:lang w:val="en-GB" w:eastAsia="en-GB"/>
              </w:rPr>
              <w:t>N = number of estimates (etc. one study can include several estimates for different countries)</w:t>
            </w:r>
          </w:p>
        </w:tc>
      </w:tr>
    </w:tbl>
    <w:p w14:paraId="7D611E3F" w14:textId="77777777" w:rsidR="004D151B" w:rsidRDefault="004D151B" w:rsidP="004D151B">
      <w:pPr>
        <w:rPr>
          <w:rFonts w:eastAsiaTheme="majorEastAsia"/>
          <w:sz w:val="28"/>
          <w:szCs w:val="32"/>
          <w:lang w:val="en-GB"/>
        </w:rPr>
      </w:pPr>
      <w:r>
        <w:rPr>
          <w:lang w:val="en-GB"/>
        </w:rPr>
        <w:br w:type="page"/>
      </w:r>
    </w:p>
    <w:p w14:paraId="46A72CB5" w14:textId="7B088253" w:rsidR="000150E6" w:rsidRPr="00731281" w:rsidRDefault="00800EAA" w:rsidP="00800EAA">
      <w:pPr>
        <w:pStyle w:val="Heading1"/>
        <w:rPr>
          <w:lang w:val="en-GB"/>
        </w:rPr>
      </w:pPr>
      <w:bookmarkStart w:id="22" w:name="_Toc38626187"/>
      <w:r w:rsidRPr="00731281">
        <w:rPr>
          <w:lang w:val="en-GB"/>
        </w:rPr>
        <w:lastRenderedPageBreak/>
        <w:t>References</w:t>
      </w:r>
      <w:bookmarkEnd w:id="22"/>
    </w:p>
    <w:p w14:paraId="65B4DADE" w14:textId="3F237B24" w:rsidR="00C719E9" w:rsidRDefault="00C719E9" w:rsidP="00C27797">
      <w:pPr>
        <w:rPr>
          <w:rFonts w:cs="Arial"/>
          <w:sz w:val="22"/>
          <w:szCs w:val="24"/>
          <w:lang w:val="en-GB"/>
        </w:rPr>
      </w:pPr>
    </w:p>
    <w:p w14:paraId="2AEBF3D9" w14:textId="77777777" w:rsidR="009E0540" w:rsidRPr="00D1034B" w:rsidRDefault="009E0540" w:rsidP="009E0540">
      <w:pPr>
        <w:pStyle w:val="EndNoteBibliography"/>
        <w:spacing w:after="0"/>
        <w:ind w:left="720" w:hanging="720"/>
        <w:rPr>
          <w:sz w:val="24"/>
          <w:szCs w:val="24"/>
        </w:rPr>
      </w:pPr>
      <w:r w:rsidRPr="00D1034B">
        <w:rPr>
          <w:sz w:val="24"/>
          <w:szCs w:val="24"/>
          <w:lang w:val="en-GB"/>
        </w:rPr>
        <w:fldChar w:fldCharType="begin"/>
      </w:r>
      <w:r w:rsidRPr="00D1034B">
        <w:rPr>
          <w:sz w:val="24"/>
          <w:szCs w:val="24"/>
          <w:lang w:val="en-GB"/>
        </w:rPr>
        <w:instrText xml:space="preserve"> ADDIN EN.REFLIST </w:instrText>
      </w:r>
      <w:r w:rsidRPr="00D1034B">
        <w:rPr>
          <w:sz w:val="24"/>
          <w:szCs w:val="24"/>
          <w:lang w:val="en-GB"/>
        </w:rPr>
        <w:fldChar w:fldCharType="separate"/>
      </w:r>
      <w:r w:rsidRPr="00D1034B">
        <w:rPr>
          <w:b/>
          <w:sz w:val="24"/>
          <w:szCs w:val="24"/>
        </w:rPr>
        <w:t>Amaddeo F, Beecham J, Bonizzato P, Fenyo A, Knapp M and Tansella M</w:t>
      </w:r>
      <w:r w:rsidRPr="00D1034B">
        <w:rPr>
          <w:sz w:val="24"/>
          <w:szCs w:val="24"/>
        </w:rPr>
        <w:t xml:space="preserve">. (1997) The use of a case register to evaluate the costs of psychiatric care. </w:t>
      </w:r>
      <w:r w:rsidRPr="00D1034B">
        <w:rPr>
          <w:i/>
          <w:sz w:val="24"/>
          <w:szCs w:val="24"/>
        </w:rPr>
        <w:t>Acta Psychiatrica Scandinavica</w:t>
      </w:r>
      <w:r w:rsidRPr="00D1034B">
        <w:rPr>
          <w:sz w:val="24"/>
          <w:szCs w:val="24"/>
        </w:rPr>
        <w:t xml:space="preserve"> </w:t>
      </w:r>
      <w:r w:rsidRPr="00D1034B">
        <w:rPr>
          <w:b/>
          <w:sz w:val="24"/>
          <w:szCs w:val="24"/>
        </w:rPr>
        <w:t>95</w:t>
      </w:r>
      <w:r w:rsidRPr="00D1034B">
        <w:rPr>
          <w:sz w:val="24"/>
          <w:szCs w:val="24"/>
        </w:rPr>
        <w:t>: 189-198.</w:t>
      </w:r>
    </w:p>
    <w:p w14:paraId="38F68AEC" w14:textId="77777777" w:rsidR="009E0540" w:rsidRPr="00D1034B" w:rsidRDefault="009E0540" w:rsidP="009E0540">
      <w:pPr>
        <w:pStyle w:val="EndNoteBibliography"/>
        <w:spacing w:after="0"/>
        <w:ind w:left="720" w:hanging="720"/>
        <w:rPr>
          <w:sz w:val="24"/>
          <w:szCs w:val="24"/>
        </w:rPr>
      </w:pPr>
      <w:r w:rsidRPr="00D1034B">
        <w:rPr>
          <w:b/>
          <w:sz w:val="24"/>
          <w:szCs w:val="24"/>
        </w:rPr>
        <w:t>Andlin-Sobocki P, Jönsson B, Wittchen HU and Olesen J</w:t>
      </w:r>
      <w:r w:rsidRPr="00D1034B">
        <w:rPr>
          <w:sz w:val="24"/>
          <w:szCs w:val="24"/>
        </w:rPr>
        <w:t xml:space="preserve">. (2005) Cost of disorders of the brain in Europe. </w:t>
      </w:r>
      <w:r w:rsidRPr="00D1034B">
        <w:rPr>
          <w:i/>
          <w:sz w:val="24"/>
          <w:szCs w:val="24"/>
        </w:rPr>
        <w:t>European Journal of Neurology</w:t>
      </w:r>
      <w:r w:rsidRPr="00D1034B">
        <w:rPr>
          <w:sz w:val="24"/>
          <w:szCs w:val="24"/>
        </w:rPr>
        <w:t xml:space="preserve"> </w:t>
      </w:r>
      <w:r w:rsidRPr="00D1034B">
        <w:rPr>
          <w:b/>
          <w:sz w:val="24"/>
          <w:szCs w:val="24"/>
        </w:rPr>
        <w:t>12</w:t>
      </w:r>
      <w:r w:rsidRPr="00D1034B">
        <w:rPr>
          <w:sz w:val="24"/>
          <w:szCs w:val="24"/>
        </w:rPr>
        <w:t>: 1-27.</w:t>
      </w:r>
    </w:p>
    <w:p w14:paraId="653C5753" w14:textId="77777777" w:rsidR="009E0540" w:rsidRPr="00D1034B" w:rsidRDefault="009E0540" w:rsidP="009E0540">
      <w:pPr>
        <w:pStyle w:val="EndNoteBibliography"/>
        <w:spacing w:after="0"/>
        <w:ind w:left="720" w:hanging="720"/>
        <w:rPr>
          <w:sz w:val="24"/>
          <w:szCs w:val="24"/>
        </w:rPr>
      </w:pPr>
      <w:r w:rsidRPr="00D1034B">
        <w:rPr>
          <w:b/>
          <w:sz w:val="24"/>
          <w:szCs w:val="24"/>
        </w:rPr>
        <w:t>Balakrishnan R, Allender S, Scarborough P, Webster P and Rayner M</w:t>
      </w:r>
      <w:r w:rsidRPr="00D1034B">
        <w:rPr>
          <w:sz w:val="24"/>
          <w:szCs w:val="24"/>
        </w:rPr>
        <w:t xml:space="preserve">. (2009) The burden of alcohol-related ill health in the United Kingdom. </w:t>
      </w:r>
      <w:r w:rsidRPr="00D1034B">
        <w:rPr>
          <w:i/>
          <w:sz w:val="24"/>
          <w:szCs w:val="24"/>
        </w:rPr>
        <w:t>Journal of Public Health (Oxford)</w:t>
      </w:r>
      <w:r w:rsidRPr="00D1034B">
        <w:rPr>
          <w:sz w:val="24"/>
          <w:szCs w:val="24"/>
        </w:rPr>
        <w:t xml:space="preserve"> </w:t>
      </w:r>
      <w:r w:rsidRPr="00D1034B">
        <w:rPr>
          <w:b/>
          <w:sz w:val="24"/>
          <w:szCs w:val="24"/>
        </w:rPr>
        <w:t>31</w:t>
      </w:r>
      <w:r w:rsidRPr="00D1034B">
        <w:rPr>
          <w:sz w:val="24"/>
          <w:szCs w:val="24"/>
        </w:rPr>
        <w:t>: 366-373.</w:t>
      </w:r>
    </w:p>
    <w:p w14:paraId="56EEF1F4" w14:textId="77777777" w:rsidR="009E0540" w:rsidRPr="00D1034B" w:rsidRDefault="009E0540" w:rsidP="009E0540">
      <w:pPr>
        <w:pStyle w:val="EndNoteBibliography"/>
        <w:spacing w:after="0"/>
        <w:ind w:left="720" w:hanging="720"/>
        <w:rPr>
          <w:sz w:val="24"/>
          <w:szCs w:val="24"/>
        </w:rPr>
      </w:pPr>
      <w:r w:rsidRPr="00D1034B">
        <w:rPr>
          <w:b/>
          <w:sz w:val="24"/>
          <w:szCs w:val="24"/>
        </w:rPr>
        <w:t>Begley CE, Annegers JF, Swann AC, Lewis C, Coan S, Schnapp WB and Bryant-Comstock L</w:t>
      </w:r>
      <w:r w:rsidRPr="00D1034B">
        <w:rPr>
          <w:sz w:val="24"/>
          <w:szCs w:val="24"/>
        </w:rPr>
        <w:t xml:space="preserve">. (2001) The lifetime cost of bipolar disorder in the US. </w:t>
      </w:r>
      <w:r w:rsidRPr="00D1034B">
        <w:rPr>
          <w:i/>
          <w:sz w:val="24"/>
          <w:szCs w:val="24"/>
        </w:rPr>
        <w:t>Pharmacoeconomics</w:t>
      </w:r>
      <w:r w:rsidRPr="00D1034B">
        <w:rPr>
          <w:sz w:val="24"/>
          <w:szCs w:val="24"/>
        </w:rPr>
        <w:t xml:space="preserve"> </w:t>
      </w:r>
      <w:r w:rsidRPr="00D1034B">
        <w:rPr>
          <w:b/>
          <w:sz w:val="24"/>
          <w:szCs w:val="24"/>
        </w:rPr>
        <w:t>19</w:t>
      </w:r>
      <w:r w:rsidRPr="00D1034B">
        <w:rPr>
          <w:sz w:val="24"/>
          <w:szCs w:val="24"/>
        </w:rPr>
        <w:t>: 483-495.</w:t>
      </w:r>
    </w:p>
    <w:p w14:paraId="27C4FF93" w14:textId="77777777" w:rsidR="009E0540" w:rsidRPr="00D1034B" w:rsidRDefault="009E0540" w:rsidP="009E0540">
      <w:pPr>
        <w:pStyle w:val="EndNoteBibliography"/>
        <w:spacing w:after="0"/>
        <w:ind w:left="720" w:hanging="720"/>
        <w:rPr>
          <w:sz w:val="24"/>
          <w:szCs w:val="24"/>
        </w:rPr>
      </w:pPr>
      <w:r w:rsidRPr="00D1034B">
        <w:rPr>
          <w:b/>
          <w:sz w:val="24"/>
          <w:szCs w:val="24"/>
        </w:rPr>
        <w:t>Bell B, Chalklin L, Mills M, Browne G, Steiner M, Roberts J, Gafni A, Byrne C, Wallik D, Kraemer J, Webb M, Jamieson E, Whittaker S and Dunn E</w:t>
      </w:r>
      <w:r w:rsidRPr="00D1034B">
        <w:rPr>
          <w:sz w:val="24"/>
          <w:szCs w:val="24"/>
        </w:rPr>
        <w:t xml:space="preserve">. (2004) Burden of dysthymia and comorbid illness in adults in a Canadian primary care setting: high rates of psychiatric illness in the offspring. </w:t>
      </w:r>
      <w:r w:rsidRPr="00D1034B">
        <w:rPr>
          <w:i/>
          <w:sz w:val="24"/>
          <w:szCs w:val="24"/>
        </w:rPr>
        <w:t>Journal of Affective Disorders</w:t>
      </w:r>
      <w:r w:rsidRPr="00D1034B">
        <w:rPr>
          <w:sz w:val="24"/>
          <w:szCs w:val="24"/>
        </w:rPr>
        <w:t xml:space="preserve"> </w:t>
      </w:r>
      <w:r w:rsidRPr="00D1034B">
        <w:rPr>
          <w:b/>
          <w:sz w:val="24"/>
          <w:szCs w:val="24"/>
        </w:rPr>
        <w:t>78</w:t>
      </w:r>
      <w:r w:rsidRPr="00D1034B">
        <w:rPr>
          <w:sz w:val="24"/>
          <w:szCs w:val="24"/>
        </w:rPr>
        <w:t>: 73-80.</w:t>
      </w:r>
    </w:p>
    <w:p w14:paraId="4B8D6D63" w14:textId="77777777" w:rsidR="009E0540" w:rsidRPr="00D1034B" w:rsidRDefault="009E0540" w:rsidP="009E0540">
      <w:pPr>
        <w:pStyle w:val="EndNoteBibliography"/>
        <w:spacing w:after="0"/>
        <w:ind w:left="720" w:hanging="720"/>
        <w:rPr>
          <w:sz w:val="24"/>
          <w:szCs w:val="24"/>
        </w:rPr>
      </w:pPr>
      <w:r w:rsidRPr="00D1034B">
        <w:rPr>
          <w:b/>
          <w:sz w:val="24"/>
          <w:szCs w:val="24"/>
        </w:rPr>
        <w:t>Bendeck M, Serrano-Blanco A, Garcia-Alonso C, Bonet P, Jorda E, Sabes-Figuera R, Salvador-Carulla L and Costdep G</w:t>
      </w:r>
      <w:r w:rsidRPr="00D1034B">
        <w:rPr>
          <w:sz w:val="24"/>
          <w:szCs w:val="24"/>
        </w:rPr>
        <w:t xml:space="preserve">. (2013) An integrative cross-design synthesis approach to estimate the cost of illness: An applied case to the cost of depression in Catalonia. </w:t>
      </w:r>
      <w:r w:rsidRPr="00D1034B">
        <w:rPr>
          <w:i/>
          <w:sz w:val="24"/>
          <w:szCs w:val="24"/>
        </w:rPr>
        <w:t>Journal of Mental Health</w:t>
      </w:r>
      <w:r w:rsidRPr="00D1034B">
        <w:rPr>
          <w:sz w:val="24"/>
          <w:szCs w:val="24"/>
        </w:rPr>
        <w:t xml:space="preserve"> </w:t>
      </w:r>
      <w:r w:rsidRPr="00D1034B">
        <w:rPr>
          <w:b/>
          <w:sz w:val="24"/>
          <w:szCs w:val="24"/>
        </w:rPr>
        <w:t>22</w:t>
      </w:r>
      <w:r w:rsidRPr="00D1034B">
        <w:rPr>
          <w:sz w:val="24"/>
          <w:szCs w:val="24"/>
        </w:rPr>
        <w:t>: 135-154.</w:t>
      </w:r>
    </w:p>
    <w:p w14:paraId="0BAA57A5" w14:textId="77777777" w:rsidR="009E0540" w:rsidRPr="00D1034B" w:rsidRDefault="009E0540" w:rsidP="009E0540">
      <w:pPr>
        <w:pStyle w:val="EndNoteBibliography"/>
        <w:spacing w:after="0"/>
        <w:ind w:left="720" w:hanging="720"/>
        <w:rPr>
          <w:sz w:val="24"/>
          <w:szCs w:val="24"/>
        </w:rPr>
      </w:pPr>
      <w:r w:rsidRPr="00D1034B">
        <w:rPr>
          <w:b/>
          <w:sz w:val="24"/>
          <w:szCs w:val="24"/>
        </w:rPr>
        <w:t>Bereza BG, Machado M, Papadimitropoulos M, Sproule B, Ravindran AV and Einarson TR</w:t>
      </w:r>
      <w:r w:rsidRPr="00D1034B">
        <w:rPr>
          <w:sz w:val="24"/>
          <w:szCs w:val="24"/>
        </w:rPr>
        <w:t xml:space="preserve">. (2012) A Markov Model Approach Assessing the Cost of Illness of Generalized Anxiety Disorder in Canada. </w:t>
      </w:r>
      <w:r w:rsidRPr="00D1034B">
        <w:rPr>
          <w:i/>
          <w:sz w:val="24"/>
          <w:szCs w:val="24"/>
        </w:rPr>
        <w:t>Neurology and Therapy</w:t>
      </w:r>
      <w:r w:rsidRPr="00D1034B">
        <w:rPr>
          <w:sz w:val="24"/>
          <w:szCs w:val="24"/>
        </w:rPr>
        <w:t xml:space="preserve"> </w:t>
      </w:r>
      <w:r w:rsidRPr="00D1034B">
        <w:rPr>
          <w:b/>
          <w:sz w:val="24"/>
          <w:szCs w:val="24"/>
        </w:rPr>
        <w:t>1</w:t>
      </w:r>
      <w:r w:rsidRPr="00D1034B">
        <w:rPr>
          <w:sz w:val="24"/>
          <w:szCs w:val="24"/>
        </w:rPr>
        <w:t>: 1-17.</w:t>
      </w:r>
    </w:p>
    <w:p w14:paraId="20F0FEE7" w14:textId="77777777" w:rsidR="009E0540" w:rsidRPr="00D1034B" w:rsidRDefault="009E0540" w:rsidP="009E0540">
      <w:pPr>
        <w:pStyle w:val="EndNoteBibliography"/>
        <w:spacing w:after="0"/>
        <w:ind w:left="720" w:hanging="720"/>
        <w:rPr>
          <w:sz w:val="24"/>
          <w:szCs w:val="24"/>
        </w:rPr>
      </w:pPr>
      <w:r w:rsidRPr="00D1034B">
        <w:rPr>
          <w:b/>
          <w:sz w:val="24"/>
          <w:szCs w:val="24"/>
        </w:rPr>
        <w:t>Birnbaum HG, White AG, Reynolds JL, Greenberg PE, Zhang M, Vallow S, Schein JR and Katz NP</w:t>
      </w:r>
      <w:r w:rsidRPr="00D1034B">
        <w:rPr>
          <w:sz w:val="24"/>
          <w:szCs w:val="24"/>
        </w:rPr>
        <w:t xml:space="preserve">. (2006) Estimated costs of prescription opioid analgesic abuse in the United States in 2001: a societal perspective. </w:t>
      </w:r>
      <w:r w:rsidRPr="00D1034B">
        <w:rPr>
          <w:i/>
          <w:sz w:val="24"/>
          <w:szCs w:val="24"/>
        </w:rPr>
        <w:t>The Clinical Journal of Pain</w:t>
      </w:r>
      <w:r w:rsidRPr="00D1034B">
        <w:rPr>
          <w:sz w:val="24"/>
          <w:szCs w:val="24"/>
        </w:rPr>
        <w:t xml:space="preserve"> </w:t>
      </w:r>
      <w:r w:rsidRPr="00D1034B">
        <w:rPr>
          <w:b/>
          <w:sz w:val="24"/>
          <w:szCs w:val="24"/>
        </w:rPr>
        <w:t>22</w:t>
      </w:r>
      <w:r w:rsidRPr="00D1034B">
        <w:rPr>
          <w:sz w:val="24"/>
          <w:szCs w:val="24"/>
        </w:rPr>
        <w:t>: 667-676.</w:t>
      </w:r>
    </w:p>
    <w:p w14:paraId="586FB2F7" w14:textId="77777777" w:rsidR="009E0540" w:rsidRPr="00D1034B" w:rsidRDefault="009E0540" w:rsidP="009E0540">
      <w:pPr>
        <w:pStyle w:val="EndNoteBibliography"/>
        <w:spacing w:after="0"/>
        <w:ind w:left="720" w:hanging="720"/>
        <w:rPr>
          <w:sz w:val="24"/>
          <w:szCs w:val="24"/>
        </w:rPr>
      </w:pPr>
      <w:r w:rsidRPr="00D1034B">
        <w:rPr>
          <w:b/>
          <w:sz w:val="24"/>
          <w:szCs w:val="24"/>
        </w:rPr>
        <w:t>Bock JO, Brettschneider C, Weyerer S, Werle J, Wagner M, Maier W, Scherer M, Kaduszkiewicz H, Wiese B, Moor L, Stein J, Riedel-Heller SG and Konig HH</w:t>
      </w:r>
      <w:r w:rsidRPr="00D1034B">
        <w:rPr>
          <w:sz w:val="24"/>
          <w:szCs w:val="24"/>
        </w:rPr>
        <w:t xml:space="preserve">. (2016) Excess health care costs of late-life depression - Results of the AgeMooDe study. </w:t>
      </w:r>
      <w:r w:rsidRPr="00D1034B">
        <w:rPr>
          <w:i/>
          <w:sz w:val="24"/>
          <w:szCs w:val="24"/>
        </w:rPr>
        <w:t>Journal of Affective Disorders</w:t>
      </w:r>
      <w:r w:rsidRPr="00D1034B">
        <w:rPr>
          <w:sz w:val="24"/>
          <w:szCs w:val="24"/>
        </w:rPr>
        <w:t xml:space="preserve"> </w:t>
      </w:r>
      <w:r w:rsidRPr="00D1034B">
        <w:rPr>
          <w:b/>
          <w:sz w:val="24"/>
          <w:szCs w:val="24"/>
        </w:rPr>
        <w:t>199</w:t>
      </w:r>
      <w:r w:rsidRPr="00D1034B">
        <w:rPr>
          <w:sz w:val="24"/>
          <w:szCs w:val="24"/>
        </w:rPr>
        <w:t>: 139-147.</w:t>
      </w:r>
    </w:p>
    <w:p w14:paraId="50319FC5" w14:textId="77777777" w:rsidR="009E0540" w:rsidRPr="00D1034B" w:rsidRDefault="009E0540" w:rsidP="009E0540">
      <w:pPr>
        <w:pStyle w:val="EndNoteBibliography"/>
        <w:spacing w:after="0"/>
        <w:ind w:left="720" w:hanging="720"/>
        <w:rPr>
          <w:sz w:val="24"/>
          <w:szCs w:val="24"/>
        </w:rPr>
      </w:pPr>
      <w:r w:rsidRPr="00D1034B">
        <w:rPr>
          <w:b/>
          <w:sz w:val="24"/>
          <w:szCs w:val="24"/>
        </w:rPr>
        <w:t>Bode K, Vogel R, Walker J and Kroger C</w:t>
      </w:r>
      <w:r w:rsidRPr="00D1034B">
        <w:rPr>
          <w:sz w:val="24"/>
          <w:szCs w:val="24"/>
        </w:rPr>
        <w:t xml:space="preserve">. (2017) Health care costs of borderline personality disorder and matched controls with major depressive disorder: a comparative study based on anonymized claims data. </w:t>
      </w:r>
      <w:r w:rsidRPr="00D1034B">
        <w:rPr>
          <w:i/>
          <w:sz w:val="24"/>
          <w:szCs w:val="24"/>
        </w:rPr>
        <w:t>European Journal of Health Economics</w:t>
      </w:r>
      <w:r w:rsidRPr="00D1034B">
        <w:rPr>
          <w:sz w:val="24"/>
          <w:szCs w:val="24"/>
        </w:rPr>
        <w:t xml:space="preserve"> </w:t>
      </w:r>
      <w:r w:rsidRPr="00D1034B">
        <w:rPr>
          <w:b/>
          <w:sz w:val="24"/>
          <w:szCs w:val="24"/>
        </w:rPr>
        <w:t>18</w:t>
      </w:r>
      <w:r w:rsidRPr="00D1034B">
        <w:rPr>
          <w:sz w:val="24"/>
          <w:szCs w:val="24"/>
        </w:rPr>
        <w:t>: 1125-1135.</w:t>
      </w:r>
    </w:p>
    <w:p w14:paraId="1ACB33F1" w14:textId="77777777" w:rsidR="009E0540" w:rsidRPr="00D1034B" w:rsidRDefault="009E0540" w:rsidP="009E0540">
      <w:pPr>
        <w:pStyle w:val="EndNoteBibliography"/>
        <w:spacing w:after="0"/>
        <w:ind w:left="720" w:hanging="720"/>
        <w:rPr>
          <w:sz w:val="24"/>
          <w:szCs w:val="24"/>
        </w:rPr>
      </w:pPr>
      <w:r w:rsidRPr="00D1034B">
        <w:rPr>
          <w:b/>
          <w:sz w:val="24"/>
          <w:szCs w:val="24"/>
        </w:rPr>
        <w:t>Bosmans JE, de Bruijne MC, de Boer MR, van Hout H, van Steenwijk P and van Tulder MW</w:t>
      </w:r>
      <w:r w:rsidRPr="00D1034B">
        <w:rPr>
          <w:sz w:val="24"/>
          <w:szCs w:val="24"/>
        </w:rPr>
        <w:t xml:space="preserve">. (2010) Health care costs of depression in primary care patients in The Netherlands. </w:t>
      </w:r>
      <w:r w:rsidRPr="00D1034B">
        <w:rPr>
          <w:i/>
          <w:sz w:val="24"/>
          <w:szCs w:val="24"/>
        </w:rPr>
        <w:t>Family Practice</w:t>
      </w:r>
      <w:r w:rsidRPr="00D1034B">
        <w:rPr>
          <w:sz w:val="24"/>
          <w:szCs w:val="24"/>
        </w:rPr>
        <w:t xml:space="preserve"> </w:t>
      </w:r>
      <w:r w:rsidRPr="00D1034B">
        <w:rPr>
          <w:b/>
          <w:sz w:val="24"/>
          <w:szCs w:val="24"/>
        </w:rPr>
        <w:t>27</w:t>
      </w:r>
      <w:r w:rsidRPr="00D1034B">
        <w:rPr>
          <w:sz w:val="24"/>
          <w:szCs w:val="24"/>
        </w:rPr>
        <w:t>: 542-548.</w:t>
      </w:r>
    </w:p>
    <w:p w14:paraId="00946332" w14:textId="77777777" w:rsidR="009E0540" w:rsidRPr="00D1034B" w:rsidRDefault="009E0540" w:rsidP="009E0540">
      <w:pPr>
        <w:pStyle w:val="EndNoteBibliography"/>
        <w:spacing w:after="0"/>
        <w:ind w:left="720" w:hanging="720"/>
        <w:rPr>
          <w:sz w:val="24"/>
          <w:szCs w:val="24"/>
        </w:rPr>
      </w:pPr>
      <w:r w:rsidRPr="00D1034B">
        <w:rPr>
          <w:b/>
          <w:sz w:val="24"/>
          <w:szCs w:val="24"/>
        </w:rPr>
        <w:t>Bourke J, Murphy A, Flynn D, Kells M, Joyce M and Hurley J</w:t>
      </w:r>
      <w:r w:rsidRPr="00D1034B">
        <w:rPr>
          <w:sz w:val="24"/>
          <w:szCs w:val="24"/>
        </w:rPr>
        <w:t xml:space="preserve">. (2018) Borderline personality disorder: resource utilisation costs in Ireland. </w:t>
      </w:r>
      <w:r w:rsidRPr="00D1034B">
        <w:rPr>
          <w:i/>
          <w:sz w:val="24"/>
          <w:szCs w:val="24"/>
        </w:rPr>
        <w:t>Irish Journal of Psychological Medicine</w:t>
      </w:r>
      <w:r w:rsidRPr="00D1034B">
        <w:rPr>
          <w:sz w:val="24"/>
          <w:szCs w:val="24"/>
        </w:rPr>
        <w:t>: 1-8.</w:t>
      </w:r>
    </w:p>
    <w:p w14:paraId="57AE22F2" w14:textId="77777777" w:rsidR="009E0540" w:rsidRPr="00D1034B" w:rsidRDefault="009E0540" w:rsidP="009E0540">
      <w:pPr>
        <w:pStyle w:val="EndNoteBibliography"/>
        <w:spacing w:after="0"/>
        <w:ind w:left="720" w:hanging="720"/>
        <w:rPr>
          <w:sz w:val="24"/>
          <w:szCs w:val="24"/>
        </w:rPr>
      </w:pPr>
      <w:r w:rsidRPr="00D1034B">
        <w:rPr>
          <w:b/>
          <w:sz w:val="24"/>
          <w:szCs w:val="24"/>
        </w:rPr>
        <w:t>Braun S, Zeidler J, Linder R, Engel S, Verheyen F and Greiner W</w:t>
      </w:r>
      <w:r w:rsidRPr="00D1034B">
        <w:rPr>
          <w:sz w:val="24"/>
          <w:szCs w:val="24"/>
        </w:rPr>
        <w:t xml:space="preserve">. (2013) Treatment costs of attention deficit hyperactivity disorder in Germany. </w:t>
      </w:r>
      <w:r w:rsidRPr="00D1034B">
        <w:rPr>
          <w:i/>
          <w:sz w:val="24"/>
          <w:szCs w:val="24"/>
        </w:rPr>
        <w:t>The European Journal of Health Economics</w:t>
      </w:r>
      <w:r w:rsidRPr="00D1034B">
        <w:rPr>
          <w:sz w:val="24"/>
          <w:szCs w:val="24"/>
        </w:rPr>
        <w:t xml:space="preserve"> </w:t>
      </w:r>
      <w:r w:rsidRPr="00D1034B">
        <w:rPr>
          <w:b/>
          <w:sz w:val="24"/>
          <w:szCs w:val="24"/>
        </w:rPr>
        <w:t>14</w:t>
      </w:r>
      <w:r w:rsidRPr="00D1034B">
        <w:rPr>
          <w:sz w:val="24"/>
          <w:szCs w:val="24"/>
        </w:rPr>
        <w:t>: 939-945.</w:t>
      </w:r>
    </w:p>
    <w:p w14:paraId="4E7F7714" w14:textId="77777777" w:rsidR="009E0540" w:rsidRPr="00D1034B" w:rsidRDefault="009E0540" w:rsidP="009E0540">
      <w:pPr>
        <w:pStyle w:val="EndNoteBibliography"/>
        <w:spacing w:after="0"/>
        <w:ind w:left="720" w:hanging="720"/>
        <w:rPr>
          <w:sz w:val="24"/>
          <w:szCs w:val="24"/>
        </w:rPr>
      </w:pPr>
      <w:r w:rsidRPr="00D1034B">
        <w:rPr>
          <w:b/>
          <w:sz w:val="24"/>
          <w:szCs w:val="24"/>
        </w:rPr>
        <w:t>Brecht JG, Poldrugo F and Schadlich PK</w:t>
      </w:r>
      <w:r w:rsidRPr="00D1034B">
        <w:rPr>
          <w:sz w:val="24"/>
          <w:szCs w:val="24"/>
        </w:rPr>
        <w:t xml:space="preserve">. (1996) Alcoholism - The cost of illness in the Federal Republic of Germany. </w:t>
      </w:r>
      <w:r w:rsidRPr="00D1034B">
        <w:rPr>
          <w:i/>
          <w:sz w:val="24"/>
          <w:szCs w:val="24"/>
        </w:rPr>
        <w:t>Pharmacoeconomics</w:t>
      </w:r>
      <w:r w:rsidRPr="00D1034B">
        <w:rPr>
          <w:sz w:val="24"/>
          <w:szCs w:val="24"/>
        </w:rPr>
        <w:t xml:space="preserve"> </w:t>
      </w:r>
      <w:r w:rsidRPr="00D1034B">
        <w:rPr>
          <w:b/>
          <w:sz w:val="24"/>
          <w:szCs w:val="24"/>
        </w:rPr>
        <w:t>10</w:t>
      </w:r>
      <w:r w:rsidRPr="00D1034B">
        <w:rPr>
          <w:sz w:val="24"/>
          <w:szCs w:val="24"/>
        </w:rPr>
        <w:t>: 484-493.</w:t>
      </w:r>
    </w:p>
    <w:p w14:paraId="0B08256B" w14:textId="77777777" w:rsidR="009E0540" w:rsidRPr="00D1034B" w:rsidRDefault="009E0540" w:rsidP="009E0540">
      <w:pPr>
        <w:pStyle w:val="EndNoteBibliography"/>
        <w:spacing w:after="0"/>
        <w:ind w:left="720" w:hanging="720"/>
        <w:rPr>
          <w:sz w:val="24"/>
          <w:szCs w:val="24"/>
        </w:rPr>
      </w:pPr>
      <w:r w:rsidRPr="00D1034B">
        <w:rPr>
          <w:b/>
          <w:sz w:val="24"/>
          <w:szCs w:val="24"/>
        </w:rPr>
        <w:t>Burd L, Klug MG, Coumbe MJ and Kerbeshian J</w:t>
      </w:r>
      <w:r w:rsidRPr="00D1034B">
        <w:rPr>
          <w:sz w:val="24"/>
          <w:szCs w:val="24"/>
        </w:rPr>
        <w:t xml:space="preserve">. (2003) Children and Adolescents With Attention Deficit-Hyperactivity Disorder: 1. Prevalence and Cost of Care. </w:t>
      </w:r>
      <w:r w:rsidRPr="00D1034B">
        <w:rPr>
          <w:i/>
          <w:sz w:val="24"/>
          <w:szCs w:val="24"/>
        </w:rPr>
        <w:t>Journal of Child Neurology</w:t>
      </w:r>
      <w:r w:rsidRPr="00D1034B">
        <w:rPr>
          <w:sz w:val="24"/>
          <w:szCs w:val="24"/>
        </w:rPr>
        <w:t xml:space="preserve"> </w:t>
      </w:r>
      <w:r w:rsidRPr="00D1034B">
        <w:rPr>
          <w:b/>
          <w:sz w:val="24"/>
          <w:szCs w:val="24"/>
        </w:rPr>
        <w:t>18</w:t>
      </w:r>
      <w:r w:rsidRPr="00D1034B">
        <w:rPr>
          <w:sz w:val="24"/>
          <w:szCs w:val="24"/>
        </w:rPr>
        <w:t>: 555-561.</w:t>
      </w:r>
    </w:p>
    <w:p w14:paraId="5290239B" w14:textId="77777777" w:rsidR="009E0540" w:rsidRPr="00D1034B" w:rsidRDefault="009E0540" w:rsidP="009E0540">
      <w:pPr>
        <w:pStyle w:val="EndNoteBibliography"/>
        <w:spacing w:after="0"/>
        <w:ind w:left="720" w:hanging="720"/>
        <w:rPr>
          <w:sz w:val="24"/>
          <w:szCs w:val="24"/>
        </w:rPr>
      </w:pPr>
      <w:r w:rsidRPr="00D1034B">
        <w:rPr>
          <w:b/>
          <w:sz w:val="24"/>
          <w:szCs w:val="24"/>
        </w:rPr>
        <w:lastRenderedPageBreak/>
        <w:t>Byford S, Barrett B, Despiegel N and Wade A</w:t>
      </w:r>
      <w:r w:rsidRPr="00D1034B">
        <w:rPr>
          <w:sz w:val="24"/>
          <w:szCs w:val="24"/>
        </w:rPr>
        <w:t xml:space="preserve">. (2011) Impact of Treatment Success on Health Service Use and Cost in Depression Longitudinal Database Analysis. </w:t>
      </w:r>
      <w:r w:rsidRPr="00D1034B">
        <w:rPr>
          <w:i/>
          <w:sz w:val="24"/>
          <w:szCs w:val="24"/>
        </w:rPr>
        <w:t>Pharmacoeconomics</w:t>
      </w:r>
      <w:r w:rsidRPr="00D1034B">
        <w:rPr>
          <w:sz w:val="24"/>
          <w:szCs w:val="24"/>
        </w:rPr>
        <w:t xml:space="preserve"> </w:t>
      </w:r>
      <w:r w:rsidRPr="00D1034B">
        <w:rPr>
          <w:b/>
          <w:sz w:val="24"/>
          <w:szCs w:val="24"/>
        </w:rPr>
        <w:t>29</w:t>
      </w:r>
      <w:r w:rsidRPr="00D1034B">
        <w:rPr>
          <w:sz w:val="24"/>
          <w:szCs w:val="24"/>
        </w:rPr>
        <w:t>: 157-170.</w:t>
      </w:r>
    </w:p>
    <w:p w14:paraId="7EB2D1D0" w14:textId="77777777" w:rsidR="009E0540" w:rsidRPr="00D1034B" w:rsidRDefault="009E0540" w:rsidP="009E0540">
      <w:pPr>
        <w:pStyle w:val="EndNoteBibliography"/>
        <w:spacing w:after="0"/>
        <w:ind w:left="720" w:hanging="720"/>
        <w:rPr>
          <w:sz w:val="24"/>
          <w:szCs w:val="24"/>
        </w:rPr>
      </w:pPr>
      <w:r w:rsidRPr="00D1034B">
        <w:rPr>
          <w:b/>
          <w:sz w:val="24"/>
          <w:szCs w:val="24"/>
        </w:rPr>
        <w:t>Carr VJ, Neil AL, Halpin SA, Holmes S and Lewin TJ</w:t>
      </w:r>
      <w:r w:rsidRPr="00D1034B">
        <w:rPr>
          <w:sz w:val="24"/>
          <w:szCs w:val="24"/>
        </w:rPr>
        <w:t xml:space="preserve">. (2003) Costs of schizophrenia and other psychoses in urban Australia: Findings from the Low Prevalence (Psychotic) Disorders Study. </w:t>
      </w:r>
      <w:r w:rsidRPr="00D1034B">
        <w:rPr>
          <w:i/>
          <w:sz w:val="24"/>
          <w:szCs w:val="24"/>
        </w:rPr>
        <w:t>Australian and New Zealand Journal of Psychiatry</w:t>
      </w:r>
      <w:r w:rsidRPr="00D1034B">
        <w:rPr>
          <w:sz w:val="24"/>
          <w:szCs w:val="24"/>
        </w:rPr>
        <w:t xml:space="preserve"> </w:t>
      </w:r>
      <w:r w:rsidRPr="00D1034B">
        <w:rPr>
          <w:b/>
          <w:sz w:val="24"/>
          <w:szCs w:val="24"/>
        </w:rPr>
        <w:t>37</w:t>
      </w:r>
      <w:r w:rsidRPr="00D1034B">
        <w:rPr>
          <w:sz w:val="24"/>
          <w:szCs w:val="24"/>
        </w:rPr>
        <w:t>: 31-40.</w:t>
      </w:r>
    </w:p>
    <w:p w14:paraId="2D2816F8" w14:textId="77777777" w:rsidR="009E0540" w:rsidRPr="00D1034B" w:rsidRDefault="009E0540" w:rsidP="009E0540">
      <w:pPr>
        <w:pStyle w:val="EndNoteBibliography"/>
        <w:spacing w:after="0"/>
        <w:ind w:left="720" w:hanging="720"/>
        <w:rPr>
          <w:sz w:val="24"/>
          <w:szCs w:val="24"/>
        </w:rPr>
      </w:pPr>
      <w:r w:rsidRPr="00D1034B">
        <w:rPr>
          <w:b/>
          <w:sz w:val="24"/>
          <w:szCs w:val="24"/>
        </w:rPr>
        <w:t>Casadei G, Cartabia M, Reale L, Costantino MA and Bonati M</w:t>
      </w:r>
      <w:r w:rsidRPr="00D1034B">
        <w:rPr>
          <w:sz w:val="24"/>
          <w:szCs w:val="24"/>
        </w:rPr>
        <w:t xml:space="preserve">. (2017) Italian regional health service costs for diagnosis and 1-year treatment of ADHD in children and adolescents. </w:t>
      </w:r>
      <w:r w:rsidRPr="00D1034B">
        <w:rPr>
          <w:i/>
          <w:sz w:val="24"/>
          <w:szCs w:val="24"/>
        </w:rPr>
        <w:t>International Journal of Mental Health Systems</w:t>
      </w:r>
      <w:r w:rsidRPr="00D1034B">
        <w:rPr>
          <w:sz w:val="24"/>
          <w:szCs w:val="24"/>
        </w:rPr>
        <w:t xml:space="preserve"> </w:t>
      </w:r>
      <w:r w:rsidRPr="00D1034B">
        <w:rPr>
          <w:b/>
          <w:sz w:val="24"/>
          <w:szCs w:val="24"/>
        </w:rPr>
        <w:t>11</w:t>
      </w:r>
      <w:r w:rsidRPr="00D1034B">
        <w:rPr>
          <w:sz w:val="24"/>
          <w:szCs w:val="24"/>
        </w:rPr>
        <w:t>: 33.</w:t>
      </w:r>
    </w:p>
    <w:p w14:paraId="7605EC0D" w14:textId="77777777" w:rsidR="009E0540" w:rsidRPr="00D1034B" w:rsidRDefault="009E0540" w:rsidP="009E0540">
      <w:pPr>
        <w:pStyle w:val="EndNoteBibliography"/>
        <w:spacing w:after="0"/>
        <w:ind w:left="720" w:hanging="720"/>
        <w:rPr>
          <w:sz w:val="24"/>
          <w:szCs w:val="24"/>
        </w:rPr>
      </w:pPr>
      <w:r w:rsidRPr="00D1034B">
        <w:rPr>
          <w:b/>
          <w:sz w:val="24"/>
          <w:szCs w:val="24"/>
        </w:rPr>
        <w:t>Chan E, Zhan C and Homer CJ</w:t>
      </w:r>
      <w:r w:rsidRPr="00D1034B">
        <w:rPr>
          <w:sz w:val="24"/>
          <w:szCs w:val="24"/>
        </w:rPr>
        <w:t xml:space="preserve">. (2002) Health care use and costs for children with attention-deficit/hyperactivity disorder: national estimates from the medical expenditure panel survey. </w:t>
      </w:r>
      <w:r w:rsidRPr="00D1034B">
        <w:rPr>
          <w:i/>
          <w:sz w:val="24"/>
          <w:szCs w:val="24"/>
        </w:rPr>
        <w:t>Archives of Pediatrics and Adolescent Medicine</w:t>
      </w:r>
      <w:r w:rsidRPr="00D1034B">
        <w:rPr>
          <w:sz w:val="24"/>
          <w:szCs w:val="24"/>
        </w:rPr>
        <w:t xml:space="preserve"> </w:t>
      </w:r>
      <w:r w:rsidRPr="00D1034B">
        <w:rPr>
          <w:b/>
          <w:sz w:val="24"/>
          <w:szCs w:val="24"/>
        </w:rPr>
        <w:t>156</w:t>
      </w:r>
      <w:r w:rsidRPr="00D1034B">
        <w:rPr>
          <w:sz w:val="24"/>
          <w:szCs w:val="24"/>
        </w:rPr>
        <w:t>: 504-511.</w:t>
      </w:r>
    </w:p>
    <w:p w14:paraId="5C3DA542" w14:textId="77777777" w:rsidR="009E0540" w:rsidRPr="00D1034B" w:rsidRDefault="009E0540" w:rsidP="009E0540">
      <w:pPr>
        <w:pStyle w:val="EndNoteBibliography"/>
        <w:spacing w:after="0"/>
        <w:ind w:left="720" w:hanging="720"/>
        <w:rPr>
          <w:sz w:val="24"/>
          <w:szCs w:val="24"/>
        </w:rPr>
      </w:pPr>
      <w:r w:rsidRPr="00D1034B">
        <w:rPr>
          <w:b/>
          <w:sz w:val="24"/>
          <w:szCs w:val="24"/>
        </w:rPr>
        <w:t>Chang SM, Cho SJ, Jeon HJ, Hahm BJ, Lee HJ, Park JI and Cho MJ</w:t>
      </w:r>
      <w:r w:rsidRPr="00D1034B">
        <w:rPr>
          <w:sz w:val="24"/>
          <w:szCs w:val="24"/>
        </w:rPr>
        <w:t xml:space="preserve">. (2008) Economic burden of schizophrenia in South Korea. </w:t>
      </w:r>
      <w:r w:rsidRPr="00D1034B">
        <w:rPr>
          <w:i/>
          <w:sz w:val="24"/>
          <w:szCs w:val="24"/>
        </w:rPr>
        <w:t>Journal of Korean Medical Science</w:t>
      </w:r>
      <w:r w:rsidRPr="00D1034B">
        <w:rPr>
          <w:sz w:val="24"/>
          <w:szCs w:val="24"/>
        </w:rPr>
        <w:t xml:space="preserve"> </w:t>
      </w:r>
      <w:r w:rsidRPr="00D1034B">
        <w:rPr>
          <w:b/>
          <w:sz w:val="24"/>
          <w:szCs w:val="24"/>
        </w:rPr>
        <w:t>23</w:t>
      </w:r>
      <w:r w:rsidRPr="00D1034B">
        <w:rPr>
          <w:sz w:val="24"/>
          <w:szCs w:val="24"/>
        </w:rPr>
        <w:t>: 167-175.</w:t>
      </w:r>
    </w:p>
    <w:p w14:paraId="43F9BC9A" w14:textId="77777777" w:rsidR="009E0540" w:rsidRPr="00D1034B" w:rsidRDefault="009E0540" w:rsidP="009E0540">
      <w:pPr>
        <w:pStyle w:val="EndNoteBibliography"/>
        <w:spacing w:after="0"/>
        <w:ind w:left="720" w:hanging="720"/>
        <w:rPr>
          <w:sz w:val="24"/>
          <w:szCs w:val="24"/>
        </w:rPr>
      </w:pPr>
      <w:r w:rsidRPr="00D1034B">
        <w:rPr>
          <w:b/>
          <w:sz w:val="24"/>
          <w:szCs w:val="24"/>
        </w:rPr>
        <w:t>Chang SM, Hong JP and Cho MJ</w:t>
      </w:r>
      <w:r w:rsidRPr="00D1034B">
        <w:rPr>
          <w:sz w:val="24"/>
          <w:szCs w:val="24"/>
        </w:rPr>
        <w:t xml:space="preserve">. (2012) Economic burden of depression in South Korea. </w:t>
      </w:r>
      <w:r w:rsidRPr="00D1034B">
        <w:rPr>
          <w:i/>
          <w:sz w:val="24"/>
          <w:szCs w:val="24"/>
        </w:rPr>
        <w:t>Social Psychiatry and Psychiatric Epidemiology</w:t>
      </w:r>
      <w:r w:rsidRPr="00D1034B">
        <w:rPr>
          <w:sz w:val="24"/>
          <w:szCs w:val="24"/>
        </w:rPr>
        <w:t xml:space="preserve"> </w:t>
      </w:r>
      <w:r w:rsidRPr="00D1034B">
        <w:rPr>
          <w:b/>
          <w:sz w:val="24"/>
          <w:szCs w:val="24"/>
        </w:rPr>
        <w:t>47</w:t>
      </w:r>
      <w:r w:rsidRPr="00D1034B">
        <w:rPr>
          <w:sz w:val="24"/>
          <w:szCs w:val="24"/>
        </w:rPr>
        <w:t>: 683-689.</w:t>
      </w:r>
    </w:p>
    <w:p w14:paraId="5EC541CD" w14:textId="77777777" w:rsidR="009E0540" w:rsidRPr="00D1034B" w:rsidRDefault="009E0540" w:rsidP="009E0540">
      <w:pPr>
        <w:pStyle w:val="EndNoteBibliography"/>
        <w:spacing w:after="0"/>
        <w:ind w:left="720" w:hanging="720"/>
        <w:rPr>
          <w:sz w:val="24"/>
          <w:szCs w:val="24"/>
        </w:rPr>
      </w:pPr>
      <w:r w:rsidRPr="00D1034B">
        <w:rPr>
          <w:b/>
          <w:sz w:val="24"/>
          <w:szCs w:val="24"/>
        </w:rPr>
        <w:t>Chevreul K, Prigent A, Bourmaud A, Leboyer M and Durand-Zaleski I</w:t>
      </w:r>
      <w:r w:rsidRPr="00D1034B">
        <w:rPr>
          <w:sz w:val="24"/>
          <w:szCs w:val="24"/>
        </w:rPr>
        <w:t xml:space="preserve">. (2013) The cost of mental disorders in France. </w:t>
      </w:r>
      <w:r w:rsidRPr="00D1034B">
        <w:rPr>
          <w:i/>
          <w:sz w:val="24"/>
          <w:szCs w:val="24"/>
        </w:rPr>
        <w:t>European Neuropsychopharmacology</w:t>
      </w:r>
      <w:r w:rsidRPr="00D1034B">
        <w:rPr>
          <w:sz w:val="24"/>
          <w:szCs w:val="24"/>
        </w:rPr>
        <w:t xml:space="preserve"> </w:t>
      </w:r>
      <w:r w:rsidRPr="00D1034B">
        <w:rPr>
          <w:b/>
          <w:sz w:val="24"/>
          <w:szCs w:val="24"/>
        </w:rPr>
        <w:t>23</w:t>
      </w:r>
      <w:r w:rsidRPr="00D1034B">
        <w:rPr>
          <w:sz w:val="24"/>
          <w:szCs w:val="24"/>
        </w:rPr>
        <w:t>: 879-886.</w:t>
      </w:r>
    </w:p>
    <w:p w14:paraId="507A37DA" w14:textId="77777777" w:rsidR="009E0540" w:rsidRPr="00D1034B" w:rsidRDefault="009E0540" w:rsidP="009E0540">
      <w:pPr>
        <w:pStyle w:val="EndNoteBibliography"/>
        <w:spacing w:after="0"/>
        <w:ind w:left="720" w:hanging="720"/>
        <w:rPr>
          <w:sz w:val="24"/>
          <w:szCs w:val="24"/>
        </w:rPr>
      </w:pPr>
      <w:r w:rsidRPr="00D1034B">
        <w:rPr>
          <w:b/>
          <w:sz w:val="24"/>
          <w:szCs w:val="24"/>
        </w:rPr>
        <w:t>Chiavegatto Filho AD, Wang YP, Campino AC, Malik AM, Viana MC and Andrade LH</w:t>
      </w:r>
      <w:r w:rsidRPr="00D1034B">
        <w:rPr>
          <w:sz w:val="24"/>
          <w:szCs w:val="24"/>
        </w:rPr>
        <w:t xml:space="preserve">. (2015) Incremental health expenditure and lost days of normal activity for individuals with mental disorders: results from the São Paulo Megacity Study. </w:t>
      </w:r>
      <w:r w:rsidRPr="00D1034B">
        <w:rPr>
          <w:i/>
          <w:sz w:val="24"/>
          <w:szCs w:val="24"/>
        </w:rPr>
        <w:t>BMC Public Health</w:t>
      </w:r>
      <w:r w:rsidRPr="00D1034B">
        <w:rPr>
          <w:sz w:val="24"/>
          <w:szCs w:val="24"/>
        </w:rPr>
        <w:t xml:space="preserve"> </w:t>
      </w:r>
      <w:r w:rsidRPr="00D1034B">
        <w:rPr>
          <w:b/>
          <w:sz w:val="24"/>
          <w:szCs w:val="24"/>
        </w:rPr>
        <w:t>15</w:t>
      </w:r>
      <w:r w:rsidRPr="00D1034B">
        <w:rPr>
          <w:sz w:val="24"/>
          <w:szCs w:val="24"/>
        </w:rPr>
        <w:t>: 745.</w:t>
      </w:r>
    </w:p>
    <w:p w14:paraId="7BBD92FD" w14:textId="77777777" w:rsidR="009E0540" w:rsidRPr="00D1034B" w:rsidRDefault="009E0540" w:rsidP="009E0540">
      <w:pPr>
        <w:pStyle w:val="EndNoteBibliography"/>
        <w:spacing w:after="0"/>
        <w:ind w:left="720" w:hanging="720"/>
        <w:rPr>
          <w:sz w:val="24"/>
          <w:szCs w:val="24"/>
        </w:rPr>
      </w:pPr>
      <w:r w:rsidRPr="00D1034B">
        <w:rPr>
          <w:b/>
          <w:sz w:val="24"/>
          <w:szCs w:val="24"/>
        </w:rPr>
        <w:t>Chisholm D, Diehr P, Knapp M, Patrick D, Treglia M and Simon G</w:t>
      </w:r>
      <w:r w:rsidRPr="00D1034B">
        <w:rPr>
          <w:sz w:val="24"/>
          <w:szCs w:val="24"/>
        </w:rPr>
        <w:t xml:space="preserve">. (2003) Depression status, medical comorbidity and resource costs: Evidence from an international study of major depression in primary care (LIDO). </w:t>
      </w:r>
      <w:r w:rsidRPr="00D1034B">
        <w:rPr>
          <w:i/>
          <w:sz w:val="24"/>
          <w:szCs w:val="24"/>
        </w:rPr>
        <w:t>The British Journal of Psychiatry</w:t>
      </w:r>
      <w:r w:rsidRPr="00D1034B">
        <w:rPr>
          <w:sz w:val="24"/>
          <w:szCs w:val="24"/>
        </w:rPr>
        <w:t xml:space="preserve"> </w:t>
      </w:r>
      <w:r w:rsidRPr="00D1034B">
        <w:rPr>
          <w:b/>
          <w:sz w:val="24"/>
          <w:szCs w:val="24"/>
        </w:rPr>
        <w:t>183</w:t>
      </w:r>
      <w:r w:rsidRPr="00D1034B">
        <w:rPr>
          <w:sz w:val="24"/>
          <w:szCs w:val="24"/>
        </w:rPr>
        <w:t>: 121-131.</w:t>
      </w:r>
    </w:p>
    <w:p w14:paraId="32BCEA39" w14:textId="77777777" w:rsidR="009E0540" w:rsidRPr="00D1034B" w:rsidRDefault="009E0540" w:rsidP="009E0540">
      <w:pPr>
        <w:pStyle w:val="EndNoteBibliography"/>
        <w:spacing w:after="0"/>
        <w:ind w:left="720" w:hanging="720"/>
        <w:rPr>
          <w:sz w:val="24"/>
          <w:szCs w:val="24"/>
        </w:rPr>
      </w:pPr>
      <w:r w:rsidRPr="00D1034B">
        <w:rPr>
          <w:b/>
          <w:sz w:val="24"/>
          <w:szCs w:val="24"/>
        </w:rPr>
        <w:t>Chiu M, Lebenbaum M, Cheng J, De Oliveira C and Kurdyak P</w:t>
      </w:r>
      <w:r w:rsidRPr="00D1034B">
        <w:rPr>
          <w:sz w:val="24"/>
          <w:szCs w:val="24"/>
        </w:rPr>
        <w:t xml:space="preserve">. (2017) The direct healthcare costs associated with psychological distress and major depression: A population-based cohort study in Ontario, Canada. </w:t>
      </w:r>
      <w:r w:rsidRPr="00D1034B">
        <w:rPr>
          <w:i/>
          <w:sz w:val="24"/>
          <w:szCs w:val="24"/>
        </w:rPr>
        <w:t>PloS One</w:t>
      </w:r>
      <w:r w:rsidRPr="00D1034B">
        <w:rPr>
          <w:sz w:val="24"/>
          <w:szCs w:val="24"/>
        </w:rPr>
        <w:t xml:space="preserve"> </w:t>
      </w:r>
      <w:r w:rsidRPr="00D1034B">
        <w:rPr>
          <w:b/>
          <w:sz w:val="24"/>
          <w:szCs w:val="24"/>
        </w:rPr>
        <w:t>12</w:t>
      </w:r>
      <w:r w:rsidRPr="00D1034B">
        <w:rPr>
          <w:sz w:val="24"/>
          <w:szCs w:val="24"/>
        </w:rPr>
        <w:t>: e0184268.</w:t>
      </w:r>
    </w:p>
    <w:p w14:paraId="14725F5B" w14:textId="77777777" w:rsidR="009E0540" w:rsidRPr="00D1034B" w:rsidRDefault="009E0540" w:rsidP="009E0540">
      <w:pPr>
        <w:pStyle w:val="EndNoteBibliography"/>
        <w:spacing w:after="0"/>
        <w:ind w:left="720" w:hanging="720"/>
        <w:rPr>
          <w:sz w:val="24"/>
          <w:szCs w:val="24"/>
        </w:rPr>
      </w:pPr>
      <w:r w:rsidRPr="00D1034B">
        <w:rPr>
          <w:b/>
          <w:sz w:val="24"/>
          <w:szCs w:val="24"/>
        </w:rPr>
        <w:t>Chollet J, Saragoussi D, Clay E and Francois C</w:t>
      </w:r>
      <w:r w:rsidRPr="00D1034B">
        <w:rPr>
          <w:sz w:val="24"/>
          <w:szCs w:val="24"/>
        </w:rPr>
        <w:t xml:space="preserve">. (2013) A Clinical Research Practice Datalink Analysis of Antidepressant Treatment Patterns and Health Care Costs in Generalized Anxiety Disorder. </w:t>
      </w:r>
      <w:r w:rsidRPr="00D1034B">
        <w:rPr>
          <w:i/>
          <w:sz w:val="24"/>
          <w:szCs w:val="24"/>
        </w:rPr>
        <w:t>Value in Health</w:t>
      </w:r>
      <w:r w:rsidRPr="00D1034B">
        <w:rPr>
          <w:sz w:val="24"/>
          <w:szCs w:val="24"/>
        </w:rPr>
        <w:t xml:space="preserve"> </w:t>
      </w:r>
      <w:r w:rsidRPr="00D1034B">
        <w:rPr>
          <w:b/>
          <w:sz w:val="24"/>
          <w:szCs w:val="24"/>
        </w:rPr>
        <w:t>16</w:t>
      </w:r>
      <w:r w:rsidRPr="00D1034B">
        <w:rPr>
          <w:sz w:val="24"/>
          <w:szCs w:val="24"/>
        </w:rPr>
        <w:t>: 1133-1139.</w:t>
      </w:r>
    </w:p>
    <w:p w14:paraId="02C0E6F3" w14:textId="77777777" w:rsidR="009E0540" w:rsidRPr="00D1034B" w:rsidRDefault="009E0540" w:rsidP="009E0540">
      <w:pPr>
        <w:pStyle w:val="EndNoteBibliography"/>
        <w:spacing w:after="0"/>
        <w:ind w:left="720" w:hanging="720"/>
        <w:rPr>
          <w:sz w:val="24"/>
          <w:szCs w:val="24"/>
        </w:rPr>
      </w:pPr>
      <w:r w:rsidRPr="00D1034B">
        <w:rPr>
          <w:b/>
          <w:sz w:val="24"/>
          <w:szCs w:val="24"/>
        </w:rPr>
        <w:t>Cidav Z, Marcus SC and Mandell DS</w:t>
      </w:r>
      <w:r w:rsidRPr="00D1034B">
        <w:rPr>
          <w:sz w:val="24"/>
          <w:szCs w:val="24"/>
        </w:rPr>
        <w:t xml:space="preserve">. (2012) Implications of childhood autism for parental employment and earnings. </w:t>
      </w:r>
      <w:r w:rsidRPr="00D1034B">
        <w:rPr>
          <w:i/>
          <w:sz w:val="24"/>
          <w:szCs w:val="24"/>
        </w:rPr>
        <w:t>Pediatrics</w:t>
      </w:r>
      <w:r w:rsidRPr="00D1034B">
        <w:rPr>
          <w:sz w:val="24"/>
          <w:szCs w:val="24"/>
        </w:rPr>
        <w:t xml:space="preserve"> </w:t>
      </w:r>
      <w:r w:rsidRPr="00D1034B">
        <w:rPr>
          <w:b/>
          <w:sz w:val="24"/>
          <w:szCs w:val="24"/>
        </w:rPr>
        <w:t>129</w:t>
      </w:r>
      <w:r w:rsidRPr="00D1034B">
        <w:rPr>
          <w:sz w:val="24"/>
          <w:szCs w:val="24"/>
        </w:rPr>
        <w:t>: 617-623.</w:t>
      </w:r>
    </w:p>
    <w:p w14:paraId="3D68B74B" w14:textId="77777777" w:rsidR="009E0540" w:rsidRPr="00D1034B" w:rsidRDefault="009E0540" w:rsidP="009E0540">
      <w:pPr>
        <w:pStyle w:val="EndNoteBibliography"/>
        <w:spacing w:after="0"/>
        <w:ind w:left="720" w:hanging="720"/>
        <w:rPr>
          <w:sz w:val="24"/>
          <w:szCs w:val="24"/>
        </w:rPr>
      </w:pPr>
      <w:r w:rsidRPr="00D1034B">
        <w:rPr>
          <w:b/>
          <w:sz w:val="24"/>
          <w:szCs w:val="24"/>
        </w:rPr>
        <w:t>Cloutier M, Aigbogun MS, Guerin A, Nitulescu R, Ramanakumar AV, Kamat SA, DeLucia M, Duffy R, Legacy SN, Henderson C, Francois C and Wu E</w:t>
      </w:r>
      <w:r w:rsidRPr="00D1034B">
        <w:rPr>
          <w:sz w:val="24"/>
          <w:szCs w:val="24"/>
        </w:rPr>
        <w:t xml:space="preserve">. (2016) The Economic Burden of Schizophrenia in the United States in 2013. </w:t>
      </w:r>
      <w:r w:rsidRPr="00D1034B">
        <w:rPr>
          <w:i/>
          <w:sz w:val="24"/>
          <w:szCs w:val="24"/>
        </w:rPr>
        <w:t>Journal of Clinical Psychiatry</w:t>
      </w:r>
      <w:r w:rsidRPr="00D1034B">
        <w:rPr>
          <w:sz w:val="24"/>
          <w:szCs w:val="24"/>
        </w:rPr>
        <w:t xml:space="preserve"> </w:t>
      </w:r>
      <w:r w:rsidRPr="00D1034B">
        <w:rPr>
          <w:b/>
          <w:sz w:val="24"/>
          <w:szCs w:val="24"/>
        </w:rPr>
        <w:t>77</w:t>
      </w:r>
      <w:r w:rsidRPr="00D1034B">
        <w:rPr>
          <w:sz w:val="24"/>
          <w:szCs w:val="24"/>
        </w:rPr>
        <w:t>: 764-771.</w:t>
      </w:r>
    </w:p>
    <w:p w14:paraId="754C88DE" w14:textId="77777777" w:rsidR="009E0540" w:rsidRPr="00D1034B" w:rsidRDefault="009E0540" w:rsidP="009E0540">
      <w:pPr>
        <w:pStyle w:val="EndNoteBibliography"/>
        <w:spacing w:after="0"/>
        <w:ind w:left="720" w:hanging="720"/>
        <w:rPr>
          <w:sz w:val="24"/>
          <w:szCs w:val="24"/>
        </w:rPr>
      </w:pPr>
      <w:r w:rsidRPr="00D1034B">
        <w:rPr>
          <w:b/>
          <w:sz w:val="24"/>
          <w:szCs w:val="24"/>
        </w:rPr>
        <w:t>Croft-Jeffreys C and Wilkinson G</w:t>
      </w:r>
      <w:r w:rsidRPr="00D1034B">
        <w:rPr>
          <w:sz w:val="24"/>
          <w:szCs w:val="24"/>
        </w:rPr>
        <w:t xml:space="preserve">. (1989) Estimated costs of neurotic disorder in UK general practice 1985. </w:t>
      </w:r>
      <w:r w:rsidRPr="00D1034B">
        <w:rPr>
          <w:i/>
          <w:sz w:val="24"/>
          <w:szCs w:val="24"/>
        </w:rPr>
        <w:t>Psychological Medicine</w:t>
      </w:r>
      <w:r w:rsidRPr="00D1034B">
        <w:rPr>
          <w:sz w:val="24"/>
          <w:szCs w:val="24"/>
        </w:rPr>
        <w:t xml:space="preserve"> </w:t>
      </w:r>
      <w:r w:rsidRPr="00D1034B">
        <w:rPr>
          <w:b/>
          <w:sz w:val="24"/>
          <w:szCs w:val="24"/>
        </w:rPr>
        <w:t>19</w:t>
      </w:r>
      <w:r w:rsidRPr="00D1034B">
        <w:rPr>
          <w:sz w:val="24"/>
          <w:szCs w:val="24"/>
        </w:rPr>
        <w:t>: 549-558.</w:t>
      </w:r>
    </w:p>
    <w:p w14:paraId="142BAE94" w14:textId="77777777" w:rsidR="009E0540" w:rsidRPr="00D1034B" w:rsidRDefault="009E0540" w:rsidP="009E0540">
      <w:pPr>
        <w:pStyle w:val="EndNoteBibliography"/>
        <w:spacing w:after="0"/>
        <w:ind w:left="720" w:hanging="720"/>
        <w:rPr>
          <w:sz w:val="24"/>
          <w:szCs w:val="24"/>
        </w:rPr>
      </w:pPr>
      <w:r w:rsidRPr="00D1034B">
        <w:rPr>
          <w:b/>
          <w:sz w:val="24"/>
          <w:szCs w:val="24"/>
        </w:rPr>
        <w:t>Dams J, König H-H, Bleibler F, Hoyer J, Wiltink J, Beutel ME, Salzer S, Herpertz S, Willutzki U, Strauß B, Leibing E, Leichsenring F and Konnopka A</w:t>
      </w:r>
      <w:r w:rsidRPr="00D1034B">
        <w:rPr>
          <w:sz w:val="24"/>
          <w:szCs w:val="24"/>
        </w:rPr>
        <w:t xml:space="preserve">. (2017) Excess costs of social anxiety disorder in Germany. </w:t>
      </w:r>
      <w:r w:rsidRPr="00D1034B">
        <w:rPr>
          <w:i/>
          <w:sz w:val="24"/>
          <w:szCs w:val="24"/>
        </w:rPr>
        <w:t>Journal of Affective Disorders</w:t>
      </w:r>
      <w:r w:rsidRPr="00D1034B">
        <w:rPr>
          <w:sz w:val="24"/>
          <w:szCs w:val="24"/>
        </w:rPr>
        <w:t xml:space="preserve"> </w:t>
      </w:r>
      <w:r w:rsidRPr="00D1034B">
        <w:rPr>
          <w:b/>
          <w:sz w:val="24"/>
          <w:szCs w:val="24"/>
        </w:rPr>
        <w:t>213</w:t>
      </w:r>
      <w:r w:rsidRPr="00D1034B">
        <w:rPr>
          <w:sz w:val="24"/>
          <w:szCs w:val="24"/>
        </w:rPr>
        <w:t>: 23-29.</w:t>
      </w:r>
    </w:p>
    <w:p w14:paraId="6AD5160A" w14:textId="77777777" w:rsidR="009E0540" w:rsidRPr="00D1034B" w:rsidRDefault="009E0540" w:rsidP="009E0540">
      <w:pPr>
        <w:pStyle w:val="EndNoteBibliography"/>
        <w:spacing w:after="0"/>
        <w:ind w:left="720" w:hanging="720"/>
        <w:rPr>
          <w:sz w:val="24"/>
          <w:szCs w:val="24"/>
        </w:rPr>
      </w:pPr>
      <w:r w:rsidRPr="00D1034B">
        <w:rPr>
          <w:b/>
          <w:sz w:val="24"/>
          <w:szCs w:val="24"/>
        </w:rPr>
        <w:t>Das Gupta R and Guest JF</w:t>
      </w:r>
      <w:r w:rsidRPr="00D1034B">
        <w:rPr>
          <w:sz w:val="24"/>
          <w:szCs w:val="24"/>
        </w:rPr>
        <w:t xml:space="preserve">. (2002) Annual cost of bipolar disorder to UK society. </w:t>
      </w:r>
      <w:r w:rsidRPr="00D1034B">
        <w:rPr>
          <w:i/>
          <w:sz w:val="24"/>
          <w:szCs w:val="24"/>
        </w:rPr>
        <w:t>British Journal of Psychiatry</w:t>
      </w:r>
      <w:r w:rsidRPr="00D1034B">
        <w:rPr>
          <w:sz w:val="24"/>
          <w:szCs w:val="24"/>
        </w:rPr>
        <w:t xml:space="preserve"> </w:t>
      </w:r>
      <w:r w:rsidRPr="00D1034B">
        <w:rPr>
          <w:b/>
          <w:sz w:val="24"/>
          <w:szCs w:val="24"/>
        </w:rPr>
        <w:t>180</w:t>
      </w:r>
      <w:r w:rsidRPr="00D1034B">
        <w:rPr>
          <w:sz w:val="24"/>
          <w:szCs w:val="24"/>
        </w:rPr>
        <w:t>: 227-233.</w:t>
      </w:r>
    </w:p>
    <w:p w14:paraId="0BBB7945" w14:textId="77777777" w:rsidR="009E0540" w:rsidRPr="00D1034B" w:rsidRDefault="009E0540" w:rsidP="009E0540">
      <w:pPr>
        <w:pStyle w:val="EndNoteBibliography"/>
        <w:spacing w:after="0"/>
        <w:ind w:left="720" w:hanging="720"/>
        <w:rPr>
          <w:sz w:val="24"/>
          <w:szCs w:val="24"/>
        </w:rPr>
      </w:pPr>
      <w:r w:rsidRPr="00D1034B">
        <w:rPr>
          <w:b/>
          <w:sz w:val="24"/>
          <w:szCs w:val="24"/>
        </w:rPr>
        <w:lastRenderedPageBreak/>
        <w:t>de Oliveira C, Colton P, Cheng J, Olmsted M and Kurdyak P</w:t>
      </w:r>
      <w:r w:rsidRPr="00D1034B">
        <w:rPr>
          <w:sz w:val="24"/>
          <w:szCs w:val="24"/>
        </w:rPr>
        <w:t xml:space="preserve">. (2017) The direct health care costs of eating disorders among hospitalized patients: A population-based study. </w:t>
      </w:r>
      <w:r w:rsidRPr="00D1034B">
        <w:rPr>
          <w:i/>
          <w:sz w:val="24"/>
          <w:szCs w:val="24"/>
        </w:rPr>
        <w:t>International Journal of Eating Disorders</w:t>
      </w:r>
      <w:r w:rsidRPr="00D1034B">
        <w:rPr>
          <w:sz w:val="24"/>
          <w:szCs w:val="24"/>
        </w:rPr>
        <w:t xml:space="preserve"> </w:t>
      </w:r>
      <w:r w:rsidRPr="00D1034B">
        <w:rPr>
          <w:b/>
          <w:sz w:val="24"/>
          <w:szCs w:val="24"/>
        </w:rPr>
        <w:t>50</w:t>
      </w:r>
      <w:r w:rsidRPr="00D1034B">
        <w:rPr>
          <w:sz w:val="24"/>
          <w:szCs w:val="24"/>
        </w:rPr>
        <w:t>: 1385-1393.</w:t>
      </w:r>
    </w:p>
    <w:p w14:paraId="3227F474" w14:textId="77777777" w:rsidR="009E0540" w:rsidRPr="00D1034B" w:rsidRDefault="009E0540" w:rsidP="009E0540">
      <w:pPr>
        <w:pStyle w:val="EndNoteBibliography"/>
        <w:spacing w:after="0"/>
        <w:ind w:left="720" w:hanging="720"/>
        <w:rPr>
          <w:sz w:val="24"/>
          <w:szCs w:val="24"/>
        </w:rPr>
      </w:pPr>
      <w:r w:rsidRPr="00D1034B">
        <w:rPr>
          <w:b/>
          <w:sz w:val="24"/>
          <w:szCs w:val="24"/>
        </w:rPr>
        <w:t>Degli Esposti L, Sangiorgi D, Mencacci C, Spina E, Pasina C, Alacqua M and la Tour F</w:t>
      </w:r>
      <w:r w:rsidRPr="00D1034B">
        <w:rPr>
          <w:sz w:val="24"/>
          <w:szCs w:val="24"/>
        </w:rPr>
        <w:t xml:space="preserve">. (2014) Pharmaco-utilisation and related costs of drugs used to treat schizophrenia and bipolar disorder in Italy: The IBIS study. </w:t>
      </w:r>
      <w:r w:rsidRPr="00D1034B">
        <w:rPr>
          <w:i/>
          <w:sz w:val="24"/>
          <w:szCs w:val="24"/>
        </w:rPr>
        <w:t>BMC Psychiatry</w:t>
      </w:r>
      <w:r w:rsidRPr="00D1034B">
        <w:rPr>
          <w:sz w:val="24"/>
          <w:szCs w:val="24"/>
        </w:rPr>
        <w:t xml:space="preserve"> </w:t>
      </w:r>
      <w:r w:rsidRPr="00D1034B">
        <w:rPr>
          <w:b/>
          <w:sz w:val="24"/>
          <w:szCs w:val="24"/>
        </w:rPr>
        <w:t>14</w:t>
      </w:r>
      <w:r w:rsidRPr="00D1034B">
        <w:rPr>
          <w:sz w:val="24"/>
          <w:szCs w:val="24"/>
        </w:rPr>
        <w:t>: 9.</w:t>
      </w:r>
    </w:p>
    <w:p w14:paraId="41D9DC4F" w14:textId="77777777" w:rsidR="009E0540" w:rsidRPr="00D1034B" w:rsidRDefault="009E0540" w:rsidP="009E0540">
      <w:pPr>
        <w:pStyle w:val="EndNoteBibliography"/>
        <w:spacing w:after="0"/>
        <w:ind w:left="720" w:hanging="720"/>
        <w:rPr>
          <w:sz w:val="24"/>
          <w:szCs w:val="24"/>
        </w:rPr>
      </w:pPr>
      <w:r w:rsidRPr="00D1034B">
        <w:rPr>
          <w:b/>
          <w:sz w:val="24"/>
          <w:szCs w:val="24"/>
        </w:rPr>
        <w:t>Dilsaver SC</w:t>
      </w:r>
      <w:r w:rsidRPr="00D1034B">
        <w:rPr>
          <w:sz w:val="24"/>
          <w:szCs w:val="24"/>
        </w:rPr>
        <w:t xml:space="preserve">. (2011) An estimate of the minimum economic burden of bipolar I and II disorders in the United States: 2009. </w:t>
      </w:r>
      <w:r w:rsidRPr="00D1034B">
        <w:rPr>
          <w:i/>
          <w:sz w:val="24"/>
          <w:szCs w:val="24"/>
        </w:rPr>
        <w:t>Journal of Affective Disorders</w:t>
      </w:r>
      <w:r w:rsidRPr="00D1034B">
        <w:rPr>
          <w:sz w:val="24"/>
          <w:szCs w:val="24"/>
        </w:rPr>
        <w:t xml:space="preserve"> </w:t>
      </w:r>
      <w:r w:rsidRPr="00D1034B">
        <w:rPr>
          <w:b/>
          <w:sz w:val="24"/>
          <w:szCs w:val="24"/>
        </w:rPr>
        <w:t>129</w:t>
      </w:r>
      <w:r w:rsidRPr="00D1034B">
        <w:rPr>
          <w:sz w:val="24"/>
          <w:szCs w:val="24"/>
        </w:rPr>
        <w:t>: 79-83.</w:t>
      </w:r>
    </w:p>
    <w:p w14:paraId="5DE59831" w14:textId="77777777" w:rsidR="009E0540" w:rsidRPr="00D1034B" w:rsidRDefault="009E0540" w:rsidP="009E0540">
      <w:pPr>
        <w:pStyle w:val="EndNoteBibliography"/>
        <w:spacing w:after="0"/>
        <w:ind w:left="720" w:hanging="720"/>
        <w:rPr>
          <w:sz w:val="24"/>
          <w:szCs w:val="24"/>
        </w:rPr>
      </w:pPr>
      <w:r w:rsidRPr="00D1034B">
        <w:rPr>
          <w:b/>
          <w:sz w:val="24"/>
          <w:szCs w:val="24"/>
        </w:rPr>
        <w:t>DuPont RL, Rice DP, Miller LS, Shiraki SS, Rowland CR and Harwood HJ</w:t>
      </w:r>
      <w:r w:rsidRPr="00D1034B">
        <w:rPr>
          <w:sz w:val="24"/>
          <w:szCs w:val="24"/>
        </w:rPr>
        <w:t xml:space="preserve">. (1996) Economic costs of anxiety disorders. </w:t>
      </w:r>
      <w:r w:rsidRPr="00D1034B">
        <w:rPr>
          <w:i/>
          <w:sz w:val="24"/>
          <w:szCs w:val="24"/>
        </w:rPr>
        <w:t>Anxiety</w:t>
      </w:r>
      <w:r w:rsidRPr="00D1034B">
        <w:rPr>
          <w:sz w:val="24"/>
          <w:szCs w:val="24"/>
        </w:rPr>
        <w:t xml:space="preserve"> </w:t>
      </w:r>
      <w:r w:rsidRPr="00D1034B">
        <w:rPr>
          <w:b/>
          <w:sz w:val="24"/>
          <w:szCs w:val="24"/>
        </w:rPr>
        <w:t>2</w:t>
      </w:r>
      <w:r w:rsidRPr="00D1034B">
        <w:rPr>
          <w:sz w:val="24"/>
          <w:szCs w:val="24"/>
        </w:rPr>
        <w:t>: 167-172.</w:t>
      </w:r>
    </w:p>
    <w:p w14:paraId="4C0C734E" w14:textId="77777777" w:rsidR="009E0540" w:rsidRPr="00D1034B" w:rsidRDefault="009E0540" w:rsidP="009E0540">
      <w:pPr>
        <w:pStyle w:val="EndNoteBibliography"/>
        <w:spacing w:after="0"/>
        <w:ind w:left="720" w:hanging="720"/>
        <w:rPr>
          <w:sz w:val="24"/>
          <w:szCs w:val="24"/>
        </w:rPr>
      </w:pPr>
      <w:r w:rsidRPr="00D1034B">
        <w:rPr>
          <w:b/>
          <w:sz w:val="24"/>
          <w:szCs w:val="24"/>
        </w:rPr>
        <w:t>Ekman M, Granström O, Omérov S, Jacob J and Landén M</w:t>
      </w:r>
      <w:r w:rsidRPr="00D1034B">
        <w:rPr>
          <w:sz w:val="24"/>
          <w:szCs w:val="24"/>
        </w:rPr>
        <w:t xml:space="preserve">. (2013a) The societal cost of bipolar disorder in Sweden. </w:t>
      </w:r>
      <w:r w:rsidRPr="00D1034B">
        <w:rPr>
          <w:i/>
          <w:sz w:val="24"/>
          <w:szCs w:val="24"/>
        </w:rPr>
        <w:t>Social Psychiatry and Psychiatric Epidemiology: The International Journal for Research in Social and Genetic Epidemiology and Mental Health Services</w:t>
      </w:r>
      <w:r w:rsidRPr="00D1034B">
        <w:rPr>
          <w:sz w:val="24"/>
          <w:szCs w:val="24"/>
        </w:rPr>
        <w:t xml:space="preserve"> </w:t>
      </w:r>
      <w:r w:rsidRPr="00D1034B">
        <w:rPr>
          <w:b/>
          <w:sz w:val="24"/>
          <w:szCs w:val="24"/>
        </w:rPr>
        <w:t>48</w:t>
      </w:r>
      <w:r w:rsidRPr="00D1034B">
        <w:rPr>
          <w:sz w:val="24"/>
          <w:szCs w:val="24"/>
        </w:rPr>
        <w:t>: 1601-1610.</w:t>
      </w:r>
    </w:p>
    <w:p w14:paraId="14B05992" w14:textId="77777777" w:rsidR="009E0540" w:rsidRPr="00D1034B" w:rsidRDefault="009E0540" w:rsidP="009E0540">
      <w:pPr>
        <w:pStyle w:val="EndNoteBibliography"/>
        <w:spacing w:after="0"/>
        <w:ind w:left="720" w:hanging="720"/>
        <w:rPr>
          <w:sz w:val="24"/>
          <w:szCs w:val="24"/>
        </w:rPr>
      </w:pPr>
      <w:r w:rsidRPr="00D1034B">
        <w:rPr>
          <w:b/>
          <w:sz w:val="24"/>
          <w:szCs w:val="24"/>
        </w:rPr>
        <w:t>Ekman M, Granström O, Omérov S, Jacob J and Landén M</w:t>
      </w:r>
      <w:r w:rsidRPr="00D1034B">
        <w:rPr>
          <w:sz w:val="24"/>
          <w:szCs w:val="24"/>
        </w:rPr>
        <w:t xml:space="preserve">. (2013b) The societal cost of depression: evidence from 10,000 Swedish patients in psychiatric care. </w:t>
      </w:r>
      <w:r w:rsidRPr="00D1034B">
        <w:rPr>
          <w:i/>
          <w:sz w:val="24"/>
          <w:szCs w:val="24"/>
        </w:rPr>
        <w:t>Journal of Affective Disorders</w:t>
      </w:r>
      <w:r w:rsidRPr="00D1034B">
        <w:rPr>
          <w:sz w:val="24"/>
          <w:szCs w:val="24"/>
        </w:rPr>
        <w:t xml:space="preserve"> </w:t>
      </w:r>
      <w:r w:rsidRPr="00D1034B">
        <w:rPr>
          <w:b/>
          <w:sz w:val="24"/>
          <w:szCs w:val="24"/>
        </w:rPr>
        <w:t>150</w:t>
      </w:r>
      <w:r w:rsidRPr="00D1034B">
        <w:rPr>
          <w:sz w:val="24"/>
          <w:szCs w:val="24"/>
        </w:rPr>
        <w:t>: 790-797.</w:t>
      </w:r>
    </w:p>
    <w:p w14:paraId="4C68EE89" w14:textId="77777777" w:rsidR="009E0540" w:rsidRPr="00D1034B" w:rsidRDefault="009E0540" w:rsidP="009E0540">
      <w:pPr>
        <w:pStyle w:val="EndNoteBibliography"/>
        <w:spacing w:after="0"/>
        <w:ind w:left="720" w:hanging="720"/>
        <w:rPr>
          <w:sz w:val="24"/>
          <w:szCs w:val="24"/>
        </w:rPr>
      </w:pPr>
      <w:r w:rsidRPr="00D1034B">
        <w:rPr>
          <w:b/>
          <w:sz w:val="24"/>
          <w:szCs w:val="24"/>
        </w:rPr>
        <w:t>Evensen S, Wisløff T, Lystad JU, Bull H, Ueland T and Falkum E</w:t>
      </w:r>
      <w:r w:rsidRPr="00D1034B">
        <w:rPr>
          <w:sz w:val="24"/>
          <w:szCs w:val="24"/>
        </w:rPr>
        <w:t xml:space="preserve">. (2015) Prevalence, employment rate, and cost of schizophrenia in a high-income welfare society: a population-based study using comprehensive health and welfare registers. </w:t>
      </w:r>
      <w:r w:rsidRPr="00D1034B">
        <w:rPr>
          <w:i/>
          <w:sz w:val="24"/>
          <w:szCs w:val="24"/>
        </w:rPr>
        <w:t>Schizophrenia Bulletin</w:t>
      </w:r>
      <w:r w:rsidRPr="00D1034B">
        <w:rPr>
          <w:sz w:val="24"/>
          <w:szCs w:val="24"/>
        </w:rPr>
        <w:t xml:space="preserve"> </w:t>
      </w:r>
      <w:r w:rsidRPr="00D1034B">
        <w:rPr>
          <w:b/>
          <w:sz w:val="24"/>
          <w:szCs w:val="24"/>
        </w:rPr>
        <w:t>42</w:t>
      </w:r>
      <w:r w:rsidRPr="00D1034B">
        <w:rPr>
          <w:sz w:val="24"/>
          <w:szCs w:val="24"/>
        </w:rPr>
        <w:t>: 476-483.</w:t>
      </w:r>
    </w:p>
    <w:p w14:paraId="7093D5F5" w14:textId="77777777" w:rsidR="009E0540" w:rsidRPr="00D1034B" w:rsidRDefault="009E0540" w:rsidP="009E0540">
      <w:pPr>
        <w:pStyle w:val="EndNoteBibliography"/>
        <w:spacing w:after="0"/>
        <w:ind w:left="720" w:hanging="720"/>
        <w:rPr>
          <w:sz w:val="24"/>
          <w:szCs w:val="24"/>
        </w:rPr>
      </w:pPr>
      <w:r w:rsidRPr="00D1034B">
        <w:rPr>
          <w:b/>
          <w:sz w:val="24"/>
          <w:szCs w:val="24"/>
        </w:rPr>
        <w:t>Ewest F, Reinhold T, Vloet TD, Wenning V and Bachmann CJ</w:t>
      </w:r>
      <w:r w:rsidRPr="00D1034B">
        <w:rPr>
          <w:sz w:val="24"/>
          <w:szCs w:val="24"/>
        </w:rPr>
        <w:t xml:space="preserve">. </w:t>
      </w:r>
      <w:r w:rsidRPr="00D1034B">
        <w:rPr>
          <w:sz w:val="24"/>
          <w:szCs w:val="24"/>
          <w:lang w:val="da-DK"/>
        </w:rPr>
        <w:t xml:space="preserve">(2013) Durch Jugendliche mit Störungen des Sozialverhaltens ausgelöste Krankenkassenausgaben: Eine gesundheitsökonomische Analyse von Versichertendaten einer gesetzlichen Krankenkasse. </w:t>
      </w:r>
      <w:r w:rsidRPr="00D1034B">
        <w:rPr>
          <w:i/>
          <w:sz w:val="24"/>
          <w:szCs w:val="24"/>
        </w:rPr>
        <w:t>Kindheit und Entwicklung: Zeitschrift für Klinische Kinderpsychologie</w:t>
      </w:r>
      <w:r w:rsidRPr="00D1034B">
        <w:rPr>
          <w:sz w:val="24"/>
          <w:szCs w:val="24"/>
        </w:rPr>
        <w:t xml:space="preserve"> </w:t>
      </w:r>
      <w:r w:rsidRPr="00D1034B">
        <w:rPr>
          <w:b/>
          <w:sz w:val="24"/>
          <w:szCs w:val="24"/>
        </w:rPr>
        <w:t>22</w:t>
      </w:r>
      <w:r w:rsidRPr="00D1034B">
        <w:rPr>
          <w:sz w:val="24"/>
          <w:szCs w:val="24"/>
        </w:rPr>
        <w:t>: 41-47.</w:t>
      </w:r>
    </w:p>
    <w:p w14:paraId="72841030" w14:textId="77777777" w:rsidR="009E0540" w:rsidRPr="00D1034B" w:rsidRDefault="009E0540" w:rsidP="009E0540">
      <w:pPr>
        <w:pStyle w:val="EndNoteBibliography"/>
        <w:spacing w:after="0"/>
        <w:ind w:left="720" w:hanging="720"/>
        <w:rPr>
          <w:sz w:val="24"/>
          <w:szCs w:val="24"/>
        </w:rPr>
      </w:pPr>
      <w:r w:rsidRPr="00D1034B">
        <w:rPr>
          <w:b/>
          <w:sz w:val="24"/>
          <w:szCs w:val="24"/>
        </w:rPr>
        <w:t>Ferry FR, Brady SE, Bunting BP, Murphy SD, Bolton D and O'Neill SM</w:t>
      </w:r>
      <w:r w:rsidRPr="00D1034B">
        <w:rPr>
          <w:sz w:val="24"/>
          <w:szCs w:val="24"/>
        </w:rPr>
        <w:t xml:space="preserve">. (2015) The Economic Burden of PTSD in Northern Ireland. </w:t>
      </w:r>
      <w:r w:rsidRPr="00D1034B">
        <w:rPr>
          <w:i/>
          <w:sz w:val="24"/>
          <w:szCs w:val="24"/>
        </w:rPr>
        <w:t>Journal of Traumatic Stress</w:t>
      </w:r>
      <w:r w:rsidRPr="00D1034B">
        <w:rPr>
          <w:sz w:val="24"/>
          <w:szCs w:val="24"/>
        </w:rPr>
        <w:t xml:space="preserve"> </w:t>
      </w:r>
      <w:r w:rsidRPr="00D1034B">
        <w:rPr>
          <w:b/>
          <w:sz w:val="24"/>
          <w:szCs w:val="24"/>
        </w:rPr>
        <w:t>28</w:t>
      </w:r>
      <w:r w:rsidRPr="00D1034B">
        <w:rPr>
          <w:sz w:val="24"/>
          <w:szCs w:val="24"/>
        </w:rPr>
        <w:t>: 191-197.</w:t>
      </w:r>
    </w:p>
    <w:p w14:paraId="4F6DE8C3" w14:textId="77777777" w:rsidR="009E0540" w:rsidRPr="00D1034B" w:rsidRDefault="009E0540" w:rsidP="009E0540">
      <w:pPr>
        <w:pStyle w:val="EndNoteBibliography"/>
        <w:spacing w:after="0"/>
        <w:ind w:left="720" w:hanging="720"/>
        <w:rPr>
          <w:sz w:val="24"/>
          <w:szCs w:val="24"/>
        </w:rPr>
      </w:pPr>
      <w:r w:rsidRPr="00D1034B">
        <w:rPr>
          <w:b/>
          <w:sz w:val="24"/>
          <w:szCs w:val="24"/>
        </w:rPr>
        <w:t>Fineberg NA, Haddad PM, Carpenter L, Gannon B, Sharpe R, Young AH, Joyce E, Rowe J, Wellsted D and Nutt DJ</w:t>
      </w:r>
      <w:r w:rsidRPr="00D1034B">
        <w:rPr>
          <w:sz w:val="24"/>
          <w:szCs w:val="24"/>
        </w:rPr>
        <w:t xml:space="preserve">. (2013) The size, burden and cost of disorders of the brain in the UK. </w:t>
      </w:r>
      <w:r w:rsidRPr="00D1034B">
        <w:rPr>
          <w:i/>
          <w:sz w:val="24"/>
          <w:szCs w:val="24"/>
        </w:rPr>
        <w:t>Journal of Psychopharmacology</w:t>
      </w:r>
      <w:r w:rsidRPr="00D1034B">
        <w:rPr>
          <w:sz w:val="24"/>
          <w:szCs w:val="24"/>
        </w:rPr>
        <w:t xml:space="preserve"> </w:t>
      </w:r>
      <w:r w:rsidRPr="00D1034B">
        <w:rPr>
          <w:b/>
          <w:sz w:val="24"/>
          <w:szCs w:val="24"/>
        </w:rPr>
        <w:t>27</w:t>
      </w:r>
      <w:r w:rsidRPr="00D1034B">
        <w:rPr>
          <w:sz w:val="24"/>
          <w:szCs w:val="24"/>
        </w:rPr>
        <w:t>: 761-770.</w:t>
      </w:r>
    </w:p>
    <w:p w14:paraId="46876D43" w14:textId="77777777" w:rsidR="009E0540" w:rsidRPr="00D1034B" w:rsidRDefault="009E0540" w:rsidP="009E0540">
      <w:pPr>
        <w:pStyle w:val="EndNoteBibliography"/>
        <w:spacing w:after="0"/>
        <w:ind w:left="720" w:hanging="720"/>
        <w:rPr>
          <w:sz w:val="24"/>
          <w:szCs w:val="24"/>
        </w:rPr>
      </w:pPr>
      <w:r w:rsidRPr="00D1034B">
        <w:rPr>
          <w:b/>
          <w:sz w:val="24"/>
          <w:szCs w:val="24"/>
        </w:rPr>
        <w:t>Fisher LJ, Goldney RD, Dal Grande E, Taylor AW and Hawthorne G</w:t>
      </w:r>
      <w:r w:rsidRPr="00D1034B">
        <w:rPr>
          <w:sz w:val="24"/>
          <w:szCs w:val="24"/>
        </w:rPr>
        <w:t xml:space="preserve">. (2007) Bipolar disorders in Australia: A population-based study of excess costs. </w:t>
      </w:r>
      <w:r w:rsidRPr="00D1034B">
        <w:rPr>
          <w:i/>
          <w:sz w:val="24"/>
          <w:szCs w:val="24"/>
        </w:rPr>
        <w:t>Social Psychiatry and Psychiatric Epidemiology: The International Journal for Research in Social and Genetic Epidemiology and Mental Health Services</w:t>
      </w:r>
      <w:r w:rsidRPr="00D1034B">
        <w:rPr>
          <w:sz w:val="24"/>
          <w:szCs w:val="24"/>
        </w:rPr>
        <w:t xml:space="preserve"> </w:t>
      </w:r>
      <w:r w:rsidRPr="00D1034B">
        <w:rPr>
          <w:b/>
          <w:sz w:val="24"/>
          <w:szCs w:val="24"/>
        </w:rPr>
        <w:t>42</w:t>
      </w:r>
      <w:r w:rsidRPr="00D1034B">
        <w:rPr>
          <w:sz w:val="24"/>
          <w:szCs w:val="24"/>
        </w:rPr>
        <w:t>: 105-109.</w:t>
      </w:r>
    </w:p>
    <w:p w14:paraId="547776CF" w14:textId="77777777" w:rsidR="009E0540" w:rsidRPr="00D1034B" w:rsidRDefault="009E0540" w:rsidP="009E0540">
      <w:pPr>
        <w:pStyle w:val="EndNoteBibliography"/>
        <w:spacing w:after="0"/>
        <w:ind w:left="720" w:hanging="720"/>
        <w:rPr>
          <w:sz w:val="24"/>
          <w:szCs w:val="24"/>
        </w:rPr>
      </w:pPr>
      <w:r w:rsidRPr="00D1034B">
        <w:rPr>
          <w:b/>
          <w:sz w:val="24"/>
          <w:szCs w:val="24"/>
        </w:rPr>
        <w:t>Fitzgerald PB, Montgomery W, de Castella AR, Filia KM, Filia SL, Christova L, Jackson D and Kulkarni J</w:t>
      </w:r>
      <w:r w:rsidRPr="00D1034B">
        <w:rPr>
          <w:sz w:val="24"/>
          <w:szCs w:val="24"/>
        </w:rPr>
        <w:t xml:space="preserve">. (2007) Australian schizophrenia care and assessment programme: Real-world schizophrenia: Economics. </w:t>
      </w:r>
      <w:r w:rsidRPr="00D1034B">
        <w:rPr>
          <w:i/>
          <w:sz w:val="24"/>
          <w:szCs w:val="24"/>
        </w:rPr>
        <w:t>Australian and New Zealand Journal of Psychiatry</w:t>
      </w:r>
      <w:r w:rsidRPr="00D1034B">
        <w:rPr>
          <w:sz w:val="24"/>
          <w:szCs w:val="24"/>
        </w:rPr>
        <w:t xml:space="preserve"> </w:t>
      </w:r>
      <w:r w:rsidRPr="00D1034B">
        <w:rPr>
          <w:b/>
          <w:sz w:val="24"/>
          <w:szCs w:val="24"/>
        </w:rPr>
        <w:t>41</w:t>
      </w:r>
      <w:r w:rsidRPr="00D1034B">
        <w:rPr>
          <w:sz w:val="24"/>
          <w:szCs w:val="24"/>
        </w:rPr>
        <w:t>: 819-829.</w:t>
      </w:r>
    </w:p>
    <w:p w14:paraId="0615CA61" w14:textId="77777777" w:rsidR="009E0540" w:rsidRPr="00D1034B" w:rsidRDefault="009E0540" w:rsidP="009E0540">
      <w:pPr>
        <w:pStyle w:val="EndNoteBibliography"/>
        <w:spacing w:after="0"/>
        <w:ind w:left="720" w:hanging="720"/>
        <w:rPr>
          <w:sz w:val="24"/>
          <w:szCs w:val="24"/>
        </w:rPr>
      </w:pPr>
      <w:r w:rsidRPr="00D1034B">
        <w:rPr>
          <w:b/>
          <w:sz w:val="24"/>
          <w:szCs w:val="24"/>
        </w:rPr>
        <w:t>Florence C, Luo F, Xu L and Zhou C</w:t>
      </w:r>
      <w:r w:rsidRPr="00D1034B">
        <w:rPr>
          <w:sz w:val="24"/>
          <w:szCs w:val="24"/>
        </w:rPr>
        <w:t xml:space="preserve">. (2016) The economic burden of prescription opioid overdose, abuse and dependence in the United States, 2013. </w:t>
      </w:r>
      <w:r w:rsidRPr="00D1034B">
        <w:rPr>
          <w:i/>
          <w:sz w:val="24"/>
          <w:szCs w:val="24"/>
        </w:rPr>
        <w:t>Medical Care</w:t>
      </w:r>
      <w:r w:rsidRPr="00D1034B">
        <w:rPr>
          <w:sz w:val="24"/>
          <w:szCs w:val="24"/>
        </w:rPr>
        <w:t xml:space="preserve"> </w:t>
      </w:r>
      <w:r w:rsidRPr="00D1034B">
        <w:rPr>
          <w:b/>
          <w:sz w:val="24"/>
          <w:szCs w:val="24"/>
        </w:rPr>
        <w:t>54</w:t>
      </w:r>
      <w:r w:rsidRPr="00D1034B">
        <w:rPr>
          <w:sz w:val="24"/>
          <w:szCs w:val="24"/>
        </w:rPr>
        <w:t>: 901-906.</w:t>
      </w:r>
    </w:p>
    <w:p w14:paraId="0D01A34A" w14:textId="77777777" w:rsidR="009E0540" w:rsidRPr="00D1034B" w:rsidRDefault="009E0540" w:rsidP="009E0540">
      <w:pPr>
        <w:pStyle w:val="EndNoteBibliography"/>
        <w:spacing w:after="0"/>
        <w:ind w:left="720" w:hanging="720"/>
        <w:rPr>
          <w:sz w:val="24"/>
          <w:szCs w:val="24"/>
        </w:rPr>
      </w:pPr>
      <w:r w:rsidRPr="00D1034B">
        <w:rPr>
          <w:b/>
          <w:sz w:val="24"/>
          <w:szCs w:val="24"/>
        </w:rPr>
        <w:t>Frey S</w:t>
      </w:r>
      <w:r w:rsidRPr="00D1034B">
        <w:rPr>
          <w:sz w:val="24"/>
          <w:szCs w:val="24"/>
        </w:rPr>
        <w:t xml:space="preserve">. (2014) The economic burden of schizophrenia in Germany: A population-based retrospective cohort study using genetic matching. </w:t>
      </w:r>
      <w:r w:rsidRPr="00D1034B">
        <w:rPr>
          <w:i/>
          <w:sz w:val="24"/>
          <w:szCs w:val="24"/>
        </w:rPr>
        <w:t>European Psychiatry</w:t>
      </w:r>
      <w:r w:rsidRPr="00D1034B">
        <w:rPr>
          <w:sz w:val="24"/>
          <w:szCs w:val="24"/>
        </w:rPr>
        <w:t xml:space="preserve"> </w:t>
      </w:r>
      <w:r w:rsidRPr="00D1034B">
        <w:rPr>
          <w:b/>
          <w:sz w:val="24"/>
          <w:szCs w:val="24"/>
        </w:rPr>
        <w:t>29</w:t>
      </w:r>
      <w:r w:rsidRPr="00D1034B">
        <w:rPr>
          <w:sz w:val="24"/>
          <w:szCs w:val="24"/>
        </w:rPr>
        <w:t>: 479-489.</w:t>
      </w:r>
    </w:p>
    <w:p w14:paraId="12E1FC44" w14:textId="77777777" w:rsidR="009E0540" w:rsidRPr="00D1034B" w:rsidRDefault="009E0540" w:rsidP="009E0540">
      <w:pPr>
        <w:pStyle w:val="EndNoteBibliography"/>
        <w:spacing w:after="0"/>
        <w:ind w:left="720" w:hanging="720"/>
        <w:rPr>
          <w:sz w:val="24"/>
          <w:szCs w:val="24"/>
        </w:rPr>
      </w:pPr>
      <w:r w:rsidRPr="00D1034B">
        <w:rPr>
          <w:b/>
          <w:sz w:val="24"/>
          <w:szCs w:val="24"/>
        </w:rPr>
        <w:t>Ganz ML</w:t>
      </w:r>
      <w:r w:rsidRPr="00D1034B">
        <w:rPr>
          <w:sz w:val="24"/>
          <w:szCs w:val="24"/>
        </w:rPr>
        <w:t xml:space="preserve">. (2007) The lifetime distribution of the incremental societal costs of autism. </w:t>
      </w:r>
      <w:r w:rsidRPr="00D1034B">
        <w:rPr>
          <w:i/>
          <w:sz w:val="24"/>
          <w:szCs w:val="24"/>
        </w:rPr>
        <w:t>Archives of Pediatrics and Adolescent Medicine</w:t>
      </w:r>
      <w:r w:rsidRPr="00D1034B">
        <w:rPr>
          <w:sz w:val="24"/>
          <w:szCs w:val="24"/>
        </w:rPr>
        <w:t xml:space="preserve"> </w:t>
      </w:r>
      <w:r w:rsidRPr="00D1034B">
        <w:rPr>
          <w:b/>
          <w:sz w:val="24"/>
          <w:szCs w:val="24"/>
        </w:rPr>
        <w:t>161</w:t>
      </w:r>
      <w:r w:rsidRPr="00D1034B">
        <w:rPr>
          <w:sz w:val="24"/>
          <w:szCs w:val="24"/>
        </w:rPr>
        <w:t>: 343-349.</w:t>
      </w:r>
    </w:p>
    <w:p w14:paraId="029780E4" w14:textId="77777777" w:rsidR="009E0540" w:rsidRPr="00D1034B" w:rsidRDefault="009E0540" w:rsidP="009E0540">
      <w:pPr>
        <w:pStyle w:val="EndNoteBibliography"/>
        <w:spacing w:after="0"/>
        <w:ind w:left="720" w:hanging="720"/>
        <w:rPr>
          <w:sz w:val="24"/>
          <w:szCs w:val="24"/>
        </w:rPr>
      </w:pPr>
      <w:r w:rsidRPr="00D1034B">
        <w:rPr>
          <w:b/>
          <w:sz w:val="24"/>
          <w:szCs w:val="24"/>
        </w:rPr>
        <w:lastRenderedPageBreak/>
        <w:t>Gerhardt H, Heinzel-Gutenbrunner M and Bachmann CJ</w:t>
      </w:r>
      <w:r w:rsidRPr="00D1034B">
        <w:rPr>
          <w:sz w:val="24"/>
          <w:szCs w:val="24"/>
        </w:rPr>
        <w:t xml:space="preserve">. (2018) Differences in healthcare costs in youths with conduct disorders in rural vs. urban regions: an analysis of German health insurance data. </w:t>
      </w:r>
      <w:r w:rsidRPr="00D1034B">
        <w:rPr>
          <w:i/>
          <w:sz w:val="24"/>
          <w:szCs w:val="24"/>
        </w:rPr>
        <w:t>BMC Health Services Research</w:t>
      </w:r>
      <w:r w:rsidRPr="00D1034B">
        <w:rPr>
          <w:sz w:val="24"/>
          <w:szCs w:val="24"/>
        </w:rPr>
        <w:t xml:space="preserve"> </w:t>
      </w:r>
      <w:r w:rsidRPr="00D1034B">
        <w:rPr>
          <w:b/>
          <w:sz w:val="24"/>
          <w:szCs w:val="24"/>
        </w:rPr>
        <w:t>18</w:t>
      </w:r>
      <w:r w:rsidRPr="00D1034B">
        <w:rPr>
          <w:sz w:val="24"/>
          <w:szCs w:val="24"/>
        </w:rPr>
        <w:t>: 714.</w:t>
      </w:r>
    </w:p>
    <w:p w14:paraId="0938698C" w14:textId="77777777" w:rsidR="009E0540" w:rsidRPr="00D1034B" w:rsidRDefault="009E0540" w:rsidP="009E0540">
      <w:pPr>
        <w:pStyle w:val="EndNoteBibliography"/>
        <w:spacing w:after="0"/>
        <w:ind w:left="720" w:hanging="720"/>
        <w:rPr>
          <w:sz w:val="24"/>
          <w:szCs w:val="24"/>
        </w:rPr>
      </w:pPr>
      <w:r w:rsidRPr="00D1034B">
        <w:rPr>
          <w:b/>
          <w:sz w:val="24"/>
          <w:szCs w:val="24"/>
        </w:rPr>
        <w:t>Greenberg PE, Kessler RC, Birnbaum HG, Leong SA, Lowe SW, Berglund PA and Corey-Lisle PK</w:t>
      </w:r>
      <w:r w:rsidRPr="00D1034B">
        <w:rPr>
          <w:sz w:val="24"/>
          <w:szCs w:val="24"/>
        </w:rPr>
        <w:t xml:space="preserve">. (2003) The economic burden of depression in the United States: How did it change between 1990 and 2000? </w:t>
      </w:r>
      <w:r w:rsidRPr="00D1034B">
        <w:rPr>
          <w:i/>
          <w:sz w:val="24"/>
          <w:szCs w:val="24"/>
        </w:rPr>
        <w:t>Journal of Clinical Psychiatry</w:t>
      </w:r>
      <w:r w:rsidRPr="00D1034B">
        <w:rPr>
          <w:sz w:val="24"/>
          <w:szCs w:val="24"/>
        </w:rPr>
        <w:t xml:space="preserve"> </w:t>
      </w:r>
      <w:r w:rsidRPr="00D1034B">
        <w:rPr>
          <w:b/>
          <w:sz w:val="24"/>
          <w:szCs w:val="24"/>
        </w:rPr>
        <w:t>64</w:t>
      </w:r>
      <w:r w:rsidRPr="00D1034B">
        <w:rPr>
          <w:sz w:val="24"/>
          <w:szCs w:val="24"/>
        </w:rPr>
        <w:t>: 1465-1475.</w:t>
      </w:r>
    </w:p>
    <w:p w14:paraId="5435D49C" w14:textId="77777777" w:rsidR="009E0540" w:rsidRPr="00D1034B" w:rsidRDefault="009E0540" w:rsidP="009E0540">
      <w:pPr>
        <w:pStyle w:val="EndNoteBibliography"/>
        <w:spacing w:after="0"/>
        <w:ind w:left="720" w:hanging="720"/>
        <w:rPr>
          <w:sz w:val="24"/>
          <w:szCs w:val="24"/>
        </w:rPr>
      </w:pPr>
      <w:r w:rsidRPr="00D1034B">
        <w:rPr>
          <w:b/>
          <w:sz w:val="24"/>
          <w:szCs w:val="24"/>
        </w:rPr>
        <w:t>Greenberg PE, Sisitsky T, Kessler RC, Finkelstein SN, Berndt ER, Davidson JRT, Ballenger JC and Fyer AJ</w:t>
      </w:r>
      <w:r w:rsidRPr="00D1034B">
        <w:rPr>
          <w:sz w:val="24"/>
          <w:szCs w:val="24"/>
        </w:rPr>
        <w:t xml:space="preserve">. (1999) The economic burden of anxiety disorders in the 1990s. </w:t>
      </w:r>
      <w:r w:rsidRPr="00D1034B">
        <w:rPr>
          <w:i/>
          <w:sz w:val="24"/>
          <w:szCs w:val="24"/>
        </w:rPr>
        <w:t>Journal of Clinical Psychiatry</w:t>
      </w:r>
      <w:r w:rsidRPr="00D1034B">
        <w:rPr>
          <w:sz w:val="24"/>
          <w:szCs w:val="24"/>
        </w:rPr>
        <w:t xml:space="preserve"> </w:t>
      </w:r>
      <w:r w:rsidRPr="00D1034B">
        <w:rPr>
          <w:b/>
          <w:sz w:val="24"/>
          <w:szCs w:val="24"/>
        </w:rPr>
        <w:t>60</w:t>
      </w:r>
      <w:r w:rsidRPr="00D1034B">
        <w:rPr>
          <w:sz w:val="24"/>
          <w:szCs w:val="24"/>
        </w:rPr>
        <w:t>: 427-435.</w:t>
      </w:r>
    </w:p>
    <w:p w14:paraId="302A50B6" w14:textId="77777777" w:rsidR="009E0540" w:rsidRPr="00D1034B" w:rsidRDefault="009E0540" w:rsidP="009E0540">
      <w:pPr>
        <w:pStyle w:val="EndNoteBibliography"/>
        <w:spacing w:after="0"/>
        <w:ind w:left="720" w:hanging="720"/>
        <w:rPr>
          <w:sz w:val="24"/>
          <w:szCs w:val="24"/>
        </w:rPr>
      </w:pPr>
      <w:r w:rsidRPr="00D1034B">
        <w:rPr>
          <w:b/>
          <w:sz w:val="24"/>
          <w:szCs w:val="24"/>
        </w:rPr>
        <w:t>Guest JF and Cookson RF</w:t>
      </w:r>
      <w:r w:rsidRPr="00D1034B">
        <w:rPr>
          <w:sz w:val="24"/>
          <w:szCs w:val="24"/>
        </w:rPr>
        <w:t xml:space="preserve">. (1999) Cost of schizophrenia to UK society - An incidence-based cost-of-illness model for the first 5 years following diagnosis. </w:t>
      </w:r>
      <w:r w:rsidRPr="00D1034B">
        <w:rPr>
          <w:i/>
          <w:sz w:val="24"/>
          <w:szCs w:val="24"/>
        </w:rPr>
        <w:t>Pharmacoeconomics</w:t>
      </w:r>
      <w:r w:rsidRPr="00D1034B">
        <w:rPr>
          <w:sz w:val="24"/>
          <w:szCs w:val="24"/>
        </w:rPr>
        <w:t xml:space="preserve"> </w:t>
      </w:r>
      <w:r w:rsidRPr="00D1034B">
        <w:rPr>
          <w:b/>
          <w:sz w:val="24"/>
          <w:szCs w:val="24"/>
        </w:rPr>
        <w:t>15</w:t>
      </w:r>
      <w:r w:rsidRPr="00D1034B">
        <w:rPr>
          <w:sz w:val="24"/>
          <w:szCs w:val="24"/>
        </w:rPr>
        <w:t>: 597-610.</w:t>
      </w:r>
    </w:p>
    <w:p w14:paraId="62671DD2" w14:textId="77777777" w:rsidR="009E0540" w:rsidRPr="00D1034B" w:rsidRDefault="009E0540" w:rsidP="009E0540">
      <w:pPr>
        <w:pStyle w:val="EndNoteBibliography"/>
        <w:spacing w:after="0"/>
        <w:ind w:left="720" w:hanging="720"/>
        <w:rPr>
          <w:sz w:val="24"/>
          <w:szCs w:val="24"/>
        </w:rPr>
      </w:pPr>
      <w:r w:rsidRPr="00D1034B">
        <w:rPr>
          <w:b/>
          <w:sz w:val="24"/>
          <w:szCs w:val="24"/>
        </w:rPr>
        <w:t>Gupte-Singh K, Singh RR and Lawson KA</w:t>
      </w:r>
      <w:r w:rsidRPr="00D1034B">
        <w:rPr>
          <w:sz w:val="24"/>
          <w:szCs w:val="24"/>
        </w:rPr>
        <w:t xml:space="preserve">. (2017) Economic Burden of Attention-Deficit/Hyperactivity Disorder among Pediatric Patients in the United States. </w:t>
      </w:r>
      <w:r w:rsidRPr="00D1034B">
        <w:rPr>
          <w:i/>
          <w:sz w:val="24"/>
          <w:szCs w:val="24"/>
        </w:rPr>
        <w:t>Value in Health</w:t>
      </w:r>
      <w:r w:rsidRPr="00D1034B">
        <w:rPr>
          <w:sz w:val="24"/>
          <w:szCs w:val="24"/>
        </w:rPr>
        <w:t xml:space="preserve"> </w:t>
      </w:r>
      <w:r w:rsidRPr="00D1034B">
        <w:rPr>
          <w:b/>
          <w:sz w:val="24"/>
          <w:szCs w:val="24"/>
        </w:rPr>
        <w:t>20</w:t>
      </w:r>
      <w:r w:rsidRPr="00D1034B">
        <w:rPr>
          <w:sz w:val="24"/>
          <w:szCs w:val="24"/>
        </w:rPr>
        <w:t>: 602-609.</w:t>
      </w:r>
    </w:p>
    <w:p w14:paraId="28EFFAF9" w14:textId="77777777" w:rsidR="009E0540" w:rsidRPr="00D1034B" w:rsidRDefault="009E0540" w:rsidP="009E0540">
      <w:pPr>
        <w:pStyle w:val="EndNoteBibliography"/>
        <w:spacing w:after="0"/>
        <w:ind w:left="720" w:hanging="720"/>
        <w:rPr>
          <w:sz w:val="24"/>
          <w:szCs w:val="24"/>
        </w:rPr>
      </w:pPr>
      <w:r w:rsidRPr="00D1034B">
        <w:rPr>
          <w:b/>
          <w:sz w:val="24"/>
          <w:szCs w:val="24"/>
        </w:rPr>
        <w:t>Gustavsson A, Svensson M, Jacobi F, Allgulander C, Alonso J, Beghi E, Dodel R, Ekman M, Faravelli C, Fratiglioni L, Gannon B, Jones DH, Jennum P, Jordanova A, Jonsson L, Karampampa K, Knapp M, Kobelt G, Kurth T, Lieb R, Linde M, Ljungcrantz C, Maercker A, Melin B, Moscarelli M, Musayev A, Norwood F, Preisig M, Pugliatti M, Rehm J, Salvador-Carulla L, Schlehofer B, Simon R, Steinhausen HC, Stovner LJ, Vallat JM, Van den Bergh P, van Os J, Vos P, Xu W, Wittchen HU, Jonsson B, Olesen J and Group CD</w:t>
      </w:r>
      <w:r w:rsidRPr="00D1034B">
        <w:rPr>
          <w:sz w:val="24"/>
          <w:szCs w:val="24"/>
        </w:rPr>
        <w:t xml:space="preserve">. (2011) Cost of disorders of the brain in Europe 2010. </w:t>
      </w:r>
      <w:r w:rsidRPr="00D1034B">
        <w:rPr>
          <w:i/>
          <w:sz w:val="24"/>
          <w:szCs w:val="24"/>
        </w:rPr>
        <w:t>European Neuropsychopharmacology</w:t>
      </w:r>
      <w:r w:rsidRPr="00D1034B">
        <w:rPr>
          <w:sz w:val="24"/>
          <w:szCs w:val="24"/>
        </w:rPr>
        <w:t xml:space="preserve"> </w:t>
      </w:r>
      <w:r w:rsidRPr="00D1034B">
        <w:rPr>
          <w:b/>
          <w:sz w:val="24"/>
          <w:szCs w:val="24"/>
        </w:rPr>
        <w:t>21</w:t>
      </w:r>
      <w:r w:rsidRPr="00D1034B">
        <w:rPr>
          <w:sz w:val="24"/>
          <w:szCs w:val="24"/>
        </w:rPr>
        <w:t>: 718-779.</w:t>
      </w:r>
    </w:p>
    <w:p w14:paraId="197BFBB3" w14:textId="77777777" w:rsidR="009E0540" w:rsidRPr="00D1034B" w:rsidRDefault="009E0540" w:rsidP="009E0540">
      <w:pPr>
        <w:pStyle w:val="EndNoteBibliography"/>
        <w:spacing w:after="0"/>
        <w:ind w:left="720" w:hanging="720"/>
        <w:rPr>
          <w:sz w:val="24"/>
          <w:szCs w:val="24"/>
        </w:rPr>
      </w:pPr>
      <w:r w:rsidRPr="00D1034B">
        <w:rPr>
          <w:b/>
          <w:sz w:val="24"/>
          <w:szCs w:val="24"/>
        </w:rPr>
        <w:t>Hakkaart-van Roijen L, Zwirs BWC, Bouwmans C, Tan SS, Schulpen TWJ, Vlasveld L and Buitelaar JK</w:t>
      </w:r>
      <w:r w:rsidRPr="00D1034B">
        <w:rPr>
          <w:sz w:val="24"/>
          <w:szCs w:val="24"/>
        </w:rPr>
        <w:t xml:space="preserve">. (2007) Societal costs and quality of life of children suffering from attention deficient hyperactivity disorder (ADHD). </w:t>
      </w:r>
      <w:r w:rsidRPr="00D1034B">
        <w:rPr>
          <w:i/>
          <w:sz w:val="24"/>
          <w:szCs w:val="24"/>
        </w:rPr>
        <w:t>European Child and Adolescent Psychiatry</w:t>
      </w:r>
      <w:r w:rsidRPr="00D1034B">
        <w:rPr>
          <w:sz w:val="24"/>
          <w:szCs w:val="24"/>
        </w:rPr>
        <w:t xml:space="preserve"> </w:t>
      </w:r>
      <w:r w:rsidRPr="00D1034B">
        <w:rPr>
          <w:b/>
          <w:sz w:val="24"/>
          <w:szCs w:val="24"/>
        </w:rPr>
        <w:t>16</w:t>
      </w:r>
      <w:r w:rsidRPr="00D1034B">
        <w:rPr>
          <w:sz w:val="24"/>
          <w:szCs w:val="24"/>
        </w:rPr>
        <w:t>: 316-326.</w:t>
      </w:r>
    </w:p>
    <w:p w14:paraId="4473C251" w14:textId="77777777" w:rsidR="009E0540" w:rsidRPr="00D1034B" w:rsidRDefault="009E0540" w:rsidP="009E0540">
      <w:pPr>
        <w:pStyle w:val="EndNoteBibliography"/>
        <w:spacing w:after="0"/>
        <w:ind w:left="720" w:hanging="720"/>
        <w:rPr>
          <w:sz w:val="24"/>
          <w:szCs w:val="24"/>
        </w:rPr>
      </w:pPr>
      <w:r w:rsidRPr="00D1034B">
        <w:rPr>
          <w:b/>
          <w:sz w:val="24"/>
          <w:szCs w:val="24"/>
        </w:rPr>
        <w:t>Hall W, Goldstein G, Andrews G, Lapsley H, Bartels R and Silove D</w:t>
      </w:r>
      <w:r w:rsidRPr="00D1034B">
        <w:rPr>
          <w:sz w:val="24"/>
          <w:szCs w:val="24"/>
        </w:rPr>
        <w:t xml:space="preserve">. (1985) Estimating the economic costs of schizophrenia. </w:t>
      </w:r>
      <w:r w:rsidRPr="00D1034B">
        <w:rPr>
          <w:i/>
          <w:sz w:val="24"/>
          <w:szCs w:val="24"/>
        </w:rPr>
        <w:t>Schizophrenia Bulletin</w:t>
      </w:r>
      <w:r w:rsidRPr="00D1034B">
        <w:rPr>
          <w:sz w:val="24"/>
          <w:szCs w:val="24"/>
        </w:rPr>
        <w:t xml:space="preserve"> </w:t>
      </w:r>
      <w:r w:rsidRPr="00D1034B">
        <w:rPr>
          <w:b/>
          <w:sz w:val="24"/>
          <w:szCs w:val="24"/>
        </w:rPr>
        <w:t>11</w:t>
      </w:r>
      <w:r w:rsidRPr="00D1034B">
        <w:rPr>
          <w:sz w:val="24"/>
          <w:szCs w:val="24"/>
        </w:rPr>
        <w:t>: 598-611.</w:t>
      </w:r>
    </w:p>
    <w:p w14:paraId="27F2716C" w14:textId="77777777" w:rsidR="009E0540" w:rsidRPr="00D1034B" w:rsidRDefault="009E0540" w:rsidP="009E0540">
      <w:pPr>
        <w:pStyle w:val="EndNoteBibliography"/>
        <w:spacing w:after="0"/>
        <w:ind w:left="720" w:hanging="720"/>
        <w:rPr>
          <w:sz w:val="24"/>
          <w:szCs w:val="24"/>
        </w:rPr>
      </w:pPr>
      <w:r w:rsidRPr="00D1034B">
        <w:rPr>
          <w:b/>
          <w:sz w:val="24"/>
          <w:szCs w:val="24"/>
        </w:rPr>
        <w:t>Hastrup LH, Simonsen E, Ibsen R, Kjellberg J and Jennum P</w:t>
      </w:r>
      <w:r w:rsidRPr="00D1034B">
        <w:rPr>
          <w:sz w:val="24"/>
          <w:szCs w:val="24"/>
        </w:rPr>
        <w:t xml:space="preserve">. (2019) Societal Costs of Schizophrenia in Denmark: A Nationwide Matched Controlled Study of Patients and Spouses Before and After Initial Diagnosis. </w:t>
      </w:r>
      <w:r w:rsidRPr="00D1034B">
        <w:rPr>
          <w:i/>
          <w:sz w:val="24"/>
          <w:szCs w:val="24"/>
        </w:rPr>
        <w:t>Schizophrenia Bulletin</w:t>
      </w:r>
      <w:r w:rsidRPr="00D1034B">
        <w:rPr>
          <w:sz w:val="24"/>
          <w:szCs w:val="24"/>
        </w:rPr>
        <w:t>: 68-77.</w:t>
      </w:r>
    </w:p>
    <w:p w14:paraId="1AF60777" w14:textId="77777777" w:rsidR="009E0540" w:rsidRPr="00D1034B" w:rsidRDefault="009E0540" w:rsidP="009E0540">
      <w:pPr>
        <w:pStyle w:val="EndNoteBibliography"/>
        <w:spacing w:after="0"/>
        <w:ind w:left="720" w:hanging="720"/>
        <w:rPr>
          <w:sz w:val="24"/>
          <w:szCs w:val="24"/>
        </w:rPr>
      </w:pPr>
      <w:r w:rsidRPr="00D1034B">
        <w:rPr>
          <w:b/>
          <w:sz w:val="24"/>
          <w:szCs w:val="24"/>
        </w:rPr>
        <w:t>Hawthorne G, Cheok F, Goldney R and Fisher L</w:t>
      </w:r>
      <w:r w:rsidRPr="00D1034B">
        <w:rPr>
          <w:sz w:val="24"/>
          <w:szCs w:val="24"/>
        </w:rPr>
        <w:t xml:space="preserve">. (2003) The excess cost of depression in South Australia: a population-based study. </w:t>
      </w:r>
      <w:r w:rsidRPr="00D1034B">
        <w:rPr>
          <w:i/>
          <w:sz w:val="24"/>
          <w:szCs w:val="24"/>
        </w:rPr>
        <w:t>Australian and New Zealand Journal of Psychiatry</w:t>
      </w:r>
      <w:r w:rsidRPr="00D1034B">
        <w:rPr>
          <w:sz w:val="24"/>
          <w:szCs w:val="24"/>
        </w:rPr>
        <w:t xml:space="preserve"> </w:t>
      </w:r>
      <w:r w:rsidRPr="00D1034B">
        <w:rPr>
          <w:b/>
          <w:sz w:val="24"/>
          <w:szCs w:val="24"/>
        </w:rPr>
        <w:t>37</w:t>
      </w:r>
      <w:r w:rsidRPr="00D1034B">
        <w:rPr>
          <w:sz w:val="24"/>
          <w:szCs w:val="24"/>
        </w:rPr>
        <w:t>: 362-373.</w:t>
      </w:r>
    </w:p>
    <w:p w14:paraId="6B8921CA" w14:textId="77777777" w:rsidR="009E0540" w:rsidRPr="00D1034B" w:rsidRDefault="009E0540" w:rsidP="009E0540">
      <w:pPr>
        <w:pStyle w:val="EndNoteBibliography"/>
        <w:spacing w:after="0"/>
        <w:ind w:left="720" w:hanging="720"/>
        <w:rPr>
          <w:sz w:val="24"/>
          <w:szCs w:val="24"/>
        </w:rPr>
      </w:pPr>
      <w:r w:rsidRPr="00D1034B">
        <w:rPr>
          <w:b/>
          <w:sz w:val="24"/>
          <w:szCs w:val="24"/>
        </w:rPr>
        <w:t>Heider D, Bernert S, Konig HH, Matschinger H, Hogh T, Brugha TS, Bebbington PE, Azorin M, Angermeyer MC and Toumi M</w:t>
      </w:r>
      <w:r w:rsidRPr="00D1034B">
        <w:rPr>
          <w:sz w:val="24"/>
          <w:szCs w:val="24"/>
        </w:rPr>
        <w:t xml:space="preserve">. (2009) Direct medical mental health care costs of schizophrenia in France, Germany and the United Kingdom - Findings from the European Schizophrenia Cohort (EuroSC). </w:t>
      </w:r>
      <w:r w:rsidRPr="00D1034B">
        <w:rPr>
          <w:i/>
          <w:sz w:val="24"/>
          <w:szCs w:val="24"/>
        </w:rPr>
        <w:t>European Psychiatry</w:t>
      </w:r>
      <w:r w:rsidRPr="00D1034B">
        <w:rPr>
          <w:sz w:val="24"/>
          <w:szCs w:val="24"/>
        </w:rPr>
        <w:t xml:space="preserve"> </w:t>
      </w:r>
      <w:r w:rsidRPr="00D1034B">
        <w:rPr>
          <w:b/>
          <w:sz w:val="24"/>
          <w:szCs w:val="24"/>
        </w:rPr>
        <w:t>24</w:t>
      </w:r>
      <w:r w:rsidRPr="00D1034B">
        <w:rPr>
          <w:sz w:val="24"/>
          <w:szCs w:val="24"/>
        </w:rPr>
        <w:t>: 216-224.</w:t>
      </w:r>
    </w:p>
    <w:p w14:paraId="06E2401E" w14:textId="77777777" w:rsidR="009E0540" w:rsidRPr="00D1034B" w:rsidRDefault="009E0540" w:rsidP="009E0540">
      <w:pPr>
        <w:pStyle w:val="EndNoteBibliography"/>
        <w:spacing w:after="0"/>
        <w:ind w:left="720" w:hanging="720"/>
        <w:rPr>
          <w:sz w:val="24"/>
          <w:szCs w:val="24"/>
        </w:rPr>
      </w:pPr>
      <w:r w:rsidRPr="00D1034B">
        <w:rPr>
          <w:b/>
          <w:sz w:val="24"/>
          <w:szCs w:val="24"/>
        </w:rPr>
        <w:t>Hertzman P</w:t>
      </w:r>
      <w:r w:rsidRPr="00D1034B">
        <w:rPr>
          <w:sz w:val="24"/>
          <w:szCs w:val="24"/>
        </w:rPr>
        <w:t xml:space="preserve">. (1983) The economic costs of mental illness in Sweden 1975. </w:t>
      </w:r>
      <w:r w:rsidRPr="00D1034B">
        <w:rPr>
          <w:i/>
          <w:sz w:val="24"/>
          <w:szCs w:val="24"/>
        </w:rPr>
        <w:t>Acta Psychiatrica Scandinavica</w:t>
      </w:r>
      <w:r w:rsidRPr="00D1034B">
        <w:rPr>
          <w:sz w:val="24"/>
          <w:szCs w:val="24"/>
        </w:rPr>
        <w:t xml:space="preserve"> </w:t>
      </w:r>
      <w:r w:rsidRPr="00D1034B">
        <w:rPr>
          <w:b/>
          <w:sz w:val="24"/>
          <w:szCs w:val="24"/>
        </w:rPr>
        <w:t>68</w:t>
      </w:r>
      <w:r w:rsidRPr="00D1034B">
        <w:rPr>
          <w:sz w:val="24"/>
          <w:szCs w:val="24"/>
        </w:rPr>
        <w:t>: 359-367.</w:t>
      </w:r>
    </w:p>
    <w:p w14:paraId="30C26A95" w14:textId="77777777" w:rsidR="009E0540" w:rsidRPr="00D1034B" w:rsidRDefault="009E0540" w:rsidP="009E0540">
      <w:pPr>
        <w:pStyle w:val="EndNoteBibliography"/>
        <w:spacing w:after="0"/>
        <w:ind w:left="720" w:hanging="720"/>
        <w:rPr>
          <w:sz w:val="24"/>
          <w:szCs w:val="24"/>
        </w:rPr>
      </w:pPr>
      <w:r w:rsidRPr="00D1034B">
        <w:rPr>
          <w:b/>
          <w:sz w:val="24"/>
          <w:szCs w:val="24"/>
        </w:rPr>
        <w:t>Hjortsberg C, Helldin L, Hjarthag F and Lothgren M</w:t>
      </w:r>
      <w:r w:rsidRPr="00D1034B">
        <w:rPr>
          <w:sz w:val="24"/>
          <w:szCs w:val="24"/>
        </w:rPr>
        <w:t xml:space="preserve">. (2011) Costs for Patients with Psychotic Illness: Differences Depending upon State of Remission. </w:t>
      </w:r>
      <w:r w:rsidRPr="00D1034B">
        <w:rPr>
          <w:i/>
          <w:sz w:val="24"/>
          <w:szCs w:val="24"/>
        </w:rPr>
        <w:t>Journal of Mental Health Policy and Economics</w:t>
      </w:r>
      <w:r w:rsidRPr="00D1034B">
        <w:rPr>
          <w:sz w:val="24"/>
          <w:szCs w:val="24"/>
        </w:rPr>
        <w:t xml:space="preserve"> </w:t>
      </w:r>
      <w:r w:rsidRPr="00D1034B">
        <w:rPr>
          <w:b/>
          <w:sz w:val="24"/>
          <w:szCs w:val="24"/>
        </w:rPr>
        <w:t>14</w:t>
      </w:r>
      <w:r w:rsidRPr="00D1034B">
        <w:rPr>
          <w:sz w:val="24"/>
          <w:szCs w:val="24"/>
        </w:rPr>
        <w:t>: 87-93.</w:t>
      </w:r>
    </w:p>
    <w:p w14:paraId="2D7FAC00" w14:textId="77777777" w:rsidR="009E0540" w:rsidRPr="00D1034B" w:rsidRDefault="009E0540" w:rsidP="009E0540">
      <w:pPr>
        <w:pStyle w:val="EndNoteBibliography"/>
        <w:spacing w:after="0"/>
        <w:ind w:left="720" w:hanging="720"/>
        <w:rPr>
          <w:sz w:val="24"/>
          <w:szCs w:val="24"/>
        </w:rPr>
      </w:pPr>
      <w:r w:rsidRPr="00D1034B">
        <w:rPr>
          <w:b/>
          <w:sz w:val="24"/>
          <w:szCs w:val="24"/>
        </w:rPr>
        <w:t>Holden SE, Jenkins-Jones S, Poole CD, Morgan CL, Coghill D and Currie CJ</w:t>
      </w:r>
      <w:r w:rsidRPr="00D1034B">
        <w:rPr>
          <w:sz w:val="24"/>
          <w:szCs w:val="24"/>
        </w:rPr>
        <w:t xml:space="preserve">. (2013) The prevalence and incidence, resource use and financial costs of </w:t>
      </w:r>
      <w:r w:rsidRPr="00D1034B">
        <w:rPr>
          <w:sz w:val="24"/>
          <w:szCs w:val="24"/>
        </w:rPr>
        <w:lastRenderedPageBreak/>
        <w:t xml:space="preserve">treating people with attention deficit/hyperactivity disorder (ADHD) in the United Kingdom (1998 to 2010). </w:t>
      </w:r>
      <w:r w:rsidRPr="00D1034B">
        <w:rPr>
          <w:i/>
          <w:sz w:val="24"/>
          <w:szCs w:val="24"/>
        </w:rPr>
        <w:t>Child and Adolescent Psychiatry and Mental Health</w:t>
      </w:r>
      <w:r w:rsidRPr="00D1034B">
        <w:rPr>
          <w:sz w:val="24"/>
          <w:szCs w:val="24"/>
        </w:rPr>
        <w:t xml:space="preserve"> </w:t>
      </w:r>
      <w:r w:rsidRPr="00D1034B">
        <w:rPr>
          <w:b/>
          <w:sz w:val="24"/>
          <w:szCs w:val="24"/>
        </w:rPr>
        <w:t>7</w:t>
      </w:r>
      <w:r w:rsidRPr="00D1034B">
        <w:rPr>
          <w:sz w:val="24"/>
          <w:szCs w:val="24"/>
        </w:rPr>
        <w:t>: 34.</w:t>
      </w:r>
    </w:p>
    <w:p w14:paraId="15F6359F" w14:textId="77777777" w:rsidR="009E0540" w:rsidRPr="00D1034B" w:rsidRDefault="009E0540" w:rsidP="009E0540">
      <w:pPr>
        <w:pStyle w:val="EndNoteBibliography"/>
        <w:spacing w:after="0"/>
        <w:ind w:left="720" w:hanging="720"/>
        <w:rPr>
          <w:sz w:val="24"/>
          <w:szCs w:val="24"/>
        </w:rPr>
      </w:pPr>
      <w:r w:rsidRPr="00D1034B">
        <w:rPr>
          <w:b/>
          <w:sz w:val="24"/>
          <w:szCs w:val="24"/>
        </w:rPr>
        <w:t>Hu TW, He Y, Zhang M and Chen N</w:t>
      </w:r>
      <w:r w:rsidRPr="00D1034B">
        <w:rPr>
          <w:sz w:val="24"/>
          <w:szCs w:val="24"/>
        </w:rPr>
        <w:t xml:space="preserve">. (2007) Economic costs of depression in China. </w:t>
      </w:r>
      <w:r w:rsidRPr="00D1034B">
        <w:rPr>
          <w:i/>
          <w:sz w:val="24"/>
          <w:szCs w:val="24"/>
        </w:rPr>
        <w:t>Social Psychiatry and Psychiatric Epidemiology</w:t>
      </w:r>
      <w:r w:rsidRPr="00D1034B">
        <w:rPr>
          <w:sz w:val="24"/>
          <w:szCs w:val="24"/>
        </w:rPr>
        <w:t xml:space="preserve"> </w:t>
      </w:r>
      <w:r w:rsidRPr="00D1034B">
        <w:rPr>
          <w:b/>
          <w:sz w:val="24"/>
          <w:szCs w:val="24"/>
        </w:rPr>
        <w:t>42</w:t>
      </w:r>
      <w:r w:rsidRPr="00D1034B">
        <w:rPr>
          <w:sz w:val="24"/>
          <w:szCs w:val="24"/>
        </w:rPr>
        <w:t>: 110-116.</w:t>
      </w:r>
    </w:p>
    <w:p w14:paraId="2173E264" w14:textId="77777777" w:rsidR="009E0540" w:rsidRPr="00D1034B" w:rsidRDefault="009E0540" w:rsidP="009E0540">
      <w:pPr>
        <w:pStyle w:val="EndNoteBibliography"/>
        <w:spacing w:after="0"/>
        <w:ind w:left="720" w:hanging="720"/>
        <w:rPr>
          <w:sz w:val="24"/>
          <w:szCs w:val="24"/>
        </w:rPr>
      </w:pPr>
      <w:r w:rsidRPr="00D1034B">
        <w:rPr>
          <w:b/>
          <w:sz w:val="24"/>
          <w:szCs w:val="24"/>
        </w:rPr>
        <w:t>Jarbrink K and Knapp M</w:t>
      </w:r>
      <w:r w:rsidRPr="00D1034B">
        <w:rPr>
          <w:sz w:val="24"/>
          <w:szCs w:val="24"/>
        </w:rPr>
        <w:t xml:space="preserve">. (2001) The economic impact of autism in Britain. </w:t>
      </w:r>
      <w:r w:rsidRPr="00D1034B">
        <w:rPr>
          <w:i/>
          <w:sz w:val="24"/>
          <w:szCs w:val="24"/>
        </w:rPr>
        <w:t>Autism</w:t>
      </w:r>
      <w:r w:rsidRPr="00D1034B">
        <w:rPr>
          <w:sz w:val="24"/>
          <w:szCs w:val="24"/>
        </w:rPr>
        <w:t xml:space="preserve"> </w:t>
      </w:r>
      <w:r w:rsidRPr="00D1034B">
        <w:rPr>
          <w:b/>
          <w:sz w:val="24"/>
          <w:szCs w:val="24"/>
        </w:rPr>
        <w:t>5</w:t>
      </w:r>
      <w:r w:rsidRPr="00D1034B">
        <w:rPr>
          <w:sz w:val="24"/>
          <w:szCs w:val="24"/>
        </w:rPr>
        <w:t>: 7-22.</w:t>
      </w:r>
    </w:p>
    <w:p w14:paraId="75C0D0B2" w14:textId="77777777" w:rsidR="009E0540" w:rsidRPr="00D1034B" w:rsidRDefault="009E0540" w:rsidP="009E0540">
      <w:pPr>
        <w:pStyle w:val="EndNoteBibliography"/>
        <w:spacing w:after="0"/>
        <w:ind w:left="720" w:hanging="720"/>
        <w:rPr>
          <w:sz w:val="24"/>
          <w:szCs w:val="24"/>
        </w:rPr>
      </w:pPr>
      <w:r w:rsidRPr="00D1034B">
        <w:rPr>
          <w:b/>
          <w:sz w:val="24"/>
          <w:szCs w:val="24"/>
        </w:rPr>
        <w:t>Kilian R, Roick C, Matschinger H, Bernert S, Mory C and Angermeyer MC</w:t>
      </w:r>
      <w:r w:rsidRPr="00D1034B">
        <w:rPr>
          <w:sz w:val="24"/>
          <w:szCs w:val="24"/>
        </w:rPr>
        <w:t xml:space="preserve">. (2001) The analysis of cost structures of the treatment of schizophrenia by means of standardized assessment instruments. </w:t>
      </w:r>
      <w:r w:rsidRPr="00D1034B">
        <w:rPr>
          <w:i/>
          <w:sz w:val="24"/>
          <w:szCs w:val="24"/>
        </w:rPr>
        <w:t>Psychiatrische Praxis</w:t>
      </w:r>
      <w:r w:rsidRPr="00D1034B">
        <w:rPr>
          <w:sz w:val="24"/>
          <w:szCs w:val="24"/>
        </w:rPr>
        <w:t xml:space="preserve"> </w:t>
      </w:r>
      <w:r w:rsidRPr="00D1034B">
        <w:rPr>
          <w:b/>
          <w:sz w:val="24"/>
          <w:szCs w:val="24"/>
        </w:rPr>
        <w:t>28</w:t>
      </w:r>
      <w:r w:rsidRPr="00D1034B">
        <w:rPr>
          <w:sz w:val="24"/>
          <w:szCs w:val="24"/>
        </w:rPr>
        <w:t>: S102-S108.</w:t>
      </w:r>
    </w:p>
    <w:p w14:paraId="0113299D" w14:textId="77777777" w:rsidR="009E0540" w:rsidRPr="00D1034B" w:rsidRDefault="009E0540" w:rsidP="009E0540">
      <w:pPr>
        <w:pStyle w:val="EndNoteBibliography"/>
        <w:spacing w:after="0"/>
        <w:ind w:left="720" w:hanging="720"/>
        <w:rPr>
          <w:sz w:val="24"/>
          <w:szCs w:val="24"/>
        </w:rPr>
      </w:pPr>
      <w:r w:rsidRPr="00D1034B">
        <w:rPr>
          <w:b/>
          <w:sz w:val="24"/>
          <w:szCs w:val="24"/>
        </w:rPr>
        <w:t>Kind P and Sorensen J</w:t>
      </w:r>
      <w:r w:rsidRPr="00D1034B">
        <w:rPr>
          <w:sz w:val="24"/>
          <w:szCs w:val="24"/>
        </w:rPr>
        <w:t xml:space="preserve">. (1993) The costs of depression. </w:t>
      </w:r>
      <w:r w:rsidRPr="00D1034B">
        <w:rPr>
          <w:i/>
          <w:sz w:val="24"/>
          <w:szCs w:val="24"/>
        </w:rPr>
        <w:t>International Clinical Psychopharmacology</w:t>
      </w:r>
      <w:r w:rsidRPr="00D1034B">
        <w:rPr>
          <w:sz w:val="24"/>
          <w:szCs w:val="24"/>
        </w:rPr>
        <w:t xml:space="preserve"> </w:t>
      </w:r>
      <w:r w:rsidRPr="00D1034B">
        <w:rPr>
          <w:b/>
          <w:sz w:val="24"/>
          <w:szCs w:val="24"/>
        </w:rPr>
        <w:t xml:space="preserve">7 </w:t>
      </w:r>
      <w:r w:rsidRPr="00D1034B">
        <w:rPr>
          <w:sz w:val="24"/>
          <w:szCs w:val="24"/>
        </w:rPr>
        <w:t>191–195.</w:t>
      </w:r>
    </w:p>
    <w:p w14:paraId="573023B5" w14:textId="77777777" w:rsidR="009E0540" w:rsidRPr="00D1034B" w:rsidRDefault="009E0540" w:rsidP="009E0540">
      <w:pPr>
        <w:pStyle w:val="EndNoteBibliography"/>
        <w:spacing w:after="0"/>
        <w:ind w:left="720" w:hanging="720"/>
        <w:rPr>
          <w:sz w:val="24"/>
          <w:szCs w:val="24"/>
        </w:rPr>
      </w:pPr>
      <w:r w:rsidRPr="00D1034B">
        <w:rPr>
          <w:b/>
          <w:sz w:val="24"/>
          <w:szCs w:val="24"/>
        </w:rPr>
        <w:t>Kleine-Budde K, Muller R, Kawohl W, Bramesfeld A, Moock J and Rossler W</w:t>
      </w:r>
      <w:r w:rsidRPr="00D1034B">
        <w:rPr>
          <w:sz w:val="24"/>
          <w:szCs w:val="24"/>
        </w:rPr>
        <w:t xml:space="preserve">. (2013) The cost of depression - A cost analysis from a large database. </w:t>
      </w:r>
      <w:r w:rsidRPr="00D1034B">
        <w:rPr>
          <w:i/>
          <w:sz w:val="24"/>
          <w:szCs w:val="24"/>
        </w:rPr>
        <w:t>Journal of Affective Disorders</w:t>
      </w:r>
      <w:r w:rsidRPr="00D1034B">
        <w:rPr>
          <w:sz w:val="24"/>
          <w:szCs w:val="24"/>
        </w:rPr>
        <w:t xml:space="preserve"> </w:t>
      </w:r>
      <w:r w:rsidRPr="00D1034B">
        <w:rPr>
          <w:b/>
          <w:sz w:val="24"/>
          <w:szCs w:val="24"/>
        </w:rPr>
        <w:t>147</w:t>
      </w:r>
      <w:r w:rsidRPr="00D1034B">
        <w:rPr>
          <w:sz w:val="24"/>
          <w:szCs w:val="24"/>
        </w:rPr>
        <w:t>: 137-143.</w:t>
      </w:r>
    </w:p>
    <w:p w14:paraId="6CD6AF05" w14:textId="77777777" w:rsidR="009E0540" w:rsidRPr="00D1034B" w:rsidRDefault="009E0540" w:rsidP="009E0540">
      <w:pPr>
        <w:pStyle w:val="EndNoteBibliography"/>
        <w:spacing w:after="0"/>
        <w:ind w:left="720" w:hanging="720"/>
        <w:rPr>
          <w:sz w:val="24"/>
          <w:szCs w:val="24"/>
        </w:rPr>
      </w:pPr>
      <w:r w:rsidRPr="00D1034B">
        <w:rPr>
          <w:b/>
          <w:sz w:val="24"/>
          <w:szCs w:val="24"/>
        </w:rPr>
        <w:t>Klora M, Zeidler J, Linder R, Verheyen F and von der Schulenburg JMG</w:t>
      </w:r>
      <w:r w:rsidRPr="00D1034B">
        <w:rPr>
          <w:sz w:val="24"/>
          <w:szCs w:val="24"/>
        </w:rPr>
        <w:t xml:space="preserve">. (2015) Costs and treatment patterns of incident ADHD patients - a comparative analysis before and after the initial diagnosis. </w:t>
      </w:r>
      <w:r w:rsidRPr="00D1034B">
        <w:rPr>
          <w:i/>
          <w:sz w:val="24"/>
          <w:szCs w:val="24"/>
        </w:rPr>
        <w:t>Health Economics Review</w:t>
      </w:r>
      <w:r w:rsidRPr="00D1034B">
        <w:rPr>
          <w:sz w:val="24"/>
          <w:szCs w:val="24"/>
        </w:rPr>
        <w:t xml:space="preserve"> </w:t>
      </w:r>
      <w:r w:rsidRPr="00D1034B">
        <w:rPr>
          <w:b/>
          <w:sz w:val="24"/>
          <w:szCs w:val="24"/>
        </w:rPr>
        <w:t>5</w:t>
      </w:r>
      <w:r w:rsidRPr="00D1034B">
        <w:rPr>
          <w:sz w:val="24"/>
          <w:szCs w:val="24"/>
        </w:rPr>
        <w:t>: 40.</w:t>
      </w:r>
    </w:p>
    <w:p w14:paraId="03053713" w14:textId="77777777" w:rsidR="009E0540" w:rsidRPr="00D1034B" w:rsidRDefault="009E0540" w:rsidP="009E0540">
      <w:pPr>
        <w:pStyle w:val="EndNoteBibliography"/>
        <w:spacing w:after="0"/>
        <w:ind w:left="720" w:hanging="720"/>
        <w:rPr>
          <w:sz w:val="24"/>
          <w:szCs w:val="24"/>
        </w:rPr>
      </w:pPr>
      <w:r w:rsidRPr="00D1034B">
        <w:rPr>
          <w:b/>
          <w:sz w:val="24"/>
          <w:szCs w:val="24"/>
        </w:rPr>
        <w:t>Knapp M, Chisholm D, Leese M, Amaddeo F, Tansella M, Schene A, Thornicroft G, Vazquez</w:t>
      </w:r>
      <w:r w:rsidRPr="00D1034B">
        <w:rPr>
          <w:rFonts w:ascii="Cambria Math" w:hAnsi="Cambria Math" w:cs="Cambria Math"/>
          <w:b/>
          <w:sz w:val="24"/>
          <w:szCs w:val="24"/>
        </w:rPr>
        <w:t>‐</w:t>
      </w:r>
      <w:r w:rsidRPr="00D1034B">
        <w:rPr>
          <w:b/>
          <w:sz w:val="24"/>
          <w:szCs w:val="24"/>
        </w:rPr>
        <w:t>Barquero JL, Knudsen HC and Becker T</w:t>
      </w:r>
      <w:r w:rsidRPr="00D1034B">
        <w:rPr>
          <w:sz w:val="24"/>
          <w:szCs w:val="24"/>
        </w:rPr>
        <w:t xml:space="preserve">. (2002) Comparing patterns and costs of schizophrenia care in five European countries: the EPSILON study. </w:t>
      </w:r>
      <w:r w:rsidRPr="00D1034B">
        <w:rPr>
          <w:i/>
          <w:sz w:val="24"/>
          <w:szCs w:val="24"/>
        </w:rPr>
        <w:t>Acta Psychiatrica Scandinavica</w:t>
      </w:r>
      <w:r w:rsidRPr="00D1034B">
        <w:rPr>
          <w:sz w:val="24"/>
          <w:szCs w:val="24"/>
        </w:rPr>
        <w:t xml:space="preserve"> </w:t>
      </w:r>
      <w:r w:rsidRPr="00D1034B">
        <w:rPr>
          <w:b/>
          <w:sz w:val="24"/>
          <w:szCs w:val="24"/>
        </w:rPr>
        <w:t>105</w:t>
      </w:r>
      <w:r w:rsidRPr="00D1034B">
        <w:rPr>
          <w:sz w:val="24"/>
          <w:szCs w:val="24"/>
        </w:rPr>
        <w:t>: 42-54.</w:t>
      </w:r>
    </w:p>
    <w:p w14:paraId="7A1E88E0" w14:textId="77777777" w:rsidR="009E0540" w:rsidRPr="00D1034B" w:rsidRDefault="009E0540" w:rsidP="009E0540">
      <w:pPr>
        <w:pStyle w:val="EndNoteBibliography"/>
        <w:spacing w:after="0"/>
        <w:ind w:left="720" w:hanging="720"/>
        <w:rPr>
          <w:sz w:val="24"/>
          <w:szCs w:val="24"/>
        </w:rPr>
      </w:pPr>
      <w:r w:rsidRPr="00D1034B">
        <w:rPr>
          <w:b/>
          <w:sz w:val="24"/>
          <w:szCs w:val="24"/>
        </w:rPr>
        <w:t>Kortmann LM, Müller D, Simic D, Civello D and Stock S</w:t>
      </w:r>
      <w:r w:rsidRPr="00D1034B">
        <w:rPr>
          <w:sz w:val="24"/>
          <w:szCs w:val="24"/>
        </w:rPr>
        <w:t xml:space="preserve">. (2017) Disability Pension and Productivity Loss in Schizophrenia - An Empirical Analysis of the Financial Burden in Germany. </w:t>
      </w:r>
      <w:r w:rsidRPr="00D1034B">
        <w:rPr>
          <w:i/>
          <w:sz w:val="24"/>
          <w:szCs w:val="24"/>
        </w:rPr>
        <w:t>Psychiatrische Praxis</w:t>
      </w:r>
      <w:r w:rsidRPr="00D1034B">
        <w:rPr>
          <w:sz w:val="24"/>
          <w:szCs w:val="24"/>
        </w:rPr>
        <w:t xml:space="preserve"> </w:t>
      </w:r>
      <w:r w:rsidRPr="00D1034B">
        <w:rPr>
          <w:b/>
          <w:sz w:val="24"/>
          <w:szCs w:val="24"/>
        </w:rPr>
        <w:t>44</w:t>
      </w:r>
      <w:r w:rsidRPr="00D1034B">
        <w:rPr>
          <w:sz w:val="24"/>
          <w:szCs w:val="24"/>
        </w:rPr>
        <w:t>: 93-98.</w:t>
      </w:r>
    </w:p>
    <w:p w14:paraId="0075E355" w14:textId="77777777" w:rsidR="009E0540" w:rsidRPr="00D1034B" w:rsidRDefault="009E0540" w:rsidP="009E0540">
      <w:pPr>
        <w:pStyle w:val="EndNoteBibliography"/>
        <w:spacing w:after="0"/>
        <w:ind w:left="720" w:hanging="720"/>
        <w:rPr>
          <w:sz w:val="24"/>
          <w:szCs w:val="24"/>
        </w:rPr>
      </w:pPr>
      <w:r w:rsidRPr="00D1034B">
        <w:rPr>
          <w:b/>
          <w:sz w:val="24"/>
          <w:szCs w:val="24"/>
        </w:rPr>
        <w:t>Krauth C, Buser K and Vogel H</w:t>
      </w:r>
      <w:r w:rsidRPr="00D1034B">
        <w:rPr>
          <w:sz w:val="24"/>
          <w:szCs w:val="24"/>
        </w:rPr>
        <w:t xml:space="preserve">. (2002) How high are the costs of eating disorders--Anorexia nervosa and bulimia nervosa--for German society? </w:t>
      </w:r>
      <w:r w:rsidRPr="00D1034B">
        <w:rPr>
          <w:i/>
          <w:sz w:val="24"/>
          <w:szCs w:val="24"/>
        </w:rPr>
        <w:t>The European Journal of Health Economics</w:t>
      </w:r>
      <w:r w:rsidRPr="00D1034B">
        <w:rPr>
          <w:sz w:val="24"/>
          <w:szCs w:val="24"/>
        </w:rPr>
        <w:t xml:space="preserve"> </w:t>
      </w:r>
      <w:r w:rsidRPr="00D1034B">
        <w:rPr>
          <w:b/>
          <w:sz w:val="24"/>
          <w:szCs w:val="24"/>
        </w:rPr>
        <w:t>3</w:t>
      </w:r>
      <w:r w:rsidRPr="00D1034B">
        <w:rPr>
          <w:sz w:val="24"/>
          <w:szCs w:val="24"/>
        </w:rPr>
        <w:t>: 244-250.</w:t>
      </w:r>
    </w:p>
    <w:p w14:paraId="459ED1ED" w14:textId="77777777" w:rsidR="009E0540" w:rsidRPr="00D1034B" w:rsidRDefault="009E0540" w:rsidP="009E0540">
      <w:pPr>
        <w:pStyle w:val="EndNoteBibliography"/>
        <w:spacing w:after="0"/>
        <w:ind w:left="720" w:hanging="720"/>
        <w:rPr>
          <w:sz w:val="24"/>
          <w:szCs w:val="24"/>
        </w:rPr>
      </w:pPr>
      <w:r w:rsidRPr="00D1034B">
        <w:rPr>
          <w:b/>
          <w:sz w:val="24"/>
          <w:szCs w:val="24"/>
        </w:rPr>
        <w:t>Kujanpaa T, Ylisaukko-Oja T, Jokelainen J, Linna M and Timonen M</w:t>
      </w:r>
      <w:r w:rsidRPr="00D1034B">
        <w:rPr>
          <w:sz w:val="24"/>
          <w:szCs w:val="24"/>
        </w:rPr>
        <w:t xml:space="preserve">. (2014) Comparative cost analysis of generalized anxiety disorder and major depressive disorder patients in secondary care from a national hospital registry in Finland. </w:t>
      </w:r>
      <w:r w:rsidRPr="00D1034B">
        <w:rPr>
          <w:i/>
          <w:sz w:val="24"/>
          <w:szCs w:val="24"/>
        </w:rPr>
        <w:t>Nordic Journal of Psychiatry</w:t>
      </w:r>
      <w:r w:rsidRPr="00D1034B">
        <w:rPr>
          <w:sz w:val="24"/>
          <w:szCs w:val="24"/>
        </w:rPr>
        <w:t xml:space="preserve"> </w:t>
      </w:r>
      <w:r w:rsidRPr="00D1034B">
        <w:rPr>
          <w:b/>
          <w:sz w:val="24"/>
          <w:szCs w:val="24"/>
        </w:rPr>
        <w:t>68</w:t>
      </w:r>
      <w:r w:rsidRPr="00D1034B">
        <w:rPr>
          <w:sz w:val="24"/>
          <w:szCs w:val="24"/>
        </w:rPr>
        <w:t>: 306-310.</w:t>
      </w:r>
    </w:p>
    <w:p w14:paraId="78E844B7" w14:textId="77777777" w:rsidR="009E0540" w:rsidRPr="00D1034B" w:rsidRDefault="009E0540" w:rsidP="009E0540">
      <w:pPr>
        <w:pStyle w:val="EndNoteBibliography"/>
        <w:spacing w:after="0"/>
        <w:ind w:left="720" w:hanging="720"/>
        <w:rPr>
          <w:sz w:val="24"/>
          <w:szCs w:val="24"/>
        </w:rPr>
      </w:pPr>
      <w:r w:rsidRPr="00D1034B">
        <w:rPr>
          <w:b/>
          <w:sz w:val="24"/>
          <w:szCs w:val="24"/>
        </w:rPr>
        <w:t>Laidi C, Prigent A, Plas A, Leboyer M, Fond G, Chevreul K and Face-Scz G</w:t>
      </w:r>
      <w:r w:rsidRPr="00D1034B">
        <w:rPr>
          <w:sz w:val="24"/>
          <w:szCs w:val="24"/>
        </w:rPr>
        <w:t xml:space="preserve">. (2018) Factors associated with direct health care costs in schizophrenia: Results from the FACE-SZ French dataset. </w:t>
      </w:r>
      <w:r w:rsidRPr="00D1034B">
        <w:rPr>
          <w:i/>
          <w:sz w:val="24"/>
          <w:szCs w:val="24"/>
        </w:rPr>
        <w:t>European Neuropsychopharmacology</w:t>
      </w:r>
      <w:r w:rsidRPr="00D1034B">
        <w:rPr>
          <w:sz w:val="24"/>
          <w:szCs w:val="24"/>
        </w:rPr>
        <w:t xml:space="preserve"> </w:t>
      </w:r>
      <w:r w:rsidRPr="00D1034B">
        <w:rPr>
          <w:b/>
          <w:sz w:val="24"/>
          <w:szCs w:val="24"/>
        </w:rPr>
        <w:t>28</w:t>
      </w:r>
      <w:r w:rsidRPr="00D1034B">
        <w:rPr>
          <w:sz w:val="24"/>
          <w:szCs w:val="24"/>
        </w:rPr>
        <w:t>: 24-36.</w:t>
      </w:r>
    </w:p>
    <w:p w14:paraId="01A12110" w14:textId="77777777" w:rsidR="009E0540" w:rsidRPr="00D1034B" w:rsidRDefault="009E0540" w:rsidP="009E0540">
      <w:pPr>
        <w:pStyle w:val="EndNoteBibliography"/>
        <w:spacing w:after="0"/>
        <w:ind w:left="720" w:hanging="720"/>
        <w:rPr>
          <w:sz w:val="24"/>
          <w:szCs w:val="24"/>
        </w:rPr>
      </w:pPr>
      <w:r w:rsidRPr="00D1034B">
        <w:rPr>
          <w:b/>
          <w:sz w:val="24"/>
          <w:szCs w:val="24"/>
        </w:rPr>
        <w:t>Lang H-C and Su T-P</w:t>
      </w:r>
      <w:r w:rsidRPr="00D1034B">
        <w:rPr>
          <w:sz w:val="24"/>
          <w:szCs w:val="24"/>
        </w:rPr>
        <w:t xml:space="preserve">. (2004) The cost of schizophrenia treatment in Taiwan. </w:t>
      </w:r>
      <w:r w:rsidRPr="00D1034B">
        <w:rPr>
          <w:i/>
          <w:sz w:val="24"/>
          <w:szCs w:val="24"/>
        </w:rPr>
        <w:t>Psychiatric Services</w:t>
      </w:r>
      <w:r w:rsidRPr="00D1034B">
        <w:rPr>
          <w:sz w:val="24"/>
          <w:szCs w:val="24"/>
        </w:rPr>
        <w:t xml:space="preserve"> </w:t>
      </w:r>
      <w:r w:rsidRPr="00D1034B">
        <w:rPr>
          <w:b/>
          <w:sz w:val="24"/>
          <w:szCs w:val="24"/>
        </w:rPr>
        <w:t>55</w:t>
      </w:r>
      <w:r w:rsidRPr="00D1034B">
        <w:rPr>
          <w:sz w:val="24"/>
          <w:szCs w:val="24"/>
        </w:rPr>
        <w:t>: 928-930.</w:t>
      </w:r>
    </w:p>
    <w:p w14:paraId="1D7E0A9A" w14:textId="77777777" w:rsidR="009E0540" w:rsidRPr="00D1034B" w:rsidRDefault="009E0540" w:rsidP="009E0540">
      <w:pPr>
        <w:pStyle w:val="EndNoteBibliography"/>
        <w:spacing w:after="0"/>
        <w:ind w:left="720" w:hanging="720"/>
        <w:rPr>
          <w:sz w:val="24"/>
          <w:szCs w:val="24"/>
        </w:rPr>
      </w:pPr>
      <w:r w:rsidRPr="00D1034B">
        <w:rPr>
          <w:b/>
          <w:sz w:val="24"/>
          <w:szCs w:val="24"/>
        </w:rPr>
        <w:t>Langley-Hawthorne C</w:t>
      </w:r>
      <w:r w:rsidRPr="00D1034B">
        <w:rPr>
          <w:sz w:val="24"/>
          <w:szCs w:val="24"/>
        </w:rPr>
        <w:t xml:space="preserve">. (1997) Modeling the lifetime costs of treating schizophrenia in Australia. </w:t>
      </w:r>
      <w:r w:rsidRPr="00D1034B">
        <w:rPr>
          <w:i/>
          <w:sz w:val="24"/>
          <w:szCs w:val="24"/>
        </w:rPr>
        <w:t>Clinical Therapeutics: The International Peer-Reviewed Journal of Drug Therapy</w:t>
      </w:r>
      <w:r w:rsidRPr="00D1034B">
        <w:rPr>
          <w:sz w:val="24"/>
          <w:szCs w:val="24"/>
        </w:rPr>
        <w:t xml:space="preserve"> </w:t>
      </w:r>
      <w:r w:rsidRPr="00D1034B">
        <w:rPr>
          <w:b/>
          <w:sz w:val="24"/>
          <w:szCs w:val="24"/>
        </w:rPr>
        <w:t>19</w:t>
      </w:r>
      <w:r w:rsidRPr="00D1034B">
        <w:rPr>
          <w:sz w:val="24"/>
          <w:szCs w:val="24"/>
        </w:rPr>
        <w:t>: 1470-1495.</w:t>
      </w:r>
    </w:p>
    <w:p w14:paraId="07697ABC" w14:textId="77777777" w:rsidR="009E0540" w:rsidRPr="00D1034B" w:rsidRDefault="009E0540" w:rsidP="009E0540">
      <w:pPr>
        <w:pStyle w:val="EndNoteBibliography"/>
        <w:spacing w:after="0"/>
        <w:ind w:left="720" w:hanging="720"/>
        <w:rPr>
          <w:sz w:val="24"/>
          <w:szCs w:val="24"/>
        </w:rPr>
      </w:pPr>
      <w:r w:rsidRPr="00D1034B">
        <w:rPr>
          <w:b/>
          <w:sz w:val="24"/>
          <w:szCs w:val="24"/>
        </w:rPr>
        <w:t>Lee YC, Chatterton ML, Magnus A, Mohebbi M, Le LK and Mihalopoulos C</w:t>
      </w:r>
      <w:r w:rsidRPr="00D1034B">
        <w:rPr>
          <w:sz w:val="24"/>
          <w:szCs w:val="24"/>
        </w:rPr>
        <w:t xml:space="preserve">. (2017) Cost of high prevalence mental disorders: Findings from the 2007 Australian National Survey of Mental Health and Wellbeing. </w:t>
      </w:r>
      <w:r w:rsidRPr="00D1034B">
        <w:rPr>
          <w:i/>
          <w:sz w:val="24"/>
          <w:szCs w:val="24"/>
        </w:rPr>
        <w:t>The Australian and New Zealand Journal of Psychiatry</w:t>
      </w:r>
      <w:r w:rsidRPr="00D1034B">
        <w:rPr>
          <w:sz w:val="24"/>
          <w:szCs w:val="24"/>
        </w:rPr>
        <w:t xml:space="preserve"> </w:t>
      </w:r>
      <w:r w:rsidRPr="00D1034B">
        <w:rPr>
          <w:b/>
          <w:sz w:val="24"/>
          <w:szCs w:val="24"/>
        </w:rPr>
        <w:t>51</w:t>
      </w:r>
      <w:r w:rsidRPr="00D1034B">
        <w:rPr>
          <w:sz w:val="24"/>
          <w:szCs w:val="24"/>
        </w:rPr>
        <w:t>: 1198-1211.</w:t>
      </w:r>
    </w:p>
    <w:p w14:paraId="74963388" w14:textId="77777777" w:rsidR="009E0540" w:rsidRPr="00D1034B" w:rsidRDefault="009E0540" w:rsidP="009E0540">
      <w:pPr>
        <w:pStyle w:val="EndNoteBibliography"/>
        <w:spacing w:after="0"/>
        <w:ind w:left="720" w:hanging="720"/>
        <w:rPr>
          <w:sz w:val="24"/>
          <w:szCs w:val="24"/>
        </w:rPr>
      </w:pPr>
      <w:r w:rsidRPr="00D1034B">
        <w:rPr>
          <w:b/>
          <w:sz w:val="24"/>
          <w:szCs w:val="24"/>
        </w:rPr>
        <w:t>Libutzki B, Ludwig S, May M, Jacobsen RH, Reif A and Hartman CA</w:t>
      </w:r>
      <w:r w:rsidRPr="00D1034B">
        <w:rPr>
          <w:sz w:val="24"/>
          <w:szCs w:val="24"/>
        </w:rPr>
        <w:t xml:space="preserve">. (2019) Direct medical costs of ADHD and its comorbid conditions on basis of a claims data analysis. </w:t>
      </w:r>
      <w:r w:rsidRPr="00D1034B">
        <w:rPr>
          <w:i/>
          <w:sz w:val="24"/>
          <w:szCs w:val="24"/>
        </w:rPr>
        <w:t>European Psychiatry</w:t>
      </w:r>
      <w:r w:rsidRPr="00D1034B">
        <w:rPr>
          <w:sz w:val="24"/>
          <w:szCs w:val="24"/>
        </w:rPr>
        <w:t xml:space="preserve"> </w:t>
      </w:r>
      <w:r w:rsidRPr="00D1034B">
        <w:rPr>
          <w:b/>
          <w:sz w:val="24"/>
          <w:szCs w:val="24"/>
        </w:rPr>
        <w:t>58</w:t>
      </w:r>
      <w:r w:rsidRPr="00D1034B">
        <w:rPr>
          <w:sz w:val="24"/>
          <w:szCs w:val="24"/>
        </w:rPr>
        <w:t>: 38-44.</w:t>
      </w:r>
    </w:p>
    <w:p w14:paraId="4143D790" w14:textId="77777777" w:rsidR="009E0540" w:rsidRPr="00D1034B" w:rsidRDefault="009E0540" w:rsidP="009E0540">
      <w:pPr>
        <w:pStyle w:val="EndNoteBibliography"/>
        <w:spacing w:after="0"/>
        <w:ind w:left="720" w:hanging="720"/>
        <w:rPr>
          <w:sz w:val="24"/>
          <w:szCs w:val="24"/>
        </w:rPr>
      </w:pPr>
      <w:r w:rsidRPr="00D1034B">
        <w:rPr>
          <w:b/>
          <w:sz w:val="24"/>
          <w:szCs w:val="24"/>
        </w:rPr>
        <w:t>Lima E and Esquerdo T</w:t>
      </w:r>
      <w:r w:rsidRPr="00D1034B">
        <w:rPr>
          <w:sz w:val="24"/>
          <w:szCs w:val="24"/>
        </w:rPr>
        <w:t>. (2003) The economic costs of alcohol misuse in Portugal. Núcleo de Investigação em Microeconomia Aplicada, Universidade do Minho.</w:t>
      </w:r>
    </w:p>
    <w:p w14:paraId="62B187CD" w14:textId="77777777" w:rsidR="009E0540" w:rsidRPr="00D1034B" w:rsidRDefault="009E0540" w:rsidP="009E0540">
      <w:pPr>
        <w:pStyle w:val="EndNoteBibliography"/>
        <w:spacing w:after="0"/>
        <w:ind w:left="720" w:hanging="720"/>
        <w:rPr>
          <w:sz w:val="24"/>
          <w:szCs w:val="24"/>
        </w:rPr>
      </w:pPr>
      <w:r w:rsidRPr="00D1034B">
        <w:rPr>
          <w:b/>
          <w:sz w:val="24"/>
          <w:szCs w:val="24"/>
        </w:rPr>
        <w:lastRenderedPageBreak/>
        <w:t>Lin JD, Hung WJ, Lin LP and Lai CI</w:t>
      </w:r>
      <w:r w:rsidRPr="00D1034B">
        <w:rPr>
          <w:sz w:val="24"/>
          <w:szCs w:val="24"/>
        </w:rPr>
        <w:t xml:space="preserve">. (2011) Utilization and expenditure of hospital admission in patients with autism spectrum disorder: National Health Insurance claims database analysis. </w:t>
      </w:r>
      <w:r w:rsidRPr="00D1034B">
        <w:rPr>
          <w:i/>
          <w:sz w:val="24"/>
          <w:szCs w:val="24"/>
        </w:rPr>
        <w:t>Research in Autism Spectrum Disorders</w:t>
      </w:r>
      <w:r w:rsidRPr="00D1034B">
        <w:rPr>
          <w:sz w:val="24"/>
          <w:szCs w:val="24"/>
        </w:rPr>
        <w:t xml:space="preserve"> </w:t>
      </w:r>
      <w:r w:rsidRPr="00D1034B">
        <w:rPr>
          <w:b/>
          <w:sz w:val="24"/>
          <w:szCs w:val="24"/>
        </w:rPr>
        <w:t>5</w:t>
      </w:r>
      <w:r w:rsidRPr="00D1034B">
        <w:rPr>
          <w:sz w:val="24"/>
          <w:szCs w:val="24"/>
        </w:rPr>
        <w:t>: 1138-1142.</w:t>
      </w:r>
    </w:p>
    <w:p w14:paraId="4FB3B12B" w14:textId="77777777" w:rsidR="009E0540" w:rsidRPr="00D1034B" w:rsidRDefault="009E0540" w:rsidP="009E0540">
      <w:pPr>
        <w:pStyle w:val="EndNoteBibliography"/>
        <w:spacing w:after="0"/>
        <w:ind w:left="720" w:hanging="720"/>
        <w:rPr>
          <w:sz w:val="24"/>
          <w:szCs w:val="24"/>
        </w:rPr>
      </w:pPr>
      <w:r w:rsidRPr="00D1034B">
        <w:rPr>
          <w:b/>
          <w:sz w:val="24"/>
          <w:szCs w:val="24"/>
        </w:rPr>
        <w:t>Lin LP, Kuan CY, Hsu SW, Lee TN, Lai CI, Wu JL and Lin JD</w:t>
      </w:r>
      <w:r w:rsidRPr="00D1034B">
        <w:rPr>
          <w:sz w:val="24"/>
          <w:szCs w:val="24"/>
        </w:rPr>
        <w:t xml:space="preserve">. (2013) Outpatient visits and expenditures for children and adolescents diagnosed with autism spectrum disorders and co-occurring intellectual disability: An analysis of the national health insurance claims data. </w:t>
      </w:r>
      <w:r w:rsidRPr="00D1034B">
        <w:rPr>
          <w:i/>
          <w:sz w:val="24"/>
          <w:szCs w:val="24"/>
        </w:rPr>
        <w:t>Research in Autism Spectrum Disorders</w:t>
      </w:r>
      <w:r w:rsidRPr="00D1034B">
        <w:rPr>
          <w:sz w:val="24"/>
          <w:szCs w:val="24"/>
        </w:rPr>
        <w:t xml:space="preserve"> </w:t>
      </w:r>
      <w:r w:rsidRPr="00D1034B">
        <w:rPr>
          <w:b/>
          <w:sz w:val="24"/>
          <w:szCs w:val="24"/>
        </w:rPr>
        <w:t>7</w:t>
      </w:r>
      <w:r w:rsidRPr="00D1034B">
        <w:rPr>
          <w:sz w:val="24"/>
          <w:szCs w:val="24"/>
        </w:rPr>
        <w:t>: 1625-1630.</w:t>
      </w:r>
    </w:p>
    <w:p w14:paraId="3BA09577" w14:textId="77777777" w:rsidR="009E0540" w:rsidRPr="00D1034B" w:rsidRDefault="009E0540" w:rsidP="009E0540">
      <w:pPr>
        <w:pStyle w:val="EndNoteBibliography"/>
        <w:spacing w:after="0"/>
        <w:ind w:left="720" w:hanging="720"/>
        <w:rPr>
          <w:sz w:val="24"/>
          <w:szCs w:val="24"/>
        </w:rPr>
      </w:pPr>
      <w:r w:rsidRPr="00D1034B">
        <w:rPr>
          <w:b/>
          <w:sz w:val="24"/>
          <w:szCs w:val="24"/>
        </w:rPr>
        <w:t>Ling YL, Rascati KL and Pawaskar M</w:t>
      </w:r>
      <w:r w:rsidRPr="00D1034B">
        <w:rPr>
          <w:sz w:val="24"/>
          <w:szCs w:val="24"/>
        </w:rPr>
        <w:t>. (2017) Direct and indirect costs among patients with binge</w:t>
      </w:r>
      <w:r w:rsidRPr="00D1034B">
        <w:rPr>
          <w:rFonts w:ascii="Cambria Math" w:hAnsi="Cambria Math" w:cs="Cambria Math"/>
          <w:sz w:val="24"/>
          <w:szCs w:val="24"/>
        </w:rPr>
        <w:t>‐</w:t>
      </w:r>
      <w:r w:rsidRPr="00D1034B">
        <w:rPr>
          <w:sz w:val="24"/>
          <w:szCs w:val="24"/>
        </w:rPr>
        <w:t xml:space="preserve">eating disorder in the United States. </w:t>
      </w:r>
      <w:r w:rsidRPr="00D1034B">
        <w:rPr>
          <w:i/>
          <w:sz w:val="24"/>
          <w:szCs w:val="24"/>
        </w:rPr>
        <w:t>International Journal of Eating Disorders</w:t>
      </w:r>
      <w:r w:rsidRPr="00D1034B">
        <w:rPr>
          <w:sz w:val="24"/>
          <w:szCs w:val="24"/>
        </w:rPr>
        <w:t xml:space="preserve"> </w:t>
      </w:r>
      <w:r w:rsidRPr="00D1034B">
        <w:rPr>
          <w:b/>
          <w:sz w:val="24"/>
          <w:szCs w:val="24"/>
        </w:rPr>
        <w:t>50</w:t>
      </w:r>
      <w:r w:rsidRPr="00D1034B">
        <w:rPr>
          <w:sz w:val="24"/>
          <w:szCs w:val="24"/>
        </w:rPr>
        <w:t>: 523-532.</w:t>
      </w:r>
    </w:p>
    <w:p w14:paraId="1A92BDB7" w14:textId="77777777" w:rsidR="009E0540" w:rsidRPr="00D1034B" w:rsidRDefault="009E0540" w:rsidP="009E0540">
      <w:pPr>
        <w:pStyle w:val="EndNoteBibliography"/>
        <w:spacing w:after="0"/>
        <w:ind w:left="720" w:hanging="720"/>
        <w:rPr>
          <w:sz w:val="24"/>
          <w:szCs w:val="24"/>
        </w:rPr>
      </w:pPr>
      <w:r w:rsidRPr="00D1034B">
        <w:rPr>
          <w:b/>
          <w:sz w:val="24"/>
          <w:szCs w:val="24"/>
        </w:rPr>
        <w:t>Liptak GS, Stuart T and Auinger P</w:t>
      </w:r>
      <w:r w:rsidRPr="00D1034B">
        <w:rPr>
          <w:sz w:val="24"/>
          <w:szCs w:val="24"/>
        </w:rPr>
        <w:t xml:space="preserve">. (2006) Health care utilization and expenditures for children with autism: Data from US national samples. </w:t>
      </w:r>
      <w:r w:rsidRPr="00D1034B">
        <w:rPr>
          <w:i/>
          <w:sz w:val="24"/>
          <w:szCs w:val="24"/>
        </w:rPr>
        <w:t>Journal of Autism and Developmental Disorders</w:t>
      </w:r>
      <w:r w:rsidRPr="00D1034B">
        <w:rPr>
          <w:sz w:val="24"/>
          <w:szCs w:val="24"/>
        </w:rPr>
        <w:t xml:space="preserve"> </w:t>
      </w:r>
      <w:r w:rsidRPr="00D1034B">
        <w:rPr>
          <w:b/>
          <w:sz w:val="24"/>
          <w:szCs w:val="24"/>
        </w:rPr>
        <w:t>36</w:t>
      </w:r>
      <w:r w:rsidRPr="00D1034B">
        <w:rPr>
          <w:sz w:val="24"/>
          <w:szCs w:val="24"/>
        </w:rPr>
        <w:t>: 871-879.</w:t>
      </w:r>
    </w:p>
    <w:p w14:paraId="0A84D3E6" w14:textId="77777777" w:rsidR="009E0540" w:rsidRPr="00D1034B" w:rsidRDefault="009E0540" w:rsidP="009E0540">
      <w:pPr>
        <w:pStyle w:val="EndNoteBibliography"/>
        <w:spacing w:after="0"/>
        <w:ind w:left="720" w:hanging="720"/>
        <w:rPr>
          <w:sz w:val="24"/>
          <w:szCs w:val="24"/>
        </w:rPr>
      </w:pPr>
      <w:r w:rsidRPr="00D1034B">
        <w:rPr>
          <w:b/>
          <w:sz w:val="24"/>
          <w:szCs w:val="24"/>
        </w:rPr>
        <w:t>Lund C, Myer L, Stein DJ, Williams DR and Flisher AJ</w:t>
      </w:r>
      <w:r w:rsidRPr="00D1034B">
        <w:rPr>
          <w:sz w:val="24"/>
          <w:szCs w:val="24"/>
        </w:rPr>
        <w:t xml:space="preserve">. (2013) Mental illness and lost income among adult South Africans. </w:t>
      </w:r>
      <w:r w:rsidRPr="00D1034B">
        <w:rPr>
          <w:i/>
          <w:sz w:val="24"/>
          <w:szCs w:val="24"/>
        </w:rPr>
        <w:t>Social Psychiatry and Psychiatric Epidemiology: The International Journal for Research in Social and Genetic Epidemiology and Mental Health Services</w:t>
      </w:r>
      <w:r w:rsidRPr="00D1034B">
        <w:rPr>
          <w:sz w:val="24"/>
          <w:szCs w:val="24"/>
        </w:rPr>
        <w:t xml:space="preserve"> </w:t>
      </w:r>
      <w:r w:rsidRPr="00D1034B">
        <w:rPr>
          <w:b/>
          <w:sz w:val="24"/>
          <w:szCs w:val="24"/>
        </w:rPr>
        <w:t>48</w:t>
      </w:r>
      <w:r w:rsidRPr="00D1034B">
        <w:rPr>
          <w:sz w:val="24"/>
          <w:szCs w:val="24"/>
        </w:rPr>
        <w:t>: 845-851.</w:t>
      </w:r>
    </w:p>
    <w:p w14:paraId="24C1DDCC" w14:textId="77777777" w:rsidR="009E0540" w:rsidRPr="00D1034B" w:rsidRDefault="009E0540" w:rsidP="009E0540">
      <w:pPr>
        <w:pStyle w:val="EndNoteBibliography"/>
        <w:spacing w:after="0"/>
        <w:ind w:left="720" w:hanging="720"/>
        <w:rPr>
          <w:sz w:val="24"/>
          <w:szCs w:val="24"/>
        </w:rPr>
      </w:pPr>
      <w:r w:rsidRPr="00D1034B">
        <w:rPr>
          <w:b/>
          <w:sz w:val="24"/>
          <w:szCs w:val="24"/>
        </w:rPr>
        <w:t>Lunsky Y, De Oliveira C, Wilton A and Wodchis W</w:t>
      </w:r>
      <w:r w:rsidRPr="00D1034B">
        <w:rPr>
          <w:sz w:val="24"/>
          <w:szCs w:val="24"/>
        </w:rPr>
        <w:t xml:space="preserve">. (2019) High health care costs among adults with intellectual and developmental disabilities: a population-based study. </w:t>
      </w:r>
      <w:r w:rsidRPr="00D1034B">
        <w:rPr>
          <w:i/>
          <w:sz w:val="24"/>
          <w:szCs w:val="24"/>
        </w:rPr>
        <w:t>Journal of Intellectual Disability Research</w:t>
      </w:r>
      <w:r w:rsidRPr="00D1034B">
        <w:rPr>
          <w:sz w:val="24"/>
          <w:szCs w:val="24"/>
        </w:rPr>
        <w:t xml:space="preserve"> </w:t>
      </w:r>
      <w:r w:rsidRPr="00D1034B">
        <w:rPr>
          <w:b/>
          <w:sz w:val="24"/>
          <w:szCs w:val="24"/>
        </w:rPr>
        <w:t>63</w:t>
      </w:r>
      <w:r w:rsidRPr="00D1034B">
        <w:rPr>
          <w:sz w:val="24"/>
          <w:szCs w:val="24"/>
        </w:rPr>
        <w:t>: 124-137.</w:t>
      </w:r>
    </w:p>
    <w:p w14:paraId="3C669A46" w14:textId="77777777" w:rsidR="009E0540" w:rsidRPr="00D1034B" w:rsidRDefault="009E0540" w:rsidP="009E0540">
      <w:pPr>
        <w:pStyle w:val="EndNoteBibliography"/>
        <w:spacing w:after="0"/>
        <w:ind w:left="720" w:hanging="720"/>
        <w:rPr>
          <w:sz w:val="24"/>
          <w:szCs w:val="24"/>
        </w:rPr>
      </w:pPr>
      <w:r w:rsidRPr="00D1034B">
        <w:rPr>
          <w:b/>
          <w:sz w:val="24"/>
          <w:szCs w:val="24"/>
        </w:rPr>
        <w:t>Maercker A, Perkonigg A, Preisig M, Schaller K and Weller M</w:t>
      </w:r>
      <w:r w:rsidRPr="00D1034B">
        <w:rPr>
          <w:sz w:val="24"/>
          <w:szCs w:val="24"/>
        </w:rPr>
        <w:t xml:space="preserve">. (2013) The costs of disorders of the brain in Switzerland: an update from the European Brain Council Study for 2010. </w:t>
      </w:r>
      <w:r w:rsidRPr="00D1034B">
        <w:rPr>
          <w:i/>
          <w:sz w:val="24"/>
          <w:szCs w:val="24"/>
        </w:rPr>
        <w:t>Swiss Medical Weekly</w:t>
      </w:r>
      <w:r w:rsidRPr="00D1034B">
        <w:rPr>
          <w:sz w:val="24"/>
          <w:szCs w:val="24"/>
        </w:rPr>
        <w:t xml:space="preserve"> </w:t>
      </w:r>
      <w:r w:rsidRPr="00D1034B">
        <w:rPr>
          <w:b/>
          <w:sz w:val="24"/>
          <w:szCs w:val="24"/>
        </w:rPr>
        <w:t>143</w:t>
      </w:r>
      <w:r w:rsidRPr="00D1034B">
        <w:rPr>
          <w:sz w:val="24"/>
          <w:szCs w:val="24"/>
        </w:rPr>
        <w:t>: w13751.</w:t>
      </w:r>
    </w:p>
    <w:p w14:paraId="47394DFD" w14:textId="77777777" w:rsidR="009E0540" w:rsidRPr="00D1034B" w:rsidRDefault="009E0540" w:rsidP="009E0540">
      <w:pPr>
        <w:pStyle w:val="EndNoteBibliography"/>
        <w:spacing w:after="0"/>
        <w:ind w:left="720" w:hanging="720"/>
        <w:rPr>
          <w:sz w:val="24"/>
          <w:szCs w:val="24"/>
        </w:rPr>
      </w:pPr>
      <w:r w:rsidRPr="00D1034B">
        <w:rPr>
          <w:b/>
          <w:sz w:val="24"/>
          <w:szCs w:val="24"/>
        </w:rPr>
        <w:t>Mangalore R and Knapp M</w:t>
      </w:r>
      <w:r w:rsidRPr="00D1034B">
        <w:rPr>
          <w:sz w:val="24"/>
          <w:szCs w:val="24"/>
        </w:rPr>
        <w:t xml:space="preserve">. (2007) Cost of schizophrenia in England. </w:t>
      </w:r>
      <w:r w:rsidRPr="00D1034B">
        <w:rPr>
          <w:i/>
          <w:sz w:val="24"/>
          <w:szCs w:val="24"/>
        </w:rPr>
        <w:t>Journal of Mental Health Policy and Economics</w:t>
      </w:r>
      <w:r w:rsidRPr="00D1034B">
        <w:rPr>
          <w:sz w:val="24"/>
          <w:szCs w:val="24"/>
        </w:rPr>
        <w:t xml:space="preserve"> </w:t>
      </w:r>
      <w:r w:rsidRPr="00D1034B">
        <w:rPr>
          <w:b/>
          <w:sz w:val="24"/>
          <w:szCs w:val="24"/>
        </w:rPr>
        <w:t>10</w:t>
      </w:r>
      <w:r w:rsidRPr="00D1034B">
        <w:rPr>
          <w:sz w:val="24"/>
          <w:szCs w:val="24"/>
        </w:rPr>
        <w:t>: 23-41.</w:t>
      </w:r>
    </w:p>
    <w:p w14:paraId="7C71C596" w14:textId="77777777" w:rsidR="009E0540" w:rsidRPr="00D1034B" w:rsidRDefault="009E0540" w:rsidP="009E0540">
      <w:pPr>
        <w:pStyle w:val="EndNoteBibliography"/>
        <w:spacing w:after="0"/>
        <w:ind w:left="720" w:hanging="720"/>
        <w:rPr>
          <w:sz w:val="24"/>
          <w:szCs w:val="24"/>
        </w:rPr>
      </w:pPr>
      <w:r w:rsidRPr="00D1034B">
        <w:rPr>
          <w:b/>
          <w:sz w:val="24"/>
          <w:szCs w:val="24"/>
        </w:rPr>
        <w:t>Manthey J, Laramee P, Parrott S and Rehm J</w:t>
      </w:r>
      <w:r w:rsidRPr="00D1034B">
        <w:rPr>
          <w:sz w:val="24"/>
          <w:szCs w:val="24"/>
        </w:rPr>
        <w:t xml:space="preserve">. (2016) Economic burden associated with alcohol dependence in a German primary care sample: a bottom-up study. </w:t>
      </w:r>
      <w:r w:rsidRPr="00D1034B">
        <w:rPr>
          <w:i/>
          <w:sz w:val="24"/>
          <w:szCs w:val="24"/>
        </w:rPr>
        <w:t>BMC Public Health</w:t>
      </w:r>
      <w:r w:rsidRPr="00D1034B">
        <w:rPr>
          <w:sz w:val="24"/>
          <w:szCs w:val="24"/>
        </w:rPr>
        <w:t xml:space="preserve"> </w:t>
      </w:r>
      <w:r w:rsidRPr="00D1034B">
        <w:rPr>
          <w:b/>
          <w:sz w:val="24"/>
          <w:szCs w:val="24"/>
        </w:rPr>
        <w:t>16</w:t>
      </w:r>
      <w:r w:rsidRPr="00D1034B">
        <w:rPr>
          <w:sz w:val="24"/>
          <w:szCs w:val="24"/>
        </w:rPr>
        <w:t>: 906.</w:t>
      </w:r>
    </w:p>
    <w:p w14:paraId="33B6142A" w14:textId="77777777" w:rsidR="009E0540" w:rsidRPr="00D1034B" w:rsidRDefault="009E0540" w:rsidP="009E0540">
      <w:pPr>
        <w:pStyle w:val="EndNoteBibliography"/>
        <w:spacing w:after="0"/>
        <w:ind w:left="720" w:hanging="720"/>
        <w:rPr>
          <w:sz w:val="24"/>
          <w:szCs w:val="24"/>
        </w:rPr>
      </w:pPr>
      <w:r w:rsidRPr="00D1034B">
        <w:rPr>
          <w:b/>
          <w:sz w:val="24"/>
          <w:szCs w:val="24"/>
        </w:rPr>
        <w:t>Mark TL, Coffey RM, King E, Harwood H, McKusick D, Genuardi J, Dilonardo J and Buck JA</w:t>
      </w:r>
      <w:r w:rsidRPr="00D1034B">
        <w:rPr>
          <w:sz w:val="24"/>
          <w:szCs w:val="24"/>
        </w:rPr>
        <w:t xml:space="preserve">. (2000) Spending on mental health and substance abuse treatment, 1987-1997. </w:t>
      </w:r>
      <w:r w:rsidRPr="00D1034B">
        <w:rPr>
          <w:i/>
          <w:sz w:val="24"/>
          <w:szCs w:val="24"/>
        </w:rPr>
        <w:t>Health Affairs</w:t>
      </w:r>
      <w:r w:rsidRPr="00D1034B">
        <w:rPr>
          <w:sz w:val="24"/>
          <w:szCs w:val="24"/>
        </w:rPr>
        <w:t xml:space="preserve"> </w:t>
      </w:r>
      <w:r w:rsidRPr="00D1034B">
        <w:rPr>
          <w:b/>
          <w:sz w:val="24"/>
          <w:szCs w:val="24"/>
        </w:rPr>
        <w:t>19</w:t>
      </w:r>
      <w:r w:rsidRPr="00D1034B">
        <w:rPr>
          <w:sz w:val="24"/>
          <w:szCs w:val="24"/>
        </w:rPr>
        <w:t>: 108-120.</w:t>
      </w:r>
    </w:p>
    <w:p w14:paraId="6B304EB8" w14:textId="77777777" w:rsidR="009E0540" w:rsidRPr="00D1034B" w:rsidRDefault="009E0540" w:rsidP="009E0540">
      <w:pPr>
        <w:pStyle w:val="EndNoteBibliography"/>
        <w:spacing w:after="0"/>
        <w:ind w:left="720" w:hanging="720"/>
        <w:rPr>
          <w:sz w:val="24"/>
          <w:szCs w:val="24"/>
        </w:rPr>
      </w:pPr>
      <w:r w:rsidRPr="00D1034B">
        <w:rPr>
          <w:b/>
          <w:sz w:val="24"/>
          <w:szCs w:val="24"/>
        </w:rPr>
        <w:t>Masís DP, Gómez-Restrepo C, Restrepo MU, Miranda C, Pérez A, de la Espriella M, Novoa J, Chaux A, Arenas Á, Torres N, Suárez M and Rondón M</w:t>
      </w:r>
      <w:r w:rsidRPr="00D1034B">
        <w:rPr>
          <w:sz w:val="24"/>
          <w:szCs w:val="24"/>
        </w:rPr>
        <w:t xml:space="preserve">. (2010) La carga económica de la depresión en Colombia: Costos directos del manejo intrahospitalario. </w:t>
      </w:r>
      <w:r w:rsidRPr="00D1034B">
        <w:rPr>
          <w:i/>
          <w:sz w:val="24"/>
          <w:szCs w:val="24"/>
        </w:rPr>
        <w:t>Revista Colombiana de Psiquiatría</w:t>
      </w:r>
      <w:r w:rsidRPr="00D1034B">
        <w:rPr>
          <w:sz w:val="24"/>
          <w:szCs w:val="24"/>
        </w:rPr>
        <w:t xml:space="preserve"> </w:t>
      </w:r>
      <w:r w:rsidRPr="00D1034B">
        <w:rPr>
          <w:b/>
          <w:sz w:val="24"/>
          <w:szCs w:val="24"/>
        </w:rPr>
        <w:t>39</w:t>
      </w:r>
      <w:r w:rsidRPr="00D1034B">
        <w:rPr>
          <w:sz w:val="24"/>
          <w:szCs w:val="24"/>
        </w:rPr>
        <w:t>: 465-480.</w:t>
      </w:r>
    </w:p>
    <w:p w14:paraId="3748E347" w14:textId="77777777" w:rsidR="009E0540" w:rsidRPr="00D1034B" w:rsidRDefault="009E0540" w:rsidP="009E0540">
      <w:pPr>
        <w:pStyle w:val="EndNoteBibliography"/>
        <w:spacing w:after="0"/>
        <w:ind w:left="720" w:hanging="720"/>
        <w:rPr>
          <w:sz w:val="24"/>
          <w:szCs w:val="24"/>
        </w:rPr>
      </w:pPr>
      <w:r w:rsidRPr="00D1034B">
        <w:rPr>
          <w:b/>
          <w:sz w:val="24"/>
          <w:szCs w:val="24"/>
        </w:rPr>
        <w:t>Mennini FS, Marcellusi A, Sciattella P and Pugliese A</w:t>
      </w:r>
      <w:r w:rsidRPr="00D1034B">
        <w:rPr>
          <w:sz w:val="24"/>
          <w:szCs w:val="24"/>
        </w:rPr>
        <w:t xml:space="preserve">. (2014) Pilot evaluation of indirect costs and the impact of bipolar disorder type I. </w:t>
      </w:r>
      <w:r w:rsidRPr="00D1034B">
        <w:rPr>
          <w:i/>
          <w:sz w:val="24"/>
          <w:szCs w:val="24"/>
        </w:rPr>
        <w:t>Journal of Psychopathology / Giornale di Psicopatologia</w:t>
      </w:r>
      <w:r w:rsidRPr="00D1034B">
        <w:rPr>
          <w:sz w:val="24"/>
          <w:szCs w:val="24"/>
        </w:rPr>
        <w:t xml:space="preserve"> </w:t>
      </w:r>
      <w:r w:rsidRPr="00D1034B">
        <w:rPr>
          <w:b/>
          <w:sz w:val="24"/>
          <w:szCs w:val="24"/>
        </w:rPr>
        <w:t>20</w:t>
      </w:r>
      <w:r w:rsidRPr="00D1034B">
        <w:rPr>
          <w:sz w:val="24"/>
          <w:szCs w:val="24"/>
        </w:rPr>
        <w:t>: 216-222.</w:t>
      </w:r>
    </w:p>
    <w:p w14:paraId="0243ED25" w14:textId="77777777" w:rsidR="009E0540" w:rsidRPr="00D1034B" w:rsidRDefault="009E0540" w:rsidP="009E0540">
      <w:pPr>
        <w:pStyle w:val="EndNoteBibliography"/>
        <w:spacing w:after="0"/>
        <w:ind w:left="720" w:hanging="720"/>
        <w:rPr>
          <w:sz w:val="24"/>
          <w:szCs w:val="24"/>
        </w:rPr>
      </w:pPr>
      <w:r w:rsidRPr="00D1034B">
        <w:rPr>
          <w:b/>
          <w:sz w:val="24"/>
          <w:szCs w:val="24"/>
        </w:rPr>
        <w:t>Moreno JO, Bastida JL and González ALM</w:t>
      </w:r>
      <w:r w:rsidRPr="00D1034B">
        <w:rPr>
          <w:sz w:val="24"/>
          <w:szCs w:val="24"/>
        </w:rPr>
        <w:t xml:space="preserve">. (2006) The economic costs of anxiety in Spain. </w:t>
      </w:r>
      <w:r w:rsidRPr="00D1034B">
        <w:rPr>
          <w:i/>
          <w:sz w:val="24"/>
          <w:szCs w:val="24"/>
        </w:rPr>
        <w:t>Estudios de economía aplicada</w:t>
      </w:r>
      <w:r w:rsidRPr="00D1034B">
        <w:rPr>
          <w:sz w:val="24"/>
          <w:szCs w:val="24"/>
        </w:rPr>
        <w:t xml:space="preserve"> </w:t>
      </w:r>
      <w:r w:rsidRPr="00D1034B">
        <w:rPr>
          <w:b/>
          <w:sz w:val="24"/>
          <w:szCs w:val="24"/>
        </w:rPr>
        <w:t>24</w:t>
      </w:r>
      <w:r w:rsidRPr="00D1034B">
        <w:rPr>
          <w:sz w:val="24"/>
          <w:szCs w:val="24"/>
        </w:rPr>
        <w:t>: 821-836.</w:t>
      </w:r>
    </w:p>
    <w:p w14:paraId="02ED4976" w14:textId="77777777" w:rsidR="009E0540" w:rsidRPr="00D1034B" w:rsidRDefault="009E0540" w:rsidP="009E0540">
      <w:pPr>
        <w:pStyle w:val="EndNoteBibliography"/>
        <w:spacing w:after="0"/>
        <w:ind w:left="720" w:hanging="720"/>
        <w:rPr>
          <w:sz w:val="24"/>
          <w:szCs w:val="24"/>
        </w:rPr>
      </w:pPr>
      <w:r w:rsidRPr="00D1034B">
        <w:rPr>
          <w:b/>
          <w:sz w:val="24"/>
          <w:szCs w:val="24"/>
        </w:rPr>
        <w:t>Nakamura K, Tanaka A and Takano T</w:t>
      </w:r>
      <w:r w:rsidRPr="00D1034B">
        <w:rPr>
          <w:sz w:val="24"/>
          <w:szCs w:val="24"/>
        </w:rPr>
        <w:t xml:space="preserve">. (1993) The social cost of alcohol abuse in Japan. </w:t>
      </w:r>
      <w:r w:rsidRPr="00D1034B">
        <w:rPr>
          <w:i/>
          <w:sz w:val="24"/>
          <w:szCs w:val="24"/>
        </w:rPr>
        <w:t>Journal of Studies on Alcohol</w:t>
      </w:r>
      <w:r w:rsidRPr="00D1034B">
        <w:rPr>
          <w:sz w:val="24"/>
          <w:szCs w:val="24"/>
        </w:rPr>
        <w:t xml:space="preserve"> </w:t>
      </w:r>
      <w:r w:rsidRPr="00D1034B">
        <w:rPr>
          <w:b/>
          <w:sz w:val="24"/>
          <w:szCs w:val="24"/>
        </w:rPr>
        <w:t>54</w:t>
      </w:r>
      <w:r w:rsidRPr="00D1034B">
        <w:rPr>
          <w:sz w:val="24"/>
          <w:szCs w:val="24"/>
        </w:rPr>
        <w:t>: 618-625.</w:t>
      </w:r>
    </w:p>
    <w:p w14:paraId="6427DD01" w14:textId="77777777" w:rsidR="009E0540" w:rsidRPr="00D1034B" w:rsidRDefault="009E0540" w:rsidP="009E0540">
      <w:pPr>
        <w:pStyle w:val="EndNoteBibliography"/>
        <w:spacing w:after="0"/>
        <w:ind w:left="720" w:hanging="720"/>
        <w:rPr>
          <w:sz w:val="24"/>
          <w:szCs w:val="24"/>
        </w:rPr>
      </w:pPr>
      <w:r w:rsidRPr="00D1034B">
        <w:rPr>
          <w:b/>
          <w:sz w:val="24"/>
          <w:szCs w:val="24"/>
        </w:rPr>
        <w:t>Neil AL, Carr VJ, Mihalopoulos C, Mackinnon A and Morgan VA</w:t>
      </w:r>
      <w:r w:rsidRPr="00D1034B">
        <w:rPr>
          <w:sz w:val="24"/>
          <w:szCs w:val="24"/>
        </w:rPr>
        <w:t xml:space="preserve">. (2014) Costs of psychosis in 2010: findings from the second Australian National Survey of Psychosis. </w:t>
      </w:r>
      <w:r w:rsidRPr="00D1034B">
        <w:rPr>
          <w:i/>
          <w:sz w:val="24"/>
          <w:szCs w:val="24"/>
        </w:rPr>
        <w:t>The Australian and New Zealand Journal of Psychiatry</w:t>
      </w:r>
      <w:r w:rsidRPr="00D1034B">
        <w:rPr>
          <w:sz w:val="24"/>
          <w:szCs w:val="24"/>
        </w:rPr>
        <w:t xml:space="preserve"> </w:t>
      </w:r>
      <w:r w:rsidRPr="00D1034B">
        <w:rPr>
          <w:b/>
          <w:sz w:val="24"/>
          <w:szCs w:val="24"/>
        </w:rPr>
        <w:t>48</w:t>
      </w:r>
      <w:r w:rsidRPr="00D1034B">
        <w:rPr>
          <w:sz w:val="24"/>
          <w:szCs w:val="24"/>
        </w:rPr>
        <w:t>: 169-182.</w:t>
      </w:r>
    </w:p>
    <w:p w14:paraId="6856557C" w14:textId="77777777" w:rsidR="009E0540" w:rsidRPr="00D1034B" w:rsidRDefault="009E0540" w:rsidP="009E0540">
      <w:pPr>
        <w:pStyle w:val="EndNoteBibliography"/>
        <w:spacing w:after="0"/>
        <w:ind w:left="720" w:hanging="720"/>
        <w:rPr>
          <w:sz w:val="24"/>
          <w:szCs w:val="24"/>
        </w:rPr>
      </w:pPr>
      <w:r w:rsidRPr="00D1034B">
        <w:rPr>
          <w:b/>
          <w:sz w:val="24"/>
          <w:szCs w:val="24"/>
        </w:rPr>
        <w:t>Okumura Y and Higuchi T</w:t>
      </w:r>
      <w:r w:rsidRPr="00D1034B">
        <w:rPr>
          <w:sz w:val="24"/>
          <w:szCs w:val="24"/>
        </w:rPr>
        <w:t xml:space="preserve">. (2011) Cost of depression among adults in Japan. </w:t>
      </w:r>
      <w:r w:rsidRPr="00D1034B">
        <w:rPr>
          <w:i/>
          <w:sz w:val="24"/>
          <w:szCs w:val="24"/>
        </w:rPr>
        <w:t>Primary Care Companion to the Journal of Clinical Psychiatry</w:t>
      </w:r>
      <w:r w:rsidRPr="00D1034B">
        <w:rPr>
          <w:sz w:val="24"/>
          <w:szCs w:val="24"/>
        </w:rPr>
        <w:t xml:space="preserve"> </w:t>
      </w:r>
      <w:r w:rsidRPr="00D1034B">
        <w:rPr>
          <w:b/>
          <w:sz w:val="24"/>
          <w:szCs w:val="24"/>
        </w:rPr>
        <w:t>13</w:t>
      </w:r>
      <w:r w:rsidRPr="00D1034B">
        <w:rPr>
          <w:sz w:val="24"/>
          <w:szCs w:val="24"/>
        </w:rPr>
        <w:t>.</w:t>
      </w:r>
    </w:p>
    <w:p w14:paraId="531A5E59" w14:textId="77777777" w:rsidR="009E0540" w:rsidRPr="00D1034B" w:rsidRDefault="009E0540" w:rsidP="009E0540">
      <w:pPr>
        <w:pStyle w:val="EndNoteBibliography"/>
        <w:spacing w:after="0"/>
        <w:ind w:left="720" w:hanging="720"/>
        <w:rPr>
          <w:sz w:val="24"/>
          <w:szCs w:val="24"/>
        </w:rPr>
      </w:pPr>
      <w:r w:rsidRPr="00D1034B">
        <w:rPr>
          <w:b/>
          <w:sz w:val="24"/>
          <w:szCs w:val="24"/>
        </w:rPr>
        <w:lastRenderedPageBreak/>
        <w:t>Olesen J, Gustavsson A, Svensson M, Wittchen HU and Jönsson B</w:t>
      </w:r>
      <w:r w:rsidRPr="00D1034B">
        <w:rPr>
          <w:sz w:val="24"/>
          <w:szCs w:val="24"/>
        </w:rPr>
        <w:t xml:space="preserve">. (2012) The economic cost of brain disorders in Europe. </w:t>
      </w:r>
      <w:r w:rsidRPr="00D1034B">
        <w:rPr>
          <w:i/>
          <w:sz w:val="24"/>
          <w:szCs w:val="24"/>
        </w:rPr>
        <w:t>European Journal of Neurology</w:t>
      </w:r>
      <w:r w:rsidRPr="00D1034B">
        <w:rPr>
          <w:sz w:val="24"/>
          <w:szCs w:val="24"/>
        </w:rPr>
        <w:t xml:space="preserve"> </w:t>
      </w:r>
      <w:r w:rsidRPr="00D1034B">
        <w:rPr>
          <w:b/>
          <w:sz w:val="24"/>
          <w:szCs w:val="24"/>
        </w:rPr>
        <w:t>19</w:t>
      </w:r>
      <w:r w:rsidRPr="00D1034B">
        <w:rPr>
          <w:sz w:val="24"/>
          <w:szCs w:val="24"/>
        </w:rPr>
        <w:t>: 155-162.</w:t>
      </w:r>
    </w:p>
    <w:p w14:paraId="35A2502E" w14:textId="77777777" w:rsidR="009E0540" w:rsidRPr="00D1034B" w:rsidRDefault="009E0540" w:rsidP="009E0540">
      <w:pPr>
        <w:pStyle w:val="EndNoteBibliography"/>
        <w:spacing w:after="0"/>
        <w:ind w:left="720" w:hanging="720"/>
        <w:rPr>
          <w:sz w:val="24"/>
          <w:szCs w:val="24"/>
        </w:rPr>
      </w:pPr>
      <w:r w:rsidRPr="00D1034B">
        <w:rPr>
          <w:b/>
          <w:sz w:val="24"/>
          <w:szCs w:val="24"/>
        </w:rPr>
        <w:t>Oliva-Moreno J, López-Bastida J, Osuna-Guerrero R, Montejo-González AL and Duque-González B</w:t>
      </w:r>
      <w:r w:rsidRPr="00D1034B">
        <w:rPr>
          <w:sz w:val="24"/>
          <w:szCs w:val="24"/>
        </w:rPr>
        <w:t xml:space="preserve">. (2006) The costs of schizophrenia in Spain. </w:t>
      </w:r>
      <w:r w:rsidRPr="00D1034B">
        <w:rPr>
          <w:i/>
          <w:sz w:val="24"/>
          <w:szCs w:val="24"/>
        </w:rPr>
        <w:t>The European Journal of Health Economics</w:t>
      </w:r>
      <w:r w:rsidRPr="00D1034B">
        <w:rPr>
          <w:sz w:val="24"/>
          <w:szCs w:val="24"/>
        </w:rPr>
        <w:t xml:space="preserve"> </w:t>
      </w:r>
      <w:r w:rsidRPr="00D1034B">
        <w:rPr>
          <w:b/>
          <w:sz w:val="24"/>
          <w:szCs w:val="24"/>
        </w:rPr>
        <w:t>7</w:t>
      </w:r>
      <w:r w:rsidRPr="00D1034B">
        <w:rPr>
          <w:sz w:val="24"/>
          <w:szCs w:val="24"/>
        </w:rPr>
        <w:t>: 182-188.</w:t>
      </w:r>
    </w:p>
    <w:p w14:paraId="2EEAB201" w14:textId="77777777" w:rsidR="009E0540" w:rsidRPr="00D1034B" w:rsidRDefault="009E0540" w:rsidP="009E0540">
      <w:pPr>
        <w:pStyle w:val="EndNoteBibliography"/>
        <w:spacing w:after="0"/>
        <w:ind w:left="720" w:hanging="720"/>
        <w:rPr>
          <w:sz w:val="24"/>
          <w:szCs w:val="24"/>
        </w:rPr>
      </w:pPr>
      <w:r w:rsidRPr="00D1034B">
        <w:rPr>
          <w:b/>
          <w:sz w:val="24"/>
          <w:szCs w:val="24"/>
        </w:rPr>
        <w:t>Opoku-Boateng YN, Kretchy IA, Aryeetey GC, Dwomoh D, Decker S, Agyemang SA, Tozan Y, Aikins M and Nonvignon J</w:t>
      </w:r>
      <w:r w:rsidRPr="00D1034B">
        <w:rPr>
          <w:sz w:val="24"/>
          <w:szCs w:val="24"/>
        </w:rPr>
        <w:t xml:space="preserve">. (2017) Economic cost and quality of life of family caregivers of schizophrenic patients attending psychiatric hospitals in Ghana. </w:t>
      </w:r>
      <w:r w:rsidRPr="00D1034B">
        <w:rPr>
          <w:i/>
          <w:sz w:val="24"/>
          <w:szCs w:val="24"/>
        </w:rPr>
        <w:t>BMC Health Services Research</w:t>
      </w:r>
      <w:r w:rsidRPr="00D1034B">
        <w:rPr>
          <w:sz w:val="24"/>
          <w:szCs w:val="24"/>
        </w:rPr>
        <w:t xml:space="preserve"> </w:t>
      </w:r>
      <w:r w:rsidRPr="00D1034B">
        <w:rPr>
          <w:b/>
          <w:sz w:val="24"/>
          <w:szCs w:val="24"/>
        </w:rPr>
        <w:t>17</w:t>
      </w:r>
      <w:r w:rsidRPr="00D1034B">
        <w:rPr>
          <w:sz w:val="24"/>
          <w:szCs w:val="24"/>
        </w:rPr>
        <w:t>: 697.</w:t>
      </w:r>
    </w:p>
    <w:p w14:paraId="7CBB9A2A" w14:textId="77777777" w:rsidR="009E0540" w:rsidRPr="00D1034B" w:rsidRDefault="009E0540" w:rsidP="009E0540">
      <w:pPr>
        <w:pStyle w:val="EndNoteBibliography"/>
        <w:spacing w:after="0"/>
        <w:ind w:left="720" w:hanging="720"/>
        <w:rPr>
          <w:sz w:val="24"/>
          <w:szCs w:val="24"/>
        </w:rPr>
      </w:pPr>
      <w:r w:rsidRPr="00D1034B">
        <w:rPr>
          <w:b/>
          <w:sz w:val="24"/>
          <w:szCs w:val="24"/>
        </w:rPr>
        <w:t>Pamias Massana M, Crespo Palomo C, Gisbert Gelonch R and Palao Vidal DJ</w:t>
      </w:r>
      <w:r w:rsidRPr="00D1034B">
        <w:rPr>
          <w:sz w:val="24"/>
          <w:szCs w:val="24"/>
        </w:rPr>
        <w:t xml:space="preserve">. (2012) The social cost of depression in the city of Sabadell (Barcelona, Spain) (2007-2008). </w:t>
      </w:r>
      <w:r w:rsidRPr="00D1034B">
        <w:rPr>
          <w:i/>
          <w:sz w:val="24"/>
          <w:szCs w:val="24"/>
        </w:rPr>
        <w:t>Gaceta Sanitaria</w:t>
      </w:r>
      <w:r w:rsidRPr="00D1034B">
        <w:rPr>
          <w:sz w:val="24"/>
          <w:szCs w:val="24"/>
        </w:rPr>
        <w:t xml:space="preserve"> </w:t>
      </w:r>
      <w:r w:rsidRPr="00D1034B">
        <w:rPr>
          <w:b/>
          <w:sz w:val="24"/>
          <w:szCs w:val="24"/>
        </w:rPr>
        <w:t>26</w:t>
      </w:r>
      <w:r w:rsidRPr="00D1034B">
        <w:rPr>
          <w:sz w:val="24"/>
          <w:szCs w:val="24"/>
        </w:rPr>
        <w:t>: 153-158.</w:t>
      </w:r>
    </w:p>
    <w:p w14:paraId="44163A3D" w14:textId="77777777" w:rsidR="009E0540" w:rsidRPr="00D1034B" w:rsidRDefault="009E0540" w:rsidP="009E0540">
      <w:pPr>
        <w:pStyle w:val="EndNoteBibliography"/>
        <w:spacing w:after="0"/>
        <w:ind w:left="720" w:hanging="720"/>
        <w:rPr>
          <w:sz w:val="24"/>
          <w:szCs w:val="24"/>
        </w:rPr>
      </w:pPr>
      <w:r w:rsidRPr="00D1034B">
        <w:rPr>
          <w:b/>
          <w:sz w:val="24"/>
          <w:szCs w:val="24"/>
        </w:rPr>
        <w:t>Pares-Badell O, Barbaglia G, Jerinic P, Gustavsson A, Salvador-Carulla L and Alonso J</w:t>
      </w:r>
      <w:r w:rsidRPr="00D1034B">
        <w:rPr>
          <w:sz w:val="24"/>
          <w:szCs w:val="24"/>
        </w:rPr>
        <w:t xml:space="preserve">. (2014) Cost of disorders of the brain in Spain. </w:t>
      </w:r>
      <w:r w:rsidRPr="00D1034B">
        <w:rPr>
          <w:i/>
          <w:sz w:val="24"/>
          <w:szCs w:val="24"/>
        </w:rPr>
        <w:t>PloS One</w:t>
      </w:r>
      <w:r w:rsidRPr="00D1034B">
        <w:rPr>
          <w:sz w:val="24"/>
          <w:szCs w:val="24"/>
        </w:rPr>
        <w:t xml:space="preserve"> </w:t>
      </w:r>
      <w:r w:rsidRPr="00D1034B">
        <w:rPr>
          <w:b/>
          <w:sz w:val="24"/>
          <w:szCs w:val="24"/>
        </w:rPr>
        <w:t>9</w:t>
      </w:r>
      <w:r w:rsidRPr="00D1034B">
        <w:rPr>
          <w:sz w:val="24"/>
          <w:szCs w:val="24"/>
        </w:rPr>
        <w:t>: e105471.</w:t>
      </w:r>
    </w:p>
    <w:p w14:paraId="23C50F1A" w14:textId="77777777" w:rsidR="009E0540" w:rsidRPr="00D1034B" w:rsidRDefault="009E0540" w:rsidP="009E0540">
      <w:pPr>
        <w:pStyle w:val="EndNoteBibliography"/>
        <w:spacing w:after="0"/>
        <w:ind w:left="720" w:hanging="720"/>
        <w:rPr>
          <w:sz w:val="24"/>
          <w:szCs w:val="24"/>
        </w:rPr>
      </w:pPr>
      <w:r w:rsidRPr="00D1034B">
        <w:rPr>
          <w:b/>
          <w:sz w:val="24"/>
          <w:szCs w:val="24"/>
        </w:rPr>
        <w:t>Patel A, Knapp M, Henderson J and Baldwin D</w:t>
      </w:r>
      <w:r w:rsidRPr="00D1034B">
        <w:rPr>
          <w:sz w:val="24"/>
          <w:szCs w:val="24"/>
        </w:rPr>
        <w:t xml:space="preserve">. (2002) The economic consequences of social phobia. </w:t>
      </w:r>
      <w:r w:rsidRPr="00D1034B">
        <w:rPr>
          <w:i/>
          <w:sz w:val="24"/>
          <w:szCs w:val="24"/>
        </w:rPr>
        <w:t>Journal of Affective Disorders</w:t>
      </w:r>
      <w:r w:rsidRPr="00D1034B">
        <w:rPr>
          <w:sz w:val="24"/>
          <w:szCs w:val="24"/>
        </w:rPr>
        <w:t xml:space="preserve"> </w:t>
      </w:r>
      <w:r w:rsidRPr="00D1034B">
        <w:rPr>
          <w:b/>
          <w:sz w:val="24"/>
          <w:szCs w:val="24"/>
        </w:rPr>
        <w:t>68</w:t>
      </w:r>
      <w:r w:rsidRPr="00D1034B">
        <w:rPr>
          <w:sz w:val="24"/>
          <w:szCs w:val="24"/>
        </w:rPr>
        <w:t>: 221-233.</w:t>
      </w:r>
    </w:p>
    <w:p w14:paraId="59E12339" w14:textId="77777777" w:rsidR="009E0540" w:rsidRPr="00D1034B" w:rsidRDefault="009E0540" w:rsidP="009E0540">
      <w:pPr>
        <w:pStyle w:val="EndNoteBibliography"/>
        <w:spacing w:after="0"/>
        <w:ind w:left="720" w:hanging="720"/>
        <w:rPr>
          <w:sz w:val="24"/>
          <w:szCs w:val="24"/>
        </w:rPr>
      </w:pPr>
      <w:r w:rsidRPr="00D1034B">
        <w:rPr>
          <w:b/>
          <w:sz w:val="24"/>
          <w:szCs w:val="24"/>
        </w:rPr>
        <w:t>Phanthunane P, Whiteford H, Vos T and Bertram M</w:t>
      </w:r>
      <w:r w:rsidRPr="00D1034B">
        <w:rPr>
          <w:sz w:val="24"/>
          <w:szCs w:val="24"/>
        </w:rPr>
        <w:t xml:space="preserve">. (2012) Economic burden on schizophrenia: Empirical analyses from a survey in Thailand. </w:t>
      </w:r>
      <w:r w:rsidRPr="00D1034B">
        <w:rPr>
          <w:i/>
          <w:sz w:val="24"/>
          <w:szCs w:val="24"/>
        </w:rPr>
        <w:t>Journal of Mental Health Policy and Economics</w:t>
      </w:r>
      <w:r w:rsidRPr="00D1034B">
        <w:rPr>
          <w:sz w:val="24"/>
          <w:szCs w:val="24"/>
        </w:rPr>
        <w:t xml:space="preserve"> </w:t>
      </w:r>
      <w:r w:rsidRPr="00D1034B">
        <w:rPr>
          <w:b/>
          <w:sz w:val="24"/>
          <w:szCs w:val="24"/>
        </w:rPr>
        <w:t>15</w:t>
      </w:r>
      <w:r w:rsidRPr="00D1034B">
        <w:rPr>
          <w:sz w:val="24"/>
          <w:szCs w:val="24"/>
        </w:rPr>
        <w:t>: 25-32.</w:t>
      </w:r>
    </w:p>
    <w:p w14:paraId="2D112630" w14:textId="77777777" w:rsidR="009E0540" w:rsidRPr="00D1034B" w:rsidRDefault="009E0540" w:rsidP="009E0540">
      <w:pPr>
        <w:pStyle w:val="EndNoteBibliography"/>
        <w:spacing w:after="0"/>
        <w:ind w:left="720" w:hanging="720"/>
        <w:rPr>
          <w:sz w:val="24"/>
          <w:szCs w:val="24"/>
        </w:rPr>
      </w:pPr>
      <w:r w:rsidRPr="00D1034B">
        <w:rPr>
          <w:b/>
          <w:sz w:val="24"/>
          <w:szCs w:val="24"/>
        </w:rPr>
        <w:t>Pletscher M, Mattli R, von Wyl A, Reich O and Wieser S</w:t>
      </w:r>
      <w:r w:rsidRPr="00D1034B">
        <w:rPr>
          <w:sz w:val="24"/>
          <w:szCs w:val="24"/>
        </w:rPr>
        <w:t xml:space="preserve">. (2015) The societal costs of schizophrenia in Switzerland. </w:t>
      </w:r>
      <w:r w:rsidRPr="00D1034B">
        <w:rPr>
          <w:i/>
          <w:sz w:val="24"/>
          <w:szCs w:val="24"/>
        </w:rPr>
        <w:t>Journal of Mental Health Policy and Economics</w:t>
      </w:r>
      <w:r w:rsidRPr="00D1034B">
        <w:rPr>
          <w:sz w:val="24"/>
          <w:szCs w:val="24"/>
        </w:rPr>
        <w:t xml:space="preserve"> </w:t>
      </w:r>
      <w:r w:rsidRPr="00D1034B">
        <w:rPr>
          <w:b/>
          <w:sz w:val="24"/>
          <w:szCs w:val="24"/>
        </w:rPr>
        <w:t>18</w:t>
      </w:r>
      <w:r w:rsidRPr="00D1034B">
        <w:rPr>
          <w:sz w:val="24"/>
          <w:szCs w:val="24"/>
        </w:rPr>
        <w:t>: 93-103.</w:t>
      </w:r>
    </w:p>
    <w:p w14:paraId="05F2C92C" w14:textId="77777777" w:rsidR="009E0540" w:rsidRPr="00D1034B" w:rsidRDefault="009E0540" w:rsidP="009E0540">
      <w:pPr>
        <w:pStyle w:val="EndNoteBibliography"/>
        <w:spacing w:after="0"/>
        <w:ind w:left="720" w:hanging="720"/>
        <w:rPr>
          <w:sz w:val="24"/>
          <w:szCs w:val="24"/>
        </w:rPr>
      </w:pPr>
      <w:r w:rsidRPr="00D1034B">
        <w:rPr>
          <w:b/>
          <w:sz w:val="24"/>
          <w:szCs w:val="24"/>
        </w:rPr>
        <w:t>Quintero J, Ramos-Quiroga JA, Sebastian JS, Montanes F, Fernandez-Jaen A, Martinez-Raga J, Giral MG, Graell M, Mardomingo MJ, Soutullo C, Eiris J, Tellez M, Pamias M, Correas J, Sabate J, Garcia-Orti L and Alda JA</w:t>
      </w:r>
      <w:r w:rsidRPr="00D1034B">
        <w:rPr>
          <w:sz w:val="24"/>
          <w:szCs w:val="24"/>
        </w:rPr>
        <w:t xml:space="preserve">. (2018) Health care and societal costs of the management of children and adolescents with attention-deficit/hyperactivity disorder in Spain: a descriptive analysis. </w:t>
      </w:r>
      <w:r w:rsidRPr="00D1034B">
        <w:rPr>
          <w:i/>
          <w:sz w:val="24"/>
          <w:szCs w:val="24"/>
        </w:rPr>
        <w:t>BMC Psychiatry</w:t>
      </w:r>
      <w:r w:rsidRPr="00D1034B">
        <w:rPr>
          <w:sz w:val="24"/>
          <w:szCs w:val="24"/>
        </w:rPr>
        <w:t xml:space="preserve"> </w:t>
      </w:r>
      <w:r w:rsidRPr="00D1034B">
        <w:rPr>
          <w:b/>
          <w:sz w:val="24"/>
          <w:szCs w:val="24"/>
        </w:rPr>
        <w:t>18</w:t>
      </w:r>
      <w:r w:rsidRPr="00D1034B">
        <w:rPr>
          <w:sz w:val="24"/>
          <w:szCs w:val="24"/>
        </w:rPr>
        <w:t>: 40.</w:t>
      </w:r>
    </w:p>
    <w:p w14:paraId="4E1C4645" w14:textId="77777777" w:rsidR="009E0540" w:rsidRPr="00D1034B" w:rsidRDefault="009E0540" w:rsidP="009E0540">
      <w:pPr>
        <w:pStyle w:val="EndNoteBibliography"/>
        <w:spacing w:after="0"/>
        <w:ind w:left="720" w:hanging="720"/>
        <w:rPr>
          <w:sz w:val="24"/>
          <w:szCs w:val="24"/>
        </w:rPr>
      </w:pPr>
      <w:r w:rsidRPr="00D1034B">
        <w:rPr>
          <w:b/>
          <w:sz w:val="24"/>
          <w:szCs w:val="24"/>
        </w:rPr>
        <w:t>Rice DP and Miller LS</w:t>
      </w:r>
      <w:r w:rsidRPr="00D1034B">
        <w:rPr>
          <w:sz w:val="24"/>
          <w:szCs w:val="24"/>
        </w:rPr>
        <w:t xml:space="preserve">. (1998) Health economics and cost implications of anxiety and other mental disorders in the United States. </w:t>
      </w:r>
      <w:r w:rsidRPr="00D1034B">
        <w:rPr>
          <w:i/>
          <w:sz w:val="24"/>
          <w:szCs w:val="24"/>
        </w:rPr>
        <w:t>The British Journal of Psychiatry</w:t>
      </w:r>
      <w:r w:rsidRPr="00D1034B">
        <w:rPr>
          <w:sz w:val="24"/>
          <w:szCs w:val="24"/>
        </w:rPr>
        <w:t xml:space="preserve"> </w:t>
      </w:r>
      <w:r w:rsidRPr="00D1034B">
        <w:rPr>
          <w:b/>
          <w:sz w:val="24"/>
          <w:szCs w:val="24"/>
        </w:rPr>
        <w:t>173</w:t>
      </w:r>
      <w:r w:rsidRPr="00D1034B">
        <w:rPr>
          <w:sz w:val="24"/>
          <w:szCs w:val="24"/>
        </w:rPr>
        <w:t>: 4-9.</w:t>
      </w:r>
    </w:p>
    <w:p w14:paraId="2DC0A221" w14:textId="77777777" w:rsidR="009E0540" w:rsidRPr="00D1034B" w:rsidRDefault="009E0540" w:rsidP="009E0540">
      <w:pPr>
        <w:pStyle w:val="EndNoteBibliography"/>
        <w:spacing w:after="0"/>
        <w:ind w:left="720" w:hanging="720"/>
        <w:rPr>
          <w:sz w:val="24"/>
          <w:szCs w:val="24"/>
        </w:rPr>
      </w:pPr>
      <w:r w:rsidRPr="00D1034B">
        <w:rPr>
          <w:b/>
          <w:sz w:val="24"/>
          <w:szCs w:val="24"/>
        </w:rPr>
        <w:t>Ritter A, Chalmers J and Berends L</w:t>
      </w:r>
      <w:r w:rsidRPr="00D1034B">
        <w:rPr>
          <w:sz w:val="24"/>
          <w:szCs w:val="24"/>
        </w:rPr>
        <w:t xml:space="preserve">. (2015) Health expenditure on alcohol and other drug treatment in Australia (2012/2013). </w:t>
      </w:r>
      <w:r w:rsidRPr="00D1034B">
        <w:rPr>
          <w:i/>
          <w:sz w:val="24"/>
          <w:szCs w:val="24"/>
        </w:rPr>
        <w:t>Drug and Alcohol Review</w:t>
      </w:r>
      <w:r w:rsidRPr="00D1034B">
        <w:rPr>
          <w:sz w:val="24"/>
          <w:szCs w:val="24"/>
        </w:rPr>
        <w:t xml:space="preserve"> </w:t>
      </w:r>
      <w:r w:rsidRPr="00D1034B">
        <w:rPr>
          <w:b/>
          <w:sz w:val="24"/>
          <w:szCs w:val="24"/>
        </w:rPr>
        <w:t>34</w:t>
      </w:r>
      <w:r w:rsidRPr="00D1034B">
        <w:rPr>
          <w:sz w:val="24"/>
          <w:szCs w:val="24"/>
        </w:rPr>
        <w:t>: 397-403.</w:t>
      </w:r>
    </w:p>
    <w:p w14:paraId="52189664" w14:textId="77777777" w:rsidR="009E0540" w:rsidRPr="00D1034B" w:rsidRDefault="009E0540" w:rsidP="009E0540">
      <w:pPr>
        <w:pStyle w:val="EndNoteBibliography"/>
        <w:spacing w:after="0"/>
        <w:ind w:left="720" w:hanging="720"/>
        <w:rPr>
          <w:sz w:val="24"/>
          <w:szCs w:val="24"/>
        </w:rPr>
      </w:pPr>
      <w:r w:rsidRPr="00D1034B">
        <w:rPr>
          <w:b/>
          <w:sz w:val="24"/>
          <w:szCs w:val="24"/>
        </w:rPr>
        <w:t>Rouillon F, Toumi M, Dansette G-Y, Benyaya J and Auquier P</w:t>
      </w:r>
      <w:r w:rsidRPr="00D1034B">
        <w:rPr>
          <w:sz w:val="24"/>
          <w:szCs w:val="24"/>
        </w:rPr>
        <w:t xml:space="preserve">. (1997) Some aspects of the cost of schizophrenia in France. </w:t>
      </w:r>
      <w:r w:rsidRPr="00D1034B">
        <w:rPr>
          <w:i/>
          <w:sz w:val="24"/>
          <w:szCs w:val="24"/>
        </w:rPr>
        <w:t>Pharmacoeconomics</w:t>
      </w:r>
      <w:r w:rsidRPr="00D1034B">
        <w:rPr>
          <w:sz w:val="24"/>
          <w:szCs w:val="24"/>
        </w:rPr>
        <w:t xml:space="preserve"> </w:t>
      </w:r>
      <w:r w:rsidRPr="00D1034B">
        <w:rPr>
          <w:b/>
          <w:sz w:val="24"/>
          <w:szCs w:val="24"/>
        </w:rPr>
        <w:t>11</w:t>
      </w:r>
      <w:r w:rsidRPr="00D1034B">
        <w:rPr>
          <w:sz w:val="24"/>
          <w:szCs w:val="24"/>
        </w:rPr>
        <w:t>: 578-594.</w:t>
      </w:r>
    </w:p>
    <w:p w14:paraId="144E6255" w14:textId="77777777" w:rsidR="009E0540" w:rsidRPr="00D1034B" w:rsidRDefault="009E0540" w:rsidP="009E0540">
      <w:pPr>
        <w:pStyle w:val="EndNoteBibliography"/>
        <w:spacing w:after="0"/>
        <w:ind w:left="720" w:hanging="720"/>
        <w:rPr>
          <w:sz w:val="24"/>
          <w:szCs w:val="24"/>
        </w:rPr>
      </w:pPr>
      <w:r w:rsidRPr="00D1034B">
        <w:rPr>
          <w:b/>
          <w:sz w:val="24"/>
          <w:szCs w:val="24"/>
        </w:rPr>
        <w:t>Rovira J, Albarracin G, Salvador L, Rejas J, Sánchez-Iriso E and Cabasés JM</w:t>
      </w:r>
      <w:r w:rsidRPr="00D1034B">
        <w:rPr>
          <w:sz w:val="24"/>
          <w:szCs w:val="24"/>
        </w:rPr>
        <w:t xml:space="preserve">. (2012) The cost of generalized anxiety disorder in primary care settings: Results of the ANCORA study. </w:t>
      </w:r>
      <w:r w:rsidRPr="00D1034B">
        <w:rPr>
          <w:i/>
          <w:sz w:val="24"/>
          <w:szCs w:val="24"/>
        </w:rPr>
        <w:t>Community Mental Health Journal</w:t>
      </w:r>
      <w:r w:rsidRPr="00D1034B">
        <w:rPr>
          <w:sz w:val="24"/>
          <w:szCs w:val="24"/>
        </w:rPr>
        <w:t xml:space="preserve"> </w:t>
      </w:r>
      <w:r w:rsidRPr="00D1034B">
        <w:rPr>
          <w:b/>
          <w:sz w:val="24"/>
          <w:szCs w:val="24"/>
        </w:rPr>
        <w:t>48</w:t>
      </w:r>
      <w:r w:rsidRPr="00D1034B">
        <w:rPr>
          <w:sz w:val="24"/>
          <w:szCs w:val="24"/>
        </w:rPr>
        <w:t>: 372-383.</w:t>
      </w:r>
    </w:p>
    <w:p w14:paraId="1E1F0EDA" w14:textId="77777777" w:rsidR="009E0540" w:rsidRPr="00D1034B" w:rsidRDefault="009E0540" w:rsidP="009E0540">
      <w:pPr>
        <w:pStyle w:val="EndNoteBibliography"/>
        <w:spacing w:after="0"/>
        <w:ind w:left="720" w:hanging="720"/>
        <w:rPr>
          <w:sz w:val="24"/>
          <w:szCs w:val="24"/>
        </w:rPr>
      </w:pPr>
      <w:r w:rsidRPr="00D1034B">
        <w:rPr>
          <w:b/>
          <w:sz w:val="24"/>
          <w:szCs w:val="24"/>
        </w:rPr>
        <w:t>Runge C and Grunze H</w:t>
      </w:r>
      <w:r w:rsidRPr="00D1034B">
        <w:rPr>
          <w:sz w:val="24"/>
          <w:szCs w:val="24"/>
        </w:rPr>
        <w:t xml:space="preserve">. (2004) Jährliche Krankheitskosten bipolarer Störungen in Deutschland. </w:t>
      </w:r>
      <w:r w:rsidRPr="00D1034B">
        <w:rPr>
          <w:i/>
          <w:sz w:val="24"/>
          <w:szCs w:val="24"/>
        </w:rPr>
        <w:t>Der Nervenarzt</w:t>
      </w:r>
      <w:r w:rsidRPr="00D1034B">
        <w:rPr>
          <w:sz w:val="24"/>
          <w:szCs w:val="24"/>
        </w:rPr>
        <w:t xml:space="preserve"> </w:t>
      </w:r>
      <w:r w:rsidRPr="00D1034B">
        <w:rPr>
          <w:b/>
          <w:sz w:val="24"/>
          <w:szCs w:val="24"/>
        </w:rPr>
        <w:t>75</w:t>
      </w:r>
      <w:r w:rsidRPr="00D1034B">
        <w:rPr>
          <w:sz w:val="24"/>
          <w:szCs w:val="24"/>
        </w:rPr>
        <w:t>: 896-903.</w:t>
      </w:r>
    </w:p>
    <w:p w14:paraId="28898EF9" w14:textId="77777777" w:rsidR="009E0540" w:rsidRPr="00D1034B" w:rsidRDefault="009E0540" w:rsidP="009E0540">
      <w:pPr>
        <w:pStyle w:val="EndNoteBibliography"/>
        <w:spacing w:after="0"/>
        <w:ind w:left="720" w:hanging="720"/>
        <w:rPr>
          <w:sz w:val="24"/>
          <w:szCs w:val="24"/>
        </w:rPr>
      </w:pPr>
      <w:r w:rsidRPr="00D1034B">
        <w:rPr>
          <w:b/>
          <w:sz w:val="24"/>
          <w:szCs w:val="24"/>
        </w:rPr>
        <w:t>Sado M</w:t>
      </w:r>
      <w:r w:rsidRPr="00D1034B">
        <w:rPr>
          <w:sz w:val="24"/>
          <w:szCs w:val="24"/>
        </w:rPr>
        <w:t xml:space="preserve">. (2014) The economic burden of depression - study for cost of depression. </w:t>
      </w:r>
      <w:r w:rsidRPr="00D1034B">
        <w:rPr>
          <w:i/>
          <w:sz w:val="24"/>
          <w:szCs w:val="24"/>
        </w:rPr>
        <w:t>Seishin shinkeigaku zasshi = Psychiatria et neurologia Japonica</w:t>
      </w:r>
      <w:r w:rsidRPr="00D1034B">
        <w:rPr>
          <w:sz w:val="24"/>
          <w:szCs w:val="24"/>
        </w:rPr>
        <w:t xml:space="preserve"> </w:t>
      </w:r>
      <w:r w:rsidRPr="00D1034B">
        <w:rPr>
          <w:b/>
          <w:sz w:val="24"/>
          <w:szCs w:val="24"/>
        </w:rPr>
        <w:t>116</w:t>
      </w:r>
      <w:r w:rsidRPr="00D1034B">
        <w:rPr>
          <w:sz w:val="24"/>
          <w:szCs w:val="24"/>
        </w:rPr>
        <w:t>: 107-115.</w:t>
      </w:r>
    </w:p>
    <w:p w14:paraId="403EAEC3" w14:textId="77777777" w:rsidR="009E0540" w:rsidRPr="00D1034B" w:rsidRDefault="009E0540" w:rsidP="009E0540">
      <w:pPr>
        <w:pStyle w:val="EndNoteBibliography"/>
        <w:spacing w:after="0"/>
        <w:ind w:left="720" w:hanging="720"/>
        <w:rPr>
          <w:sz w:val="24"/>
          <w:szCs w:val="24"/>
        </w:rPr>
      </w:pPr>
      <w:r w:rsidRPr="00D1034B">
        <w:rPr>
          <w:b/>
          <w:sz w:val="24"/>
          <w:szCs w:val="24"/>
        </w:rPr>
        <w:t>Sado M, Inagaki A, Koreki A, Knapp M, Kissane LA, Mimura M and Yoshimura K</w:t>
      </w:r>
      <w:r w:rsidRPr="00D1034B">
        <w:rPr>
          <w:sz w:val="24"/>
          <w:szCs w:val="24"/>
        </w:rPr>
        <w:t xml:space="preserve">. (2013) The cost of schizophrenia in Japan. </w:t>
      </w:r>
      <w:r w:rsidRPr="00D1034B">
        <w:rPr>
          <w:i/>
          <w:sz w:val="24"/>
          <w:szCs w:val="24"/>
        </w:rPr>
        <w:t>Neuropsychiatric Disease and Treatment</w:t>
      </w:r>
      <w:r w:rsidRPr="00D1034B">
        <w:rPr>
          <w:sz w:val="24"/>
          <w:szCs w:val="24"/>
        </w:rPr>
        <w:t xml:space="preserve"> </w:t>
      </w:r>
      <w:r w:rsidRPr="00D1034B">
        <w:rPr>
          <w:b/>
          <w:sz w:val="24"/>
          <w:szCs w:val="24"/>
        </w:rPr>
        <w:t>9</w:t>
      </w:r>
      <w:r w:rsidRPr="00D1034B">
        <w:rPr>
          <w:sz w:val="24"/>
          <w:szCs w:val="24"/>
        </w:rPr>
        <w:t>: 787-798.</w:t>
      </w:r>
    </w:p>
    <w:p w14:paraId="3FC3538B" w14:textId="77777777" w:rsidR="009E0540" w:rsidRPr="00D1034B" w:rsidRDefault="009E0540" w:rsidP="009E0540">
      <w:pPr>
        <w:pStyle w:val="EndNoteBibliography"/>
        <w:spacing w:after="0"/>
        <w:ind w:left="720" w:hanging="720"/>
        <w:rPr>
          <w:sz w:val="24"/>
          <w:szCs w:val="24"/>
        </w:rPr>
      </w:pPr>
      <w:r w:rsidRPr="00D1034B">
        <w:rPr>
          <w:b/>
          <w:sz w:val="24"/>
          <w:szCs w:val="24"/>
        </w:rPr>
        <w:lastRenderedPageBreak/>
        <w:t>Salvador-Carulla L, Bendeck M, Fernandez A, Alberti C, Sabes-Figuera R, Molina C and Knapp M</w:t>
      </w:r>
      <w:r w:rsidRPr="00D1034B">
        <w:rPr>
          <w:sz w:val="24"/>
          <w:szCs w:val="24"/>
        </w:rPr>
        <w:t xml:space="preserve">. (2011) Costs of depression in Catalonia (Spain). </w:t>
      </w:r>
      <w:r w:rsidRPr="00D1034B">
        <w:rPr>
          <w:i/>
          <w:sz w:val="24"/>
          <w:szCs w:val="24"/>
        </w:rPr>
        <w:t>Journal of Affective Disorders</w:t>
      </w:r>
      <w:r w:rsidRPr="00D1034B">
        <w:rPr>
          <w:sz w:val="24"/>
          <w:szCs w:val="24"/>
        </w:rPr>
        <w:t xml:space="preserve"> </w:t>
      </w:r>
      <w:r w:rsidRPr="00D1034B">
        <w:rPr>
          <w:b/>
          <w:sz w:val="24"/>
          <w:szCs w:val="24"/>
        </w:rPr>
        <w:t>132</w:t>
      </w:r>
      <w:r w:rsidRPr="00D1034B">
        <w:rPr>
          <w:sz w:val="24"/>
          <w:szCs w:val="24"/>
        </w:rPr>
        <w:t>: 130-138.</w:t>
      </w:r>
    </w:p>
    <w:p w14:paraId="4368DA21" w14:textId="77777777" w:rsidR="009E0540" w:rsidRPr="00D1034B" w:rsidRDefault="009E0540" w:rsidP="009E0540">
      <w:pPr>
        <w:pStyle w:val="EndNoteBibliography"/>
        <w:spacing w:after="0"/>
        <w:ind w:left="720" w:hanging="720"/>
        <w:rPr>
          <w:sz w:val="24"/>
          <w:szCs w:val="24"/>
        </w:rPr>
      </w:pPr>
      <w:r w:rsidRPr="00D1034B">
        <w:rPr>
          <w:b/>
          <w:sz w:val="24"/>
          <w:szCs w:val="24"/>
        </w:rPr>
        <w:t>Salvador-Carulla L, Bendeck M, Ferrer M, Andión Ó, Aragonès E and Casas M</w:t>
      </w:r>
      <w:r w:rsidRPr="00D1034B">
        <w:rPr>
          <w:sz w:val="24"/>
          <w:szCs w:val="24"/>
        </w:rPr>
        <w:t xml:space="preserve">. (2014) Cost of borderline personality disorder in Catalonia (Spain). </w:t>
      </w:r>
      <w:r w:rsidRPr="00D1034B">
        <w:rPr>
          <w:i/>
          <w:sz w:val="24"/>
          <w:szCs w:val="24"/>
        </w:rPr>
        <w:t>European Psychiatry</w:t>
      </w:r>
      <w:r w:rsidRPr="00D1034B">
        <w:rPr>
          <w:sz w:val="24"/>
          <w:szCs w:val="24"/>
        </w:rPr>
        <w:t xml:space="preserve"> </w:t>
      </w:r>
      <w:r w:rsidRPr="00D1034B">
        <w:rPr>
          <w:b/>
          <w:sz w:val="24"/>
          <w:szCs w:val="24"/>
        </w:rPr>
        <w:t>29</w:t>
      </w:r>
      <w:r w:rsidRPr="00D1034B">
        <w:rPr>
          <w:sz w:val="24"/>
          <w:szCs w:val="24"/>
        </w:rPr>
        <w:t>: 490-497.</w:t>
      </w:r>
    </w:p>
    <w:p w14:paraId="28850DA4" w14:textId="77777777" w:rsidR="009E0540" w:rsidRPr="00D1034B" w:rsidRDefault="009E0540" w:rsidP="009E0540">
      <w:pPr>
        <w:pStyle w:val="EndNoteBibliography"/>
        <w:spacing w:after="0"/>
        <w:ind w:left="720" w:hanging="720"/>
        <w:rPr>
          <w:sz w:val="24"/>
          <w:szCs w:val="24"/>
        </w:rPr>
      </w:pPr>
      <w:r w:rsidRPr="00D1034B">
        <w:rPr>
          <w:b/>
          <w:sz w:val="24"/>
          <w:szCs w:val="24"/>
        </w:rPr>
        <w:t>Samnaliev M, Noh HL, Sonneville KR and Austin SB</w:t>
      </w:r>
      <w:r w:rsidRPr="00D1034B">
        <w:rPr>
          <w:sz w:val="24"/>
          <w:szCs w:val="24"/>
        </w:rPr>
        <w:t xml:space="preserve">. (2015) The economic burden of eating disorders and related mental health comorbidities: An exploratory analysis using the U.S. Medical Expenditures Panel Survey. </w:t>
      </w:r>
      <w:r w:rsidRPr="00D1034B">
        <w:rPr>
          <w:i/>
          <w:sz w:val="24"/>
          <w:szCs w:val="24"/>
        </w:rPr>
        <w:t>Preventive Medicine Reports</w:t>
      </w:r>
      <w:r w:rsidRPr="00D1034B">
        <w:rPr>
          <w:sz w:val="24"/>
          <w:szCs w:val="24"/>
        </w:rPr>
        <w:t xml:space="preserve"> </w:t>
      </w:r>
      <w:r w:rsidRPr="00D1034B">
        <w:rPr>
          <w:b/>
          <w:sz w:val="24"/>
          <w:szCs w:val="24"/>
        </w:rPr>
        <w:t>2</w:t>
      </w:r>
      <w:r w:rsidRPr="00D1034B">
        <w:rPr>
          <w:sz w:val="24"/>
          <w:szCs w:val="24"/>
        </w:rPr>
        <w:t>: 32-34.</w:t>
      </w:r>
    </w:p>
    <w:p w14:paraId="13690467" w14:textId="77777777" w:rsidR="009E0540" w:rsidRPr="00D1034B" w:rsidRDefault="009E0540" w:rsidP="009E0540">
      <w:pPr>
        <w:pStyle w:val="EndNoteBibliography"/>
        <w:spacing w:after="0"/>
        <w:ind w:left="720" w:hanging="720"/>
        <w:rPr>
          <w:sz w:val="24"/>
          <w:szCs w:val="24"/>
        </w:rPr>
      </w:pPr>
      <w:r w:rsidRPr="00D1034B">
        <w:rPr>
          <w:b/>
          <w:sz w:val="24"/>
          <w:szCs w:val="24"/>
        </w:rPr>
        <w:t>Sandelin R, Kowalski J, Ahnemark E and Allgulander C</w:t>
      </w:r>
      <w:r w:rsidRPr="00D1034B">
        <w:rPr>
          <w:sz w:val="24"/>
          <w:szCs w:val="24"/>
        </w:rPr>
        <w:t xml:space="preserve">. (2013) Treatment patterns and costs in patients with generalised anxiety disorder: One-year retrospective analysis of data from national registers in Sweden. </w:t>
      </w:r>
      <w:r w:rsidRPr="00D1034B">
        <w:rPr>
          <w:i/>
          <w:sz w:val="24"/>
          <w:szCs w:val="24"/>
        </w:rPr>
        <w:t>European Psychiatry</w:t>
      </w:r>
      <w:r w:rsidRPr="00D1034B">
        <w:rPr>
          <w:sz w:val="24"/>
          <w:szCs w:val="24"/>
        </w:rPr>
        <w:t xml:space="preserve"> </w:t>
      </w:r>
      <w:r w:rsidRPr="00D1034B">
        <w:rPr>
          <w:b/>
          <w:sz w:val="24"/>
          <w:szCs w:val="24"/>
        </w:rPr>
        <w:t>28</w:t>
      </w:r>
      <w:r w:rsidRPr="00D1034B">
        <w:rPr>
          <w:sz w:val="24"/>
          <w:szCs w:val="24"/>
        </w:rPr>
        <w:t>: 125-133.</w:t>
      </w:r>
    </w:p>
    <w:p w14:paraId="3EDAA342" w14:textId="77777777" w:rsidR="009E0540" w:rsidRPr="00D1034B" w:rsidRDefault="009E0540" w:rsidP="009E0540">
      <w:pPr>
        <w:pStyle w:val="EndNoteBibliography"/>
        <w:spacing w:after="0"/>
        <w:ind w:left="720" w:hanging="720"/>
        <w:rPr>
          <w:sz w:val="24"/>
          <w:szCs w:val="24"/>
        </w:rPr>
      </w:pPr>
      <w:r w:rsidRPr="00D1034B">
        <w:rPr>
          <w:b/>
          <w:sz w:val="24"/>
          <w:szCs w:val="24"/>
        </w:rPr>
        <w:t>Sarlon E, Heider D, Millier A, Azorin JM, Konig HH, Hansen K, Angermeyer MC, Aballea S and Toumi M</w:t>
      </w:r>
      <w:r w:rsidRPr="00D1034B">
        <w:rPr>
          <w:sz w:val="24"/>
          <w:szCs w:val="24"/>
        </w:rPr>
        <w:t xml:space="preserve">. (2012) A prospective study of health care resource utilisation and selected costs of schizophrenia in France. </w:t>
      </w:r>
      <w:r w:rsidRPr="00D1034B">
        <w:rPr>
          <w:i/>
          <w:sz w:val="24"/>
          <w:szCs w:val="24"/>
        </w:rPr>
        <w:t>BMC Health Services Research</w:t>
      </w:r>
      <w:r w:rsidRPr="00D1034B">
        <w:rPr>
          <w:sz w:val="24"/>
          <w:szCs w:val="24"/>
        </w:rPr>
        <w:t xml:space="preserve"> </w:t>
      </w:r>
      <w:r w:rsidRPr="00D1034B">
        <w:rPr>
          <w:b/>
          <w:sz w:val="24"/>
          <w:szCs w:val="24"/>
        </w:rPr>
        <w:t>12</w:t>
      </w:r>
      <w:r w:rsidRPr="00D1034B">
        <w:rPr>
          <w:sz w:val="24"/>
          <w:szCs w:val="24"/>
        </w:rPr>
        <w:t>: 269.</w:t>
      </w:r>
    </w:p>
    <w:p w14:paraId="64B5EB86" w14:textId="77777777" w:rsidR="009E0540" w:rsidRPr="00D1034B" w:rsidRDefault="009E0540" w:rsidP="009E0540">
      <w:pPr>
        <w:pStyle w:val="EndNoteBibliography"/>
        <w:spacing w:after="0"/>
        <w:ind w:left="720" w:hanging="720"/>
        <w:rPr>
          <w:sz w:val="24"/>
          <w:szCs w:val="24"/>
        </w:rPr>
      </w:pPr>
      <w:r w:rsidRPr="00D1034B">
        <w:rPr>
          <w:b/>
          <w:sz w:val="24"/>
          <w:szCs w:val="24"/>
        </w:rPr>
        <w:t>Schlander M</w:t>
      </w:r>
      <w:r w:rsidRPr="00D1034B">
        <w:rPr>
          <w:sz w:val="24"/>
          <w:szCs w:val="24"/>
        </w:rPr>
        <w:t xml:space="preserve">. (2007) Impact of attention-deficit/hyperactivity disorder (ADHD) on prescription drug spending for children and adolescents: Increasing relevance of health economic evidence. </w:t>
      </w:r>
      <w:r w:rsidRPr="00D1034B">
        <w:rPr>
          <w:i/>
          <w:sz w:val="24"/>
          <w:szCs w:val="24"/>
        </w:rPr>
        <w:t>Journal of Mental Health Policy and Economics</w:t>
      </w:r>
      <w:r w:rsidRPr="00D1034B">
        <w:rPr>
          <w:sz w:val="24"/>
          <w:szCs w:val="24"/>
        </w:rPr>
        <w:t xml:space="preserve"> </w:t>
      </w:r>
      <w:r w:rsidRPr="00D1034B">
        <w:rPr>
          <w:b/>
          <w:sz w:val="24"/>
          <w:szCs w:val="24"/>
        </w:rPr>
        <w:t>10</w:t>
      </w:r>
      <w:r w:rsidRPr="00D1034B">
        <w:rPr>
          <w:sz w:val="24"/>
          <w:szCs w:val="24"/>
        </w:rPr>
        <w:t>: S39-S39.</w:t>
      </w:r>
    </w:p>
    <w:p w14:paraId="321957A3" w14:textId="77777777" w:rsidR="009E0540" w:rsidRPr="00D1034B" w:rsidRDefault="009E0540" w:rsidP="009E0540">
      <w:pPr>
        <w:pStyle w:val="EndNoteBibliography"/>
        <w:spacing w:after="0"/>
        <w:ind w:left="720" w:hanging="720"/>
        <w:rPr>
          <w:sz w:val="24"/>
          <w:szCs w:val="24"/>
        </w:rPr>
      </w:pPr>
      <w:r w:rsidRPr="00D1034B">
        <w:rPr>
          <w:b/>
          <w:sz w:val="24"/>
          <w:szCs w:val="24"/>
        </w:rPr>
        <w:t>Schofield DJ, Shrestha RN, Percival R, Passey ME, Callander EJ and Kelly SJ</w:t>
      </w:r>
      <w:r w:rsidRPr="00D1034B">
        <w:rPr>
          <w:sz w:val="24"/>
          <w:szCs w:val="24"/>
        </w:rPr>
        <w:t xml:space="preserve">. (2011) The personal and national costs of mental health conditions: impacts on income, taxes, government support payments due to lost labour force participation. </w:t>
      </w:r>
      <w:r w:rsidRPr="00D1034B">
        <w:rPr>
          <w:i/>
          <w:sz w:val="24"/>
          <w:szCs w:val="24"/>
        </w:rPr>
        <w:t>BMC Psychiatry</w:t>
      </w:r>
      <w:r w:rsidRPr="00D1034B">
        <w:rPr>
          <w:sz w:val="24"/>
          <w:szCs w:val="24"/>
        </w:rPr>
        <w:t xml:space="preserve"> </w:t>
      </w:r>
      <w:r w:rsidRPr="00D1034B">
        <w:rPr>
          <w:b/>
          <w:sz w:val="24"/>
          <w:szCs w:val="24"/>
        </w:rPr>
        <w:t>11</w:t>
      </w:r>
      <w:r w:rsidRPr="00D1034B">
        <w:rPr>
          <w:sz w:val="24"/>
          <w:szCs w:val="24"/>
        </w:rPr>
        <w:t>: 72.</w:t>
      </w:r>
    </w:p>
    <w:p w14:paraId="1143C788" w14:textId="77777777" w:rsidR="009E0540" w:rsidRPr="00D1034B" w:rsidRDefault="009E0540" w:rsidP="009E0540">
      <w:pPr>
        <w:pStyle w:val="EndNoteBibliography"/>
        <w:spacing w:after="0"/>
        <w:ind w:left="720" w:hanging="720"/>
        <w:rPr>
          <w:sz w:val="24"/>
          <w:szCs w:val="24"/>
        </w:rPr>
      </w:pPr>
      <w:r w:rsidRPr="00D1034B">
        <w:rPr>
          <w:b/>
          <w:sz w:val="24"/>
          <w:szCs w:val="24"/>
        </w:rPr>
        <w:t>Sharma P, Das SK and Deshpande SN</w:t>
      </w:r>
      <w:r w:rsidRPr="00D1034B">
        <w:rPr>
          <w:sz w:val="24"/>
          <w:szCs w:val="24"/>
        </w:rPr>
        <w:t xml:space="preserve">. (2006) An estimate of the monthly cost of two major mental disorders in an Indian metropolis. </w:t>
      </w:r>
      <w:r w:rsidRPr="00D1034B">
        <w:rPr>
          <w:i/>
          <w:sz w:val="24"/>
          <w:szCs w:val="24"/>
        </w:rPr>
        <w:t>Indian Journal of Psychiatry</w:t>
      </w:r>
      <w:r w:rsidRPr="00D1034B">
        <w:rPr>
          <w:sz w:val="24"/>
          <w:szCs w:val="24"/>
        </w:rPr>
        <w:t xml:space="preserve"> </w:t>
      </w:r>
      <w:r w:rsidRPr="00D1034B">
        <w:rPr>
          <w:b/>
          <w:sz w:val="24"/>
          <w:szCs w:val="24"/>
        </w:rPr>
        <w:t>48</w:t>
      </w:r>
      <w:r w:rsidRPr="00D1034B">
        <w:rPr>
          <w:sz w:val="24"/>
          <w:szCs w:val="24"/>
        </w:rPr>
        <w:t>: 143-148.</w:t>
      </w:r>
    </w:p>
    <w:p w14:paraId="704A7289" w14:textId="77777777" w:rsidR="009E0540" w:rsidRPr="00D1034B" w:rsidRDefault="009E0540" w:rsidP="009E0540">
      <w:pPr>
        <w:pStyle w:val="EndNoteBibliography"/>
        <w:spacing w:after="0"/>
        <w:ind w:left="720" w:hanging="720"/>
        <w:rPr>
          <w:sz w:val="24"/>
          <w:szCs w:val="24"/>
        </w:rPr>
      </w:pPr>
      <w:r w:rsidRPr="00D1034B">
        <w:rPr>
          <w:b/>
          <w:sz w:val="24"/>
          <w:szCs w:val="24"/>
        </w:rPr>
        <w:t>Shei A, Hirst M, Kirson NY, Enloe CJ, Birnbaum HG and Dunlop WC</w:t>
      </w:r>
      <w:r w:rsidRPr="00D1034B">
        <w:rPr>
          <w:sz w:val="24"/>
          <w:szCs w:val="24"/>
        </w:rPr>
        <w:t xml:space="preserve">. (2015) Estimating the health care burden of prescription opioid abuse in five European countries. </w:t>
      </w:r>
      <w:r w:rsidRPr="00D1034B">
        <w:rPr>
          <w:i/>
          <w:sz w:val="24"/>
          <w:szCs w:val="24"/>
        </w:rPr>
        <w:t>Clinicoecon Outcomes Res</w:t>
      </w:r>
      <w:r w:rsidRPr="00D1034B">
        <w:rPr>
          <w:sz w:val="24"/>
          <w:szCs w:val="24"/>
        </w:rPr>
        <w:t xml:space="preserve"> </w:t>
      </w:r>
      <w:r w:rsidRPr="00D1034B">
        <w:rPr>
          <w:b/>
          <w:sz w:val="24"/>
          <w:szCs w:val="24"/>
        </w:rPr>
        <w:t>7</w:t>
      </w:r>
      <w:r w:rsidRPr="00D1034B">
        <w:rPr>
          <w:sz w:val="24"/>
          <w:szCs w:val="24"/>
        </w:rPr>
        <w:t>: 477-488.</w:t>
      </w:r>
    </w:p>
    <w:p w14:paraId="7318F292" w14:textId="77777777" w:rsidR="009E0540" w:rsidRPr="00D1034B" w:rsidRDefault="009E0540" w:rsidP="009E0540">
      <w:pPr>
        <w:pStyle w:val="EndNoteBibliography"/>
        <w:spacing w:after="0"/>
        <w:ind w:left="720" w:hanging="720"/>
        <w:rPr>
          <w:i/>
          <w:sz w:val="24"/>
          <w:szCs w:val="24"/>
        </w:rPr>
      </w:pPr>
      <w:r w:rsidRPr="00D1034B">
        <w:rPr>
          <w:b/>
          <w:sz w:val="24"/>
          <w:szCs w:val="24"/>
        </w:rPr>
        <w:t>Shirneshan E</w:t>
      </w:r>
      <w:r w:rsidRPr="00D1034B">
        <w:rPr>
          <w:sz w:val="24"/>
          <w:szCs w:val="24"/>
        </w:rPr>
        <w:t xml:space="preserve">. (2014) Cost of illness study of anxiety disorders for the ambulatory adult population of the united states. </w:t>
      </w:r>
      <w:r w:rsidRPr="00D1034B">
        <w:rPr>
          <w:i/>
          <w:sz w:val="24"/>
          <w:szCs w:val="24"/>
        </w:rPr>
        <w:t>University of Tennessee Health Science Center.</w:t>
      </w:r>
    </w:p>
    <w:p w14:paraId="1F1EAE2C" w14:textId="77777777" w:rsidR="009E0540" w:rsidRPr="00D1034B" w:rsidRDefault="009E0540" w:rsidP="009E0540">
      <w:pPr>
        <w:pStyle w:val="EndNoteBibliography"/>
        <w:spacing w:after="0"/>
        <w:ind w:left="720" w:hanging="720"/>
        <w:rPr>
          <w:sz w:val="24"/>
          <w:szCs w:val="24"/>
        </w:rPr>
      </w:pPr>
      <w:r w:rsidRPr="00D1034B">
        <w:rPr>
          <w:b/>
          <w:sz w:val="24"/>
          <w:szCs w:val="24"/>
        </w:rPr>
        <w:t>Slomp M, Jacobs P, Ohinmaa A, Bland R, Block R, Dewa CS and Wang C</w:t>
      </w:r>
      <w:r w:rsidRPr="00D1034B">
        <w:rPr>
          <w:sz w:val="24"/>
          <w:szCs w:val="24"/>
        </w:rPr>
        <w:t xml:space="preserve">. (2012) The distribution of mental health service costs for depression in the Alberta population. </w:t>
      </w:r>
      <w:r w:rsidRPr="00D1034B">
        <w:rPr>
          <w:i/>
          <w:sz w:val="24"/>
          <w:szCs w:val="24"/>
        </w:rPr>
        <w:t>The Canadian Journal of Psychiatry / La Revue canadienne de psychiatrie</w:t>
      </w:r>
      <w:r w:rsidRPr="00D1034B">
        <w:rPr>
          <w:sz w:val="24"/>
          <w:szCs w:val="24"/>
        </w:rPr>
        <w:t xml:space="preserve"> </w:t>
      </w:r>
      <w:r w:rsidRPr="00D1034B">
        <w:rPr>
          <w:b/>
          <w:sz w:val="24"/>
          <w:szCs w:val="24"/>
        </w:rPr>
        <w:t>57</w:t>
      </w:r>
      <w:r w:rsidRPr="00D1034B">
        <w:rPr>
          <w:sz w:val="24"/>
          <w:szCs w:val="24"/>
        </w:rPr>
        <w:t>: 564-569.</w:t>
      </w:r>
    </w:p>
    <w:p w14:paraId="770C8D72" w14:textId="77777777" w:rsidR="009E0540" w:rsidRPr="00D1034B" w:rsidRDefault="009E0540" w:rsidP="009E0540">
      <w:pPr>
        <w:pStyle w:val="EndNoteBibliography"/>
        <w:spacing w:after="0"/>
        <w:ind w:left="720" w:hanging="720"/>
        <w:rPr>
          <w:sz w:val="24"/>
          <w:szCs w:val="24"/>
        </w:rPr>
      </w:pPr>
      <w:r w:rsidRPr="00D1034B">
        <w:rPr>
          <w:b/>
          <w:sz w:val="24"/>
          <w:szCs w:val="24"/>
        </w:rPr>
        <w:t>Smit F, Cuijpers P, Oostenbrink J, Batelaan N, de Graaf R and Beekman A</w:t>
      </w:r>
      <w:r w:rsidRPr="00D1034B">
        <w:rPr>
          <w:sz w:val="24"/>
          <w:szCs w:val="24"/>
        </w:rPr>
        <w:t xml:space="preserve">. (2006) Costs of nine common mental disorders: Implications for curative and preventive psychiatry. </w:t>
      </w:r>
      <w:r w:rsidRPr="00D1034B">
        <w:rPr>
          <w:i/>
          <w:sz w:val="24"/>
          <w:szCs w:val="24"/>
        </w:rPr>
        <w:t>Journal of Mental Health Policy and Economics</w:t>
      </w:r>
      <w:r w:rsidRPr="00D1034B">
        <w:rPr>
          <w:sz w:val="24"/>
          <w:szCs w:val="24"/>
        </w:rPr>
        <w:t xml:space="preserve"> </w:t>
      </w:r>
      <w:r w:rsidRPr="00D1034B">
        <w:rPr>
          <w:b/>
          <w:sz w:val="24"/>
          <w:szCs w:val="24"/>
        </w:rPr>
        <w:t>9</w:t>
      </w:r>
      <w:r w:rsidRPr="00D1034B">
        <w:rPr>
          <w:sz w:val="24"/>
          <w:szCs w:val="24"/>
        </w:rPr>
        <w:t>: 193-200.</w:t>
      </w:r>
    </w:p>
    <w:p w14:paraId="379B48D9" w14:textId="77777777" w:rsidR="009E0540" w:rsidRPr="00D1034B" w:rsidRDefault="009E0540" w:rsidP="009E0540">
      <w:pPr>
        <w:pStyle w:val="EndNoteBibliography"/>
        <w:spacing w:after="0"/>
        <w:ind w:left="720" w:hanging="720"/>
        <w:rPr>
          <w:sz w:val="24"/>
          <w:szCs w:val="24"/>
        </w:rPr>
      </w:pPr>
      <w:r w:rsidRPr="00D1034B">
        <w:rPr>
          <w:b/>
          <w:sz w:val="24"/>
          <w:szCs w:val="24"/>
        </w:rPr>
        <w:t>Sobocki P, Lekander I, Borgstrom F, Strom O and Runeson B</w:t>
      </w:r>
      <w:r w:rsidRPr="00D1034B">
        <w:rPr>
          <w:sz w:val="24"/>
          <w:szCs w:val="24"/>
        </w:rPr>
        <w:t xml:space="preserve">. (2007) The economic burden of depression in Sweden from 1997 to 2005. </w:t>
      </w:r>
      <w:r w:rsidRPr="00D1034B">
        <w:rPr>
          <w:i/>
          <w:sz w:val="24"/>
          <w:szCs w:val="24"/>
        </w:rPr>
        <w:t>European Psychiatry</w:t>
      </w:r>
      <w:r w:rsidRPr="00D1034B">
        <w:rPr>
          <w:sz w:val="24"/>
          <w:szCs w:val="24"/>
        </w:rPr>
        <w:t xml:space="preserve"> </w:t>
      </w:r>
      <w:r w:rsidRPr="00D1034B">
        <w:rPr>
          <w:b/>
          <w:sz w:val="24"/>
          <w:szCs w:val="24"/>
        </w:rPr>
        <w:t>22</w:t>
      </w:r>
      <w:r w:rsidRPr="00D1034B">
        <w:rPr>
          <w:sz w:val="24"/>
          <w:szCs w:val="24"/>
        </w:rPr>
        <w:t>: 146-152.</w:t>
      </w:r>
    </w:p>
    <w:p w14:paraId="5B467F2D" w14:textId="77777777" w:rsidR="009E0540" w:rsidRPr="00D1034B" w:rsidRDefault="009E0540" w:rsidP="009E0540">
      <w:pPr>
        <w:pStyle w:val="EndNoteBibliography"/>
        <w:spacing w:after="0"/>
        <w:ind w:left="720" w:hanging="720"/>
        <w:rPr>
          <w:sz w:val="24"/>
          <w:szCs w:val="24"/>
        </w:rPr>
      </w:pPr>
      <w:r w:rsidRPr="00D1034B">
        <w:rPr>
          <w:b/>
          <w:sz w:val="24"/>
          <w:szCs w:val="24"/>
        </w:rPr>
        <w:t>Soeteman DI, Hakkaart-van Roijen L, Verheul R and Busschbach JJV</w:t>
      </w:r>
      <w:r w:rsidRPr="00D1034B">
        <w:rPr>
          <w:sz w:val="24"/>
          <w:szCs w:val="24"/>
        </w:rPr>
        <w:t xml:space="preserve">. (2008) The economic burden of personality disorders in mental health care. </w:t>
      </w:r>
      <w:r w:rsidRPr="00D1034B">
        <w:rPr>
          <w:i/>
          <w:sz w:val="24"/>
          <w:szCs w:val="24"/>
        </w:rPr>
        <w:t>Journal of Clinical Psychiatry</w:t>
      </w:r>
      <w:r w:rsidRPr="00D1034B">
        <w:rPr>
          <w:sz w:val="24"/>
          <w:szCs w:val="24"/>
        </w:rPr>
        <w:t xml:space="preserve"> </w:t>
      </w:r>
      <w:r w:rsidRPr="00D1034B">
        <w:rPr>
          <w:b/>
          <w:sz w:val="24"/>
          <w:szCs w:val="24"/>
        </w:rPr>
        <w:t>69</w:t>
      </w:r>
      <w:r w:rsidRPr="00D1034B">
        <w:rPr>
          <w:sz w:val="24"/>
          <w:szCs w:val="24"/>
        </w:rPr>
        <w:t>: 259-265.</w:t>
      </w:r>
    </w:p>
    <w:p w14:paraId="3A89D317" w14:textId="77777777" w:rsidR="009E0540" w:rsidRPr="00D1034B" w:rsidRDefault="009E0540" w:rsidP="009E0540">
      <w:pPr>
        <w:pStyle w:val="EndNoteBibliography"/>
        <w:spacing w:after="0"/>
        <w:ind w:left="720" w:hanging="720"/>
        <w:rPr>
          <w:sz w:val="24"/>
          <w:szCs w:val="24"/>
        </w:rPr>
      </w:pPr>
      <w:r w:rsidRPr="00D1034B">
        <w:rPr>
          <w:b/>
          <w:sz w:val="24"/>
          <w:szCs w:val="24"/>
        </w:rPr>
        <w:t>Souêtre E, Lozet H, Cimarosti I, Martin P, Chignon JM, Adés J, Tignol J and Darcourt G</w:t>
      </w:r>
      <w:r w:rsidRPr="00D1034B">
        <w:rPr>
          <w:sz w:val="24"/>
          <w:szCs w:val="24"/>
        </w:rPr>
        <w:t xml:space="preserve">. (1994) Cost of anxiety disorders: Impact of comorbidity. </w:t>
      </w:r>
      <w:r w:rsidRPr="00D1034B">
        <w:rPr>
          <w:i/>
          <w:sz w:val="24"/>
          <w:szCs w:val="24"/>
        </w:rPr>
        <w:t>Journal of Psychosomatic Research</w:t>
      </w:r>
      <w:r w:rsidRPr="00D1034B">
        <w:rPr>
          <w:sz w:val="24"/>
          <w:szCs w:val="24"/>
        </w:rPr>
        <w:t xml:space="preserve"> </w:t>
      </w:r>
      <w:r w:rsidRPr="00D1034B">
        <w:rPr>
          <w:b/>
          <w:sz w:val="24"/>
          <w:szCs w:val="24"/>
        </w:rPr>
        <w:t>38</w:t>
      </w:r>
      <w:r w:rsidRPr="00D1034B">
        <w:rPr>
          <w:sz w:val="24"/>
          <w:szCs w:val="24"/>
        </w:rPr>
        <w:t>: 151-160.</w:t>
      </w:r>
    </w:p>
    <w:p w14:paraId="5473E8DA" w14:textId="77777777" w:rsidR="009E0540" w:rsidRPr="00D1034B" w:rsidRDefault="009E0540" w:rsidP="009E0540">
      <w:pPr>
        <w:pStyle w:val="EndNoteBibliography"/>
        <w:spacing w:after="0"/>
        <w:ind w:left="720" w:hanging="720"/>
        <w:rPr>
          <w:sz w:val="24"/>
          <w:szCs w:val="24"/>
        </w:rPr>
      </w:pPr>
      <w:r w:rsidRPr="00D1034B">
        <w:rPr>
          <w:b/>
          <w:sz w:val="24"/>
          <w:szCs w:val="24"/>
        </w:rPr>
        <w:lastRenderedPageBreak/>
        <w:t>Stoudemire A, Frank R, Hedemark N, Kamlet M and Blazer D</w:t>
      </w:r>
      <w:r w:rsidRPr="00D1034B">
        <w:rPr>
          <w:sz w:val="24"/>
          <w:szCs w:val="24"/>
        </w:rPr>
        <w:t xml:space="preserve">. (1986) The Economic Burden of Depression. </w:t>
      </w:r>
      <w:r w:rsidRPr="00D1034B">
        <w:rPr>
          <w:i/>
          <w:sz w:val="24"/>
          <w:szCs w:val="24"/>
        </w:rPr>
        <w:t>General Hospital Psychiatry</w:t>
      </w:r>
      <w:r w:rsidRPr="00D1034B">
        <w:rPr>
          <w:sz w:val="24"/>
          <w:szCs w:val="24"/>
        </w:rPr>
        <w:t xml:space="preserve"> </w:t>
      </w:r>
      <w:r w:rsidRPr="00D1034B">
        <w:rPr>
          <w:b/>
          <w:sz w:val="24"/>
          <w:szCs w:val="24"/>
        </w:rPr>
        <w:t>8</w:t>
      </w:r>
      <w:r w:rsidRPr="00D1034B">
        <w:rPr>
          <w:sz w:val="24"/>
          <w:szCs w:val="24"/>
        </w:rPr>
        <w:t>: 387-394.</w:t>
      </w:r>
    </w:p>
    <w:p w14:paraId="7DB8E8AE" w14:textId="77777777" w:rsidR="009E0540" w:rsidRPr="00D1034B" w:rsidRDefault="009E0540" w:rsidP="009E0540">
      <w:pPr>
        <w:pStyle w:val="EndNoteBibliography"/>
        <w:spacing w:after="0"/>
        <w:ind w:left="720" w:hanging="720"/>
        <w:rPr>
          <w:sz w:val="24"/>
          <w:szCs w:val="24"/>
        </w:rPr>
      </w:pPr>
      <w:r w:rsidRPr="00D1034B">
        <w:rPr>
          <w:b/>
          <w:sz w:val="24"/>
          <w:szCs w:val="24"/>
        </w:rPr>
        <w:t>Strydom A, Romeo R, Perez-Achiaga N, Livingston G, King M, Knapp M and Hassiotis A</w:t>
      </w:r>
      <w:r w:rsidRPr="00D1034B">
        <w:rPr>
          <w:sz w:val="24"/>
          <w:szCs w:val="24"/>
        </w:rPr>
        <w:t xml:space="preserve">. (2010) Service use and cost of mental disorder in older adults with intellectual disability. </w:t>
      </w:r>
      <w:r w:rsidRPr="00D1034B">
        <w:rPr>
          <w:i/>
          <w:sz w:val="24"/>
          <w:szCs w:val="24"/>
        </w:rPr>
        <w:t>The British Journal of Psychiatry</w:t>
      </w:r>
      <w:r w:rsidRPr="00D1034B">
        <w:rPr>
          <w:sz w:val="24"/>
          <w:szCs w:val="24"/>
        </w:rPr>
        <w:t xml:space="preserve"> </w:t>
      </w:r>
      <w:r w:rsidRPr="00D1034B">
        <w:rPr>
          <w:b/>
          <w:sz w:val="24"/>
          <w:szCs w:val="24"/>
        </w:rPr>
        <w:t>196</w:t>
      </w:r>
      <w:r w:rsidRPr="00D1034B">
        <w:rPr>
          <w:sz w:val="24"/>
          <w:szCs w:val="24"/>
        </w:rPr>
        <w:t>: 133-138.</w:t>
      </w:r>
    </w:p>
    <w:p w14:paraId="39C35439" w14:textId="77777777" w:rsidR="009E0540" w:rsidRPr="00D1034B" w:rsidRDefault="009E0540" w:rsidP="009E0540">
      <w:pPr>
        <w:pStyle w:val="EndNoteBibliography"/>
        <w:spacing w:after="0"/>
        <w:ind w:left="720" w:hanging="720"/>
        <w:rPr>
          <w:sz w:val="24"/>
          <w:szCs w:val="24"/>
        </w:rPr>
      </w:pPr>
      <w:r w:rsidRPr="00D1034B">
        <w:rPr>
          <w:b/>
          <w:sz w:val="24"/>
          <w:szCs w:val="24"/>
        </w:rPr>
        <w:t>Stuhldreher N, Konnopka A, Wild B, Herzog W, Zipfel S, Lowe B and Konig HH</w:t>
      </w:r>
      <w:r w:rsidRPr="00D1034B">
        <w:rPr>
          <w:sz w:val="24"/>
          <w:szCs w:val="24"/>
        </w:rPr>
        <w:t xml:space="preserve">. (2012) Cost-of-illness studies and cost-effectiveness analyses in eating disorders: a systematic review. </w:t>
      </w:r>
      <w:r w:rsidRPr="00D1034B">
        <w:rPr>
          <w:i/>
          <w:sz w:val="24"/>
          <w:szCs w:val="24"/>
        </w:rPr>
        <w:t>International Journal of Eating Disorders</w:t>
      </w:r>
      <w:r w:rsidRPr="00D1034B">
        <w:rPr>
          <w:sz w:val="24"/>
          <w:szCs w:val="24"/>
        </w:rPr>
        <w:t xml:space="preserve"> </w:t>
      </w:r>
      <w:r w:rsidRPr="00D1034B">
        <w:rPr>
          <w:b/>
          <w:sz w:val="24"/>
          <w:szCs w:val="24"/>
        </w:rPr>
        <w:t>45</w:t>
      </w:r>
      <w:r w:rsidRPr="00D1034B">
        <w:rPr>
          <w:sz w:val="24"/>
          <w:szCs w:val="24"/>
        </w:rPr>
        <w:t>: 476-491.</w:t>
      </w:r>
    </w:p>
    <w:p w14:paraId="1582CFAC" w14:textId="77777777" w:rsidR="009E0540" w:rsidRPr="00D1034B" w:rsidRDefault="009E0540" w:rsidP="009E0540">
      <w:pPr>
        <w:pStyle w:val="EndNoteBibliography"/>
        <w:spacing w:after="0"/>
        <w:ind w:left="720" w:hanging="720"/>
        <w:rPr>
          <w:sz w:val="24"/>
          <w:szCs w:val="24"/>
        </w:rPr>
      </w:pPr>
      <w:r w:rsidRPr="00D1034B">
        <w:rPr>
          <w:b/>
          <w:sz w:val="24"/>
          <w:szCs w:val="24"/>
        </w:rPr>
        <w:t>Suleiman TG, Ohaeri JU, Lawal RA, Haruna AY and Orija OB</w:t>
      </w:r>
      <w:r w:rsidRPr="00D1034B">
        <w:rPr>
          <w:sz w:val="24"/>
          <w:szCs w:val="24"/>
        </w:rPr>
        <w:t xml:space="preserve">. (1997) Financial cost of treating out-patients with schizophrenia in Nigeria. </w:t>
      </w:r>
      <w:r w:rsidRPr="00D1034B">
        <w:rPr>
          <w:i/>
          <w:sz w:val="24"/>
          <w:szCs w:val="24"/>
        </w:rPr>
        <w:t>The British Journal of Psychiatry</w:t>
      </w:r>
      <w:r w:rsidRPr="00D1034B">
        <w:rPr>
          <w:sz w:val="24"/>
          <w:szCs w:val="24"/>
        </w:rPr>
        <w:t xml:space="preserve"> </w:t>
      </w:r>
      <w:r w:rsidRPr="00D1034B">
        <w:rPr>
          <w:b/>
          <w:sz w:val="24"/>
          <w:szCs w:val="24"/>
        </w:rPr>
        <w:t>171</w:t>
      </w:r>
      <w:r w:rsidRPr="00D1034B">
        <w:rPr>
          <w:sz w:val="24"/>
          <w:szCs w:val="24"/>
        </w:rPr>
        <w:t>: 364-368.</w:t>
      </w:r>
    </w:p>
    <w:p w14:paraId="5665BF77" w14:textId="77777777" w:rsidR="009E0540" w:rsidRPr="00D1034B" w:rsidRDefault="009E0540" w:rsidP="009E0540">
      <w:pPr>
        <w:pStyle w:val="EndNoteBibliography"/>
        <w:spacing w:after="0"/>
        <w:ind w:left="720" w:hanging="720"/>
        <w:rPr>
          <w:sz w:val="24"/>
          <w:szCs w:val="24"/>
        </w:rPr>
      </w:pPr>
      <w:r w:rsidRPr="00D1034B">
        <w:rPr>
          <w:b/>
          <w:sz w:val="24"/>
          <w:szCs w:val="24"/>
        </w:rPr>
        <w:t>Sundhedsministeriet [Ministry of Health]</w:t>
      </w:r>
      <w:r w:rsidRPr="00D1034B">
        <w:rPr>
          <w:sz w:val="24"/>
          <w:szCs w:val="24"/>
        </w:rPr>
        <w:t>. (1999) De samfundsøkonomiske konsekvenser af alkoholforbrug [The economic consequences of alcohol consumption in Denmark]. Copenhagen, Denmark: Ministry of Health.</w:t>
      </w:r>
    </w:p>
    <w:p w14:paraId="186F2B19" w14:textId="77777777" w:rsidR="009E0540" w:rsidRPr="00D1034B" w:rsidRDefault="009E0540" w:rsidP="009E0540">
      <w:pPr>
        <w:pStyle w:val="EndNoteBibliography"/>
        <w:spacing w:after="0"/>
        <w:ind w:left="720" w:hanging="720"/>
        <w:rPr>
          <w:sz w:val="24"/>
          <w:szCs w:val="24"/>
        </w:rPr>
      </w:pPr>
      <w:r w:rsidRPr="00D1034B">
        <w:rPr>
          <w:b/>
          <w:sz w:val="24"/>
          <w:szCs w:val="24"/>
        </w:rPr>
        <w:t>Telford C, Green C, Logan S, Langley K, Thapar A and Ford T</w:t>
      </w:r>
      <w:r w:rsidRPr="00D1034B">
        <w:rPr>
          <w:sz w:val="24"/>
          <w:szCs w:val="24"/>
        </w:rPr>
        <w:t xml:space="preserve">. (2013) Estimating the costs of ongoing care for adolescents with attention-deficit hyperactivity disorder. </w:t>
      </w:r>
      <w:r w:rsidRPr="00D1034B">
        <w:rPr>
          <w:i/>
          <w:sz w:val="24"/>
          <w:szCs w:val="24"/>
        </w:rPr>
        <w:t>Social Psychiatry and Psychiatric Epidemiology: The International Journal for Research in Social and Genetic Epidemiology and Mental Health Services</w:t>
      </w:r>
      <w:r w:rsidRPr="00D1034B">
        <w:rPr>
          <w:sz w:val="24"/>
          <w:szCs w:val="24"/>
        </w:rPr>
        <w:t xml:space="preserve"> </w:t>
      </w:r>
      <w:r w:rsidRPr="00D1034B">
        <w:rPr>
          <w:b/>
          <w:sz w:val="24"/>
          <w:szCs w:val="24"/>
        </w:rPr>
        <w:t>48</w:t>
      </w:r>
      <w:r w:rsidRPr="00D1034B">
        <w:rPr>
          <w:sz w:val="24"/>
          <w:szCs w:val="24"/>
        </w:rPr>
        <w:t>: 337-344.</w:t>
      </w:r>
    </w:p>
    <w:p w14:paraId="7BD52303" w14:textId="77777777" w:rsidR="009E0540" w:rsidRPr="00D1034B" w:rsidRDefault="009E0540" w:rsidP="009E0540">
      <w:pPr>
        <w:pStyle w:val="EndNoteBibliography"/>
        <w:spacing w:after="0"/>
        <w:ind w:left="720" w:hanging="720"/>
        <w:rPr>
          <w:sz w:val="24"/>
          <w:szCs w:val="24"/>
        </w:rPr>
      </w:pPr>
      <w:r w:rsidRPr="00D1034B">
        <w:rPr>
          <w:b/>
          <w:sz w:val="24"/>
          <w:szCs w:val="24"/>
        </w:rPr>
        <w:t>Teoh SL, Chong HY, Aziz SA, Chemi N, Othman AR, Zaki NM, Vanichkulpitak P and Chaiyakunapruk N</w:t>
      </w:r>
      <w:r w:rsidRPr="00D1034B">
        <w:rPr>
          <w:sz w:val="24"/>
          <w:szCs w:val="24"/>
        </w:rPr>
        <w:t xml:space="preserve">. (2017) The economic burden of schizophrenia in Malaysia. </w:t>
      </w:r>
      <w:r w:rsidRPr="00D1034B">
        <w:rPr>
          <w:i/>
          <w:sz w:val="24"/>
          <w:szCs w:val="24"/>
        </w:rPr>
        <w:t>Neuropsychiatric Disease and Treatment</w:t>
      </w:r>
      <w:r w:rsidRPr="00D1034B">
        <w:rPr>
          <w:sz w:val="24"/>
          <w:szCs w:val="24"/>
        </w:rPr>
        <w:t xml:space="preserve"> </w:t>
      </w:r>
      <w:r w:rsidRPr="00D1034B">
        <w:rPr>
          <w:b/>
          <w:sz w:val="24"/>
          <w:szCs w:val="24"/>
        </w:rPr>
        <w:t>13</w:t>
      </w:r>
      <w:r w:rsidRPr="00D1034B">
        <w:rPr>
          <w:sz w:val="24"/>
          <w:szCs w:val="24"/>
        </w:rPr>
        <w:t>: 1979-1987.</w:t>
      </w:r>
    </w:p>
    <w:p w14:paraId="3AAD2E7D" w14:textId="77777777" w:rsidR="009E0540" w:rsidRPr="00D1034B" w:rsidRDefault="009E0540" w:rsidP="009E0540">
      <w:pPr>
        <w:pStyle w:val="EndNoteBibliography"/>
        <w:spacing w:after="0"/>
        <w:ind w:left="720" w:hanging="720"/>
        <w:rPr>
          <w:sz w:val="24"/>
          <w:szCs w:val="24"/>
        </w:rPr>
      </w:pPr>
      <w:r w:rsidRPr="00D1034B">
        <w:rPr>
          <w:b/>
          <w:sz w:val="24"/>
          <w:szCs w:val="24"/>
        </w:rPr>
        <w:t>Thomas CM and Morris S</w:t>
      </w:r>
      <w:r w:rsidRPr="00D1034B">
        <w:rPr>
          <w:sz w:val="24"/>
          <w:szCs w:val="24"/>
        </w:rPr>
        <w:t xml:space="preserve">. (2003) Cost of depression among adults in England in 2000. </w:t>
      </w:r>
      <w:r w:rsidRPr="00D1034B">
        <w:rPr>
          <w:i/>
          <w:sz w:val="24"/>
          <w:szCs w:val="24"/>
        </w:rPr>
        <w:t>The British Journal of Psychiatry</w:t>
      </w:r>
      <w:r w:rsidRPr="00D1034B">
        <w:rPr>
          <w:sz w:val="24"/>
          <w:szCs w:val="24"/>
        </w:rPr>
        <w:t xml:space="preserve"> </w:t>
      </w:r>
      <w:r w:rsidRPr="00D1034B">
        <w:rPr>
          <w:b/>
          <w:sz w:val="24"/>
          <w:szCs w:val="24"/>
        </w:rPr>
        <w:t>183</w:t>
      </w:r>
      <w:r w:rsidRPr="00D1034B">
        <w:rPr>
          <w:sz w:val="24"/>
          <w:szCs w:val="24"/>
        </w:rPr>
        <w:t>: 514-519.</w:t>
      </w:r>
    </w:p>
    <w:p w14:paraId="20DD49C1" w14:textId="77777777" w:rsidR="009E0540" w:rsidRPr="00D1034B" w:rsidRDefault="009E0540" w:rsidP="009E0540">
      <w:pPr>
        <w:pStyle w:val="EndNoteBibliography"/>
        <w:spacing w:after="0"/>
        <w:ind w:left="720" w:hanging="720"/>
        <w:rPr>
          <w:sz w:val="24"/>
          <w:szCs w:val="24"/>
        </w:rPr>
      </w:pPr>
      <w:r w:rsidRPr="00D1034B">
        <w:rPr>
          <w:b/>
          <w:sz w:val="24"/>
          <w:szCs w:val="24"/>
        </w:rPr>
        <w:t>Tiainen A and Rehnberg C</w:t>
      </w:r>
      <w:r w:rsidRPr="00D1034B">
        <w:rPr>
          <w:sz w:val="24"/>
          <w:szCs w:val="24"/>
        </w:rPr>
        <w:t xml:space="preserve">. (2010) The economic burden of psychiatric disorders in Sweden. </w:t>
      </w:r>
      <w:r w:rsidRPr="00D1034B">
        <w:rPr>
          <w:i/>
          <w:sz w:val="24"/>
          <w:szCs w:val="24"/>
        </w:rPr>
        <w:t>International Journal of Social Psychiatry</w:t>
      </w:r>
      <w:r w:rsidRPr="00D1034B">
        <w:rPr>
          <w:sz w:val="24"/>
          <w:szCs w:val="24"/>
        </w:rPr>
        <w:t xml:space="preserve"> </w:t>
      </w:r>
      <w:r w:rsidRPr="00D1034B">
        <w:rPr>
          <w:b/>
          <w:sz w:val="24"/>
          <w:szCs w:val="24"/>
        </w:rPr>
        <w:t>56</w:t>
      </w:r>
      <w:r w:rsidRPr="00D1034B">
        <w:rPr>
          <w:sz w:val="24"/>
          <w:szCs w:val="24"/>
        </w:rPr>
        <w:t>: 515-526.</w:t>
      </w:r>
    </w:p>
    <w:p w14:paraId="64632A82" w14:textId="77777777" w:rsidR="009E0540" w:rsidRPr="00D1034B" w:rsidRDefault="009E0540" w:rsidP="009E0540">
      <w:pPr>
        <w:pStyle w:val="EndNoteBibliography"/>
        <w:spacing w:after="0"/>
        <w:ind w:left="720" w:hanging="720"/>
        <w:rPr>
          <w:sz w:val="24"/>
          <w:szCs w:val="24"/>
        </w:rPr>
      </w:pPr>
      <w:r w:rsidRPr="00D1034B">
        <w:rPr>
          <w:b/>
          <w:sz w:val="24"/>
          <w:szCs w:val="24"/>
        </w:rPr>
        <w:t>Tomonaga Y, Haettenschwiler J, Hatzinger M, Holsboer-Trachsler E, Rufer M, Hepp U and Szucs TD</w:t>
      </w:r>
      <w:r w:rsidRPr="00D1034B">
        <w:rPr>
          <w:sz w:val="24"/>
          <w:szCs w:val="24"/>
        </w:rPr>
        <w:t xml:space="preserve">. (2013) The Economic Burden of Depression in Switzerland. </w:t>
      </w:r>
      <w:r w:rsidRPr="00D1034B">
        <w:rPr>
          <w:i/>
          <w:sz w:val="24"/>
          <w:szCs w:val="24"/>
        </w:rPr>
        <w:t>Pharmacoeconomics</w:t>
      </w:r>
      <w:r w:rsidRPr="00D1034B">
        <w:rPr>
          <w:sz w:val="24"/>
          <w:szCs w:val="24"/>
        </w:rPr>
        <w:t xml:space="preserve"> </w:t>
      </w:r>
      <w:r w:rsidRPr="00D1034B">
        <w:rPr>
          <w:b/>
          <w:sz w:val="24"/>
          <w:szCs w:val="24"/>
        </w:rPr>
        <w:t>31</w:t>
      </w:r>
      <w:r w:rsidRPr="00D1034B">
        <w:rPr>
          <w:sz w:val="24"/>
          <w:szCs w:val="24"/>
        </w:rPr>
        <w:t>: 237-250.</w:t>
      </w:r>
    </w:p>
    <w:p w14:paraId="4B629C4F" w14:textId="77777777" w:rsidR="009E0540" w:rsidRPr="00D1034B" w:rsidRDefault="009E0540" w:rsidP="009E0540">
      <w:pPr>
        <w:pStyle w:val="EndNoteBibliography"/>
        <w:spacing w:after="0"/>
        <w:ind w:left="720" w:hanging="720"/>
        <w:rPr>
          <w:sz w:val="24"/>
          <w:szCs w:val="24"/>
        </w:rPr>
      </w:pPr>
      <w:r w:rsidRPr="00D1034B">
        <w:rPr>
          <w:b/>
          <w:sz w:val="24"/>
          <w:szCs w:val="24"/>
        </w:rPr>
        <w:t>Trivedi DN, Lawrence LW, Blake SG, Rappaport HM and Feldbaus JB</w:t>
      </w:r>
      <w:r w:rsidRPr="00D1034B">
        <w:rPr>
          <w:sz w:val="24"/>
          <w:szCs w:val="24"/>
        </w:rPr>
        <w:t xml:space="preserve">. (2004) Study of the economic burden of depression. </w:t>
      </w:r>
      <w:r w:rsidRPr="00D1034B">
        <w:rPr>
          <w:i/>
          <w:sz w:val="24"/>
          <w:szCs w:val="24"/>
        </w:rPr>
        <w:t>Journal of Pharmaceutical Finance, Economics and Policy</w:t>
      </w:r>
      <w:r w:rsidRPr="00D1034B">
        <w:rPr>
          <w:sz w:val="24"/>
          <w:szCs w:val="24"/>
        </w:rPr>
        <w:t xml:space="preserve"> </w:t>
      </w:r>
      <w:r w:rsidRPr="00D1034B">
        <w:rPr>
          <w:b/>
          <w:sz w:val="24"/>
          <w:szCs w:val="24"/>
        </w:rPr>
        <w:t>13</w:t>
      </w:r>
      <w:r w:rsidRPr="00D1034B">
        <w:rPr>
          <w:sz w:val="24"/>
          <w:szCs w:val="24"/>
        </w:rPr>
        <w:t>: 51-66.</w:t>
      </w:r>
    </w:p>
    <w:p w14:paraId="21136FCC" w14:textId="77777777" w:rsidR="009E0540" w:rsidRPr="00D1034B" w:rsidRDefault="009E0540" w:rsidP="009E0540">
      <w:pPr>
        <w:pStyle w:val="EndNoteBibliography"/>
        <w:spacing w:after="0"/>
        <w:ind w:left="720" w:hanging="720"/>
        <w:rPr>
          <w:sz w:val="24"/>
          <w:szCs w:val="24"/>
        </w:rPr>
      </w:pPr>
      <w:r w:rsidRPr="00D1034B">
        <w:rPr>
          <w:b/>
          <w:sz w:val="24"/>
          <w:szCs w:val="24"/>
        </w:rPr>
        <w:t>Trogdon JG, Murphy LB, Khavjou OA, Li R, Maylahn CM, Tangka FK, Nurmagambetov TA, Ekwueme DU, Nwaise I, Chapman DP and Orenstein D</w:t>
      </w:r>
      <w:r w:rsidRPr="00D1034B">
        <w:rPr>
          <w:sz w:val="24"/>
          <w:szCs w:val="24"/>
        </w:rPr>
        <w:t xml:space="preserve">. (2015) Costs of Chronic Diseases at the State Level: The Chronic Disease Cost Calculator. </w:t>
      </w:r>
      <w:r w:rsidRPr="00D1034B">
        <w:rPr>
          <w:i/>
          <w:sz w:val="24"/>
          <w:szCs w:val="24"/>
        </w:rPr>
        <w:t>Preventing Chronic Disease</w:t>
      </w:r>
      <w:r w:rsidRPr="00D1034B">
        <w:rPr>
          <w:sz w:val="24"/>
          <w:szCs w:val="24"/>
        </w:rPr>
        <w:t xml:space="preserve"> </w:t>
      </w:r>
      <w:r w:rsidRPr="00D1034B">
        <w:rPr>
          <w:b/>
          <w:sz w:val="24"/>
          <w:szCs w:val="24"/>
        </w:rPr>
        <w:t>12</w:t>
      </w:r>
      <w:r w:rsidRPr="00D1034B">
        <w:rPr>
          <w:sz w:val="24"/>
          <w:szCs w:val="24"/>
        </w:rPr>
        <w:t>: E140.</w:t>
      </w:r>
    </w:p>
    <w:p w14:paraId="01B4AA92" w14:textId="77777777" w:rsidR="009E0540" w:rsidRPr="00D1034B" w:rsidRDefault="009E0540" w:rsidP="009E0540">
      <w:pPr>
        <w:pStyle w:val="EndNoteBibliography"/>
        <w:spacing w:after="0"/>
        <w:ind w:left="720" w:hanging="720"/>
        <w:rPr>
          <w:sz w:val="24"/>
          <w:szCs w:val="24"/>
        </w:rPr>
      </w:pPr>
      <w:r w:rsidRPr="00D1034B">
        <w:rPr>
          <w:b/>
          <w:sz w:val="24"/>
          <w:szCs w:val="24"/>
        </w:rPr>
        <w:t>Vasiliadis H-M, Dionne P-A, Préville M, Gentil L, Berbiche D and Latimer E</w:t>
      </w:r>
      <w:r w:rsidRPr="00D1034B">
        <w:rPr>
          <w:sz w:val="24"/>
          <w:szCs w:val="24"/>
        </w:rPr>
        <w:t xml:space="preserve">. (2013) The excess healthcare costs associated with depression and anxiety in elderly living in the community. </w:t>
      </w:r>
      <w:r w:rsidRPr="00D1034B">
        <w:rPr>
          <w:i/>
          <w:sz w:val="24"/>
          <w:szCs w:val="24"/>
        </w:rPr>
        <w:t>The American Journal of Geriatric Psychiatry</w:t>
      </w:r>
      <w:r w:rsidRPr="00D1034B">
        <w:rPr>
          <w:sz w:val="24"/>
          <w:szCs w:val="24"/>
        </w:rPr>
        <w:t xml:space="preserve"> </w:t>
      </w:r>
      <w:r w:rsidRPr="00D1034B">
        <w:rPr>
          <w:b/>
          <w:sz w:val="24"/>
          <w:szCs w:val="24"/>
        </w:rPr>
        <w:t>21</w:t>
      </w:r>
      <w:r w:rsidRPr="00D1034B">
        <w:rPr>
          <w:sz w:val="24"/>
          <w:szCs w:val="24"/>
        </w:rPr>
        <w:t>: 536-548.</w:t>
      </w:r>
    </w:p>
    <w:p w14:paraId="0B006521" w14:textId="77777777" w:rsidR="009E0540" w:rsidRPr="00D1034B" w:rsidRDefault="009E0540" w:rsidP="009E0540">
      <w:pPr>
        <w:pStyle w:val="EndNoteBibliography"/>
        <w:spacing w:after="0"/>
        <w:ind w:left="720" w:hanging="720"/>
        <w:rPr>
          <w:sz w:val="24"/>
          <w:szCs w:val="24"/>
        </w:rPr>
      </w:pPr>
      <w:r w:rsidRPr="00D1034B">
        <w:rPr>
          <w:b/>
          <w:sz w:val="24"/>
          <w:szCs w:val="24"/>
        </w:rPr>
        <w:t>Vazquez-Polo FJ, Negrin M, Cabases JM, Sanchez E, Haro JM and Salvador-Carulla L</w:t>
      </w:r>
      <w:r w:rsidRPr="00D1034B">
        <w:rPr>
          <w:sz w:val="24"/>
          <w:szCs w:val="24"/>
        </w:rPr>
        <w:t xml:space="preserve">. (2005) An analysis of the costs of treating schizophrenia in Spain: A hierarchical Bayesian approach. </w:t>
      </w:r>
      <w:r w:rsidRPr="00D1034B">
        <w:rPr>
          <w:i/>
          <w:sz w:val="24"/>
          <w:szCs w:val="24"/>
        </w:rPr>
        <w:t>Journal of Mental Health Policy and Economics</w:t>
      </w:r>
      <w:r w:rsidRPr="00D1034B">
        <w:rPr>
          <w:sz w:val="24"/>
          <w:szCs w:val="24"/>
        </w:rPr>
        <w:t xml:space="preserve"> </w:t>
      </w:r>
      <w:r w:rsidRPr="00D1034B">
        <w:rPr>
          <w:b/>
          <w:sz w:val="24"/>
          <w:szCs w:val="24"/>
        </w:rPr>
        <w:t>8</w:t>
      </w:r>
      <w:r w:rsidRPr="00D1034B">
        <w:rPr>
          <w:sz w:val="24"/>
          <w:szCs w:val="24"/>
        </w:rPr>
        <w:t>: 153-165.</w:t>
      </w:r>
    </w:p>
    <w:p w14:paraId="29345E69" w14:textId="77777777" w:rsidR="009E0540" w:rsidRPr="00D1034B" w:rsidRDefault="009E0540" w:rsidP="009E0540">
      <w:pPr>
        <w:pStyle w:val="EndNoteBibliography"/>
        <w:spacing w:after="0"/>
        <w:ind w:left="720" w:hanging="720"/>
        <w:rPr>
          <w:sz w:val="24"/>
          <w:szCs w:val="24"/>
        </w:rPr>
      </w:pPr>
      <w:r w:rsidRPr="00D1034B">
        <w:rPr>
          <w:b/>
          <w:sz w:val="24"/>
          <w:szCs w:val="24"/>
        </w:rPr>
        <w:t>Vodušek DB, Kos M, Dolenc VV, Tomori M, Neubauer D and Sobocki P</w:t>
      </w:r>
      <w:r w:rsidRPr="00D1034B">
        <w:rPr>
          <w:sz w:val="24"/>
          <w:szCs w:val="24"/>
        </w:rPr>
        <w:t xml:space="preserve">. (2008) Cost of disorders of the brain in Slovenia. </w:t>
      </w:r>
      <w:r w:rsidRPr="00D1034B">
        <w:rPr>
          <w:i/>
          <w:sz w:val="24"/>
          <w:szCs w:val="24"/>
        </w:rPr>
        <w:t>Slovenian Medical Journal</w:t>
      </w:r>
      <w:r w:rsidRPr="00D1034B">
        <w:rPr>
          <w:sz w:val="24"/>
          <w:szCs w:val="24"/>
        </w:rPr>
        <w:t xml:space="preserve"> </w:t>
      </w:r>
      <w:r w:rsidRPr="00D1034B">
        <w:rPr>
          <w:b/>
          <w:sz w:val="24"/>
          <w:szCs w:val="24"/>
        </w:rPr>
        <w:t>77</w:t>
      </w:r>
      <w:r w:rsidRPr="00D1034B">
        <w:rPr>
          <w:sz w:val="24"/>
          <w:szCs w:val="24"/>
        </w:rPr>
        <w:t>: 164-175.</w:t>
      </w:r>
    </w:p>
    <w:p w14:paraId="5916AE30" w14:textId="77777777" w:rsidR="009E0540" w:rsidRPr="00D1034B" w:rsidRDefault="009E0540" w:rsidP="009E0540">
      <w:pPr>
        <w:pStyle w:val="EndNoteBibliography"/>
        <w:spacing w:after="0"/>
        <w:ind w:left="720" w:hanging="720"/>
        <w:rPr>
          <w:sz w:val="24"/>
          <w:szCs w:val="24"/>
        </w:rPr>
      </w:pPr>
      <w:r w:rsidRPr="00D1034B">
        <w:rPr>
          <w:b/>
          <w:sz w:val="24"/>
          <w:szCs w:val="24"/>
        </w:rPr>
        <w:t>Wagner CJ, Metzger FG, Sievers C, Marschall U, L'Hoest H, Stollenwerk B and Stock S</w:t>
      </w:r>
      <w:r w:rsidRPr="00D1034B">
        <w:rPr>
          <w:sz w:val="24"/>
          <w:szCs w:val="24"/>
        </w:rPr>
        <w:t xml:space="preserve">. (2016) Depression-related treatment and costs in Germany: Do they change with comorbidity? A claims data analysis. </w:t>
      </w:r>
      <w:r w:rsidRPr="00D1034B">
        <w:rPr>
          <w:i/>
          <w:sz w:val="24"/>
          <w:szCs w:val="24"/>
        </w:rPr>
        <w:t>Journal of Affective Disorders</w:t>
      </w:r>
      <w:r w:rsidRPr="00D1034B">
        <w:rPr>
          <w:sz w:val="24"/>
          <w:szCs w:val="24"/>
        </w:rPr>
        <w:t xml:space="preserve"> </w:t>
      </w:r>
      <w:r w:rsidRPr="00D1034B">
        <w:rPr>
          <w:b/>
          <w:sz w:val="24"/>
          <w:szCs w:val="24"/>
        </w:rPr>
        <w:t>193</w:t>
      </w:r>
      <w:r w:rsidRPr="00D1034B">
        <w:rPr>
          <w:sz w:val="24"/>
          <w:szCs w:val="24"/>
        </w:rPr>
        <w:t>: 257-266.</w:t>
      </w:r>
    </w:p>
    <w:p w14:paraId="5625400A" w14:textId="77777777" w:rsidR="009E0540" w:rsidRPr="00D1034B" w:rsidRDefault="009E0540" w:rsidP="009E0540">
      <w:pPr>
        <w:pStyle w:val="EndNoteBibliography"/>
        <w:spacing w:after="0"/>
        <w:ind w:left="720" w:hanging="720"/>
        <w:rPr>
          <w:sz w:val="24"/>
          <w:szCs w:val="24"/>
        </w:rPr>
      </w:pPr>
      <w:r w:rsidRPr="00D1034B">
        <w:rPr>
          <w:b/>
          <w:sz w:val="24"/>
          <w:szCs w:val="24"/>
        </w:rPr>
        <w:lastRenderedPageBreak/>
        <w:t>Wancata J, Sobocki P and Katschnig H</w:t>
      </w:r>
      <w:r w:rsidRPr="00D1034B">
        <w:rPr>
          <w:sz w:val="24"/>
          <w:szCs w:val="24"/>
        </w:rPr>
        <w:t xml:space="preserve">. (2007) Cost of disorders of the brain in Austria in the year 2004. </w:t>
      </w:r>
      <w:r w:rsidRPr="00D1034B">
        <w:rPr>
          <w:i/>
          <w:sz w:val="24"/>
          <w:szCs w:val="24"/>
        </w:rPr>
        <w:t>Wiener Klinische Wochenschrift</w:t>
      </w:r>
      <w:r w:rsidRPr="00D1034B">
        <w:rPr>
          <w:sz w:val="24"/>
          <w:szCs w:val="24"/>
        </w:rPr>
        <w:t xml:space="preserve"> </w:t>
      </w:r>
      <w:r w:rsidRPr="00D1034B">
        <w:rPr>
          <w:b/>
          <w:sz w:val="24"/>
          <w:szCs w:val="24"/>
        </w:rPr>
        <w:t>119</w:t>
      </w:r>
      <w:r w:rsidRPr="00D1034B">
        <w:rPr>
          <w:sz w:val="24"/>
          <w:szCs w:val="24"/>
        </w:rPr>
        <w:t>: 91-98.</w:t>
      </w:r>
    </w:p>
    <w:p w14:paraId="6E16A4A2" w14:textId="77777777" w:rsidR="009E0540" w:rsidRPr="00D1034B" w:rsidRDefault="009E0540" w:rsidP="009E0540">
      <w:pPr>
        <w:pStyle w:val="EndNoteBibliography"/>
        <w:spacing w:after="0"/>
        <w:ind w:left="720" w:hanging="720"/>
        <w:rPr>
          <w:sz w:val="24"/>
          <w:szCs w:val="24"/>
        </w:rPr>
      </w:pPr>
      <w:r w:rsidRPr="00D1034B">
        <w:rPr>
          <w:b/>
          <w:sz w:val="24"/>
          <w:szCs w:val="24"/>
        </w:rPr>
        <w:t>Young AH, Rigney U, Shaw S, Emmas C and Thompson JM</w:t>
      </w:r>
      <w:r w:rsidRPr="00D1034B">
        <w:rPr>
          <w:sz w:val="24"/>
          <w:szCs w:val="24"/>
        </w:rPr>
        <w:t xml:space="preserve">. (2011) Annual cost of managing bipolar disorder to the UK healthcare system. </w:t>
      </w:r>
      <w:r w:rsidRPr="00D1034B">
        <w:rPr>
          <w:i/>
          <w:sz w:val="24"/>
          <w:szCs w:val="24"/>
        </w:rPr>
        <w:t>Journal of Affective Disorders</w:t>
      </w:r>
      <w:r w:rsidRPr="00D1034B">
        <w:rPr>
          <w:sz w:val="24"/>
          <w:szCs w:val="24"/>
        </w:rPr>
        <w:t xml:space="preserve"> </w:t>
      </w:r>
      <w:r w:rsidRPr="00D1034B">
        <w:rPr>
          <w:b/>
          <w:sz w:val="24"/>
          <w:szCs w:val="24"/>
        </w:rPr>
        <w:t>133</w:t>
      </w:r>
      <w:r w:rsidRPr="00D1034B">
        <w:rPr>
          <w:sz w:val="24"/>
          <w:szCs w:val="24"/>
        </w:rPr>
        <w:t>: 450-456.</w:t>
      </w:r>
    </w:p>
    <w:p w14:paraId="75B6D55B" w14:textId="77777777" w:rsidR="009E0540" w:rsidRPr="00D1034B" w:rsidRDefault="009E0540" w:rsidP="009E0540">
      <w:pPr>
        <w:pStyle w:val="EndNoteBibliography"/>
        <w:spacing w:after="0"/>
        <w:ind w:left="720" w:hanging="720"/>
        <w:rPr>
          <w:sz w:val="24"/>
          <w:szCs w:val="24"/>
        </w:rPr>
      </w:pPr>
      <w:r w:rsidRPr="00D1034B">
        <w:rPr>
          <w:b/>
          <w:sz w:val="24"/>
          <w:szCs w:val="24"/>
        </w:rPr>
        <w:t>Zeidler J, Slawik L, Fleischmann J and Greiner W</w:t>
      </w:r>
      <w:r w:rsidRPr="00D1034B">
        <w:rPr>
          <w:sz w:val="24"/>
          <w:szCs w:val="24"/>
        </w:rPr>
        <w:t xml:space="preserve">. (2012) The costs of schizophrenia and predictors of hospitalisation from the statutory health insurance perspective. </w:t>
      </w:r>
      <w:r w:rsidRPr="00D1034B">
        <w:rPr>
          <w:i/>
          <w:sz w:val="24"/>
          <w:szCs w:val="24"/>
        </w:rPr>
        <w:t>Health Economics Review</w:t>
      </w:r>
      <w:r w:rsidRPr="00D1034B">
        <w:rPr>
          <w:sz w:val="24"/>
          <w:szCs w:val="24"/>
        </w:rPr>
        <w:t xml:space="preserve"> </w:t>
      </w:r>
      <w:r w:rsidRPr="00D1034B">
        <w:rPr>
          <w:b/>
          <w:sz w:val="24"/>
          <w:szCs w:val="24"/>
        </w:rPr>
        <w:t>2</w:t>
      </w:r>
      <w:r w:rsidRPr="00D1034B">
        <w:rPr>
          <w:sz w:val="24"/>
          <w:szCs w:val="24"/>
        </w:rPr>
        <w:t>: 9.</w:t>
      </w:r>
    </w:p>
    <w:p w14:paraId="022403AA" w14:textId="77777777" w:rsidR="009E0540" w:rsidRPr="00D1034B" w:rsidRDefault="009E0540" w:rsidP="009E0540">
      <w:pPr>
        <w:pStyle w:val="EndNoteBibliography"/>
        <w:spacing w:after="0"/>
        <w:ind w:left="720" w:hanging="720"/>
        <w:rPr>
          <w:sz w:val="24"/>
          <w:szCs w:val="24"/>
        </w:rPr>
      </w:pPr>
      <w:r w:rsidRPr="00D1034B">
        <w:rPr>
          <w:b/>
          <w:sz w:val="24"/>
          <w:szCs w:val="24"/>
        </w:rPr>
        <w:t>Zuvekas SH and Meyerhoefer CD</w:t>
      </w:r>
      <w:r w:rsidRPr="00D1034B">
        <w:rPr>
          <w:sz w:val="24"/>
          <w:szCs w:val="24"/>
        </w:rPr>
        <w:t xml:space="preserve">. (2009) State variations in the out-of-pocket spending burden for outpatient mental health treatment. </w:t>
      </w:r>
      <w:r w:rsidRPr="00D1034B">
        <w:rPr>
          <w:i/>
          <w:sz w:val="24"/>
          <w:szCs w:val="24"/>
        </w:rPr>
        <w:t>Health Affairs</w:t>
      </w:r>
      <w:r w:rsidRPr="00D1034B">
        <w:rPr>
          <w:sz w:val="24"/>
          <w:szCs w:val="24"/>
        </w:rPr>
        <w:t xml:space="preserve"> </w:t>
      </w:r>
      <w:r w:rsidRPr="00D1034B">
        <w:rPr>
          <w:b/>
          <w:sz w:val="24"/>
          <w:szCs w:val="24"/>
        </w:rPr>
        <w:t>28</w:t>
      </w:r>
      <w:r w:rsidRPr="00D1034B">
        <w:rPr>
          <w:sz w:val="24"/>
          <w:szCs w:val="24"/>
        </w:rPr>
        <w:t>: 713-722.</w:t>
      </w:r>
    </w:p>
    <w:p w14:paraId="3AAD511F" w14:textId="77777777" w:rsidR="009E0540" w:rsidRPr="00D1034B" w:rsidRDefault="009E0540" w:rsidP="009E0540">
      <w:pPr>
        <w:pStyle w:val="EndNoteBibliography"/>
        <w:ind w:left="720" w:hanging="720"/>
        <w:rPr>
          <w:sz w:val="24"/>
          <w:szCs w:val="24"/>
        </w:rPr>
      </w:pPr>
      <w:r w:rsidRPr="00D1034B">
        <w:rPr>
          <w:b/>
          <w:sz w:val="24"/>
          <w:szCs w:val="24"/>
        </w:rPr>
        <w:t>Ösby U, Tiainen A, Backlund L, Edman G, Adler M, Hällgren J, Sennfält K, van Baardewijk M and Sparen P</w:t>
      </w:r>
      <w:r w:rsidRPr="00D1034B">
        <w:rPr>
          <w:sz w:val="24"/>
          <w:szCs w:val="24"/>
        </w:rPr>
        <w:t xml:space="preserve">. (2009) Psychiatric admissions and hospitalization costs in bipolar disorder in Sweden. </w:t>
      </w:r>
      <w:r w:rsidRPr="00D1034B">
        <w:rPr>
          <w:i/>
          <w:sz w:val="24"/>
          <w:szCs w:val="24"/>
        </w:rPr>
        <w:t>Journal of Affective Disorders</w:t>
      </w:r>
      <w:r w:rsidRPr="00D1034B">
        <w:rPr>
          <w:sz w:val="24"/>
          <w:szCs w:val="24"/>
        </w:rPr>
        <w:t xml:space="preserve"> </w:t>
      </w:r>
      <w:r w:rsidRPr="00D1034B">
        <w:rPr>
          <w:b/>
          <w:sz w:val="24"/>
          <w:szCs w:val="24"/>
        </w:rPr>
        <w:t>115</w:t>
      </w:r>
      <w:r w:rsidRPr="00D1034B">
        <w:rPr>
          <w:sz w:val="24"/>
          <w:szCs w:val="24"/>
        </w:rPr>
        <w:t>: 315-322.</w:t>
      </w:r>
    </w:p>
    <w:p w14:paraId="7F52A82D" w14:textId="11BBE6A6" w:rsidR="009E0540" w:rsidRPr="00D1034B" w:rsidRDefault="009E0540" w:rsidP="009E0540">
      <w:pPr>
        <w:rPr>
          <w:rFonts w:cs="Arial"/>
          <w:szCs w:val="24"/>
        </w:rPr>
      </w:pPr>
      <w:r w:rsidRPr="00D1034B">
        <w:rPr>
          <w:rFonts w:cs="Arial"/>
          <w:szCs w:val="24"/>
          <w:lang w:val="en-GB"/>
        </w:rPr>
        <w:fldChar w:fldCharType="end"/>
      </w:r>
    </w:p>
    <w:p w14:paraId="4F37EE37" w14:textId="77777777" w:rsidR="009E0540" w:rsidRPr="00D1034B" w:rsidRDefault="009E0540" w:rsidP="00C27797">
      <w:pPr>
        <w:rPr>
          <w:rFonts w:cs="Arial"/>
          <w:szCs w:val="24"/>
          <w:lang w:val="en-GB"/>
        </w:rPr>
      </w:pPr>
    </w:p>
    <w:sectPr w:rsidR="009E0540" w:rsidRPr="00D1034B" w:rsidSect="00C377EE">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C3E3F" w14:textId="77777777" w:rsidR="00123872" w:rsidRDefault="00123872" w:rsidP="00672B6F">
      <w:r>
        <w:separator/>
      </w:r>
    </w:p>
    <w:p w14:paraId="6BECCF00" w14:textId="77777777" w:rsidR="00123872" w:rsidRDefault="00123872" w:rsidP="00672B6F"/>
    <w:p w14:paraId="76CE2437" w14:textId="77777777" w:rsidR="00123872" w:rsidRDefault="00123872" w:rsidP="00672B6F"/>
  </w:endnote>
  <w:endnote w:type="continuationSeparator" w:id="0">
    <w:p w14:paraId="6A544A83" w14:textId="77777777" w:rsidR="00123872" w:rsidRDefault="00123872" w:rsidP="00672B6F">
      <w:r>
        <w:continuationSeparator/>
      </w:r>
    </w:p>
    <w:p w14:paraId="3EBB7CD3" w14:textId="77777777" w:rsidR="00123872" w:rsidRDefault="00123872" w:rsidP="00672B6F"/>
    <w:p w14:paraId="39B08072" w14:textId="77777777" w:rsidR="00123872" w:rsidRDefault="00123872" w:rsidP="00672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55499"/>
      <w:docPartObj>
        <w:docPartGallery w:val="Page Numbers (Bottom of Page)"/>
        <w:docPartUnique/>
      </w:docPartObj>
    </w:sdtPr>
    <w:sdtEndPr>
      <w:rPr>
        <w:noProof/>
      </w:rPr>
    </w:sdtEndPr>
    <w:sdtContent>
      <w:p w14:paraId="3C596AE9" w14:textId="7DA243BB" w:rsidR="00123872" w:rsidRDefault="00123872">
        <w:pPr>
          <w:pStyle w:val="Footer"/>
          <w:jc w:val="right"/>
        </w:pPr>
        <w:r>
          <w:fldChar w:fldCharType="begin"/>
        </w:r>
        <w:r>
          <w:instrText xml:space="preserve"> PAGE   \* MERGEFORMAT </w:instrText>
        </w:r>
        <w:r>
          <w:fldChar w:fldCharType="separate"/>
        </w:r>
        <w:r w:rsidR="008323C1">
          <w:rPr>
            <w:noProof/>
          </w:rPr>
          <w:t>11</w:t>
        </w:r>
        <w:r>
          <w:rPr>
            <w:noProof/>
          </w:rPr>
          <w:fldChar w:fldCharType="end"/>
        </w:r>
      </w:p>
    </w:sdtContent>
  </w:sdt>
  <w:p w14:paraId="7133D3E3" w14:textId="77777777" w:rsidR="00123872" w:rsidRPr="00173974" w:rsidRDefault="00123872" w:rsidP="00672B6F">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F0770" w14:textId="77777777" w:rsidR="00123872" w:rsidRDefault="00123872" w:rsidP="00672B6F">
      <w:r>
        <w:separator/>
      </w:r>
    </w:p>
    <w:p w14:paraId="19FD01B2" w14:textId="77777777" w:rsidR="00123872" w:rsidRDefault="00123872" w:rsidP="00672B6F"/>
    <w:p w14:paraId="1A36D160" w14:textId="77777777" w:rsidR="00123872" w:rsidRDefault="00123872" w:rsidP="00672B6F"/>
  </w:footnote>
  <w:footnote w:type="continuationSeparator" w:id="0">
    <w:p w14:paraId="7492509E" w14:textId="77777777" w:rsidR="00123872" w:rsidRDefault="00123872" w:rsidP="00672B6F">
      <w:r>
        <w:continuationSeparator/>
      </w:r>
    </w:p>
    <w:p w14:paraId="2C2BA40D" w14:textId="77777777" w:rsidR="00123872" w:rsidRDefault="00123872" w:rsidP="00672B6F"/>
    <w:p w14:paraId="21415ADF" w14:textId="77777777" w:rsidR="00123872" w:rsidRDefault="00123872" w:rsidP="00672B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CA8"/>
    <w:multiLevelType w:val="hybridMultilevel"/>
    <w:tmpl w:val="4222906A"/>
    <w:lvl w:ilvl="0" w:tplc="993E4F3C">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10D62"/>
    <w:multiLevelType w:val="hybridMultilevel"/>
    <w:tmpl w:val="77A80470"/>
    <w:lvl w:ilvl="0" w:tplc="EC04F520">
      <w:start w:val="1"/>
      <w:numFmt w:val="decimal"/>
      <w:lvlText w:val="%1."/>
      <w:lvlJc w:val="left"/>
      <w:pPr>
        <w:ind w:left="720" w:hanging="360"/>
      </w:pPr>
      <w:rPr>
        <w:rFonts w:ascii="Arial" w:eastAsiaTheme="minorHAnsi" w:hAnsi="Arial" w:cs="Arial"/>
      </w:rPr>
    </w:lvl>
    <w:lvl w:ilvl="1" w:tplc="04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52FD7"/>
    <w:multiLevelType w:val="hybridMultilevel"/>
    <w:tmpl w:val="7E54C8B2"/>
    <w:lvl w:ilvl="0" w:tplc="63A2A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92A21"/>
    <w:multiLevelType w:val="hybridMultilevel"/>
    <w:tmpl w:val="B888C922"/>
    <w:lvl w:ilvl="0" w:tplc="1C4E3BC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762B02"/>
    <w:multiLevelType w:val="hybridMultilevel"/>
    <w:tmpl w:val="D818CAF6"/>
    <w:lvl w:ilvl="0" w:tplc="12021F44">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5" w15:restartNumberingAfterBreak="0">
    <w:nsid w:val="3A16238B"/>
    <w:multiLevelType w:val="hybridMultilevel"/>
    <w:tmpl w:val="8E561236"/>
    <w:lvl w:ilvl="0" w:tplc="F8FC77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977B3A"/>
    <w:multiLevelType w:val="hybridMultilevel"/>
    <w:tmpl w:val="B50AD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0D73B3"/>
    <w:multiLevelType w:val="hybridMultilevel"/>
    <w:tmpl w:val="4D38CFA6"/>
    <w:lvl w:ilvl="0" w:tplc="417C8456">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33892"/>
    <w:multiLevelType w:val="hybridMultilevel"/>
    <w:tmpl w:val="412A3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6"/>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Harvard Copy&lt;/Style&gt;&lt;LeftDelim&gt;{&lt;/LeftDelim&gt;&lt;RightDelim&gt;}&lt;/RightDelim&gt;&lt;FontName&gt;Arial&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f0vwxxzd9ed8ewwsxpsrtrf59t0d9pr9dv&quot;&gt;My EndNote Library Copy Copy&lt;record-ids&gt;&lt;item&gt;27&lt;/item&gt;&lt;/record-ids&gt;&lt;/item&gt;&lt;/Libraries&gt;"/>
  </w:docVars>
  <w:rsids>
    <w:rsidRoot w:val="004C1662"/>
    <w:rsid w:val="000150E6"/>
    <w:rsid w:val="000203D2"/>
    <w:rsid w:val="000242FA"/>
    <w:rsid w:val="00026BB2"/>
    <w:rsid w:val="000273CF"/>
    <w:rsid w:val="00032968"/>
    <w:rsid w:val="00085548"/>
    <w:rsid w:val="0009524E"/>
    <w:rsid w:val="00095502"/>
    <w:rsid w:val="000962A8"/>
    <w:rsid w:val="00097160"/>
    <w:rsid w:val="00097255"/>
    <w:rsid w:val="000A2D4E"/>
    <w:rsid w:val="000A5E17"/>
    <w:rsid w:val="000A5E72"/>
    <w:rsid w:val="000B0A23"/>
    <w:rsid w:val="000B297D"/>
    <w:rsid w:val="000C32F5"/>
    <w:rsid w:val="000D1464"/>
    <w:rsid w:val="000F2DA4"/>
    <w:rsid w:val="001010C3"/>
    <w:rsid w:val="00103C09"/>
    <w:rsid w:val="00107448"/>
    <w:rsid w:val="0011328F"/>
    <w:rsid w:val="00120B6B"/>
    <w:rsid w:val="00123872"/>
    <w:rsid w:val="001259E8"/>
    <w:rsid w:val="00137396"/>
    <w:rsid w:val="001440CE"/>
    <w:rsid w:val="00162840"/>
    <w:rsid w:val="00165B8E"/>
    <w:rsid w:val="00166D6C"/>
    <w:rsid w:val="00173974"/>
    <w:rsid w:val="001836D7"/>
    <w:rsid w:val="00195253"/>
    <w:rsid w:val="00195549"/>
    <w:rsid w:val="001C726F"/>
    <w:rsid w:val="001D4CFB"/>
    <w:rsid w:val="001E7018"/>
    <w:rsid w:val="001E781C"/>
    <w:rsid w:val="00211B7C"/>
    <w:rsid w:val="0021668F"/>
    <w:rsid w:val="002248ED"/>
    <w:rsid w:val="00225AA4"/>
    <w:rsid w:val="002344CC"/>
    <w:rsid w:val="00242589"/>
    <w:rsid w:val="00252AA4"/>
    <w:rsid w:val="002668B8"/>
    <w:rsid w:val="002740E3"/>
    <w:rsid w:val="0027414C"/>
    <w:rsid w:val="00283273"/>
    <w:rsid w:val="002839EE"/>
    <w:rsid w:val="00297098"/>
    <w:rsid w:val="002B194C"/>
    <w:rsid w:val="002B21EF"/>
    <w:rsid w:val="002B23D9"/>
    <w:rsid w:val="002B6D16"/>
    <w:rsid w:val="002E293E"/>
    <w:rsid w:val="002E506B"/>
    <w:rsid w:val="002E6802"/>
    <w:rsid w:val="002E7527"/>
    <w:rsid w:val="002F06CF"/>
    <w:rsid w:val="0030209C"/>
    <w:rsid w:val="003064D1"/>
    <w:rsid w:val="00325254"/>
    <w:rsid w:val="00325C7C"/>
    <w:rsid w:val="003342BD"/>
    <w:rsid w:val="00365507"/>
    <w:rsid w:val="003719EB"/>
    <w:rsid w:val="00376BFA"/>
    <w:rsid w:val="00383B1C"/>
    <w:rsid w:val="00385E21"/>
    <w:rsid w:val="00390E1A"/>
    <w:rsid w:val="00390F69"/>
    <w:rsid w:val="0039156F"/>
    <w:rsid w:val="00391D85"/>
    <w:rsid w:val="00393BDB"/>
    <w:rsid w:val="00396552"/>
    <w:rsid w:val="003A2F16"/>
    <w:rsid w:val="003A6F94"/>
    <w:rsid w:val="003A7A47"/>
    <w:rsid w:val="003C2182"/>
    <w:rsid w:val="003D4B12"/>
    <w:rsid w:val="003F2BE1"/>
    <w:rsid w:val="003F67AD"/>
    <w:rsid w:val="0040204C"/>
    <w:rsid w:val="00402BC4"/>
    <w:rsid w:val="00403C88"/>
    <w:rsid w:val="00404144"/>
    <w:rsid w:val="0040456C"/>
    <w:rsid w:val="00404EBC"/>
    <w:rsid w:val="00417301"/>
    <w:rsid w:val="00417BBE"/>
    <w:rsid w:val="00425F83"/>
    <w:rsid w:val="004337F0"/>
    <w:rsid w:val="004348B8"/>
    <w:rsid w:val="004528D7"/>
    <w:rsid w:val="004531BF"/>
    <w:rsid w:val="00455BE9"/>
    <w:rsid w:val="004568F9"/>
    <w:rsid w:val="00463AE2"/>
    <w:rsid w:val="00464AD9"/>
    <w:rsid w:val="0047386E"/>
    <w:rsid w:val="00475289"/>
    <w:rsid w:val="004772EC"/>
    <w:rsid w:val="004B2BEF"/>
    <w:rsid w:val="004C0304"/>
    <w:rsid w:val="004C0C06"/>
    <w:rsid w:val="004C1662"/>
    <w:rsid w:val="004D151B"/>
    <w:rsid w:val="004D657A"/>
    <w:rsid w:val="004E6F3A"/>
    <w:rsid w:val="00504B99"/>
    <w:rsid w:val="00520EC6"/>
    <w:rsid w:val="00522637"/>
    <w:rsid w:val="00546E6E"/>
    <w:rsid w:val="00567802"/>
    <w:rsid w:val="00571A9A"/>
    <w:rsid w:val="00575DBA"/>
    <w:rsid w:val="00584563"/>
    <w:rsid w:val="00585ECA"/>
    <w:rsid w:val="00586772"/>
    <w:rsid w:val="005915DE"/>
    <w:rsid w:val="005B2A5B"/>
    <w:rsid w:val="005B5D0D"/>
    <w:rsid w:val="005C0854"/>
    <w:rsid w:val="005C3F8C"/>
    <w:rsid w:val="005E1486"/>
    <w:rsid w:val="005E2424"/>
    <w:rsid w:val="005E4884"/>
    <w:rsid w:val="00616F2D"/>
    <w:rsid w:val="00617FFE"/>
    <w:rsid w:val="0062423C"/>
    <w:rsid w:val="006361E8"/>
    <w:rsid w:val="00646478"/>
    <w:rsid w:val="00651C96"/>
    <w:rsid w:val="006640F2"/>
    <w:rsid w:val="006706BE"/>
    <w:rsid w:val="0067211A"/>
    <w:rsid w:val="00672B6F"/>
    <w:rsid w:val="00672FA0"/>
    <w:rsid w:val="0068405C"/>
    <w:rsid w:val="006A3CA8"/>
    <w:rsid w:val="006B45D8"/>
    <w:rsid w:val="006B5A07"/>
    <w:rsid w:val="006C6D8F"/>
    <w:rsid w:val="006D030B"/>
    <w:rsid w:val="006D563C"/>
    <w:rsid w:val="006E4D5A"/>
    <w:rsid w:val="007028D6"/>
    <w:rsid w:val="007072D6"/>
    <w:rsid w:val="007078B2"/>
    <w:rsid w:val="00731281"/>
    <w:rsid w:val="0073141A"/>
    <w:rsid w:val="007314D9"/>
    <w:rsid w:val="00740567"/>
    <w:rsid w:val="00743935"/>
    <w:rsid w:val="0074704D"/>
    <w:rsid w:val="0075072D"/>
    <w:rsid w:val="007605D2"/>
    <w:rsid w:val="00776B48"/>
    <w:rsid w:val="00794CAB"/>
    <w:rsid w:val="00795AAE"/>
    <w:rsid w:val="00797B21"/>
    <w:rsid w:val="007A049D"/>
    <w:rsid w:val="007A2057"/>
    <w:rsid w:val="007A7385"/>
    <w:rsid w:val="007A79DD"/>
    <w:rsid w:val="007B07CF"/>
    <w:rsid w:val="007C0CCF"/>
    <w:rsid w:val="007C22AE"/>
    <w:rsid w:val="007C7312"/>
    <w:rsid w:val="007D00C2"/>
    <w:rsid w:val="007E2310"/>
    <w:rsid w:val="007F6C22"/>
    <w:rsid w:val="007F7D43"/>
    <w:rsid w:val="00800EAA"/>
    <w:rsid w:val="00802D2D"/>
    <w:rsid w:val="00813F17"/>
    <w:rsid w:val="0082165F"/>
    <w:rsid w:val="00823694"/>
    <w:rsid w:val="00825EE0"/>
    <w:rsid w:val="008320C1"/>
    <w:rsid w:val="008323C1"/>
    <w:rsid w:val="00855865"/>
    <w:rsid w:val="00856D64"/>
    <w:rsid w:val="008659BC"/>
    <w:rsid w:val="00871744"/>
    <w:rsid w:val="008926A1"/>
    <w:rsid w:val="008A20D6"/>
    <w:rsid w:val="008B0E81"/>
    <w:rsid w:val="008B24B1"/>
    <w:rsid w:val="008B375D"/>
    <w:rsid w:val="008C185F"/>
    <w:rsid w:val="008C2287"/>
    <w:rsid w:val="008E18A7"/>
    <w:rsid w:val="008E6B3C"/>
    <w:rsid w:val="008F73B9"/>
    <w:rsid w:val="008F7D31"/>
    <w:rsid w:val="0092210A"/>
    <w:rsid w:val="00922339"/>
    <w:rsid w:val="00925E26"/>
    <w:rsid w:val="009267C2"/>
    <w:rsid w:val="0094633E"/>
    <w:rsid w:val="009501BD"/>
    <w:rsid w:val="009515A1"/>
    <w:rsid w:val="009537FD"/>
    <w:rsid w:val="00955260"/>
    <w:rsid w:val="00965F0A"/>
    <w:rsid w:val="00966379"/>
    <w:rsid w:val="00974EB1"/>
    <w:rsid w:val="0098181D"/>
    <w:rsid w:val="009908CC"/>
    <w:rsid w:val="00993286"/>
    <w:rsid w:val="009A7A58"/>
    <w:rsid w:val="009B19A5"/>
    <w:rsid w:val="009C0E7B"/>
    <w:rsid w:val="009E0540"/>
    <w:rsid w:val="009E7F15"/>
    <w:rsid w:val="009F75FC"/>
    <w:rsid w:val="00A1048E"/>
    <w:rsid w:val="00A178EC"/>
    <w:rsid w:val="00A303FA"/>
    <w:rsid w:val="00A3404E"/>
    <w:rsid w:val="00A404E5"/>
    <w:rsid w:val="00A41A0D"/>
    <w:rsid w:val="00A53BC0"/>
    <w:rsid w:val="00A61DCA"/>
    <w:rsid w:val="00A76FC8"/>
    <w:rsid w:val="00A82BF9"/>
    <w:rsid w:val="00A83400"/>
    <w:rsid w:val="00A83682"/>
    <w:rsid w:val="00A86E0B"/>
    <w:rsid w:val="00A928A8"/>
    <w:rsid w:val="00A93CE8"/>
    <w:rsid w:val="00AA32E7"/>
    <w:rsid w:val="00AA436F"/>
    <w:rsid w:val="00AC1BBC"/>
    <w:rsid w:val="00AC4107"/>
    <w:rsid w:val="00AC4D59"/>
    <w:rsid w:val="00AD4C0D"/>
    <w:rsid w:val="00AD5D34"/>
    <w:rsid w:val="00AD6E0D"/>
    <w:rsid w:val="00AE07EA"/>
    <w:rsid w:val="00AF6BCF"/>
    <w:rsid w:val="00B14113"/>
    <w:rsid w:val="00B14613"/>
    <w:rsid w:val="00B16680"/>
    <w:rsid w:val="00B175DC"/>
    <w:rsid w:val="00B2283E"/>
    <w:rsid w:val="00B30BCE"/>
    <w:rsid w:val="00B33D82"/>
    <w:rsid w:val="00B356D8"/>
    <w:rsid w:val="00B64618"/>
    <w:rsid w:val="00B647F4"/>
    <w:rsid w:val="00B6770A"/>
    <w:rsid w:val="00B82C8B"/>
    <w:rsid w:val="00B917D0"/>
    <w:rsid w:val="00B97908"/>
    <w:rsid w:val="00BB2556"/>
    <w:rsid w:val="00BB3494"/>
    <w:rsid w:val="00BC4B2D"/>
    <w:rsid w:val="00BE1859"/>
    <w:rsid w:val="00BF0584"/>
    <w:rsid w:val="00BF68DE"/>
    <w:rsid w:val="00C24BCA"/>
    <w:rsid w:val="00C252DF"/>
    <w:rsid w:val="00C27797"/>
    <w:rsid w:val="00C31C5A"/>
    <w:rsid w:val="00C34FFB"/>
    <w:rsid w:val="00C377EE"/>
    <w:rsid w:val="00C51477"/>
    <w:rsid w:val="00C55239"/>
    <w:rsid w:val="00C719E9"/>
    <w:rsid w:val="00C75DFB"/>
    <w:rsid w:val="00CA025A"/>
    <w:rsid w:val="00CC5C5E"/>
    <w:rsid w:val="00CE07C5"/>
    <w:rsid w:val="00CF04FD"/>
    <w:rsid w:val="00CF1C96"/>
    <w:rsid w:val="00CF310E"/>
    <w:rsid w:val="00D1034B"/>
    <w:rsid w:val="00D16A94"/>
    <w:rsid w:val="00D2349A"/>
    <w:rsid w:val="00D238AA"/>
    <w:rsid w:val="00D46D4D"/>
    <w:rsid w:val="00D50D8E"/>
    <w:rsid w:val="00D72C99"/>
    <w:rsid w:val="00D74E71"/>
    <w:rsid w:val="00D75445"/>
    <w:rsid w:val="00D77D7C"/>
    <w:rsid w:val="00D80275"/>
    <w:rsid w:val="00D83653"/>
    <w:rsid w:val="00D86B9D"/>
    <w:rsid w:val="00D9260E"/>
    <w:rsid w:val="00D9765F"/>
    <w:rsid w:val="00DB6727"/>
    <w:rsid w:val="00DC296F"/>
    <w:rsid w:val="00DC6A9A"/>
    <w:rsid w:val="00DD31BD"/>
    <w:rsid w:val="00DD55EC"/>
    <w:rsid w:val="00E041B7"/>
    <w:rsid w:val="00E05988"/>
    <w:rsid w:val="00E1675F"/>
    <w:rsid w:val="00E22F8E"/>
    <w:rsid w:val="00E238D7"/>
    <w:rsid w:val="00E35DE4"/>
    <w:rsid w:val="00E44F69"/>
    <w:rsid w:val="00E45C55"/>
    <w:rsid w:val="00E4680A"/>
    <w:rsid w:val="00E47055"/>
    <w:rsid w:val="00E73031"/>
    <w:rsid w:val="00E8047E"/>
    <w:rsid w:val="00E8544F"/>
    <w:rsid w:val="00E96C67"/>
    <w:rsid w:val="00EA4621"/>
    <w:rsid w:val="00EB765C"/>
    <w:rsid w:val="00EE3D57"/>
    <w:rsid w:val="00EE5CA2"/>
    <w:rsid w:val="00EF03C5"/>
    <w:rsid w:val="00EF1BE3"/>
    <w:rsid w:val="00EF1DDD"/>
    <w:rsid w:val="00F07C62"/>
    <w:rsid w:val="00F12F50"/>
    <w:rsid w:val="00F13060"/>
    <w:rsid w:val="00F7744B"/>
    <w:rsid w:val="00F829E5"/>
    <w:rsid w:val="00F8335C"/>
    <w:rsid w:val="00F8600E"/>
    <w:rsid w:val="00F965C1"/>
    <w:rsid w:val="00FA0AC8"/>
    <w:rsid w:val="00FA4125"/>
    <w:rsid w:val="00FB429F"/>
    <w:rsid w:val="00FC0058"/>
    <w:rsid w:val="00FC3DEA"/>
    <w:rsid w:val="00FD6087"/>
    <w:rsid w:val="00FD7C69"/>
    <w:rsid w:val="00FE1C04"/>
    <w:rsid w:val="00FE7494"/>
    <w:rsid w:val="00FF30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91DB181"/>
  <w15:chartTrackingRefBased/>
  <w15:docId w15:val="{6A15EAC1-52C9-426E-BC04-AC6829B9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DF"/>
    <w:rPr>
      <w:rFonts w:ascii="Arial" w:hAnsi="Arial"/>
      <w:sz w:val="24"/>
    </w:rPr>
  </w:style>
  <w:style w:type="paragraph" w:styleId="Heading1">
    <w:name w:val="heading 1"/>
    <w:basedOn w:val="Normal"/>
    <w:next w:val="Normal"/>
    <w:link w:val="Heading1Char"/>
    <w:uiPriority w:val="9"/>
    <w:qFormat/>
    <w:rsid w:val="00097160"/>
    <w:pPr>
      <w:keepNext/>
      <w:keepLines/>
      <w:spacing w:before="240" w:after="0"/>
      <w:outlineLvl w:val="0"/>
    </w:pPr>
    <w:rPr>
      <w:rFonts w:eastAsiaTheme="majorEastAsia"/>
      <w:b/>
      <w:sz w:val="32"/>
      <w:szCs w:val="32"/>
    </w:rPr>
  </w:style>
  <w:style w:type="paragraph" w:styleId="Heading2">
    <w:name w:val="heading 2"/>
    <w:aliases w:val="Tables"/>
    <w:basedOn w:val="Heading1"/>
    <w:next w:val="Normal"/>
    <w:link w:val="Heading2Char"/>
    <w:uiPriority w:val="9"/>
    <w:unhideWhenUsed/>
    <w:qFormat/>
    <w:rsid w:val="00522637"/>
    <w:pPr>
      <w:spacing w:after="240"/>
      <w:ind w:left="142"/>
      <w:outlineLvl w:val="1"/>
    </w:pPr>
    <w:rPr>
      <w:sz w:val="28"/>
    </w:rPr>
  </w:style>
  <w:style w:type="paragraph" w:styleId="Heading3">
    <w:name w:val="heading 3"/>
    <w:aliases w:val="Figures"/>
    <w:basedOn w:val="Normal"/>
    <w:next w:val="Normal"/>
    <w:link w:val="Heading3Char"/>
    <w:uiPriority w:val="9"/>
    <w:semiHidden/>
    <w:unhideWhenUsed/>
    <w:qFormat/>
    <w:rsid w:val="007072D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160"/>
    <w:rPr>
      <w:rFonts w:ascii="Arial" w:eastAsiaTheme="majorEastAsia" w:hAnsi="Arial" w:cs="Arial"/>
      <w:b/>
      <w:sz w:val="32"/>
      <w:szCs w:val="32"/>
      <w:lang w:val="en-GB"/>
    </w:rPr>
  </w:style>
  <w:style w:type="paragraph" w:styleId="Header">
    <w:name w:val="header"/>
    <w:basedOn w:val="Normal"/>
    <w:link w:val="HeaderChar"/>
    <w:uiPriority w:val="99"/>
    <w:unhideWhenUsed/>
    <w:rsid w:val="00546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E6E"/>
  </w:style>
  <w:style w:type="paragraph" w:styleId="Footer">
    <w:name w:val="footer"/>
    <w:basedOn w:val="Normal"/>
    <w:link w:val="FooterChar"/>
    <w:uiPriority w:val="99"/>
    <w:unhideWhenUsed/>
    <w:rsid w:val="00546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6E"/>
  </w:style>
  <w:style w:type="paragraph" w:styleId="ListParagraph">
    <w:name w:val="List Paragraph"/>
    <w:basedOn w:val="Normal"/>
    <w:uiPriority w:val="34"/>
    <w:qFormat/>
    <w:rsid w:val="00794CAB"/>
    <w:pPr>
      <w:ind w:left="720"/>
      <w:contextualSpacing/>
    </w:pPr>
  </w:style>
  <w:style w:type="table" w:styleId="TableGrid">
    <w:name w:val="Table Grid"/>
    <w:basedOn w:val="TableNormal"/>
    <w:uiPriority w:val="39"/>
    <w:rsid w:val="00794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325254"/>
  </w:style>
  <w:style w:type="paragraph" w:styleId="TOCHeading">
    <w:name w:val="TOC Heading"/>
    <w:basedOn w:val="Heading1"/>
    <w:next w:val="Normal"/>
    <w:uiPriority w:val="39"/>
    <w:unhideWhenUsed/>
    <w:qFormat/>
    <w:rsid w:val="00D9260E"/>
    <w:pPr>
      <w:outlineLvl w:val="9"/>
    </w:pPr>
    <w:rPr>
      <w:rFonts w:asciiTheme="majorHAnsi" w:hAnsiTheme="majorHAnsi" w:cstheme="majorBidi"/>
      <w:b w:val="0"/>
      <w:color w:val="2E74B5" w:themeColor="accent1" w:themeShade="BF"/>
      <w:lang w:val="en-US"/>
    </w:rPr>
  </w:style>
  <w:style w:type="paragraph" w:styleId="TOC1">
    <w:name w:val="toc 1"/>
    <w:basedOn w:val="Normal"/>
    <w:next w:val="Normal"/>
    <w:autoRedefine/>
    <w:uiPriority w:val="39"/>
    <w:unhideWhenUsed/>
    <w:rsid w:val="00C252DF"/>
    <w:pPr>
      <w:tabs>
        <w:tab w:val="right" w:leader="dot" w:pos="9016"/>
      </w:tabs>
      <w:spacing w:after="100"/>
    </w:pPr>
  </w:style>
  <w:style w:type="character" w:styleId="Hyperlink">
    <w:name w:val="Hyperlink"/>
    <w:basedOn w:val="DefaultParagraphFont"/>
    <w:uiPriority w:val="99"/>
    <w:unhideWhenUsed/>
    <w:rsid w:val="00D9260E"/>
    <w:rPr>
      <w:color w:val="0563C1" w:themeColor="hyperlink"/>
      <w:u w:val="single"/>
    </w:rPr>
  </w:style>
  <w:style w:type="paragraph" w:styleId="HTMLPreformatted">
    <w:name w:val="HTML Preformatted"/>
    <w:basedOn w:val="Normal"/>
    <w:link w:val="HTMLPreformattedChar"/>
    <w:uiPriority w:val="99"/>
    <w:semiHidden/>
    <w:unhideWhenUsed/>
    <w:rsid w:val="0021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11B7C"/>
    <w:rPr>
      <w:rFonts w:ascii="Courier New" w:eastAsia="Times New Roman" w:hAnsi="Courier New" w:cs="Courier New"/>
      <w:sz w:val="20"/>
      <w:szCs w:val="20"/>
      <w:lang w:val="en-GB" w:eastAsia="en-GB"/>
    </w:rPr>
  </w:style>
  <w:style w:type="character" w:customStyle="1" w:styleId="gnkrckgcgsb">
    <w:name w:val="gnkrckgcgsb"/>
    <w:basedOn w:val="DefaultParagraphFont"/>
    <w:rsid w:val="00211B7C"/>
  </w:style>
  <w:style w:type="character" w:styleId="CommentReference">
    <w:name w:val="annotation reference"/>
    <w:basedOn w:val="DefaultParagraphFont"/>
    <w:uiPriority w:val="99"/>
    <w:semiHidden/>
    <w:unhideWhenUsed/>
    <w:rsid w:val="004568F9"/>
    <w:rPr>
      <w:sz w:val="16"/>
      <w:szCs w:val="16"/>
    </w:rPr>
  </w:style>
  <w:style w:type="paragraph" w:styleId="CommentText">
    <w:name w:val="annotation text"/>
    <w:basedOn w:val="Normal"/>
    <w:link w:val="CommentTextChar"/>
    <w:uiPriority w:val="99"/>
    <w:unhideWhenUsed/>
    <w:rsid w:val="004568F9"/>
    <w:pPr>
      <w:spacing w:line="240" w:lineRule="auto"/>
    </w:pPr>
    <w:rPr>
      <w:sz w:val="20"/>
      <w:szCs w:val="20"/>
    </w:rPr>
  </w:style>
  <w:style w:type="character" w:customStyle="1" w:styleId="CommentTextChar">
    <w:name w:val="Comment Text Char"/>
    <w:basedOn w:val="DefaultParagraphFont"/>
    <w:link w:val="CommentText"/>
    <w:uiPriority w:val="99"/>
    <w:rsid w:val="004568F9"/>
    <w:rPr>
      <w:sz w:val="20"/>
      <w:szCs w:val="20"/>
    </w:rPr>
  </w:style>
  <w:style w:type="paragraph" w:styleId="BalloonText">
    <w:name w:val="Balloon Text"/>
    <w:basedOn w:val="Normal"/>
    <w:link w:val="BalloonTextChar"/>
    <w:uiPriority w:val="99"/>
    <w:semiHidden/>
    <w:unhideWhenUsed/>
    <w:rsid w:val="0045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9"/>
    <w:rPr>
      <w:rFonts w:ascii="Segoe UI" w:hAnsi="Segoe UI" w:cs="Segoe UI"/>
      <w:sz w:val="18"/>
      <w:szCs w:val="18"/>
    </w:rPr>
  </w:style>
  <w:style w:type="table" w:customStyle="1" w:styleId="TableGrid1">
    <w:name w:val="Table Grid1"/>
    <w:basedOn w:val="TableNormal"/>
    <w:next w:val="TableGrid"/>
    <w:uiPriority w:val="59"/>
    <w:rsid w:val="00456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4568F9"/>
    <w:pPr>
      <w:spacing w:before="100" w:beforeAutospacing="1" w:after="100" w:afterAutospacing="1" w:line="240" w:lineRule="auto"/>
    </w:pPr>
    <w:rPr>
      <w:rFonts w:ascii="Times New Roman" w:eastAsia="Times New Roman" w:hAnsi="Times New Roman" w:cs="Times New Roman"/>
      <w:szCs w:val="24"/>
      <w:lang w:eastAsia="en-GB"/>
    </w:rPr>
  </w:style>
  <w:style w:type="table" w:styleId="PlainTable2">
    <w:name w:val="Plain Table 2"/>
    <w:basedOn w:val="TableNormal"/>
    <w:uiPriority w:val="42"/>
    <w:rsid w:val="004568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aliases w:val="Tables Char"/>
    <w:basedOn w:val="DefaultParagraphFont"/>
    <w:link w:val="Heading2"/>
    <w:uiPriority w:val="9"/>
    <w:rsid w:val="00522637"/>
    <w:rPr>
      <w:rFonts w:ascii="Arial" w:eastAsiaTheme="majorEastAsia" w:hAnsi="Arial" w:cs="Arial"/>
      <w:b/>
      <w:sz w:val="28"/>
      <w:szCs w:val="32"/>
      <w:lang w:val="en-GB"/>
    </w:rPr>
  </w:style>
  <w:style w:type="paragraph" w:styleId="TOC2">
    <w:name w:val="toc 2"/>
    <w:basedOn w:val="Normal"/>
    <w:next w:val="Normal"/>
    <w:autoRedefine/>
    <w:uiPriority w:val="39"/>
    <w:unhideWhenUsed/>
    <w:rsid w:val="00617FFE"/>
    <w:pPr>
      <w:spacing w:after="100"/>
      <w:ind w:left="220"/>
    </w:pPr>
  </w:style>
  <w:style w:type="character" w:styleId="LineNumber">
    <w:name w:val="line number"/>
    <w:basedOn w:val="DefaultParagraphFont"/>
    <w:uiPriority w:val="99"/>
    <w:semiHidden/>
    <w:unhideWhenUsed/>
    <w:rsid w:val="00103C09"/>
  </w:style>
  <w:style w:type="paragraph" w:styleId="TOC3">
    <w:name w:val="toc 3"/>
    <w:basedOn w:val="Normal"/>
    <w:next w:val="Normal"/>
    <w:autoRedefine/>
    <w:uiPriority w:val="39"/>
    <w:semiHidden/>
    <w:unhideWhenUsed/>
    <w:rsid w:val="00617FFE"/>
    <w:pPr>
      <w:spacing w:after="100"/>
      <w:ind w:left="440"/>
    </w:pPr>
  </w:style>
  <w:style w:type="paragraph" w:styleId="Title">
    <w:name w:val="Title"/>
    <w:basedOn w:val="Normal"/>
    <w:next w:val="Normal"/>
    <w:link w:val="TitleChar"/>
    <w:uiPriority w:val="10"/>
    <w:qFormat/>
    <w:rsid w:val="00E44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F69"/>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B765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EB765C"/>
    <w:rPr>
      <w:rFonts w:eastAsiaTheme="minorEastAsia"/>
      <w:color w:val="5A5A5A" w:themeColor="text1" w:themeTint="A5"/>
      <w:spacing w:val="15"/>
      <w:lang w:val="en-GB"/>
    </w:rPr>
  </w:style>
  <w:style w:type="character" w:styleId="SubtleEmphasis">
    <w:name w:val="Subtle Emphasis"/>
    <w:basedOn w:val="DefaultParagraphFont"/>
    <w:uiPriority w:val="19"/>
    <w:qFormat/>
    <w:rsid w:val="00EB765C"/>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B14113"/>
    <w:rPr>
      <w:b/>
      <w:bCs/>
    </w:rPr>
  </w:style>
  <w:style w:type="character" w:customStyle="1" w:styleId="CommentSubjectChar">
    <w:name w:val="Comment Subject Char"/>
    <w:basedOn w:val="CommentTextChar"/>
    <w:link w:val="CommentSubject"/>
    <w:uiPriority w:val="99"/>
    <w:semiHidden/>
    <w:rsid w:val="00B14113"/>
    <w:rPr>
      <w:rFonts w:ascii="Arial" w:hAnsi="Arial" w:cs="Arial"/>
      <w:b/>
      <w:bCs/>
      <w:sz w:val="20"/>
      <w:szCs w:val="20"/>
      <w:lang w:val="en-GB"/>
    </w:rPr>
  </w:style>
  <w:style w:type="character" w:customStyle="1" w:styleId="Heading3Char">
    <w:name w:val="Heading 3 Char"/>
    <w:aliases w:val="Figures Char"/>
    <w:basedOn w:val="DefaultParagraphFont"/>
    <w:link w:val="Heading3"/>
    <w:uiPriority w:val="9"/>
    <w:semiHidden/>
    <w:rsid w:val="007072D6"/>
    <w:rPr>
      <w:rFonts w:asciiTheme="majorHAnsi" w:eastAsiaTheme="majorEastAsia" w:hAnsiTheme="majorHAnsi" w:cstheme="majorBidi"/>
      <w:color w:val="1F4D78" w:themeColor="accent1" w:themeShade="7F"/>
      <w:sz w:val="24"/>
      <w:szCs w:val="24"/>
      <w:lang w:val="en-GB"/>
    </w:rPr>
  </w:style>
  <w:style w:type="paragraph" w:customStyle="1" w:styleId="EndNoteBibliographyTitle">
    <w:name w:val="EndNote Bibliography Title"/>
    <w:basedOn w:val="Normal"/>
    <w:link w:val="EndNoteBibliographyTitleChar"/>
    <w:rsid w:val="000150E6"/>
    <w:pPr>
      <w:spacing w:after="0"/>
      <w:jc w:val="center"/>
    </w:pPr>
    <w:rPr>
      <w:rFonts w:cs="Arial"/>
      <w:noProof/>
      <w:sz w:val="28"/>
      <w:lang w:val="en-US"/>
    </w:rPr>
  </w:style>
  <w:style w:type="character" w:customStyle="1" w:styleId="EndNoteBibliographyTitleChar">
    <w:name w:val="EndNote Bibliography Title Char"/>
    <w:basedOn w:val="DefaultParagraphFont"/>
    <w:link w:val="EndNoteBibliographyTitle"/>
    <w:rsid w:val="000150E6"/>
    <w:rPr>
      <w:rFonts w:ascii="Arial" w:hAnsi="Arial" w:cs="Arial"/>
      <w:noProof/>
      <w:sz w:val="28"/>
      <w:lang w:val="en-US"/>
    </w:rPr>
  </w:style>
  <w:style w:type="paragraph" w:customStyle="1" w:styleId="EndNoteBibliography">
    <w:name w:val="EndNote Bibliography"/>
    <w:basedOn w:val="Normal"/>
    <w:link w:val="EndNoteBibliographyChar"/>
    <w:rsid w:val="000150E6"/>
    <w:pPr>
      <w:spacing w:line="240" w:lineRule="auto"/>
    </w:pPr>
    <w:rPr>
      <w:rFonts w:cs="Arial"/>
      <w:noProof/>
      <w:sz w:val="28"/>
      <w:lang w:val="en-US"/>
    </w:rPr>
  </w:style>
  <w:style w:type="character" w:customStyle="1" w:styleId="EndNoteBibliographyChar">
    <w:name w:val="EndNote Bibliography Char"/>
    <w:basedOn w:val="DefaultParagraphFont"/>
    <w:link w:val="EndNoteBibliography"/>
    <w:rsid w:val="000150E6"/>
    <w:rPr>
      <w:rFonts w:ascii="Arial" w:hAnsi="Arial" w:cs="Arial"/>
      <w:noProof/>
      <w:sz w:val="28"/>
      <w:lang w:val="en-US"/>
    </w:rPr>
  </w:style>
  <w:style w:type="numbering" w:customStyle="1" w:styleId="NoList1">
    <w:name w:val="No List1"/>
    <w:next w:val="NoList"/>
    <w:uiPriority w:val="99"/>
    <w:semiHidden/>
    <w:unhideWhenUsed/>
    <w:rsid w:val="002B6D16"/>
  </w:style>
  <w:style w:type="table" w:customStyle="1" w:styleId="TableGrid2">
    <w:name w:val="Table Grid2"/>
    <w:basedOn w:val="TableNormal"/>
    <w:next w:val="TableGrid"/>
    <w:uiPriority w:val="39"/>
    <w:rsid w:val="002B6D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2B6D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
    <w:name w:val="Plain Table 21"/>
    <w:basedOn w:val="TableNormal"/>
    <w:next w:val="PlainTable2"/>
    <w:uiPriority w:val="42"/>
    <w:rsid w:val="002B6D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0">
      <w:bodyDiv w:val="1"/>
      <w:marLeft w:val="0"/>
      <w:marRight w:val="0"/>
      <w:marTop w:val="0"/>
      <w:marBottom w:val="0"/>
      <w:divBdr>
        <w:top w:val="none" w:sz="0" w:space="0" w:color="auto"/>
        <w:left w:val="none" w:sz="0" w:space="0" w:color="auto"/>
        <w:bottom w:val="none" w:sz="0" w:space="0" w:color="auto"/>
        <w:right w:val="none" w:sz="0" w:space="0" w:color="auto"/>
      </w:divBdr>
    </w:div>
    <w:div w:id="3166606">
      <w:bodyDiv w:val="1"/>
      <w:marLeft w:val="0"/>
      <w:marRight w:val="0"/>
      <w:marTop w:val="0"/>
      <w:marBottom w:val="0"/>
      <w:divBdr>
        <w:top w:val="none" w:sz="0" w:space="0" w:color="auto"/>
        <w:left w:val="none" w:sz="0" w:space="0" w:color="auto"/>
        <w:bottom w:val="none" w:sz="0" w:space="0" w:color="auto"/>
        <w:right w:val="none" w:sz="0" w:space="0" w:color="auto"/>
      </w:divBdr>
    </w:div>
    <w:div w:id="6255934">
      <w:bodyDiv w:val="1"/>
      <w:marLeft w:val="0"/>
      <w:marRight w:val="0"/>
      <w:marTop w:val="0"/>
      <w:marBottom w:val="0"/>
      <w:divBdr>
        <w:top w:val="none" w:sz="0" w:space="0" w:color="auto"/>
        <w:left w:val="none" w:sz="0" w:space="0" w:color="auto"/>
        <w:bottom w:val="none" w:sz="0" w:space="0" w:color="auto"/>
        <w:right w:val="none" w:sz="0" w:space="0" w:color="auto"/>
      </w:divBdr>
    </w:div>
    <w:div w:id="7877291">
      <w:bodyDiv w:val="1"/>
      <w:marLeft w:val="0"/>
      <w:marRight w:val="0"/>
      <w:marTop w:val="0"/>
      <w:marBottom w:val="0"/>
      <w:divBdr>
        <w:top w:val="none" w:sz="0" w:space="0" w:color="auto"/>
        <w:left w:val="none" w:sz="0" w:space="0" w:color="auto"/>
        <w:bottom w:val="none" w:sz="0" w:space="0" w:color="auto"/>
        <w:right w:val="none" w:sz="0" w:space="0" w:color="auto"/>
      </w:divBdr>
    </w:div>
    <w:div w:id="20011246">
      <w:bodyDiv w:val="1"/>
      <w:marLeft w:val="0"/>
      <w:marRight w:val="0"/>
      <w:marTop w:val="0"/>
      <w:marBottom w:val="0"/>
      <w:divBdr>
        <w:top w:val="none" w:sz="0" w:space="0" w:color="auto"/>
        <w:left w:val="none" w:sz="0" w:space="0" w:color="auto"/>
        <w:bottom w:val="none" w:sz="0" w:space="0" w:color="auto"/>
        <w:right w:val="none" w:sz="0" w:space="0" w:color="auto"/>
      </w:divBdr>
    </w:div>
    <w:div w:id="22365292">
      <w:bodyDiv w:val="1"/>
      <w:marLeft w:val="0"/>
      <w:marRight w:val="0"/>
      <w:marTop w:val="0"/>
      <w:marBottom w:val="0"/>
      <w:divBdr>
        <w:top w:val="none" w:sz="0" w:space="0" w:color="auto"/>
        <w:left w:val="none" w:sz="0" w:space="0" w:color="auto"/>
        <w:bottom w:val="none" w:sz="0" w:space="0" w:color="auto"/>
        <w:right w:val="none" w:sz="0" w:space="0" w:color="auto"/>
      </w:divBdr>
    </w:div>
    <w:div w:id="25251294">
      <w:bodyDiv w:val="1"/>
      <w:marLeft w:val="0"/>
      <w:marRight w:val="0"/>
      <w:marTop w:val="0"/>
      <w:marBottom w:val="0"/>
      <w:divBdr>
        <w:top w:val="none" w:sz="0" w:space="0" w:color="auto"/>
        <w:left w:val="none" w:sz="0" w:space="0" w:color="auto"/>
        <w:bottom w:val="none" w:sz="0" w:space="0" w:color="auto"/>
        <w:right w:val="none" w:sz="0" w:space="0" w:color="auto"/>
      </w:divBdr>
    </w:div>
    <w:div w:id="28914295">
      <w:bodyDiv w:val="1"/>
      <w:marLeft w:val="0"/>
      <w:marRight w:val="0"/>
      <w:marTop w:val="0"/>
      <w:marBottom w:val="0"/>
      <w:divBdr>
        <w:top w:val="none" w:sz="0" w:space="0" w:color="auto"/>
        <w:left w:val="none" w:sz="0" w:space="0" w:color="auto"/>
        <w:bottom w:val="none" w:sz="0" w:space="0" w:color="auto"/>
        <w:right w:val="none" w:sz="0" w:space="0" w:color="auto"/>
      </w:divBdr>
    </w:div>
    <w:div w:id="30425336">
      <w:bodyDiv w:val="1"/>
      <w:marLeft w:val="0"/>
      <w:marRight w:val="0"/>
      <w:marTop w:val="0"/>
      <w:marBottom w:val="0"/>
      <w:divBdr>
        <w:top w:val="none" w:sz="0" w:space="0" w:color="auto"/>
        <w:left w:val="none" w:sz="0" w:space="0" w:color="auto"/>
        <w:bottom w:val="none" w:sz="0" w:space="0" w:color="auto"/>
        <w:right w:val="none" w:sz="0" w:space="0" w:color="auto"/>
      </w:divBdr>
    </w:div>
    <w:div w:id="43720734">
      <w:bodyDiv w:val="1"/>
      <w:marLeft w:val="0"/>
      <w:marRight w:val="0"/>
      <w:marTop w:val="0"/>
      <w:marBottom w:val="0"/>
      <w:divBdr>
        <w:top w:val="none" w:sz="0" w:space="0" w:color="auto"/>
        <w:left w:val="none" w:sz="0" w:space="0" w:color="auto"/>
        <w:bottom w:val="none" w:sz="0" w:space="0" w:color="auto"/>
        <w:right w:val="none" w:sz="0" w:space="0" w:color="auto"/>
      </w:divBdr>
    </w:div>
    <w:div w:id="44304186">
      <w:bodyDiv w:val="1"/>
      <w:marLeft w:val="0"/>
      <w:marRight w:val="0"/>
      <w:marTop w:val="0"/>
      <w:marBottom w:val="0"/>
      <w:divBdr>
        <w:top w:val="none" w:sz="0" w:space="0" w:color="auto"/>
        <w:left w:val="none" w:sz="0" w:space="0" w:color="auto"/>
        <w:bottom w:val="none" w:sz="0" w:space="0" w:color="auto"/>
        <w:right w:val="none" w:sz="0" w:space="0" w:color="auto"/>
      </w:divBdr>
    </w:div>
    <w:div w:id="44838013">
      <w:bodyDiv w:val="1"/>
      <w:marLeft w:val="0"/>
      <w:marRight w:val="0"/>
      <w:marTop w:val="0"/>
      <w:marBottom w:val="0"/>
      <w:divBdr>
        <w:top w:val="none" w:sz="0" w:space="0" w:color="auto"/>
        <w:left w:val="none" w:sz="0" w:space="0" w:color="auto"/>
        <w:bottom w:val="none" w:sz="0" w:space="0" w:color="auto"/>
        <w:right w:val="none" w:sz="0" w:space="0" w:color="auto"/>
      </w:divBdr>
    </w:div>
    <w:div w:id="45036089">
      <w:bodyDiv w:val="1"/>
      <w:marLeft w:val="0"/>
      <w:marRight w:val="0"/>
      <w:marTop w:val="0"/>
      <w:marBottom w:val="0"/>
      <w:divBdr>
        <w:top w:val="none" w:sz="0" w:space="0" w:color="auto"/>
        <w:left w:val="none" w:sz="0" w:space="0" w:color="auto"/>
        <w:bottom w:val="none" w:sz="0" w:space="0" w:color="auto"/>
        <w:right w:val="none" w:sz="0" w:space="0" w:color="auto"/>
      </w:divBdr>
    </w:div>
    <w:div w:id="76099931">
      <w:bodyDiv w:val="1"/>
      <w:marLeft w:val="0"/>
      <w:marRight w:val="0"/>
      <w:marTop w:val="0"/>
      <w:marBottom w:val="0"/>
      <w:divBdr>
        <w:top w:val="none" w:sz="0" w:space="0" w:color="auto"/>
        <w:left w:val="none" w:sz="0" w:space="0" w:color="auto"/>
        <w:bottom w:val="none" w:sz="0" w:space="0" w:color="auto"/>
        <w:right w:val="none" w:sz="0" w:space="0" w:color="auto"/>
      </w:divBdr>
    </w:div>
    <w:div w:id="85461787">
      <w:bodyDiv w:val="1"/>
      <w:marLeft w:val="0"/>
      <w:marRight w:val="0"/>
      <w:marTop w:val="0"/>
      <w:marBottom w:val="0"/>
      <w:divBdr>
        <w:top w:val="none" w:sz="0" w:space="0" w:color="auto"/>
        <w:left w:val="none" w:sz="0" w:space="0" w:color="auto"/>
        <w:bottom w:val="none" w:sz="0" w:space="0" w:color="auto"/>
        <w:right w:val="none" w:sz="0" w:space="0" w:color="auto"/>
      </w:divBdr>
    </w:div>
    <w:div w:id="89199006">
      <w:bodyDiv w:val="1"/>
      <w:marLeft w:val="0"/>
      <w:marRight w:val="0"/>
      <w:marTop w:val="0"/>
      <w:marBottom w:val="0"/>
      <w:divBdr>
        <w:top w:val="none" w:sz="0" w:space="0" w:color="auto"/>
        <w:left w:val="none" w:sz="0" w:space="0" w:color="auto"/>
        <w:bottom w:val="none" w:sz="0" w:space="0" w:color="auto"/>
        <w:right w:val="none" w:sz="0" w:space="0" w:color="auto"/>
      </w:divBdr>
    </w:div>
    <w:div w:id="93478661">
      <w:bodyDiv w:val="1"/>
      <w:marLeft w:val="0"/>
      <w:marRight w:val="0"/>
      <w:marTop w:val="0"/>
      <w:marBottom w:val="0"/>
      <w:divBdr>
        <w:top w:val="none" w:sz="0" w:space="0" w:color="auto"/>
        <w:left w:val="none" w:sz="0" w:space="0" w:color="auto"/>
        <w:bottom w:val="none" w:sz="0" w:space="0" w:color="auto"/>
        <w:right w:val="none" w:sz="0" w:space="0" w:color="auto"/>
      </w:divBdr>
    </w:div>
    <w:div w:id="105151393">
      <w:bodyDiv w:val="1"/>
      <w:marLeft w:val="0"/>
      <w:marRight w:val="0"/>
      <w:marTop w:val="0"/>
      <w:marBottom w:val="0"/>
      <w:divBdr>
        <w:top w:val="none" w:sz="0" w:space="0" w:color="auto"/>
        <w:left w:val="none" w:sz="0" w:space="0" w:color="auto"/>
        <w:bottom w:val="none" w:sz="0" w:space="0" w:color="auto"/>
        <w:right w:val="none" w:sz="0" w:space="0" w:color="auto"/>
      </w:divBdr>
    </w:div>
    <w:div w:id="111899300">
      <w:bodyDiv w:val="1"/>
      <w:marLeft w:val="0"/>
      <w:marRight w:val="0"/>
      <w:marTop w:val="0"/>
      <w:marBottom w:val="0"/>
      <w:divBdr>
        <w:top w:val="none" w:sz="0" w:space="0" w:color="auto"/>
        <w:left w:val="none" w:sz="0" w:space="0" w:color="auto"/>
        <w:bottom w:val="none" w:sz="0" w:space="0" w:color="auto"/>
        <w:right w:val="none" w:sz="0" w:space="0" w:color="auto"/>
      </w:divBdr>
    </w:div>
    <w:div w:id="120653544">
      <w:bodyDiv w:val="1"/>
      <w:marLeft w:val="0"/>
      <w:marRight w:val="0"/>
      <w:marTop w:val="0"/>
      <w:marBottom w:val="0"/>
      <w:divBdr>
        <w:top w:val="none" w:sz="0" w:space="0" w:color="auto"/>
        <w:left w:val="none" w:sz="0" w:space="0" w:color="auto"/>
        <w:bottom w:val="none" w:sz="0" w:space="0" w:color="auto"/>
        <w:right w:val="none" w:sz="0" w:space="0" w:color="auto"/>
      </w:divBdr>
    </w:div>
    <w:div w:id="120658471">
      <w:bodyDiv w:val="1"/>
      <w:marLeft w:val="0"/>
      <w:marRight w:val="0"/>
      <w:marTop w:val="0"/>
      <w:marBottom w:val="0"/>
      <w:divBdr>
        <w:top w:val="none" w:sz="0" w:space="0" w:color="auto"/>
        <w:left w:val="none" w:sz="0" w:space="0" w:color="auto"/>
        <w:bottom w:val="none" w:sz="0" w:space="0" w:color="auto"/>
        <w:right w:val="none" w:sz="0" w:space="0" w:color="auto"/>
      </w:divBdr>
    </w:div>
    <w:div w:id="128860091">
      <w:bodyDiv w:val="1"/>
      <w:marLeft w:val="0"/>
      <w:marRight w:val="0"/>
      <w:marTop w:val="0"/>
      <w:marBottom w:val="0"/>
      <w:divBdr>
        <w:top w:val="none" w:sz="0" w:space="0" w:color="auto"/>
        <w:left w:val="none" w:sz="0" w:space="0" w:color="auto"/>
        <w:bottom w:val="none" w:sz="0" w:space="0" w:color="auto"/>
        <w:right w:val="none" w:sz="0" w:space="0" w:color="auto"/>
      </w:divBdr>
    </w:div>
    <w:div w:id="130053568">
      <w:bodyDiv w:val="1"/>
      <w:marLeft w:val="0"/>
      <w:marRight w:val="0"/>
      <w:marTop w:val="0"/>
      <w:marBottom w:val="0"/>
      <w:divBdr>
        <w:top w:val="none" w:sz="0" w:space="0" w:color="auto"/>
        <w:left w:val="none" w:sz="0" w:space="0" w:color="auto"/>
        <w:bottom w:val="none" w:sz="0" w:space="0" w:color="auto"/>
        <w:right w:val="none" w:sz="0" w:space="0" w:color="auto"/>
      </w:divBdr>
    </w:div>
    <w:div w:id="144859866">
      <w:bodyDiv w:val="1"/>
      <w:marLeft w:val="0"/>
      <w:marRight w:val="0"/>
      <w:marTop w:val="0"/>
      <w:marBottom w:val="0"/>
      <w:divBdr>
        <w:top w:val="none" w:sz="0" w:space="0" w:color="auto"/>
        <w:left w:val="none" w:sz="0" w:space="0" w:color="auto"/>
        <w:bottom w:val="none" w:sz="0" w:space="0" w:color="auto"/>
        <w:right w:val="none" w:sz="0" w:space="0" w:color="auto"/>
      </w:divBdr>
    </w:div>
    <w:div w:id="159390304">
      <w:bodyDiv w:val="1"/>
      <w:marLeft w:val="0"/>
      <w:marRight w:val="0"/>
      <w:marTop w:val="0"/>
      <w:marBottom w:val="0"/>
      <w:divBdr>
        <w:top w:val="none" w:sz="0" w:space="0" w:color="auto"/>
        <w:left w:val="none" w:sz="0" w:space="0" w:color="auto"/>
        <w:bottom w:val="none" w:sz="0" w:space="0" w:color="auto"/>
        <w:right w:val="none" w:sz="0" w:space="0" w:color="auto"/>
      </w:divBdr>
    </w:div>
    <w:div w:id="181166131">
      <w:bodyDiv w:val="1"/>
      <w:marLeft w:val="0"/>
      <w:marRight w:val="0"/>
      <w:marTop w:val="0"/>
      <w:marBottom w:val="0"/>
      <w:divBdr>
        <w:top w:val="none" w:sz="0" w:space="0" w:color="auto"/>
        <w:left w:val="none" w:sz="0" w:space="0" w:color="auto"/>
        <w:bottom w:val="none" w:sz="0" w:space="0" w:color="auto"/>
        <w:right w:val="none" w:sz="0" w:space="0" w:color="auto"/>
      </w:divBdr>
    </w:div>
    <w:div w:id="182864901">
      <w:bodyDiv w:val="1"/>
      <w:marLeft w:val="0"/>
      <w:marRight w:val="0"/>
      <w:marTop w:val="0"/>
      <w:marBottom w:val="0"/>
      <w:divBdr>
        <w:top w:val="none" w:sz="0" w:space="0" w:color="auto"/>
        <w:left w:val="none" w:sz="0" w:space="0" w:color="auto"/>
        <w:bottom w:val="none" w:sz="0" w:space="0" w:color="auto"/>
        <w:right w:val="none" w:sz="0" w:space="0" w:color="auto"/>
      </w:divBdr>
    </w:div>
    <w:div w:id="188690632">
      <w:bodyDiv w:val="1"/>
      <w:marLeft w:val="0"/>
      <w:marRight w:val="0"/>
      <w:marTop w:val="0"/>
      <w:marBottom w:val="0"/>
      <w:divBdr>
        <w:top w:val="none" w:sz="0" w:space="0" w:color="auto"/>
        <w:left w:val="none" w:sz="0" w:space="0" w:color="auto"/>
        <w:bottom w:val="none" w:sz="0" w:space="0" w:color="auto"/>
        <w:right w:val="none" w:sz="0" w:space="0" w:color="auto"/>
      </w:divBdr>
    </w:div>
    <w:div w:id="189956055">
      <w:bodyDiv w:val="1"/>
      <w:marLeft w:val="0"/>
      <w:marRight w:val="0"/>
      <w:marTop w:val="0"/>
      <w:marBottom w:val="0"/>
      <w:divBdr>
        <w:top w:val="none" w:sz="0" w:space="0" w:color="auto"/>
        <w:left w:val="none" w:sz="0" w:space="0" w:color="auto"/>
        <w:bottom w:val="none" w:sz="0" w:space="0" w:color="auto"/>
        <w:right w:val="none" w:sz="0" w:space="0" w:color="auto"/>
      </w:divBdr>
    </w:div>
    <w:div w:id="203107512">
      <w:bodyDiv w:val="1"/>
      <w:marLeft w:val="0"/>
      <w:marRight w:val="0"/>
      <w:marTop w:val="0"/>
      <w:marBottom w:val="0"/>
      <w:divBdr>
        <w:top w:val="none" w:sz="0" w:space="0" w:color="auto"/>
        <w:left w:val="none" w:sz="0" w:space="0" w:color="auto"/>
        <w:bottom w:val="none" w:sz="0" w:space="0" w:color="auto"/>
        <w:right w:val="none" w:sz="0" w:space="0" w:color="auto"/>
      </w:divBdr>
    </w:div>
    <w:div w:id="209540726">
      <w:bodyDiv w:val="1"/>
      <w:marLeft w:val="0"/>
      <w:marRight w:val="0"/>
      <w:marTop w:val="0"/>
      <w:marBottom w:val="0"/>
      <w:divBdr>
        <w:top w:val="none" w:sz="0" w:space="0" w:color="auto"/>
        <w:left w:val="none" w:sz="0" w:space="0" w:color="auto"/>
        <w:bottom w:val="none" w:sz="0" w:space="0" w:color="auto"/>
        <w:right w:val="none" w:sz="0" w:space="0" w:color="auto"/>
      </w:divBdr>
    </w:div>
    <w:div w:id="227738457">
      <w:bodyDiv w:val="1"/>
      <w:marLeft w:val="0"/>
      <w:marRight w:val="0"/>
      <w:marTop w:val="0"/>
      <w:marBottom w:val="0"/>
      <w:divBdr>
        <w:top w:val="none" w:sz="0" w:space="0" w:color="auto"/>
        <w:left w:val="none" w:sz="0" w:space="0" w:color="auto"/>
        <w:bottom w:val="none" w:sz="0" w:space="0" w:color="auto"/>
        <w:right w:val="none" w:sz="0" w:space="0" w:color="auto"/>
      </w:divBdr>
    </w:div>
    <w:div w:id="229652986">
      <w:bodyDiv w:val="1"/>
      <w:marLeft w:val="0"/>
      <w:marRight w:val="0"/>
      <w:marTop w:val="0"/>
      <w:marBottom w:val="0"/>
      <w:divBdr>
        <w:top w:val="none" w:sz="0" w:space="0" w:color="auto"/>
        <w:left w:val="none" w:sz="0" w:space="0" w:color="auto"/>
        <w:bottom w:val="none" w:sz="0" w:space="0" w:color="auto"/>
        <w:right w:val="none" w:sz="0" w:space="0" w:color="auto"/>
      </w:divBdr>
    </w:div>
    <w:div w:id="239485488">
      <w:bodyDiv w:val="1"/>
      <w:marLeft w:val="0"/>
      <w:marRight w:val="0"/>
      <w:marTop w:val="0"/>
      <w:marBottom w:val="0"/>
      <w:divBdr>
        <w:top w:val="none" w:sz="0" w:space="0" w:color="auto"/>
        <w:left w:val="none" w:sz="0" w:space="0" w:color="auto"/>
        <w:bottom w:val="none" w:sz="0" w:space="0" w:color="auto"/>
        <w:right w:val="none" w:sz="0" w:space="0" w:color="auto"/>
      </w:divBdr>
    </w:div>
    <w:div w:id="241527031">
      <w:bodyDiv w:val="1"/>
      <w:marLeft w:val="0"/>
      <w:marRight w:val="0"/>
      <w:marTop w:val="0"/>
      <w:marBottom w:val="0"/>
      <w:divBdr>
        <w:top w:val="none" w:sz="0" w:space="0" w:color="auto"/>
        <w:left w:val="none" w:sz="0" w:space="0" w:color="auto"/>
        <w:bottom w:val="none" w:sz="0" w:space="0" w:color="auto"/>
        <w:right w:val="none" w:sz="0" w:space="0" w:color="auto"/>
      </w:divBdr>
    </w:div>
    <w:div w:id="254440713">
      <w:bodyDiv w:val="1"/>
      <w:marLeft w:val="0"/>
      <w:marRight w:val="0"/>
      <w:marTop w:val="0"/>
      <w:marBottom w:val="0"/>
      <w:divBdr>
        <w:top w:val="none" w:sz="0" w:space="0" w:color="auto"/>
        <w:left w:val="none" w:sz="0" w:space="0" w:color="auto"/>
        <w:bottom w:val="none" w:sz="0" w:space="0" w:color="auto"/>
        <w:right w:val="none" w:sz="0" w:space="0" w:color="auto"/>
      </w:divBdr>
    </w:div>
    <w:div w:id="265619994">
      <w:bodyDiv w:val="1"/>
      <w:marLeft w:val="0"/>
      <w:marRight w:val="0"/>
      <w:marTop w:val="0"/>
      <w:marBottom w:val="0"/>
      <w:divBdr>
        <w:top w:val="none" w:sz="0" w:space="0" w:color="auto"/>
        <w:left w:val="none" w:sz="0" w:space="0" w:color="auto"/>
        <w:bottom w:val="none" w:sz="0" w:space="0" w:color="auto"/>
        <w:right w:val="none" w:sz="0" w:space="0" w:color="auto"/>
      </w:divBdr>
    </w:div>
    <w:div w:id="273830277">
      <w:bodyDiv w:val="1"/>
      <w:marLeft w:val="0"/>
      <w:marRight w:val="0"/>
      <w:marTop w:val="0"/>
      <w:marBottom w:val="0"/>
      <w:divBdr>
        <w:top w:val="none" w:sz="0" w:space="0" w:color="auto"/>
        <w:left w:val="none" w:sz="0" w:space="0" w:color="auto"/>
        <w:bottom w:val="none" w:sz="0" w:space="0" w:color="auto"/>
        <w:right w:val="none" w:sz="0" w:space="0" w:color="auto"/>
      </w:divBdr>
    </w:div>
    <w:div w:id="275253489">
      <w:bodyDiv w:val="1"/>
      <w:marLeft w:val="0"/>
      <w:marRight w:val="0"/>
      <w:marTop w:val="0"/>
      <w:marBottom w:val="0"/>
      <w:divBdr>
        <w:top w:val="none" w:sz="0" w:space="0" w:color="auto"/>
        <w:left w:val="none" w:sz="0" w:space="0" w:color="auto"/>
        <w:bottom w:val="none" w:sz="0" w:space="0" w:color="auto"/>
        <w:right w:val="none" w:sz="0" w:space="0" w:color="auto"/>
      </w:divBdr>
    </w:div>
    <w:div w:id="277638179">
      <w:bodyDiv w:val="1"/>
      <w:marLeft w:val="0"/>
      <w:marRight w:val="0"/>
      <w:marTop w:val="0"/>
      <w:marBottom w:val="0"/>
      <w:divBdr>
        <w:top w:val="none" w:sz="0" w:space="0" w:color="auto"/>
        <w:left w:val="none" w:sz="0" w:space="0" w:color="auto"/>
        <w:bottom w:val="none" w:sz="0" w:space="0" w:color="auto"/>
        <w:right w:val="none" w:sz="0" w:space="0" w:color="auto"/>
      </w:divBdr>
    </w:div>
    <w:div w:id="277680927">
      <w:bodyDiv w:val="1"/>
      <w:marLeft w:val="0"/>
      <w:marRight w:val="0"/>
      <w:marTop w:val="0"/>
      <w:marBottom w:val="0"/>
      <w:divBdr>
        <w:top w:val="none" w:sz="0" w:space="0" w:color="auto"/>
        <w:left w:val="none" w:sz="0" w:space="0" w:color="auto"/>
        <w:bottom w:val="none" w:sz="0" w:space="0" w:color="auto"/>
        <w:right w:val="none" w:sz="0" w:space="0" w:color="auto"/>
      </w:divBdr>
    </w:div>
    <w:div w:id="281958551">
      <w:bodyDiv w:val="1"/>
      <w:marLeft w:val="0"/>
      <w:marRight w:val="0"/>
      <w:marTop w:val="0"/>
      <w:marBottom w:val="0"/>
      <w:divBdr>
        <w:top w:val="none" w:sz="0" w:space="0" w:color="auto"/>
        <w:left w:val="none" w:sz="0" w:space="0" w:color="auto"/>
        <w:bottom w:val="none" w:sz="0" w:space="0" w:color="auto"/>
        <w:right w:val="none" w:sz="0" w:space="0" w:color="auto"/>
      </w:divBdr>
    </w:div>
    <w:div w:id="282737639">
      <w:bodyDiv w:val="1"/>
      <w:marLeft w:val="0"/>
      <w:marRight w:val="0"/>
      <w:marTop w:val="0"/>
      <w:marBottom w:val="0"/>
      <w:divBdr>
        <w:top w:val="none" w:sz="0" w:space="0" w:color="auto"/>
        <w:left w:val="none" w:sz="0" w:space="0" w:color="auto"/>
        <w:bottom w:val="none" w:sz="0" w:space="0" w:color="auto"/>
        <w:right w:val="none" w:sz="0" w:space="0" w:color="auto"/>
      </w:divBdr>
    </w:div>
    <w:div w:id="290138272">
      <w:bodyDiv w:val="1"/>
      <w:marLeft w:val="0"/>
      <w:marRight w:val="0"/>
      <w:marTop w:val="0"/>
      <w:marBottom w:val="0"/>
      <w:divBdr>
        <w:top w:val="none" w:sz="0" w:space="0" w:color="auto"/>
        <w:left w:val="none" w:sz="0" w:space="0" w:color="auto"/>
        <w:bottom w:val="none" w:sz="0" w:space="0" w:color="auto"/>
        <w:right w:val="none" w:sz="0" w:space="0" w:color="auto"/>
      </w:divBdr>
    </w:div>
    <w:div w:id="296304089">
      <w:bodyDiv w:val="1"/>
      <w:marLeft w:val="0"/>
      <w:marRight w:val="0"/>
      <w:marTop w:val="0"/>
      <w:marBottom w:val="0"/>
      <w:divBdr>
        <w:top w:val="none" w:sz="0" w:space="0" w:color="auto"/>
        <w:left w:val="none" w:sz="0" w:space="0" w:color="auto"/>
        <w:bottom w:val="none" w:sz="0" w:space="0" w:color="auto"/>
        <w:right w:val="none" w:sz="0" w:space="0" w:color="auto"/>
      </w:divBdr>
    </w:div>
    <w:div w:id="300041687">
      <w:bodyDiv w:val="1"/>
      <w:marLeft w:val="0"/>
      <w:marRight w:val="0"/>
      <w:marTop w:val="0"/>
      <w:marBottom w:val="0"/>
      <w:divBdr>
        <w:top w:val="none" w:sz="0" w:space="0" w:color="auto"/>
        <w:left w:val="none" w:sz="0" w:space="0" w:color="auto"/>
        <w:bottom w:val="none" w:sz="0" w:space="0" w:color="auto"/>
        <w:right w:val="none" w:sz="0" w:space="0" w:color="auto"/>
      </w:divBdr>
    </w:div>
    <w:div w:id="326638121">
      <w:bodyDiv w:val="1"/>
      <w:marLeft w:val="0"/>
      <w:marRight w:val="0"/>
      <w:marTop w:val="0"/>
      <w:marBottom w:val="0"/>
      <w:divBdr>
        <w:top w:val="none" w:sz="0" w:space="0" w:color="auto"/>
        <w:left w:val="none" w:sz="0" w:space="0" w:color="auto"/>
        <w:bottom w:val="none" w:sz="0" w:space="0" w:color="auto"/>
        <w:right w:val="none" w:sz="0" w:space="0" w:color="auto"/>
      </w:divBdr>
    </w:div>
    <w:div w:id="337999452">
      <w:bodyDiv w:val="1"/>
      <w:marLeft w:val="0"/>
      <w:marRight w:val="0"/>
      <w:marTop w:val="0"/>
      <w:marBottom w:val="0"/>
      <w:divBdr>
        <w:top w:val="none" w:sz="0" w:space="0" w:color="auto"/>
        <w:left w:val="none" w:sz="0" w:space="0" w:color="auto"/>
        <w:bottom w:val="none" w:sz="0" w:space="0" w:color="auto"/>
        <w:right w:val="none" w:sz="0" w:space="0" w:color="auto"/>
      </w:divBdr>
    </w:div>
    <w:div w:id="340163194">
      <w:bodyDiv w:val="1"/>
      <w:marLeft w:val="0"/>
      <w:marRight w:val="0"/>
      <w:marTop w:val="0"/>
      <w:marBottom w:val="0"/>
      <w:divBdr>
        <w:top w:val="none" w:sz="0" w:space="0" w:color="auto"/>
        <w:left w:val="none" w:sz="0" w:space="0" w:color="auto"/>
        <w:bottom w:val="none" w:sz="0" w:space="0" w:color="auto"/>
        <w:right w:val="none" w:sz="0" w:space="0" w:color="auto"/>
      </w:divBdr>
    </w:div>
    <w:div w:id="356277315">
      <w:bodyDiv w:val="1"/>
      <w:marLeft w:val="0"/>
      <w:marRight w:val="0"/>
      <w:marTop w:val="0"/>
      <w:marBottom w:val="0"/>
      <w:divBdr>
        <w:top w:val="none" w:sz="0" w:space="0" w:color="auto"/>
        <w:left w:val="none" w:sz="0" w:space="0" w:color="auto"/>
        <w:bottom w:val="none" w:sz="0" w:space="0" w:color="auto"/>
        <w:right w:val="none" w:sz="0" w:space="0" w:color="auto"/>
      </w:divBdr>
    </w:div>
    <w:div w:id="360085909">
      <w:bodyDiv w:val="1"/>
      <w:marLeft w:val="0"/>
      <w:marRight w:val="0"/>
      <w:marTop w:val="0"/>
      <w:marBottom w:val="0"/>
      <w:divBdr>
        <w:top w:val="none" w:sz="0" w:space="0" w:color="auto"/>
        <w:left w:val="none" w:sz="0" w:space="0" w:color="auto"/>
        <w:bottom w:val="none" w:sz="0" w:space="0" w:color="auto"/>
        <w:right w:val="none" w:sz="0" w:space="0" w:color="auto"/>
      </w:divBdr>
    </w:div>
    <w:div w:id="366101738">
      <w:bodyDiv w:val="1"/>
      <w:marLeft w:val="0"/>
      <w:marRight w:val="0"/>
      <w:marTop w:val="0"/>
      <w:marBottom w:val="0"/>
      <w:divBdr>
        <w:top w:val="none" w:sz="0" w:space="0" w:color="auto"/>
        <w:left w:val="none" w:sz="0" w:space="0" w:color="auto"/>
        <w:bottom w:val="none" w:sz="0" w:space="0" w:color="auto"/>
        <w:right w:val="none" w:sz="0" w:space="0" w:color="auto"/>
      </w:divBdr>
    </w:div>
    <w:div w:id="367023920">
      <w:bodyDiv w:val="1"/>
      <w:marLeft w:val="0"/>
      <w:marRight w:val="0"/>
      <w:marTop w:val="0"/>
      <w:marBottom w:val="0"/>
      <w:divBdr>
        <w:top w:val="none" w:sz="0" w:space="0" w:color="auto"/>
        <w:left w:val="none" w:sz="0" w:space="0" w:color="auto"/>
        <w:bottom w:val="none" w:sz="0" w:space="0" w:color="auto"/>
        <w:right w:val="none" w:sz="0" w:space="0" w:color="auto"/>
      </w:divBdr>
    </w:div>
    <w:div w:id="370303944">
      <w:bodyDiv w:val="1"/>
      <w:marLeft w:val="0"/>
      <w:marRight w:val="0"/>
      <w:marTop w:val="0"/>
      <w:marBottom w:val="0"/>
      <w:divBdr>
        <w:top w:val="none" w:sz="0" w:space="0" w:color="auto"/>
        <w:left w:val="none" w:sz="0" w:space="0" w:color="auto"/>
        <w:bottom w:val="none" w:sz="0" w:space="0" w:color="auto"/>
        <w:right w:val="none" w:sz="0" w:space="0" w:color="auto"/>
      </w:divBdr>
    </w:div>
    <w:div w:id="376320645">
      <w:bodyDiv w:val="1"/>
      <w:marLeft w:val="0"/>
      <w:marRight w:val="0"/>
      <w:marTop w:val="0"/>
      <w:marBottom w:val="0"/>
      <w:divBdr>
        <w:top w:val="none" w:sz="0" w:space="0" w:color="auto"/>
        <w:left w:val="none" w:sz="0" w:space="0" w:color="auto"/>
        <w:bottom w:val="none" w:sz="0" w:space="0" w:color="auto"/>
        <w:right w:val="none" w:sz="0" w:space="0" w:color="auto"/>
      </w:divBdr>
    </w:div>
    <w:div w:id="378288355">
      <w:bodyDiv w:val="1"/>
      <w:marLeft w:val="0"/>
      <w:marRight w:val="0"/>
      <w:marTop w:val="0"/>
      <w:marBottom w:val="0"/>
      <w:divBdr>
        <w:top w:val="none" w:sz="0" w:space="0" w:color="auto"/>
        <w:left w:val="none" w:sz="0" w:space="0" w:color="auto"/>
        <w:bottom w:val="none" w:sz="0" w:space="0" w:color="auto"/>
        <w:right w:val="none" w:sz="0" w:space="0" w:color="auto"/>
      </w:divBdr>
    </w:div>
    <w:div w:id="379865513">
      <w:bodyDiv w:val="1"/>
      <w:marLeft w:val="0"/>
      <w:marRight w:val="0"/>
      <w:marTop w:val="0"/>
      <w:marBottom w:val="0"/>
      <w:divBdr>
        <w:top w:val="none" w:sz="0" w:space="0" w:color="auto"/>
        <w:left w:val="none" w:sz="0" w:space="0" w:color="auto"/>
        <w:bottom w:val="none" w:sz="0" w:space="0" w:color="auto"/>
        <w:right w:val="none" w:sz="0" w:space="0" w:color="auto"/>
      </w:divBdr>
    </w:div>
    <w:div w:id="383798561">
      <w:bodyDiv w:val="1"/>
      <w:marLeft w:val="0"/>
      <w:marRight w:val="0"/>
      <w:marTop w:val="0"/>
      <w:marBottom w:val="0"/>
      <w:divBdr>
        <w:top w:val="none" w:sz="0" w:space="0" w:color="auto"/>
        <w:left w:val="none" w:sz="0" w:space="0" w:color="auto"/>
        <w:bottom w:val="none" w:sz="0" w:space="0" w:color="auto"/>
        <w:right w:val="none" w:sz="0" w:space="0" w:color="auto"/>
      </w:divBdr>
    </w:div>
    <w:div w:id="384841987">
      <w:bodyDiv w:val="1"/>
      <w:marLeft w:val="0"/>
      <w:marRight w:val="0"/>
      <w:marTop w:val="0"/>
      <w:marBottom w:val="0"/>
      <w:divBdr>
        <w:top w:val="none" w:sz="0" w:space="0" w:color="auto"/>
        <w:left w:val="none" w:sz="0" w:space="0" w:color="auto"/>
        <w:bottom w:val="none" w:sz="0" w:space="0" w:color="auto"/>
        <w:right w:val="none" w:sz="0" w:space="0" w:color="auto"/>
      </w:divBdr>
    </w:div>
    <w:div w:id="398676335">
      <w:bodyDiv w:val="1"/>
      <w:marLeft w:val="0"/>
      <w:marRight w:val="0"/>
      <w:marTop w:val="0"/>
      <w:marBottom w:val="0"/>
      <w:divBdr>
        <w:top w:val="none" w:sz="0" w:space="0" w:color="auto"/>
        <w:left w:val="none" w:sz="0" w:space="0" w:color="auto"/>
        <w:bottom w:val="none" w:sz="0" w:space="0" w:color="auto"/>
        <w:right w:val="none" w:sz="0" w:space="0" w:color="auto"/>
      </w:divBdr>
    </w:div>
    <w:div w:id="405761018">
      <w:bodyDiv w:val="1"/>
      <w:marLeft w:val="0"/>
      <w:marRight w:val="0"/>
      <w:marTop w:val="0"/>
      <w:marBottom w:val="0"/>
      <w:divBdr>
        <w:top w:val="none" w:sz="0" w:space="0" w:color="auto"/>
        <w:left w:val="none" w:sz="0" w:space="0" w:color="auto"/>
        <w:bottom w:val="none" w:sz="0" w:space="0" w:color="auto"/>
        <w:right w:val="none" w:sz="0" w:space="0" w:color="auto"/>
      </w:divBdr>
    </w:div>
    <w:div w:id="407388476">
      <w:bodyDiv w:val="1"/>
      <w:marLeft w:val="0"/>
      <w:marRight w:val="0"/>
      <w:marTop w:val="0"/>
      <w:marBottom w:val="0"/>
      <w:divBdr>
        <w:top w:val="none" w:sz="0" w:space="0" w:color="auto"/>
        <w:left w:val="none" w:sz="0" w:space="0" w:color="auto"/>
        <w:bottom w:val="none" w:sz="0" w:space="0" w:color="auto"/>
        <w:right w:val="none" w:sz="0" w:space="0" w:color="auto"/>
      </w:divBdr>
    </w:div>
    <w:div w:id="409691697">
      <w:bodyDiv w:val="1"/>
      <w:marLeft w:val="0"/>
      <w:marRight w:val="0"/>
      <w:marTop w:val="0"/>
      <w:marBottom w:val="0"/>
      <w:divBdr>
        <w:top w:val="none" w:sz="0" w:space="0" w:color="auto"/>
        <w:left w:val="none" w:sz="0" w:space="0" w:color="auto"/>
        <w:bottom w:val="none" w:sz="0" w:space="0" w:color="auto"/>
        <w:right w:val="none" w:sz="0" w:space="0" w:color="auto"/>
      </w:divBdr>
    </w:div>
    <w:div w:id="416630324">
      <w:bodyDiv w:val="1"/>
      <w:marLeft w:val="0"/>
      <w:marRight w:val="0"/>
      <w:marTop w:val="0"/>
      <w:marBottom w:val="0"/>
      <w:divBdr>
        <w:top w:val="none" w:sz="0" w:space="0" w:color="auto"/>
        <w:left w:val="none" w:sz="0" w:space="0" w:color="auto"/>
        <w:bottom w:val="none" w:sz="0" w:space="0" w:color="auto"/>
        <w:right w:val="none" w:sz="0" w:space="0" w:color="auto"/>
      </w:divBdr>
    </w:div>
    <w:div w:id="420223506">
      <w:bodyDiv w:val="1"/>
      <w:marLeft w:val="0"/>
      <w:marRight w:val="0"/>
      <w:marTop w:val="0"/>
      <w:marBottom w:val="0"/>
      <w:divBdr>
        <w:top w:val="none" w:sz="0" w:space="0" w:color="auto"/>
        <w:left w:val="none" w:sz="0" w:space="0" w:color="auto"/>
        <w:bottom w:val="none" w:sz="0" w:space="0" w:color="auto"/>
        <w:right w:val="none" w:sz="0" w:space="0" w:color="auto"/>
      </w:divBdr>
    </w:div>
    <w:div w:id="420570850">
      <w:bodyDiv w:val="1"/>
      <w:marLeft w:val="0"/>
      <w:marRight w:val="0"/>
      <w:marTop w:val="0"/>
      <w:marBottom w:val="0"/>
      <w:divBdr>
        <w:top w:val="none" w:sz="0" w:space="0" w:color="auto"/>
        <w:left w:val="none" w:sz="0" w:space="0" w:color="auto"/>
        <w:bottom w:val="none" w:sz="0" w:space="0" w:color="auto"/>
        <w:right w:val="none" w:sz="0" w:space="0" w:color="auto"/>
      </w:divBdr>
    </w:div>
    <w:div w:id="423455096">
      <w:bodyDiv w:val="1"/>
      <w:marLeft w:val="0"/>
      <w:marRight w:val="0"/>
      <w:marTop w:val="0"/>
      <w:marBottom w:val="0"/>
      <w:divBdr>
        <w:top w:val="none" w:sz="0" w:space="0" w:color="auto"/>
        <w:left w:val="none" w:sz="0" w:space="0" w:color="auto"/>
        <w:bottom w:val="none" w:sz="0" w:space="0" w:color="auto"/>
        <w:right w:val="none" w:sz="0" w:space="0" w:color="auto"/>
      </w:divBdr>
    </w:div>
    <w:div w:id="437674531">
      <w:bodyDiv w:val="1"/>
      <w:marLeft w:val="0"/>
      <w:marRight w:val="0"/>
      <w:marTop w:val="0"/>
      <w:marBottom w:val="0"/>
      <w:divBdr>
        <w:top w:val="none" w:sz="0" w:space="0" w:color="auto"/>
        <w:left w:val="none" w:sz="0" w:space="0" w:color="auto"/>
        <w:bottom w:val="none" w:sz="0" w:space="0" w:color="auto"/>
        <w:right w:val="none" w:sz="0" w:space="0" w:color="auto"/>
      </w:divBdr>
    </w:div>
    <w:div w:id="441343117">
      <w:bodyDiv w:val="1"/>
      <w:marLeft w:val="0"/>
      <w:marRight w:val="0"/>
      <w:marTop w:val="0"/>
      <w:marBottom w:val="0"/>
      <w:divBdr>
        <w:top w:val="none" w:sz="0" w:space="0" w:color="auto"/>
        <w:left w:val="none" w:sz="0" w:space="0" w:color="auto"/>
        <w:bottom w:val="none" w:sz="0" w:space="0" w:color="auto"/>
        <w:right w:val="none" w:sz="0" w:space="0" w:color="auto"/>
      </w:divBdr>
    </w:div>
    <w:div w:id="441613641">
      <w:bodyDiv w:val="1"/>
      <w:marLeft w:val="0"/>
      <w:marRight w:val="0"/>
      <w:marTop w:val="0"/>
      <w:marBottom w:val="0"/>
      <w:divBdr>
        <w:top w:val="none" w:sz="0" w:space="0" w:color="auto"/>
        <w:left w:val="none" w:sz="0" w:space="0" w:color="auto"/>
        <w:bottom w:val="none" w:sz="0" w:space="0" w:color="auto"/>
        <w:right w:val="none" w:sz="0" w:space="0" w:color="auto"/>
      </w:divBdr>
    </w:div>
    <w:div w:id="441923962">
      <w:bodyDiv w:val="1"/>
      <w:marLeft w:val="0"/>
      <w:marRight w:val="0"/>
      <w:marTop w:val="0"/>
      <w:marBottom w:val="0"/>
      <w:divBdr>
        <w:top w:val="none" w:sz="0" w:space="0" w:color="auto"/>
        <w:left w:val="none" w:sz="0" w:space="0" w:color="auto"/>
        <w:bottom w:val="none" w:sz="0" w:space="0" w:color="auto"/>
        <w:right w:val="none" w:sz="0" w:space="0" w:color="auto"/>
      </w:divBdr>
    </w:div>
    <w:div w:id="457266561">
      <w:bodyDiv w:val="1"/>
      <w:marLeft w:val="0"/>
      <w:marRight w:val="0"/>
      <w:marTop w:val="0"/>
      <w:marBottom w:val="0"/>
      <w:divBdr>
        <w:top w:val="none" w:sz="0" w:space="0" w:color="auto"/>
        <w:left w:val="none" w:sz="0" w:space="0" w:color="auto"/>
        <w:bottom w:val="none" w:sz="0" w:space="0" w:color="auto"/>
        <w:right w:val="none" w:sz="0" w:space="0" w:color="auto"/>
      </w:divBdr>
    </w:div>
    <w:div w:id="457838110">
      <w:bodyDiv w:val="1"/>
      <w:marLeft w:val="0"/>
      <w:marRight w:val="0"/>
      <w:marTop w:val="0"/>
      <w:marBottom w:val="0"/>
      <w:divBdr>
        <w:top w:val="none" w:sz="0" w:space="0" w:color="auto"/>
        <w:left w:val="none" w:sz="0" w:space="0" w:color="auto"/>
        <w:bottom w:val="none" w:sz="0" w:space="0" w:color="auto"/>
        <w:right w:val="none" w:sz="0" w:space="0" w:color="auto"/>
      </w:divBdr>
    </w:div>
    <w:div w:id="463431622">
      <w:bodyDiv w:val="1"/>
      <w:marLeft w:val="0"/>
      <w:marRight w:val="0"/>
      <w:marTop w:val="0"/>
      <w:marBottom w:val="0"/>
      <w:divBdr>
        <w:top w:val="none" w:sz="0" w:space="0" w:color="auto"/>
        <w:left w:val="none" w:sz="0" w:space="0" w:color="auto"/>
        <w:bottom w:val="none" w:sz="0" w:space="0" w:color="auto"/>
        <w:right w:val="none" w:sz="0" w:space="0" w:color="auto"/>
      </w:divBdr>
    </w:div>
    <w:div w:id="468518188">
      <w:bodyDiv w:val="1"/>
      <w:marLeft w:val="0"/>
      <w:marRight w:val="0"/>
      <w:marTop w:val="0"/>
      <w:marBottom w:val="0"/>
      <w:divBdr>
        <w:top w:val="none" w:sz="0" w:space="0" w:color="auto"/>
        <w:left w:val="none" w:sz="0" w:space="0" w:color="auto"/>
        <w:bottom w:val="none" w:sz="0" w:space="0" w:color="auto"/>
        <w:right w:val="none" w:sz="0" w:space="0" w:color="auto"/>
      </w:divBdr>
    </w:div>
    <w:div w:id="486747744">
      <w:bodyDiv w:val="1"/>
      <w:marLeft w:val="0"/>
      <w:marRight w:val="0"/>
      <w:marTop w:val="0"/>
      <w:marBottom w:val="0"/>
      <w:divBdr>
        <w:top w:val="none" w:sz="0" w:space="0" w:color="auto"/>
        <w:left w:val="none" w:sz="0" w:space="0" w:color="auto"/>
        <w:bottom w:val="none" w:sz="0" w:space="0" w:color="auto"/>
        <w:right w:val="none" w:sz="0" w:space="0" w:color="auto"/>
      </w:divBdr>
    </w:div>
    <w:div w:id="489517550">
      <w:bodyDiv w:val="1"/>
      <w:marLeft w:val="0"/>
      <w:marRight w:val="0"/>
      <w:marTop w:val="0"/>
      <w:marBottom w:val="0"/>
      <w:divBdr>
        <w:top w:val="none" w:sz="0" w:space="0" w:color="auto"/>
        <w:left w:val="none" w:sz="0" w:space="0" w:color="auto"/>
        <w:bottom w:val="none" w:sz="0" w:space="0" w:color="auto"/>
        <w:right w:val="none" w:sz="0" w:space="0" w:color="auto"/>
      </w:divBdr>
    </w:div>
    <w:div w:id="492720218">
      <w:bodyDiv w:val="1"/>
      <w:marLeft w:val="0"/>
      <w:marRight w:val="0"/>
      <w:marTop w:val="0"/>
      <w:marBottom w:val="0"/>
      <w:divBdr>
        <w:top w:val="none" w:sz="0" w:space="0" w:color="auto"/>
        <w:left w:val="none" w:sz="0" w:space="0" w:color="auto"/>
        <w:bottom w:val="none" w:sz="0" w:space="0" w:color="auto"/>
        <w:right w:val="none" w:sz="0" w:space="0" w:color="auto"/>
      </w:divBdr>
    </w:div>
    <w:div w:id="502009477">
      <w:bodyDiv w:val="1"/>
      <w:marLeft w:val="0"/>
      <w:marRight w:val="0"/>
      <w:marTop w:val="0"/>
      <w:marBottom w:val="0"/>
      <w:divBdr>
        <w:top w:val="none" w:sz="0" w:space="0" w:color="auto"/>
        <w:left w:val="none" w:sz="0" w:space="0" w:color="auto"/>
        <w:bottom w:val="none" w:sz="0" w:space="0" w:color="auto"/>
        <w:right w:val="none" w:sz="0" w:space="0" w:color="auto"/>
      </w:divBdr>
    </w:div>
    <w:div w:id="509568793">
      <w:bodyDiv w:val="1"/>
      <w:marLeft w:val="0"/>
      <w:marRight w:val="0"/>
      <w:marTop w:val="0"/>
      <w:marBottom w:val="0"/>
      <w:divBdr>
        <w:top w:val="none" w:sz="0" w:space="0" w:color="auto"/>
        <w:left w:val="none" w:sz="0" w:space="0" w:color="auto"/>
        <w:bottom w:val="none" w:sz="0" w:space="0" w:color="auto"/>
        <w:right w:val="none" w:sz="0" w:space="0" w:color="auto"/>
      </w:divBdr>
    </w:div>
    <w:div w:id="510998433">
      <w:bodyDiv w:val="1"/>
      <w:marLeft w:val="0"/>
      <w:marRight w:val="0"/>
      <w:marTop w:val="0"/>
      <w:marBottom w:val="0"/>
      <w:divBdr>
        <w:top w:val="none" w:sz="0" w:space="0" w:color="auto"/>
        <w:left w:val="none" w:sz="0" w:space="0" w:color="auto"/>
        <w:bottom w:val="none" w:sz="0" w:space="0" w:color="auto"/>
        <w:right w:val="none" w:sz="0" w:space="0" w:color="auto"/>
      </w:divBdr>
    </w:div>
    <w:div w:id="514612602">
      <w:bodyDiv w:val="1"/>
      <w:marLeft w:val="0"/>
      <w:marRight w:val="0"/>
      <w:marTop w:val="0"/>
      <w:marBottom w:val="0"/>
      <w:divBdr>
        <w:top w:val="none" w:sz="0" w:space="0" w:color="auto"/>
        <w:left w:val="none" w:sz="0" w:space="0" w:color="auto"/>
        <w:bottom w:val="none" w:sz="0" w:space="0" w:color="auto"/>
        <w:right w:val="none" w:sz="0" w:space="0" w:color="auto"/>
      </w:divBdr>
    </w:div>
    <w:div w:id="516313553">
      <w:bodyDiv w:val="1"/>
      <w:marLeft w:val="0"/>
      <w:marRight w:val="0"/>
      <w:marTop w:val="0"/>
      <w:marBottom w:val="0"/>
      <w:divBdr>
        <w:top w:val="none" w:sz="0" w:space="0" w:color="auto"/>
        <w:left w:val="none" w:sz="0" w:space="0" w:color="auto"/>
        <w:bottom w:val="none" w:sz="0" w:space="0" w:color="auto"/>
        <w:right w:val="none" w:sz="0" w:space="0" w:color="auto"/>
      </w:divBdr>
    </w:div>
    <w:div w:id="524057647">
      <w:bodyDiv w:val="1"/>
      <w:marLeft w:val="0"/>
      <w:marRight w:val="0"/>
      <w:marTop w:val="0"/>
      <w:marBottom w:val="0"/>
      <w:divBdr>
        <w:top w:val="none" w:sz="0" w:space="0" w:color="auto"/>
        <w:left w:val="none" w:sz="0" w:space="0" w:color="auto"/>
        <w:bottom w:val="none" w:sz="0" w:space="0" w:color="auto"/>
        <w:right w:val="none" w:sz="0" w:space="0" w:color="auto"/>
      </w:divBdr>
    </w:div>
    <w:div w:id="528104655">
      <w:bodyDiv w:val="1"/>
      <w:marLeft w:val="0"/>
      <w:marRight w:val="0"/>
      <w:marTop w:val="0"/>
      <w:marBottom w:val="0"/>
      <w:divBdr>
        <w:top w:val="none" w:sz="0" w:space="0" w:color="auto"/>
        <w:left w:val="none" w:sz="0" w:space="0" w:color="auto"/>
        <w:bottom w:val="none" w:sz="0" w:space="0" w:color="auto"/>
        <w:right w:val="none" w:sz="0" w:space="0" w:color="auto"/>
      </w:divBdr>
    </w:div>
    <w:div w:id="533425659">
      <w:bodyDiv w:val="1"/>
      <w:marLeft w:val="0"/>
      <w:marRight w:val="0"/>
      <w:marTop w:val="0"/>
      <w:marBottom w:val="0"/>
      <w:divBdr>
        <w:top w:val="none" w:sz="0" w:space="0" w:color="auto"/>
        <w:left w:val="none" w:sz="0" w:space="0" w:color="auto"/>
        <w:bottom w:val="none" w:sz="0" w:space="0" w:color="auto"/>
        <w:right w:val="none" w:sz="0" w:space="0" w:color="auto"/>
      </w:divBdr>
    </w:div>
    <w:div w:id="562571557">
      <w:bodyDiv w:val="1"/>
      <w:marLeft w:val="0"/>
      <w:marRight w:val="0"/>
      <w:marTop w:val="0"/>
      <w:marBottom w:val="0"/>
      <w:divBdr>
        <w:top w:val="none" w:sz="0" w:space="0" w:color="auto"/>
        <w:left w:val="none" w:sz="0" w:space="0" w:color="auto"/>
        <w:bottom w:val="none" w:sz="0" w:space="0" w:color="auto"/>
        <w:right w:val="none" w:sz="0" w:space="0" w:color="auto"/>
      </w:divBdr>
    </w:div>
    <w:div w:id="567543340">
      <w:bodyDiv w:val="1"/>
      <w:marLeft w:val="0"/>
      <w:marRight w:val="0"/>
      <w:marTop w:val="0"/>
      <w:marBottom w:val="0"/>
      <w:divBdr>
        <w:top w:val="none" w:sz="0" w:space="0" w:color="auto"/>
        <w:left w:val="none" w:sz="0" w:space="0" w:color="auto"/>
        <w:bottom w:val="none" w:sz="0" w:space="0" w:color="auto"/>
        <w:right w:val="none" w:sz="0" w:space="0" w:color="auto"/>
      </w:divBdr>
    </w:div>
    <w:div w:id="573440664">
      <w:bodyDiv w:val="1"/>
      <w:marLeft w:val="0"/>
      <w:marRight w:val="0"/>
      <w:marTop w:val="0"/>
      <w:marBottom w:val="0"/>
      <w:divBdr>
        <w:top w:val="none" w:sz="0" w:space="0" w:color="auto"/>
        <w:left w:val="none" w:sz="0" w:space="0" w:color="auto"/>
        <w:bottom w:val="none" w:sz="0" w:space="0" w:color="auto"/>
        <w:right w:val="none" w:sz="0" w:space="0" w:color="auto"/>
      </w:divBdr>
    </w:div>
    <w:div w:id="574902921">
      <w:bodyDiv w:val="1"/>
      <w:marLeft w:val="0"/>
      <w:marRight w:val="0"/>
      <w:marTop w:val="0"/>
      <w:marBottom w:val="0"/>
      <w:divBdr>
        <w:top w:val="none" w:sz="0" w:space="0" w:color="auto"/>
        <w:left w:val="none" w:sz="0" w:space="0" w:color="auto"/>
        <w:bottom w:val="none" w:sz="0" w:space="0" w:color="auto"/>
        <w:right w:val="none" w:sz="0" w:space="0" w:color="auto"/>
      </w:divBdr>
    </w:div>
    <w:div w:id="576092707">
      <w:bodyDiv w:val="1"/>
      <w:marLeft w:val="0"/>
      <w:marRight w:val="0"/>
      <w:marTop w:val="0"/>
      <w:marBottom w:val="0"/>
      <w:divBdr>
        <w:top w:val="none" w:sz="0" w:space="0" w:color="auto"/>
        <w:left w:val="none" w:sz="0" w:space="0" w:color="auto"/>
        <w:bottom w:val="none" w:sz="0" w:space="0" w:color="auto"/>
        <w:right w:val="none" w:sz="0" w:space="0" w:color="auto"/>
      </w:divBdr>
    </w:div>
    <w:div w:id="580990870">
      <w:bodyDiv w:val="1"/>
      <w:marLeft w:val="0"/>
      <w:marRight w:val="0"/>
      <w:marTop w:val="0"/>
      <w:marBottom w:val="0"/>
      <w:divBdr>
        <w:top w:val="none" w:sz="0" w:space="0" w:color="auto"/>
        <w:left w:val="none" w:sz="0" w:space="0" w:color="auto"/>
        <w:bottom w:val="none" w:sz="0" w:space="0" w:color="auto"/>
        <w:right w:val="none" w:sz="0" w:space="0" w:color="auto"/>
      </w:divBdr>
    </w:div>
    <w:div w:id="583075417">
      <w:bodyDiv w:val="1"/>
      <w:marLeft w:val="0"/>
      <w:marRight w:val="0"/>
      <w:marTop w:val="0"/>
      <w:marBottom w:val="0"/>
      <w:divBdr>
        <w:top w:val="none" w:sz="0" w:space="0" w:color="auto"/>
        <w:left w:val="none" w:sz="0" w:space="0" w:color="auto"/>
        <w:bottom w:val="none" w:sz="0" w:space="0" w:color="auto"/>
        <w:right w:val="none" w:sz="0" w:space="0" w:color="auto"/>
      </w:divBdr>
    </w:div>
    <w:div w:id="590092377">
      <w:bodyDiv w:val="1"/>
      <w:marLeft w:val="0"/>
      <w:marRight w:val="0"/>
      <w:marTop w:val="0"/>
      <w:marBottom w:val="0"/>
      <w:divBdr>
        <w:top w:val="none" w:sz="0" w:space="0" w:color="auto"/>
        <w:left w:val="none" w:sz="0" w:space="0" w:color="auto"/>
        <w:bottom w:val="none" w:sz="0" w:space="0" w:color="auto"/>
        <w:right w:val="none" w:sz="0" w:space="0" w:color="auto"/>
      </w:divBdr>
    </w:div>
    <w:div w:id="599682899">
      <w:bodyDiv w:val="1"/>
      <w:marLeft w:val="0"/>
      <w:marRight w:val="0"/>
      <w:marTop w:val="0"/>
      <w:marBottom w:val="0"/>
      <w:divBdr>
        <w:top w:val="none" w:sz="0" w:space="0" w:color="auto"/>
        <w:left w:val="none" w:sz="0" w:space="0" w:color="auto"/>
        <w:bottom w:val="none" w:sz="0" w:space="0" w:color="auto"/>
        <w:right w:val="none" w:sz="0" w:space="0" w:color="auto"/>
      </w:divBdr>
    </w:div>
    <w:div w:id="600914481">
      <w:bodyDiv w:val="1"/>
      <w:marLeft w:val="0"/>
      <w:marRight w:val="0"/>
      <w:marTop w:val="0"/>
      <w:marBottom w:val="0"/>
      <w:divBdr>
        <w:top w:val="none" w:sz="0" w:space="0" w:color="auto"/>
        <w:left w:val="none" w:sz="0" w:space="0" w:color="auto"/>
        <w:bottom w:val="none" w:sz="0" w:space="0" w:color="auto"/>
        <w:right w:val="none" w:sz="0" w:space="0" w:color="auto"/>
      </w:divBdr>
    </w:div>
    <w:div w:id="606813197">
      <w:bodyDiv w:val="1"/>
      <w:marLeft w:val="0"/>
      <w:marRight w:val="0"/>
      <w:marTop w:val="0"/>
      <w:marBottom w:val="0"/>
      <w:divBdr>
        <w:top w:val="none" w:sz="0" w:space="0" w:color="auto"/>
        <w:left w:val="none" w:sz="0" w:space="0" w:color="auto"/>
        <w:bottom w:val="none" w:sz="0" w:space="0" w:color="auto"/>
        <w:right w:val="none" w:sz="0" w:space="0" w:color="auto"/>
      </w:divBdr>
    </w:div>
    <w:div w:id="612634246">
      <w:bodyDiv w:val="1"/>
      <w:marLeft w:val="0"/>
      <w:marRight w:val="0"/>
      <w:marTop w:val="0"/>
      <w:marBottom w:val="0"/>
      <w:divBdr>
        <w:top w:val="none" w:sz="0" w:space="0" w:color="auto"/>
        <w:left w:val="none" w:sz="0" w:space="0" w:color="auto"/>
        <w:bottom w:val="none" w:sz="0" w:space="0" w:color="auto"/>
        <w:right w:val="none" w:sz="0" w:space="0" w:color="auto"/>
      </w:divBdr>
    </w:div>
    <w:div w:id="612711530">
      <w:bodyDiv w:val="1"/>
      <w:marLeft w:val="0"/>
      <w:marRight w:val="0"/>
      <w:marTop w:val="0"/>
      <w:marBottom w:val="0"/>
      <w:divBdr>
        <w:top w:val="none" w:sz="0" w:space="0" w:color="auto"/>
        <w:left w:val="none" w:sz="0" w:space="0" w:color="auto"/>
        <w:bottom w:val="none" w:sz="0" w:space="0" w:color="auto"/>
        <w:right w:val="none" w:sz="0" w:space="0" w:color="auto"/>
      </w:divBdr>
    </w:div>
    <w:div w:id="617227634">
      <w:bodyDiv w:val="1"/>
      <w:marLeft w:val="0"/>
      <w:marRight w:val="0"/>
      <w:marTop w:val="0"/>
      <w:marBottom w:val="0"/>
      <w:divBdr>
        <w:top w:val="none" w:sz="0" w:space="0" w:color="auto"/>
        <w:left w:val="none" w:sz="0" w:space="0" w:color="auto"/>
        <w:bottom w:val="none" w:sz="0" w:space="0" w:color="auto"/>
        <w:right w:val="none" w:sz="0" w:space="0" w:color="auto"/>
      </w:divBdr>
    </w:div>
    <w:div w:id="623927573">
      <w:bodyDiv w:val="1"/>
      <w:marLeft w:val="0"/>
      <w:marRight w:val="0"/>
      <w:marTop w:val="0"/>
      <w:marBottom w:val="0"/>
      <w:divBdr>
        <w:top w:val="none" w:sz="0" w:space="0" w:color="auto"/>
        <w:left w:val="none" w:sz="0" w:space="0" w:color="auto"/>
        <w:bottom w:val="none" w:sz="0" w:space="0" w:color="auto"/>
        <w:right w:val="none" w:sz="0" w:space="0" w:color="auto"/>
      </w:divBdr>
    </w:div>
    <w:div w:id="630747076">
      <w:bodyDiv w:val="1"/>
      <w:marLeft w:val="0"/>
      <w:marRight w:val="0"/>
      <w:marTop w:val="0"/>
      <w:marBottom w:val="0"/>
      <w:divBdr>
        <w:top w:val="none" w:sz="0" w:space="0" w:color="auto"/>
        <w:left w:val="none" w:sz="0" w:space="0" w:color="auto"/>
        <w:bottom w:val="none" w:sz="0" w:space="0" w:color="auto"/>
        <w:right w:val="none" w:sz="0" w:space="0" w:color="auto"/>
      </w:divBdr>
    </w:div>
    <w:div w:id="632444225">
      <w:bodyDiv w:val="1"/>
      <w:marLeft w:val="0"/>
      <w:marRight w:val="0"/>
      <w:marTop w:val="0"/>
      <w:marBottom w:val="0"/>
      <w:divBdr>
        <w:top w:val="none" w:sz="0" w:space="0" w:color="auto"/>
        <w:left w:val="none" w:sz="0" w:space="0" w:color="auto"/>
        <w:bottom w:val="none" w:sz="0" w:space="0" w:color="auto"/>
        <w:right w:val="none" w:sz="0" w:space="0" w:color="auto"/>
      </w:divBdr>
    </w:div>
    <w:div w:id="641010268">
      <w:bodyDiv w:val="1"/>
      <w:marLeft w:val="0"/>
      <w:marRight w:val="0"/>
      <w:marTop w:val="0"/>
      <w:marBottom w:val="0"/>
      <w:divBdr>
        <w:top w:val="none" w:sz="0" w:space="0" w:color="auto"/>
        <w:left w:val="none" w:sz="0" w:space="0" w:color="auto"/>
        <w:bottom w:val="none" w:sz="0" w:space="0" w:color="auto"/>
        <w:right w:val="none" w:sz="0" w:space="0" w:color="auto"/>
      </w:divBdr>
    </w:div>
    <w:div w:id="645741267">
      <w:bodyDiv w:val="1"/>
      <w:marLeft w:val="0"/>
      <w:marRight w:val="0"/>
      <w:marTop w:val="0"/>
      <w:marBottom w:val="0"/>
      <w:divBdr>
        <w:top w:val="none" w:sz="0" w:space="0" w:color="auto"/>
        <w:left w:val="none" w:sz="0" w:space="0" w:color="auto"/>
        <w:bottom w:val="none" w:sz="0" w:space="0" w:color="auto"/>
        <w:right w:val="none" w:sz="0" w:space="0" w:color="auto"/>
      </w:divBdr>
    </w:div>
    <w:div w:id="673804930">
      <w:bodyDiv w:val="1"/>
      <w:marLeft w:val="0"/>
      <w:marRight w:val="0"/>
      <w:marTop w:val="0"/>
      <w:marBottom w:val="0"/>
      <w:divBdr>
        <w:top w:val="none" w:sz="0" w:space="0" w:color="auto"/>
        <w:left w:val="none" w:sz="0" w:space="0" w:color="auto"/>
        <w:bottom w:val="none" w:sz="0" w:space="0" w:color="auto"/>
        <w:right w:val="none" w:sz="0" w:space="0" w:color="auto"/>
      </w:divBdr>
    </w:div>
    <w:div w:id="686373840">
      <w:bodyDiv w:val="1"/>
      <w:marLeft w:val="0"/>
      <w:marRight w:val="0"/>
      <w:marTop w:val="0"/>
      <w:marBottom w:val="0"/>
      <w:divBdr>
        <w:top w:val="none" w:sz="0" w:space="0" w:color="auto"/>
        <w:left w:val="none" w:sz="0" w:space="0" w:color="auto"/>
        <w:bottom w:val="none" w:sz="0" w:space="0" w:color="auto"/>
        <w:right w:val="none" w:sz="0" w:space="0" w:color="auto"/>
      </w:divBdr>
    </w:div>
    <w:div w:id="687947759">
      <w:bodyDiv w:val="1"/>
      <w:marLeft w:val="0"/>
      <w:marRight w:val="0"/>
      <w:marTop w:val="0"/>
      <w:marBottom w:val="0"/>
      <w:divBdr>
        <w:top w:val="none" w:sz="0" w:space="0" w:color="auto"/>
        <w:left w:val="none" w:sz="0" w:space="0" w:color="auto"/>
        <w:bottom w:val="none" w:sz="0" w:space="0" w:color="auto"/>
        <w:right w:val="none" w:sz="0" w:space="0" w:color="auto"/>
      </w:divBdr>
    </w:div>
    <w:div w:id="694039667">
      <w:bodyDiv w:val="1"/>
      <w:marLeft w:val="0"/>
      <w:marRight w:val="0"/>
      <w:marTop w:val="0"/>
      <w:marBottom w:val="0"/>
      <w:divBdr>
        <w:top w:val="none" w:sz="0" w:space="0" w:color="auto"/>
        <w:left w:val="none" w:sz="0" w:space="0" w:color="auto"/>
        <w:bottom w:val="none" w:sz="0" w:space="0" w:color="auto"/>
        <w:right w:val="none" w:sz="0" w:space="0" w:color="auto"/>
      </w:divBdr>
    </w:div>
    <w:div w:id="700016555">
      <w:bodyDiv w:val="1"/>
      <w:marLeft w:val="0"/>
      <w:marRight w:val="0"/>
      <w:marTop w:val="0"/>
      <w:marBottom w:val="0"/>
      <w:divBdr>
        <w:top w:val="none" w:sz="0" w:space="0" w:color="auto"/>
        <w:left w:val="none" w:sz="0" w:space="0" w:color="auto"/>
        <w:bottom w:val="none" w:sz="0" w:space="0" w:color="auto"/>
        <w:right w:val="none" w:sz="0" w:space="0" w:color="auto"/>
      </w:divBdr>
    </w:div>
    <w:div w:id="702096535">
      <w:bodyDiv w:val="1"/>
      <w:marLeft w:val="0"/>
      <w:marRight w:val="0"/>
      <w:marTop w:val="0"/>
      <w:marBottom w:val="0"/>
      <w:divBdr>
        <w:top w:val="none" w:sz="0" w:space="0" w:color="auto"/>
        <w:left w:val="none" w:sz="0" w:space="0" w:color="auto"/>
        <w:bottom w:val="none" w:sz="0" w:space="0" w:color="auto"/>
        <w:right w:val="none" w:sz="0" w:space="0" w:color="auto"/>
      </w:divBdr>
    </w:div>
    <w:div w:id="707795894">
      <w:bodyDiv w:val="1"/>
      <w:marLeft w:val="0"/>
      <w:marRight w:val="0"/>
      <w:marTop w:val="0"/>
      <w:marBottom w:val="0"/>
      <w:divBdr>
        <w:top w:val="none" w:sz="0" w:space="0" w:color="auto"/>
        <w:left w:val="none" w:sz="0" w:space="0" w:color="auto"/>
        <w:bottom w:val="none" w:sz="0" w:space="0" w:color="auto"/>
        <w:right w:val="none" w:sz="0" w:space="0" w:color="auto"/>
      </w:divBdr>
    </w:div>
    <w:div w:id="720708124">
      <w:bodyDiv w:val="1"/>
      <w:marLeft w:val="0"/>
      <w:marRight w:val="0"/>
      <w:marTop w:val="0"/>
      <w:marBottom w:val="0"/>
      <w:divBdr>
        <w:top w:val="none" w:sz="0" w:space="0" w:color="auto"/>
        <w:left w:val="none" w:sz="0" w:space="0" w:color="auto"/>
        <w:bottom w:val="none" w:sz="0" w:space="0" w:color="auto"/>
        <w:right w:val="none" w:sz="0" w:space="0" w:color="auto"/>
      </w:divBdr>
    </w:div>
    <w:div w:id="722216107">
      <w:bodyDiv w:val="1"/>
      <w:marLeft w:val="0"/>
      <w:marRight w:val="0"/>
      <w:marTop w:val="0"/>
      <w:marBottom w:val="0"/>
      <w:divBdr>
        <w:top w:val="none" w:sz="0" w:space="0" w:color="auto"/>
        <w:left w:val="none" w:sz="0" w:space="0" w:color="auto"/>
        <w:bottom w:val="none" w:sz="0" w:space="0" w:color="auto"/>
        <w:right w:val="none" w:sz="0" w:space="0" w:color="auto"/>
      </w:divBdr>
    </w:div>
    <w:div w:id="724453168">
      <w:bodyDiv w:val="1"/>
      <w:marLeft w:val="0"/>
      <w:marRight w:val="0"/>
      <w:marTop w:val="0"/>
      <w:marBottom w:val="0"/>
      <w:divBdr>
        <w:top w:val="none" w:sz="0" w:space="0" w:color="auto"/>
        <w:left w:val="none" w:sz="0" w:space="0" w:color="auto"/>
        <w:bottom w:val="none" w:sz="0" w:space="0" w:color="auto"/>
        <w:right w:val="none" w:sz="0" w:space="0" w:color="auto"/>
      </w:divBdr>
    </w:div>
    <w:div w:id="726337782">
      <w:bodyDiv w:val="1"/>
      <w:marLeft w:val="0"/>
      <w:marRight w:val="0"/>
      <w:marTop w:val="0"/>
      <w:marBottom w:val="0"/>
      <w:divBdr>
        <w:top w:val="none" w:sz="0" w:space="0" w:color="auto"/>
        <w:left w:val="none" w:sz="0" w:space="0" w:color="auto"/>
        <w:bottom w:val="none" w:sz="0" w:space="0" w:color="auto"/>
        <w:right w:val="none" w:sz="0" w:space="0" w:color="auto"/>
      </w:divBdr>
    </w:div>
    <w:div w:id="726688400">
      <w:bodyDiv w:val="1"/>
      <w:marLeft w:val="0"/>
      <w:marRight w:val="0"/>
      <w:marTop w:val="0"/>
      <w:marBottom w:val="0"/>
      <w:divBdr>
        <w:top w:val="none" w:sz="0" w:space="0" w:color="auto"/>
        <w:left w:val="none" w:sz="0" w:space="0" w:color="auto"/>
        <w:bottom w:val="none" w:sz="0" w:space="0" w:color="auto"/>
        <w:right w:val="none" w:sz="0" w:space="0" w:color="auto"/>
      </w:divBdr>
    </w:div>
    <w:div w:id="732436550">
      <w:bodyDiv w:val="1"/>
      <w:marLeft w:val="0"/>
      <w:marRight w:val="0"/>
      <w:marTop w:val="0"/>
      <w:marBottom w:val="0"/>
      <w:divBdr>
        <w:top w:val="none" w:sz="0" w:space="0" w:color="auto"/>
        <w:left w:val="none" w:sz="0" w:space="0" w:color="auto"/>
        <w:bottom w:val="none" w:sz="0" w:space="0" w:color="auto"/>
        <w:right w:val="none" w:sz="0" w:space="0" w:color="auto"/>
      </w:divBdr>
    </w:div>
    <w:div w:id="751970130">
      <w:bodyDiv w:val="1"/>
      <w:marLeft w:val="0"/>
      <w:marRight w:val="0"/>
      <w:marTop w:val="0"/>
      <w:marBottom w:val="0"/>
      <w:divBdr>
        <w:top w:val="none" w:sz="0" w:space="0" w:color="auto"/>
        <w:left w:val="none" w:sz="0" w:space="0" w:color="auto"/>
        <w:bottom w:val="none" w:sz="0" w:space="0" w:color="auto"/>
        <w:right w:val="none" w:sz="0" w:space="0" w:color="auto"/>
      </w:divBdr>
    </w:div>
    <w:div w:id="752510437">
      <w:bodyDiv w:val="1"/>
      <w:marLeft w:val="0"/>
      <w:marRight w:val="0"/>
      <w:marTop w:val="0"/>
      <w:marBottom w:val="0"/>
      <w:divBdr>
        <w:top w:val="none" w:sz="0" w:space="0" w:color="auto"/>
        <w:left w:val="none" w:sz="0" w:space="0" w:color="auto"/>
        <w:bottom w:val="none" w:sz="0" w:space="0" w:color="auto"/>
        <w:right w:val="none" w:sz="0" w:space="0" w:color="auto"/>
      </w:divBdr>
    </w:div>
    <w:div w:id="758218039">
      <w:bodyDiv w:val="1"/>
      <w:marLeft w:val="0"/>
      <w:marRight w:val="0"/>
      <w:marTop w:val="0"/>
      <w:marBottom w:val="0"/>
      <w:divBdr>
        <w:top w:val="none" w:sz="0" w:space="0" w:color="auto"/>
        <w:left w:val="none" w:sz="0" w:space="0" w:color="auto"/>
        <w:bottom w:val="none" w:sz="0" w:space="0" w:color="auto"/>
        <w:right w:val="none" w:sz="0" w:space="0" w:color="auto"/>
      </w:divBdr>
    </w:div>
    <w:div w:id="796339001">
      <w:bodyDiv w:val="1"/>
      <w:marLeft w:val="0"/>
      <w:marRight w:val="0"/>
      <w:marTop w:val="0"/>
      <w:marBottom w:val="0"/>
      <w:divBdr>
        <w:top w:val="none" w:sz="0" w:space="0" w:color="auto"/>
        <w:left w:val="none" w:sz="0" w:space="0" w:color="auto"/>
        <w:bottom w:val="none" w:sz="0" w:space="0" w:color="auto"/>
        <w:right w:val="none" w:sz="0" w:space="0" w:color="auto"/>
      </w:divBdr>
    </w:div>
    <w:div w:id="803811536">
      <w:bodyDiv w:val="1"/>
      <w:marLeft w:val="0"/>
      <w:marRight w:val="0"/>
      <w:marTop w:val="0"/>
      <w:marBottom w:val="0"/>
      <w:divBdr>
        <w:top w:val="none" w:sz="0" w:space="0" w:color="auto"/>
        <w:left w:val="none" w:sz="0" w:space="0" w:color="auto"/>
        <w:bottom w:val="none" w:sz="0" w:space="0" w:color="auto"/>
        <w:right w:val="none" w:sz="0" w:space="0" w:color="auto"/>
      </w:divBdr>
    </w:div>
    <w:div w:id="817571973">
      <w:bodyDiv w:val="1"/>
      <w:marLeft w:val="0"/>
      <w:marRight w:val="0"/>
      <w:marTop w:val="0"/>
      <w:marBottom w:val="0"/>
      <w:divBdr>
        <w:top w:val="none" w:sz="0" w:space="0" w:color="auto"/>
        <w:left w:val="none" w:sz="0" w:space="0" w:color="auto"/>
        <w:bottom w:val="none" w:sz="0" w:space="0" w:color="auto"/>
        <w:right w:val="none" w:sz="0" w:space="0" w:color="auto"/>
      </w:divBdr>
    </w:div>
    <w:div w:id="828793127">
      <w:bodyDiv w:val="1"/>
      <w:marLeft w:val="0"/>
      <w:marRight w:val="0"/>
      <w:marTop w:val="0"/>
      <w:marBottom w:val="0"/>
      <w:divBdr>
        <w:top w:val="none" w:sz="0" w:space="0" w:color="auto"/>
        <w:left w:val="none" w:sz="0" w:space="0" w:color="auto"/>
        <w:bottom w:val="none" w:sz="0" w:space="0" w:color="auto"/>
        <w:right w:val="none" w:sz="0" w:space="0" w:color="auto"/>
      </w:divBdr>
    </w:div>
    <w:div w:id="835026257">
      <w:bodyDiv w:val="1"/>
      <w:marLeft w:val="0"/>
      <w:marRight w:val="0"/>
      <w:marTop w:val="0"/>
      <w:marBottom w:val="0"/>
      <w:divBdr>
        <w:top w:val="none" w:sz="0" w:space="0" w:color="auto"/>
        <w:left w:val="none" w:sz="0" w:space="0" w:color="auto"/>
        <w:bottom w:val="none" w:sz="0" w:space="0" w:color="auto"/>
        <w:right w:val="none" w:sz="0" w:space="0" w:color="auto"/>
      </w:divBdr>
    </w:div>
    <w:div w:id="846291401">
      <w:bodyDiv w:val="1"/>
      <w:marLeft w:val="0"/>
      <w:marRight w:val="0"/>
      <w:marTop w:val="0"/>
      <w:marBottom w:val="0"/>
      <w:divBdr>
        <w:top w:val="none" w:sz="0" w:space="0" w:color="auto"/>
        <w:left w:val="none" w:sz="0" w:space="0" w:color="auto"/>
        <w:bottom w:val="none" w:sz="0" w:space="0" w:color="auto"/>
        <w:right w:val="none" w:sz="0" w:space="0" w:color="auto"/>
      </w:divBdr>
    </w:div>
    <w:div w:id="860899517">
      <w:bodyDiv w:val="1"/>
      <w:marLeft w:val="0"/>
      <w:marRight w:val="0"/>
      <w:marTop w:val="0"/>
      <w:marBottom w:val="0"/>
      <w:divBdr>
        <w:top w:val="none" w:sz="0" w:space="0" w:color="auto"/>
        <w:left w:val="none" w:sz="0" w:space="0" w:color="auto"/>
        <w:bottom w:val="none" w:sz="0" w:space="0" w:color="auto"/>
        <w:right w:val="none" w:sz="0" w:space="0" w:color="auto"/>
      </w:divBdr>
    </w:div>
    <w:div w:id="867334147">
      <w:bodyDiv w:val="1"/>
      <w:marLeft w:val="0"/>
      <w:marRight w:val="0"/>
      <w:marTop w:val="0"/>
      <w:marBottom w:val="0"/>
      <w:divBdr>
        <w:top w:val="none" w:sz="0" w:space="0" w:color="auto"/>
        <w:left w:val="none" w:sz="0" w:space="0" w:color="auto"/>
        <w:bottom w:val="none" w:sz="0" w:space="0" w:color="auto"/>
        <w:right w:val="none" w:sz="0" w:space="0" w:color="auto"/>
      </w:divBdr>
    </w:div>
    <w:div w:id="883060367">
      <w:bodyDiv w:val="1"/>
      <w:marLeft w:val="0"/>
      <w:marRight w:val="0"/>
      <w:marTop w:val="0"/>
      <w:marBottom w:val="0"/>
      <w:divBdr>
        <w:top w:val="none" w:sz="0" w:space="0" w:color="auto"/>
        <w:left w:val="none" w:sz="0" w:space="0" w:color="auto"/>
        <w:bottom w:val="none" w:sz="0" w:space="0" w:color="auto"/>
        <w:right w:val="none" w:sz="0" w:space="0" w:color="auto"/>
      </w:divBdr>
    </w:div>
    <w:div w:id="886336266">
      <w:bodyDiv w:val="1"/>
      <w:marLeft w:val="0"/>
      <w:marRight w:val="0"/>
      <w:marTop w:val="0"/>
      <w:marBottom w:val="0"/>
      <w:divBdr>
        <w:top w:val="none" w:sz="0" w:space="0" w:color="auto"/>
        <w:left w:val="none" w:sz="0" w:space="0" w:color="auto"/>
        <w:bottom w:val="none" w:sz="0" w:space="0" w:color="auto"/>
        <w:right w:val="none" w:sz="0" w:space="0" w:color="auto"/>
      </w:divBdr>
    </w:div>
    <w:div w:id="890337372">
      <w:bodyDiv w:val="1"/>
      <w:marLeft w:val="0"/>
      <w:marRight w:val="0"/>
      <w:marTop w:val="0"/>
      <w:marBottom w:val="0"/>
      <w:divBdr>
        <w:top w:val="none" w:sz="0" w:space="0" w:color="auto"/>
        <w:left w:val="none" w:sz="0" w:space="0" w:color="auto"/>
        <w:bottom w:val="none" w:sz="0" w:space="0" w:color="auto"/>
        <w:right w:val="none" w:sz="0" w:space="0" w:color="auto"/>
      </w:divBdr>
    </w:div>
    <w:div w:id="898051305">
      <w:bodyDiv w:val="1"/>
      <w:marLeft w:val="0"/>
      <w:marRight w:val="0"/>
      <w:marTop w:val="0"/>
      <w:marBottom w:val="0"/>
      <w:divBdr>
        <w:top w:val="none" w:sz="0" w:space="0" w:color="auto"/>
        <w:left w:val="none" w:sz="0" w:space="0" w:color="auto"/>
        <w:bottom w:val="none" w:sz="0" w:space="0" w:color="auto"/>
        <w:right w:val="none" w:sz="0" w:space="0" w:color="auto"/>
      </w:divBdr>
    </w:div>
    <w:div w:id="903758268">
      <w:bodyDiv w:val="1"/>
      <w:marLeft w:val="0"/>
      <w:marRight w:val="0"/>
      <w:marTop w:val="0"/>
      <w:marBottom w:val="0"/>
      <w:divBdr>
        <w:top w:val="none" w:sz="0" w:space="0" w:color="auto"/>
        <w:left w:val="none" w:sz="0" w:space="0" w:color="auto"/>
        <w:bottom w:val="none" w:sz="0" w:space="0" w:color="auto"/>
        <w:right w:val="none" w:sz="0" w:space="0" w:color="auto"/>
      </w:divBdr>
    </w:div>
    <w:div w:id="909656834">
      <w:bodyDiv w:val="1"/>
      <w:marLeft w:val="0"/>
      <w:marRight w:val="0"/>
      <w:marTop w:val="0"/>
      <w:marBottom w:val="0"/>
      <w:divBdr>
        <w:top w:val="none" w:sz="0" w:space="0" w:color="auto"/>
        <w:left w:val="none" w:sz="0" w:space="0" w:color="auto"/>
        <w:bottom w:val="none" w:sz="0" w:space="0" w:color="auto"/>
        <w:right w:val="none" w:sz="0" w:space="0" w:color="auto"/>
      </w:divBdr>
    </w:div>
    <w:div w:id="915945064">
      <w:bodyDiv w:val="1"/>
      <w:marLeft w:val="0"/>
      <w:marRight w:val="0"/>
      <w:marTop w:val="0"/>
      <w:marBottom w:val="0"/>
      <w:divBdr>
        <w:top w:val="none" w:sz="0" w:space="0" w:color="auto"/>
        <w:left w:val="none" w:sz="0" w:space="0" w:color="auto"/>
        <w:bottom w:val="none" w:sz="0" w:space="0" w:color="auto"/>
        <w:right w:val="none" w:sz="0" w:space="0" w:color="auto"/>
      </w:divBdr>
    </w:div>
    <w:div w:id="942150149">
      <w:bodyDiv w:val="1"/>
      <w:marLeft w:val="0"/>
      <w:marRight w:val="0"/>
      <w:marTop w:val="0"/>
      <w:marBottom w:val="0"/>
      <w:divBdr>
        <w:top w:val="none" w:sz="0" w:space="0" w:color="auto"/>
        <w:left w:val="none" w:sz="0" w:space="0" w:color="auto"/>
        <w:bottom w:val="none" w:sz="0" w:space="0" w:color="auto"/>
        <w:right w:val="none" w:sz="0" w:space="0" w:color="auto"/>
      </w:divBdr>
    </w:div>
    <w:div w:id="951012026">
      <w:bodyDiv w:val="1"/>
      <w:marLeft w:val="0"/>
      <w:marRight w:val="0"/>
      <w:marTop w:val="0"/>
      <w:marBottom w:val="0"/>
      <w:divBdr>
        <w:top w:val="none" w:sz="0" w:space="0" w:color="auto"/>
        <w:left w:val="none" w:sz="0" w:space="0" w:color="auto"/>
        <w:bottom w:val="none" w:sz="0" w:space="0" w:color="auto"/>
        <w:right w:val="none" w:sz="0" w:space="0" w:color="auto"/>
      </w:divBdr>
    </w:div>
    <w:div w:id="965894422">
      <w:bodyDiv w:val="1"/>
      <w:marLeft w:val="0"/>
      <w:marRight w:val="0"/>
      <w:marTop w:val="0"/>
      <w:marBottom w:val="0"/>
      <w:divBdr>
        <w:top w:val="none" w:sz="0" w:space="0" w:color="auto"/>
        <w:left w:val="none" w:sz="0" w:space="0" w:color="auto"/>
        <w:bottom w:val="none" w:sz="0" w:space="0" w:color="auto"/>
        <w:right w:val="none" w:sz="0" w:space="0" w:color="auto"/>
      </w:divBdr>
    </w:div>
    <w:div w:id="991058226">
      <w:bodyDiv w:val="1"/>
      <w:marLeft w:val="0"/>
      <w:marRight w:val="0"/>
      <w:marTop w:val="0"/>
      <w:marBottom w:val="0"/>
      <w:divBdr>
        <w:top w:val="none" w:sz="0" w:space="0" w:color="auto"/>
        <w:left w:val="none" w:sz="0" w:space="0" w:color="auto"/>
        <w:bottom w:val="none" w:sz="0" w:space="0" w:color="auto"/>
        <w:right w:val="none" w:sz="0" w:space="0" w:color="auto"/>
      </w:divBdr>
    </w:div>
    <w:div w:id="998121775">
      <w:bodyDiv w:val="1"/>
      <w:marLeft w:val="0"/>
      <w:marRight w:val="0"/>
      <w:marTop w:val="0"/>
      <w:marBottom w:val="0"/>
      <w:divBdr>
        <w:top w:val="none" w:sz="0" w:space="0" w:color="auto"/>
        <w:left w:val="none" w:sz="0" w:space="0" w:color="auto"/>
        <w:bottom w:val="none" w:sz="0" w:space="0" w:color="auto"/>
        <w:right w:val="none" w:sz="0" w:space="0" w:color="auto"/>
      </w:divBdr>
    </w:div>
    <w:div w:id="999886079">
      <w:bodyDiv w:val="1"/>
      <w:marLeft w:val="0"/>
      <w:marRight w:val="0"/>
      <w:marTop w:val="0"/>
      <w:marBottom w:val="0"/>
      <w:divBdr>
        <w:top w:val="none" w:sz="0" w:space="0" w:color="auto"/>
        <w:left w:val="none" w:sz="0" w:space="0" w:color="auto"/>
        <w:bottom w:val="none" w:sz="0" w:space="0" w:color="auto"/>
        <w:right w:val="none" w:sz="0" w:space="0" w:color="auto"/>
      </w:divBdr>
    </w:div>
    <w:div w:id="1000737815">
      <w:bodyDiv w:val="1"/>
      <w:marLeft w:val="0"/>
      <w:marRight w:val="0"/>
      <w:marTop w:val="0"/>
      <w:marBottom w:val="0"/>
      <w:divBdr>
        <w:top w:val="none" w:sz="0" w:space="0" w:color="auto"/>
        <w:left w:val="none" w:sz="0" w:space="0" w:color="auto"/>
        <w:bottom w:val="none" w:sz="0" w:space="0" w:color="auto"/>
        <w:right w:val="none" w:sz="0" w:space="0" w:color="auto"/>
      </w:divBdr>
    </w:div>
    <w:div w:id="1009140214">
      <w:bodyDiv w:val="1"/>
      <w:marLeft w:val="0"/>
      <w:marRight w:val="0"/>
      <w:marTop w:val="0"/>
      <w:marBottom w:val="0"/>
      <w:divBdr>
        <w:top w:val="none" w:sz="0" w:space="0" w:color="auto"/>
        <w:left w:val="none" w:sz="0" w:space="0" w:color="auto"/>
        <w:bottom w:val="none" w:sz="0" w:space="0" w:color="auto"/>
        <w:right w:val="none" w:sz="0" w:space="0" w:color="auto"/>
      </w:divBdr>
    </w:div>
    <w:div w:id="1010988153">
      <w:bodyDiv w:val="1"/>
      <w:marLeft w:val="0"/>
      <w:marRight w:val="0"/>
      <w:marTop w:val="0"/>
      <w:marBottom w:val="0"/>
      <w:divBdr>
        <w:top w:val="none" w:sz="0" w:space="0" w:color="auto"/>
        <w:left w:val="none" w:sz="0" w:space="0" w:color="auto"/>
        <w:bottom w:val="none" w:sz="0" w:space="0" w:color="auto"/>
        <w:right w:val="none" w:sz="0" w:space="0" w:color="auto"/>
      </w:divBdr>
    </w:div>
    <w:div w:id="1042903953">
      <w:bodyDiv w:val="1"/>
      <w:marLeft w:val="0"/>
      <w:marRight w:val="0"/>
      <w:marTop w:val="0"/>
      <w:marBottom w:val="0"/>
      <w:divBdr>
        <w:top w:val="none" w:sz="0" w:space="0" w:color="auto"/>
        <w:left w:val="none" w:sz="0" w:space="0" w:color="auto"/>
        <w:bottom w:val="none" w:sz="0" w:space="0" w:color="auto"/>
        <w:right w:val="none" w:sz="0" w:space="0" w:color="auto"/>
      </w:divBdr>
    </w:div>
    <w:div w:id="1049456876">
      <w:bodyDiv w:val="1"/>
      <w:marLeft w:val="0"/>
      <w:marRight w:val="0"/>
      <w:marTop w:val="0"/>
      <w:marBottom w:val="0"/>
      <w:divBdr>
        <w:top w:val="none" w:sz="0" w:space="0" w:color="auto"/>
        <w:left w:val="none" w:sz="0" w:space="0" w:color="auto"/>
        <w:bottom w:val="none" w:sz="0" w:space="0" w:color="auto"/>
        <w:right w:val="none" w:sz="0" w:space="0" w:color="auto"/>
      </w:divBdr>
    </w:div>
    <w:div w:id="1052465480">
      <w:bodyDiv w:val="1"/>
      <w:marLeft w:val="0"/>
      <w:marRight w:val="0"/>
      <w:marTop w:val="0"/>
      <w:marBottom w:val="0"/>
      <w:divBdr>
        <w:top w:val="none" w:sz="0" w:space="0" w:color="auto"/>
        <w:left w:val="none" w:sz="0" w:space="0" w:color="auto"/>
        <w:bottom w:val="none" w:sz="0" w:space="0" w:color="auto"/>
        <w:right w:val="none" w:sz="0" w:space="0" w:color="auto"/>
      </w:divBdr>
    </w:div>
    <w:div w:id="1090812628">
      <w:bodyDiv w:val="1"/>
      <w:marLeft w:val="0"/>
      <w:marRight w:val="0"/>
      <w:marTop w:val="0"/>
      <w:marBottom w:val="0"/>
      <w:divBdr>
        <w:top w:val="none" w:sz="0" w:space="0" w:color="auto"/>
        <w:left w:val="none" w:sz="0" w:space="0" w:color="auto"/>
        <w:bottom w:val="none" w:sz="0" w:space="0" w:color="auto"/>
        <w:right w:val="none" w:sz="0" w:space="0" w:color="auto"/>
      </w:divBdr>
    </w:div>
    <w:div w:id="1093744797">
      <w:bodyDiv w:val="1"/>
      <w:marLeft w:val="0"/>
      <w:marRight w:val="0"/>
      <w:marTop w:val="0"/>
      <w:marBottom w:val="0"/>
      <w:divBdr>
        <w:top w:val="none" w:sz="0" w:space="0" w:color="auto"/>
        <w:left w:val="none" w:sz="0" w:space="0" w:color="auto"/>
        <w:bottom w:val="none" w:sz="0" w:space="0" w:color="auto"/>
        <w:right w:val="none" w:sz="0" w:space="0" w:color="auto"/>
      </w:divBdr>
    </w:div>
    <w:div w:id="1093745323">
      <w:bodyDiv w:val="1"/>
      <w:marLeft w:val="0"/>
      <w:marRight w:val="0"/>
      <w:marTop w:val="0"/>
      <w:marBottom w:val="0"/>
      <w:divBdr>
        <w:top w:val="none" w:sz="0" w:space="0" w:color="auto"/>
        <w:left w:val="none" w:sz="0" w:space="0" w:color="auto"/>
        <w:bottom w:val="none" w:sz="0" w:space="0" w:color="auto"/>
        <w:right w:val="none" w:sz="0" w:space="0" w:color="auto"/>
      </w:divBdr>
    </w:div>
    <w:div w:id="1094135213">
      <w:bodyDiv w:val="1"/>
      <w:marLeft w:val="0"/>
      <w:marRight w:val="0"/>
      <w:marTop w:val="0"/>
      <w:marBottom w:val="0"/>
      <w:divBdr>
        <w:top w:val="none" w:sz="0" w:space="0" w:color="auto"/>
        <w:left w:val="none" w:sz="0" w:space="0" w:color="auto"/>
        <w:bottom w:val="none" w:sz="0" w:space="0" w:color="auto"/>
        <w:right w:val="none" w:sz="0" w:space="0" w:color="auto"/>
      </w:divBdr>
    </w:div>
    <w:div w:id="1099374461">
      <w:bodyDiv w:val="1"/>
      <w:marLeft w:val="0"/>
      <w:marRight w:val="0"/>
      <w:marTop w:val="0"/>
      <w:marBottom w:val="0"/>
      <w:divBdr>
        <w:top w:val="none" w:sz="0" w:space="0" w:color="auto"/>
        <w:left w:val="none" w:sz="0" w:space="0" w:color="auto"/>
        <w:bottom w:val="none" w:sz="0" w:space="0" w:color="auto"/>
        <w:right w:val="none" w:sz="0" w:space="0" w:color="auto"/>
      </w:divBdr>
    </w:div>
    <w:div w:id="1102141631">
      <w:bodyDiv w:val="1"/>
      <w:marLeft w:val="0"/>
      <w:marRight w:val="0"/>
      <w:marTop w:val="0"/>
      <w:marBottom w:val="0"/>
      <w:divBdr>
        <w:top w:val="none" w:sz="0" w:space="0" w:color="auto"/>
        <w:left w:val="none" w:sz="0" w:space="0" w:color="auto"/>
        <w:bottom w:val="none" w:sz="0" w:space="0" w:color="auto"/>
        <w:right w:val="none" w:sz="0" w:space="0" w:color="auto"/>
      </w:divBdr>
    </w:div>
    <w:div w:id="1103109257">
      <w:bodyDiv w:val="1"/>
      <w:marLeft w:val="0"/>
      <w:marRight w:val="0"/>
      <w:marTop w:val="0"/>
      <w:marBottom w:val="0"/>
      <w:divBdr>
        <w:top w:val="none" w:sz="0" w:space="0" w:color="auto"/>
        <w:left w:val="none" w:sz="0" w:space="0" w:color="auto"/>
        <w:bottom w:val="none" w:sz="0" w:space="0" w:color="auto"/>
        <w:right w:val="none" w:sz="0" w:space="0" w:color="auto"/>
      </w:divBdr>
    </w:div>
    <w:div w:id="1104957570">
      <w:bodyDiv w:val="1"/>
      <w:marLeft w:val="0"/>
      <w:marRight w:val="0"/>
      <w:marTop w:val="0"/>
      <w:marBottom w:val="0"/>
      <w:divBdr>
        <w:top w:val="none" w:sz="0" w:space="0" w:color="auto"/>
        <w:left w:val="none" w:sz="0" w:space="0" w:color="auto"/>
        <w:bottom w:val="none" w:sz="0" w:space="0" w:color="auto"/>
        <w:right w:val="none" w:sz="0" w:space="0" w:color="auto"/>
      </w:divBdr>
    </w:div>
    <w:div w:id="1105880765">
      <w:bodyDiv w:val="1"/>
      <w:marLeft w:val="0"/>
      <w:marRight w:val="0"/>
      <w:marTop w:val="0"/>
      <w:marBottom w:val="0"/>
      <w:divBdr>
        <w:top w:val="none" w:sz="0" w:space="0" w:color="auto"/>
        <w:left w:val="none" w:sz="0" w:space="0" w:color="auto"/>
        <w:bottom w:val="none" w:sz="0" w:space="0" w:color="auto"/>
        <w:right w:val="none" w:sz="0" w:space="0" w:color="auto"/>
      </w:divBdr>
    </w:div>
    <w:div w:id="1120341106">
      <w:bodyDiv w:val="1"/>
      <w:marLeft w:val="0"/>
      <w:marRight w:val="0"/>
      <w:marTop w:val="0"/>
      <w:marBottom w:val="0"/>
      <w:divBdr>
        <w:top w:val="none" w:sz="0" w:space="0" w:color="auto"/>
        <w:left w:val="none" w:sz="0" w:space="0" w:color="auto"/>
        <w:bottom w:val="none" w:sz="0" w:space="0" w:color="auto"/>
        <w:right w:val="none" w:sz="0" w:space="0" w:color="auto"/>
      </w:divBdr>
    </w:div>
    <w:div w:id="1122532395">
      <w:bodyDiv w:val="1"/>
      <w:marLeft w:val="0"/>
      <w:marRight w:val="0"/>
      <w:marTop w:val="0"/>
      <w:marBottom w:val="0"/>
      <w:divBdr>
        <w:top w:val="none" w:sz="0" w:space="0" w:color="auto"/>
        <w:left w:val="none" w:sz="0" w:space="0" w:color="auto"/>
        <w:bottom w:val="none" w:sz="0" w:space="0" w:color="auto"/>
        <w:right w:val="none" w:sz="0" w:space="0" w:color="auto"/>
      </w:divBdr>
    </w:div>
    <w:div w:id="1125124363">
      <w:bodyDiv w:val="1"/>
      <w:marLeft w:val="0"/>
      <w:marRight w:val="0"/>
      <w:marTop w:val="0"/>
      <w:marBottom w:val="0"/>
      <w:divBdr>
        <w:top w:val="none" w:sz="0" w:space="0" w:color="auto"/>
        <w:left w:val="none" w:sz="0" w:space="0" w:color="auto"/>
        <w:bottom w:val="none" w:sz="0" w:space="0" w:color="auto"/>
        <w:right w:val="none" w:sz="0" w:space="0" w:color="auto"/>
      </w:divBdr>
    </w:div>
    <w:div w:id="1127163997">
      <w:bodyDiv w:val="1"/>
      <w:marLeft w:val="0"/>
      <w:marRight w:val="0"/>
      <w:marTop w:val="0"/>
      <w:marBottom w:val="0"/>
      <w:divBdr>
        <w:top w:val="none" w:sz="0" w:space="0" w:color="auto"/>
        <w:left w:val="none" w:sz="0" w:space="0" w:color="auto"/>
        <w:bottom w:val="none" w:sz="0" w:space="0" w:color="auto"/>
        <w:right w:val="none" w:sz="0" w:space="0" w:color="auto"/>
      </w:divBdr>
    </w:div>
    <w:div w:id="1131750858">
      <w:bodyDiv w:val="1"/>
      <w:marLeft w:val="0"/>
      <w:marRight w:val="0"/>
      <w:marTop w:val="0"/>
      <w:marBottom w:val="0"/>
      <w:divBdr>
        <w:top w:val="none" w:sz="0" w:space="0" w:color="auto"/>
        <w:left w:val="none" w:sz="0" w:space="0" w:color="auto"/>
        <w:bottom w:val="none" w:sz="0" w:space="0" w:color="auto"/>
        <w:right w:val="none" w:sz="0" w:space="0" w:color="auto"/>
      </w:divBdr>
    </w:div>
    <w:div w:id="1134563116">
      <w:bodyDiv w:val="1"/>
      <w:marLeft w:val="0"/>
      <w:marRight w:val="0"/>
      <w:marTop w:val="0"/>
      <w:marBottom w:val="0"/>
      <w:divBdr>
        <w:top w:val="none" w:sz="0" w:space="0" w:color="auto"/>
        <w:left w:val="none" w:sz="0" w:space="0" w:color="auto"/>
        <w:bottom w:val="none" w:sz="0" w:space="0" w:color="auto"/>
        <w:right w:val="none" w:sz="0" w:space="0" w:color="auto"/>
      </w:divBdr>
    </w:div>
    <w:div w:id="1137071968">
      <w:bodyDiv w:val="1"/>
      <w:marLeft w:val="0"/>
      <w:marRight w:val="0"/>
      <w:marTop w:val="0"/>
      <w:marBottom w:val="0"/>
      <w:divBdr>
        <w:top w:val="none" w:sz="0" w:space="0" w:color="auto"/>
        <w:left w:val="none" w:sz="0" w:space="0" w:color="auto"/>
        <w:bottom w:val="none" w:sz="0" w:space="0" w:color="auto"/>
        <w:right w:val="none" w:sz="0" w:space="0" w:color="auto"/>
      </w:divBdr>
    </w:div>
    <w:div w:id="1148328660">
      <w:bodyDiv w:val="1"/>
      <w:marLeft w:val="0"/>
      <w:marRight w:val="0"/>
      <w:marTop w:val="0"/>
      <w:marBottom w:val="0"/>
      <w:divBdr>
        <w:top w:val="none" w:sz="0" w:space="0" w:color="auto"/>
        <w:left w:val="none" w:sz="0" w:space="0" w:color="auto"/>
        <w:bottom w:val="none" w:sz="0" w:space="0" w:color="auto"/>
        <w:right w:val="none" w:sz="0" w:space="0" w:color="auto"/>
      </w:divBdr>
    </w:div>
    <w:div w:id="1156611201">
      <w:bodyDiv w:val="1"/>
      <w:marLeft w:val="0"/>
      <w:marRight w:val="0"/>
      <w:marTop w:val="0"/>
      <w:marBottom w:val="0"/>
      <w:divBdr>
        <w:top w:val="none" w:sz="0" w:space="0" w:color="auto"/>
        <w:left w:val="none" w:sz="0" w:space="0" w:color="auto"/>
        <w:bottom w:val="none" w:sz="0" w:space="0" w:color="auto"/>
        <w:right w:val="none" w:sz="0" w:space="0" w:color="auto"/>
      </w:divBdr>
    </w:div>
    <w:div w:id="1157956178">
      <w:bodyDiv w:val="1"/>
      <w:marLeft w:val="0"/>
      <w:marRight w:val="0"/>
      <w:marTop w:val="0"/>
      <w:marBottom w:val="0"/>
      <w:divBdr>
        <w:top w:val="none" w:sz="0" w:space="0" w:color="auto"/>
        <w:left w:val="none" w:sz="0" w:space="0" w:color="auto"/>
        <w:bottom w:val="none" w:sz="0" w:space="0" w:color="auto"/>
        <w:right w:val="none" w:sz="0" w:space="0" w:color="auto"/>
      </w:divBdr>
    </w:div>
    <w:div w:id="1171336338">
      <w:bodyDiv w:val="1"/>
      <w:marLeft w:val="0"/>
      <w:marRight w:val="0"/>
      <w:marTop w:val="0"/>
      <w:marBottom w:val="0"/>
      <w:divBdr>
        <w:top w:val="none" w:sz="0" w:space="0" w:color="auto"/>
        <w:left w:val="none" w:sz="0" w:space="0" w:color="auto"/>
        <w:bottom w:val="none" w:sz="0" w:space="0" w:color="auto"/>
        <w:right w:val="none" w:sz="0" w:space="0" w:color="auto"/>
      </w:divBdr>
    </w:div>
    <w:div w:id="1172916739">
      <w:bodyDiv w:val="1"/>
      <w:marLeft w:val="0"/>
      <w:marRight w:val="0"/>
      <w:marTop w:val="0"/>
      <w:marBottom w:val="0"/>
      <w:divBdr>
        <w:top w:val="none" w:sz="0" w:space="0" w:color="auto"/>
        <w:left w:val="none" w:sz="0" w:space="0" w:color="auto"/>
        <w:bottom w:val="none" w:sz="0" w:space="0" w:color="auto"/>
        <w:right w:val="none" w:sz="0" w:space="0" w:color="auto"/>
      </w:divBdr>
    </w:div>
    <w:div w:id="1186333104">
      <w:bodyDiv w:val="1"/>
      <w:marLeft w:val="0"/>
      <w:marRight w:val="0"/>
      <w:marTop w:val="0"/>
      <w:marBottom w:val="0"/>
      <w:divBdr>
        <w:top w:val="none" w:sz="0" w:space="0" w:color="auto"/>
        <w:left w:val="none" w:sz="0" w:space="0" w:color="auto"/>
        <w:bottom w:val="none" w:sz="0" w:space="0" w:color="auto"/>
        <w:right w:val="none" w:sz="0" w:space="0" w:color="auto"/>
      </w:divBdr>
    </w:div>
    <w:div w:id="1188055734">
      <w:bodyDiv w:val="1"/>
      <w:marLeft w:val="0"/>
      <w:marRight w:val="0"/>
      <w:marTop w:val="0"/>
      <w:marBottom w:val="0"/>
      <w:divBdr>
        <w:top w:val="none" w:sz="0" w:space="0" w:color="auto"/>
        <w:left w:val="none" w:sz="0" w:space="0" w:color="auto"/>
        <w:bottom w:val="none" w:sz="0" w:space="0" w:color="auto"/>
        <w:right w:val="none" w:sz="0" w:space="0" w:color="auto"/>
      </w:divBdr>
    </w:div>
    <w:div w:id="1194803657">
      <w:bodyDiv w:val="1"/>
      <w:marLeft w:val="0"/>
      <w:marRight w:val="0"/>
      <w:marTop w:val="0"/>
      <w:marBottom w:val="0"/>
      <w:divBdr>
        <w:top w:val="none" w:sz="0" w:space="0" w:color="auto"/>
        <w:left w:val="none" w:sz="0" w:space="0" w:color="auto"/>
        <w:bottom w:val="none" w:sz="0" w:space="0" w:color="auto"/>
        <w:right w:val="none" w:sz="0" w:space="0" w:color="auto"/>
      </w:divBdr>
    </w:div>
    <w:div w:id="1199077724">
      <w:bodyDiv w:val="1"/>
      <w:marLeft w:val="0"/>
      <w:marRight w:val="0"/>
      <w:marTop w:val="0"/>
      <w:marBottom w:val="0"/>
      <w:divBdr>
        <w:top w:val="none" w:sz="0" w:space="0" w:color="auto"/>
        <w:left w:val="none" w:sz="0" w:space="0" w:color="auto"/>
        <w:bottom w:val="none" w:sz="0" w:space="0" w:color="auto"/>
        <w:right w:val="none" w:sz="0" w:space="0" w:color="auto"/>
      </w:divBdr>
    </w:div>
    <w:div w:id="1217205822">
      <w:bodyDiv w:val="1"/>
      <w:marLeft w:val="0"/>
      <w:marRight w:val="0"/>
      <w:marTop w:val="0"/>
      <w:marBottom w:val="0"/>
      <w:divBdr>
        <w:top w:val="none" w:sz="0" w:space="0" w:color="auto"/>
        <w:left w:val="none" w:sz="0" w:space="0" w:color="auto"/>
        <w:bottom w:val="none" w:sz="0" w:space="0" w:color="auto"/>
        <w:right w:val="none" w:sz="0" w:space="0" w:color="auto"/>
      </w:divBdr>
    </w:div>
    <w:div w:id="1218930209">
      <w:bodyDiv w:val="1"/>
      <w:marLeft w:val="0"/>
      <w:marRight w:val="0"/>
      <w:marTop w:val="0"/>
      <w:marBottom w:val="0"/>
      <w:divBdr>
        <w:top w:val="none" w:sz="0" w:space="0" w:color="auto"/>
        <w:left w:val="none" w:sz="0" w:space="0" w:color="auto"/>
        <w:bottom w:val="none" w:sz="0" w:space="0" w:color="auto"/>
        <w:right w:val="none" w:sz="0" w:space="0" w:color="auto"/>
      </w:divBdr>
    </w:div>
    <w:div w:id="1225607585">
      <w:bodyDiv w:val="1"/>
      <w:marLeft w:val="0"/>
      <w:marRight w:val="0"/>
      <w:marTop w:val="0"/>
      <w:marBottom w:val="0"/>
      <w:divBdr>
        <w:top w:val="none" w:sz="0" w:space="0" w:color="auto"/>
        <w:left w:val="none" w:sz="0" w:space="0" w:color="auto"/>
        <w:bottom w:val="none" w:sz="0" w:space="0" w:color="auto"/>
        <w:right w:val="none" w:sz="0" w:space="0" w:color="auto"/>
      </w:divBdr>
    </w:div>
    <w:div w:id="1234239635">
      <w:bodyDiv w:val="1"/>
      <w:marLeft w:val="0"/>
      <w:marRight w:val="0"/>
      <w:marTop w:val="0"/>
      <w:marBottom w:val="0"/>
      <w:divBdr>
        <w:top w:val="none" w:sz="0" w:space="0" w:color="auto"/>
        <w:left w:val="none" w:sz="0" w:space="0" w:color="auto"/>
        <w:bottom w:val="none" w:sz="0" w:space="0" w:color="auto"/>
        <w:right w:val="none" w:sz="0" w:space="0" w:color="auto"/>
      </w:divBdr>
    </w:div>
    <w:div w:id="1241596302">
      <w:bodyDiv w:val="1"/>
      <w:marLeft w:val="0"/>
      <w:marRight w:val="0"/>
      <w:marTop w:val="0"/>
      <w:marBottom w:val="0"/>
      <w:divBdr>
        <w:top w:val="none" w:sz="0" w:space="0" w:color="auto"/>
        <w:left w:val="none" w:sz="0" w:space="0" w:color="auto"/>
        <w:bottom w:val="none" w:sz="0" w:space="0" w:color="auto"/>
        <w:right w:val="none" w:sz="0" w:space="0" w:color="auto"/>
      </w:divBdr>
    </w:div>
    <w:div w:id="1244294312">
      <w:bodyDiv w:val="1"/>
      <w:marLeft w:val="0"/>
      <w:marRight w:val="0"/>
      <w:marTop w:val="0"/>
      <w:marBottom w:val="0"/>
      <w:divBdr>
        <w:top w:val="none" w:sz="0" w:space="0" w:color="auto"/>
        <w:left w:val="none" w:sz="0" w:space="0" w:color="auto"/>
        <w:bottom w:val="none" w:sz="0" w:space="0" w:color="auto"/>
        <w:right w:val="none" w:sz="0" w:space="0" w:color="auto"/>
      </w:divBdr>
    </w:div>
    <w:div w:id="1253391492">
      <w:bodyDiv w:val="1"/>
      <w:marLeft w:val="0"/>
      <w:marRight w:val="0"/>
      <w:marTop w:val="0"/>
      <w:marBottom w:val="0"/>
      <w:divBdr>
        <w:top w:val="none" w:sz="0" w:space="0" w:color="auto"/>
        <w:left w:val="none" w:sz="0" w:space="0" w:color="auto"/>
        <w:bottom w:val="none" w:sz="0" w:space="0" w:color="auto"/>
        <w:right w:val="none" w:sz="0" w:space="0" w:color="auto"/>
      </w:divBdr>
    </w:div>
    <w:div w:id="1253469731">
      <w:bodyDiv w:val="1"/>
      <w:marLeft w:val="0"/>
      <w:marRight w:val="0"/>
      <w:marTop w:val="0"/>
      <w:marBottom w:val="0"/>
      <w:divBdr>
        <w:top w:val="none" w:sz="0" w:space="0" w:color="auto"/>
        <w:left w:val="none" w:sz="0" w:space="0" w:color="auto"/>
        <w:bottom w:val="none" w:sz="0" w:space="0" w:color="auto"/>
        <w:right w:val="none" w:sz="0" w:space="0" w:color="auto"/>
      </w:divBdr>
    </w:div>
    <w:div w:id="1264143347">
      <w:bodyDiv w:val="1"/>
      <w:marLeft w:val="0"/>
      <w:marRight w:val="0"/>
      <w:marTop w:val="0"/>
      <w:marBottom w:val="0"/>
      <w:divBdr>
        <w:top w:val="none" w:sz="0" w:space="0" w:color="auto"/>
        <w:left w:val="none" w:sz="0" w:space="0" w:color="auto"/>
        <w:bottom w:val="none" w:sz="0" w:space="0" w:color="auto"/>
        <w:right w:val="none" w:sz="0" w:space="0" w:color="auto"/>
      </w:divBdr>
    </w:div>
    <w:div w:id="1265843769">
      <w:bodyDiv w:val="1"/>
      <w:marLeft w:val="0"/>
      <w:marRight w:val="0"/>
      <w:marTop w:val="0"/>
      <w:marBottom w:val="0"/>
      <w:divBdr>
        <w:top w:val="none" w:sz="0" w:space="0" w:color="auto"/>
        <w:left w:val="none" w:sz="0" w:space="0" w:color="auto"/>
        <w:bottom w:val="none" w:sz="0" w:space="0" w:color="auto"/>
        <w:right w:val="none" w:sz="0" w:space="0" w:color="auto"/>
      </w:divBdr>
    </w:div>
    <w:div w:id="1271738032">
      <w:bodyDiv w:val="1"/>
      <w:marLeft w:val="0"/>
      <w:marRight w:val="0"/>
      <w:marTop w:val="0"/>
      <w:marBottom w:val="0"/>
      <w:divBdr>
        <w:top w:val="none" w:sz="0" w:space="0" w:color="auto"/>
        <w:left w:val="none" w:sz="0" w:space="0" w:color="auto"/>
        <w:bottom w:val="none" w:sz="0" w:space="0" w:color="auto"/>
        <w:right w:val="none" w:sz="0" w:space="0" w:color="auto"/>
      </w:divBdr>
    </w:div>
    <w:div w:id="1279604532">
      <w:bodyDiv w:val="1"/>
      <w:marLeft w:val="0"/>
      <w:marRight w:val="0"/>
      <w:marTop w:val="0"/>
      <w:marBottom w:val="0"/>
      <w:divBdr>
        <w:top w:val="none" w:sz="0" w:space="0" w:color="auto"/>
        <w:left w:val="none" w:sz="0" w:space="0" w:color="auto"/>
        <w:bottom w:val="none" w:sz="0" w:space="0" w:color="auto"/>
        <w:right w:val="none" w:sz="0" w:space="0" w:color="auto"/>
      </w:divBdr>
    </w:div>
    <w:div w:id="1293362996">
      <w:bodyDiv w:val="1"/>
      <w:marLeft w:val="0"/>
      <w:marRight w:val="0"/>
      <w:marTop w:val="0"/>
      <w:marBottom w:val="0"/>
      <w:divBdr>
        <w:top w:val="none" w:sz="0" w:space="0" w:color="auto"/>
        <w:left w:val="none" w:sz="0" w:space="0" w:color="auto"/>
        <w:bottom w:val="none" w:sz="0" w:space="0" w:color="auto"/>
        <w:right w:val="none" w:sz="0" w:space="0" w:color="auto"/>
      </w:divBdr>
    </w:div>
    <w:div w:id="1298560182">
      <w:bodyDiv w:val="1"/>
      <w:marLeft w:val="0"/>
      <w:marRight w:val="0"/>
      <w:marTop w:val="0"/>
      <w:marBottom w:val="0"/>
      <w:divBdr>
        <w:top w:val="none" w:sz="0" w:space="0" w:color="auto"/>
        <w:left w:val="none" w:sz="0" w:space="0" w:color="auto"/>
        <w:bottom w:val="none" w:sz="0" w:space="0" w:color="auto"/>
        <w:right w:val="none" w:sz="0" w:space="0" w:color="auto"/>
      </w:divBdr>
    </w:div>
    <w:div w:id="1308171970">
      <w:bodyDiv w:val="1"/>
      <w:marLeft w:val="0"/>
      <w:marRight w:val="0"/>
      <w:marTop w:val="0"/>
      <w:marBottom w:val="0"/>
      <w:divBdr>
        <w:top w:val="none" w:sz="0" w:space="0" w:color="auto"/>
        <w:left w:val="none" w:sz="0" w:space="0" w:color="auto"/>
        <w:bottom w:val="none" w:sz="0" w:space="0" w:color="auto"/>
        <w:right w:val="none" w:sz="0" w:space="0" w:color="auto"/>
      </w:divBdr>
    </w:div>
    <w:div w:id="1318608945">
      <w:bodyDiv w:val="1"/>
      <w:marLeft w:val="0"/>
      <w:marRight w:val="0"/>
      <w:marTop w:val="0"/>
      <w:marBottom w:val="0"/>
      <w:divBdr>
        <w:top w:val="none" w:sz="0" w:space="0" w:color="auto"/>
        <w:left w:val="none" w:sz="0" w:space="0" w:color="auto"/>
        <w:bottom w:val="none" w:sz="0" w:space="0" w:color="auto"/>
        <w:right w:val="none" w:sz="0" w:space="0" w:color="auto"/>
      </w:divBdr>
    </w:div>
    <w:div w:id="1318724962">
      <w:bodyDiv w:val="1"/>
      <w:marLeft w:val="0"/>
      <w:marRight w:val="0"/>
      <w:marTop w:val="0"/>
      <w:marBottom w:val="0"/>
      <w:divBdr>
        <w:top w:val="none" w:sz="0" w:space="0" w:color="auto"/>
        <w:left w:val="none" w:sz="0" w:space="0" w:color="auto"/>
        <w:bottom w:val="none" w:sz="0" w:space="0" w:color="auto"/>
        <w:right w:val="none" w:sz="0" w:space="0" w:color="auto"/>
      </w:divBdr>
    </w:div>
    <w:div w:id="1318992960">
      <w:bodyDiv w:val="1"/>
      <w:marLeft w:val="0"/>
      <w:marRight w:val="0"/>
      <w:marTop w:val="0"/>
      <w:marBottom w:val="0"/>
      <w:divBdr>
        <w:top w:val="none" w:sz="0" w:space="0" w:color="auto"/>
        <w:left w:val="none" w:sz="0" w:space="0" w:color="auto"/>
        <w:bottom w:val="none" w:sz="0" w:space="0" w:color="auto"/>
        <w:right w:val="none" w:sz="0" w:space="0" w:color="auto"/>
      </w:divBdr>
    </w:div>
    <w:div w:id="1325432131">
      <w:bodyDiv w:val="1"/>
      <w:marLeft w:val="0"/>
      <w:marRight w:val="0"/>
      <w:marTop w:val="0"/>
      <w:marBottom w:val="0"/>
      <w:divBdr>
        <w:top w:val="none" w:sz="0" w:space="0" w:color="auto"/>
        <w:left w:val="none" w:sz="0" w:space="0" w:color="auto"/>
        <w:bottom w:val="none" w:sz="0" w:space="0" w:color="auto"/>
        <w:right w:val="none" w:sz="0" w:space="0" w:color="auto"/>
      </w:divBdr>
    </w:div>
    <w:div w:id="1330984867">
      <w:bodyDiv w:val="1"/>
      <w:marLeft w:val="0"/>
      <w:marRight w:val="0"/>
      <w:marTop w:val="0"/>
      <w:marBottom w:val="0"/>
      <w:divBdr>
        <w:top w:val="none" w:sz="0" w:space="0" w:color="auto"/>
        <w:left w:val="none" w:sz="0" w:space="0" w:color="auto"/>
        <w:bottom w:val="none" w:sz="0" w:space="0" w:color="auto"/>
        <w:right w:val="none" w:sz="0" w:space="0" w:color="auto"/>
      </w:divBdr>
    </w:div>
    <w:div w:id="1331644396">
      <w:bodyDiv w:val="1"/>
      <w:marLeft w:val="0"/>
      <w:marRight w:val="0"/>
      <w:marTop w:val="0"/>
      <w:marBottom w:val="0"/>
      <w:divBdr>
        <w:top w:val="none" w:sz="0" w:space="0" w:color="auto"/>
        <w:left w:val="none" w:sz="0" w:space="0" w:color="auto"/>
        <w:bottom w:val="none" w:sz="0" w:space="0" w:color="auto"/>
        <w:right w:val="none" w:sz="0" w:space="0" w:color="auto"/>
      </w:divBdr>
    </w:div>
    <w:div w:id="1333920269">
      <w:bodyDiv w:val="1"/>
      <w:marLeft w:val="0"/>
      <w:marRight w:val="0"/>
      <w:marTop w:val="0"/>
      <w:marBottom w:val="0"/>
      <w:divBdr>
        <w:top w:val="none" w:sz="0" w:space="0" w:color="auto"/>
        <w:left w:val="none" w:sz="0" w:space="0" w:color="auto"/>
        <w:bottom w:val="none" w:sz="0" w:space="0" w:color="auto"/>
        <w:right w:val="none" w:sz="0" w:space="0" w:color="auto"/>
      </w:divBdr>
    </w:div>
    <w:div w:id="1337003635">
      <w:bodyDiv w:val="1"/>
      <w:marLeft w:val="0"/>
      <w:marRight w:val="0"/>
      <w:marTop w:val="0"/>
      <w:marBottom w:val="0"/>
      <w:divBdr>
        <w:top w:val="none" w:sz="0" w:space="0" w:color="auto"/>
        <w:left w:val="none" w:sz="0" w:space="0" w:color="auto"/>
        <w:bottom w:val="none" w:sz="0" w:space="0" w:color="auto"/>
        <w:right w:val="none" w:sz="0" w:space="0" w:color="auto"/>
      </w:divBdr>
    </w:div>
    <w:div w:id="1352028494">
      <w:bodyDiv w:val="1"/>
      <w:marLeft w:val="0"/>
      <w:marRight w:val="0"/>
      <w:marTop w:val="0"/>
      <w:marBottom w:val="0"/>
      <w:divBdr>
        <w:top w:val="none" w:sz="0" w:space="0" w:color="auto"/>
        <w:left w:val="none" w:sz="0" w:space="0" w:color="auto"/>
        <w:bottom w:val="none" w:sz="0" w:space="0" w:color="auto"/>
        <w:right w:val="none" w:sz="0" w:space="0" w:color="auto"/>
      </w:divBdr>
    </w:div>
    <w:div w:id="1358044171">
      <w:bodyDiv w:val="1"/>
      <w:marLeft w:val="0"/>
      <w:marRight w:val="0"/>
      <w:marTop w:val="0"/>
      <w:marBottom w:val="0"/>
      <w:divBdr>
        <w:top w:val="none" w:sz="0" w:space="0" w:color="auto"/>
        <w:left w:val="none" w:sz="0" w:space="0" w:color="auto"/>
        <w:bottom w:val="none" w:sz="0" w:space="0" w:color="auto"/>
        <w:right w:val="none" w:sz="0" w:space="0" w:color="auto"/>
      </w:divBdr>
    </w:div>
    <w:div w:id="1359427518">
      <w:bodyDiv w:val="1"/>
      <w:marLeft w:val="0"/>
      <w:marRight w:val="0"/>
      <w:marTop w:val="0"/>
      <w:marBottom w:val="0"/>
      <w:divBdr>
        <w:top w:val="none" w:sz="0" w:space="0" w:color="auto"/>
        <w:left w:val="none" w:sz="0" w:space="0" w:color="auto"/>
        <w:bottom w:val="none" w:sz="0" w:space="0" w:color="auto"/>
        <w:right w:val="none" w:sz="0" w:space="0" w:color="auto"/>
      </w:divBdr>
    </w:div>
    <w:div w:id="1367876351">
      <w:bodyDiv w:val="1"/>
      <w:marLeft w:val="0"/>
      <w:marRight w:val="0"/>
      <w:marTop w:val="0"/>
      <w:marBottom w:val="0"/>
      <w:divBdr>
        <w:top w:val="none" w:sz="0" w:space="0" w:color="auto"/>
        <w:left w:val="none" w:sz="0" w:space="0" w:color="auto"/>
        <w:bottom w:val="none" w:sz="0" w:space="0" w:color="auto"/>
        <w:right w:val="none" w:sz="0" w:space="0" w:color="auto"/>
      </w:divBdr>
    </w:div>
    <w:div w:id="1377697852">
      <w:bodyDiv w:val="1"/>
      <w:marLeft w:val="0"/>
      <w:marRight w:val="0"/>
      <w:marTop w:val="0"/>
      <w:marBottom w:val="0"/>
      <w:divBdr>
        <w:top w:val="none" w:sz="0" w:space="0" w:color="auto"/>
        <w:left w:val="none" w:sz="0" w:space="0" w:color="auto"/>
        <w:bottom w:val="none" w:sz="0" w:space="0" w:color="auto"/>
        <w:right w:val="none" w:sz="0" w:space="0" w:color="auto"/>
      </w:divBdr>
    </w:div>
    <w:div w:id="1381635217">
      <w:bodyDiv w:val="1"/>
      <w:marLeft w:val="0"/>
      <w:marRight w:val="0"/>
      <w:marTop w:val="0"/>
      <w:marBottom w:val="0"/>
      <w:divBdr>
        <w:top w:val="none" w:sz="0" w:space="0" w:color="auto"/>
        <w:left w:val="none" w:sz="0" w:space="0" w:color="auto"/>
        <w:bottom w:val="none" w:sz="0" w:space="0" w:color="auto"/>
        <w:right w:val="none" w:sz="0" w:space="0" w:color="auto"/>
      </w:divBdr>
    </w:div>
    <w:div w:id="1387530553">
      <w:bodyDiv w:val="1"/>
      <w:marLeft w:val="0"/>
      <w:marRight w:val="0"/>
      <w:marTop w:val="0"/>
      <w:marBottom w:val="0"/>
      <w:divBdr>
        <w:top w:val="none" w:sz="0" w:space="0" w:color="auto"/>
        <w:left w:val="none" w:sz="0" w:space="0" w:color="auto"/>
        <w:bottom w:val="none" w:sz="0" w:space="0" w:color="auto"/>
        <w:right w:val="none" w:sz="0" w:space="0" w:color="auto"/>
      </w:divBdr>
    </w:div>
    <w:div w:id="1388726061">
      <w:bodyDiv w:val="1"/>
      <w:marLeft w:val="0"/>
      <w:marRight w:val="0"/>
      <w:marTop w:val="0"/>
      <w:marBottom w:val="0"/>
      <w:divBdr>
        <w:top w:val="none" w:sz="0" w:space="0" w:color="auto"/>
        <w:left w:val="none" w:sz="0" w:space="0" w:color="auto"/>
        <w:bottom w:val="none" w:sz="0" w:space="0" w:color="auto"/>
        <w:right w:val="none" w:sz="0" w:space="0" w:color="auto"/>
      </w:divBdr>
    </w:div>
    <w:div w:id="1394155828">
      <w:bodyDiv w:val="1"/>
      <w:marLeft w:val="0"/>
      <w:marRight w:val="0"/>
      <w:marTop w:val="0"/>
      <w:marBottom w:val="0"/>
      <w:divBdr>
        <w:top w:val="none" w:sz="0" w:space="0" w:color="auto"/>
        <w:left w:val="none" w:sz="0" w:space="0" w:color="auto"/>
        <w:bottom w:val="none" w:sz="0" w:space="0" w:color="auto"/>
        <w:right w:val="none" w:sz="0" w:space="0" w:color="auto"/>
      </w:divBdr>
    </w:div>
    <w:div w:id="1412312863">
      <w:bodyDiv w:val="1"/>
      <w:marLeft w:val="0"/>
      <w:marRight w:val="0"/>
      <w:marTop w:val="0"/>
      <w:marBottom w:val="0"/>
      <w:divBdr>
        <w:top w:val="none" w:sz="0" w:space="0" w:color="auto"/>
        <w:left w:val="none" w:sz="0" w:space="0" w:color="auto"/>
        <w:bottom w:val="none" w:sz="0" w:space="0" w:color="auto"/>
        <w:right w:val="none" w:sz="0" w:space="0" w:color="auto"/>
      </w:divBdr>
    </w:div>
    <w:div w:id="1413771952">
      <w:bodyDiv w:val="1"/>
      <w:marLeft w:val="0"/>
      <w:marRight w:val="0"/>
      <w:marTop w:val="0"/>
      <w:marBottom w:val="0"/>
      <w:divBdr>
        <w:top w:val="none" w:sz="0" w:space="0" w:color="auto"/>
        <w:left w:val="none" w:sz="0" w:space="0" w:color="auto"/>
        <w:bottom w:val="none" w:sz="0" w:space="0" w:color="auto"/>
        <w:right w:val="none" w:sz="0" w:space="0" w:color="auto"/>
      </w:divBdr>
    </w:div>
    <w:div w:id="1435784084">
      <w:bodyDiv w:val="1"/>
      <w:marLeft w:val="0"/>
      <w:marRight w:val="0"/>
      <w:marTop w:val="0"/>
      <w:marBottom w:val="0"/>
      <w:divBdr>
        <w:top w:val="none" w:sz="0" w:space="0" w:color="auto"/>
        <w:left w:val="none" w:sz="0" w:space="0" w:color="auto"/>
        <w:bottom w:val="none" w:sz="0" w:space="0" w:color="auto"/>
        <w:right w:val="none" w:sz="0" w:space="0" w:color="auto"/>
      </w:divBdr>
    </w:div>
    <w:div w:id="1443451045">
      <w:bodyDiv w:val="1"/>
      <w:marLeft w:val="0"/>
      <w:marRight w:val="0"/>
      <w:marTop w:val="0"/>
      <w:marBottom w:val="0"/>
      <w:divBdr>
        <w:top w:val="none" w:sz="0" w:space="0" w:color="auto"/>
        <w:left w:val="none" w:sz="0" w:space="0" w:color="auto"/>
        <w:bottom w:val="none" w:sz="0" w:space="0" w:color="auto"/>
        <w:right w:val="none" w:sz="0" w:space="0" w:color="auto"/>
      </w:divBdr>
    </w:div>
    <w:div w:id="1443457729">
      <w:bodyDiv w:val="1"/>
      <w:marLeft w:val="0"/>
      <w:marRight w:val="0"/>
      <w:marTop w:val="0"/>
      <w:marBottom w:val="0"/>
      <w:divBdr>
        <w:top w:val="none" w:sz="0" w:space="0" w:color="auto"/>
        <w:left w:val="none" w:sz="0" w:space="0" w:color="auto"/>
        <w:bottom w:val="none" w:sz="0" w:space="0" w:color="auto"/>
        <w:right w:val="none" w:sz="0" w:space="0" w:color="auto"/>
      </w:divBdr>
    </w:div>
    <w:div w:id="1443838669">
      <w:bodyDiv w:val="1"/>
      <w:marLeft w:val="0"/>
      <w:marRight w:val="0"/>
      <w:marTop w:val="0"/>
      <w:marBottom w:val="0"/>
      <w:divBdr>
        <w:top w:val="none" w:sz="0" w:space="0" w:color="auto"/>
        <w:left w:val="none" w:sz="0" w:space="0" w:color="auto"/>
        <w:bottom w:val="none" w:sz="0" w:space="0" w:color="auto"/>
        <w:right w:val="none" w:sz="0" w:space="0" w:color="auto"/>
      </w:divBdr>
    </w:div>
    <w:div w:id="1455368332">
      <w:bodyDiv w:val="1"/>
      <w:marLeft w:val="0"/>
      <w:marRight w:val="0"/>
      <w:marTop w:val="0"/>
      <w:marBottom w:val="0"/>
      <w:divBdr>
        <w:top w:val="none" w:sz="0" w:space="0" w:color="auto"/>
        <w:left w:val="none" w:sz="0" w:space="0" w:color="auto"/>
        <w:bottom w:val="none" w:sz="0" w:space="0" w:color="auto"/>
        <w:right w:val="none" w:sz="0" w:space="0" w:color="auto"/>
      </w:divBdr>
    </w:div>
    <w:div w:id="1455559500">
      <w:bodyDiv w:val="1"/>
      <w:marLeft w:val="0"/>
      <w:marRight w:val="0"/>
      <w:marTop w:val="0"/>
      <w:marBottom w:val="0"/>
      <w:divBdr>
        <w:top w:val="none" w:sz="0" w:space="0" w:color="auto"/>
        <w:left w:val="none" w:sz="0" w:space="0" w:color="auto"/>
        <w:bottom w:val="none" w:sz="0" w:space="0" w:color="auto"/>
        <w:right w:val="none" w:sz="0" w:space="0" w:color="auto"/>
      </w:divBdr>
    </w:div>
    <w:div w:id="1457721071">
      <w:bodyDiv w:val="1"/>
      <w:marLeft w:val="0"/>
      <w:marRight w:val="0"/>
      <w:marTop w:val="0"/>
      <w:marBottom w:val="0"/>
      <w:divBdr>
        <w:top w:val="none" w:sz="0" w:space="0" w:color="auto"/>
        <w:left w:val="none" w:sz="0" w:space="0" w:color="auto"/>
        <w:bottom w:val="none" w:sz="0" w:space="0" w:color="auto"/>
        <w:right w:val="none" w:sz="0" w:space="0" w:color="auto"/>
      </w:divBdr>
    </w:div>
    <w:div w:id="1457722839">
      <w:bodyDiv w:val="1"/>
      <w:marLeft w:val="0"/>
      <w:marRight w:val="0"/>
      <w:marTop w:val="0"/>
      <w:marBottom w:val="0"/>
      <w:divBdr>
        <w:top w:val="none" w:sz="0" w:space="0" w:color="auto"/>
        <w:left w:val="none" w:sz="0" w:space="0" w:color="auto"/>
        <w:bottom w:val="none" w:sz="0" w:space="0" w:color="auto"/>
        <w:right w:val="none" w:sz="0" w:space="0" w:color="auto"/>
      </w:divBdr>
    </w:div>
    <w:div w:id="1463503677">
      <w:bodyDiv w:val="1"/>
      <w:marLeft w:val="0"/>
      <w:marRight w:val="0"/>
      <w:marTop w:val="0"/>
      <w:marBottom w:val="0"/>
      <w:divBdr>
        <w:top w:val="none" w:sz="0" w:space="0" w:color="auto"/>
        <w:left w:val="none" w:sz="0" w:space="0" w:color="auto"/>
        <w:bottom w:val="none" w:sz="0" w:space="0" w:color="auto"/>
        <w:right w:val="none" w:sz="0" w:space="0" w:color="auto"/>
      </w:divBdr>
    </w:div>
    <w:div w:id="1464468871">
      <w:bodyDiv w:val="1"/>
      <w:marLeft w:val="0"/>
      <w:marRight w:val="0"/>
      <w:marTop w:val="0"/>
      <w:marBottom w:val="0"/>
      <w:divBdr>
        <w:top w:val="none" w:sz="0" w:space="0" w:color="auto"/>
        <w:left w:val="none" w:sz="0" w:space="0" w:color="auto"/>
        <w:bottom w:val="none" w:sz="0" w:space="0" w:color="auto"/>
        <w:right w:val="none" w:sz="0" w:space="0" w:color="auto"/>
      </w:divBdr>
    </w:div>
    <w:div w:id="1467549579">
      <w:bodyDiv w:val="1"/>
      <w:marLeft w:val="0"/>
      <w:marRight w:val="0"/>
      <w:marTop w:val="0"/>
      <w:marBottom w:val="0"/>
      <w:divBdr>
        <w:top w:val="none" w:sz="0" w:space="0" w:color="auto"/>
        <w:left w:val="none" w:sz="0" w:space="0" w:color="auto"/>
        <w:bottom w:val="none" w:sz="0" w:space="0" w:color="auto"/>
        <w:right w:val="none" w:sz="0" w:space="0" w:color="auto"/>
      </w:divBdr>
    </w:div>
    <w:div w:id="1483158815">
      <w:bodyDiv w:val="1"/>
      <w:marLeft w:val="0"/>
      <w:marRight w:val="0"/>
      <w:marTop w:val="0"/>
      <w:marBottom w:val="0"/>
      <w:divBdr>
        <w:top w:val="none" w:sz="0" w:space="0" w:color="auto"/>
        <w:left w:val="none" w:sz="0" w:space="0" w:color="auto"/>
        <w:bottom w:val="none" w:sz="0" w:space="0" w:color="auto"/>
        <w:right w:val="none" w:sz="0" w:space="0" w:color="auto"/>
      </w:divBdr>
    </w:div>
    <w:div w:id="1483348047">
      <w:bodyDiv w:val="1"/>
      <w:marLeft w:val="0"/>
      <w:marRight w:val="0"/>
      <w:marTop w:val="0"/>
      <w:marBottom w:val="0"/>
      <w:divBdr>
        <w:top w:val="none" w:sz="0" w:space="0" w:color="auto"/>
        <w:left w:val="none" w:sz="0" w:space="0" w:color="auto"/>
        <w:bottom w:val="none" w:sz="0" w:space="0" w:color="auto"/>
        <w:right w:val="none" w:sz="0" w:space="0" w:color="auto"/>
      </w:divBdr>
    </w:div>
    <w:div w:id="1492910766">
      <w:bodyDiv w:val="1"/>
      <w:marLeft w:val="0"/>
      <w:marRight w:val="0"/>
      <w:marTop w:val="0"/>
      <w:marBottom w:val="0"/>
      <w:divBdr>
        <w:top w:val="none" w:sz="0" w:space="0" w:color="auto"/>
        <w:left w:val="none" w:sz="0" w:space="0" w:color="auto"/>
        <w:bottom w:val="none" w:sz="0" w:space="0" w:color="auto"/>
        <w:right w:val="none" w:sz="0" w:space="0" w:color="auto"/>
      </w:divBdr>
    </w:div>
    <w:div w:id="1495757293">
      <w:bodyDiv w:val="1"/>
      <w:marLeft w:val="0"/>
      <w:marRight w:val="0"/>
      <w:marTop w:val="0"/>
      <w:marBottom w:val="0"/>
      <w:divBdr>
        <w:top w:val="none" w:sz="0" w:space="0" w:color="auto"/>
        <w:left w:val="none" w:sz="0" w:space="0" w:color="auto"/>
        <w:bottom w:val="none" w:sz="0" w:space="0" w:color="auto"/>
        <w:right w:val="none" w:sz="0" w:space="0" w:color="auto"/>
      </w:divBdr>
    </w:div>
    <w:div w:id="1506435418">
      <w:bodyDiv w:val="1"/>
      <w:marLeft w:val="0"/>
      <w:marRight w:val="0"/>
      <w:marTop w:val="0"/>
      <w:marBottom w:val="0"/>
      <w:divBdr>
        <w:top w:val="none" w:sz="0" w:space="0" w:color="auto"/>
        <w:left w:val="none" w:sz="0" w:space="0" w:color="auto"/>
        <w:bottom w:val="none" w:sz="0" w:space="0" w:color="auto"/>
        <w:right w:val="none" w:sz="0" w:space="0" w:color="auto"/>
      </w:divBdr>
    </w:div>
    <w:div w:id="1519660672">
      <w:bodyDiv w:val="1"/>
      <w:marLeft w:val="0"/>
      <w:marRight w:val="0"/>
      <w:marTop w:val="0"/>
      <w:marBottom w:val="0"/>
      <w:divBdr>
        <w:top w:val="none" w:sz="0" w:space="0" w:color="auto"/>
        <w:left w:val="none" w:sz="0" w:space="0" w:color="auto"/>
        <w:bottom w:val="none" w:sz="0" w:space="0" w:color="auto"/>
        <w:right w:val="none" w:sz="0" w:space="0" w:color="auto"/>
      </w:divBdr>
    </w:div>
    <w:div w:id="1521964407">
      <w:bodyDiv w:val="1"/>
      <w:marLeft w:val="0"/>
      <w:marRight w:val="0"/>
      <w:marTop w:val="0"/>
      <w:marBottom w:val="0"/>
      <w:divBdr>
        <w:top w:val="none" w:sz="0" w:space="0" w:color="auto"/>
        <w:left w:val="none" w:sz="0" w:space="0" w:color="auto"/>
        <w:bottom w:val="none" w:sz="0" w:space="0" w:color="auto"/>
        <w:right w:val="none" w:sz="0" w:space="0" w:color="auto"/>
      </w:divBdr>
    </w:div>
    <w:div w:id="1525366847">
      <w:bodyDiv w:val="1"/>
      <w:marLeft w:val="0"/>
      <w:marRight w:val="0"/>
      <w:marTop w:val="0"/>
      <w:marBottom w:val="0"/>
      <w:divBdr>
        <w:top w:val="none" w:sz="0" w:space="0" w:color="auto"/>
        <w:left w:val="none" w:sz="0" w:space="0" w:color="auto"/>
        <w:bottom w:val="none" w:sz="0" w:space="0" w:color="auto"/>
        <w:right w:val="none" w:sz="0" w:space="0" w:color="auto"/>
      </w:divBdr>
    </w:div>
    <w:div w:id="1527867701">
      <w:bodyDiv w:val="1"/>
      <w:marLeft w:val="0"/>
      <w:marRight w:val="0"/>
      <w:marTop w:val="0"/>
      <w:marBottom w:val="0"/>
      <w:divBdr>
        <w:top w:val="none" w:sz="0" w:space="0" w:color="auto"/>
        <w:left w:val="none" w:sz="0" w:space="0" w:color="auto"/>
        <w:bottom w:val="none" w:sz="0" w:space="0" w:color="auto"/>
        <w:right w:val="none" w:sz="0" w:space="0" w:color="auto"/>
      </w:divBdr>
    </w:div>
    <w:div w:id="1534419756">
      <w:bodyDiv w:val="1"/>
      <w:marLeft w:val="0"/>
      <w:marRight w:val="0"/>
      <w:marTop w:val="0"/>
      <w:marBottom w:val="0"/>
      <w:divBdr>
        <w:top w:val="none" w:sz="0" w:space="0" w:color="auto"/>
        <w:left w:val="none" w:sz="0" w:space="0" w:color="auto"/>
        <w:bottom w:val="none" w:sz="0" w:space="0" w:color="auto"/>
        <w:right w:val="none" w:sz="0" w:space="0" w:color="auto"/>
      </w:divBdr>
    </w:div>
    <w:div w:id="1535001819">
      <w:bodyDiv w:val="1"/>
      <w:marLeft w:val="0"/>
      <w:marRight w:val="0"/>
      <w:marTop w:val="0"/>
      <w:marBottom w:val="0"/>
      <w:divBdr>
        <w:top w:val="none" w:sz="0" w:space="0" w:color="auto"/>
        <w:left w:val="none" w:sz="0" w:space="0" w:color="auto"/>
        <w:bottom w:val="none" w:sz="0" w:space="0" w:color="auto"/>
        <w:right w:val="none" w:sz="0" w:space="0" w:color="auto"/>
      </w:divBdr>
    </w:div>
    <w:div w:id="1535531977">
      <w:bodyDiv w:val="1"/>
      <w:marLeft w:val="0"/>
      <w:marRight w:val="0"/>
      <w:marTop w:val="0"/>
      <w:marBottom w:val="0"/>
      <w:divBdr>
        <w:top w:val="none" w:sz="0" w:space="0" w:color="auto"/>
        <w:left w:val="none" w:sz="0" w:space="0" w:color="auto"/>
        <w:bottom w:val="none" w:sz="0" w:space="0" w:color="auto"/>
        <w:right w:val="none" w:sz="0" w:space="0" w:color="auto"/>
      </w:divBdr>
    </w:div>
    <w:div w:id="1537810702">
      <w:bodyDiv w:val="1"/>
      <w:marLeft w:val="0"/>
      <w:marRight w:val="0"/>
      <w:marTop w:val="0"/>
      <w:marBottom w:val="0"/>
      <w:divBdr>
        <w:top w:val="none" w:sz="0" w:space="0" w:color="auto"/>
        <w:left w:val="none" w:sz="0" w:space="0" w:color="auto"/>
        <w:bottom w:val="none" w:sz="0" w:space="0" w:color="auto"/>
        <w:right w:val="none" w:sz="0" w:space="0" w:color="auto"/>
      </w:divBdr>
    </w:div>
    <w:div w:id="1542592444">
      <w:bodyDiv w:val="1"/>
      <w:marLeft w:val="0"/>
      <w:marRight w:val="0"/>
      <w:marTop w:val="0"/>
      <w:marBottom w:val="0"/>
      <w:divBdr>
        <w:top w:val="none" w:sz="0" w:space="0" w:color="auto"/>
        <w:left w:val="none" w:sz="0" w:space="0" w:color="auto"/>
        <w:bottom w:val="none" w:sz="0" w:space="0" w:color="auto"/>
        <w:right w:val="none" w:sz="0" w:space="0" w:color="auto"/>
      </w:divBdr>
    </w:div>
    <w:div w:id="1546210268">
      <w:bodyDiv w:val="1"/>
      <w:marLeft w:val="0"/>
      <w:marRight w:val="0"/>
      <w:marTop w:val="0"/>
      <w:marBottom w:val="0"/>
      <w:divBdr>
        <w:top w:val="none" w:sz="0" w:space="0" w:color="auto"/>
        <w:left w:val="none" w:sz="0" w:space="0" w:color="auto"/>
        <w:bottom w:val="none" w:sz="0" w:space="0" w:color="auto"/>
        <w:right w:val="none" w:sz="0" w:space="0" w:color="auto"/>
      </w:divBdr>
    </w:div>
    <w:div w:id="1547450123">
      <w:bodyDiv w:val="1"/>
      <w:marLeft w:val="0"/>
      <w:marRight w:val="0"/>
      <w:marTop w:val="0"/>
      <w:marBottom w:val="0"/>
      <w:divBdr>
        <w:top w:val="none" w:sz="0" w:space="0" w:color="auto"/>
        <w:left w:val="none" w:sz="0" w:space="0" w:color="auto"/>
        <w:bottom w:val="none" w:sz="0" w:space="0" w:color="auto"/>
        <w:right w:val="none" w:sz="0" w:space="0" w:color="auto"/>
      </w:divBdr>
    </w:div>
    <w:div w:id="1547721018">
      <w:bodyDiv w:val="1"/>
      <w:marLeft w:val="0"/>
      <w:marRight w:val="0"/>
      <w:marTop w:val="0"/>
      <w:marBottom w:val="0"/>
      <w:divBdr>
        <w:top w:val="none" w:sz="0" w:space="0" w:color="auto"/>
        <w:left w:val="none" w:sz="0" w:space="0" w:color="auto"/>
        <w:bottom w:val="none" w:sz="0" w:space="0" w:color="auto"/>
        <w:right w:val="none" w:sz="0" w:space="0" w:color="auto"/>
      </w:divBdr>
    </w:div>
    <w:div w:id="1550264797">
      <w:bodyDiv w:val="1"/>
      <w:marLeft w:val="0"/>
      <w:marRight w:val="0"/>
      <w:marTop w:val="0"/>
      <w:marBottom w:val="0"/>
      <w:divBdr>
        <w:top w:val="none" w:sz="0" w:space="0" w:color="auto"/>
        <w:left w:val="none" w:sz="0" w:space="0" w:color="auto"/>
        <w:bottom w:val="none" w:sz="0" w:space="0" w:color="auto"/>
        <w:right w:val="none" w:sz="0" w:space="0" w:color="auto"/>
      </w:divBdr>
    </w:div>
    <w:div w:id="1554657661">
      <w:bodyDiv w:val="1"/>
      <w:marLeft w:val="0"/>
      <w:marRight w:val="0"/>
      <w:marTop w:val="0"/>
      <w:marBottom w:val="0"/>
      <w:divBdr>
        <w:top w:val="none" w:sz="0" w:space="0" w:color="auto"/>
        <w:left w:val="none" w:sz="0" w:space="0" w:color="auto"/>
        <w:bottom w:val="none" w:sz="0" w:space="0" w:color="auto"/>
        <w:right w:val="none" w:sz="0" w:space="0" w:color="auto"/>
      </w:divBdr>
    </w:div>
    <w:div w:id="1555698488">
      <w:bodyDiv w:val="1"/>
      <w:marLeft w:val="0"/>
      <w:marRight w:val="0"/>
      <w:marTop w:val="0"/>
      <w:marBottom w:val="0"/>
      <w:divBdr>
        <w:top w:val="none" w:sz="0" w:space="0" w:color="auto"/>
        <w:left w:val="none" w:sz="0" w:space="0" w:color="auto"/>
        <w:bottom w:val="none" w:sz="0" w:space="0" w:color="auto"/>
        <w:right w:val="none" w:sz="0" w:space="0" w:color="auto"/>
      </w:divBdr>
    </w:div>
    <w:div w:id="1566142527">
      <w:bodyDiv w:val="1"/>
      <w:marLeft w:val="0"/>
      <w:marRight w:val="0"/>
      <w:marTop w:val="0"/>
      <w:marBottom w:val="0"/>
      <w:divBdr>
        <w:top w:val="none" w:sz="0" w:space="0" w:color="auto"/>
        <w:left w:val="none" w:sz="0" w:space="0" w:color="auto"/>
        <w:bottom w:val="none" w:sz="0" w:space="0" w:color="auto"/>
        <w:right w:val="none" w:sz="0" w:space="0" w:color="auto"/>
      </w:divBdr>
    </w:div>
    <w:div w:id="1567951525">
      <w:bodyDiv w:val="1"/>
      <w:marLeft w:val="0"/>
      <w:marRight w:val="0"/>
      <w:marTop w:val="0"/>
      <w:marBottom w:val="0"/>
      <w:divBdr>
        <w:top w:val="none" w:sz="0" w:space="0" w:color="auto"/>
        <w:left w:val="none" w:sz="0" w:space="0" w:color="auto"/>
        <w:bottom w:val="none" w:sz="0" w:space="0" w:color="auto"/>
        <w:right w:val="none" w:sz="0" w:space="0" w:color="auto"/>
      </w:divBdr>
    </w:div>
    <w:div w:id="1573737341">
      <w:bodyDiv w:val="1"/>
      <w:marLeft w:val="0"/>
      <w:marRight w:val="0"/>
      <w:marTop w:val="0"/>
      <w:marBottom w:val="0"/>
      <w:divBdr>
        <w:top w:val="none" w:sz="0" w:space="0" w:color="auto"/>
        <w:left w:val="none" w:sz="0" w:space="0" w:color="auto"/>
        <w:bottom w:val="none" w:sz="0" w:space="0" w:color="auto"/>
        <w:right w:val="none" w:sz="0" w:space="0" w:color="auto"/>
      </w:divBdr>
    </w:div>
    <w:div w:id="1575505310">
      <w:bodyDiv w:val="1"/>
      <w:marLeft w:val="0"/>
      <w:marRight w:val="0"/>
      <w:marTop w:val="0"/>
      <w:marBottom w:val="0"/>
      <w:divBdr>
        <w:top w:val="none" w:sz="0" w:space="0" w:color="auto"/>
        <w:left w:val="none" w:sz="0" w:space="0" w:color="auto"/>
        <w:bottom w:val="none" w:sz="0" w:space="0" w:color="auto"/>
        <w:right w:val="none" w:sz="0" w:space="0" w:color="auto"/>
      </w:divBdr>
    </w:div>
    <w:div w:id="1582833595">
      <w:bodyDiv w:val="1"/>
      <w:marLeft w:val="0"/>
      <w:marRight w:val="0"/>
      <w:marTop w:val="0"/>
      <w:marBottom w:val="0"/>
      <w:divBdr>
        <w:top w:val="none" w:sz="0" w:space="0" w:color="auto"/>
        <w:left w:val="none" w:sz="0" w:space="0" w:color="auto"/>
        <w:bottom w:val="none" w:sz="0" w:space="0" w:color="auto"/>
        <w:right w:val="none" w:sz="0" w:space="0" w:color="auto"/>
      </w:divBdr>
    </w:div>
    <w:div w:id="1589344568">
      <w:bodyDiv w:val="1"/>
      <w:marLeft w:val="0"/>
      <w:marRight w:val="0"/>
      <w:marTop w:val="0"/>
      <w:marBottom w:val="0"/>
      <w:divBdr>
        <w:top w:val="none" w:sz="0" w:space="0" w:color="auto"/>
        <w:left w:val="none" w:sz="0" w:space="0" w:color="auto"/>
        <w:bottom w:val="none" w:sz="0" w:space="0" w:color="auto"/>
        <w:right w:val="none" w:sz="0" w:space="0" w:color="auto"/>
      </w:divBdr>
    </w:div>
    <w:div w:id="1604610104">
      <w:bodyDiv w:val="1"/>
      <w:marLeft w:val="0"/>
      <w:marRight w:val="0"/>
      <w:marTop w:val="0"/>
      <w:marBottom w:val="0"/>
      <w:divBdr>
        <w:top w:val="none" w:sz="0" w:space="0" w:color="auto"/>
        <w:left w:val="none" w:sz="0" w:space="0" w:color="auto"/>
        <w:bottom w:val="none" w:sz="0" w:space="0" w:color="auto"/>
        <w:right w:val="none" w:sz="0" w:space="0" w:color="auto"/>
      </w:divBdr>
    </w:div>
    <w:div w:id="1613048142">
      <w:bodyDiv w:val="1"/>
      <w:marLeft w:val="0"/>
      <w:marRight w:val="0"/>
      <w:marTop w:val="0"/>
      <w:marBottom w:val="0"/>
      <w:divBdr>
        <w:top w:val="none" w:sz="0" w:space="0" w:color="auto"/>
        <w:left w:val="none" w:sz="0" w:space="0" w:color="auto"/>
        <w:bottom w:val="none" w:sz="0" w:space="0" w:color="auto"/>
        <w:right w:val="none" w:sz="0" w:space="0" w:color="auto"/>
      </w:divBdr>
    </w:div>
    <w:div w:id="1615403073">
      <w:bodyDiv w:val="1"/>
      <w:marLeft w:val="0"/>
      <w:marRight w:val="0"/>
      <w:marTop w:val="0"/>
      <w:marBottom w:val="0"/>
      <w:divBdr>
        <w:top w:val="none" w:sz="0" w:space="0" w:color="auto"/>
        <w:left w:val="none" w:sz="0" w:space="0" w:color="auto"/>
        <w:bottom w:val="none" w:sz="0" w:space="0" w:color="auto"/>
        <w:right w:val="none" w:sz="0" w:space="0" w:color="auto"/>
      </w:divBdr>
    </w:div>
    <w:div w:id="1623342590">
      <w:bodyDiv w:val="1"/>
      <w:marLeft w:val="0"/>
      <w:marRight w:val="0"/>
      <w:marTop w:val="0"/>
      <w:marBottom w:val="0"/>
      <w:divBdr>
        <w:top w:val="none" w:sz="0" w:space="0" w:color="auto"/>
        <w:left w:val="none" w:sz="0" w:space="0" w:color="auto"/>
        <w:bottom w:val="none" w:sz="0" w:space="0" w:color="auto"/>
        <w:right w:val="none" w:sz="0" w:space="0" w:color="auto"/>
      </w:divBdr>
    </w:div>
    <w:div w:id="1629773672">
      <w:bodyDiv w:val="1"/>
      <w:marLeft w:val="0"/>
      <w:marRight w:val="0"/>
      <w:marTop w:val="0"/>
      <w:marBottom w:val="0"/>
      <w:divBdr>
        <w:top w:val="none" w:sz="0" w:space="0" w:color="auto"/>
        <w:left w:val="none" w:sz="0" w:space="0" w:color="auto"/>
        <w:bottom w:val="none" w:sz="0" w:space="0" w:color="auto"/>
        <w:right w:val="none" w:sz="0" w:space="0" w:color="auto"/>
      </w:divBdr>
    </w:div>
    <w:div w:id="1635479974">
      <w:bodyDiv w:val="1"/>
      <w:marLeft w:val="0"/>
      <w:marRight w:val="0"/>
      <w:marTop w:val="0"/>
      <w:marBottom w:val="0"/>
      <w:divBdr>
        <w:top w:val="none" w:sz="0" w:space="0" w:color="auto"/>
        <w:left w:val="none" w:sz="0" w:space="0" w:color="auto"/>
        <w:bottom w:val="none" w:sz="0" w:space="0" w:color="auto"/>
        <w:right w:val="none" w:sz="0" w:space="0" w:color="auto"/>
      </w:divBdr>
    </w:div>
    <w:div w:id="1642347160">
      <w:bodyDiv w:val="1"/>
      <w:marLeft w:val="0"/>
      <w:marRight w:val="0"/>
      <w:marTop w:val="0"/>
      <w:marBottom w:val="0"/>
      <w:divBdr>
        <w:top w:val="none" w:sz="0" w:space="0" w:color="auto"/>
        <w:left w:val="none" w:sz="0" w:space="0" w:color="auto"/>
        <w:bottom w:val="none" w:sz="0" w:space="0" w:color="auto"/>
        <w:right w:val="none" w:sz="0" w:space="0" w:color="auto"/>
      </w:divBdr>
    </w:div>
    <w:div w:id="1650328278">
      <w:bodyDiv w:val="1"/>
      <w:marLeft w:val="0"/>
      <w:marRight w:val="0"/>
      <w:marTop w:val="0"/>
      <w:marBottom w:val="0"/>
      <w:divBdr>
        <w:top w:val="none" w:sz="0" w:space="0" w:color="auto"/>
        <w:left w:val="none" w:sz="0" w:space="0" w:color="auto"/>
        <w:bottom w:val="none" w:sz="0" w:space="0" w:color="auto"/>
        <w:right w:val="none" w:sz="0" w:space="0" w:color="auto"/>
      </w:divBdr>
    </w:div>
    <w:div w:id="1657301796">
      <w:bodyDiv w:val="1"/>
      <w:marLeft w:val="0"/>
      <w:marRight w:val="0"/>
      <w:marTop w:val="0"/>
      <w:marBottom w:val="0"/>
      <w:divBdr>
        <w:top w:val="none" w:sz="0" w:space="0" w:color="auto"/>
        <w:left w:val="none" w:sz="0" w:space="0" w:color="auto"/>
        <w:bottom w:val="none" w:sz="0" w:space="0" w:color="auto"/>
        <w:right w:val="none" w:sz="0" w:space="0" w:color="auto"/>
      </w:divBdr>
    </w:div>
    <w:div w:id="1657805367">
      <w:bodyDiv w:val="1"/>
      <w:marLeft w:val="0"/>
      <w:marRight w:val="0"/>
      <w:marTop w:val="0"/>
      <w:marBottom w:val="0"/>
      <w:divBdr>
        <w:top w:val="none" w:sz="0" w:space="0" w:color="auto"/>
        <w:left w:val="none" w:sz="0" w:space="0" w:color="auto"/>
        <w:bottom w:val="none" w:sz="0" w:space="0" w:color="auto"/>
        <w:right w:val="none" w:sz="0" w:space="0" w:color="auto"/>
      </w:divBdr>
    </w:div>
    <w:div w:id="1659070422">
      <w:bodyDiv w:val="1"/>
      <w:marLeft w:val="0"/>
      <w:marRight w:val="0"/>
      <w:marTop w:val="0"/>
      <w:marBottom w:val="0"/>
      <w:divBdr>
        <w:top w:val="none" w:sz="0" w:space="0" w:color="auto"/>
        <w:left w:val="none" w:sz="0" w:space="0" w:color="auto"/>
        <w:bottom w:val="none" w:sz="0" w:space="0" w:color="auto"/>
        <w:right w:val="none" w:sz="0" w:space="0" w:color="auto"/>
      </w:divBdr>
    </w:div>
    <w:div w:id="1674183088">
      <w:bodyDiv w:val="1"/>
      <w:marLeft w:val="0"/>
      <w:marRight w:val="0"/>
      <w:marTop w:val="0"/>
      <w:marBottom w:val="0"/>
      <w:divBdr>
        <w:top w:val="none" w:sz="0" w:space="0" w:color="auto"/>
        <w:left w:val="none" w:sz="0" w:space="0" w:color="auto"/>
        <w:bottom w:val="none" w:sz="0" w:space="0" w:color="auto"/>
        <w:right w:val="none" w:sz="0" w:space="0" w:color="auto"/>
      </w:divBdr>
    </w:div>
    <w:div w:id="1676304868">
      <w:bodyDiv w:val="1"/>
      <w:marLeft w:val="0"/>
      <w:marRight w:val="0"/>
      <w:marTop w:val="0"/>
      <w:marBottom w:val="0"/>
      <w:divBdr>
        <w:top w:val="none" w:sz="0" w:space="0" w:color="auto"/>
        <w:left w:val="none" w:sz="0" w:space="0" w:color="auto"/>
        <w:bottom w:val="none" w:sz="0" w:space="0" w:color="auto"/>
        <w:right w:val="none" w:sz="0" w:space="0" w:color="auto"/>
      </w:divBdr>
    </w:div>
    <w:div w:id="1695500904">
      <w:bodyDiv w:val="1"/>
      <w:marLeft w:val="0"/>
      <w:marRight w:val="0"/>
      <w:marTop w:val="0"/>
      <w:marBottom w:val="0"/>
      <w:divBdr>
        <w:top w:val="none" w:sz="0" w:space="0" w:color="auto"/>
        <w:left w:val="none" w:sz="0" w:space="0" w:color="auto"/>
        <w:bottom w:val="none" w:sz="0" w:space="0" w:color="auto"/>
        <w:right w:val="none" w:sz="0" w:space="0" w:color="auto"/>
      </w:divBdr>
      <w:divsChild>
        <w:div w:id="826557282">
          <w:marLeft w:val="0"/>
          <w:marRight w:val="0"/>
          <w:marTop w:val="0"/>
          <w:marBottom w:val="0"/>
          <w:divBdr>
            <w:top w:val="none" w:sz="0" w:space="0" w:color="auto"/>
            <w:left w:val="none" w:sz="0" w:space="0" w:color="auto"/>
            <w:bottom w:val="none" w:sz="0" w:space="0" w:color="auto"/>
            <w:right w:val="none" w:sz="0" w:space="0" w:color="auto"/>
          </w:divBdr>
        </w:div>
        <w:div w:id="323822313">
          <w:marLeft w:val="0"/>
          <w:marRight w:val="0"/>
          <w:marTop w:val="0"/>
          <w:marBottom w:val="0"/>
          <w:divBdr>
            <w:top w:val="none" w:sz="0" w:space="0" w:color="auto"/>
            <w:left w:val="none" w:sz="0" w:space="0" w:color="auto"/>
            <w:bottom w:val="none" w:sz="0" w:space="0" w:color="auto"/>
            <w:right w:val="none" w:sz="0" w:space="0" w:color="auto"/>
          </w:divBdr>
        </w:div>
      </w:divsChild>
    </w:div>
    <w:div w:id="1698458228">
      <w:bodyDiv w:val="1"/>
      <w:marLeft w:val="0"/>
      <w:marRight w:val="0"/>
      <w:marTop w:val="0"/>
      <w:marBottom w:val="0"/>
      <w:divBdr>
        <w:top w:val="none" w:sz="0" w:space="0" w:color="auto"/>
        <w:left w:val="none" w:sz="0" w:space="0" w:color="auto"/>
        <w:bottom w:val="none" w:sz="0" w:space="0" w:color="auto"/>
        <w:right w:val="none" w:sz="0" w:space="0" w:color="auto"/>
      </w:divBdr>
    </w:div>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 w:id="1704789442">
      <w:bodyDiv w:val="1"/>
      <w:marLeft w:val="0"/>
      <w:marRight w:val="0"/>
      <w:marTop w:val="0"/>
      <w:marBottom w:val="0"/>
      <w:divBdr>
        <w:top w:val="none" w:sz="0" w:space="0" w:color="auto"/>
        <w:left w:val="none" w:sz="0" w:space="0" w:color="auto"/>
        <w:bottom w:val="none" w:sz="0" w:space="0" w:color="auto"/>
        <w:right w:val="none" w:sz="0" w:space="0" w:color="auto"/>
      </w:divBdr>
    </w:div>
    <w:div w:id="1705713998">
      <w:bodyDiv w:val="1"/>
      <w:marLeft w:val="0"/>
      <w:marRight w:val="0"/>
      <w:marTop w:val="0"/>
      <w:marBottom w:val="0"/>
      <w:divBdr>
        <w:top w:val="none" w:sz="0" w:space="0" w:color="auto"/>
        <w:left w:val="none" w:sz="0" w:space="0" w:color="auto"/>
        <w:bottom w:val="none" w:sz="0" w:space="0" w:color="auto"/>
        <w:right w:val="none" w:sz="0" w:space="0" w:color="auto"/>
      </w:divBdr>
    </w:div>
    <w:div w:id="1710565253">
      <w:bodyDiv w:val="1"/>
      <w:marLeft w:val="0"/>
      <w:marRight w:val="0"/>
      <w:marTop w:val="0"/>
      <w:marBottom w:val="0"/>
      <w:divBdr>
        <w:top w:val="none" w:sz="0" w:space="0" w:color="auto"/>
        <w:left w:val="none" w:sz="0" w:space="0" w:color="auto"/>
        <w:bottom w:val="none" w:sz="0" w:space="0" w:color="auto"/>
        <w:right w:val="none" w:sz="0" w:space="0" w:color="auto"/>
      </w:divBdr>
    </w:div>
    <w:div w:id="1713116849">
      <w:bodyDiv w:val="1"/>
      <w:marLeft w:val="0"/>
      <w:marRight w:val="0"/>
      <w:marTop w:val="0"/>
      <w:marBottom w:val="0"/>
      <w:divBdr>
        <w:top w:val="none" w:sz="0" w:space="0" w:color="auto"/>
        <w:left w:val="none" w:sz="0" w:space="0" w:color="auto"/>
        <w:bottom w:val="none" w:sz="0" w:space="0" w:color="auto"/>
        <w:right w:val="none" w:sz="0" w:space="0" w:color="auto"/>
      </w:divBdr>
    </w:div>
    <w:div w:id="1719166130">
      <w:bodyDiv w:val="1"/>
      <w:marLeft w:val="0"/>
      <w:marRight w:val="0"/>
      <w:marTop w:val="0"/>
      <w:marBottom w:val="0"/>
      <w:divBdr>
        <w:top w:val="none" w:sz="0" w:space="0" w:color="auto"/>
        <w:left w:val="none" w:sz="0" w:space="0" w:color="auto"/>
        <w:bottom w:val="none" w:sz="0" w:space="0" w:color="auto"/>
        <w:right w:val="none" w:sz="0" w:space="0" w:color="auto"/>
      </w:divBdr>
    </w:div>
    <w:div w:id="1727146984">
      <w:bodyDiv w:val="1"/>
      <w:marLeft w:val="0"/>
      <w:marRight w:val="0"/>
      <w:marTop w:val="0"/>
      <w:marBottom w:val="0"/>
      <w:divBdr>
        <w:top w:val="none" w:sz="0" w:space="0" w:color="auto"/>
        <w:left w:val="none" w:sz="0" w:space="0" w:color="auto"/>
        <w:bottom w:val="none" w:sz="0" w:space="0" w:color="auto"/>
        <w:right w:val="none" w:sz="0" w:space="0" w:color="auto"/>
      </w:divBdr>
    </w:div>
    <w:div w:id="1730613816">
      <w:bodyDiv w:val="1"/>
      <w:marLeft w:val="0"/>
      <w:marRight w:val="0"/>
      <w:marTop w:val="0"/>
      <w:marBottom w:val="0"/>
      <w:divBdr>
        <w:top w:val="none" w:sz="0" w:space="0" w:color="auto"/>
        <w:left w:val="none" w:sz="0" w:space="0" w:color="auto"/>
        <w:bottom w:val="none" w:sz="0" w:space="0" w:color="auto"/>
        <w:right w:val="none" w:sz="0" w:space="0" w:color="auto"/>
      </w:divBdr>
    </w:div>
    <w:div w:id="1733459908">
      <w:bodyDiv w:val="1"/>
      <w:marLeft w:val="0"/>
      <w:marRight w:val="0"/>
      <w:marTop w:val="0"/>
      <w:marBottom w:val="0"/>
      <w:divBdr>
        <w:top w:val="none" w:sz="0" w:space="0" w:color="auto"/>
        <w:left w:val="none" w:sz="0" w:space="0" w:color="auto"/>
        <w:bottom w:val="none" w:sz="0" w:space="0" w:color="auto"/>
        <w:right w:val="none" w:sz="0" w:space="0" w:color="auto"/>
      </w:divBdr>
    </w:div>
    <w:div w:id="1735424202">
      <w:bodyDiv w:val="1"/>
      <w:marLeft w:val="0"/>
      <w:marRight w:val="0"/>
      <w:marTop w:val="0"/>
      <w:marBottom w:val="0"/>
      <w:divBdr>
        <w:top w:val="none" w:sz="0" w:space="0" w:color="auto"/>
        <w:left w:val="none" w:sz="0" w:space="0" w:color="auto"/>
        <w:bottom w:val="none" w:sz="0" w:space="0" w:color="auto"/>
        <w:right w:val="none" w:sz="0" w:space="0" w:color="auto"/>
      </w:divBdr>
    </w:div>
    <w:div w:id="1741562887">
      <w:bodyDiv w:val="1"/>
      <w:marLeft w:val="0"/>
      <w:marRight w:val="0"/>
      <w:marTop w:val="0"/>
      <w:marBottom w:val="0"/>
      <w:divBdr>
        <w:top w:val="none" w:sz="0" w:space="0" w:color="auto"/>
        <w:left w:val="none" w:sz="0" w:space="0" w:color="auto"/>
        <w:bottom w:val="none" w:sz="0" w:space="0" w:color="auto"/>
        <w:right w:val="none" w:sz="0" w:space="0" w:color="auto"/>
      </w:divBdr>
    </w:div>
    <w:div w:id="1742754238">
      <w:bodyDiv w:val="1"/>
      <w:marLeft w:val="0"/>
      <w:marRight w:val="0"/>
      <w:marTop w:val="0"/>
      <w:marBottom w:val="0"/>
      <w:divBdr>
        <w:top w:val="none" w:sz="0" w:space="0" w:color="auto"/>
        <w:left w:val="none" w:sz="0" w:space="0" w:color="auto"/>
        <w:bottom w:val="none" w:sz="0" w:space="0" w:color="auto"/>
        <w:right w:val="none" w:sz="0" w:space="0" w:color="auto"/>
      </w:divBdr>
    </w:div>
    <w:div w:id="1743985211">
      <w:bodyDiv w:val="1"/>
      <w:marLeft w:val="0"/>
      <w:marRight w:val="0"/>
      <w:marTop w:val="0"/>
      <w:marBottom w:val="0"/>
      <w:divBdr>
        <w:top w:val="none" w:sz="0" w:space="0" w:color="auto"/>
        <w:left w:val="none" w:sz="0" w:space="0" w:color="auto"/>
        <w:bottom w:val="none" w:sz="0" w:space="0" w:color="auto"/>
        <w:right w:val="none" w:sz="0" w:space="0" w:color="auto"/>
      </w:divBdr>
    </w:div>
    <w:div w:id="1752698090">
      <w:bodyDiv w:val="1"/>
      <w:marLeft w:val="0"/>
      <w:marRight w:val="0"/>
      <w:marTop w:val="0"/>
      <w:marBottom w:val="0"/>
      <w:divBdr>
        <w:top w:val="none" w:sz="0" w:space="0" w:color="auto"/>
        <w:left w:val="none" w:sz="0" w:space="0" w:color="auto"/>
        <w:bottom w:val="none" w:sz="0" w:space="0" w:color="auto"/>
        <w:right w:val="none" w:sz="0" w:space="0" w:color="auto"/>
      </w:divBdr>
    </w:div>
    <w:div w:id="1760521084">
      <w:bodyDiv w:val="1"/>
      <w:marLeft w:val="0"/>
      <w:marRight w:val="0"/>
      <w:marTop w:val="0"/>
      <w:marBottom w:val="0"/>
      <w:divBdr>
        <w:top w:val="none" w:sz="0" w:space="0" w:color="auto"/>
        <w:left w:val="none" w:sz="0" w:space="0" w:color="auto"/>
        <w:bottom w:val="none" w:sz="0" w:space="0" w:color="auto"/>
        <w:right w:val="none" w:sz="0" w:space="0" w:color="auto"/>
      </w:divBdr>
    </w:div>
    <w:div w:id="1762021282">
      <w:bodyDiv w:val="1"/>
      <w:marLeft w:val="0"/>
      <w:marRight w:val="0"/>
      <w:marTop w:val="0"/>
      <w:marBottom w:val="0"/>
      <w:divBdr>
        <w:top w:val="none" w:sz="0" w:space="0" w:color="auto"/>
        <w:left w:val="none" w:sz="0" w:space="0" w:color="auto"/>
        <w:bottom w:val="none" w:sz="0" w:space="0" w:color="auto"/>
        <w:right w:val="none" w:sz="0" w:space="0" w:color="auto"/>
      </w:divBdr>
    </w:div>
    <w:div w:id="1771050336">
      <w:bodyDiv w:val="1"/>
      <w:marLeft w:val="0"/>
      <w:marRight w:val="0"/>
      <w:marTop w:val="0"/>
      <w:marBottom w:val="0"/>
      <w:divBdr>
        <w:top w:val="none" w:sz="0" w:space="0" w:color="auto"/>
        <w:left w:val="none" w:sz="0" w:space="0" w:color="auto"/>
        <w:bottom w:val="none" w:sz="0" w:space="0" w:color="auto"/>
        <w:right w:val="none" w:sz="0" w:space="0" w:color="auto"/>
      </w:divBdr>
    </w:div>
    <w:div w:id="1774789446">
      <w:bodyDiv w:val="1"/>
      <w:marLeft w:val="0"/>
      <w:marRight w:val="0"/>
      <w:marTop w:val="0"/>
      <w:marBottom w:val="0"/>
      <w:divBdr>
        <w:top w:val="none" w:sz="0" w:space="0" w:color="auto"/>
        <w:left w:val="none" w:sz="0" w:space="0" w:color="auto"/>
        <w:bottom w:val="none" w:sz="0" w:space="0" w:color="auto"/>
        <w:right w:val="none" w:sz="0" w:space="0" w:color="auto"/>
      </w:divBdr>
    </w:div>
    <w:div w:id="1795296364">
      <w:bodyDiv w:val="1"/>
      <w:marLeft w:val="0"/>
      <w:marRight w:val="0"/>
      <w:marTop w:val="0"/>
      <w:marBottom w:val="0"/>
      <w:divBdr>
        <w:top w:val="none" w:sz="0" w:space="0" w:color="auto"/>
        <w:left w:val="none" w:sz="0" w:space="0" w:color="auto"/>
        <w:bottom w:val="none" w:sz="0" w:space="0" w:color="auto"/>
        <w:right w:val="none" w:sz="0" w:space="0" w:color="auto"/>
      </w:divBdr>
    </w:div>
    <w:div w:id="1802267349">
      <w:bodyDiv w:val="1"/>
      <w:marLeft w:val="0"/>
      <w:marRight w:val="0"/>
      <w:marTop w:val="0"/>
      <w:marBottom w:val="0"/>
      <w:divBdr>
        <w:top w:val="none" w:sz="0" w:space="0" w:color="auto"/>
        <w:left w:val="none" w:sz="0" w:space="0" w:color="auto"/>
        <w:bottom w:val="none" w:sz="0" w:space="0" w:color="auto"/>
        <w:right w:val="none" w:sz="0" w:space="0" w:color="auto"/>
      </w:divBdr>
    </w:div>
    <w:div w:id="1815872945">
      <w:bodyDiv w:val="1"/>
      <w:marLeft w:val="0"/>
      <w:marRight w:val="0"/>
      <w:marTop w:val="0"/>
      <w:marBottom w:val="0"/>
      <w:divBdr>
        <w:top w:val="none" w:sz="0" w:space="0" w:color="auto"/>
        <w:left w:val="none" w:sz="0" w:space="0" w:color="auto"/>
        <w:bottom w:val="none" w:sz="0" w:space="0" w:color="auto"/>
        <w:right w:val="none" w:sz="0" w:space="0" w:color="auto"/>
      </w:divBdr>
    </w:div>
    <w:div w:id="1827820757">
      <w:bodyDiv w:val="1"/>
      <w:marLeft w:val="0"/>
      <w:marRight w:val="0"/>
      <w:marTop w:val="0"/>
      <w:marBottom w:val="0"/>
      <w:divBdr>
        <w:top w:val="none" w:sz="0" w:space="0" w:color="auto"/>
        <w:left w:val="none" w:sz="0" w:space="0" w:color="auto"/>
        <w:bottom w:val="none" w:sz="0" w:space="0" w:color="auto"/>
        <w:right w:val="none" w:sz="0" w:space="0" w:color="auto"/>
      </w:divBdr>
    </w:div>
    <w:div w:id="1848983139">
      <w:bodyDiv w:val="1"/>
      <w:marLeft w:val="0"/>
      <w:marRight w:val="0"/>
      <w:marTop w:val="0"/>
      <w:marBottom w:val="0"/>
      <w:divBdr>
        <w:top w:val="none" w:sz="0" w:space="0" w:color="auto"/>
        <w:left w:val="none" w:sz="0" w:space="0" w:color="auto"/>
        <w:bottom w:val="none" w:sz="0" w:space="0" w:color="auto"/>
        <w:right w:val="none" w:sz="0" w:space="0" w:color="auto"/>
      </w:divBdr>
    </w:div>
    <w:div w:id="1853295972">
      <w:bodyDiv w:val="1"/>
      <w:marLeft w:val="0"/>
      <w:marRight w:val="0"/>
      <w:marTop w:val="0"/>
      <w:marBottom w:val="0"/>
      <w:divBdr>
        <w:top w:val="none" w:sz="0" w:space="0" w:color="auto"/>
        <w:left w:val="none" w:sz="0" w:space="0" w:color="auto"/>
        <w:bottom w:val="none" w:sz="0" w:space="0" w:color="auto"/>
        <w:right w:val="none" w:sz="0" w:space="0" w:color="auto"/>
      </w:divBdr>
    </w:div>
    <w:div w:id="1878085744">
      <w:bodyDiv w:val="1"/>
      <w:marLeft w:val="0"/>
      <w:marRight w:val="0"/>
      <w:marTop w:val="0"/>
      <w:marBottom w:val="0"/>
      <w:divBdr>
        <w:top w:val="none" w:sz="0" w:space="0" w:color="auto"/>
        <w:left w:val="none" w:sz="0" w:space="0" w:color="auto"/>
        <w:bottom w:val="none" w:sz="0" w:space="0" w:color="auto"/>
        <w:right w:val="none" w:sz="0" w:space="0" w:color="auto"/>
      </w:divBdr>
    </w:div>
    <w:div w:id="1885675878">
      <w:bodyDiv w:val="1"/>
      <w:marLeft w:val="0"/>
      <w:marRight w:val="0"/>
      <w:marTop w:val="0"/>
      <w:marBottom w:val="0"/>
      <w:divBdr>
        <w:top w:val="none" w:sz="0" w:space="0" w:color="auto"/>
        <w:left w:val="none" w:sz="0" w:space="0" w:color="auto"/>
        <w:bottom w:val="none" w:sz="0" w:space="0" w:color="auto"/>
        <w:right w:val="none" w:sz="0" w:space="0" w:color="auto"/>
      </w:divBdr>
    </w:div>
    <w:div w:id="1898006987">
      <w:bodyDiv w:val="1"/>
      <w:marLeft w:val="0"/>
      <w:marRight w:val="0"/>
      <w:marTop w:val="0"/>
      <w:marBottom w:val="0"/>
      <w:divBdr>
        <w:top w:val="none" w:sz="0" w:space="0" w:color="auto"/>
        <w:left w:val="none" w:sz="0" w:space="0" w:color="auto"/>
        <w:bottom w:val="none" w:sz="0" w:space="0" w:color="auto"/>
        <w:right w:val="none" w:sz="0" w:space="0" w:color="auto"/>
      </w:divBdr>
    </w:div>
    <w:div w:id="1907718306">
      <w:bodyDiv w:val="1"/>
      <w:marLeft w:val="0"/>
      <w:marRight w:val="0"/>
      <w:marTop w:val="0"/>
      <w:marBottom w:val="0"/>
      <w:divBdr>
        <w:top w:val="none" w:sz="0" w:space="0" w:color="auto"/>
        <w:left w:val="none" w:sz="0" w:space="0" w:color="auto"/>
        <w:bottom w:val="none" w:sz="0" w:space="0" w:color="auto"/>
        <w:right w:val="none" w:sz="0" w:space="0" w:color="auto"/>
      </w:divBdr>
    </w:div>
    <w:div w:id="1918316830">
      <w:bodyDiv w:val="1"/>
      <w:marLeft w:val="0"/>
      <w:marRight w:val="0"/>
      <w:marTop w:val="0"/>
      <w:marBottom w:val="0"/>
      <w:divBdr>
        <w:top w:val="none" w:sz="0" w:space="0" w:color="auto"/>
        <w:left w:val="none" w:sz="0" w:space="0" w:color="auto"/>
        <w:bottom w:val="none" w:sz="0" w:space="0" w:color="auto"/>
        <w:right w:val="none" w:sz="0" w:space="0" w:color="auto"/>
      </w:divBdr>
    </w:div>
    <w:div w:id="1925066655">
      <w:bodyDiv w:val="1"/>
      <w:marLeft w:val="0"/>
      <w:marRight w:val="0"/>
      <w:marTop w:val="0"/>
      <w:marBottom w:val="0"/>
      <w:divBdr>
        <w:top w:val="none" w:sz="0" w:space="0" w:color="auto"/>
        <w:left w:val="none" w:sz="0" w:space="0" w:color="auto"/>
        <w:bottom w:val="none" w:sz="0" w:space="0" w:color="auto"/>
        <w:right w:val="none" w:sz="0" w:space="0" w:color="auto"/>
      </w:divBdr>
    </w:div>
    <w:div w:id="1930459494">
      <w:bodyDiv w:val="1"/>
      <w:marLeft w:val="0"/>
      <w:marRight w:val="0"/>
      <w:marTop w:val="0"/>
      <w:marBottom w:val="0"/>
      <w:divBdr>
        <w:top w:val="none" w:sz="0" w:space="0" w:color="auto"/>
        <w:left w:val="none" w:sz="0" w:space="0" w:color="auto"/>
        <w:bottom w:val="none" w:sz="0" w:space="0" w:color="auto"/>
        <w:right w:val="none" w:sz="0" w:space="0" w:color="auto"/>
      </w:divBdr>
    </w:div>
    <w:div w:id="1935934493">
      <w:bodyDiv w:val="1"/>
      <w:marLeft w:val="0"/>
      <w:marRight w:val="0"/>
      <w:marTop w:val="0"/>
      <w:marBottom w:val="0"/>
      <w:divBdr>
        <w:top w:val="none" w:sz="0" w:space="0" w:color="auto"/>
        <w:left w:val="none" w:sz="0" w:space="0" w:color="auto"/>
        <w:bottom w:val="none" w:sz="0" w:space="0" w:color="auto"/>
        <w:right w:val="none" w:sz="0" w:space="0" w:color="auto"/>
      </w:divBdr>
    </w:div>
    <w:div w:id="1942490698">
      <w:bodyDiv w:val="1"/>
      <w:marLeft w:val="0"/>
      <w:marRight w:val="0"/>
      <w:marTop w:val="0"/>
      <w:marBottom w:val="0"/>
      <w:divBdr>
        <w:top w:val="none" w:sz="0" w:space="0" w:color="auto"/>
        <w:left w:val="none" w:sz="0" w:space="0" w:color="auto"/>
        <w:bottom w:val="none" w:sz="0" w:space="0" w:color="auto"/>
        <w:right w:val="none" w:sz="0" w:space="0" w:color="auto"/>
      </w:divBdr>
    </w:div>
    <w:div w:id="1948463352">
      <w:bodyDiv w:val="1"/>
      <w:marLeft w:val="0"/>
      <w:marRight w:val="0"/>
      <w:marTop w:val="0"/>
      <w:marBottom w:val="0"/>
      <w:divBdr>
        <w:top w:val="none" w:sz="0" w:space="0" w:color="auto"/>
        <w:left w:val="none" w:sz="0" w:space="0" w:color="auto"/>
        <w:bottom w:val="none" w:sz="0" w:space="0" w:color="auto"/>
        <w:right w:val="none" w:sz="0" w:space="0" w:color="auto"/>
      </w:divBdr>
    </w:div>
    <w:div w:id="1952126949">
      <w:bodyDiv w:val="1"/>
      <w:marLeft w:val="0"/>
      <w:marRight w:val="0"/>
      <w:marTop w:val="0"/>
      <w:marBottom w:val="0"/>
      <w:divBdr>
        <w:top w:val="none" w:sz="0" w:space="0" w:color="auto"/>
        <w:left w:val="none" w:sz="0" w:space="0" w:color="auto"/>
        <w:bottom w:val="none" w:sz="0" w:space="0" w:color="auto"/>
        <w:right w:val="none" w:sz="0" w:space="0" w:color="auto"/>
      </w:divBdr>
    </w:div>
    <w:div w:id="1956405372">
      <w:bodyDiv w:val="1"/>
      <w:marLeft w:val="0"/>
      <w:marRight w:val="0"/>
      <w:marTop w:val="0"/>
      <w:marBottom w:val="0"/>
      <w:divBdr>
        <w:top w:val="none" w:sz="0" w:space="0" w:color="auto"/>
        <w:left w:val="none" w:sz="0" w:space="0" w:color="auto"/>
        <w:bottom w:val="none" w:sz="0" w:space="0" w:color="auto"/>
        <w:right w:val="none" w:sz="0" w:space="0" w:color="auto"/>
      </w:divBdr>
    </w:div>
    <w:div w:id="1962639295">
      <w:bodyDiv w:val="1"/>
      <w:marLeft w:val="0"/>
      <w:marRight w:val="0"/>
      <w:marTop w:val="0"/>
      <w:marBottom w:val="0"/>
      <w:divBdr>
        <w:top w:val="none" w:sz="0" w:space="0" w:color="auto"/>
        <w:left w:val="none" w:sz="0" w:space="0" w:color="auto"/>
        <w:bottom w:val="none" w:sz="0" w:space="0" w:color="auto"/>
        <w:right w:val="none" w:sz="0" w:space="0" w:color="auto"/>
      </w:divBdr>
    </w:div>
    <w:div w:id="1968465356">
      <w:bodyDiv w:val="1"/>
      <w:marLeft w:val="0"/>
      <w:marRight w:val="0"/>
      <w:marTop w:val="0"/>
      <w:marBottom w:val="0"/>
      <w:divBdr>
        <w:top w:val="none" w:sz="0" w:space="0" w:color="auto"/>
        <w:left w:val="none" w:sz="0" w:space="0" w:color="auto"/>
        <w:bottom w:val="none" w:sz="0" w:space="0" w:color="auto"/>
        <w:right w:val="none" w:sz="0" w:space="0" w:color="auto"/>
      </w:divBdr>
    </w:div>
    <w:div w:id="2007853197">
      <w:bodyDiv w:val="1"/>
      <w:marLeft w:val="0"/>
      <w:marRight w:val="0"/>
      <w:marTop w:val="0"/>
      <w:marBottom w:val="0"/>
      <w:divBdr>
        <w:top w:val="none" w:sz="0" w:space="0" w:color="auto"/>
        <w:left w:val="none" w:sz="0" w:space="0" w:color="auto"/>
        <w:bottom w:val="none" w:sz="0" w:space="0" w:color="auto"/>
        <w:right w:val="none" w:sz="0" w:space="0" w:color="auto"/>
      </w:divBdr>
    </w:div>
    <w:div w:id="2013294298">
      <w:bodyDiv w:val="1"/>
      <w:marLeft w:val="0"/>
      <w:marRight w:val="0"/>
      <w:marTop w:val="0"/>
      <w:marBottom w:val="0"/>
      <w:divBdr>
        <w:top w:val="none" w:sz="0" w:space="0" w:color="auto"/>
        <w:left w:val="none" w:sz="0" w:space="0" w:color="auto"/>
        <w:bottom w:val="none" w:sz="0" w:space="0" w:color="auto"/>
        <w:right w:val="none" w:sz="0" w:space="0" w:color="auto"/>
      </w:divBdr>
    </w:div>
    <w:div w:id="2013868165">
      <w:bodyDiv w:val="1"/>
      <w:marLeft w:val="0"/>
      <w:marRight w:val="0"/>
      <w:marTop w:val="0"/>
      <w:marBottom w:val="0"/>
      <w:divBdr>
        <w:top w:val="none" w:sz="0" w:space="0" w:color="auto"/>
        <w:left w:val="none" w:sz="0" w:space="0" w:color="auto"/>
        <w:bottom w:val="none" w:sz="0" w:space="0" w:color="auto"/>
        <w:right w:val="none" w:sz="0" w:space="0" w:color="auto"/>
      </w:divBdr>
    </w:div>
    <w:div w:id="2014212934">
      <w:bodyDiv w:val="1"/>
      <w:marLeft w:val="0"/>
      <w:marRight w:val="0"/>
      <w:marTop w:val="0"/>
      <w:marBottom w:val="0"/>
      <w:divBdr>
        <w:top w:val="none" w:sz="0" w:space="0" w:color="auto"/>
        <w:left w:val="none" w:sz="0" w:space="0" w:color="auto"/>
        <w:bottom w:val="none" w:sz="0" w:space="0" w:color="auto"/>
        <w:right w:val="none" w:sz="0" w:space="0" w:color="auto"/>
      </w:divBdr>
    </w:div>
    <w:div w:id="2018076200">
      <w:bodyDiv w:val="1"/>
      <w:marLeft w:val="0"/>
      <w:marRight w:val="0"/>
      <w:marTop w:val="0"/>
      <w:marBottom w:val="0"/>
      <w:divBdr>
        <w:top w:val="none" w:sz="0" w:space="0" w:color="auto"/>
        <w:left w:val="none" w:sz="0" w:space="0" w:color="auto"/>
        <w:bottom w:val="none" w:sz="0" w:space="0" w:color="auto"/>
        <w:right w:val="none" w:sz="0" w:space="0" w:color="auto"/>
      </w:divBdr>
    </w:div>
    <w:div w:id="2018462061">
      <w:bodyDiv w:val="1"/>
      <w:marLeft w:val="0"/>
      <w:marRight w:val="0"/>
      <w:marTop w:val="0"/>
      <w:marBottom w:val="0"/>
      <w:divBdr>
        <w:top w:val="none" w:sz="0" w:space="0" w:color="auto"/>
        <w:left w:val="none" w:sz="0" w:space="0" w:color="auto"/>
        <w:bottom w:val="none" w:sz="0" w:space="0" w:color="auto"/>
        <w:right w:val="none" w:sz="0" w:space="0" w:color="auto"/>
      </w:divBdr>
    </w:div>
    <w:div w:id="2021855830">
      <w:bodyDiv w:val="1"/>
      <w:marLeft w:val="0"/>
      <w:marRight w:val="0"/>
      <w:marTop w:val="0"/>
      <w:marBottom w:val="0"/>
      <w:divBdr>
        <w:top w:val="none" w:sz="0" w:space="0" w:color="auto"/>
        <w:left w:val="none" w:sz="0" w:space="0" w:color="auto"/>
        <w:bottom w:val="none" w:sz="0" w:space="0" w:color="auto"/>
        <w:right w:val="none" w:sz="0" w:space="0" w:color="auto"/>
      </w:divBdr>
    </w:div>
    <w:div w:id="2029476809">
      <w:bodyDiv w:val="1"/>
      <w:marLeft w:val="0"/>
      <w:marRight w:val="0"/>
      <w:marTop w:val="0"/>
      <w:marBottom w:val="0"/>
      <w:divBdr>
        <w:top w:val="none" w:sz="0" w:space="0" w:color="auto"/>
        <w:left w:val="none" w:sz="0" w:space="0" w:color="auto"/>
        <w:bottom w:val="none" w:sz="0" w:space="0" w:color="auto"/>
        <w:right w:val="none" w:sz="0" w:space="0" w:color="auto"/>
      </w:divBdr>
    </w:div>
    <w:div w:id="2040814493">
      <w:bodyDiv w:val="1"/>
      <w:marLeft w:val="0"/>
      <w:marRight w:val="0"/>
      <w:marTop w:val="0"/>
      <w:marBottom w:val="0"/>
      <w:divBdr>
        <w:top w:val="none" w:sz="0" w:space="0" w:color="auto"/>
        <w:left w:val="none" w:sz="0" w:space="0" w:color="auto"/>
        <w:bottom w:val="none" w:sz="0" w:space="0" w:color="auto"/>
        <w:right w:val="none" w:sz="0" w:space="0" w:color="auto"/>
      </w:divBdr>
    </w:div>
    <w:div w:id="2076200469">
      <w:bodyDiv w:val="1"/>
      <w:marLeft w:val="0"/>
      <w:marRight w:val="0"/>
      <w:marTop w:val="0"/>
      <w:marBottom w:val="0"/>
      <w:divBdr>
        <w:top w:val="none" w:sz="0" w:space="0" w:color="auto"/>
        <w:left w:val="none" w:sz="0" w:space="0" w:color="auto"/>
        <w:bottom w:val="none" w:sz="0" w:space="0" w:color="auto"/>
        <w:right w:val="none" w:sz="0" w:space="0" w:color="auto"/>
      </w:divBdr>
    </w:div>
    <w:div w:id="2080706347">
      <w:bodyDiv w:val="1"/>
      <w:marLeft w:val="0"/>
      <w:marRight w:val="0"/>
      <w:marTop w:val="0"/>
      <w:marBottom w:val="0"/>
      <w:divBdr>
        <w:top w:val="none" w:sz="0" w:space="0" w:color="auto"/>
        <w:left w:val="none" w:sz="0" w:space="0" w:color="auto"/>
        <w:bottom w:val="none" w:sz="0" w:space="0" w:color="auto"/>
        <w:right w:val="none" w:sz="0" w:space="0" w:color="auto"/>
      </w:divBdr>
    </w:div>
    <w:div w:id="2081751922">
      <w:bodyDiv w:val="1"/>
      <w:marLeft w:val="0"/>
      <w:marRight w:val="0"/>
      <w:marTop w:val="0"/>
      <w:marBottom w:val="0"/>
      <w:divBdr>
        <w:top w:val="none" w:sz="0" w:space="0" w:color="auto"/>
        <w:left w:val="none" w:sz="0" w:space="0" w:color="auto"/>
        <w:bottom w:val="none" w:sz="0" w:space="0" w:color="auto"/>
        <w:right w:val="none" w:sz="0" w:space="0" w:color="auto"/>
      </w:divBdr>
    </w:div>
    <w:div w:id="2088068404">
      <w:bodyDiv w:val="1"/>
      <w:marLeft w:val="0"/>
      <w:marRight w:val="0"/>
      <w:marTop w:val="0"/>
      <w:marBottom w:val="0"/>
      <w:divBdr>
        <w:top w:val="none" w:sz="0" w:space="0" w:color="auto"/>
        <w:left w:val="none" w:sz="0" w:space="0" w:color="auto"/>
        <w:bottom w:val="none" w:sz="0" w:space="0" w:color="auto"/>
        <w:right w:val="none" w:sz="0" w:space="0" w:color="auto"/>
      </w:divBdr>
    </w:div>
    <w:div w:id="2096441116">
      <w:bodyDiv w:val="1"/>
      <w:marLeft w:val="0"/>
      <w:marRight w:val="0"/>
      <w:marTop w:val="0"/>
      <w:marBottom w:val="0"/>
      <w:divBdr>
        <w:top w:val="none" w:sz="0" w:space="0" w:color="auto"/>
        <w:left w:val="none" w:sz="0" w:space="0" w:color="auto"/>
        <w:bottom w:val="none" w:sz="0" w:space="0" w:color="auto"/>
        <w:right w:val="none" w:sz="0" w:space="0" w:color="auto"/>
      </w:divBdr>
    </w:div>
    <w:div w:id="2098942786">
      <w:bodyDiv w:val="1"/>
      <w:marLeft w:val="0"/>
      <w:marRight w:val="0"/>
      <w:marTop w:val="0"/>
      <w:marBottom w:val="0"/>
      <w:divBdr>
        <w:top w:val="none" w:sz="0" w:space="0" w:color="auto"/>
        <w:left w:val="none" w:sz="0" w:space="0" w:color="auto"/>
        <w:bottom w:val="none" w:sz="0" w:space="0" w:color="auto"/>
        <w:right w:val="none" w:sz="0" w:space="0" w:color="auto"/>
      </w:divBdr>
    </w:div>
    <w:div w:id="2105151107">
      <w:bodyDiv w:val="1"/>
      <w:marLeft w:val="0"/>
      <w:marRight w:val="0"/>
      <w:marTop w:val="0"/>
      <w:marBottom w:val="0"/>
      <w:divBdr>
        <w:top w:val="none" w:sz="0" w:space="0" w:color="auto"/>
        <w:left w:val="none" w:sz="0" w:space="0" w:color="auto"/>
        <w:bottom w:val="none" w:sz="0" w:space="0" w:color="auto"/>
        <w:right w:val="none" w:sz="0" w:space="0" w:color="auto"/>
      </w:divBdr>
    </w:div>
    <w:div w:id="2114131347">
      <w:bodyDiv w:val="1"/>
      <w:marLeft w:val="0"/>
      <w:marRight w:val="0"/>
      <w:marTop w:val="0"/>
      <w:marBottom w:val="0"/>
      <w:divBdr>
        <w:top w:val="none" w:sz="0" w:space="0" w:color="auto"/>
        <w:left w:val="none" w:sz="0" w:space="0" w:color="auto"/>
        <w:bottom w:val="none" w:sz="0" w:space="0" w:color="auto"/>
        <w:right w:val="none" w:sz="0" w:space="0" w:color="auto"/>
      </w:divBdr>
    </w:div>
    <w:div w:id="2131431145">
      <w:bodyDiv w:val="1"/>
      <w:marLeft w:val="0"/>
      <w:marRight w:val="0"/>
      <w:marTop w:val="0"/>
      <w:marBottom w:val="0"/>
      <w:divBdr>
        <w:top w:val="none" w:sz="0" w:space="0" w:color="auto"/>
        <w:left w:val="none" w:sz="0" w:space="0" w:color="auto"/>
        <w:bottom w:val="none" w:sz="0" w:space="0" w:color="auto"/>
        <w:right w:val="none" w:sz="0" w:space="0" w:color="auto"/>
      </w:divBdr>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
    <w:div w:id="21460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023B-A318-4750-97AD-A87036ED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8906</Words>
  <Characters>50765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59552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Christensen</dc:creator>
  <cp:keywords/>
  <dc:description/>
  <cp:lastModifiedBy>Maria Christensen</cp:lastModifiedBy>
  <cp:revision>4</cp:revision>
  <cp:lastPrinted>2020-03-22T19:22:00Z</cp:lastPrinted>
  <dcterms:created xsi:type="dcterms:W3CDTF">2020-07-17T15:26:00Z</dcterms:created>
  <dcterms:modified xsi:type="dcterms:W3CDTF">2020-07-17T15:45:00Z</dcterms:modified>
</cp:coreProperties>
</file>