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591"/>
        <w:gridCol w:w="1951"/>
        <w:gridCol w:w="1951"/>
        <w:gridCol w:w="1869"/>
        <w:gridCol w:w="1951"/>
        <w:gridCol w:w="1951"/>
      </w:tblGrid>
      <w:tr w:rsidR="006A421D" w:rsidRPr="0098688F" w:rsidTr="0098688F">
        <w:tc>
          <w:tcPr>
            <w:tcW w:w="13958" w:type="dxa"/>
            <w:gridSpan w:val="7"/>
            <w:shd w:val="clear" w:color="auto" w:fill="auto"/>
          </w:tcPr>
          <w:p w:rsidR="006A421D" w:rsidRPr="003F4FCF" w:rsidRDefault="006A421D" w:rsidP="006A421D">
            <w:pPr>
              <w:tabs>
                <w:tab w:val="left" w:pos="760"/>
              </w:tabs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6A421D">
              <w:rPr>
                <w:rFonts w:cs="Arial"/>
                <w:sz w:val="20"/>
                <w:lang w:val="en-US"/>
              </w:rPr>
              <w:t xml:space="preserve">Supplementary table </w:t>
            </w:r>
            <w:r w:rsidRPr="003F4FCF">
              <w:rPr>
                <w:rFonts w:cs="Arial"/>
                <w:sz w:val="20"/>
                <w:lang w:val="en-US"/>
              </w:rPr>
              <w:t xml:space="preserve">– Crude and adjusted analysis of smoking during </w:t>
            </w:r>
            <w:r w:rsidRPr="0098688F">
              <w:rPr>
                <w:rFonts w:cs="Arial"/>
                <w:sz w:val="20"/>
                <w:lang w:val="en-US"/>
              </w:rPr>
              <w:t>pregnancy</w:t>
            </w:r>
            <w:r w:rsidR="0098688F">
              <w:rPr>
                <w:rFonts w:cs="Arial"/>
                <w:sz w:val="20"/>
                <w:lang w:val="en-US"/>
              </w:rPr>
              <w:t>,</w:t>
            </w:r>
            <w:r w:rsidRPr="0098688F">
              <w:rPr>
                <w:rFonts w:cs="Arial"/>
                <w:sz w:val="20"/>
                <w:lang w:val="en-US"/>
              </w:rPr>
              <w:t xml:space="preserve"> </w:t>
            </w:r>
            <w:r w:rsidR="0098688F" w:rsidRPr="0098688F">
              <w:rPr>
                <w:rFonts w:cs="Arial"/>
                <w:sz w:val="20"/>
                <w:lang w:val="en-US"/>
              </w:rPr>
              <w:t>and FEv1</w:t>
            </w:r>
            <w:r w:rsidR="0098688F" w:rsidRPr="0098688F">
              <w:rPr>
                <w:rFonts w:cs="Arial"/>
                <w:sz w:val="20"/>
                <w:lang w:val="en-US"/>
              </w:rPr>
              <w:t>/FVC&lt;90%</w:t>
            </w:r>
            <w:r w:rsidR="0098688F" w:rsidRPr="0098688F">
              <w:rPr>
                <w:rFonts w:cs="Arial"/>
                <w:sz w:val="20"/>
                <w:lang w:val="en-US"/>
              </w:rPr>
              <w:t xml:space="preserve"> and </w:t>
            </w:r>
            <w:bookmarkStart w:id="0" w:name="_GoBack"/>
            <w:bookmarkEnd w:id="0"/>
            <w:r w:rsidR="0098688F" w:rsidRPr="0098688F">
              <w:rPr>
                <w:rFonts w:cs="Arial"/>
                <w:sz w:val="20"/>
                <w:szCs w:val="20"/>
                <w:lang w:val="en-US"/>
              </w:rPr>
              <w:t>Reversibility</w:t>
            </w:r>
            <w:r w:rsidR="0098688F" w:rsidRPr="003F4FCF">
              <w:rPr>
                <w:rFonts w:cs="Arial"/>
                <w:sz w:val="20"/>
                <w:lang w:val="en-US"/>
              </w:rPr>
              <w:t xml:space="preserve"> </w:t>
            </w:r>
            <w:r w:rsidR="0098688F">
              <w:rPr>
                <w:rFonts w:cs="Arial"/>
                <w:sz w:val="20"/>
                <w:lang w:val="en-US"/>
              </w:rPr>
              <w:t>(</w:t>
            </w:r>
            <w:r>
              <w:rPr>
                <w:rFonts w:cs="Arial"/>
                <w:sz w:val="20"/>
                <w:lang w:val="en-US"/>
              </w:rPr>
              <w:t>1</w:t>
            </w:r>
            <w:r w:rsidRPr="003F4FCF">
              <w:rPr>
                <w:rFonts w:cs="Arial"/>
                <w:sz w:val="20"/>
                <w:lang w:val="en-US"/>
              </w:rPr>
              <w:t>5 years). 1993 Pelotas Birth Cohort</w:t>
            </w:r>
          </w:p>
        </w:tc>
      </w:tr>
      <w:tr w:rsidR="006A421D" w:rsidRPr="003F4FCF" w:rsidTr="0098688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</w:tcBorders>
            <w:vAlign w:val="center"/>
          </w:tcPr>
          <w:p w:rsidR="006A421D" w:rsidRPr="002128C4" w:rsidRDefault="002128C4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FEv</w:t>
            </w:r>
            <w:r>
              <w:rPr>
                <w:rFonts w:cs="Arial"/>
                <w:b/>
                <w:sz w:val="20"/>
                <w:vertAlign w:val="subscript"/>
                <w:lang w:val="en-US"/>
              </w:rPr>
              <w:t>1</w:t>
            </w:r>
            <w:r>
              <w:rPr>
                <w:rFonts w:cs="Arial"/>
                <w:b/>
                <w:sz w:val="20"/>
                <w:lang w:val="en-US"/>
              </w:rPr>
              <w:t>/FVC&lt;90%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</w:tcBorders>
            <w:vAlign w:val="center"/>
          </w:tcPr>
          <w:p w:rsidR="006A421D" w:rsidRPr="003F4FCF" w:rsidRDefault="002128C4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Reversibility</w:t>
            </w:r>
          </w:p>
        </w:tc>
      </w:tr>
      <w:tr w:rsidR="006A421D" w:rsidRPr="003F4FCF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:rsidR="006A421D" w:rsidRPr="003F4FCF" w:rsidRDefault="006A421D" w:rsidP="00F835A7">
            <w:pPr>
              <w:tabs>
                <w:tab w:val="left" w:pos="288"/>
                <w:tab w:val="center" w:pos="515"/>
              </w:tabs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Cases (Prevalence)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 xml:space="preserve">Crude 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 xml:space="preserve">Adjusted </w:t>
            </w:r>
            <w:r w:rsidRPr="003F4FC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Cases (Prevalence)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 xml:space="preserve">Crude 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 xml:space="preserve">Adjusted </w:t>
            </w:r>
            <w:r w:rsidRPr="003F4FC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a</w:t>
            </w: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A421D" w:rsidRPr="003F4FCF" w:rsidTr="0098688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>RR (IC 95%)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>RR (IC 95%)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>RR (IC 95%)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b/>
                <w:sz w:val="20"/>
                <w:szCs w:val="20"/>
                <w:lang w:val="en-US"/>
              </w:rPr>
              <w:t>RR (IC 95%)</w:t>
            </w:r>
          </w:p>
        </w:tc>
      </w:tr>
      <w:tr w:rsidR="006A421D" w:rsidRPr="00BE71E3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Mother smoked during Pregnancy (mean cigarettes/day)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p=0.215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p=0.296</w:t>
            </w:r>
          </w:p>
        </w:tc>
        <w:tc>
          <w:tcPr>
            <w:tcW w:w="1840" w:type="dxa"/>
            <w:vAlign w:val="center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p=0.363</w:t>
            </w:r>
          </w:p>
        </w:tc>
        <w:tc>
          <w:tcPr>
            <w:tcW w:w="1920" w:type="dxa"/>
            <w:vAlign w:val="center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p=0.309</w:t>
            </w:r>
          </w:p>
        </w:tc>
      </w:tr>
      <w:tr w:rsidR="006A421D" w:rsidRPr="003F4FCF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Non-smoker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1,317 (58.2)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 (1.4)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</w:tr>
      <w:tr w:rsidR="006A421D" w:rsidRPr="003F4FCF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&lt; 20 cigarettes/day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557 (61.2)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1.05 (0.99; 1.12)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1.04 (0.98; 1.11)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 (0.8)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0.56 (0.25; 1.27)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0.53 (0.23; 1.19)</w:t>
            </w:r>
          </w:p>
        </w:tc>
      </w:tr>
      <w:tr w:rsidR="006A421D" w:rsidRPr="003F4FCF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≥ 20 cigarettes/day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86 (58.9)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1.01 (0.88; 1.17)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1.02 (0.89; 1.17)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 (1.4)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0.99 (0.24</w:t>
            </w:r>
            <w:r>
              <w:rPr>
                <w:rFonts w:cs="Arial"/>
                <w:sz w:val="20"/>
                <w:szCs w:val="20"/>
              </w:rPr>
              <w:t>;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4.09)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0.92 (0.22; 3.84)</w:t>
            </w:r>
          </w:p>
        </w:tc>
      </w:tr>
      <w:tr w:rsidR="006A421D" w:rsidRPr="003F4FCF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Partner smoked during Pregnancy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p=0.502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p=0.209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p=0.268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p=0.219</w:t>
            </w:r>
          </w:p>
        </w:tc>
      </w:tr>
      <w:tr w:rsidR="006A421D" w:rsidRPr="003F4FCF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No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946 (58.4)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23 (1.4)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</w:tr>
      <w:tr w:rsidR="006A421D" w:rsidRPr="003F4FCF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Yes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1,014 (59.6)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1.02 (0.96; 1.08)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1.04 (0.98; 1.10)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17 (1.0)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0.70 (0.38; 1.31)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0.66 (0.35; 1.28)</w:t>
            </w:r>
          </w:p>
        </w:tc>
      </w:tr>
      <w:tr w:rsidR="006A421D" w:rsidRPr="001C5039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Parents smoked during Pregnancy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p=0.062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p=0.059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p=0.104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p=0.168</w:t>
            </w:r>
          </w:p>
        </w:tc>
      </w:tr>
      <w:tr w:rsidR="006A421D" w:rsidRPr="001C5039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Neither smoked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665 (56.9)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16 (1.4)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F4FCF"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1.00</w:t>
            </w:r>
          </w:p>
        </w:tc>
      </w:tr>
      <w:tr w:rsidR="006A421D" w:rsidRPr="008C7609" w:rsidTr="0098688F">
        <w:tc>
          <w:tcPr>
            <w:tcW w:w="0" w:type="auto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>One smoked</w:t>
            </w:r>
          </w:p>
        </w:tc>
        <w:tc>
          <w:tcPr>
            <w:tcW w:w="1566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1,221 (59.4)</w:t>
            </w:r>
          </w:p>
        </w:tc>
        <w:tc>
          <w:tcPr>
            <w:tcW w:w="1920" w:type="dxa"/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1.04 (0.98; 1.11)</w:t>
            </w:r>
          </w:p>
        </w:tc>
        <w:tc>
          <w:tcPr>
            <w:tcW w:w="1920" w:type="dxa"/>
            <w:shd w:val="clear" w:color="auto" w:fill="auto"/>
          </w:tcPr>
          <w:p w:rsidR="006A421D" w:rsidRPr="001C5039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1.05 (0.99</w:t>
            </w:r>
            <w:r w:rsidRPr="001C5039">
              <w:rPr>
                <w:rFonts w:cs="Arial"/>
                <w:sz w:val="20"/>
                <w:szCs w:val="20"/>
                <w:lang w:val="en-US"/>
              </w:rPr>
              <w:t>; 1.12)</w:t>
            </w:r>
          </w:p>
        </w:tc>
        <w:tc>
          <w:tcPr>
            <w:tcW w:w="184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 (1.2)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0.85 (0.46; 1.60)</w:t>
            </w:r>
          </w:p>
        </w:tc>
        <w:tc>
          <w:tcPr>
            <w:tcW w:w="1920" w:type="dxa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0.90 (0.47; 1.72)</w:t>
            </w:r>
          </w:p>
        </w:tc>
      </w:tr>
      <w:tr w:rsidR="006A421D" w:rsidRPr="008C7609" w:rsidTr="0098688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ind w:firstLine="426"/>
              <w:rPr>
                <w:rFonts w:cs="Arial"/>
                <w:sz w:val="20"/>
                <w:lang w:val="en-US"/>
              </w:rPr>
            </w:pPr>
            <w:r w:rsidRPr="003F4FCF">
              <w:rPr>
                <w:rFonts w:cs="Arial"/>
                <w:sz w:val="20"/>
                <w:lang w:val="en-US"/>
              </w:rPr>
              <w:t xml:space="preserve">Both smoked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218 (61.9)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1.09 (0.99; 1.20)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1.08 (0.98; 1.19)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 (0.3)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0.21 (0.03; 1.55)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0.23 (0.03; 1.69)</w:t>
            </w:r>
          </w:p>
        </w:tc>
      </w:tr>
      <w:tr w:rsidR="006A421D" w:rsidRPr="003F4FCF" w:rsidTr="00F835A7">
        <w:tc>
          <w:tcPr>
            <w:tcW w:w="0" w:type="auto"/>
            <w:gridSpan w:val="7"/>
            <w:tcBorders>
              <w:top w:val="single" w:sz="4" w:space="0" w:color="auto"/>
            </w:tcBorders>
          </w:tcPr>
          <w:p w:rsidR="006A421D" w:rsidRPr="003F4FCF" w:rsidRDefault="006A421D" w:rsidP="00F835A7">
            <w:pPr>
              <w:spacing w:line="36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3F4FCF">
              <w:rPr>
                <w:rFonts w:cs="Arial"/>
                <w:sz w:val="18"/>
                <w:szCs w:val="18"/>
                <w:lang w:val="en-US"/>
              </w:rPr>
              <w:t>a. Adjusted for sex, skin color, birth weight, type of delivery, mother schooling at birth, Family income at birth, parents’ asthma his</w:t>
            </w:r>
            <w:r>
              <w:rPr>
                <w:rFonts w:cs="Arial"/>
                <w:sz w:val="18"/>
                <w:szCs w:val="18"/>
                <w:lang w:val="en-US"/>
              </w:rPr>
              <w:t>tory, adolescent smoking (at 11 year), BMI (at 11</w:t>
            </w:r>
            <w:r w:rsidRPr="003F4FCF">
              <w:rPr>
                <w:rFonts w:cs="Arial"/>
                <w:sz w:val="18"/>
                <w:szCs w:val="18"/>
                <w:lang w:val="en-US"/>
              </w:rPr>
              <w:t xml:space="preserve"> year) and phys</w:t>
            </w:r>
            <w:r>
              <w:rPr>
                <w:rFonts w:cs="Arial"/>
                <w:sz w:val="18"/>
                <w:szCs w:val="18"/>
                <w:lang w:val="en-US"/>
              </w:rPr>
              <w:t>ical activity (at 11 year</w:t>
            </w:r>
            <w:r w:rsidRPr="003F4FCF">
              <w:rPr>
                <w:rFonts w:cs="Arial"/>
                <w:sz w:val="18"/>
                <w:szCs w:val="18"/>
                <w:lang w:val="en-US"/>
              </w:rPr>
              <w:t xml:space="preserve">).  </w:t>
            </w:r>
          </w:p>
          <w:p w:rsidR="006A421D" w:rsidRPr="003F4FCF" w:rsidRDefault="006A421D" w:rsidP="00F835A7">
            <w:pPr>
              <w:spacing w:line="360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3F4FCF">
              <w:rPr>
                <w:rFonts w:cs="Arial"/>
                <w:sz w:val="18"/>
                <w:szCs w:val="18"/>
                <w:lang w:val="en-US"/>
              </w:rPr>
              <w:t>b. Trend Analysis</w:t>
            </w:r>
          </w:p>
        </w:tc>
      </w:tr>
    </w:tbl>
    <w:p w:rsidR="00043A90" w:rsidRDefault="00043A90" w:rsidP="0098688F"/>
    <w:sectPr w:rsidR="00043A90" w:rsidSect="006A421D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A9" w:rsidRDefault="00F823A9">
      <w:r>
        <w:separator/>
      </w:r>
    </w:p>
  </w:endnote>
  <w:endnote w:type="continuationSeparator" w:id="0">
    <w:p w:rsidR="00F823A9" w:rsidRDefault="00F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A9" w:rsidRDefault="00F823A9">
      <w:r>
        <w:separator/>
      </w:r>
    </w:p>
  </w:footnote>
  <w:footnote w:type="continuationSeparator" w:id="0">
    <w:p w:rsidR="00F823A9" w:rsidRDefault="00F8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79" w:rsidRDefault="006A421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88F">
      <w:rPr>
        <w:noProof/>
      </w:rPr>
      <w:t>1</w:t>
    </w:r>
    <w:r>
      <w:fldChar w:fldCharType="end"/>
    </w:r>
  </w:p>
  <w:p w:rsidR="00A42B79" w:rsidRDefault="00F82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D"/>
    <w:rsid w:val="00043A90"/>
    <w:rsid w:val="00151C54"/>
    <w:rsid w:val="001E472A"/>
    <w:rsid w:val="002128C4"/>
    <w:rsid w:val="006A421D"/>
    <w:rsid w:val="007E0D51"/>
    <w:rsid w:val="0098688F"/>
    <w:rsid w:val="00A94C38"/>
    <w:rsid w:val="00F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946E5-9835-412B-9AAD-74B6A7B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21D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A421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merodelinha">
    <w:name w:val="line number"/>
    <w:basedOn w:val="Fontepargpadro"/>
    <w:uiPriority w:val="99"/>
    <w:semiHidden/>
    <w:unhideWhenUsed/>
    <w:rsid w:val="006A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Nunes</dc:creator>
  <cp:keywords/>
  <dc:description/>
  <cp:lastModifiedBy>Christian Loret de Mola</cp:lastModifiedBy>
  <cp:revision>6</cp:revision>
  <dcterms:created xsi:type="dcterms:W3CDTF">2014-06-26T04:48:00Z</dcterms:created>
  <dcterms:modified xsi:type="dcterms:W3CDTF">2014-07-15T15:10:00Z</dcterms:modified>
</cp:coreProperties>
</file>