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B" w:rsidRPr="002E488B" w:rsidRDefault="002E488B" w:rsidP="002517AE">
      <w:pPr>
        <w:spacing w:after="0" w:line="480" w:lineRule="auto"/>
        <w:rPr>
          <w:i/>
        </w:rPr>
      </w:pPr>
      <w:bookmarkStart w:id="0" w:name="_GoBack"/>
      <w:bookmarkEnd w:id="0"/>
      <w:r w:rsidRPr="002E488B">
        <w:rPr>
          <w:i/>
        </w:rPr>
        <w:t>Twin Research and Human Genetics</w:t>
      </w:r>
    </w:p>
    <w:p w:rsidR="002E488B" w:rsidRPr="0043242F" w:rsidRDefault="002E488B" w:rsidP="002E488B">
      <w:pPr>
        <w:spacing w:after="0" w:line="480" w:lineRule="auto"/>
        <w:rPr>
          <w:b/>
        </w:rPr>
      </w:pPr>
      <w:proofErr w:type="spellStart"/>
      <w:r w:rsidRPr="0043242F">
        <w:rPr>
          <w:b/>
        </w:rPr>
        <w:t>Exome</w:t>
      </w:r>
      <w:proofErr w:type="spellEnd"/>
      <w:r w:rsidRPr="0043242F">
        <w:rPr>
          <w:b/>
        </w:rPr>
        <w:t xml:space="preserve"> </w:t>
      </w:r>
      <w:r w:rsidR="0043242F" w:rsidRPr="0043242F">
        <w:rPr>
          <w:b/>
        </w:rPr>
        <w:t xml:space="preserve">Sequencing to Detect Rare Variants Associated With General Cognitive Ability: </w:t>
      </w:r>
      <w:r w:rsidRPr="0043242F">
        <w:rPr>
          <w:b/>
        </w:rPr>
        <w:t xml:space="preserve">A </w:t>
      </w:r>
      <w:r w:rsidR="0043242F">
        <w:rPr>
          <w:b/>
        </w:rPr>
        <w:t>Pilot Study</w:t>
      </w:r>
    </w:p>
    <w:p w:rsidR="002E488B" w:rsidRPr="002E488B" w:rsidRDefault="002E488B" w:rsidP="002E488B">
      <w:pPr>
        <w:spacing w:after="0" w:line="480" w:lineRule="auto"/>
      </w:pPr>
      <w:r w:rsidRPr="002E488B">
        <w:t xml:space="preserve">Michelle </w:t>
      </w:r>
      <w:proofErr w:type="spellStart"/>
      <w:r w:rsidRPr="002E488B">
        <w:t>Luciano</w:t>
      </w:r>
      <w:proofErr w:type="spellEnd"/>
      <w:r w:rsidRPr="002E488B">
        <w:t xml:space="preserve">, Victoria </w:t>
      </w:r>
      <w:proofErr w:type="spellStart"/>
      <w:r w:rsidRPr="002E488B">
        <w:t>Svinti</w:t>
      </w:r>
      <w:proofErr w:type="spellEnd"/>
      <w:r w:rsidRPr="002E488B">
        <w:t xml:space="preserve">, Archie Campbell, </w:t>
      </w:r>
      <w:proofErr w:type="spellStart"/>
      <w:r w:rsidRPr="002E488B">
        <w:t>Riccardo</w:t>
      </w:r>
      <w:proofErr w:type="spellEnd"/>
      <w:r w:rsidRPr="002E488B">
        <w:t xml:space="preserve"> E </w:t>
      </w:r>
      <w:proofErr w:type="spellStart"/>
      <w:r w:rsidRPr="002E488B">
        <w:t>Marioni</w:t>
      </w:r>
      <w:proofErr w:type="spellEnd"/>
      <w:r w:rsidRPr="002E488B">
        <w:t>, Caroline Hayward, Alan F</w:t>
      </w:r>
      <w:r w:rsidR="004D3D7A">
        <w:t>.</w:t>
      </w:r>
      <w:r w:rsidRPr="002E488B">
        <w:t xml:space="preserve"> Wright, Martin Taylor, David J </w:t>
      </w:r>
      <w:proofErr w:type="spellStart"/>
      <w:r w:rsidRPr="002E488B">
        <w:t>Porteous</w:t>
      </w:r>
      <w:proofErr w:type="spellEnd"/>
      <w:r w:rsidRPr="002E488B">
        <w:t xml:space="preserve">, </w:t>
      </w:r>
      <w:proofErr w:type="spellStart"/>
      <w:r w:rsidRPr="002E488B">
        <w:t>Pippa</w:t>
      </w:r>
      <w:proofErr w:type="spellEnd"/>
      <w:r w:rsidRPr="002E488B">
        <w:t xml:space="preserve"> Thomson, James Prendergast, Nick Hastie, Susan Farrington, Generation Scotland, Malcolm Dunlop, Ian J </w:t>
      </w:r>
      <w:proofErr w:type="spellStart"/>
      <w:r w:rsidRPr="002E488B">
        <w:t>Deary</w:t>
      </w:r>
      <w:proofErr w:type="spellEnd"/>
    </w:p>
    <w:p w:rsidR="002E488B" w:rsidRPr="002E488B" w:rsidRDefault="002E488B" w:rsidP="002517AE">
      <w:pPr>
        <w:spacing w:after="0" w:line="480" w:lineRule="auto"/>
        <w:rPr>
          <w:i/>
        </w:rPr>
      </w:pPr>
    </w:p>
    <w:p w:rsidR="0043242F" w:rsidRDefault="002517AE" w:rsidP="0043242F">
      <w:pPr>
        <w:spacing w:after="0" w:line="360" w:lineRule="auto"/>
        <w:rPr>
          <w:b/>
        </w:rPr>
      </w:pPr>
      <w:r w:rsidRPr="0043242F">
        <w:rPr>
          <w:b/>
        </w:rPr>
        <w:t xml:space="preserve">Supplementary Table </w:t>
      </w:r>
      <w:r w:rsidR="002E488B" w:rsidRPr="0043242F">
        <w:rPr>
          <w:b/>
        </w:rPr>
        <w:t>S</w:t>
      </w:r>
      <w:r w:rsidRPr="0043242F">
        <w:rPr>
          <w:b/>
        </w:rPr>
        <w:t>1</w:t>
      </w:r>
    </w:p>
    <w:p w:rsidR="002517AE" w:rsidRPr="0043242F" w:rsidRDefault="002517AE" w:rsidP="002517AE">
      <w:pPr>
        <w:spacing w:after="0" w:line="480" w:lineRule="auto"/>
        <w:rPr>
          <w:b/>
        </w:rPr>
      </w:pPr>
      <w:r w:rsidRPr="0043242F">
        <w:rPr>
          <w:b/>
        </w:rPr>
        <w:t xml:space="preserve">Results </w:t>
      </w:r>
      <w:r w:rsidR="002E611F">
        <w:rPr>
          <w:b/>
        </w:rPr>
        <w:t>F</w:t>
      </w:r>
      <w:r w:rsidRPr="0043242F">
        <w:rPr>
          <w:b/>
        </w:rPr>
        <w:t xml:space="preserve">rom </w:t>
      </w:r>
      <w:r w:rsidR="0043242F" w:rsidRPr="0043242F">
        <w:rPr>
          <w:b/>
        </w:rPr>
        <w:t xml:space="preserve">Gene Set Analysis </w:t>
      </w:r>
      <w:r w:rsidR="0043242F">
        <w:rPr>
          <w:b/>
        </w:rPr>
        <w:t>f</w:t>
      </w:r>
      <w:r w:rsidR="0043242F" w:rsidRPr="0043242F">
        <w:rPr>
          <w:b/>
        </w:rPr>
        <w:t>or Significant Variants With Frequency &lt;</w:t>
      </w:r>
      <w:r w:rsidR="0043242F">
        <w:rPr>
          <w:b/>
        </w:rPr>
        <w:t>0.01</w:t>
      </w:r>
    </w:p>
    <w:tbl>
      <w:tblPr>
        <w:tblStyle w:val="TableGrid"/>
        <w:tblW w:w="13209" w:type="dxa"/>
        <w:jc w:val="center"/>
        <w:tblInd w:w="-15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39"/>
        <w:gridCol w:w="1559"/>
        <w:gridCol w:w="2268"/>
        <w:gridCol w:w="1134"/>
        <w:gridCol w:w="2268"/>
        <w:gridCol w:w="2265"/>
        <w:gridCol w:w="1276"/>
      </w:tblGrid>
      <w:tr w:rsidR="002517AE" w:rsidRPr="002E488B" w:rsidTr="0043242F">
        <w:trPr>
          <w:trHeight w:val="296"/>
          <w:jc w:val="center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  <w:jc w:val="center"/>
            </w:pPr>
            <w:r w:rsidRPr="002E488B">
              <w:t xml:space="preserve">Obesity </w:t>
            </w:r>
            <w:r w:rsidR="0043242F">
              <w:t>c</w:t>
            </w:r>
            <w:r w:rsidRPr="002E488B">
              <w:t>ontrols</w:t>
            </w:r>
          </w:p>
        </w:tc>
        <w:tc>
          <w:tcPr>
            <w:tcW w:w="580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  <w:jc w:val="center"/>
            </w:pPr>
            <w:r w:rsidRPr="002E488B">
              <w:t xml:space="preserve">Depression </w:t>
            </w:r>
            <w:r w:rsidR="0043242F">
              <w:t>c</w:t>
            </w:r>
            <w:r w:rsidRPr="002E488B">
              <w:t>ontrols</w:t>
            </w:r>
          </w:p>
        </w:tc>
      </w:tr>
      <w:tr w:rsidR="002517AE" w:rsidRPr="002E488B" w:rsidTr="0043242F">
        <w:trPr>
          <w:trHeight w:val="501"/>
          <w:jc w:val="center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r w:rsidRPr="002E488B">
              <w:t>Gene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r w:rsidRPr="002E488B">
              <w:t>Number of variants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43242F" w:rsidP="0043242F"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r w:rsidRPr="002E488B">
              <w:t>Gene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r w:rsidRPr="002E488B">
              <w:t>Number of variants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43242F" w:rsidP="0043242F"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</w:tr>
      <w:tr w:rsidR="002517AE" w:rsidRPr="002E488B" w:rsidTr="0043242F">
        <w:trPr>
          <w:trHeight w:val="966"/>
          <w:jc w:val="center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r w:rsidRPr="002E488B">
              <w:t xml:space="preserve">All </w:t>
            </w:r>
            <w:r w:rsidR="0043242F">
              <w:t>v</w:t>
            </w:r>
            <w:r w:rsidRPr="002E488B">
              <w:t>ariants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17AE" w:rsidRPr="002E488B" w:rsidRDefault="002517AE" w:rsidP="0043242F"/>
        </w:tc>
        <w:tc>
          <w:tcPr>
            <w:tcW w:w="1134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RP11-414H17.5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RP11-118B18.1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MESP2/SNORD113-9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1.34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1.97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5.51</w:t>
            </w:r>
            <w:r w:rsidRPr="002E488B">
              <w:rPr>
                <w:vertAlign w:val="superscript"/>
              </w:rPr>
              <w:t>-6</w:t>
            </w:r>
          </w:p>
        </w:tc>
      </w:tr>
      <w:tr w:rsidR="002517AE" w:rsidRPr="002E488B" w:rsidTr="0043242F">
        <w:trPr>
          <w:jc w:val="center"/>
        </w:trPr>
        <w:tc>
          <w:tcPr>
            <w:tcW w:w="2439" w:type="dxa"/>
            <w:shd w:val="clear" w:color="auto" w:fill="E0E0E0"/>
          </w:tcPr>
          <w:p w:rsidR="002517AE" w:rsidRPr="002E488B" w:rsidRDefault="002517AE" w:rsidP="0043242F">
            <w:proofErr w:type="spellStart"/>
            <w:r w:rsidRPr="002E488B">
              <w:t>Nonsynonymous</w:t>
            </w:r>
            <w:proofErr w:type="spellEnd"/>
          </w:p>
        </w:tc>
        <w:tc>
          <w:tcPr>
            <w:tcW w:w="1559" w:type="dxa"/>
          </w:tcPr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b/>
                <w:i/>
              </w:rPr>
              <w:t>SYNGAP1</w:t>
            </w:r>
          </w:p>
          <w:p w:rsidR="002517AE" w:rsidRPr="002E488B" w:rsidRDefault="002517AE" w:rsidP="0043242F">
            <w:pPr>
              <w:rPr>
                <w:i/>
              </w:rPr>
            </w:pPr>
          </w:p>
        </w:tc>
        <w:tc>
          <w:tcPr>
            <w:tcW w:w="2268" w:type="dxa"/>
          </w:tcPr>
          <w:p w:rsidR="002517AE" w:rsidRPr="002E488B" w:rsidRDefault="002517AE" w:rsidP="0043242F">
            <w:pPr>
              <w:rPr>
                <w:b/>
              </w:rPr>
            </w:pPr>
            <w:r w:rsidRPr="002E488B">
              <w:rPr>
                <w:b/>
              </w:rPr>
              <w:t>3</w:t>
            </w:r>
          </w:p>
          <w:p w:rsidR="002517AE" w:rsidRPr="002E488B" w:rsidRDefault="002517AE" w:rsidP="0043242F">
            <w:pPr>
              <w:rPr>
                <w:b/>
              </w:rPr>
            </w:pPr>
          </w:p>
        </w:tc>
        <w:tc>
          <w:tcPr>
            <w:tcW w:w="1134" w:type="dxa"/>
          </w:tcPr>
          <w:p w:rsidR="002517AE" w:rsidRPr="002E488B" w:rsidRDefault="002517AE" w:rsidP="0043242F">
            <w:r w:rsidRPr="002E488B">
              <w:rPr>
                <w:b/>
              </w:rPr>
              <w:t>4.0</w:t>
            </w:r>
            <w:r w:rsidRPr="002E488B">
              <w:rPr>
                <w:b/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</w:p>
          <w:p w:rsidR="002517AE" w:rsidRPr="002E488B" w:rsidRDefault="002517AE" w:rsidP="0043242F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2517AE" w:rsidRPr="002E488B" w:rsidRDefault="002517AE" w:rsidP="0043242F">
            <w:pPr>
              <w:rPr>
                <w:b/>
                <w:i/>
              </w:rPr>
            </w:pPr>
            <w:r w:rsidRPr="002E488B">
              <w:rPr>
                <w:b/>
                <w:i/>
              </w:rPr>
              <w:t>SYNGAP1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HOXD1/ HOXD-AS1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CECR6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AC022201.5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 xml:space="preserve">CYP26C1 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ZNF703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NFKBIL1</w:t>
            </w:r>
          </w:p>
        </w:tc>
        <w:tc>
          <w:tcPr>
            <w:tcW w:w="2265" w:type="dxa"/>
          </w:tcPr>
          <w:p w:rsidR="002517AE" w:rsidRPr="002E488B" w:rsidRDefault="002517AE" w:rsidP="0043242F">
            <w:pPr>
              <w:rPr>
                <w:b/>
              </w:rPr>
            </w:pPr>
            <w:r w:rsidRPr="002E488B">
              <w:rPr>
                <w:b/>
              </w:rPr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pPr>
              <w:rPr>
                <w:b/>
              </w:rPr>
            </w:pPr>
            <w:r w:rsidRPr="002E488B">
              <w:t>3</w:t>
            </w:r>
          </w:p>
        </w:tc>
        <w:tc>
          <w:tcPr>
            <w:tcW w:w="1276" w:type="dxa"/>
          </w:tcPr>
          <w:p w:rsidR="002517AE" w:rsidRPr="002E488B" w:rsidRDefault="002517AE" w:rsidP="0043242F">
            <w:pPr>
              <w:rPr>
                <w:b/>
                <w:vertAlign w:val="superscript"/>
              </w:rPr>
            </w:pPr>
            <w:r w:rsidRPr="002E488B">
              <w:rPr>
                <w:b/>
              </w:rPr>
              <w:t>1.23</w:t>
            </w:r>
            <w:r w:rsidRPr="002E488B">
              <w:rPr>
                <w:b/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8.82</w:t>
            </w:r>
            <w:r w:rsidRPr="002E488B">
              <w:rPr>
                <w:vertAlign w:val="superscript"/>
              </w:rPr>
              <w:t>-7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6.22</w:t>
            </w:r>
            <w:r w:rsidRPr="002E488B">
              <w:rPr>
                <w:vertAlign w:val="superscript"/>
              </w:rPr>
              <w:t>-7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1.04</w:t>
            </w:r>
            <w:r w:rsidRPr="002E488B">
              <w:rPr>
                <w:vertAlign w:val="superscript"/>
              </w:rPr>
              <w:t>-5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6.99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5.75</w:t>
            </w:r>
            <w:r w:rsidRPr="002E488B">
              <w:rPr>
                <w:vertAlign w:val="superscript"/>
              </w:rPr>
              <w:t>-7</w:t>
            </w:r>
          </w:p>
          <w:p w:rsidR="002517AE" w:rsidRPr="002E488B" w:rsidRDefault="002517AE" w:rsidP="0043242F">
            <w:pPr>
              <w:rPr>
                <w:u w:val="single"/>
              </w:rPr>
            </w:pPr>
            <w:r w:rsidRPr="002E488B">
              <w:t>2.77</w:t>
            </w:r>
            <w:r w:rsidRPr="002E488B">
              <w:rPr>
                <w:vertAlign w:val="superscript"/>
              </w:rPr>
              <w:t>-5</w:t>
            </w:r>
          </w:p>
        </w:tc>
      </w:tr>
      <w:tr w:rsidR="002517AE" w:rsidRPr="002E488B" w:rsidTr="0043242F">
        <w:trPr>
          <w:trHeight w:val="1382"/>
          <w:jc w:val="center"/>
        </w:trPr>
        <w:tc>
          <w:tcPr>
            <w:tcW w:w="2439" w:type="dxa"/>
            <w:shd w:val="clear" w:color="auto" w:fill="E0E0E0"/>
          </w:tcPr>
          <w:p w:rsidR="002517AE" w:rsidRPr="002E488B" w:rsidRDefault="002517AE" w:rsidP="0043242F">
            <w:r w:rsidRPr="002E488B">
              <w:t>Synonymous</w:t>
            </w:r>
          </w:p>
        </w:tc>
        <w:tc>
          <w:tcPr>
            <w:tcW w:w="1559" w:type="dxa"/>
          </w:tcPr>
          <w:p w:rsidR="002517AE" w:rsidRPr="002E488B" w:rsidRDefault="002517AE" w:rsidP="0043242F"/>
        </w:tc>
        <w:tc>
          <w:tcPr>
            <w:tcW w:w="2268" w:type="dxa"/>
          </w:tcPr>
          <w:p w:rsidR="002517AE" w:rsidRPr="002E488B" w:rsidRDefault="002517AE" w:rsidP="0043242F"/>
        </w:tc>
        <w:tc>
          <w:tcPr>
            <w:tcW w:w="1134" w:type="dxa"/>
          </w:tcPr>
          <w:p w:rsidR="002517AE" w:rsidRPr="002E488B" w:rsidRDefault="002517AE" w:rsidP="0043242F"/>
        </w:tc>
        <w:tc>
          <w:tcPr>
            <w:tcW w:w="2268" w:type="dxa"/>
          </w:tcPr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C9orf66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 xml:space="preserve">FAM110C 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ID4/ RP1-167F1.2</w:t>
            </w:r>
          </w:p>
          <w:p w:rsidR="002517AE" w:rsidRPr="002E488B" w:rsidRDefault="002517AE" w:rsidP="0043242F">
            <w:pPr>
              <w:rPr>
                <w:i/>
              </w:rPr>
            </w:pPr>
            <w:r w:rsidRPr="002E488B">
              <w:rPr>
                <w:i/>
              </w:rPr>
              <w:t>TBC1</w:t>
            </w:r>
          </w:p>
        </w:tc>
        <w:tc>
          <w:tcPr>
            <w:tcW w:w="2265" w:type="dxa"/>
          </w:tcPr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  <w:p w:rsidR="002517AE" w:rsidRPr="002E488B" w:rsidRDefault="002517AE" w:rsidP="0043242F">
            <w:r w:rsidRPr="002E488B">
              <w:t>2</w:t>
            </w:r>
          </w:p>
        </w:tc>
        <w:tc>
          <w:tcPr>
            <w:tcW w:w="1276" w:type="dxa"/>
          </w:tcPr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1.92</w:t>
            </w:r>
            <w:r w:rsidRPr="002E488B">
              <w:rPr>
                <w:vertAlign w:val="superscript"/>
              </w:rPr>
              <w:t>-8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3.91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9.91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rPr>
                <w:vertAlign w:val="superscript"/>
              </w:rPr>
            </w:pPr>
            <w:r w:rsidRPr="002E488B">
              <w:t>3.44</w:t>
            </w:r>
            <w:r w:rsidRPr="002E488B">
              <w:rPr>
                <w:vertAlign w:val="superscript"/>
              </w:rPr>
              <w:t>-6</w:t>
            </w:r>
          </w:p>
        </w:tc>
      </w:tr>
    </w:tbl>
    <w:p w:rsidR="002517AE" w:rsidRPr="002E488B" w:rsidRDefault="002517AE" w:rsidP="0043242F">
      <w:pPr>
        <w:spacing w:line="360" w:lineRule="auto"/>
      </w:pPr>
      <w:r w:rsidRPr="002E488B">
        <w:tab/>
      </w:r>
      <w:r w:rsidR="0043242F">
        <w:t xml:space="preserve">Note: </w:t>
      </w:r>
      <w:r w:rsidRPr="002E488B">
        <w:t>Significant genes containing a single variant are not shown</w:t>
      </w:r>
      <w:r w:rsidRPr="0043242F">
        <w:t>.</w:t>
      </w:r>
      <w:r w:rsidR="0043242F" w:rsidRPr="0043242F">
        <w:t xml:space="preserve"> Bold indicates common results across case-control subgroup analyses.</w:t>
      </w:r>
      <w:r w:rsidRPr="002E488B">
        <w:br w:type="page"/>
      </w:r>
    </w:p>
    <w:p w:rsidR="0043242F" w:rsidRPr="0043242F" w:rsidRDefault="002517AE" w:rsidP="002517AE">
      <w:pPr>
        <w:spacing w:after="0" w:line="480" w:lineRule="auto"/>
        <w:rPr>
          <w:b/>
        </w:rPr>
      </w:pPr>
      <w:r w:rsidRPr="0043242F">
        <w:rPr>
          <w:b/>
        </w:rPr>
        <w:lastRenderedPageBreak/>
        <w:t xml:space="preserve">Supplementary Table </w:t>
      </w:r>
      <w:r w:rsidR="002E488B" w:rsidRPr="0043242F">
        <w:rPr>
          <w:b/>
        </w:rPr>
        <w:t>S</w:t>
      </w:r>
      <w:r w:rsidRPr="0043242F">
        <w:rPr>
          <w:b/>
        </w:rPr>
        <w:t>2</w:t>
      </w:r>
    </w:p>
    <w:p w:rsidR="002517AE" w:rsidRPr="0043242F" w:rsidRDefault="002517AE" w:rsidP="002517AE">
      <w:pPr>
        <w:spacing w:after="0" w:line="480" w:lineRule="auto"/>
        <w:rPr>
          <w:b/>
        </w:rPr>
      </w:pPr>
      <w:r w:rsidRPr="0043242F">
        <w:rPr>
          <w:b/>
        </w:rPr>
        <w:t xml:space="preserve">Results </w:t>
      </w:r>
      <w:proofErr w:type="gramStart"/>
      <w:r w:rsidR="0043242F" w:rsidRPr="0043242F">
        <w:rPr>
          <w:b/>
        </w:rPr>
        <w:t>From</w:t>
      </w:r>
      <w:proofErr w:type="gramEnd"/>
      <w:r w:rsidR="0043242F" w:rsidRPr="0043242F">
        <w:rPr>
          <w:b/>
        </w:rPr>
        <w:t xml:space="preserve"> Gene Set Analysis for Significant </w:t>
      </w:r>
      <w:r w:rsidR="0043242F">
        <w:rPr>
          <w:b/>
        </w:rPr>
        <w:t>Variants With Frequency &lt;</w:t>
      </w:r>
      <w:r w:rsidR="0043242F" w:rsidRPr="0043242F">
        <w:rPr>
          <w:b/>
        </w:rPr>
        <w:t>0.05</w:t>
      </w:r>
    </w:p>
    <w:tbl>
      <w:tblPr>
        <w:tblStyle w:val="TableGrid"/>
        <w:tblW w:w="13060" w:type="dxa"/>
        <w:jc w:val="center"/>
        <w:tblInd w:w="-14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39"/>
        <w:gridCol w:w="2409"/>
        <w:gridCol w:w="1985"/>
        <w:gridCol w:w="1134"/>
        <w:gridCol w:w="2410"/>
        <w:gridCol w:w="2186"/>
        <w:gridCol w:w="997"/>
      </w:tblGrid>
      <w:tr w:rsidR="002517AE" w:rsidRPr="002E488B" w:rsidTr="0043242F">
        <w:trPr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D3D7A">
            <w:pPr>
              <w:spacing w:line="360" w:lineRule="auto"/>
              <w:jc w:val="center"/>
            </w:pPr>
            <w:r w:rsidRPr="002E488B">
              <w:t xml:space="preserve">Obesity </w:t>
            </w:r>
            <w:r w:rsidR="004D3D7A">
              <w:t>c</w:t>
            </w:r>
            <w:r w:rsidRPr="002E488B">
              <w:t>ontrols</w:t>
            </w:r>
          </w:p>
        </w:tc>
        <w:tc>
          <w:tcPr>
            <w:tcW w:w="559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D3D7A">
            <w:pPr>
              <w:spacing w:line="360" w:lineRule="auto"/>
              <w:jc w:val="center"/>
            </w:pPr>
            <w:r w:rsidRPr="002E488B">
              <w:t xml:space="preserve">Depression </w:t>
            </w:r>
            <w:r w:rsidR="004D3D7A">
              <w:t>c</w:t>
            </w:r>
            <w:r w:rsidRPr="002E488B">
              <w:t>ontrols</w:t>
            </w:r>
          </w:p>
        </w:tc>
      </w:tr>
      <w:tr w:rsidR="002517AE" w:rsidRPr="002E488B" w:rsidTr="0043242F">
        <w:trPr>
          <w:trHeight w:val="349"/>
          <w:jc w:val="center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Gene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Number of variants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517AE" w:rsidRPr="002E488B" w:rsidRDefault="0043242F" w:rsidP="0043242F">
            <w:pPr>
              <w:spacing w:line="360" w:lineRule="auto"/>
            </w:pPr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Gene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Number of variants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517AE" w:rsidRPr="002E488B" w:rsidRDefault="0043242F" w:rsidP="0043242F">
            <w:pPr>
              <w:spacing w:line="360" w:lineRule="auto"/>
            </w:pPr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</w:tr>
      <w:tr w:rsidR="002517AE" w:rsidRPr="002E488B" w:rsidTr="0043242F">
        <w:trPr>
          <w:trHeight w:val="966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 xml:space="preserve">All </w:t>
            </w:r>
            <w:r w:rsidR="0043242F">
              <w:t>v</w:t>
            </w:r>
            <w:r w:rsidRPr="002E488B">
              <w:t>ariants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RP11-673E1.4/ GYPB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 xml:space="preserve">/GYPA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 xml:space="preserve">14 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rPr>
                <w:b/>
              </w:rPr>
              <w:t>/ 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2.74</w:t>
            </w:r>
            <w:r w:rsidRPr="002E488B">
              <w:rPr>
                <w:b/>
                <w:vertAlign w:val="superscript"/>
              </w:rPr>
              <w:t>-12</w:t>
            </w:r>
            <w:r w:rsidRPr="002E488B">
              <w:rPr>
                <w:b/>
              </w:rPr>
              <w:t xml:space="preserve"> 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5.76</w:t>
            </w:r>
            <w:r w:rsidRPr="002E488B">
              <w:rPr>
                <w:b/>
                <w:vertAlign w:val="superscript"/>
              </w:rPr>
              <w:t>-12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RP11-673E1.4/GYPB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/GYPA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>RP11-414H17.5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>RP11-118B18.1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 xml:space="preserve">11 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/ 7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517AE" w:rsidRPr="002E488B" w:rsidRDefault="002517AE" w:rsidP="0043242F">
            <w:pPr>
              <w:spacing w:line="360" w:lineRule="auto"/>
              <w:rPr>
                <w:b/>
                <w:vertAlign w:val="superscript"/>
              </w:rPr>
            </w:pPr>
            <w:r w:rsidRPr="002E488B">
              <w:rPr>
                <w:b/>
              </w:rPr>
              <w:t>9.94</w:t>
            </w:r>
            <w:r w:rsidRPr="002E488B">
              <w:rPr>
                <w:b/>
                <w:vertAlign w:val="superscript"/>
              </w:rPr>
              <w:t>-7</w:t>
            </w:r>
            <w:r w:rsidRPr="002E488B">
              <w:rPr>
                <w:b/>
              </w:rPr>
              <w:t xml:space="preserve"> 8.05</w:t>
            </w:r>
            <w:r w:rsidRPr="002E488B">
              <w:rPr>
                <w:b/>
                <w:vertAlign w:val="superscript"/>
              </w:rPr>
              <w:t>-7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1.16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1.08</w:t>
            </w:r>
            <w:r w:rsidRPr="002E488B">
              <w:rPr>
                <w:vertAlign w:val="superscript"/>
              </w:rPr>
              <w:t>-6</w:t>
            </w:r>
          </w:p>
        </w:tc>
      </w:tr>
      <w:tr w:rsidR="002517AE" w:rsidRPr="002E488B" w:rsidTr="0043242F">
        <w:trPr>
          <w:jc w:val="center"/>
        </w:trPr>
        <w:tc>
          <w:tcPr>
            <w:tcW w:w="1939" w:type="dxa"/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  <w:proofErr w:type="spellStart"/>
            <w:r w:rsidRPr="002E488B">
              <w:t>Nonsynonymous</w:t>
            </w:r>
            <w:proofErr w:type="spellEnd"/>
          </w:p>
        </w:tc>
        <w:tc>
          <w:tcPr>
            <w:tcW w:w="2409" w:type="dxa"/>
          </w:tcPr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 xml:space="preserve">RP11-673E1.4/ GYPB 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/GYPA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 xml:space="preserve">6 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/ 2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4.35</w:t>
            </w:r>
            <w:r w:rsidRPr="002E488B">
              <w:rPr>
                <w:b/>
                <w:vertAlign w:val="superscript"/>
              </w:rPr>
              <w:t>-12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vertAlign w:val="superscript"/>
              </w:rPr>
            </w:pPr>
            <w:r w:rsidRPr="002E488B">
              <w:rPr>
                <w:b/>
              </w:rPr>
              <w:t>5.17</w:t>
            </w:r>
            <w:r w:rsidRPr="002E488B">
              <w:rPr>
                <w:b/>
                <w:vertAlign w:val="superscript"/>
              </w:rPr>
              <w:t>-12</w:t>
            </w:r>
          </w:p>
          <w:p w:rsidR="002517AE" w:rsidRPr="002E488B" w:rsidRDefault="002517AE" w:rsidP="0043242F">
            <w:pPr>
              <w:spacing w:line="360" w:lineRule="auto"/>
              <w:rPr>
                <w:u w:val="single"/>
              </w:rPr>
            </w:pPr>
          </w:p>
        </w:tc>
        <w:tc>
          <w:tcPr>
            <w:tcW w:w="2410" w:type="dxa"/>
          </w:tcPr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RP11-673E1.4/ GYPB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i/>
              </w:rPr>
            </w:pPr>
            <w:r w:rsidRPr="002E488B">
              <w:rPr>
                <w:b/>
                <w:i/>
              </w:rPr>
              <w:t>/GYPA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>CECR6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 xml:space="preserve">FAM136A/AC022201.5 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 xml:space="preserve">ZNF703  </w:t>
            </w:r>
          </w:p>
        </w:tc>
        <w:tc>
          <w:tcPr>
            <w:tcW w:w="2186" w:type="dxa"/>
          </w:tcPr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 xml:space="preserve">5 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</w:rPr>
            </w:pPr>
            <w:r w:rsidRPr="002E488B">
              <w:rPr>
                <w:b/>
              </w:rPr>
              <w:t>/ 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</w:tc>
        <w:tc>
          <w:tcPr>
            <w:tcW w:w="997" w:type="dxa"/>
          </w:tcPr>
          <w:p w:rsidR="002517AE" w:rsidRPr="002E488B" w:rsidRDefault="002517AE" w:rsidP="0043242F">
            <w:pPr>
              <w:spacing w:line="360" w:lineRule="auto"/>
              <w:rPr>
                <w:b/>
                <w:vertAlign w:val="superscript"/>
              </w:rPr>
            </w:pPr>
            <w:r w:rsidRPr="002E488B">
              <w:rPr>
                <w:b/>
              </w:rPr>
              <w:t>2.85</w:t>
            </w:r>
            <w:r w:rsidRPr="002E488B">
              <w:rPr>
                <w:b/>
                <w:vertAlign w:val="superscript"/>
              </w:rPr>
              <w:t>-7</w:t>
            </w:r>
          </w:p>
          <w:p w:rsidR="002517AE" w:rsidRPr="002E488B" w:rsidRDefault="002517AE" w:rsidP="0043242F">
            <w:pPr>
              <w:spacing w:line="360" w:lineRule="auto"/>
              <w:rPr>
                <w:b/>
                <w:vertAlign w:val="superscript"/>
              </w:rPr>
            </w:pPr>
            <w:r w:rsidRPr="002E488B">
              <w:rPr>
                <w:b/>
              </w:rPr>
              <w:t>2.4</w:t>
            </w:r>
            <w:r w:rsidRPr="002E488B">
              <w:rPr>
                <w:b/>
                <w:vertAlign w:val="superscript"/>
              </w:rPr>
              <w:t>-7</w:t>
            </w:r>
          </w:p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4.41</w:t>
            </w:r>
            <w:r w:rsidRPr="002E488B">
              <w:rPr>
                <w:vertAlign w:val="superscript"/>
              </w:rPr>
              <w:t>-8</w:t>
            </w:r>
          </w:p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4.62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7.40</w:t>
            </w:r>
            <w:r w:rsidRPr="002E488B">
              <w:rPr>
                <w:vertAlign w:val="superscript"/>
              </w:rPr>
              <w:t>-7</w:t>
            </w:r>
          </w:p>
        </w:tc>
      </w:tr>
      <w:tr w:rsidR="002517AE" w:rsidRPr="002E488B" w:rsidTr="0043242F">
        <w:trPr>
          <w:jc w:val="center"/>
        </w:trPr>
        <w:tc>
          <w:tcPr>
            <w:tcW w:w="1939" w:type="dxa"/>
            <w:shd w:val="clear" w:color="auto" w:fill="E0E0E0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Synonymous</w:t>
            </w:r>
          </w:p>
        </w:tc>
        <w:tc>
          <w:tcPr>
            <w:tcW w:w="2409" w:type="dxa"/>
          </w:tcPr>
          <w:p w:rsidR="002517AE" w:rsidRPr="002E488B" w:rsidRDefault="002517AE" w:rsidP="0043242F">
            <w:pPr>
              <w:spacing w:line="360" w:lineRule="auto"/>
            </w:pPr>
          </w:p>
        </w:tc>
        <w:tc>
          <w:tcPr>
            <w:tcW w:w="1985" w:type="dxa"/>
          </w:tcPr>
          <w:p w:rsidR="002517AE" w:rsidRPr="002E488B" w:rsidRDefault="002517AE" w:rsidP="0043242F">
            <w:pPr>
              <w:spacing w:line="360" w:lineRule="auto"/>
            </w:pPr>
          </w:p>
        </w:tc>
        <w:tc>
          <w:tcPr>
            <w:tcW w:w="1134" w:type="dxa"/>
          </w:tcPr>
          <w:p w:rsidR="002517AE" w:rsidRPr="002E488B" w:rsidRDefault="002517AE" w:rsidP="0043242F">
            <w:pPr>
              <w:spacing w:line="360" w:lineRule="auto"/>
            </w:pPr>
          </w:p>
        </w:tc>
        <w:tc>
          <w:tcPr>
            <w:tcW w:w="2410" w:type="dxa"/>
          </w:tcPr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 xml:space="preserve">SOX17 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 xml:space="preserve">FAM110C </w:t>
            </w:r>
          </w:p>
          <w:p w:rsidR="002517AE" w:rsidRPr="002E488B" w:rsidRDefault="002517AE" w:rsidP="0043242F">
            <w:pPr>
              <w:spacing w:line="360" w:lineRule="auto"/>
              <w:rPr>
                <w:i/>
              </w:rPr>
            </w:pPr>
            <w:r w:rsidRPr="002E488B">
              <w:rPr>
                <w:i/>
              </w:rPr>
              <w:t>ID4/RP1-167F1.2</w:t>
            </w:r>
          </w:p>
        </w:tc>
        <w:tc>
          <w:tcPr>
            <w:tcW w:w="2186" w:type="dxa"/>
          </w:tcPr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  <w:p w:rsidR="002517AE" w:rsidRPr="002E488B" w:rsidRDefault="002517AE" w:rsidP="0043242F">
            <w:pPr>
              <w:spacing w:line="360" w:lineRule="auto"/>
            </w:pPr>
            <w:r w:rsidRPr="002E488B">
              <w:t>2</w:t>
            </w:r>
          </w:p>
        </w:tc>
        <w:tc>
          <w:tcPr>
            <w:tcW w:w="997" w:type="dxa"/>
          </w:tcPr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2.61</w:t>
            </w:r>
            <w:r w:rsidRPr="002E488B">
              <w:rPr>
                <w:vertAlign w:val="superscript"/>
              </w:rPr>
              <w:t>-7</w:t>
            </w:r>
          </w:p>
          <w:p w:rsidR="002517AE" w:rsidRPr="002E488B" w:rsidRDefault="002517AE" w:rsidP="0043242F">
            <w:pPr>
              <w:spacing w:line="360" w:lineRule="auto"/>
              <w:rPr>
                <w:vertAlign w:val="superscript"/>
              </w:rPr>
            </w:pPr>
            <w:r w:rsidRPr="002E488B">
              <w:t>4.16</w:t>
            </w:r>
            <w:r w:rsidRPr="002E488B">
              <w:rPr>
                <w:vertAlign w:val="superscript"/>
              </w:rPr>
              <w:t>-6</w:t>
            </w:r>
          </w:p>
          <w:p w:rsidR="002517AE" w:rsidRPr="002E488B" w:rsidRDefault="002517AE" w:rsidP="0043242F">
            <w:pPr>
              <w:spacing w:line="360" w:lineRule="auto"/>
              <w:rPr>
                <w:u w:val="single"/>
              </w:rPr>
            </w:pPr>
            <w:r w:rsidRPr="002E488B">
              <w:t>9.35</w:t>
            </w:r>
            <w:r w:rsidRPr="002E488B">
              <w:rPr>
                <w:vertAlign w:val="superscript"/>
              </w:rPr>
              <w:t>-6</w:t>
            </w:r>
          </w:p>
        </w:tc>
      </w:tr>
    </w:tbl>
    <w:p w:rsidR="0043242F" w:rsidRDefault="0043242F" w:rsidP="0043242F">
      <w:pPr>
        <w:spacing w:after="0" w:line="360" w:lineRule="auto"/>
        <w:ind w:firstLine="720"/>
      </w:pPr>
      <w:r>
        <w:t>Note:</w:t>
      </w:r>
      <w:r w:rsidR="002517AE" w:rsidRPr="002E488B">
        <w:t xml:space="preserve"> </w:t>
      </w:r>
      <w:r w:rsidRPr="002E488B">
        <w:t>Significant genes containing a single variant are not shown.</w:t>
      </w:r>
      <w:r>
        <w:t xml:space="preserve"> </w:t>
      </w:r>
      <w:r w:rsidRPr="002E488B">
        <w:t>Bold indicates common results across case-control subgroup analyses.</w:t>
      </w:r>
    </w:p>
    <w:p w:rsidR="00AE4CD6" w:rsidRPr="002E488B" w:rsidRDefault="00AE4CD6" w:rsidP="0043242F">
      <w:pPr>
        <w:spacing w:line="360" w:lineRule="auto"/>
        <w:ind w:firstLine="720"/>
      </w:pPr>
      <w:r w:rsidRPr="002E488B">
        <w:br w:type="page"/>
      </w:r>
    </w:p>
    <w:tbl>
      <w:tblPr>
        <w:tblpPr w:leftFromText="180" w:rightFromText="180" w:vertAnchor="page" w:horzAnchor="margin" w:tblpY="2413"/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923"/>
        <w:gridCol w:w="1035"/>
        <w:gridCol w:w="1331"/>
        <w:gridCol w:w="2219"/>
        <w:gridCol w:w="6183"/>
      </w:tblGrid>
      <w:tr w:rsidR="0043242F" w:rsidRPr="002E488B" w:rsidTr="0043242F">
        <w:trPr>
          <w:tblCellSpacing w:w="15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43242F">
            <w:pPr>
              <w:spacing w:after="0" w:line="48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43242F">
            <w:pPr>
              <w:spacing w:after="0" w:line="480" w:lineRule="auto"/>
              <w:rPr>
                <w:rFonts w:eastAsia="Times New Roman" w:cs="Times New Roman"/>
                <w:lang w:eastAsia="en-GB"/>
              </w:rPr>
            </w:pPr>
            <w:r w:rsidRPr="002E488B">
              <w:rPr>
                <w:rFonts w:eastAsia="Times New Roman" w:cs="Times New Roman"/>
                <w:lang w:eastAsia="en-GB"/>
              </w:rPr>
              <w:t xml:space="preserve">Gene </w:t>
            </w:r>
            <w:r>
              <w:rPr>
                <w:rFonts w:eastAsia="Times New Roman" w:cs="Times New Roman"/>
                <w:lang w:eastAsia="en-GB"/>
              </w:rPr>
              <w:t>o</w:t>
            </w:r>
            <w:r w:rsidRPr="002E488B">
              <w:rPr>
                <w:rFonts w:eastAsia="Times New Roman" w:cs="Times New Roman"/>
                <w:lang w:eastAsia="en-GB"/>
              </w:rPr>
              <w:t>ntology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43242F">
            <w:pPr>
              <w:spacing w:after="0" w:line="48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AC2732">
            <w:pPr>
              <w:spacing w:after="0" w:line="48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E488B">
              <w:rPr>
                <w:rFonts w:eastAsia="Times New Roman" w:cs="Times New Roman"/>
                <w:lang w:eastAsia="en-GB"/>
              </w:rPr>
              <w:t>FDR</w:t>
            </w:r>
            <w:r w:rsidR="00AC2732">
              <w:rPr>
                <w:rFonts w:eastAsia="Times New Roman" w:cs="Times New Roman"/>
                <w:lang w:eastAsia="en-GB"/>
              </w:rPr>
              <w:t xml:space="preserve"> </w:t>
            </w:r>
            <w:r w:rsidRPr="0043242F">
              <w:rPr>
                <w:i/>
              </w:rPr>
              <w:t>p</w:t>
            </w:r>
            <w:r>
              <w:rPr>
                <w:i/>
              </w:rPr>
              <w:t>-</w:t>
            </w:r>
            <w:r w:rsidRPr="002E488B">
              <w:t>value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43242F">
            <w:pPr>
              <w:spacing w:after="0" w:line="480" w:lineRule="auto"/>
              <w:jc w:val="center"/>
              <w:rPr>
                <w:rFonts w:eastAsia="Times New Roman" w:cs="Times New Roman"/>
                <w:vertAlign w:val="superscript"/>
                <w:lang w:eastAsia="en-GB"/>
              </w:rPr>
            </w:pPr>
            <w:r w:rsidRPr="002E488B">
              <w:rPr>
                <w:rFonts w:eastAsia="Times New Roman" w:cs="Times New Roman"/>
                <w:lang w:eastAsia="en-GB"/>
              </w:rPr>
              <w:t xml:space="preserve">Enrichment </w:t>
            </w:r>
            <w:r>
              <w:rPr>
                <w:rFonts w:eastAsia="Times New Roman" w:cs="Times New Roman"/>
                <w:lang w:eastAsia="en-GB"/>
              </w:rPr>
              <w:t>v</w:t>
            </w:r>
            <w:r w:rsidRPr="002E488B">
              <w:rPr>
                <w:rFonts w:eastAsia="Times New Roman" w:cs="Times New Roman"/>
                <w:lang w:eastAsia="en-GB"/>
              </w:rPr>
              <w:t>alues</w:t>
            </w:r>
            <w:r w:rsidRPr="002E488B">
              <w:rPr>
                <w:rFonts w:eastAsia="Times New Roman" w:cs="Times New Roman"/>
                <w:vertAlign w:val="superscript"/>
                <w:lang w:eastAsia="en-GB"/>
              </w:rPr>
              <w:t>*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2F" w:rsidRPr="002E488B" w:rsidRDefault="0043242F" w:rsidP="0043242F">
            <w:pPr>
              <w:spacing w:after="0" w:line="480" w:lineRule="auto"/>
              <w:rPr>
                <w:rFonts w:eastAsia="Times New Roman" w:cs="Times New Roman"/>
                <w:lang w:eastAsia="en-GB"/>
              </w:rPr>
            </w:pPr>
            <w:r w:rsidRPr="002E488B">
              <w:rPr>
                <w:rFonts w:eastAsia="Times New Roman" w:cs="Times New Roman"/>
                <w:lang w:eastAsia="en-GB"/>
              </w:rPr>
              <w:t xml:space="preserve">Genes in </w:t>
            </w:r>
            <w:r>
              <w:rPr>
                <w:rFonts w:eastAsia="Times New Roman" w:cs="Times New Roman"/>
                <w:lang w:eastAsia="en-GB"/>
              </w:rPr>
              <w:t>p</w:t>
            </w:r>
            <w:r w:rsidRPr="002E488B">
              <w:rPr>
                <w:rFonts w:eastAsia="Times New Roman" w:cs="Times New Roman"/>
                <w:lang w:eastAsia="en-GB"/>
              </w:rPr>
              <w:t>athway</w:t>
            </w:r>
          </w:p>
        </w:tc>
      </w:tr>
      <w:tr w:rsidR="0043242F" w:rsidRPr="002E488B" w:rsidTr="0043242F">
        <w:trPr>
          <w:tblCellSpacing w:w="15" w:type="dxa"/>
        </w:trPr>
        <w:tc>
          <w:tcPr>
            <w:tcW w:w="1843" w:type="dxa"/>
          </w:tcPr>
          <w:p w:rsidR="0043242F" w:rsidRPr="002E488B" w:rsidRDefault="0043242F" w:rsidP="0043242F">
            <w:pPr>
              <w:spacing w:after="0" w:line="240" w:lineRule="auto"/>
              <w:rPr>
                <w:b/>
              </w:rPr>
            </w:pPr>
            <w:r w:rsidRPr="002E488B">
              <w:rPr>
                <w:b/>
              </w:rPr>
              <w:t>Synonymous</w:t>
            </w:r>
          </w:p>
        </w:tc>
        <w:tc>
          <w:tcPr>
            <w:tcW w:w="1813" w:type="dxa"/>
          </w:tcPr>
          <w:p w:rsidR="0043242F" w:rsidRPr="002E488B" w:rsidRDefault="0043242F" w:rsidP="0043242F">
            <w:pPr>
              <w:spacing w:after="0" w:line="240" w:lineRule="auto"/>
            </w:pPr>
          </w:p>
        </w:tc>
        <w:tc>
          <w:tcPr>
            <w:tcW w:w="962" w:type="dxa"/>
          </w:tcPr>
          <w:p w:rsidR="0043242F" w:rsidRPr="002E488B" w:rsidRDefault="0043242F" w:rsidP="0043242F">
            <w:pPr>
              <w:spacing w:after="0" w:line="240" w:lineRule="auto"/>
            </w:pPr>
          </w:p>
        </w:tc>
        <w:tc>
          <w:tcPr>
            <w:tcW w:w="1246" w:type="dxa"/>
          </w:tcPr>
          <w:p w:rsidR="0043242F" w:rsidRPr="002E488B" w:rsidRDefault="0043242F" w:rsidP="0043242F">
            <w:pPr>
              <w:spacing w:after="0" w:line="240" w:lineRule="auto"/>
            </w:pPr>
          </w:p>
        </w:tc>
        <w:tc>
          <w:tcPr>
            <w:tcW w:w="2096" w:type="dxa"/>
          </w:tcPr>
          <w:p w:rsidR="0043242F" w:rsidRPr="002E488B" w:rsidRDefault="0043242F" w:rsidP="0043242F">
            <w:pPr>
              <w:spacing w:after="0" w:line="240" w:lineRule="auto"/>
            </w:pPr>
          </w:p>
        </w:tc>
        <w:tc>
          <w:tcPr>
            <w:tcW w:w="5878" w:type="dxa"/>
          </w:tcPr>
          <w:p w:rsidR="0043242F" w:rsidRPr="002E488B" w:rsidRDefault="0043242F" w:rsidP="0043242F">
            <w:pPr>
              <w:spacing w:after="0" w:line="240" w:lineRule="auto"/>
              <w:rPr>
                <w:i/>
              </w:rPr>
            </w:pPr>
          </w:p>
        </w:tc>
      </w:tr>
      <w:tr w:rsidR="0043242F" w:rsidRPr="002E488B" w:rsidTr="0043242F">
        <w:trPr>
          <w:trHeight w:val="157"/>
          <w:tblCellSpacing w:w="15" w:type="dxa"/>
        </w:trPr>
        <w:tc>
          <w:tcPr>
            <w:tcW w:w="1843" w:type="dxa"/>
          </w:tcPr>
          <w:p w:rsidR="0043242F" w:rsidRPr="002E488B" w:rsidRDefault="0043242F" w:rsidP="0043242F">
            <w:pPr>
              <w:spacing w:line="240" w:lineRule="auto"/>
            </w:pPr>
            <w:r w:rsidRPr="002E488B">
              <w:t>SNVs&lt;.01</w:t>
            </w:r>
          </w:p>
        </w:tc>
        <w:tc>
          <w:tcPr>
            <w:tcW w:w="1813" w:type="dxa"/>
          </w:tcPr>
          <w:p w:rsidR="0043242F" w:rsidRPr="002E488B" w:rsidRDefault="0043242F" w:rsidP="0043242F">
            <w:pPr>
              <w:spacing w:line="240" w:lineRule="auto"/>
            </w:pPr>
          </w:p>
        </w:tc>
        <w:tc>
          <w:tcPr>
            <w:tcW w:w="962" w:type="dxa"/>
          </w:tcPr>
          <w:p w:rsidR="0043242F" w:rsidRPr="002E488B" w:rsidRDefault="0043242F" w:rsidP="0043242F">
            <w:pPr>
              <w:spacing w:line="240" w:lineRule="auto"/>
            </w:pPr>
          </w:p>
        </w:tc>
        <w:tc>
          <w:tcPr>
            <w:tcW w:w="1246" w:type="dxa"/>
          </w:tcPr>
          <w:p w:rsidR="0043242F" w:rsidRPr="002E488B" w:rsidRDefault="0043242F" w:rsidP="0043242F">
            <w:pPr>
              <w:spacing w:line="240" w:lineRule="auto"/>
            </w:pPr>
          </w:p>
        </w:tc>
        <w:tc>
          <w:tcPr>
            <w:tcW w:w="2096" w:type="dxa"/>
          </w:tcPr>
          <w:p w:rsidR="0043242F" w:rsidRPr="002E488B" w:rsidRDefault="0043242F" w:rsidP="0043242F">
            <w:pPr>
              <w:spacing w:line="240" w:lineRule="auto"/>
            </w:pPr>
          </w:p>
        </w:tc>
        <w:tc>
          <w:tcPr>
            <w:tcW w:w="5878" w:type="dxa"/>
          </w:tcPr>
          <w:p w:rsidR="0043242F" w:rsidRPr="002E488B" w:rsidRDefault="0043242F" w:rsidP="0043242F">
            <w:pPr>
              <w:spacing w:line="240" w:lineRule="auto"/>
              <w:rPr>
                <w:i/>
              </w:rPr>
            </w:pPr>
          </w:p>
        </w:tc>
      </w:tr>
      <w:tr w:rsidR="0043242F" w:rsidRPr="002E488B" w:rsidTr="0043242F">
        <w:trPr>
          <w:tblCellSpacing w:w="15" w:type="dxa"/>
        </w:trPr>
        <w:tc>
          <w:tcPr>
            <w:tcW w:w="1843" w:type="dxa"/>
          </w:tcPr>
          <w:p w:rsidR="0043242F" w:rsidRPr="002E488B" w:rsidRDefault="0043242F" w:rsidP="0043242F">
            <w:pPr>
              <w:spacing w:line="240" w:lineRule="auto"/>
            </w:pPr>
            <w:r w:rsidRPr="002E488B">
              <w:t>Molecular Function GO:0008376</w:t>
            </w:r>
            <w:bookmarkStart w:id="1" w:name="0008376"/>
            <w:bookmarkEnd w:id="1"/>
          </w:p>
        </w:tc>
        <w:tc>
          <w:tcPr>
            <w:tcW w:w="1813" w:type="dxa"/>
          </w:tcPr>
          <w:p w:rsidR="0043242F" w:rsidRPr="002E488B" w:rsidRDefault="0043242F" w:rsidP="0043242F">
            <w:pPr>
              <w:spacing w:line="240" w:lineRule="auto"/>
            </w:pP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activity</w:t>
            </w:r>
          </w:p>
        </w:tc>
        <w:tc>
          <w:tcPr>
            <w:tcW w:w="962" w:type="dxa"/>
          </w:tcPr>
          <w:p w:rsidR="0043242F" w:rsidRPr="002E488B" w:rsidRDefault="0043242F" w:rsidP="0043242F">
            <w:pPr>
              <w:spacing w:line="240" w:lineRule="auto"/>
            </w:pPr>
            <w:r w:rsidRPr="002E488B">
              <w:t>1.23E-5</w:t>
            </w:r>
          </w:p>
        </w:tc>
        <w:tc>
          <w:tcPr>
            <w:tcW w:w="1246" w:type="dxa"/>
          </w:tcPr>
          <w:p w:rsidR="0043242F" w:rsidRPr="002E488B" w:rsidRDefault="0043242F" w:rsidP="0043242F">
            <w:pPr>
              <w:spacing w:line="240" w:lineRule="auto"/>
            </w:pPr>
            <w:r w:rsidRPr="002E488B">
              <w:t>.03</w:t>
            </w:r>
          </w:p>
        </w:tc>
        <w:tc>
          <w:tcPr>
            <w:tcW w:w="2096" w:type="dxa"/>
          </w:tcPr>
          <w:p w:rsidR="0043242F" w:rsidRPr="002E488B" w:rsidRDefault="0043242F" w:rsidP="0043242F">
            <w:pPr>
              <w:spacing w:line="240" w:lineRule="auto"/>
            </w:pPr>
            <w:r w:rsidRPr="002E488B">
              <w:t>5.63 (6764,18,667,10)</w:t>
            </w:r>
          </w:p>
        </w:tc>
        <w:tc>
          <w:tcPr>
            <w:tcW w:w="5878" w:type="dxa"/>
          </w:tcPr>
          <w:p w:rsidR="0043242F" w:rsidRPr="002E488B" w:rsidRDefault="0043242F" w:rsidP="004D3D7A">
            <w:pPr>
              <w:spacing w:line="240" w:lineRule="auto"/>
            </w:pPr>
            <w:r w:rsidRPr="002E488B">
              <w:rPr>
                <w:i/>
              </w:rPr>
              <w:t>GALNT6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6 (galnac-t6)</w:t>
            </w:r>
            <w:r w:rsidRPr="002E488B">
              <w:br/>
            </w:r>
            <w:r w:rsidRPr="002E488B">
              <w:rPr>
                <w:i/>
              </w:rPr>
              <w:t>GALNT12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12 (galnac-t12)</w:t>
            </w:r>
            <w:r w:rsidRPr="002E488B">
              <w:br/>
            </w:r>
            <w:r w:rsidRPr="002E488B">
              <w:rPr>
                <w:i/>
              </w:rPr>
              <w:t>GALNT10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10 (galnac-t10)</w:t>
            </w:r>
            <w:r w:rsidRPr="002E488B">
              <w:br/>
            </w:r>
            <w:r w:rsidRPr="002E488B">
              <w:rPr>
                <w:i/>
              </w:rPr>
              <w:t>B4GALNT3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beta-1,4-n-acetyl-galactosaminyl </w:t>
            </w:r>
            <w:proofErr w:type="spellStart"/>
            <w:r w:rsidRPr="002E488B">
              <w:t>transferase</w:t>
            </w:r>
            <w:proofErr w:type="spellEnd"/>
            <w:r w:rsidRPr="002E488B">
              <w:t xml:space="preserve"> 3</w:t>
            </w:r>
            <w:r w:rsidRPr="002E488B">
              <w:br/>
            </w:r>
            <w:r w:rsidRPr="002E488B">
              <w:rPr>
                <w:i/>
              </w:rPr>
              <w:t>GALNT18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18</w:t>
            </w:r>
            <w:r w:rsidRPr="002E488B">
              <w:br/>
            </w:r>
            <w:r w:rsidRPr="002E488B">
              <w:rPr>
                <w:i/>
              </w:rPr>
              <w:t>GALNT3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3 (galnac-t3)</w:t>
            </w:r>
            <w:r w:rsidRPr="002E488B">
              <w:br/>
            </w:r>
            <w:r w:rsidRPr="002E488B">
              <w:rPr>
                <w:i/>
              </w:rPr>
              <w:t>GALNT2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</w:t>
            </w:r>
            <w:proofErr w:type="spellStart"/>
            <w:r w:rsidRPr="002E488B">
              <w:t>udp</w:t>
            </w:r>
            <w:proofErr w:type="spellEnd"/>
            <w:r w:rsidRPr="002E488B">
              <w:t>-n-acetyl-alpha-d-</w:t>
            </w:r>
            <w:proofErr w:type="spellStart"/>
            <w:r w:rsidRPr="002E488B">
              <w:t>galactosamine:polypeptide</w:t>
            </w:r>
            <w:proofErr w:type="spellEnd"/>
            <w:r w:rsidRPr="002E488B">
              <w:t xml:space="preserve"> n-</w:t>
            </w:r>
            <w:proofErr w:type="spellStart"/>
            <w:r w:rsidRPr="002E488B">
              <w:t>acetylgalactosaminyltransferase</w:t>
            </w:r>
            <w:proofErr w:type="spellEnd"/>
            <w:r w:rsidRPr="002E488B">
              <w:t xml:space="preserve"> 2 (galnac-t2)</w:t>
            </w:r>
            <w:r w:rsidRPr="002E488B">
              <w:br/>
            </w:r>
            <w:r w:rsidRPr="002E488B">
              <w:rPr>
                <w:i/>
              </w:rPr>
              <w:t>CHPF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chondroitin polymerizing factor</w:t>
            </w:r>
            <w:r w:rsidRPr="002E488B">
              <w:br/>
            </w:r>
            <w:r w:rsidRPr="002E488B">
              <w:rPr>
                <w:i/>
              </w:rPr>
              <w:t>B3GALNT2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beta-1,3-n-acetylgalactosaminyltransferase 2</w:t>
            </w:r>
            <w:r w:rsidRPr="002E488B">
              <w:br/>
            </w:r>
            <w:r w:rsidRPr="002E488B">
              <w:rPr>
                <w:i/>
              </w:rPr>
              <w:t>B4GALNT4</w:t>
            </w:r>
            <w:r w:rsidRPr="002E488B">
              <w:t xml:space="preserve"> </w:t>
            </w:r>
            <w:r w:rsidR="004D3D7A">
              <w:t>—</w:t>
            </w:r>
            <w:r w:rsidRPr="002E488B">
              <w:t xml:space="preserve"> beta-1,4-n-acetyl-galactosaminyl </w:t>
            </w:r>
            <w:proofErr w:type="spellStart"/>
            <w:r w:rsidRPr="002E488B">
              <w:t>transferase</w:t>
            </w:r>
            <w:proofErr w:type="spellEnd"/>
            <w:r w:rsidRPr="002E488B">
              <w:t xml:space="preserve"> 4</w:t>
            </w:r>
          </w:p>
        </w:tc>
      </w:tr>
    </w:tbl>
    <w:p w:rsidR="00953A5A" w:rsidRPr="00D508C6" w:rsidRDefault="00AE4CD6" w:rsidP="004D3D7A">
      <w:pPr>
        <w:spacing w:after="0" w:line="360" w:lineRule="auto"/>
        <w:rPr>
          <w:b/>
        </w:rPr>
      </w:pPr>
      <w:r w:rsidRPr="00D508C6">
        <w:rPr>
          <w:b/>
        </w:rPr>
        <w:t xml:space="preserve">Supplementary Table </w:t>
      </w:r>
      <w:r w:rsidR="002E488B" w:rsidRPr="00D508C6">
        <w:rPr>
          <w:b/>
        </w:rPr>
        <w:t>S</w:t>
      </w:r>
      <w:r w:rsidRPr="00D508C6">
        <w:rPr>
          <w:b/>
        </w:rPr>
        <w:t>3</w:t>
      </w:r>
    </w:p>
    <w:p w:rsidR="00D508C6" w:rsidRPr="00D508C6" w:rsidRDefault="00AE4CD6" w:rsidP="004D3D7A">
      <w:pPr>
        <w:spacing w:after="0" w:line="360" w:lineRule="auto"/>
        <w:rPr>
          <w:b/>
        </w:rPr>
      </w:pPr>
      <w:r w:rsidRPr="00D508C6">
        <w:rPr>
          <w:b/>
        </w:rPr>
        <w:t xml:space="preserve">Significant </w:t>
      </w:r>
      <w:r w:rsidR="00D508C6" w:rsidRPr="00D508C6">
        <w:rPr>
          <w:b/>
        </w:rPr>
        <w:t xml:space="preserve">Gene Ontology Pathways Enriched </w:t>
      </w:r>
      <w:r w:rsidRPr="00D508C6">
        <w:rPr>
          <w:b/>
        </w:rPr>
        <w:t xml:space="preserve">in the </w:t>
      </w:r>
      <w:r w:rsidR="00D508C6" w:rsidRPr="00D508C6">
        <w:rPr>
          <w:b/>
        </w:rPr>
        <w:t xml:space="preserve">Varying Analyses Comprising </w:t>
      </w:r>
      <w:r w:rsidRPr="00D508C6">
        <w:rPr>
          <w:b/>
        </w:rPr>
        <w:t xml:space="preserve">the </w:t>
      </w:r>
      <w:r w:rsidR="00D508C6" w:rsidRPr="00D508C6">
        <w:rPr>
          <w:b/>
        </w:rPr>
        <w:t>Depression Controls</w:t>
      </w:r>
      <w:r w:rsidRPr="00D508C6">
        <w:rPr>
          <w:b/>
        </w:rPr>
        <w:t xml:space="preserve"> </w:t>
      </w:r>
    </w:p>
    <w:p w:rsidR="00D508C6" w:rsidRDefault="00D508C6" w:rsidP="00D508C6">
      <w:pPr>
        <w:spacing w:after="0" w:line="240" w:lineRule="auto"/>
      </w:pPr>
    </w:p>
    <w:p w:rsidR="00D508C6" w:rsidRDefault="00D508C6" w:rsidP="00D508C6">
      <w:pPr>
        <w:spacing w:after="0" w:line="240" w:lineRule="auto"/>
      </w:pPr>
    </w:p>
    <w:p w:rsidR="00D508C6" w:rsidRPr="00D508C6" w:rsidRDefault="0043242F" w:rsidP="00D508C6">
      <w:pPr>
        <w:spacing w:after="0" w:line="240" w:lineRule="auto"/>
      </w:pPr>
      <w:r>
        <w:t xml:space="preserve">Note: </w:t>
      </w:r>
      <w:r w:rsidR="004D3D7A" w:rsidRPr="004D3D7A">
        <w:rPr>
          <w:i/>
        </w:rPr>
        <w:t>p-</w:t>
      </w:r>
      <w:r w:rsidR="00D508C6" w:rsidRPr="00D508C6">
        <w:t xml:space="preserve">value, FDR corrected </w:t>
      </w:r>
      <w:r w:rsidR="004D3D7A" w:rsidRPr="004D3D7A">
        <w:rPr>
          <w:i/>
        </w:rPr>
        <w:t>p-</w:t>
      </w:r>
      <w:r w:rsidR="00D508C6" w:rsidRPr="00D508C6">
        <w:t>value, enrichment values, and prominent genes in each pathway are listed.</w:t>
      </w:r>
    </w:p>
    <w:p w:rsidR="00AE4CD6" w:rsidRPr="002E488B" w:rsidRDefault="00AE4CD6" w:rsidP="00D508C6">
      <w:pPr>
        <w:spacing w:after="0" w:line="240" w:lineRule="auto"/>
      </w:pPr>
      <w:r w:rsidRPr="002E488B">
        <w:t>SNV: Single nucleotide variants</w:t>
      </w:r>
      <w:r w:rsidRPr="002E488B">
        <w:rPr>
          <w:rFonts w:eastAsia="Times New Roman" w:cs="Times New Roman"/>
          <w:vertAlign w:val="superscript"/>
          <w:lang w:eastAsia="en-GB"/>
        </w:rPr>
        <w:t xml:space="preserve">* </w:t>
      </w:r>
      <w:r w:rsidRPr="002E488B">
        <w:t>Enrichment is defined as (b/n)</w:t>
      </w:r>
      <w:proofErr w:type="gramStart"/>
      <w:r w:rsidRPr="002E488B">
        <w:t>/(</w:t>
      </w:r>
      <w:proofErr w:type="gramEnd"/>
      <w:r w:rsidRPr="002E488B">
        <w:t>B/N) [</w:t>
      </w:r>
      <w:r w:rsidRPr="004D3D7A">
        <w:rPr>
          <w:i/>
        </w:rPr>
        <w:t>N</w:t>
      </w:r>
      <w:r w:rsidRPr="002E488B">
        <w:t xml:space="preserve">: Total number of genes; B: Total number of genes associated with a specific GO term, </w:t>
      </w:r>
      <w:r w:rsidR="004D3D7A">
        <w:br/>
      </w:r>
      <w:r w:rsidRPr="004D3D7A">
        <w:t>n:</w:t>
      </w:r>
      <w:r w:rsidRPr="002E488B">
        <w:t xml:space="preserve"> Number of genes in the </w:t>
      </w:r>
      <w:r w:rsidR="004D3D7A">
        <w:t>‘</w:t>
      </w:r>
      <w:r w:rsidRPr="002E488B">
        <w:t>target set</w:t>
      </w:r>
      <w:r w:rsidR="004D3D7A">
        <w:t>’</w:t>
      </w:r>
      <w:r w:rsidRPr="002E488B">
        <w:t xml:space="preserve">, b: Number of genes in the </w:t>
      </w:r>
      <w:r w:rsidR="004D3D7A">
        <w:t>‘</w:t>
      </w:r>
      <w:r w:rsidRPr="002E488B">
        <w:t>target set</w:t>
      </w:r>
      <w:r w:rsidR="004D3D7A">
        <w:t>’</w:t>
      </w:r>
      <w:r w:rsidRPr="002E488B">
        <w:t xml:space="preserve"> associated with a specific GO term]. </w:t>
      </w:r>
    </w:p>
    <w:p w:rsidR="00462176" w:rsidRPr="002E488B" w:rsidRDefault="00462176" w:rsidP="002517AE">
      <w:pPr>
        <w:spacing w:line="480" w:lineRule="auto"/>
      </w:pPr>
    </w:p>
    <w:sectPr w:rsidR="00462176" w:rsidRPr="002E488B" w:rsidSect="0043242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7AE"/>
    <w:rsid w:val="000E6DC2"/>
    <w:rsid w:val="0012529D"/>
    <w:rsid w:val="001564C3"/>
    <w:rsid w:val="002517AE"/>
    <w:rsid w:val="002E488B"/>
    <w:rsid w:val="002E611F"/>
    <w:rsid w:val="0043242F"/>
    <w:rsid w:val="00462176"/>
    <w:rsid w:val="004D3D7A"/>
    <w:rsid w:val="00533BC9"/>
    <w:rsid w:val="00953A5A"/>
    <w:rsid w:val="00AC2732"/>
    <w:rsid w:val="00AE4CD6"/>
    <w:rsid w:val="00D508C6"/>
    <w:rsid w:val="00DA76C4"/>
    <w:rsid w:val="00F4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Roberta Blake</cp:lastModifiedBy>
  <cp:revision>5</cp:revision>
  <dcterms:created xsi:type="dcterms:W3CDTF">2014-09-23T12:36:00Z</dcterms:created>
  <dcterms:modified xsi:type="dcterms:W3CDTF">2015-02-11T02:06:00Z</dcterms:modified>
</cp:coreProperties>
</file>