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8C" w:rsidRPr="000B14F3" w:rsidRDefault="003E598C" w:rsidP="005C7DC4">
      <w:pPr>
        <w:jc w:val="center"/>
        <w:rPr>
          <w:rFonts w:ascii="Times New Roman" w:hAnsi="Times New Roman"/>
          <w:b/>
        </w:rPr>
      </w:pPr>
    </w:p>
    <w:p w:rsidR="005C7DC4" w:rsidRPr="000B14F3" w:rsidRDefault="005C7DC4" w:rsidP="005C7DC4">
      <w:pPr>
        <w:jc w:val="center"/>
        <w:rPr>
          <w:rFonts w:ascii="Times New Roman" w:hAnsi="Times New Roman"/>
          <w:b/>
        </w:rPr>
      </w:pPr>
      <w:r w:rsidRPr="000B14F3">
        <w:rPr>
          <w:rFonts w:ascii="Times New Roman" w:hAnsi="Times New Roman"/>
          <w:b/>
        </w:rPr>
        <w:t>Appendix</w:t>
      </w:r>
      <w:r w:rsidR="003E598C" w:rsidRPr="000B14F3">
        <w:rPr>
          <w:rFonts w:ascii="Times New Roman" w:hAnsi="Times New Roman"/>
          <w:b/>
        </w:rPr>
        <w:t xml:space="preserve"> for </w:t>
      </w:r>
    </w:p>
    <w:p w:rsidR="00AA1B51" w:rsidRPr="000B14F3" w:rsidRDefault="00AA1B51" w:rsidP="005C7DC4">
      <w:pPr>
        <w:jc w:val="center"/>
        <w:rPr>
          <w:rFonts w:ascii="Times New Roman" w:hAnsi="Times New Roman"/>
          <w:b/>
        </w:rPr>
      </w:pPr>
      <w:r w:rsidRPr="000B14F3">
        <w:rPr>
          <w:rFonts w:ascii="Times New Roman" w:hAnsi="Times New Roman"/>
          <w:b/>
        </w:rPr>
        <w:t xml:space="preserve">"Median Voter and Power Resources Revisited: </w:t>
      </w:r>
    </w:p>
    <w:p w:rsidR="003E598C" w:rsidRPr="000B14F3" w:rsidRDefault="00AA1B51" w:rsidP="005C7DC4">
      <w:pPr>
        <w:jc w:val="center"/>
        <w:rPr>
          <w:rFonts w:ascii="Times New Roman" w:hAnsi="Times New Roman"/>
          <w:b/>
        </w:rPr>
      </w:pPr>
      <w:r w:rsidRPr="000B14F3">
        <w:rPr>
          <w:rFonts w:ascii="Times New Roman" w:hAnsi="Times New Roman"/>
          <w:b/>
        </w:rPr>
        <w:t>A Composite Model of Inequality"</w:t>
      </w:r>
    </w:p>
    <w:p w:rsidR="005C7DC4" w:rsidRPr="000B14F3" w:rsidRDefault="005C7DC4" w:rsidP="005C7DC4">
      <w:pPr>
        <w:rPr>
          <w:rFonts w:ascii="Times New Roman" w:hAnsi="Times New Roman"/>
        </w:rPr>
      </w:pPr>
    </w:p>
    <w:p w:rsidR="00BE1E2E" w:rsidRPr="000B14F3" w:rsidRDefault="00BE1E2E" w:rsidP="005C7DC4">
      <w:pPr>
        <w:rPr>
          <w:rFonts w:ascii="Times New Roman" w:hAnsi="Times New Roman"/>
        </w:rPr>
      </w:pPr>
    </w:p>
    <w:p w:rsidR="005C7DC4" w:rsidRPr="000B14F3" w:rsidRDefault="005C7DC4" w:rsidP="005C7DC4">
      <w:pPr>
        <w:jc w:val="both"/>
        <w:rPr>
          <w:rFonts w:ascii="Times New Roman" w:hAnsi="Times New Roman"/>
        </w:rPr>
      </w:pPr>
      <w:r w:rsidRPr="000B14F3">
        <w:rPr>
          <w:rFonts w:ascii="Times New Roman" w:hAnsi="Times New Roman"/>
          <w:b/>
        </w:rPr>
        <w:t>18 Countries included</w:t>
      </w:r>
      <w:r w:rsidRPr="000B14F3">
        <w:rPr>
          <w:rFonts w:ascii="Times New Roman" w:hAnsi="Times New Roman"/>
        </w:rPr>
        <w:t>: Australia, Austria, Belgium, Canada, Denmark, Finland, France, Germany, Greece</w:t>
      </w:r>
      <w:r w:rsidRPr="000B14F3">
        <w:rPr>
          <w:rFonts w:ascii="Times New Roman" w:hAnsi="Times New Roman"/>
          <w:lang w:eastAsia="zh-HK"/>
        </w:rPr>
        <w:t>,</w:t>
      </w:r>
      <w:r w:rsidRPr="000B14F3">
        <w:rPr>
          <w:rFonts w:ascii="Times New Roman" w:hAnsi="Times New Roman"/>
        </w:rPr>
        <w:t xml:space="preserve"> Ireland, Italy, the Netherlands, Norway, Spain, Sweden, Switzerland, United Kingdom, and United States</w:t>
      </w:r>
    </w:p>
    <w:p w:rsidR="005C7DC4" w:rsidRPr="000B14F3" w:rsidRDefault="005C7DC4" w:rsidP="005C7DC4">
      <w:pPr>
        <w:rPr>
          <w:rFonts w:ascii="Times New Roman" w:hAnsi="Times New Roman"/>
        </w:rPr>
      </w:pPr>
    </w:p>
    <w:p w:rsidR="003E598C" w:rsidRPr="000B14F3" w:rsidRDefault="003E598C" w:rsidP="005C7DC4">
      <w:pPr>
        <w:rPr>
          <w:rFonts w:ascii="Times New Roman" w:hAnsi="Times New Roman"/>
        </w:rPr>
      </w:pPr>
    </w:p>
    <w:p w:rsidR="005C7DC4" w:rsidRPr="000B14F3" w:rsidRDefault="005C7DC4" w:rsidP="005C7DC4">
      <w:pPr>
        <w:jc w:val="center"/>
        <w:rPr>
          <w:rFonts w:ascii="Times New Roman" w:hAnsi="Times New Roman"/>
          <w:b/>
        </w:rPr>
      </w:pPr>
      <w:r w:rsidRPr="000B14F3">
        <w:rPr>
          <w:rFonts w:ascii="Times New Roman" w:hAnsi="Times New Roman"/>
          <w:b/>
        </w:rPr>
        <w:t>Descriptive Statistics</w:t>
      </w:r>
    </w:p>
    <w:p w:rsidR="00247103" w:rsidRPr="000B14F3" w:rsidRDefault="00247103" w:rsidP="005C7DC4">
      <w:pPr>
        <w:rPr>
          <w:rFonts w:ascii="Times New Roman" w:hAnsi="Times New Roman"/>
          <w:color w:val="000000"/>
          <w:kern w:val="0"/>
          <w:szCs w:val="24"/>
        </w:rPr>
      </w:pPr>
    </w:p>
    <w:tbl>
      <w:tblPr>
        <w:tblW w:w="8280" w:type="dxa"/>
        <w:jc w:val="center"/>
        <w:tblInd w:w="13" w:type="dxa"/>
        <w:tblCellMar>
          <w:left w:w="28" w:type="dxa"/>
          <w:right w:w="28" w:type="dxa"/>
        </w:tblCellMar>
        <w:tblLook w:val="04A0"/>
      </w:tblPr>
      <w:tblGrid>
        <w:gridCol w:w="2360"/>
        <w:gridCol w:w="1380"/>
        <w:gridCol w:w="1060"/>
        <w:gridCol w:w="1120"/>
        <w:gridCol w:w="1140"/>
        <w:gridCol w:w="1220"/>
      </w:tblGrid>
      <w:tr w:rsidR="00247103" w:rsidRPr="00D4685B" w:rsidTr="00247103">
        <w:trPr>
          <w:trHeight w:val="330"/>
          <w:jc w:val="center"/>
        </w:trPr>
        <w:tc>
          <w:tcPr>
            <w:tcW w:w="2360" w:type="dxa"/>
            <w:tcBorders>
              <w:top w:val="single" w:sz="4" w:space="0" w:color="auto"/>
              <w:left w:val="nil"/>
              <w:bottom w:val="single" w:sz="4" w:space="0" w:color="auto"/>
              <w:right w:val="nil"/>
            </w:tcBorders>
            <w:shd w:val="clear" w:color="auto" w:fill="auto"/>
            <w:noWrap/>
            <w:vAlign w:val="center"/>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Variable</w:t>
            </w:r>
          </w:p>
        </w:tc>
        <w:tc>
          <w:tcPr>
            <w:tcW w:w="1380" w:type="dxa"/>
            <w:tcBorders>
              <w:top w:val="single" w:sz="4" w:space="0" w:color="auto"/>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Observations</w:t>
            </w:r>
          </w:p>
        </w:tc>
        <w:tc>
          <w:tcPr>
            <w:tcW w:w="1060" w:type="dxa"/>
            <w:tcBorders>
              <w:top w:val="single" w:sz="4" w:space="0" w:color="auto"/>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Mean</w:t>
            </w:r>
          </w:p>
        </w:tc>
        <w:tc>
          <w:tcPr>
            <w:tcW w:w="1120" w:type="dxa"/>
            <w:tcBorders>
              <w:top w:val="single" w:sz="4" w:space="0" w:color="auto"/>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Std. Dev.</w:t>
            </w:r>
          </w:p>
        </w:tc>
        <w:tc>
          <w:tcPr>
            <w:tcW w:w="1140" w:type="dxa"/>
            <w:tcBorders>
              <w:top w:val="single" w:sz="4" w:space="0" w:color="auto"/>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Minimum</w:t>
            </w:r>
          </w:p>
        </w:tc>
        <w:tc>
          <w:tcPr>
            <w:tcW w:w="1220" w:type="dxa"/>
            <w:tcBorders>
              <w:top w:val="single" w:sz="4" w:space="0" w:color="auto"/>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Maximum</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0036A7">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w:t>
            </w:r>
            <w:r w:rsidR="000036A7" w:rsidRPr="00D4685B">
              <w:rPr>
                <w:rFonts w:ascii="Times New Roman" w:eastAsiaTheme="minorEastAsia" w:hAnsi="Times New Roman"/>
                <w:color w:val="000000"/>
                <w:kern w:val="0"/>
                <w:szCs w:val="24"/>
              </w:rPr>
              <w:t xml:space="preserve"> s</w:t>
            </w:r>
            <w:r w:rsidRPr="00D4685B">
              <w:rPr>
                <w:rFonts w:ascii="Times New Roman" w:eastAsiaTheme="minorEastAsia" w:hAnsi="Times New Roman"/>
                <w:color w:val="000000"/>
                <w:kern w:val="0"/>
                <w:szCs w:val="24"/>
              </w:rPr>
              <w:t>eat</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41.71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14.69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67.1</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0036A7">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w:t>
            </w:r>
            <w:r w:rsidR="000036A7" w:rsidRPr="00D4685B">
              <w:rPr>
                <w:rFonts w:ascii="Times New Roman" w:eastAsiaTheme="minorEastAsia" w:hAnsi="Times New Roman"/>
                <w:color w:val="000000"/>
                <w:kern w:val="0"/>
                <w:szCs w:val="24"/>
              </w:rPr>
              <w:t xml:space="preserve"> v</w:t>
            </w:r>
            <w:r w:rsidRPr="00D4685B">
              <w:rPr>
                <w:rFonts w:ascii="Times New Roman" w:eastAsiaTheme="minorEastAsia" w:hAnsi="Times New Roman"/>
                <w:color w:val="000000"/>
                <w:kern w:val="0"/>
                <w:szCs w:val="24"/>
              </w:rPr>
              <w:t>ote</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40.30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11.43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57.1</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3.05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1.38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5</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0036A7">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Union </w:t>
            </w:r>
            <w:r w:rsidR="000036A7" w:rsidRPr="00D4685B">
              <w:rPr>
                <w:rFonts w:ascii="Times New Roman" w:eastAsiaTheme="minorEastAsia" w:hAnsi="Times New Roman"/>
                <w:color w:val="000000"/>
                <w:kern w:val="0"/>
                <w:szCs w:val="24"/>
              </w:rPr>
              <w:t>d</w:t>
            </w:r>
            <w:r w:rsidRPr="00D4685B">
              <w:rPr>
                <w:rFonts w:ascii="Times New Roman" w:eastAsiaTheme="minorEastAsia" w:hAnsi="Times New Roman"/>
                <w:color w:val="000000"/>
                <w:kern w:val="0"/>
                <w:szCs w:val="24"/>
              </w:rPr>
              <w:t>ensity</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464</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39.12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21.80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7.6</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87.4</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1.12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0.16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1.01 </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2.37 </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center"/>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235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36.24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8.94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21.7</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52.1</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Turnout</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75.81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11.54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42.25</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95.83</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GDP per capita</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22255.57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9860.3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3790.55</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60479.8</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7E6E4A">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Gov. </w:t>
            </w:r>
            <w:r w:rsidR="007E6E4A" w:rsidRPr="00D4685B">
              <w:rPr>
                <w:rFonts w:ascii="Times New Roman" w:eastAsiaTheme="minorEastAsia" w:hAnsi="Times New Roman"/>
                <w:color w:val="000000"/>
                <w:kern w:val="0"/>
                <w:szCs w:val="24"/>
              </w:rPr>
              <w:t>e</w:t>
            </w:r>
            <w:r w:rsidRPr="00D4685B">
              <w:rPr>
                <w:rFonts w:ascii="Times New Roman" w:eastAsiaTheme="minorEastAsia" w:hAnsi="Times New Roman"/>
                <w:color w:val="000000"/>
                <w:kern w:val="0"/>
                <w:szCs w:val="24"/>
              </w:rPr>
              <w:t>xp.</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20.28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3.69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11.09</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29.9</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7E6E4A">
            <w:pPr>
              <w:widowControl/>
              <w:rPr>
                <w:rFonts w:ascii="Times New Roman" w:eastAsiaTheme="minorEastAsia" w:hAnsi="Times New Roman"/>
                <w:color w:val="000000"/>
                <w:kern w:val="0"/>
                <w:szCs w:val="24"/>
              </w:rPr>
            </w:pPr>
            <w:proofErr w:type="spellStart"/>
            <w:r w:rsidRPr="00D4685B">
              <w:rPr>
                <w:rFonts w:ascii="Times New Roman" w:eastAsiaTheme="minorEastAsia" w:hAnsi="Times New Roman"/>
                <w:color w:val="000000"/>
                <w:kern w:val="0"/>
                <w:szCs w:val="24"/>
              </w:rPr>
              <w:t>Manufact</w:t>
            </w:r>
            <w:proofErr w:type="spellEnd"/>
            <w:r w:rsidRPr="00D4685B">
              <w:rPr>
                <w:rFonts w:ascii="Times New Roman" w:eastAsiaTheme="minorEastAsia" w:hAnsi="Times New Roman"/>
                <w:color w:val="000000"/>
                <w:kern w:val="0"/>
                <w:szCs w:val="24"/>
              </w:rPr>
              <w:t xml:space="preserve">. </w:t>
            </w:r>
            <w:r w:rsidR="007E6E4A" w:rsidRPr="00D4685B">
              <w:rPr>
                <w:rFonts w:ascii="Times New Roman" w:eastAsiaTheme="minorEastAsia" w:hAnsi="Times New Roman"/>
                <w:color w:val="000000"/>
                <w:kern w:val="0"/>
                <w:szCs w:val="24"/>
              </w:rPr>
              <w:t>e</w:t>
            </w:r>
            <w:r w:rsidRPr="00D4685B">
              <w:rPr>
                <w:rFonts w:ascii="Times New Roman" w:eastAsiaTheme="minorEastAsia" w:hAnsi="Times New Roman"/>
                <w:color w:val="000000"/>
                <w:kern w:val="0"/>
                <w:szCs w:val="24"/>
              </w:rPr>
              <w:t>mploy</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17.43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4.04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8.91 </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29.91 </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Unemployment</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7.42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3.45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1.49 </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19.53 </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7E6E4A">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Female </w:t>
            </w:r>
            <w:r w:rsidR="001E0BB6" w:rsidRPr="00D4685B">
              <w:rPr>
                <w:rFonts w:ascii="Times New Roman" w:eastAsiaTheme="minorEastAsia" w:hAnsi="Times New Roman"/>
                <w:color w:val="000000"/>
                <w:kern w:val="0"/>
                <w:szCs w:val="24"/>
              </w:rPr>
              <w:t>labor</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416</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56.61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12.54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25.79 </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80.96 </w:t>
            </w:r>
          </w:p>
        </w:tc>
      </w:tr>
      <w:tr w:rsidR="0088558A"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88558A" w:rsidRPr="00D4685B" w:rsidRDefault="0088558A" w:rsidP="00D723A4">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Old</w:t>
            </w:r>
            <w:r w:rsidR="00D723A4" w:rsidRPr="00D4685B">
              <w:rPr>
                <w:rFonts w:ascii="Times New Roman" w:eastAsiaTheme="minorEastAsia" w:hAnsi="Times New Roman"/>
                <w:color w:val="000000"/>
                <w:kern w:val="0"/>
                <w:szCs w:val="24"/>
              </w:rPr>
              <w:t xml:space="preserve"> </w:t>
            </w:r>
            <w:r w:rsidRPr="00D4685B">
              <w:rPr>
                <w:rFonts w:ascii="Times New Roman" w:eastAsiaTheme="minorEastAsia" w:hAnsi="Times New Roman"/>
                <w:color w:val="000000"/>
                <w:kern w:val="0"/>
                <w:szCs w:val="24"/>
              </w:rPr>
              <w:t>age population</w:t>
            </w:r>
          </w:p>
        </w:tc>
        <w:tc>
          <w:tcPr>
            <w:tcW w:w="1380" w:type="dxa"/>
            <w:tcBorders>
              <w:top w:val="nil"/>
              <w:left w:val="nil"/>
              <w:bottom w:val="nil"/>
              <w:right w:val="nil"/>
            </w:tcBorders>
            <w:shd w:val="clear" w:color="auto" w:fill="auto"/>
            <w:noWrap/>
            <w:vAlign w:val="center"/>
            <w:hideMark/>
          </w:tcPr>
          <w:p w:rsidR="0088558A" w:rsidRPr="00D4685B" w:rsidRDefault="00235D4A"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nil"/>
              <w:right w:val="nil"/>
            </w:tcBorders>
            <w:shd w:val="clear" w:color="auto" w:fill="auto"/>
            <w:noWrap/>
            <w:vAlign w:val="center"/>
            <w:hideMark/>
          </w:tcPr>
          <w:p w:rsidR="0088558A" w:rsidRPr="00D4685B" w:rsidRDefault="00235D4A"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14.35</w:t>
            </w:r>
          </w:p>
        </w:tc>
        <w:tc>
          <w:tcPr>
            <w:tcW w:w="1120" w:type="dxa"/>
            <w:tcBorders>
              <w:top w:val="nil"/>
              <w:left w:val="nil"/>
              <w:bottom w:val="nil"/>
              <w:right w:val="nil"/>
            </w:tcBorders>
            <w:shd w:val="clear" w:color="auto" w:fill="auto"/>
            <w:noWrap/>
            <w:vAlign w:val="center"/>
            <w:hideMark/>
          </w:tcPr>
          <w:p w:rsidR="0088558A" w:rsidRPr="00D4685B" w:rsidRDefault="00235D4A"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2.40</w:t>
            </w:r>
          </w:p>
        </w:tc>
        <w:tc>
          <w:tcPr>
            <w:tcW w:w="1140" w:type="dxa"/>
            <w:tcBorders>
              <w:top w:val="nil"/>
              <w:left w:val="nil"/>
              <w:bottom w:val="nil"/>
              <w:right w:val="nil"/>
            </w:tcBorders>
            <w:shd w:val="clear" w:color="auto" w:fill="auto"/>
            <w:noWrap/>
            <w:vAlign w:val="center"/>
            <w:hideMark/>
          </w:tcPr>
          <w:p w:rsidR="0088558A" w:rsidRPr="00D4685B" w:rsidRDefault="00235D4A"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8</w:t>
            </w:r>
          </w:p>
        </w:tc>
        <w:tc>
          <w:tcPr>
            <w:tcW w:w="1220" w:type="dxa"/>
            <w:tcBorders>
              <w:top w:val="nil"/>
              <w:left w:val="nil"/>
              <w:bottom w:val="nil"/>
              <w:right w:val="nil"/>
            </w:tcBorders>
            <w:shd w:val="clear" w:color="auto" w:fill="auto"/>
            <w:noWrap/>
            <w:vAlign w:val="center"/>
            <w:hideMark/>
          </w:tcPr>
          <w:p w:rsidR="0088558A" w:rsidRPr="00D4685B" w:rsidRDefault="00235D4A"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20.5</w:t>
            </w:r>
          </w:p>
        </w:tc>
      </w:tr>
      <w:tr w:rsidR="00247103" w:rsidRPr="00D4685B" w:rsidTr="00247103">
        <w:trPr>
          <w:trHeight w:val="330"/>
          <w:jc w:val="center"/>
        </w:trPr>
        <w:tc>
          <w:tcPr>
            <w:tcW w:w="2360" w:type="dxa"/>
            <w:tcBorders>
              <w:top w:val="nil"/>
              <w:left w:val="nil"/>
              <w:bottom w:val="nil"/>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Debt</w:t>
            </w:r>
          </w:p>
        </w:tc>
        <w:tc>
          <w:tcPr>
            <w:tcW w:w="138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382</w:t>
            </w:r>
          </w:p>
        </w:tc>
        <w:tc>
          <w:tcPr>
            <w:tcW w:w="106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51.69 </w:t>
            </w:r>
          </w:p>
        </w:tc>
        <w:tc>
          <w:tcPr>
            <w:tcW w:w="11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28.40 </w:t>
            </w:r>
          </w:p>
        </w:tc>
        <w:tc>
          <w:tcPr>
            <w:tcW w:w="114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6.0 </w:t>
            </w:r>
          </w:p>
        </w:tc>
        <w:tc>
          <w:tcPr>
            <w:tcW w:w="1220" w:type="dxa"/>
            <w:tcBorders>
              <w:top w:val="nil"/>
              <w:left w:val="nil"/>
              <w:bottom w:val="nil"/>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118.3 </w:t>
            </w:r>
          </w:p>
        </w:tc>
      </w:tr>
      <w:tr w:rsidR="00247103" w:rsidRPr="00D4685B" w:rsidTr="00247103">
        <w:trPr>
          <w:trHeight w:val="330"/>
          <w:jc w:val="center"/>
        </w:trPr>
        <w:tc>
          <w:tcPr>
            <w:tcW w:w="2360" w:type="dxa"/>
            <w:tcBorders>
              <w:top w:val="nil"/>
              <w:left w:val="nil"/>
              <w:bottom w:val="single" w:sz="4" w:space="0" w:color="auto"/>
              <w:right w:val="nil"/>
            </w:tcBorders>
            <w:shd w:val="clear" w:color="auto" w:fill="auto"/>
            <w:noWrap/>
            <w:vAlign w:val="bottom"/>
            <w:hideMark/>
          </w:tcPr>
          <w:p w:rsidR="00247103" w:rsidRPr="00D4685B" w:rsidRDefault="00247103" w:rsidP="0024710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ENPP</w:t>
            </w:r>
          </w:p>
        </w:tc>
        <w:tc>
          <w:tcPr>
            <w:tcW w:w="1380" w:type="dxa"/>
            <w:tcBorders>
              <w:top w:val="nil"/>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465</w:t>
            </w:r>
          </w:p>
        </w:tc>
        <w:tc>
          <w:tcPr>
            <w:tcW w:w="1060" w:type="dxa"/>
            <w:tcBorders>
              <w:top w:val="nil"/>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3.52 </w:t>
            </w:r>
          </w:p>
        </w:tc>
        <w:tc>
          <w:tcPr>
            <w:tcW w:w="1120" w:type="dxa"/>
            <w:tcBorders>
              <w:top w:val="nil"/>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1.45 </w:t>
            </w:r>
          </w:p>
        </w:tc>
        <w:tc>
          <w:tcPr>
            <w:tcW w:w="1140" w:type="dxa"/>
            <w:tcBorders>
              <w:top w:val="nil"/>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1.69</w:t>
            </w:r>
          </w:p>
        </w:tc>
        <w:tc>
          <w:tcPr>
            <w:tcW w:w="1220" w:type="dxa"/>
            <w:tcBorders>
              <w:top w:val="nil"/>
              <w:left w:val="nil"/>
              <w:bottom w:val="single" w:sz="4" w:space="0" w:color="auto"/>
              <w:right w:val="nil"/>
            </w:tcBorders>
            <w:shd w:val="clear" w:color="auto" w:fill="auto"/>
            <w:noWrap/>
            <w:vAlign w:val="center"/>
            <w:hideMark/>
          </w:tcPr>
          <w:p w:rsidR="00247103" w:rsidRPr="00D4685B" w:rsidRDefault="00247103" w:rsidP="0024710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9.05</w:t>
            </w:r>
          </w:p>
        </w:tc>
      </w:tr>
    </w:tbl>
    <w:p w:rsidR="00247103" w:rsidRPr="000B14F3" w:rsidRDefault="00247103" w:rsidP="005C7DC4">
      <w:pPr>
        <w:rPr>
          <w:rFonts w:ascii="Times New Roman" w:hAnsi="Times New Roman"/>
          <w:color w:val="000000"/>
          <w:kern w:val="0"/>
          <w:szCs w:val="24"/>
        </w:rPr>
      </w:pPr>
    </w:p>
    <w:p w:rsidR="00B95DBA" w:rsidRPr="000B14F3" w:rsidRDefault="008650FB" w:rsidP="005C7DC4">
      <w:pPr>
        <w:rPr>
          <w:rFonts w:ascii="Times New Roman" w:hAnsi="Times New Roman"/>
          <w:color w:val="000000"/>
          <w:kern w:val="0"/>
          <w:szCs w:val="24"/>
        </w:rPr>
      </w:pPr>
      <w:r w:rsidRPr="000B14F3">
        <w:rPr>
          <w:rFonts w:ascii="Times New Roman" w:hAnsi="Times New Roman"/>
          <w:color w:val="000000"/>
          <w:kern w:val="0"/>
          <w:szCs w:val="24"/>
        </w:rPr>
        <w:br w:type="page"/>
      </w:r>
    </w:p>
    <w:p w:rsidR="008650FB" w:rsidRPr="000B14F3" w:rsidRDefault="008650FB" w:rsidP="008650FB">
      <w:pPr>
        <w:jc w:val="center"/>
        <w:rPr>
          <w:rFonts w:ascii="Times New Roman" w:hAnsi="Times New Roman"/>
          <w:b/>
          <w:color w:val="000000"/>
          <w:kern w:val="0"/>
          <w:szCs w:val="24"/>
        </w:rPr>
      </w:pPr>
      <w:r w:rsidRPr="000B14F3">
        <w:rPr>
          <w:rFonts w:ascii="Times New Roman" w:hAnsi="Times New Roman"/>
          <w:b/>
          <w:color w:val="000000"/>
          <w:kern w:val="0"/>
          <w:szCs w:val="24"/>
        </w:rPr>
        <w:t>Correlation</w:t>
      </w:r>
      <w:r w:rsidR="00E0545F" w:rsidRPr="000B14F3">
        <w:rPr>
          <w:rFonts w:ascii="Times New Roman" w:hAnsi="Times New Roman"/>
          <w:b/>
          <w:color w:val="000000"/>
          <w:kern w:val="0"/>
          <w:szCs w:val="24"/>
        </w:rPr>
        <w:t xml:space="preserve"> Figures</w:t>
      </w:r>
    </w:p>
    <w:p w:rsidR="00B95DBA" w:rsidRPr="000B14F3" w:rsidRDefault="00B95DBA" w:rsidP="005C7DC4">
      <w:pPr>
        <w:rPr>
          <w:rFonts w:ascii="Times New Roman" w:hAnsi="Times New Roman"/>
          <w:color w:val="000000"/>
          <w:kern w:val="0"/>
          <w:szCs w:val="24"/>
        </w:rPr>
      </w:pPr>
    </w:p>
    <w:tbl>
      <w:tblPr>
        <w:tblW w:w="11420" w:type="dxa"/>
        <w:jc w:val="center"/>
        <w:tblInd w:w="11" w:type="dxa"/>
        <w:tblCellMar>
          <w:left w:w="28" w:type="dxa"/>
          <w:right w:w="28" w:type="dxa"/>
        </w:tblCellMar>
        <w:tblLook w:val="04A0"/>
      </w:tblPr>
      <w:tblGrid>
        <w:gridCol w:w="2180"/>
        <w:gridCol w:w="660"/>
        <w:gridCol w:w="660"/>
        <w:gridCol w:w="660"/>
        <w:gridCol w:w="660"/>
        <w:gridCol w:w="660"/>
        <w:gridCol w:w="660"/>
        <w:gridCol w:w="660"/>
        <w:gridCol w:w="660"/>
        <w:gridCol w:w="660"/>
        <w:gridCol w:w="660"/>
        <w:gridCol w:w="660"/>
        <w:gridCol w:w="660"/>
        <w:gridCol w:w="660"/>
        <w:gridCol w:w="660"/>
      </w:tblGrid>
      <w:tr w:rsidR="008650FB" w:rsidRPr="00D4685B" w:rsidTr="008650FB">
        <w:trPr>
          <w:trHeight w:val="330"/>
          <w:jc w:val="center"/>
        </w:trPr>
        <w:tc>
          <w:tcPr>
            <w:tcW w:w="218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　</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(5)</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(8)</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(10)</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(11)</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(12)</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(13)</w:t>
            </w:r>
          </w:p>
        </w:tc>
        <w:tc>
          <w:tcPr>
            <w:tcW w:w="660" w:type="dxa"/>
            <w:tcBorders>
              <w:top w:val="single" w:sz="4" w:space="0" w:color="auto"/>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w:t>
            </w: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 Left seat</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single" w:sz="4" w:space="0" w:color="auto"/>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　</w:t>
            </w: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 Corporatism</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0.22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 Union density</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0.48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 MMR</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-0.63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(5) Redistribution</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0.67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0.77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 Turnout</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 GDP per capita</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0.38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(8) Gov. exp</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0.02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0.72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0.80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 Manufacturing</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0.29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(10) Unemployment</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(11) Female </w:t>
            </w:r>
            <w:r w:rsidR="001E0BB6" w:rsidRPr="00D4685B">
              <w:rPr>
                <w:rFonts w:ascii="Times New Roman" w:eastAsiaTheme="minorEastAsia" w:hAnsi="Times New Roman"/>
                <w:color w:val="000000"/>
                <w:kern w:val="0"/>
                <w:szCs w:val="24"/>
              </w:rPr>
              <w:t>labor</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0.38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(12) Old age pop.</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0.60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0.65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0.06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0.39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nil"/>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(13) Debt</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0.39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-0.04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0.52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-0.02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0.51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0.25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-0.07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0.33 </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c>
          <w:tcPr>
            <w:tcW w:w="660" w:type="dxa"/>
            <w:tcBorders>
              <w:top w:val="nil"/>
              <w:left w:val="nil"/>
              <w:bottom w:val="nil"/>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p>
        </w:tc>
      </w:tr>
      <w:tr w:rsidR="008650FB" w:rsidRPr="00D4685B" w:rsidTr="008650FB">
        <w:trPr>
          <w:trHeight w:val="330"/>
          <w:jc w:val="center"/>
        </w:trPr>
        <w:tc>
          <w:tcPr>
            <w:tcW w:w="218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 ENPP</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-0.08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0.64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0.40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-0.41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0.54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-0.07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0.15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0.16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0.32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-0.08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0.03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0.53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0.46 </w:t>
            </w:r>
          </w:p>
        </w:tc>
        <w:tc>
          <w:tcPr>
            <w:tcW w:w="660" w:type="dxa"/>
            <w:tcBorders>
              <w:top w:val="nil"/>
              <w:left w:val="nil"/>
              <w:bottom w:val="single" w:sz="4" w:space="0" w:color="auto"/>
              <w:right w:val="nil"/>
            </w:tcBorders>
            <w:shd w:val="clear" w:color="auto" w:fill="auto"/>
            <w:noWrap/>
            <w:vAlign w:val="center"/>
            <w:hideMark/>
          </w:tcPr>
          <w:p w:rsidR="008650FB" w:rsidRPr="00D4685B" w:rsidRDefault="008650FB" w:rsidP="008650FB">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w:t>
            </w:r>
          </w:p>
        </w:tc>
      </w:tr>
    </w:tbl>
    <w:p w:rsidR="008650FB" w:rsidRPr="000B14F3" w:rsidRDefault="008650FB" w:rsidP="005C7DC4">
      <w:pPr>
        <w:rPr>
          <w:rFonts w:ascii="Times New Roman" w:hAnsi="Times New Roman"/>
          <w:color w:val="000000"/>
          <w:kern w:val="0"/>
          <w:szCs w:val="24"/>
        </w:rPr>
      </w:pPr>
    </w:p>
    <w:p w:rsidR="008650FB" w:rsidRPr="000B14F3" w:rsidRDefault="008650FB" w:rsidP="005C7DC4">
      <w:pPr>
        <w:rPr>
          <w:rFonts w:ascii="Times New Roman" w:hAnsi="Times New Roman"/>
          <w:color w:val="000000"/>
          <w:kern w:val="0"/>
          <w:szCs w:val="24"/>
        </w:rPr>
      </w:pPr>
    </w:p>
    <w:p w:rsidR="00247103" w:rsidRPr="000B14F3" w:rsidRDefault="00247103" w:rsidP="005C7DC4">
      <w:pPr>
        <w:rPr>
          <w:rFonts w:ascii="Times New Roman" w:hAnsi="Times New Roman"/>
          <w:color w:val="000000"/>
          <w:kern w:val="0"/>
          <w:szCs w:val="24"/>
        </w:rPr>
      </w:pPr>
    </w:p>
    <w:p w:rsidR="00C85107" w:rsidRDefault="005C7DC4" w:rsidP="00CC3F80">
      <w:pPr>
        <w:jc w:val="center"/>
        <w:rPr>
          <w:rFonts w:ascii="Times New Roman" w:hAnsi="Times New Roman"/>
          <w:b/>
          <w:lang w:eastAsia="zh-HK"/>
        </w:rPr>
      </w:pPr>
      <w:r w:rsidRPr="000B14F3">
        <w:rPr>
          <w:rFonts w:ascii="Times New Roman" w:hAnsi="Times New Roman"/>
        </w:rPr>
        <w:br w:type="page"/>
      </w:r>
    </w:p>
    <w:p w:rsidR="00CC3F80" w:rsidRDefault="00CC3F80" w:rsidP="00CC3F80">
      <w:pPr>
        <w:jc w:val="center"/>
        <w:rPr>
          <w:rFonts w:ascii="Times New Roman" w:hAnsi="Times New Roman"/>
          <w:b/>
          <w:lang w:eastAsia="zh-HK"/>
        </w:rPr>
      </w:pPr>
      <w:r w:rsidRPr="000B14F3">
        <w:rPr>
          <w:rFonts w:ascii="Times New Roman" w:hAnsi="Times New Roman"/>
          <w:b/>
          <w:lang w:eastAsia="zh-HK"/>
        </w:rPr>
        <w:t>Robustness Tests</w:t>
      </w:r>
    </w:p>
    <w:p w:rsidR="00A018DC" w:rsidRPr="000B14F3" w:rsidRDefault="00A018DC" w:rsidP="00CC3F80">
      <w:pPr>
        <w:jc w:val="center"/>
        <w:rPr>
          <w:rFonts w:ascii="Times New Roman" w:hAnsi="Times New Roman"/>
          <w:b/>
          <w:lang w:eastAsia="zh-HK"/>
        </w:rPr>
      </w:pPr>
    </w:p>
    <w:p w:rsidR="00863409" w:rsidRPr="000B14F3" w:rsidRDefault="00863409" w:rsidP="00863409">
      <w:pPr>
        <w:rPr>
          <w:rFonts w:ascii="Times New Roman" w:hAnsi="Times New Roman"/>
          <w:b/>
          <w:i/>
        </w:rPr>
      </w:pPr>
      <w:r w:rsidRPr="000B14F3">
        <w:rPr>
          <w:rFonts w:ascii="Times New Roman" w:hAnsi="Times New Roman"/>
          <w:b/>
          <w:i/>
        </w:rPr>
        <w:t>Explaining Left Vote Share</w:t>
      </w:r>
    </w:p>
    <w:p w:rsidR="00863409" w:rsidRPr="000B14F3" w:rsidRDefault="001071AE" w:rsidP="006971B2">
      <w:pPr>
        <w:jc w:val="both"/>
        <w:rPr>
          <w:rFonts w:ascii="Times New Roman" w:hAnsi="Times New Roman"/>
        </w:rPr>
      </w:pPr>
      <w:r w:rsidRPr="000B14F3">
        <w:rPr>
          <w:rFonts w:ascii="Times New Roman" w:hAnsi="Times New Roman"/>
        </w:rPr>
        <w:t xml:space="preserve">As mentioned in the </w:t>
      </w:r>
      <w:r w:rsidR="00546D4A" w:rsidRPr="000B14F3">
        <w:rPr>
          <w:rFonts w:ascii="Times New Roman" w:hAnsi="Times New Roman"/>
        </w:rPr>
        <w:t>article</w:t>
      </w:r>
      <w:r w:rsidR="006971B2" w:rsidRPr="000B14F3">
        <w:rPr>
          <w:rFonts w:ascii="Times New Roman" w:hAnsi="Times New Roman"/>
        </w:rPr>
        <w:t>,</w:t>
      </w:r>
      <w:r w:rsidRPr="000B14F3">
        <w:rPr>
          <w:rFonts w:ascii="Times New Roman" w:hAnsi="Times New Roman"/>
        </w:rPr>
        <w:t xml:space="preserve"> </w:t>
      </w:r>
      <w:r w:rsidR="006971B2" w:rsidRPr="000B14F3">
        <w:rPr>
          <w:rFonts w:ascii="Times New Roman" w:hAnsi="Times New Roman"/>
        </w:rPr>
        <w:t xml:space="preserve">the insignificance of every variable </w:t>
      </w:r>
      <w:r w:rsidR="00084E69" w:rsidRPr="000B14F3">
        <w:rPr>
          <w:rFonts w:ascii="Times New Roman" w:hAnsi="Times New Roman"/>
        </w:rPr>
        <w:t>except</w:t>
      </w:r>
      <w:r w:rsidR="006971B2" w:rsidRPr="000B14F3">
        <w:rPr>
          <w:rFonts w:ascii="Times New Roman" w:hAnsi="Times New Roman"/>
        </w:rPr>
        <w:t xml:space="preserve"> MMR in all specifications </w:t>
      </w:r>
      <w:r w:rsidR="000A7B60">
        <w:rPr>
          <w:rFonts w:ascii="Times New Roman" w:hAnsi="Times New Roman"/>
        </w:rPr>
        <w:t>in the tests of H1 could</w:t>
      </w:r>
      <w:r w:rsidR="006971B2" w:rsidRPr="000B14F3">
        <w:rPr>
          <w:rFonts w:ascii="Times New Roman" w:hAnsi="Times New Roman"/>
        </w:rPr>
        <w:t xml:space="preserve"> be a source of concern. </w:t>
      </w:r>
      <w:r w:rsidR="00CC2511">
        <w:rPr>
          <w:rFonts w:ascii="Times New Roman" w:hAnsi="Times New Roman"/>
        </w:rPr>
        <w:t xml:space="preserve">First, </w:t>
      </w:r>
      <w:r w:rsidR="006971B2" w:rsidRPr="000B14F3">
        <w:rPr>
          <w:rFonts w:ascii="Times New Roman" w:hAnsi="Times New Roman"/>
        </w:rPr>
        <w:t xml:space="preserve">I suspect </w:t>
      </w:r>
      <w:r w:rsidR="008E406E">
        <w:rPr>
          <w:rFonts w:ascii="Times New Roman" w:hAnsi="Times New Roman"/>
        </w:rPr>
        <w:t>this may be</w:t>
      </w:r>
      <w:r w:rsidR="006971B2" w:rsidRPr="000B14F3">
        <w:rPr>
          <w:rFonts w:ascii="Times New Roman" w:hAnsi="Times New Roman"/>
        </w:rPr>
        <w:t xml:space="preserve"> due to the use of two sets of fixed effects absorbing </w:t>
      </w:r>
      <w:r w:rsidR="00AD177C">
        <w:rPr>
          <w:rFonts w:ascii="Times New Roman" w:hAnsi="Times New Roman"/>
        </w:rPr>
        <w:t>‘</w:t>
      </w:r>
      <w:r w:rsidR="006971B2" w:rsidRPr="000B14F3">
        <w:rPr>
          <w:rFonts w:ascii="Times New Roman" w:hAnsi="Times New Roman"/>
        </w:rPr>
        <w:t>too much</w:t>
      </w:r>
      <w:r w:rsidR="00AD177C">
        <w:rPr>
          <w:rFonts w:ascii="Times New Roman" w:hAnsi="Times New Roman"/>
        </w:rPr>
        <w:t>’</w:t>
      </w:r>
      <w:r w:rsidR="006971B2" w:rsidRPr="000B14F3">
        <w:rPr>
          <w:rFonts w:ascii="Times New Roman" w:hAnsi="Times New Roman"/>
        </w:rPr>
        <w:t xml:space="preserve"> variation. If country fixed effects are removed </w:t>
      </w:r>
      <w:r w:rsidR="00DE33BF">
        <w:rPr>
          <w:rFonts w:ascii="Times New Roman" w:hAnsi="Times New Roman"/>
        </w:rPr>
        <w:t>from</w:t>
      </w:r>
      <w:r w:rsidR="006B20D0" w:rsidRPr="006B20D0">
        <w:rPr>
          <w:rFonts w:ascii="Times New Roman" w:hAnsi="Times New Roman"/>
        </w:rPr>
        <w:t xml:space="preserve"> </w:t>
      </w:r>
      <w:r w:rsidR="006B20D0" w:rsidRPr="000B14F3">
        <w:rPr>
          <w:rFonts w:ascii="Times New Roman" w:hAnsi="Times New Roman"/>
        </w:rPr>
        <w:t>model M1</w:t>
      </w:r>
      <w:r w:rsidR="006B20D0">
        <w:rPr>
          <w:rFonts w:ascii="Times New Roman" w:hAnsi="Times New Roman"/>
        </w:rPr>
        <w:t xml:space="preserve"> in</w:t>
      </w:r>
      <w:r w:rsidR="006971B2" w:rsidRPr="000B14F3">
        <w:rPr>
          <w:rFonts w:ascii="Times New Roman" w:hAnsi="Times New Roman"/>
        </w:rPr>
        <w:t xml:space="preserve"> </w:t>
      </w:r>
      <w:r w:rsidR="003E05F6" w:rsidRPr="000B14F3">
        <w:rPr>
          <w:rFonts w:ascii="Times New Roman" w:hAnsi="Times New Roman"/>
        </w:rPr>
        <w:t>Table A1</w:t>
      </w:r>
      <w:r w:rsidR="006971B2" w:rsidRPr="000B14F3">
        <w:rPr>
          <w:rFonts w:ascii="Times New Roman" w:hAnsi="Times New Roman"/>
        </w:rPr>
        <w:t>, the magnitude of</w:t>
      </w:r>
      <w:r w:rsidR="002C6D12" w:rsidRPr="000B14F3">
        <w:rPr>
          <w:rFonts w:ascii="Times New Roman" w:hAnsi="Times New Roman"/>
        </w:rPr>
        <w:t xml:space="preserve"> the coefficients of MMR </w:t>
      </w:r>
      <w:r w:rsidR="008010A7">
        <w:rPr>
          <w:rFonts w:ascii="Times New Roman" w:hAnsi="Times New Roman"/>
        </w:rPr>
        <w:t>is reduced</w:t>
      </w:r>
      <w:r w:rsidR="006971B2" w:rsidRPr="000B14F3">
        <w:rPr>
          <w:rFonts w:ascii="Times New Roman" w:hAnsi="Times New Roman"/>
        </w:rPr>
        <w:t>, but remain</w:t>
      </w:r>
      <w:r w:rsidR="005866D7">
        <w:rPr>
          <w:rFonts w:ascii="Times New Roman" w:hAnsi="Times New Roman"/>
        </w:rPr>
        <w:t>s</w:t>
      </w:r>
      <w:r w:rsidR="006971B2" w:rsidRPr="000B14F3">
        <w:rPr>
          <w:rFonts w:ascii="Times New Roman" w:hAnsi="Times New Roman"/>
        </w:rPr>
        <w:t xml:space="preserve"> significant at the 10% level. No other variable, except ENPP, is significant at conventional levels. </w:t>
      </w:r>
      <w:r w:rsidR="002F4DAD">
        <w:rPr>
          <w:rFonts w:ascii="Times New Roman" w:hAnsi="Times New Roman"/>
        </w:rPr>
        <w:t>S</w:t>
      </w:r>
      <w:r w:rsidR="006971B2" w:rsidRPr="000B14F3">
        <w:rPr>
          <w:rFonts w:ascii="Times New Roman" w:hAnsi="Times New Roman"/>
        </w:rPr>
        <w:t xml:space="preserve">imilar things </w:t>
      </w:r>
      <w:r w:rsidR="002F4DAD">
        <w:rPr>
          <w:rFonts w:ascii="Times New Roman" w:hAnsi="Times New Roman"/>
        </w:rPr>
        <w:t xml:space="preserve">occur </w:t>
      </w:r>
      <w:r w:rsidR="006971B2" w:rsidRPr="000B14F3">
        <w:rPr>
          <w:rFonts w:ascii="Times New Roman" w:hAnsi="Times New Roman"/>
        </w:rPr>
        <w:t xml:space="preserve">when year dummies are </w:t>
      </w:r>
      <w:r w:rsidR="00732BB2">
        <w:rPr>
          <w:rFonts w:ascii="Times New Roman" w:hAnsi="Times New Roman"/>
        </w:rPr>
        <w:t>re</w:t>
      </w:r>
      <w:r w:rsidR="006971B2" w:rsidRPr="000B14F3">
        <w:rPr>
          <w:rFonts w:ascii="Times New Roman" w:hAnsi="Times New Roman"/>
        </w:rPr>
        <w:t xml:space="preserve">placed by decadal </w:t>
      </w:r>
      <w:r w:rsidR="002F4DAD">
        <w:rPr>
          <w:rFonts w:ascii="Times New Roman" w:hAnsi="Times New Roman"/>
        </w:rPr>
        <w:t xml:space="preserve">ones </w:t>
      </w:r>
      <w:r w:rsidR="006971B2" w:rsidRPr="000B14F3">
        <w:rPr>
          <w:rFonts w:ascii="Times New Roman" w:hAnsi="Times New Roman"/>
        </w:rPr>
        <w:t xml:space="preserve">in model M2. The second reason might be the change in politics over time. Separate regressions are run for observations before and after 1989 (mid-point in the panel) in models M3 and M4. The distinction is immediately obvious: in the earlier time period, four other variables are significant, but not MMR; in the more recent period, only MMR and </w:t>
      </w:r>
      <w:r w:rsidR="00364D06" w:rsidRPr="000B14F3">
        <w:rPr>
          <w:rFonts w:ascii="Times New Roman" w:hAnsi="Times New Roman"/>
        </w:rPr>
        <w:t>turnout</w:t>
      </w:r>
      <w:r w:rsidR="006971B2" w:rsidRPr="000B14F3">
        <w:rPr>
          <w:rFonts w:ascii="Times New Roman" w:hAnsi="Times New Roman"/>
        </w:rPr>
        <w:t xml:space="preserve"> are</w:t>
      </w:r>
      <w:r w:rsidR="00794357" w:rsidRPr="00794357">
        <w:rPr>
          <w:rFonts w:ascii="Times New Roman" w:hAnsi="Times New Roman"/>
        </w:rPr>
        <w:t xml:space="preserve"> </w:t>
      </w:r>
      <w:r w:rsidR="00794357" w:rsidRPr="000B14F3">
        <w:rPr>
          <w:rFonts w:ascii="Times New Roman" w:hAnsi="Times New Roman"/>
        </w:rPr>
        <w:t>significant</w:t>
      </w:r>
      <w:r w:rsidR="006971B2" w:rsidRPr="000B14F3">
        <w:rPr>
          <w:rFonts w:ascii="Times New Roman" w:hAnsi="Times New Roman"/>
        </w:rPr>
        <w:t xml:space="preserve">. In the 70s and 80s, corporatism, union density, and manufacturing employment all </w:t>
      </w:r>
      <w:r w:rsidR="00587198">
        <w:rPr>
          <w:rFonts w:ascii="Times New Roman" w:hAnsi="Times New Roman"/>
        </w:rPr>
        <w:t>increased votes for the</w:t>
      </w:r>
      <w:r w:rsidR="006971B2" w:rsidRPr="000B14F3">
        <w:rPr>
          <w:rFonts w:ascii="Times New Roman" w:hAnsi="Times New Roman"/>
        </w:rPr>
        <w:t xml:space="preserve"> lef</w:t>
      </w:r>
      <w:r w:rsidR="00587198">
        <w:rPr>
          <w:rFonts w:ascii="Times New Roman" w:hAnsi="Times New Roman"/>
        </w:rPr>
        <w:t>t</w:t>
      </w:r>
      <w:r w:rsidR="006971B2" w:rsidRPr="000B14F3">
        <w:rPr>
          <w:rFonts w:ascii="Times New Roman" w:hAnsi="Times New Roman"/>
        </w:rPr>
        <w:t xml:space="preserve"> (the direction of turnout is unexpected due to the inclusion of MMR; it would become insignificant if MMR is excluded). </w:t>
      </w:r>
      <w:r w:rsidR="002F1A24">
        <w:rPr>
          <w:rFonts w:ascii="Times New Roman" w:hAnsi="Times New Roman"/>
        </w:rPr>
        <w:t>T</w:t>
      </w:r>
      <w:r w:rsidR="006971B2" w:rsidRPr="000B14F3">
        <w:rPr>
          <w:rFonts w:ascii="Times New Roman" w:hAnsi="Times New Roman"/>
        </w:rPr>
        <w:t xml:space="preserve">hese factors </w:t>
      </w:r>
      <w:r w:rsidR="002F1A24">
        <w:rPr>
          <w:rFonts w:ascii="Times New Roman" w:hAnsi="Times New Roman"/>
        </w:rPr>
        <w:t>were</w:t>
      </w:r>
      <w:r w:rsidR="006971B2" w:rsidRPr="000B14F3">
        <w:rPr>
          <w:rFonts w:ascii="Times New Roman" w:hAnsi="Times New Roman"/>
        </w:rPr>
        <w:t xml:space="preserve"> no longer predictors of voting behaviors</w:t>
      </w:r>
      <w:r w:rsidR="002F1A24">
        <w:rPr>
          <w:rFonts w:ascii="Times New Roman" w:hAnsi="Times New Roman"/>
        </w:rPr>
        <w:t xml:space="preserve"> from the 90s</w:t>
      </w:r>
      <w:r w:rsidR="00D926B5">
        <w:rPr>
          <w:rFonts w:ascii="Times New Roman" w:hAnsi="Times New Roman"/>
        </w:rPr>
        <w:t xml:space="preserve">, and in fact there was </w:t>
      </w:r>
      <w:r w:rsidR="006971B2" w:rsidRPr="000B14F3">
        <w:rPr>
          <w:rFonts w:ascii="Times New Roman" w:hAnsi="Times New Roman"/>
        </w:rPr>
        <w:t xml:space="preserve">an increase in </w:t>
      </w:r>
      <w:r w:rsidR="0032079B">
        <w:rPr>
          <w:rFonts w:ascii="Times New Roman" w:hAnsi="Times New Roman"/>
        </w:rPr>
        <w:t xml:space="preserve">the </w:t>
      </w:r>
      <w:r w:rsidR="006971B2" w:rsidRPr="000B14F3">
        <w:rPr>
          <w:rFonts w:ascii="Times New Roman" w:hAnsi="Times New Roman"/>
        </w:rPr>
        <w:t>influence of the median voter on election results</w:t>
      </w:r>
      <w:r w:rsidR="00E76F45">
        <w:rPr>
          <w:rFonts w:ascii="Times New Roman" w:hAnsi="Times New Roman"/>
        </w:rPr>
        <w:t xml:space="preserve">, demonstrated in </w:t>
      </w:r>
      <w:r w:rsidR="006971B2" w:rsidRPr="000B14F3">
        <w:rPr>
          <w:rFonts w:ascii="Times New Roman" w:hAnsi="Times New Roman"/>
        </w:rPr>
        <w:t xml:space="preserve">the rise in magnitude and significance of MMR, and the insignificance </w:t>
      </w:r>
      <w:r w:rsidR="00A03BFB">
        <w:rPr>
          <w:rFonts w:ascii="Times New Roman" w:hAnsi="Times New Roman"/>
        </w:rPr>
        <w:t xml:space="preserve">of </w:t>
      </w:r>
      <w:r w:rsidR="004F59FD" w:rsidRPr="000B14F3">
        <w:rPr>
          <w:rFonts w:ascii="Times New Roman" w:hAnsi="Times New Roman"/>
        </w:rPr>
        <w:t>most</w:t>
      </w:r>
      <w:r w:rsidR="006971B2" w:rsidRPr="000B14F3">
        <w:rPr>
          <w:rFonts w:ascii="Times New Roman" w:hAnsi="Times New Roman"/>
        </w:rPr>
        <w:t xml:space="preserve"> other factors, in </w:t>
      </w:r>
      <w:r w:rsidR="001A0C2A" w:rsidRPr="000B14F3">
        <w:rPr>
          <w:rFonts w:ascii="Times New Roman" w:hAnsi="Times New Roman"/>
        </w:rPr>
        <w:t>M</w:t>
      </w:r>
      <w:r w:rsidR="006971B2" w:rsidRPr="000B14F3">
        <w:rPr>
          <w:rFonts w:ascii="Times New Roman" w:hAnsi="Times New Roman"/>
        </w:rPr>
        <w:t>4. It is not that voters</w:t>
      </w:r>
      <w:r w:rsidR="00FB511B">
        <w:rPr>
          <w:rFonts w:ascii="Times New Roman" w:hAnsi="Times New Roman"/>
        </w:rPr>
        <w:t xml:space="preserve"> stop voting</w:t>
      </w:r>
      <w:r w:rsidR="006971B2" w:rsidRPr="000B14F3">
        <w:rPr>
          <w:rFonts w:ascii="Times New Roman" w:hAnsi="Times New Roman"/>
        </w:rPr>
        <w:t xml:space="preserve"> according to </w:t>
      </w:r>
      <w:r w:rsidR="00966D73" w:rsidRPr="000B14F3">
        <w:rPr>
          <w:rFonts w:ascii="Times New Roman" w:hAnsi="Times New Roman"/>
        </w:rPr>
        <w:t>class lines</w:t>
      </w:r>
      <w:r w:rsidR="006971B2" w:rsidRPr="000B14F3">
        <w:rPr>
          <w:rFonts w:ascii="Times New Roman" w:hAnsi="Times New Roman"/>
        </w:rPr>
        <w:t xml:space="preserve"> (or the median voter result would not appear), but the distribution of income become</w:t>
      </w:r>
      <w:r w:rsidR="00842D3E">
        <w:rPr>
          <w:rFonts w:ascii="Times New Roman" w:hAnsi="Times New Roman"/>
        </w:rPr>
        <w:t>s</w:t>
      </w:r>
      <w:r w:rsidR="006971B2" w:rsidRPr="000B14F3">
        <w:rPr>
          <w:rFonts w:ascii="Times New Roman" w:hAnsi="Times New Roman"/>
        </w:rPr>
        <w:t xml:space="preserve"> the overriding concern of the electorate, ove</w:t>
      </w:r>
      <w:r w:rsidR="005B4D5D" w:rsidRPr="000B14F3">
        <w:rPr>
          <w:rFonts w:ascii="Times New Roman" w:hAnsi="Times New Roman"/>
        </w:rPr>
        <w:t>r the role of unions</w:t>
      </w:r>
      <w:r w:rsidR="006971B2" w:rsidRPr="000B14F3">
        <w:rPr>
          <w:rFonts w:ascii="Times New Roman" w:hAnsi="Times New Roman"/>
        </w:rPr>
        <w:t xml:space="preserve"> or even occupational status.</w:t>
      </w:r>
    </w:p>
    <w:p w:rsidR="00863409" w:rsidRPr="00842D3E" w:rsidRDefault="00863409" w:rsidP="00990B1A">
      <w:pPr>
        <w:rPr>
          <w:rFonts w:ascii="Times New Roman" w:hAnsi="Times New Roman"/>
        </w:rPr>
      </w:pPr>
    </w:p>
    <w:p w:rsidR="00F30004" w:rsidRPr="000B14F3" w:rsidRDefault="00415A15" w:rsidP="00990B1A">
      <w:pPr>
        <w:rPr>
          <w:rFonts w:ascii="Times New Roman" w:hAnsi="Times New Roman"/>
          <w:b/>
          <w:i/>
        </w:rPr>
      </w:pPr>
      <w:r w:rsidRPr="000B14F3">
        <w:rPr>
          <w:rFonts w:ascii="Times New Roman" w:hAnsi="Times New Roman"/>
          <w:b/>
          <w:i/>
        </w:rPr>
        <w:t>Measures of Redistribution</w:t>
      </w:r>
    </w:p>
    <w:p w:rsidR="00415A15" w:rsidRPr="000B14F3" w:rsidRDefault="0000163F" w:rsidP="002E71AF">
      <w:pPr>
        <w:jc w:val="both"/>
        <w:rPr>
          <w:rFonts w:ascii="Times New Roman" w:hAnsi="Times New Roman"/>
        </w:rPr>
      </w:pPr>
      <w:r>
        <w:rPr>
          <w:rFonts w:ascii="Times New Roman" w:hAnsi="Times New Roman"/>
        </w:rPr>
        <w:t>The study uses</w:t>
      </w:r>
      <w:r w:rsidR="00721D75" w:rsidRPr="000B14F3">
        <w:rPr>
          <w:rFonts w:ascii="Times New Roman" w:hAnsi="Times New Roman"/>
        </w:rPr>
        <w:t xml:space="preserve"> the redistribution measure provided by </w:t>
      </w:r>
      <w:r w:rsidR="0013450C" w:rsidRPr="000B14F3">
        <w:rPr>
          <w:rFonts w:ascii="Times New Roman" w:hAnsi="Times New Roman"/>
        </w:rPr>
        <w:t>Mahler and Jesuit (</w:t>
      </w:r>
      <w:r w:rsidR="007E60E7" w:rsidRPr="000B14F3">
        <w:rPr>
          <w:rFonts w:ascii="Times New Roman" w:hAnsi="Times New Roman"/>
        </w:rPr>
        <w:t xml:space="preserve">2006, </w:t>
      </w:r>
      <w:r w:rsidR="0013450C" w:rsidRPr="000B14F3">
        <w:rPr>
          <w:rFonts w:ascii="Times New Roman" w:hAnsi="Times New Roman"/>
        </w:rPr>
        <w:t xml:space="preserve">2008). However, there are </w:t>
      </w:r>
      <w:r w:rsidR="00F557BB" w:rsidRPr="000B14F3">
        <w:rPr>
          <w:rFonts w:ascii="Times New Roman" w:hAnsi="Times New Roman"/>
        </w:rPr>
        <w:t xml:space="preserve">some limitations </w:t>
      </w:r>
      <w:r w:rsidR="00DB3804">
        <w:rPr>
          <w:rFonts w:ascii="Times New Roman" w:hAnsi="Times New Roman"/>
        </w:rPr>
        <w:t>to</w:t>
      </w:r>
      <w:r w:rsidR="00F557BB" w:rsidRPr="000B14F3">
        <w:rPr>
          <w:rFonts w:ascii="Times New Roman" w:hAnsi="Times New Roman"/>
        </w:rPr>
        <w:t xml:space="preserve"> this measurement.</w:t>
      </w:r>
      <w:r w:rsidR="000B175A" w:rsidRPr="000B14F3">
        <w:rPr>
          <w:rFonts w:ascii="Times New Roman" w:hAnsi="Times New Roman"/>
        </w:rPr>
        <w:t xml:space="preserve"> </w:t>
      </w:r>
      <w:r w:rsidR="00615F9E" w:rsidRPr="000B14F3">
        <w:rPr>
          <w:rFonts w:ascii="Times New Roman" w:hAnsi="Times New Roman"/>
        </w:rPr>
        <w:t>First</w:t>
      </w:r>
      <w:r w:rsidR="00E926E7" w:rsidRPr="000B14F3">
        <w:rPr>
          <w:rFonts w:ascii="Times New Roman" w:eastAsia="MS Mincho" w:hAnsi="Times New Roman"/>
          <w:lang w:eastAsia="ja-JP"/>
        </w:rPr>
        <w:t xml:space="preserve">, </w:t>
      </w:r>
      <w:r w:rsidR="0044708F" w:rsidRPr="000B14F3">
        <w:rPr>
          <w:rFonts w:ascii="Times New Roman" w:eastAsia="MS Mincho" w:hAnsi="Times New Roman"/>
          <w:lang w:eastAsia="ja-JP"/>
        </w:rPr>
        <w:t>the scope of</w:t>
      </w:r>
      <w:r w:rsidR="00F908CC" w:rsidRPr="000B14F3">
        <w:rPr>
          <w:rFonts w:ascii="Times New Roman" w:hAnsi="Times New Roman"/>
        </w:rPr>
        <w:t xml:space="preserve"> this dataset is </w:t>
      </w:r>
      <w:r w:rsidR="00E8269F" w:rsidRPr="000B14F3">
        <w:rPr>
          <w:rFonts w:ascii="Times New Roman" w:hAnsi="Times New Roman"/>
        </w:rPr>
        <w:t xml:space="preserve">relatively </w:t>
      </w:r>
      <w:r w:rsidR="00F908CC" w:rsidRPr="000B14F3">
        <w:rPr>
          <w:rFonts w:ascii="Times New Roman" w:hAnsi="Times New Roman"/>
        </w:rPr>
        <w:t>small</w:t>
      </w:r>
      <w:r w:rsidR="0044708F" w:rsidRPr="000B14F3">
        <w:rPr>
          <w:rFonts w:ascii="Times New Roman" w:hAnsi="Times New Roman"/>
        </w:rPr>
        <w:t xml:space="preserve"> in </w:t>
      </w:r>
      <w:r w:rsidR="00E219AF">
        <w:rPr>
          <w:rFonts w:ascii="Times New Roman" w:hAnsi="Times New Roman"/>
        </w:rPr>
        <w:t xml:space="preserve">terms of </w:t>
      </w:r>
      <w:r w:rsidR="0044708F" w:rsidRPr="000B14F3">
        <w:rPr>
          <w:rFonts w:ascii="Times New Roman" w:hAnsi="Times New Roman"/>
        </w:rPr>
        <w:t xml:space="preserve">time (up to 2004) and case coverage. </w:t>
      </w:r>
      <w:r w:rsidR="00D5552D" w:rsidRPr="000B14F3">
        <w:rPr>
          <w:rFonts w:ascii="Times New Roman" w:hAnsi="Times New Roman"/>
        </w:rPr>
        <w:t xml:space="preserve">Second, despite the advantage of using the reduction of inequality as redistribution, it </w:t>
      </w:r>
      <w:r w:rsidR="000C06F7">
        <w:rPr>
          <w:rFonts w:ascii="Times New Roman" w:hAnsi="Times New Roman"/>
        </w:rPr>
        <w:t>could</w:t>
      </w:r>
      <w:r w:rsidR="00D5552D" w:rsidRPr="000B14F3">
        <w:rPr>
          <w:rFonts w:ascii="Times New Roman" w:hAnsi="Times New Roman"/>
        </w:rPr>
        <w:t xml:space="preserve"> be argued that this </w:t>
      </w:r>
      <w:r w:rsidR="00A660E1" w:rsidRPr="000B14F3">
        <w:rPr>
          <w:rFonts w:ascii="Times New Roman" w:hAnsi="Times New Roman"/>
        </w:rPr>
        <w:t>measure is limited as it does not account for a wide range of other public goods provision. As a result,</w:t>
      </w:r>
      <w:r w:rsidR="00EF55F4" w:rsidRPr="000B14F3">
        <w:rPr>
          <w:rFonts w:ascii="Times New Roman" w:hAnsi="Times New Roman"/>
        </w:rPr>
        <w:t xml:space="preserve"> t</w:t>
      </w:r>
      <w:r w:rsidR="00721D75" w:rsidRPr="000B14F3">
        <w:rPr>
          <w:rFonts w:ascii="Times New Roman" w:hAnsi="Times New Roman"/>
        </w:rPr>
        <w:t xml:space="preserve">wo alternative measurements of </w:t>
      </w:r>
      <w:r w:rsidR="00B03DE3" w:rsidRPr="000B14F3">
        <w:rPr>
          <w:rFonts w:ascii="Times New Roman" w:hAnsi="Times New Roman"/>
        </w:rPr>
        <w:t xml:space="preserve">redistribution are used. First, </w:t>
      </w:r>
      <w:r w:rsidR="00472D1B" w:rsidRPr="000B14F3">
        <w:rPr>
          <w:rFonts w:ascii="Times New Roman" w:hAnsi="Times New Roman"/>
        </w:rPr>
        <w:t>i</w:t>
      </w:r>
      <w:r w:rsidR="00903427" w:rsidRPr="000B14F3">
        <w:rPr>
          <w:rFonts w:ascii="Times New Roman" w:hAnsi="Times New Roman"/>
        </w:rPr>
        <w:t xml:space="preserve">n the </w:t>
      </w:r>
      <w:r w:rsidR="00903427" w:rsidRPr="000B14F3">
        <w:rPr>
          <w:rFonts w:ascii="Times New Roman" w:hAnsi="Times New Roman"/>
          <w:i/>
        </w:rPr>
        <w:t xml:space="preserve">Comparative Welfare States </w:t>
      </w:r>
      <w:r w:rsidR="005D4383" w:rsidRPr="000B14F3">
        <w:rPr>
          <w:rFonts w:ascii="Times New Roman" w:hAnsi="Times New Roman"/>
        </w:rPr>
        <w:t>(CWS)</w:t>
      </w:r>
      <w:r w:rsidR="005D4383" w:rsidRPr="000B14F3">
        <w:rPr>
          <w:rFonts w:ascii="Times New Roman" w:hAnsi="Times New Roman"/>
          <w:i/>
        </w:rPr>
        <w:t xml:space="preserve"> </w:t>
      </w:r>
      <w:r w:rsidR="00903427" w:rsidRPr="000B14F3">
        <w:rPr>
          <w:rFonts w:ascii="Times New Roman" w:hAnsi="Times New Roman"/>
        </w:rPr>
        <w:t xml:space="preserve">dataset, </w:t>
      </w:r>
      <w:r w:rsidR="00372319" w:rsidRPr="000B14F3">
        <w:rPr>
          <w:rFonts w:ascii="Times New Roman" w:hAnsi="Times New Roman"/>
        </w:rPr>
        <w:t xml:space="preserve">Brady </w:t>
      </w:r>
      <w:r w:rsidR="00372319" w:rsidRPr="000B14F3">
        <w:rPr>
          <w:rFonts w:ascii="Times New Roman" w:hAnsi="Times New Roman"/>
          <w:i/>
        </w:rPr>
        <w:t>et al</w:t>
      </w:r>
      <w:r w:rsidR="00372319" w:rsidRPr="000B14F3">
        <w:rPr>
          <w:rFonts w:ascii="Times New Roman" w:hAnsi="Times New Roman"/>
        </w:rPr>
        <w:t xml:space="preserve">. (2014) </w:t>
      </w:r>
      <w:r w:rsidR="003122BD" w:rsidRPr="000B14F3">
        <w:rPr>
          <w:rFonts w:ascii="Times New Roman" w:hAnsi="Times New Roman"/>
        </w:rPr>
        <w:t>provided</w:t>
      </w:r>
      <w:r w:rsidR="00A25792" w:rsidRPr="000B14F3">
        <w:rPr>
          <w:rFonts w:ascii="Times New Roman" w:hAnsi="Times New Roman"/>
        </w:rPr>
        <w:t xml:space="preserve"> figures for</w:t>
      </w:r>
      <w:r w:rsidR="003122BD" w:rsidRPr="000B14F3">
        <w:rPr>
          <w:rFonts w:ascii="Times New Roman" w:hAnsi="Times New Roman"/>
        </w:rPr>
        <w:t xml:space="preserve"> </w:t>
      </w:r>
      <w:r w:rsidR="00184CCB" w:rsidRPr="000B14F3">
        <w:rPr>
          <w:rFonts w:ascii="Times New Roman" w:hAnsi="Times New Roman"/>
        </w:rPr>
        <w:t xml:space="preserve">both </w:t>
      </w:r>
      <w:r w:rsidR="004E08E9" w:rsidRPr="000B14F3">
        <w:rPr>
          <w:rFonts w:ascii="Times New Roman" w:hAnsi="Times New Roman"/>
        </w:rPr>
        <w:t>pre- and post-</w:t>
      </w:r>
      <w:proofErr w:type="spellStart"/>
      <w:r w:rsidR="004E08E9" w:rsidRPr="000B14F3">
        <w:rPr>
          <w:rFonts w:ascii="Times New Roman" w:hAnsi="Times New Roman"/>
        </w:rPr>
        <w:t>fisc</w:t>
      </w:r>
      <w:proofErr w:type="spellEnd"/>
      <w:r w:rsidR="004E08E9" w:rsidRPr="000B14F3">
        <w:rPr>
          <w:rFonts w:ascii="Times New Roman" w:hAnsi="Times New Roman"/>
        </w:rPr>
        <w:t xml:space="preserve"> </w:t>
      </w:r>
      <w:r w:rsidR="004C63AB" w:rsidRPr="000B14F3">
        <w:rPr>
          <w:rFonts w:ascii="Times New Roman" w:hAnsi="Times New Roman"/>
        </w:rPr>
        <w:t>inequality</w:t>
      </w:r>
      <w:r w:rsidR="004E08E9" w:rsidRPr="000B14F3">
        <w:rPr>
          <w:rFonts w:ascii="Times New Roman" w:hAnsi="Times New Roman"/>
        </w:rPr>
        <w:t xml:space="preserve"> </w:t>
      </w:r>
      <w:r w:rsidR="00372319" w:rsidRPr="000B14F3">
        <w:rPr>
          <w:rFonts w:ascii="Times New Roman" w:hAnsi="Times New Roman"/>
        </w:rPr>
        <w:t xml:space="preserve">among households </w:t>
      </w:r>
      <w:r w:rsidR="00034101">
        <w:rPr>
          <w:rFonts w:ascii="Times New Roman" w:hAnsi="Times New Roman"/>
        </w:rPr>
        <w:t>(</w:t>
      </w:r>
      <w:r w:rsidR="00372319" w:rsidRPr="000B14F3">
        <w:rPr>
          <w:rFonts w:ascii="Times New Roman" w:hAnsi="Times New Roman"/>
        </w:rPr>
        <w:t>with head</w:t>
      </w:r>
      <w:r w:rsidR="00034101">
        <w:rPr>
          <w:rFonts w:ascii="Times New Roman" w:hAnsi="Times New Roman"/>
        </w:rPr>
        <w:t xml:space="preserve"> of the household</w:t>
      </w:r>
      <w:r w:rsidR="00372319" w:rsidRPr="000B14F3">
        <w:rPr>
          <w:rFonts w:ascii="Times New Roman" w:hAnsi="Times New Roman"/>
        </w:rPr>
        <w:t xml:space="preserve"> aged 25-59</w:t>
      </w:r>
      <w:r w:rsidR="00034101">
        <w:rPr>
          <w:rFonts w:ascii="Times New Roman" w:hAnsi="Times New Roman"/>
        </w:rPr>
        <w:t>)</w:t>
      </w:r>
      <w:r w:rsidR="00903427" w:rsidRPr="000B14F3">
        <w:rPr>
          <w:rFonts w:ascii="Times New Roman" w:hAnsi="Times New Roman"/>
        </w:rPr>
        <w:t xml:space="preserve"> </w:t>
      </w:r>
      <w:r w:rsidR="003122BD" w:rsidRPr="000B14F3">
        <w:rPr>
          <w:rFonts w:ascii="Times New Roman" w:hAnsi="Times New Roman"/>
        </w:rPr>
        <w:t xml:space="preserve">by relying on </w:t>
      </w:r>
      <w:r w:rsidR="00903427" w:rsidRPr="000B14F3">
        <w:rPr>
          <w:rFonts w:ascii="Times New Roman" w:hAnsi="Times New Roman"/>
        </w:rPr>
        <w:t>t</w:t>
      </w:r>
      <w:r w:rsidR="00BF654D" w:rsidRPr="000B14F3">
        <w:rPr>
          <w:rFonts w:ascii="Times New Roman" w:hAnsi="Times New Roman"/>
        </w:rPr>
        <w:t>he LIS database.</w:t>
      </w:r>
      <w:r w:rsidR="00472D1B" w:rsidRPr="000B14F3">
        <w:rPr>
          <w:rFonts w:ascii="Times New Roman" w:hAnsi="Times New Roman"/>
        </w:rPr>
        <w:t xml:space="preserve"> Here, I have created </w:t>
      </w:r>
      <w:r w:rsidR="006529A7" w:rsidRPr="000B14F3">
        <w:rPr>
          <w:rFonts w:ascii="Times New Roman" w:hAnsi="Times New Roman"/>
        </w:rPr>
        <w:t xml:space="preserve">the variable </w:t>
      </w:r>
      <w:r w:rsidR="00890C97">
        <w:rPr>
          <w:rFonts w:ascii="Times New Roman" w:hAnsi="Times New Roman"/>
        </w:rPr>
        <w:t>‘</w:t>
      </w:r>
      <w:proofErr w:type="spellStart"/>
      <w:r w:rsidR="00472D1B" w:rsidRPr="000B14F3">
        <w:rPr>
          <w:rFonts w:ascii="Times New Roman" w:hAnsi="Times New Roman"/>
        </w:rPr>
        <w:t>Redist</w:t>
      </w:r>
      <w:proofErr w:type="spellEnd"/>
      <w:r w:rsidR="00472D1B" w:rsidRPr="000B14F3">
        <w:rPr>
          <w:rFonts w:ascii="Times New Roman" w:hAnsi="Times New Roman"/>
        </w:rPr>
        <w:t>-CWS</w:t>
      </w:r>
      <w:r w:rsidR="00890C97">
        <w:rPr>
          <w:rFonts w:ascii="Times New Roman" w:hAnsi="Times New Roman"/>
        </w:rPr>
        <w:t>’</w:t>
      </w:r>
      <w:r w:rsidR="009A6E7F" w:rsidRPr="000B14F3">
        <w:rPr>
          <w:rFonts w:ascii="Times New Roman" w:hAnsi="Times New Roman"/>
        </w:rPr>
        <w:t xml:space="preserve"> as the distance between pre- and post-</w:t>
      </w:r>
      <w:proofErr w:type="spellStart"/>
      <w:r w:rsidR="009A6E7F" w:rsidRPr="000B14F3">
        <w:rPr>
          <w:rFonts w:ascii="Times New Roman" w:hAnsi="Times New Roman"/>
        </w:rPr>
        <w:t>fisc</w:t>
      </w:r>
      <w:proofErr w:type="spellEnd"/>
      <w:r w:rsidR="009A6E7F" w:rsidRPr="000B14F3">
        <w:rPr>
          <w:rFonts w:ascii="Times New Roman" w:hAnsi="Times New Roman"/>
        </w:rPr>
        <w:t xml:space="preserve"> inequality,</w:t>
      </w:r>
      <w:r w:rsidR="00472D1B" w:rsidRPr="000B14F3">
        <w:rPr>
          <w:rFonts w:ascii="Times New Roman" w:hAnsi="Times New Roman"/>
        </w:rPr>
        <w:t xml:space="preserve"> a similar redistribution measure as the </w:t>
      </w:r>
      <w:r w:rsidR="00E04A6A" w:rsidRPr="000B14F3">
        <w:rPr>
          <w:rFonts w:ascii="Times New Roman" w:hAnsi="Times New Roman"/>
        </w:rPr>
        <w:t>primary</w:t>
      </w:r>
      <w:r w:rsidR="00472D1B" w:rsidRPr="000B14F3">
        <w:rPr>
          <w:rFonts w:ascii="Times New Roman" w:hAnsi="Times New Roman"/>
        </w:rPr>
        <w:t xml:space="preserve"> one</w:t>
      </w:r>
      <w:r w:rsidR="00E04A6A" w:rsidRPr="000B14F3">
        <w:rPr>
          <w:rFonts w:ascii="Times New Roman" w:hAnsi="Times New Roman"/>
        </w:rPr>
        <w:t xml:space="preserve"> I use</w:t>
      </w:r>
      <w:r w:rsidR="00472D1B" w:rsidRPr="000B14F3">
        <w:rPr>
          <w:rFonts w:ascii="Times New Roman" w:hAnsi="Times New Roman"/>
        </w:rPr>
        <w:t xml:space="preserve"> by Mahler and Jesuit (2006, 2008)</w:t>
      </w:r>
      <w:r w:rsidR="002C6854" w:rsidRPr="000B14F3">
        <w:rPr>
          <w:rFonts w:ascii="Times New Roman" w:hAnsi="Times New Roman"/>
        </w:rPr>
        <w:t>.</w:t>
      </w:r>
      <w:r w:rsidR="00D4489C" w:rsidRPr="000B14F3">
        <w:rPr>
          <w:rFonts w:ascii="Times New Roman" w:hAnsi="Times New Roman"/>
        </w:rPr>
        <w:t xml:space="preserve"> While it </w:t>
      </w:r>
      <w:r w:rsidR="009E37EB" w:rsidRPr="000B14F3">
        <w:rPr>
          <w:rFonts w:ascii="Times New Roman" w:hAnsi="Times New Roman"/>
        </w:rPr>
        <w:t xml:space="preserve">provides </w:t>
      </w:r>
      <w:r w:rsidR="00D4489C" w:rsidRPr="000B14F3">
        <w:rPr>
          <w:rFonts w:ascii="Times New Roman" w:hAnsi="Times New Roman"/>
        </w:rPr>
        <w:t xml:space="preserve">much </w:t>
      </w:r>
      <w:r w:rsidR="009E37EB" w:rsidRPr="000B14F3">
        <w:rPr>
          <w:rFonts w:ascii="Times New Roman" w:hAnsi="Times New Roman"/>
        </w:rPr>
        <w:t>better coverage</w:t>
      </w:r>
      <w:r w:rsidR="00D4489C" w:rsidRPr="000B14F3">
        <w:rPr>
          <w:rFonts w:ascii="Times New Roman" w:hAnsi="Times New Roman"/>
        </w:rPr>
        <w:t xml:space="preserve"> </w:t>
      </w:r>
      <w:r w:rsidR="00716D9D" w:rsidRPr="000B14F3">
        <w:rPr>
          <w:rFonts w:ascii="Times New Roman" w:hAnsi="Times New Roman"/>
        </w:rPr>
        <w:t xml:space="preserve">(all 18 countries are included), </w:t>
      </w:r>
      <w:r w:rsidR="005A19F8" w:rsidRPr="000B14F3">
        <w:rPr>
          <w:rFonts w:ascii="Times New Roman" w:hAnsi="Times New Roman"/>
        </w:rPr>
        <w:t xml:space="preserve">I did not use it </w:t>
      </w:r>
      <w:r w:rsidR="005A19F8" w:rsidRPr="000B14F3">
        <w:rPr>
          <w:rFonts w:ascii="Times New Roman" w:hAnsi="Times New Roman"/>
        </w:rPr>
        <w:lastRenderedPageBreak/>
        <w:t xml:space="preserve">as the primary measure as </w:t>
      </w:r>
      <w:r w:rsidR="00E45F69">
        <w:rPr>
          <w:rFonts w:ascii="Times New Roman" w:hAnsi="Times New Roman"/>
        </w:rPr>
        <w:t xml:space="preserve">it is unclear how </w:t>
      </w:r>
      <w:r w:rsidR="00716D9D" w:rsidRPr="000B14F3">
        <w:rPr>
          <w:rFonts w:ascii="Times New Roman" w:hAnsi="Times New Roman"/>
        </w:rPr>
        <w:t xml:space="preserve">the dataset handles some of the </w:t>
      </w:r>
      <w:r w:rsidR="00512C05" w:rsidRPr="000B14F3">
        <w:rPr>
          <w:rFonts w:ascii="Times New Roman" w:hAnsi="Times New Roman"/>
        </w:rPr>
        <w:t>minor sources of income, unlike Mahler and Jesuit (2006)</w:t>
      </w:r>
      <w:r w:rsidR="005D4383" w:rsidRPr="000B14F3">
        <w:rPr>
          <w:rFonts w:ascii="Times New Roman" w:hAnsi="Times New Roman"/>
        </w:rPr>
        <w:t xml:space="preserve"> (the authors of the CWS also did not discuss whether </w:t>
      </w:r>
      <w:r w:rsidR="000C3DA2" w:rsidRPr="000B14F3">
        <w:rPr>
          <w:rFonts w:ascii="Times New Roman" w:hAnsi="Times New Roman"/>
        </w:rPr>
        <w:t xml:space="preserve">it is appropriate for </w:t>
      </w:r>
      <w:r w:rsidR="005D4383" w:rsidRPr="000B14F3">
        <w:rPr>
          <w:rFonts w:ascii="Times New Roman" w:hAnsi="Times New Roman"/>
        </w:rPr>
        <w:t xml:space="preserve">the two series </w:t>
      </w:r>
      <w:r w:rsidR="006E183B" w:rsidRPr="000B14F3">
        <w:rPr>
          <w:rFonts w:ascii="Times New Roman" w:hAnsi="Times New Roman"/>
        </w:rPr>
        <w:t>to</w:t>
      </w:r>
      <w:r w:rsidR="005D4383" w:rsidRPr="000B14F3">
        <w:rPr>
          <w:rFonts w:ascii="Times New Roman" w:hAnsi="Times New Roman"/>
        </w:rPr>
        <w:t xml:space="preserve"> be used this way)</w:t>
      </w:r>
      <w:r w:rsidR="00512C05" w:rsidRPr="000B14F3">
        <w:rPr>
          <w:rFonts w:ascii="Times New Roman" w:hAnsi="Times New Roman"/>
        </w:rPr>
        <w:t xml:space="preserve">. </w:t>
      </w:r>
      <w:r w:rsidR="004474A1" w:rsidRPr="000B14F3">
        <w:rPr>
          <w:rFonts w:ascii="Times New Roman" w:hAnsi="Times New Roman"/>
        </w:rPr>
        <w:t xml:space="preserve">In any event, in </w:t>
      </w:r>
      <w:r w:rsidR="00FB7372" w:rsidRPr="000B14F3">
        <w:rPr>
          <w:rFonts w:ascii="Times New Roman" w:hAnsi="Times New Roman"/>
        </w:rPr>
        <w:t>m</w:t>
      </w:r>
      <w:r w:rsidR="004474A1" w:rsidRPr="000B14F3">
        <w:rPr>
          <w:rFonts w:ascii="Times New Roman" w:hAnsi="Times New Roman"/>
        </w:rPr>
        <w:t xml:space="preserve">odel </w:t>
      </w:r>
      <w:r w:rsidR="008663AF" w:rsidRPr="000B14F3">
        <w:rPr>
          <w:rFonts w:ascii="Times New Roman" w:hAnsi="Times New Roman"/>
        </w:rPr>
        <w:t>M</w:t>
      </w:r>
      <w:r w:rsidR="004474A1" w:rsidRPr="000B14F3">
        <w:rPr>
          <w:rFonts w:ascii="Times New Roman" w:hAnsi="Times New Roman"/>
        </w:rPr>
        <w:t xml:space="preserve">6 of </w:t>
      </w:r>
      <w:r w:rsidR="007D0BC6" w:rsidRPr="000B14F3">
        <w:rPr>
          <w:rFonts w:ascii="Times New Roman" w:hAnsi="Times New Roman"/>
        </w:rPr>
        <w:t>Table A2, the result returned by this alternative indicator is very similar.</w:t>
      </w:r>
    </w:p>
    <w:p w:rsidR="0031356C" w:rsidRPr="000B14F3" w:rsidRDefault="0031356C" w:rsidP="002E71AF">
      <w:pPr>
        <w:jc w:val="both"/>
        <w:rPr>
          <w:rFonts w:ascii="Times New Roman" w:hAnsi="Times New Roman"/>
        </w:rPr>
      </w:pPr>
    </w:p>
    <w:p w:rsidR="002B1574" w:rsidRPr="000B14F3" w:rsidRDefault="006F0197" w:rsidP="002E71AF">
      <w:pPr>
        <w:jc w:val="both"/>
        <w:rPr>
          <w:rFonts w:ascii="Times New Roman" w:hAnsi="Times New Roman"/>
        </w:rPr>
      </w:pPr>
      <w:r w:rsidRPr="000B14F3">
        <w:rPr>
          <w:rFonts w:ascii="Times New Roman" w:hAnsi="Times New Roman"/>
        </w:rPr>
        <w:t xml:space="preserve">Redistribution can also be </w:t>
      </w:r>
      <w:proofErr w:type="spellStart"/>
      <w:r w:rsidRPr="000B14F3">
        <w:rPr>
          <w:rFonts w:ascii="Times New Roman" w:hAnsi="Times New Roman"/>
        </w:rPr>
        <w:t>operationali</w:t>
      </w:r>
      <w:r w:rsidR="00E51DB6">
        <w:rPr>
          <w:rFonts w:ascii="Times New Roman" w:hAnsi="Times New Roman"/>
        </w:rPr>
        <w:t>z</w:t>
      </w:r>
      <w:r w:rsidRPr="000B14F3">
        <w:rPr>
          <w:rFonts w:ascii="Times New Roman" w:hAnsi="Times New Roman"/>
        </w:rPr>
        <w:t>ed</w:t>
      </w:r>
      <w:proofErr w:type="spellEnd"/>
      <w:r w:rsidRPr="000B14F3">
        <w:rPr>
          <w:rFonts w:ascii="Times New Roman" w:hAnsi="Times New Roman"/>
        </w:rPr>
        <w:t xml:space="preserve"> as an input, i.e., social spending. </w:t>
      </w:r>
      <w:r w:rsidR="009D2A8E" w:rsidRPr="000B14F3">
        <w:rPr>
          <w:rFonts w:ascii="Times New Roman" w:hAnsi="Times New Roman"/>
        </w:rPr>
        <w:t xml:space="preserve">This is another common way of measuring redistribution (e.g., </w:t>
      </w:r>
      <w:proofErr w:type="spellStart"/>
      <w:r w:rsidR="009D2A8E" w:rsidRPr="000B14F3">
        <w:rPr>
          <w:rFonts w:ascii="Times New Roman" w:hAnsi="Times New Roman"/>
        </w:rPr>
        <w:t>Rueda</w:t>
      </w:r>
      <w:proofErr w:type="spellEnd"/>
      <w:r w:rsidR="009D2A8E" w:rsidRPr="000B14F3">
        <w:rPr>
          <w:rFonts w:ascii="Times New Roman" w:hAnsi="Times New Roman"/>
        </w:rPr>
        <w:t xml:space="preserve">, 2008). </w:t>
      </w:r>
      <w:r w:rsidR="00937978" w:rsidRPr="000B14F3">
        <w:rPr>
          <w:rFonts w:ascii="Times New Roman" w:hAnsi="Times New Roman"/>
        </w:rPr>
        <w:t>The variable used here is t</w:t>
      </w:r>
      <w:r w:rsidR="0077034F" w:rsidRPr="000B14F3">
        <w:rPr>
          <w:rFonts w:ascii="Times New Roman" w:hAnsi="Times New Roman"/>
        </w:rPr>
        <w:t>otal public social expenditure as a share of GDP (OECD</w:t>
      </w:r>
      <w:r w:rsidR="00F709AC" w:rsidRPr="000B14F3">
        <w:rPr>
          <w:rFonts w:ascii="Times New Roman" w:hAnsi="Times New Roman"/>
        </w:rPr>
        <w:t>,</w:t>
      </w:r>
      <w:r w:rsidR="0077034F" w:rsidRPr="000B14F3">
        <w:rPr>
          <w:rFonts w:ascii="Times New Roman" w:hAnsi="Times New Roman"/>
        </w:rPr>
        <w:t xml:space="preserve"> 2013; Brady </w:t>
      </w:r>
      <w:r w:rsidR="0077034F" w:rsidRPr="000B14F3">
        <w:rPr>
          <w:rFonts w:ascii="Times New Roman" w:hAnsi="Times New Roman"/>
          <w:i/>
        </w:rPr>
        <w:t>et al</w:t>
      </w:r>
      <w:r w:rsidR="0077034F" w:rsidRPr="000B14F3">
        <w:rPr>
          <w:rFonts w:ascii="Times New Roman" w:hAnsi="Times New Roman"/>
        </w:rPr>
        <w:t>.</w:t>
      </w:r>
      <w:r w:rsidR="00F709AC" w:rsidRPr="000B14F3">
        <w:rPr>
          <w:rFonts w:ascii="Times New Roman" w:hAnsi="Times New Roman"/>
        </w:rPr>
        <w:t>,</w:t>
      </w:r>
      <w:r w:rsidR="0077034F" w:rsidRPr="000B14F3">
        <w:rPr>
          <w:rFonts w:ascii="Times New Roman" w:hAnsi="Times New Roman"/>
        </w:rPr>
        <w:t xml:space="preserve"> 2014)</w:t>
      </w:r>
      <w:r w:rsidR="00251DB2" w:rsidRPr="000B14F3">
        <w:rPr>
          <w:rFonts w:ascii="Times New Roman" w:hAnsi="Times New Roman"/>
        </w:rPr>
        <w:t>.</w:t>
      </w:r>
      <w:r w:rsidR="00E25CA5" w:rsidRPr="000B14F3">
        <w:rPr>
          <w:rFonts w:ascii="Times New Roman" w:hAnsi="Times New Roman"/>
        </w:rPr>
        <w:t xml:space="preserve"> Estimations with this alternative indicator can be found </w:t>
      </w:r>
      <w:r w:rsidR="00D94D29" w:rsidRPr="000B14F3">
        <w:rPr>
          <w:rFonts w:ascii="Times New Roman" w:hAnsi="Times New Roman"/>
        </w:rPr>
        <w:t xml:space="preserve">in Table </w:t>
      </w:r>
      <w:r w:rsidR="00BC1E3F" w:rsidRPr="000B14F3">
        <w:rPr>
          <w:rFonts w:ascii="Times New Roman" w:hAnsi="Times New Roman"/>
        </w:rPr>
        <w:t>A2</w:t>
      </w:r>
      <w:r w:rsidR="00D94D29" w:rsidRPr="000B14F3">
        <w:rPr>
          <w:rFonts w:ascii="Times New Roman" w:hAnsi="Times New Roman"/>
        </w:rPr>
        <w:t xml:space="preserve"> </w:t>
      </w:r>
      <w:r w:rsidR="00FB7372" w:rsidRPr="000B14F3">
        <w:rPr>
          <w:rFonts w:ascii="Times New Roman" w:hAnsi="Times New Roman"/>
        </w:rPr>
        <w:t>m</w:t>
      </w:r>
      <w:r w:rsidR="00D94D29" w:rsidRPr="000B14F3">
        <w:rPr>
          <w:rFonts w:ascii="Times New Roman" w:hAnsi="Times New Roman"/>
        </w:rPr>
        <w:t xml:space="preserve">odel </w:t>
      </w:r>
      <w:r w:rsidR="007B00E0" w:rsidRPr="000B14F3">
        <w:rPr>
          <w:rFonts w:ascii="Times New Roman" w:hAnsi="Times New Roman"/>
        </w:rPr>
        <w:t>M</w:t>
      </w:r>
      <w:r w:rsidR="00D94D29" w:rsidRPr="000B14F3">
        <w:rPr>
          <w:rFonts w:ascii="Times New Roman" w:hAnsi="Times New Roman"/>
        </w:rPr>
        <w:t xml:space="preserve">7. </w:t>
      </w:r>
      <w:r w:rsidR="007C5348" w:rsidRPr="000B14F3">
        <w:rPr>
          <w:rFonts w:ascii="Times New Roman" w:hAnsi="Times New Roman"/>
        </w:rPr>
        <w:t xml:space="preserve">Although it seems to be the case </w:t>
      </w:r>
      <w:r w:rsidR="00357A44" w:rsidRPr="000B14F3">
        <w:rPr>
          <w:rFonts w:ascii="Times New Roman" w:hAnsi="Times New Roman"/>
        </w:rPr>
        <w:t xml:space="preserve">that </w:t>
      </w:r>
      <w:r w:rsidR="007C5348" w:rsidRPr="000B14F3">
        <w:rPr>
          <w:rFonts w:ascii="Times New Roman" w:hAnsi="Times New Roman"/>
        </w:rPr>
        <w:t xml:space="preserve">the result is </w:t>
      </w:r>
      <w:r w:rsidR="007C5348" w:rsidRPr="000B14F3">
        <w:rPr>
          <w:rFonts w:ascii="Times New Roman" w:hAnsi="Times New Roman"/>
          <w:i/>
        </w:rPr>
        <w:t>more</w:t>
      </w:r>
      <w:r w:rsidR="007C5348" w:rsidRPr="000B14F3">
        <w:rPr>
          <w:rFonts w:ascii="Times New Roman" w:hAnsi="Times New Roman"/>
        </w:rPr>
        <w:t xml:space="preserve"> robust (</w:t>
      </w:r>
      <w:r w:rsidR="00E979AC">
        <w:rPr>
          <w:rFonts w:ascii="Times New Roman" w:hAnsi="Times New Roman"/>
        </w:rPr>
        <w:t xml:space="preserve">the </w:t>
      </w:r>
      <w:r w:rsidR="007C5348" w:rsidRPr="000B14F3">
        <w:rPr>
          <w:rFonts w:ascii="Times New Roman" w:hAnsi="Times New Roman"/>
        </w:rPr>
        <w:t>main variables all increase in magnitude and level of signific</w:t>
      </w:r>
      <w:r w:rsidR="0011765C" w:rsidRPr="000B14F3">
        <w:rPr>
          <w:rFonts w:ascii="Times New Roman" w:hAnsi="Times New Roman"/>
        </w:rPr>
        <w:t>ance</w:t>
      </w:r>
      <w:r w:rsidR="002A4B7B" w:rsidRPr="000B14F3">
        <w:rPr>
          <w:rFonts w:ascii="Times New Roman" w:hAnsi="Times New Roman"/>
        </w:rPr>
        <w:t xml:space="preserve"> </w:t>
      </w:r>
      <w:r w:rsidR="0011765C" w:rsidRPr="000B14F3">
        <w:rPr>
          <w:rFonts w:ascii="Times New Roman" w:hAnsi="Times New Roman"/>
        </w:rPr>
        <w:t>with the exception of MMR</w:t>
      </w:r>
      <w:r w:rsidR="00464DF5" w:rsidRPr="000B14F3">
        <w:rPr>
          <w:rFonts w:ascii="Times New Roman" w:hAnsi="Times New Roman"/>
        </w:rPr>
        <w:t>)</w:t>
      </w:r>
      <w:r w:rsidR="007C5348" w:rsidRPr="000B14F3">
        <w:rPr>
          <w:rFonts w:ascii="Times New Roman" w:hAnsi="Times New Roman"/>
        </w:rPr>
        <w:t xml:space="preserve">, </w:t>
      </w:r>
      <w:r w:rsidR="001054FF" w:rsidRPr="000B14F3">
        <w:rPr>
          <w:rFonts w:ascii="Times New Roman" w:hAnsi="Times New Roman"/>
        </w:rPr>
        <w:t xml:space="preserve">as I </w:t>
      </w:r>
      <w:r w:rsidR="008439CA">
        <w:rPr>
          <w:rFonts w:ascii="Times New Roman" w:hAnsi="Times New Roman"/>
        </w:rPr>
        <w:t>discuss</w:t>
      </w:r>
      <w:r w:rsidR="001054FF" w:rsidRPr="000B14F3">
        <w:rPr>
          <w:rFonts w:ascii="Times New Roman" w:hAnsi="Times New Roman"/>
        </w:rPr>
        <w:t xml:space="preserve"> in the manuscript, interaction models should always be interpreted </w:t>
      </w:r>
      <w:r w:rsidR="00041A06" w:rsidRPr="000B14F3">
        <w:rPr>
          <w:rFonts w:ascii="Times New Roman" w:hAnsi="Times New Roman"/>
        </w:rPr>
        <w:t>in terms of the</w:t>
      </w:r>
      <w:r w:rsidR="001054FF" w:rsidRPr="000B14F3">
        <w:rPr>
          <w:rFonts w:ascii="Times New Roman" w:hAnsi="Times New Roman"/>
        </w:rPr>
        <w:t xml:space="preserve"> dynamics of the effects, such as focusing on marginal effects (e.g., </w:t>
      </w:r>
      <w:proofErr w:type="spellStart"/>
      <w:r w:rsidR="001054FF" w:rsidRPr="000B14F3">
        <w:rPr>
          <w:rFonts w:ascii="Times New Roman" w:hAnsi="Times New Roman"/>
        </w:rPr>
        <w:t>Brambor</w:t>
      </w:r>
      <w:proofErr w:type="spellEnd"/>
      <w:r w:rsidR="001054FF" w:rsidRPr="000B14F3">
        <w:rPr>
          <w:rFonts w:ascii="Times New Roman" w:hAnsi="Times New Roman"/>
        </w:rPr>
        <w:t xml:space="preserve"> </w:t>
      </w:r>
      <w:r w:rsidR="001054FF" w:rsidRPr="000B14F3">
        <w:rPr>
          <w:rFonts w:ascii="Times New Roman" w:hAnsi="Times New Roman"/>
          <w:i/>
        </w:rPr>
        <w:t>et al</w:t>
      </w:r>
      <w:r w:rsidR="001054FF" w:rsidRPr="000B14F3">
        <w:rPr>
          <w:rFonts w:ascii="Times New Roman" w:hAnsi="Times New Roman"/>
        </w:rPr>
        <w:t xml:space="preserve">., </w:t>
      </w:r>
      <w:r w:rsidR="009A2ADE" w:rsidRPr="000B14F3">
        <w:rPr>
          <w:rFonts w:ascii="Times New Roman" w:hAnsi="Times New Roman"/>
        </w:rPr>
        <w:t>2006)</w:t>
      </w:r>
      <w:r w:rsidR="00243010" w:rsidRPr="000B14F3">
        <w:rPr>
          <w:rFonts w:ascii="Times New Roman" w:hAnsi="Times New Roman"/>
        </w:rPr>
        <w:t xml:space="preserve">. This is done in Figure A1. </w:t>
      </w:r>
      <w:r w:rsidR="00224707">
        <w:rPr>
          <w:rFonts w:ascii="Times New Roman" w:hAnsi="Times New Roman"/>
        </w:rPr>
        <w:t>A</w:t>
      </w:r>
      <w:r w:rsidR="004D6A4B" w:rsidRPr="000B14F3">
        <w:rPr>
          <w:rFonts w:ascii="Times New Roman" w:hAnsi="Times New Roman"/>
        </w:rPr>
        <w:t xml:space="preserve">ll main variables, including the interaction term, </w:t>
      </w:r>
      <w:r w:rsidR="00B467D5">
        <w:rPr>
          <w:rFonts w:ascii="Times New Roman" w:hAnsi="Times New Roman"/>
        </w:rPr>
        <w:t xml:space="preserve">can be seen to have </w:t>
      </w:r>
      <w:r w:rsidR="004D6A4B" w:rsidRPr="000B14F3">
        <w:rPr>
          <w:rFonts w:ascii="Times New Roman" w:hAnsi="Times New Roman"/>
        </w:rPr>
        <w:t>increased in magnitude and the level of</w:t>
      </w:r>
      <w:r w:rsidR="00FE0B2A" w:rsidRPr="000B14F3">
        <w:rPr>
          <w:rFonts w:ascii="Times New Roman" w:hAnsi="Times New Roman"/>
        </w:rPr>
        <w:t xml:space="preserve"> significance, </w:t>
      </w:r>
      <w:r w:rsidR="00FD24F4">
        <w:rPr>
          <w:rFonts w:ascii="Times New Roman" w:hAnsi="Times New Roman"/>
        </w:rPr>
        <w:t xml:space="preserve">but </w:t>
      </w:r>
      <w:r w:rsidR="00FE0B2A" w:rsidRPr="000B14F3">
        <w:rPr>
          <w:rFonts w:ascii="Times New Roman" w:hAnsi="Times New Roman"/>
        </w:rPr>
        <w:t xml:space="preserve">the graph of marginal effects says otherwise: </w:t>
      </w:r>
      <w:r w:rsidR="00FF6E0B" w:rsidRPr="000B14F3">
        <w:rPr>
          <w:rFonts w:ascii="Times New Roman" w:hAnsi="Times New Roman"/>
        </w:rPr>
        <w:t>the effect of left seat share on social spending does not depend on the corporatism.</w:t>
      </w:r>
    </w:p>
    <w:p w:rsidR="00743534" w:rsidRPr="000B14F3" w:rsidRDefault="00743534" w:rsidP="002E71AF">
      <w:pPr>
        <w:jc w:val="both"/>
        <w:rPr>
          <w:rFonts w:ascii="Times New Roman" w:hAnsi="Times New Roman"/>
        </w:rPr>
      </w:pPr>
    </w:p>
    <w:p w:rsidR="00743534" w:rsidRPr="000B14F3" w:rsidRDefault="00BD643E" w:rsidP="002E71AF">
      <w:pPr>
        <w:jc w:val="both"/>
        <w:rPr>
          <w:rFonts w:ascii="Times New Roman" w:hAnsi="Times New Roman"/>
        </w:rPr>
      </w:pPr>
      <w:r w:rsidRPr="000B14F3">
        <w:rPr>
          <w:rFonts w:ascii="Times New Roman" w:hAnsi="Times New Roman"/>
        </w:rPr>
        <w:t xml:space="preserve">However, while this result </w:t>
      </w:r>
      <w:r w:rsidR="00124E9E">
        <w:rPr>
          <w:rFonts w:ascii="Times New Roman" w:hAnsi="Times New Roman"/>
        </w:rPr>
        <w:t>could</w:t>
      </w:r>
      <w:r w:rsidRPr="000B14F3">
        <w:rPr>
          <w:rFonts w:ascii="Times New Roman" w:hAnsi="Times New Roman"/>
        </w:rPr>
        <w:t xml:space="preserve"> be taken as evidence against the robustness of the main findings, it could also arise from the change in</w:t>
      </w:r>
      <w:r w:rsidR="00313BEB" w:rsidRPr="000B14F3">
        <w:rPr>
          <w:rFonts w:ascii="Times New Roman" w:hAnsi="Times New Roman"/>
        </w:rPr>
        <w:t xml:space="preserve"> the</w:t>
      </w:r>
      <w:r w:rsidRPr="000B14F3">
        <w:rPr>
          <w:rFonts w:ascii="Times New Roman" w:hAnsi="Times New Roman"/>
        </w:rPr>
        <w:t xml:space="preserve"> redistribution. </w:t>
      </w:r>
      <w:r w:rsidR="002825AF" w:rsidRPr="000B14F3">
        <w:rPr>
          <w:rFonts w:ascii="Times New Roman" w:hAnsi="Times New Roman"/>
        </w:rPr>
        <w:t>It is not surprising that different political dynamics apply when we consider welfare input (e.g., social spending) versus output (</w:t>
      </w:r>
      <w:r w:rsidR="004E347F">
        <w:rPr>
          <w:rFonts w:ascii="Times New Roman" w:hAnsi="Times New Roman"/>
        </w:rPr>
        <w:t xml:space="preserve">the </w:t>
      </w:r>
      <w:r w:rsidR="00242671">
        <w:rPr>
          <w:rFonts w:ascii="Times New Roman" w:hAnsi="Times New Roman"/>
        </w:rPr>
        <w:t xml:space="preserve">reduction in </w:t>
      </w:r>
      <w:proofErr w:type="spellStart"/>
      <w:r w:rsidR="002F4DAD">
        <w:rPr>
          <w:rFonts w:ascii="Times New Roman" w:hAnsi="Times New Roman"/>
        </w:rPr>
        <w:t>G</w:t>
      </w:r>
      <w:r w:rsidR="00242671">
        <w:rPr>
          <w:rFonts w:ascii="Times New Roman" w:hAnsi="Times New Roman"/>
        </w:rPr>
        <w:t>ini</w:t>
      </w:r>
      <w:proofErr w:type="spellEnd"/>
      <w:r w:rsidR="00242671">
        <w:rPr>
          <w:rFonts w:ascii="Times New Roman" w:hAnsi="Times New Roman"/>
        </w:rPr>
        <w:t>). The</w:t>
      </w:r>
      <w:r w:rsidR="005245E4" w:rsidRPr="000B14F3">
        <w:rPr>
          <w:rFonts w:ascii="Times New Roman" w:hAnsi="Times New Roman"/>
        </w:rPr>
        <w:t xml:space="preserve"> different conclusions </w:t>
      </w:r>
      <w:r w:rsidR="006D6547">
        <w:rPr>
          <w:rFonts w:ascii="Times New Roman" w:hAnsi="Times New Roman"/>
        </w:rPr>
        <w:t>previously</w:t>
      </w:r>
      <w:r w:rsidR="005245E4" w:rsidRPr="000B14F3">
        <w:rPr>
          <w:rFonts w:ascii="Times New Roman" w:hAnsi="Times New Roman"/>
        </w:rPr>
        <w:t xml:space="preserve"> reached </w:t>
      </w:r>
      <w:r w:rsidR="007C4D69">
        <w:rPr>
          <w:rFonts w:ascii="Times New Roman" w:hAnsi="Times New Roman"/>
        </w:rPr>
        <w:t>also attest to this being a likely scenario</w:t>
      </w:r>
      <w:r w:rsidR="005245E4" w:rsidRPr="000B14F3">
        <w:rPr>
          <w:rFonts w:ascii="Times New Roman" w:hAnsi="Times New Roman"/>
        </w:rPr>
        <w:t xml:space="preserve"> (</w:t>
      </w:r>
      <w:proofErr w:type="spellStart"/>
      <w:r w:rsidR="005245E4" w:rsidRPr="000B14F3">
        <w:rPr>
          <w:rFonts w:ascii="Times New Roman" w:hAnsi="Times New Roman"/>
        </w:rPr>
        <w:t>Rueda</w:t>
      </w:r>
      <w:proofErr w:type="spellEnd"/>
      <w:r w:rsidR="005245E4" w:rsidRPr="000B14F3">
        <w:rPr>
          <w:rFonts w:ascii="Times New Roman" w:hAnsi="Times New Roman"/>
        </w:rPr>
        <w:t xml:space="preserve">, 2008; </w:t>
      </w:r>
      <w:proofErr w:type="spellStart"/>
      <w:r w:rsidR="005245E4" w:rsidRPr="000B14F3">
        <w:rPr>
          <w:rFonts w:ascii="Times New Roman" w:hAnsi="Times New Roman"/>
        </w:rPr>
        <w:t>Beramendi</w:t>
      </w:r>
      <w:proofErr w:type="spellEnd"/>
      <w:r w:rsidR="005245E4" w:rsidRPr="000B14F3">
        <w:rPr>
          <w:rFonts w:ascii="Times New Roman" w:hAnsi="Times New Roman"/>
        </w:rPr>
        <w:t xml:space="preserve"> and Cusack, 2009)</w:t>
      </w:r>
      <w:r w:rsidR="00015966" w:rsidRPr="000B14F3">
        <w:rPr>
          <w:rFonts w:ascii="Times New Roman" w:hAnsi="Times New Roman"/>
        </w:rPr>
        <w:t>.</w:t>
      </w:r>
      <w:r w:rsidR="005245E4" w:rsidRPr="000B14F3">
        <w:rPr>
          <w:rFonts w:ascii="Times New Roman" w:hAnsi="Times New Roman"/>
        </w:rPr>
        <w:t xml:space="preserve"> </w:t>
      </w:r>
      <w:r w:rsidR="00740231" w:rsidRPr="000B14F3">
        <w:rPr>
          <w:rFonts w:ascii="Times New Roman" w:hAnsi="Times New Roman"/>
        </w:rPr>
        <w:t xml:space="preserve">This </w:t>
      </w:r>
      <w:r w:rsidR="004F3BC2" w:rsidRPr="000B14F3">
        <w:rPr>
          <w:rFonts w:ascii="Times New Roman" w:hAnsi="Times New Roman"/>
        </w:rPr>
        <w:t xml:space="preserve">point </w:t>
      </w:r>
      <w:r w:rsidR="002F4DAD">
        <w:rPr>
          <w:rFonts w:ascii="Times New Roman" w:hAnsi="Times New Roman"/>
        </w:rPr>
        <w:t xml:space="preserve">is </w:t>
      </w:r>
      <w:r w:rsidR="00F31082">
        <w:rPr>
          <w:rFonts w:ascii="Times New Roman" w:hAnsi="Times New Roman"/>
        </w:rPr>
        <w:t xml:space="preserve">tackled in the </w:t>
      </w:r>
      <w:r w:rsidR="00740231" w:rsidRPr="000B14F3">
        <w:rPr>
          <w:rFonts w:ascii="Times New Roman" w:hAnsi="Times New Roman"/>
        </w:rPr>
        <w:t>Discussion section</w:t>
      </w:r>
      <w:r w:rsidR="00F31082">
        <w:rPr>
          <w:rFonts w:ascii="Times New Roman" w:hAnsi="Times New Roman"/>
        </w:rPr>
        <w:t xml:space="preserve"> in the article</w:t>
      </w:r>
      <w:r w:rsidR="00740231" w:rsidRPr="000B14F3">
        <w:rPr>
          <w:rFonts w:ascii="Times New Roman" w:hAnsi="Times New Roman"/>
        </w:rPr>
        <w:t xml:space="preserve">. </w:t>
      </w:r>
      <w:r w:rsidR="00B40CEA" w:rsidRPr="000B14F3">
        <w:rPr>
          <w:rFonts w:ascii="Times New Roman" w:hAnsi="Times New Roman"/>
        </w:rPr>
        <w:t xml:space="preserve">In short, although a similar pattern in social spending can be identified, the same dynamics between partisanship and corporatism cannot be expected. </w:t>
      </w:r>
      <w:r w:rsidR="00F67206" w:rsidRPr="000B14F3">
        <w:rPr>
          <w:rFonts w:ascii="Times New Roman" w:hAnsi="Times New Roman"/>
        </w:rPr>
        <w:t xml:space="preserve">This provides another justification for </w:t>
      </w:r>
      <w:r w:rsidR="005805FF" w:rsidRPr="000B14F3">
        <w:rPr>
          <w:rFonts w:ascii="Times New Roman" w:hAnsi="Times New Roman"/>
        </w:rPr>
        <w:t>conceiving</w:t>
      </w:r>
      <w:r w:rsidR="00F67206" w:rsidRPr="000B14F3">
        <w:rPr>
          <w:rFonts w:ascii="Times New Roman" w:hAnsi="Times New Roman"/>
        </w:rPr>
        <w:t xml:space="preserve"> redistribution as </w:t>
      </w:r>
      <w:r w:rsidR="009C6599">
        <w:rPr>
          <w:rFonts w:ascii="Times New Roman" w:hAnsi="Times New Roman"/>
        </w:rPr>
        <w:t xml:space="preserve">a </w:t>
      </w:r>
      <w:proofErr w:type="spellStart"/>
      <w:r w:rsidR="002F4DAD">
        <w:rPr>
          <w:rFonts w:ascii="Times New Roman" w:hAnsi="Times New Roman"/>
        </w:rPr>
        <w:t>G</w:t>
      </w:r>
      <w:r w:rsidR="00F67206" w:rsidRPr="000B14F3">
        <w:rPr>
          <w:rFonts w:ascii="Times New Roman" w:hAnsi="Times New Roman"/>
        </w:rPr>
        <w:t>ini</w:t>
      </w:r>
      <w:proofErr w:type="spellEnd"/>
      <w:r w:rsidR="00F67206" w:rsidRPr="000B14F3">
        <w:rPr>
          <w:rFonts w:ascii="Times New Roman" w:hAnsi="Times New Roman"/>
        </w:rPr>
        <w:t xml:space="preserve"> reduction in this research. </w:t>
      </w:r>
      <w:r w:rsidR="006378DE">
        <w:rPr>
          <w:rFonts w:ascii="Times New Roman" w:hAnsi="Times New Roman"/>
        </w:rPr>
        <w:t>A d</w:t>
      </w:r>
      <w:r w:rsidR="00E97F62" w:rsidRPr="000B14F3">
        <w:rPr>
          <w:rFonts w:ascii="Times New Roman" w:hAnsi="Times New Roman"/>
        </w:rPr>
        <w:t xml:space="preserve">etailed discussion </w:t>
      </w:r>
      <w:r w:rsidR="005A4E57" w:rsidRPr="000B14F3">
        <w:rPr>
          <w:rFonts w:ascii="Times New Roman" w:hAnsi="Times New Roman"/>
        </w:rPr>
        <w:t xml:space="preserve">of the dynamics underlying welfare input and output, </w:t>
      </w:r>
      <w:r w:rsidR="004F6E0B" w:rsidRPr="000B14F3">
        <w:rPr>
          <w:rFonts w:ascii="Times New Roman" w:hAnsi="Times New Roman"/>
        </w:rPr>
        <w:t>unfortunately</w:t>
      </w:r>
      <w:r w:rsidR="005A4E57" w:rsidRPr="000B14F3">
        <w:rPr>
          <w:rFonts w:ascii="Times New Roman" w:hAnsi="Times New Roman"/>
        </w:rPr>
        <w:t>, must be left for future research.</w:t>
      </w:r>
    </w:p>
    <w:p w:rsidR="00321676" w:rsidRPr="000B14F3" w:rsidRDefault="00321676" w:rsidP="002E71AF">
      <w:pPr>
        <w:jc w:val="both"/>
        <w:rPr>
          <w:rFonts w:ascii="Times New Roman" w:hAnsi="Times New Roman"/>
        </w:rPr>
      </w:pPr>
    </w:p>
    <w:p w:rsidR="00F4356E" w:rsidRPr="000B14F3" w:rsidRDefault="00ED1B24" w:rsidP="002E71AF">
      <w:pPr>
        <w:jc w:val="both"/>
        <w:rPr>
          <w:rFonts w:ascii="Times New Roman" w:hAnsi="Times New Roman"/>
          <w:b/>
          <w:i/>
          <w:lang w:eastAsia="zh-HK"/>
        </w:rPr>
      </w:pPr>
      <w:r w:rsidRPr="000B14F3">
        <w:rPr>
          <w:rFonts w:ascii="Times New Roman" w:hAnsi="Times New Roman"/>
          <w:b/>
          <w:i/>
          <w:lang w:eastAsia="zh-HK"/>
        </w:rPr>
        <w:t>Fixed Effects Estimations</w:t>
      </w:r>
    </w:p>
    <w:p w:rsidR="00F4356E" w:rsidRPr="000B14F3" w:rsidRDefault="0033409B" w:rsidP="002E71AF">
      <w:pPr>
        <w:jc w:val="both"/>
        <w:rPr>
          <w:rFonts w:ascii="Times New Roman" w:hAnsi="Times New Roman"/>
        </w:rPr>
      </w:pPr>
      <w:r w:rsidRPr="000B14F3">
        <w:rPr>
          <w:rFonts w:ascii="Times New Roman" w:hAnsi="Times New Roman"/>
          <w:lang w:eastAsia="zh-HK"/>
        </w:rPr>
        <w:t xml:space="preserve">As discussed in the Research Design section, a two-way fixed effects design is used for all main tests. </w:t>
      </w:r>
      <w:r w:rsidR="00802230" w:rsidRPr="000B14F3">
        <w:rPr>
          <w:rFonts w:ascii="Times New Roman" w:hAnsi="Times New Roman"/>
          <w:lang w:eastAsia="zh-HK"/>
        </w:rPr>
        <w:t xml:space="preserve">However, </w:t>
      </w:r>
      <w:r w:rsidR="003444BE" w:rsidRPr="000B14F3">
        <w:rPr>
          <w:rFonts w:ascii="Times New Roman" w:hAnsi="Times New Roman"/>
          <w:lang w:eastAsia="zh-HK"/>
        </w:rPr>
        <w:t>since fixed effects take away all variations of interest of the</w:t>
      </w:r>
      <w:r w:rsidR="00DF4D2F" w:rsidRPr="000B14F3">
        <w:rPr>
          <w:rFonts w:ascii="Times New Roman" w:hAnsi="Times New Roman"/>
          <w:lang w:eastAsia="zh-HK"/>
        </w:rPr>
        <w:t xml:space="preserve"> </w:t>
      </w:r>
      <w:r w:rsidR="00B7798C" w:rsidRPr="000B14F3">
        <w:rPr>
          <w:rFonts w:ascii="Times New Roman" w:hAnsi="Times New Roman"/>
          <w:lang w:eastAsia="zh-HK"/>
        </w:rPr>
        <w:t>cross-sectional</w:t>
      </w:r>
      <w:r w:rsidR="003444BE" w:rsidRPr="000B14F3">
        <w:rPr>
          <w:rFonts w:ascii="Times New Roman" w:hAnsi="Times New Roman"/>
          <w:lang w:eastAsia="zh-HK"/>
        </w:rPr>
        <w:t xml:space="preserve"> dimension (i.e., across countries with country dummies included), </w:t>
      </w:r>
      <w:r w:rsidR="00802230" w:rsidRPr="000B14F3">
        <w:rPr>
          <w:rFonts w:ascii="Times New Roman" w:hAnsi="Times New Roman"/>
          <w:lang w:eastAsia="zh-HK"/>
        </w:rPr>
        <w:t>Plumper</w:t>
      </w:r>
      <w:r w:rsidR="00A74E3B" w:rsidRPr="000B14F3">
        <w:rPr>
          <w:rFonts w:ascii="Times New Roman" w:hAnsi="Times New Roman"/>
          <w:lang w:eastAsia="zh-HK"/>
        </w:rPr>
        <w:t xml:space="preserve">, </w:t>
      </w:r>
      <w:proofErr w:type="spellStart"/>
      <w:r w:rsidR="00A74E3B" w:rsidRPr="000B14F3">
        <w:rPr>
          <w:rFonts w:ascii="Times New Roman" w:hAnsi="Times New Roman"/>
          <w:lang w:eastAsia="zh-HK"/>
        </w:rPr>
        <w:t>Troeger</w:t>
      </w:r>
      <w:proofErr w:type="spellEnd"/>
      <w:r w:rsidR="00A74E3B" w:rsidRPr="000B14F3">
        <w:rPr>
          <w:rFonts w:ascii="Times New Roman" w:hAnsi="Times New Roman"/>
          <w:lang w:eastAsia="zh-HK"/>
        </w:rPr>
        <w:t xml:space="preserve">, and </w:t>
      </w:r>
      <w:proofErr w:type="spellStart"/>
      <w:r w:rsidR="00A74E3B" w:rsidRPr="000B14F3">
        <w:rPr>
          <w:rFonts w:ascii="Times New Roman" w:hAnsi="Times New Roman"/>
          <w:lang w:eastAsia="zh-HK"/>
        </w:rPr>
        <w:t>Manow</w:t>
      </w:r>
      <w:proofErr w:type="spellEnd"/>
      <w:r w:rsidR="00802230" w:rsidRPr="000B14F3">
        <w:rPr>
          <w:rFonts w:ascii="Times New Roman" w:hAnsi="Times New Roman"/>
          <w:lang w:eastAsia="zh-HK"/>
        </w:rPr>
        <w:t xml:space="preserve"> (2005) warn against </w:t>
      </w:r>
      <w:r w:rsidR="000F3F74">
        <w:rPr>
          <w:rFonts w:ascii="Times New Roman" w:hAnsi="Times New Roman"/>
          <w:lang w:eastAsia="zh-HK"/>
        </w:rPr>
        <w:t>using this</w:t>
      </w:r>
      <w:r w:rsidR="00802230" w:rsidRPr="000B14F3">
        <w:rPr>
          <w:rFonts w:ascii="Times New Roman" w:hAnsi="Times New Roman"/>
          <w:lang w:eastAsia="zh-HK"/>
        </w:rPr>
        <w:t xml:space="preserve"> design if we are interested in the effect of independent variables on the initial levels of dependent variables. In this </w:t>
      </w:r>
      <w:r w:rsidR="001E79D1">
        <w:rPr>
          <w:rFonts w:ascii="Times New Roman" w:hAnsi="Times New Roman"/>
          <w:lang w:eastAsia="zh-HK"/>
        </w:rPr>
        <w:t>study</w:t>
      </w:r>
      <w:r w:rsidR="00802230" w:rsidRPr="000B14F3">
        <w:rPr>
          <w:rFonts w:ascii="Times New Roman" w:hAnsi="Times New Roman"/>
          <w:lang w:eastAsia="zh-HK"/>
        </w:rPr>
        <w:t xml:space="preserve">, H3 is affected as initial power resources should have an </w:t>
      </w:r>
      <w:r w:rsidR="00197AAB">
        <w:rPr>
          <w:rFonts w:ascii="Times New Roman" w:hAnsi="Times New Roman"/>
          <w:lang w:eastAsia="zh-HK"/>
        </w:rPr>
        <w:t>effect</w:t>
      </w:r>
      <w:r w:rsidR="00802230" w:rsidRPr="000B14F3">
        <w:rPr>
          <w:rFonts w:ascii="Times New Roman" w:hAnsi="Times New Roman"/>
          <w:lang w:eastAsia="zh-HK"/>
        </w:rPr>
        <w:t xml:space="preserve"> </w:t>
      </w:r>
      <w:r w:rsidR="00802230" w:rsidRPr="000B14F3">
        <w:rPr>
          <w:rFonts w:ascii="Times New Roman" w:hAnsi="Times New Roman"/>
          <w:lang w:eastAsia="zh-HK"/>
        </w:rPr>
        <w:lastRenderedPageBreak/>
        <w:t xml:space="preserve">on the initial level of </w:t>
      </w:r>
      <w:r w:rsidR="00301F8F" w:rsidRPr="000B14F3">
        <w:rPr>
          <w:rFonts w:ascii="Times New Roman" w:hAnsi="Times New Roman"/>
          <w:lang w:eastAsia="zh-HK"/>
        </w:rPr>
        <w:t xml:space="preserve">redistribution and </w:t>
      </w:r>
      <w:r w:rsidR="004B4E77" w:rsidRPr="000B14F3">
        <w:rPr>
          <w:rFonts w:ascii="Times New Roman" w:hAnsi="Times New Roman"/>
          <w:lang w:eastAsia="zh-HK"/>
        </w:rPr>
        <w:t xml:space="preserve">income </w:t>
      </w:r>
      <w:r w:rsidR="00802230" w:rsidRPr="000B14F3">
        <w:rPr>
          <w:rFonts w:ascii="Times New Roman" w:hAnsi="Times New Roman"/>
          <w:lang w:eastAsia="zh-HK"/>
        </w:rPr>
        <w:t xml:space="preserve">inequality. </w:t>
      </w:r>
      <w:r w:rsidR="003E250A">
        <w:rPr>
          <w:rFonts w:ascii="Times New Roman" w:hAnsi="Times New Roman"/>
          <w:lang w:eastAsia="zh-HK"/>
        </w:rPr>
        <w:t>The r</w:t>
      </w:r>
      <w:r w:rsidR="00802230" w:rsidRPr="000B14F3">
        <w:rPr>
          <w:rFonts w:ascii="Times New Roman" w:hAnsi="Times New Roman"/>
          <w:lang w:eastAsia="zh-HK"/>
        </w:rPr>
        <w:t>egression wit</w:t>
      </w:r>
      <w:r w:rsidR="00F86DC2" w:rsidRPr="000B14F3">
        <w:rPr>
          <w:rFonts w:ascii="Times New Roman" w:hAnsi="Times New Roman"/>
          <w:lang w:eastAsia="zh-HK"/>
        </w:rPr>
        <w:t xml:space="preserve">hout unit fixed effects is presented in Table A3 </w:t>
      </w:r>
      <w:r w:rsidR="00FB7372" w:rsidRPr="000B14F3">
        <w:rPr>
          <w:rFonts w:ascii="Times New Roman" w:hAnsi="Times New Roman"/>
          <w:lang w:eastAsia="zh-HK"/>
        </w:rPr>
        <w:t>m</w:t>
      </w:r>
      <w:r w:rsidR="00F86DC2" w:rsidRPr="000B14F3">
        <w:rPr>
          <w:rFonts w:ascii="Times New Roman" w:hAnsi="Times New Roman"/>
          <w:lang w:eastAsia="zh-HK"/>
        </w:rPr>
        <w:t xml:space="preserve">odel </w:t>
      </w:r>
      <w:r w:rsidR="00196688" w:rsidRPr="000B14F3">
        <w:rPr>
          <w:rFonts w:ascii="Times New Roman" w:hAnsi="Times New Roman"/>
          <w:lang w:eastAsia="zh-HK"/>
        </w:rPr>
        <w:t>M</w:t>
      </w:r>
      <w:r w:rsidR="00E37AAD" w:rsidRPr="000B14F3">
        <w:rPr>
          <w:rFonts w:ascii="Times New Roman" w:hAnsi="Times New Roman"/>
          <w:lang w:eastAsia="zh-HK"/>
        </w:rPr>
        <w:t>9</w:t>
      </w:r>
      <w:r w:rsidR="003C3C9D" w:rsidRPr="000B14F3">
        <w:rPr>
          <w:rFonts w:ascii="Times New Roman" w:hAnsi="Times New Roman"/>
          <w:lang w:eastAsia="zh-HK"/>
        </w:rPr>
        <w:t>.</w:t>
      </w:r>
      <w:r w:rsidR="00F86DC2" w:rsidRPr="000B14F3">
        <w:rPr>
          <w:rFonts w:ascii="Times New Roman" w:hAnsi="Times New Roman"/>
          <w:lang w:eastAsia="zh-HK"/>
        </w:rPr>
        <w:t xml:space="preserve"> </w:t>
      </w:r>
      <w:r w:rsidR="003C3C9D" w:rsidRPr="000B14F3">
        <w:rPr>
          <w:rFonts w:ascii="Times New Roman" w:hAnsi="Times New Roman"/>
          <w:lang w:eastAsia="zh-HK"/>
        </w:rPr>
        <w:t>T</w:t>
      </w:r>
      <w:r w:rsidR="006D1EA5" w:rsidRPr="000B14F3">
        <w:rPr>
          <w:rFonts w:ascii="Times New Roman" w:hAnsi="Times New Roman"/>
          <w:lang w:eastAsia="zh-HK"/>
        </w:rPr>
        <w:t xml:space="preserve">he effects of MMR and left seat share are similar in size and level of significance. However, union density has become insignificant. </w:t>
      </w:r>
      <w:r w:rsidR="001A7D68" w:rsidRPr="000B14F3">
        <w:rPr>
          <w:rFonts w:ascii="Times New Roman" w:hAnsi="Times New Roman"/>
          <w:lang w:eastAsia="zh-HK"/>
        </w:rPr>
        <w:t xml:space="preserve">As they are both measurements of power resources, it can be </w:t>
      </w:r>
      <w:r w:rsidR="00FB4D9B">
        <w:rPr>
          <w:rFonts w:ascii="Times New Roman" w:hAnsi="Times New Roman"/>
          <w:lang w:eastAsia="zh-HK"/>
        </w:rPr>
        <w:t>concluded</w:t>
      </w:r>
      <w:r w:rsidR="001A7D68" w:rsidRPr="000B14F3">
        <w:rPr>
          <w:rFonts w:ascii="Times New Roman" w:hAnsi="Times New Roman"/>
          <w:lang w:eastAsia="zh-HK"/>
        </w:rPr>
        <w:t xml:space="preserve"> that </w:t>
      </w:r>
      <w:r w:rsidR="00A16065" w:rsidRPr="000B14F3">
        <w:rPr>
          <w:rFonts w:ascii="Times New Roman" w:hAnsi="Times New Roman"/>
          <w:lang w:eastAsia="zh-HK"/>
        </w:rPr>
        <w:t>H3 is robust to th</w:t>
      </w:r>
      <w:r w:rsidR="002F4DAD">
        <w:rPr>
          <w:rFonts w:ascii="Times New Roman" w:hAnsi="Times New Roman"/>
          <w:lang w:eastAsia="zh-HK"/>
        </w:rPr>
        <w:t>e</w:t>
      </w:r>
      <w:r w:rsidR="00A16065" w:rsidRPr="000B14F3">
        <w:rPr>
          <w:rFonts w:ascii="Times New Roman" w:hAnsi="Times New Roman"/>
          <w:lang w:eastAsia="zh-HK"/>
        </w:rPr>
        <w:t>s</w:t>
      </w:r>
      <w:r w:rsidR="002F4DAD">
        <w:rPr>
          <w:rFonts w:ascii="Times New Roman" w:hAnsi="Times New Roman"/>
          <w:lang w:eastAsia="zh-HK"/>
        </w:rPr>
        <w:t>e</w:t>
      </w:r>
      <w:r w:rsidR="00A16065" w:rsidRPr="000B14F3">
        <w:rPr>
          <w:rFonts w:ascii="Times New Roman" w:hAnsi="Times New Roman"/>
          <w:lang w:eastAsia="zh-HK"/>
        </w:rPr>
        <w:t xml:space="preserve"> alternative specifications. Both </w:t>
      </w:r>
      <w:r w:rsidR="007E1603" w:rsidRPr="000B14F3">
        <w:rPr>
          <w:rFonts w:ascii="Times New Roman" w:hAnsi="Times New Roman"/>
          <w:lang w:eastAsia="zh-HK"/>
        </w:rPr>
        <w:t xml:space="preserve">the </w:t>
      </w:r>
      <w:r w:rsidR="00687584" w:rsidRPr="000B14F3">
        <w:rPr>
          <w:rFonts w:ascii="Times New Roman" w:hAnsi="Times New Roman"/>
          <w:lang w:eastAsia="zh-HK"/>
        </w:rPr>
        <w:t xml:space="preserve">position of the </w:t>
      </w:r>
      <w:r w:rsidR="007E1603" w:rsidRPr="000B14F3">
        <w:rPr>
          <w:rFonts w:ascii="Times New Roman" w:hAnsi="Times New Roman"/>
          <w:lang w:eastAsia="zh-HK"/>
        </w:rPr>
        <w:t>median voter (current MMR)</w:t>
      </w:r>
      <w:r w:rsidR="00A16065" w:rsidRPr="000B14F3">
        <w:rPr>
          <w:rFonts w:ascii="Times New Roman" w:hAnsi="Times New Roman"/>
          <w:lang w:eastAsia="zh-HK"/>
        </w:rPr>
        <w:t xml:space="preserve"> and power resources determine future MMR. </w:t>
      </w:r>
      <w:r w:rsidR="007E1603" w:rsidRPr="000B14F3">
        <w:rPr>
          <w:rFonts w:ascii="Times New Roman" w:hAnsi="Times New Roman"/>
          <w:lang w:eastAsia="zh-HK"/>
        </w:rPr>
        <w:t xml:space="preserve">However, the effects of union density </w:t>
      </w:r>
      <w:r w:rsidR="00CD2D15" w:rsidRPr="000B14F3">
        <w:rPr>
          <w:rFonts w:ascii="Times New Roman" w:hAnsi="Times New Roman"/>
          <w:lang w:eastAsia="zh-HK"/>
        </w:rPr>
        <w:t xml:space="preserve">are </w:t>
      </w:r>
      <w:r w:rsidR="007E1603" w:rsidRPr="000B14F3">
        <w:rPr>
          <w:rFonts w:ascii="Times New Roman" w:hAnsi="Times New Roman"/>
          <w:lang w:eastAsia="zh-HK"/>
        </w:rPr>
        <w:t xml:space="preserve">more prominent within a </w:t>
      </w:r>
      <w:r w:rsidR="001921BA">
        <w:rPr>
          <w:rFonts w:ascii="Times New Roman" w:hAnsi="Times New Roman"/>
          <w:lang w:eastAsia="zh-HK"/>
        </w:rPr>
        <w:t xml:space="preserve">single </w:t>
      </w:r>
      <w:r w:rsidR="007E1603" w:rsidRPr="000B14F3">
        <w:rPr>
          <w:rFonts w:ascii="Times New Roman" w:hAnsi="Times New Roman"/>
          <w:lang w:eastAsia="zh-HK"/>
        </w:rPr>
        <w:t xml:space="preserve">case than across cases. </w:t>
      </w:r>
    </w:p>
    <w:p w:rsidR="002211D8" w:rsidRPr="000B14F3" w:rsidRDefault="002211D8" w:rsidP="00990B1A">
      <w:pPr>
        <w:rPr>
          <w:rFonts w:ascii="Times New Roman" w:hAnsi="Times New Roman"/>
        </w:rPr>
      </w:pPr>
    </w:p>
    <w:p w:rsidR="00F30004" w:rsidRPr="000B14F3" w:rsidRDefault="00F30004" w:rsidP="00990B1A">
      <w:pPr>
        <w:rPr>
          <w:rFonts w:ascii="Times New Roman" w:hAnsi="Times New Roman"/>
          <w:b/>
          <w:i/>
        </w:rPr>
      </w:pPr>
      <w:r w:rsidRPr="000B14F3">
        <w:rPr>
          <w:rFonts w:ascii="Times New Roman" w:hAnsi="Times New Roman"/>
          <w:b/>
          <w:i/>
        </w:rPr>
        <w:t>Lagged Dependent Variable</w:t>
      </w:r>
    </w:p>
    <w:p w:rsidR="00F30004" w:rsidRPr="000B14F3" w:rsidRDefault="00F30004" w:rsidP="002E71AF">
      <w:pPr>
        <w:jc w:val="both"/>
        <w:rPr>
          <w:rFonts w:ascii="Times New Roman" w:hAnsi="Times New Roman"/>
        </w:rPr>
      </w:pPr>
      <w:r w:rsidRPr="000B14F3">
        <w:rPr>
          <w:rFonts w:ascii="Times New Roman" w:hAnsi="Times New Roman"/>
        </w:rPr>
        <w:t xml:space="preserve">In </w:t>
      </w:r>
      <w:r w:rsidR="00D75D61" w:rsidRPr="000B14F3">
        <w:rPr>
          <w:rFonts w:ascii="Times New Roman" w:hAnsi="Times New Roman"/>
        </w:rPr>
        <w:t>studies with a</w:t>
      </w:r>
      <w:r w:rsidR="00914EEE" w:rsidRPr="000B14F3">
        <w:rPr>
          <w:rFonts w:ascii="Times New Roman" w:hAnsi="Times New Roman"/>
        </w:rPr>
        <w:t xml:space="preserve"> time-series cross-sectional </w:t>
      </w:r>
      <w:r w:rsidR="00D75D61" w:rsidRPr="000B14F3">
        <w:rPr>
          <w:rFonts w:ascii="Times New Roman" w:hAnsi="Times New Roman"/>
        </w:rPr>
        <w:t>design</w:t>
      </w:r>
      <w:r w:rsidR="00914EEE" w:rsidRPr="000B14F3">
        <w:rPr>
          <w:rFonts w:ascii="Times New Roman" w:hAnsi="Times New Roman"/>
        </w:rPr>
        <w:t xml:space="preserve">, it is </w:t>
      </w:r>
      <w:r w:rsidR="003D4B08" w:rsidRPr="000B14F3">
        <w:rPr>
          <w:rFonts w:ascii="Times New Roman" w:hAnsi="Times New Roman"/>
        </w:rPr>
        <w:t xml:space="preserve">quite </w:t>
      </w:r>
      <w:r w:rsidR="00914EEE" w:rsidRPr="000B14F3">
        <w:rPr>
          <w:rFonts w:ascii="Times New Roman" w:hAnsi="Times New Roman"/>
        </w:rPr>
        <w:t>common to include a lagged dependent variable (LDV)</w:t>
      </w:r>
      <w:r w:rsidR="00076E73" w:rsidRPr="000B14F3">
        <w:rPr>
          <w:rFonts w:ascii="Times New Roman" w:hAnsi="Times New Roman"/>
        </w:rPr>
        <w:t xml:space="preserve"> (</w:t>
      </w:r>
      <w:r w:rsidR="00914EEE" w:rsidRPr="000B14F3">
        <w:rPr>
          <w:rFonts w:ascii="Times New Roman" w:hAnsi="Times New Roman"/>
        </w:rPr>
        <w:t>Beck and Katz</w:t>
      </w:r>
      <w:r w:rsidR="00076E73" w:rsidRPr="000B14F3">
        <w:rPr>
          <w:rFonts w:ascii="Times New Roman" w:hAnsi="Times New Roman"/>
        </w:rPr>
        <w:t xml:space="preserve">, </w:t>
      </w:r>
      <w:r w:rsidR="00914EEE" w:rsidRPr="000B14F3">
        <w:rPr>
          <w:rFonts w:ascii="Times New Roman" w:hAnsi="Times New Roman"/>
        </w:rPr>
        <w:t>1995)</w:t>
      </w:r>
      <w:r w:rsidR="00976BEE">
        <w:rPr>
          <w:rFonts w:ascii="Times New Roman" w:hAnsi="Times New Roman"/>
        </w:rPr>
        <w:t xml:space="preserve">, but this method has been </w:t>
      </w:r>
      <w:r w:rsidR="00433E60" w:rsidRPr="000B14F3">
        <w:rPr>
          <w:rFonts w:ascii="Times New Roman" w:hAnsi="Times New Roman"/>
        </w:rPr>
        <w:t>criticize</w:t>
      </w:r>
      <w:r w:rsidR="00976BEE">
        <w:rPr>
          <w:rFonts w:ascii="Times New Roman" w:hAnsi="Times New Roman"/>
        </w:rPr>
        <w:t xml:space="preserve">d </w:t>
      </w:r>
      <w:r w:rsidR="00F65A5B">
        <w:rPr>
          <w:rFonts w:ascii="Times New Roman" w:hAnsi="Times New Roman"/>
        </w:rPr>
        <w:t xml:space="preserve">by others </w:t>
      </w:r>
      <w:r w:rsidR="00976BEE">
        <w:rPr>
          <w:rFonts w:ascii="Times New Roman" w:hAnsi="Times New Roman"/>
        </w:rPr>
        <w:t xml:space="preserve">as </w:t>
      </w:r>
      <w:r w:rsidR="000A5FA5" w:rsidRPr="000B14F3">
        <w:rPr>
          <w:rFonts w:ascii="Times New Roman" w:hAnsi="Times New Roman"/>
        </w:rPr>
        <w:t>it suppress</w:t>
      </w:r>
      <w:r w:rsidR="006B096F">
        <w:rPr>
          <w:rFonts w:ascii="Times New Roman" w:hAnsi="Times New Roman"/>
        </w:rPr>
        <w:t>es</w:t>
      </w:r>
      <w:r w:rsidR="000A5FA5" w:rsidRPr="000B14F3">
        <w:rPr>
          <w:rFonts w:ascii="Times New Roman" w:hAnsi="Times New Roman"/>
        </w:rPr>
        <w:t xml:space="preserve"> the effect</w:t>
      </w:r>
      <w:r w:rsidR="00593A56" w:rsidRPr="000B14F3">
        <w:rPr>
          <w:rFonts w:ascii="Times New Roman" w:hAnsi="Times New Roman"/>
        </w:rPr>
        <w:t xml:space="preserve">s of other dependent variables (e.g., </w:t>
      </w:r>
      <w:proofErr w:type="spellStart"/>
      <w:r w:rsidR="00593A56" w:rsidRPr="000B14F3">
        <w:rPr>
          <w:rFonts w:ascii="Times New Roman" w:hAnsi="Times New Roman"/>
        </w:rPr>
        <w:t>Achen</w:t>
      </w:r>
      <w:proofErr w:type="spellEnd"/>
      <w:r w:rsidR="00593A56" w:rsidRPr="000B14F3">
        <w:rPr>
          <w:rFonts w:ascii="Times New Roman" w:hAnsi="Times New Roman"/>
        </w:rPr>
        <w:t>, 2000; Huber and Stephens, 2001</w:t>
      </w:r>
      <w:r w:rsidR="007E7943" w:rsidRPr="000B14F3">
        <w:rPr>
          <w:rFonts w:ascii="Times New Roman" w:hAnsi="Times New Roman"/>
        </w:rPr>
        <w:t>, 2012</w:t>
      </w:r>
      <w:r w:rsidR="00593A56" w:rsidRPr="000B14F3">
        <w:rPr>
          <w:rFonts w:ascii="Times New Roman" w:hAnsi="Times New Roman"/>
        </w:rPr>
        <w:t xml:space="preserve">). </w:t>
      </w:r>
      <w:r w:rsidR="00992178" w:rsidRPr="000B14F3">
        <w:rPr>
          <w:rFonts w:ascii="Times New Roman" w:hAnsi="Times New Roman"/>
        </w:rPr>
        <w:t xml:space="preserve">A potential </w:t>
      </w:r>
      <w:r w:rsidR="00FD2EA3" w:rsidRPr="000B14F3">
        <w:rPr>
          <w:rFonts w:ascii="Times New Roman" w:hAnsi="Times New Roman"/>
        </w:rPr>
        <w:t>problem of LDV</w:t>
      </w:r>
      <w:r w:rsidR="00992178" w:rsidRPr="000B14F3">
        <w:rPr>
          <w:rFonts w:ascii="Times New Roman" w:hAnsi="Times New Roman"/>
        </w:rPr>
        <w:t xml:space="preserve"> </w:t>
      </w:r>
      <w:r w:rsidR="00A52636" w:rsidRPr="000B14F3">
        <w:rPr>
          <w:rFonts w:ascii="Times New Roman" w:hAnsi="Times New Roman"/>
        </w:rPr>
        <w:t xml:space="preserve">with country-specific intercepts </w:t>
      </w:r>
      <w:r w:rsidR="00992178" w:rsidRPr="000B14F3">
        <w:rPr>
          <w:rFonts w:ascii="Times New Roman" w:hAnsi="Times New Roman"/>
        </w:rPr>
        <w:t xml:space="preserve">is that </w:t>
      </w:r>
      <w:r w:rsidR="00A52636" w:rsidRPr="000B14F3">
        <w:rPr>
          <w:rFonts w:ascii="Times New Roman" w:hAnsi="Times New Roman"/>
        </w:rPr>
        <w:t xml:space="preserve">it </w:t>
      </w:r>
      <w:r w:rsidR="001D11DD">
        <w:rPr>
          <w:rFonts w:ascii="Times New Roman" w:hAnsi="Times New Roman"/>
        </w:rPr>
        <w:t>can</w:t>
      </w:r>
      <w:r w:rsidR="00A52636" w:rsidRPr="000B14F3">
        <w:rPr>
          <w:rFonts w:ascii="Times New Roman" w:hAnsi="Times New Roman"/>
        </w:rPr>
        <w:t xml:space="preserve"> lead to </w:t>
      </w:r>
      <w:r w:rsidR="006620FB" w:rsidRPr="000B14F3">
        <w:rPr>
          <w:rFonts w:ascii="Times New Roman" w:hAnsi="Times New Roman"/>
        </w:rPr>
        <w:t xml:space="preserve">biased estimates </w:t>
      </w:r>
      <w:r w:rsidR="00E307BE">
        <w:rPr>
          <w:rFonts w:ascii="Times New Roman" w:hAnsi="Times New Roman"/>
        </w:rPr>
        <w:t>by</w:t>
      </w:r>
      <w:r w:rsidR="006620FB" w:rsidRPr="000B14F3">
        <w:rPr>
          <w:rFonts w:ascii="Times New Roman" w:hAnsi="Times New Roman"/>
        </w:rPr>
        <w:t xml:space="preserve"> </w:t>
      </w:r>
      <w:r w:rsidR="00E307BE">
        <w:rPr>
          <w:rFonts w:ascii="Times New Roman" w:hAnsi="Times New Roman"/>
        </w:rPr>
        <w:t xml:space="preserve">inducing </w:t>
      </w:r>
      <w:r w:rsidR="006620FB" w:rsidRPr="000B14F3">
        <w:rPr>
          <w:rFonts w:ascii="Times New Roman" w:hAnsi="Times New Roman"/>
        </w:rPr>
        <w:t xml:space="preserve">correlation between the </w:t>
      </w:r>
      <w:r w:rsidR="00F35D64" w:rsidRPr="000B14F3">
        <w:rPr>
          <w:rFonts w:ascii="Times New Roman" w:hAnsi="Times New Roman"/>
        </w:rPr>
        <w:t>centered</w:t>
      </w:r>
      <w:r w:rsidR="006620FB" w:rsidRPr="000B14F3">
        <w:rPr>
          <w:rFonts w:ascii="Times New Roman" w:hAnsi="Times New Roman"/>
        </w:rPr>
        <w:t xml:space="preserve"> error term and the </w:t>
      </w:r>
      <w:r w:rsidR="00F35D64" w:rsidRPr="000B14F3">
        <w:rPr>
          <w:rFonts w:ascii="Times New Roman" w:hAnsi="Times New Roman"/>
        </w:rPr>
        <w:t>centered</w:t>
      </w:r>
      <w:r w:rsidR="006620FB" w:rsidRPr="000B14F3">
        <w:rPr>
          <w:rFonts w:ascii="Times New Roman" w:hAnsi="Times New Roman"/>
        </w:rPr>
        <w:t xml:space="preserve"> lagged dependent variable (</w:t>
      </w:r>
      <w:proofErr w:type="spellStart"/>
      <w:r w:rsidR="006620FB" w:rsidRPr="000B14F3">
        <w:rPr>
          <w:rFonts w:ascii="Times New Roman" w:hAnsi="Times New Roman"/>
        </w:rPr>
        <w:t>Nickell</w:t>
      </w:r>
      <w:proofErr w:type="spellEnd"/>
      <w:r w:rsidR="006620FB" w:rsidRPr="000B14F3">
        <w:rPr>
          <w:rFonts w:ascii="Times New Roman" w:hAnsi="Times New Roman"/>
        </w:rPr>
        <w:t>, 1981;</w:t>
      </w:r>
      <w:r w:rsidR="00991A01" w:rsidRPr="000B14F3">
        <w:rPr>
          <w:rFonts w:ascii="Times New Roman" w:hAnsi="Times New Roman"/>
        </w:rPr>
        <w:t xml:space="preserve"> Behr, 2003; Adolph et al., 2005;</w:t>
      </w:r>
      <w:r w:rsidR="006620FB" w:rsidRPr="000B14F3">
        <w:rPr>
          <w:rFonts w:ascii="Times New Roman" w:hAnsi="Times New Roman"/>
        </w:rPr>
        <w:t xml:space="preserve"> but see Beck and Katz, 2011).</w:t>
      </w:r>
      <w:r w:rsidR="00ED4EDC" w:rsidRPr="000B14F3">
        <w:rPr>
          <w:rFonts w:ascii="Times New Roman" w:hAnsi="Times New Roman"/>
        </w:rPr>
        <w:t xml:space="preserve"> </w:t>
      </w:r>
      <w:r w:rsidR="00BE5522">
        <w:rPr>
          <w:rFonts w:ascii="Times New Roman" w:hAnsi="Times New Roman"/>
        </w:rPr>
        <w:t>D</w:t>
      </w:r>
      <w:r w:rsidR="00ED4EDC" w:rsidRPr="000B14F3">
        <w:rPr>
          <w:rFonts w:ascii="Times New Roman" w:hAnsi="Times New Roman"/>
        </w:rPr>
        <w:t xml:space="preserve">ifferent </w:t>
      </w:r>
      <w:r w:rsidR="0010632C" w:rsidRPr="000B14F3">
        <w:rPr>
          <w:rFonts w:ascii="Times New Roman" w:hAnsi="Times New Roman"/>
        </w:rPr>
        <w:t>view</w:t>
      </w:r>
      <w:r w:rsidR="00203389">
        <w:rPr>
          <w:rFonts w:ascii="Times New Roman" w:hAnsi="Times New Roman"/>
        </w:rPr>
        <w:t>points regarding</w:t>
      </w:r>
      <w:r w:rsidR="00ED4EDC" w:rsidRPr="000B14F3">
        <w:rPr>
          <w:rFonts w:ascii="Times New Roman" w:hAnsi="Times New Roman"/>
        </w:rPr>
        <w:t xml:space="preserve"> LDV can also be found in the literature </w:t>
      </w:r>
      <w:r w:rsidR="00DE600F">
        <w:rPr>
          <w:rFonts w:ascii="Times New Roman" w:hAnsi="Times New Roman"/>
        </w:rPr>
        <w:t xml:space="preserve">on inequality </w:t>
      </w:r>
      <w:r w:rsidR="00ED4EDC" w:rsidRPr="000B14F3">
        <w:rPr>
          <w:rFonts w:ascii="Times New Roman" w:hAnsi="Times New Roman"/>
        </w:rPr>
        <w:t xml:space="preserve">(e.g., </w:t>
      </w:r>
      <w:proofErr w:type="spellStart"/>
      <w:r w:rsidR="00ED4EDC" w:rsidRPr="000B14F3">
        <w:rPr>
          <w:rFonts w:ascii="Times New Roman" w:hAnsi="Times New Roman"/>
        </w:rPr>
        <w:t>Rueda</w:t>
      </w:r>
      <w:proofErr w:type="spellEnd"/>
      <w:r w:rsidR="007F349F" w:rsidRPr="000B14F3">
        <w:rPr>
          <w:rFonts w:ascii="Times New Roman" w:hAnsi="Times New Roman"/>
        </w:rPr>
        <w:t xml:space="preserve"> [</w:t>
      </w:r>
      <w:r w:rsidR="00ED4EDC" w:rsidRPr="000B14F3">
        <w:rPr>
          <w:rFonts w:ascii="Times New Roman" w:hAnsi="Times New Roman"/>
        </w:rPr>
        <w:t>2008</w:t>
      </w:r>
      <w:r w:rsidR="007F349F" w:rsidRPr="000B14F3">
        <w:rPr>
          <w:rFonts w:ascii="Times New Roman" w:hAnsi="Times New Roman"/>
        </w:rPr>
        <w:t>] and</w:t>
      </w:r>
      <w:r w:rsidR="00ED4EDC" w:rsidRPr="000B14F3">
        <w:rPr>
          <w:rFonts w:ascii="Times New Roman" w:hAnsi="Times New Roman"/>
        </w:rPr>
        <w:t xml:space="preserve"> </w:t>
      </w:r>
      <w:proofErr w:type="spellStart"/>
      <w:r w:rsidR="00ED4EDC" w:rsidRPr="000B14F3">
        <w:rPr>
          <w:rFonts w:ascii="Times New Roman" w:hAnsi="Times New Roman"/>
        </w:rPr>
        <w:t>Pontusson</w:t>
      </w:r>
      <w:proofErr w:type="spellEnd"/>
      <w:r w:rsidR="00ED4EDC" w:rsidRPr="000B14F3">
        <w:rPr>
          <w:rFonts w:ascii="Times New Roman" w:hAnsi="Times New Roman"/>
        </w:rPr>
        <w:t xml:space="preserve"> </w:t>
      </w:r>
      <w:r w:rsidR="00ED4EDC" w:rsidRPr="000B14F3">
        <w:rPr>
          <w:rFonts w:ascii="Times New Roman" w:hAnsi="Times New Roman"/>
          <w:i/>
        </w:rPr>
        <w:t>et al</w:t>
      </w:r>
      <w:r w:rsidR="00ED4EDC" w:rsidRPr="000B14F3">
        <w:rPr>
          <w:rFonts w:ascii="Times New Roman" w:hAnsi="Times New Roman"/>
        </w:rPr>
        <w:t>.</w:t>
      </w:r>
      <w:r w:rsidR="007F349F" w:rsidRPr="000B14F3">
        <w:rPr>
          <w:rFonts w:ascii="Times New Roman" w:hAnsi="Times New Roman"/>
        </w:rPr>
        <w:t xml:space="preserve"> [</w:t>
      </w:r>
      <w:r w:rsidR="00ED4EDC" w:rsidRPr="000B14F3">
        <w:rPr>
          <w:rFonts w:ascii="Times New Roman" w:hAnsi="Times New Roman"/>
        </w:rPr>
        <w:t>2002</w:t>
      </w:r>
      <w:r w:rsidR="007F349F" w:rsidRPr="000B14F3">
        <w:rPr>
          <w:rFonts w:ascii="Times New Roman" w:hAnsi="Times New Roman"/>
        </w:rPr>
        <w:t xml:space="preserve">] included a LDV </w:t>
      </w:r>
      <w:r w:rsidR="00B97D97" w:rsidRPr="000B14F3">
        <w:rPr>
          <w:rFonts w:ascii="Times New Roman" w:hAnsi="Times New Roman"/>
        </w:rPr>
        <w:t>while</w:t>
      </w:r>
      <w:r w:rsidR="00ED4EDC" w:rsidRPr="000B14F3">
        <w:rPr>
          <w:rFonts w:ascii="Times New Roman" w:hAnsi="Times New Roman"/>
        </w:rPr>
        <w:t xml:space="preserve"> Bradley</w:t>
      </w:r>
      <w:r w:rsidR="00ED4EDC" w:rsidRPr="000B14F3">
        <w:rPr>
          <w:rFonts w:ascii="Times New Roman" w:hAnsi="Times New Roman"/>
          <w:i/>
        </w:rPr>
        <w:t xml:space="preserve"> et al</w:t>
      </w:r>
      <w:r w:rsidR="00ED4EDC" w:rsidRPr="000B14F3">
        <w:rPr>
          <w:rFonts w:ascii="Times New Roman" w:hAnsi="Times New Roman"/>
        </w:rPr>
        <w:t>.</w:t>
      </w:r>
      <w:r w:rsidR="007F349F" w:rsidRPr="000B14F3">
        <w:rPr>
          <w:rFonts w:ascii="Times New Roman" w:hAnsi="Times New Roman"/>
        </w:rPr>
        <w:t xml:space="preserve"> [</w:t>
      </w:r>
      <w:r w:rsidR="00ED4EDC" w:rsidRPr="000B14F3">
        <w:rPr>
          <w:rFonts w:ascii="Times New Roman" w:hAnsi="Times New Roman"/>
        </w:rPr>
        <w:t>2003</w:t>
      </w:r>
      <w:r w:rsidR="007F349F" w:rsidRPr="000B14F3">
        <w:rPr>
          <w:rFonts w:ascii="Times New Roman" w:hAnsi="Times New Roman"/>
        </w:rPr>
        <w:t>] and</w:t>
      </w:r>
      <w:r w:rsidR="00ED4EDC" w:rsidRPr="000B14F3">
        <w:rPr>
          <w:rFonts w:ascii="Times New Roman" w:hAnsi="Times New Roman"/>
        </w:rPr>
        <w:t xml:space="preserve"> </w:t>
      </w:r>
      <w:proofErr w:type="spellStart"/>
      <w:r w:rsidR="00ED4EDC" w:rsidRPr="000B14F3">
        <w:rPr>
          <w:rFonts w:ascii="Times New Roman" w:hAnsi="Times New Roman"/>
        </w:rPr>
        <w:t>Beramendi</w:t>
      </w:r>
      <w:proofErr w:type="spellEnd"/>
      <w:r w:rsidR="00ED4EDC" w:rsidRPr="000B14F3">
        <w:rPr>
          <w:rFonts w:ascii="Times New Roman" w:hAnsi="Times New Roman"/>
        </w:rPr>
        <w:t xml:space="preserve"> and Cusack</w:t>
      </w:r>
      <w:r w:rsidR="007F349F" w:rsidRPr="000B14F3">
        <w:rPr>
          <w:rFonts w:ascii="Times New Roman" w:hAnsi="Times New Roman"/>
        </w:rPr>
        <w:t xml:space="preserve"> [</w:t>
      </w:r>
      <w:r w:rsidR="00ED4EDC" w:rsidRPr="000B14F3">
        <w:rPr>
          <w:rFonts w:ascii="Times New Roman" w:hAnsi="Times New Roman"/>
        </w:rPr>
        <w:t>2009</w:t>
      </w:r>
      <w:r w:rsidR="007F349F" w:rsidRPr="000B14F3">
        <w:rPr>
          <w:rFonts w:ascii="Times New Roman" w:hAnsi="Times New Roman"/>
        </w:rPr>
        <w:t>] did not</w:t>
      </w:r>
      <w:r w:rsidR="00ED4EDC" w:rsidRPr="000B14F3">
        <w:rPr>
          <w:rFonts w:ascii="Times New Roman" w:hAnsi="Times New Roman"/>
        </w:rPr>
        <w:t>).</w:t>
      </w:r>
      <w:r w:rsidR="001D2048" w:rsidRPr="000B14F3">
        <w:rPr>
          <w:rFonts w:ascii="Times New Roman" w:hAnsi="Times New Roman"/>
        </w:rPr>
        <w:t xml:space="preserve"> </w:t>
      </w:r>
    </w:p>
    <w:p w:rsidR="00894965" w:rsidRPr="000B14F3" w:rsidRDefault="00894965" w:rsidP="002E71AF">
      <w:pPr>
        <w:jc w:val="both"/>
        <w:rPr>
          <w:rFonts w:ascii="Times New Roman" w:hAnsi="Times New Roman"/>
        </w:rPr>
      </w:pPr>
    </w:p>
    <w:p w:rsidR="00894965" w:rsidRPr="000B14F3" w:rsidRDefault="00894965" w:rsidP="002E71AF">
      <w:pPr>
        <w:jc w:val="both"/>
        <w:rPr>
          <w:rFonts w:ascii="Times New Roman" w:hAnsi="Times New Roman"/>
        </w:rPr>
      </w:pPr>
      <w:r w:rsidRPr="000B14F3">
        <w:rPr>
          <w:rFonts w:ascii="Times New Roman" w:hAnsi="Times New Roman"/>
        </w:rPr>
        <w:t xml:space="preserve">H3 is </w:t>
      </w:r>
      <w:proofErr w:type="spellStart"/>
      <w:r w:rsidR="00D11832" w:rsidRPr="000B14F3">
        <w:rPr>
          <w:rFonts w:ascii="Times New Roman" w:hAnsi="Times New Roman"/>
        </w:rPr>
        <w:t>operationali</w:t>
      </w:r>
      <w:r w:rsidR="000C099F">
        <w:rPr>
          <w:rFonts w:ascii="Times New Roman" w:hAnsi="Times New Roman"/>
        </w:rPr>
        <w:t>z</w:t>
      </w:r>
      <w:r w:rsidR="00D11832" w:rsidRPr="000B14F3">
        <w:rPr>
          <w:rFonts w:ascii="Times New Roman" w:hAnsi="Times New Roman"/>
        </w:rPr>
        <w:t>ed</w:t>
      </w:r>
      <w:proofErr w:type="spellEnd"/>
      <w:r w:rsidRPr="000B14F3">
        <w:rPr>
          <w:rFonts w:ascii="Times New Roman" w:hAnsi="Times New Roman"/>
        </w:rPr>
        <w:t xml:space="preserve"> </w:t>
      </w:r>
      <w:r w:rsidR="00AF192A" w:rsidRPr="000B14F3">
        <w:rPr>
          <w:rFonts w:ascii="Times New Roman" w:hAnsi="Times New Roman"/>
        </w:rPr>
        <w:t>similar to a</w:t>
      </w:r>
      <w:r w:rsidR="00A7147D">
        <w:rPr>
          <w:rFonts w:ascii="Times New Roman" w:hAnsi="Times New Roman"/>
        </w:rPr>
        <w:t>n</w:t>
      </w:r>
      <w:r w:rsidRPr="000B14F3">
        <w:rPr>
          <w:rFonts w:ascii="Times New Roman" w:hAnsi="Times New Roman"/>
        </w:rPr>
        <w:t xml:space="preserve"> LDV</w:t>
      </w:r>
      <w:r w:rsidR="00AF192A" w:rsidRPr="000B14F3">
        <w:rPr>
          <w:rFonts w:ascii="Times New Roman" w:hAnsi="Times New Roman"/>
        </w:rPr>
        <w:t xml:space="preserve"> </w:t>
      </w:r>
      <w:r w:rsidR="00B10904" w:rsidRPr="000B14F3">
        <w:rPr>
          <w:rFonts w:ascii="Times New Roman" w:hAnsi="Times New Roman"/>
        </w:rPr>
        <w:t>set-up</w:t>
      </w:r>
      <w:r w:rsidR="00C1125E" w:rsidRPr="000B14F3">
        <w:rPr>
          <w:rFonts w:ascii="Times New Roman" w:hAnsi="Times New Roman"/>
        </w:rPr>
        <w:t xml:space="preserve">, </w:t>
      </w:r>
      <w:r w:rsidR="00BC513F">
        <w:rPr>
          <w:rFonts w:ascii="Times New Roman" w:hAnsi="Times New Roman"/>
        </w:rPr>
        <w:t xml:space="preserve">so </w:t>
      </w:r>
      <w:r w:rsidR="00C1125E" w:rsidRPr="000B14F3">
        <w:rPr>
          <w:rFonts w:ascii="Times New Roman" w:hAnsi="Times New Roman"/>
        </w:rPr>
        <w:t>robustness tests for H1 and H2 with a</w:t>
      </w:r>
      <w:r w:rsidR="00A7147D">
        <w:rPr>
          <w:rFonts w:ascii="Times New Roman" w:hAnsi="Times New Roman"/>
        </w:rPr>
        <w:t>n</w:t>
      </w:r>
      <w:r w:rsidR="00C1125E" w:rsidRPr="000B14F3">
        <w:rPr>
          <w:rFonts w:ascii="Times New Roman" w:hAnsi="Times New Roman"/>
        </w:rPr>
        <w:t xml:space="preserve"> LDV are performed.</w:t>
      </w:r>
      <w:r w:rsidR="00233DF8">
        <w:rPr>
          <w:rFonts w:ascii="Times New Roman" w:hAnsi="Times New Roman"/>
        </w:rPr>
        <w:t xml:space="preserve"> The</w:t>
      </w:r>
      <w:r w:rsidR="00C1125E" w:rsidRPr="000B14F3">
        <w:rPr>
          <w:rFonts w:ascii="Times New Roman" w:hAnsi="Times New Roman"/>
        </w:rPr>
        <w:t xml:space="preserve"> </w:t>
      </w:r>
      <w:r w:rsidR="00233DF8">
        <w:rPr>
          <w:rFonts w:ascii="Times New Roman" w:hAnsi="Times New Roman"/>
        </w:rPr>
        <w:t>r</w:t>
      </w:r>
      <w:r w:rsidR="00D22EFB" w:rsidRPr="000B14F3">
        <w:rPr>
          <w:rFonts w:ascii="Times New Roman" w:hAnsi="Times New Roman"/>
        </w:rPr>
        <w:t xml:space="preserve">esults </w:t>
      </w:r>
      <w:r w:rsidR="00C95B0F" w:rsidRPr="000B14F3">
        <w:rPr>
          <w:rFonts w:ascii="Times New Roman" w:hAnsi="Times New Roman"/>
        </w:rPr>
        <w:t>are reported</w:t>
      </w:r>
      <w:r w:rsidR="00986C81" w:rsidRPr="000B14F3">
        <w:rPr>
          <w:rFonts w:ascii="Times New Roman" w:hAnsi="Times New Roman"/>
        </w:rPr>
        <w:t xml:space="preserve"> in Table A</w:t>
      </w:r>
      <w:r w:rsidR="00273342" w:rsidRPr="000B14F3">
        <w:rPr>
          <w:rFonts w:ascii="Times New Roman" w:hAnsi="Times New Roman"/>
        </w:rPr>
        <w:t>1</w:t>
      </w:r>
      <w:r w:rsidR="00986C81" w:rsidRPr="000B14F3">
        <w:rPr>
          <w:rFonts w:ascii="Times New Roman" w:hAnsi="Times New Roman"/>
        </w:rPr>
        <w:t xml:space="preserve"> </w:t>
      </w:r>
      <w:r w:rsidR="00FB7372" w:rsidRPr="000B14F3">
        <w:rPr>
          <w:rFonts w:ascii="Times New Roman" w:hAnsi="Times New Roman"/>
        </w:rPr>
        <w:t>m</w:t>
      </w:r>
      <w:r w:rsidR="00986C81" w:rsidRPr="000B14F3">
        <w:rPr>
          <w:rFonts w:ascii="Times New Roman" w:hAnsi="Times New Roman"/>
        </w:rPr>
        <w:t xml:space="preserve">odel </w:t>
      </w:r>
      <w:r w:rsidR="001E352D" w:rsidRPr="000B14F3">
        <w:rPr>
          <w:rFonts w:ascii="Times New Roman" w:hAnsi="Times New Roman"/>
        </w:rPr>
        <w:t>M</w:t>
      </w:r>
      <w:r w:rsidR="00986C81" w:rsidRPr="000B14F3">
        <w:rPr>
          <w:rFonts w:ascii="Times New Roman" w:hAnsi="Times New Roman"/>
        </w:rPr>
        <w:t>5</w:t>
      </w:r>
      <w:r w:rsidR="00D22EFB" w:rsidRPr="000B14F3">
        <w:rPr>
          <w:rFonts w:ascii="Times New Roman" w:hAnsi="Times New Roman"/>
        </w:rPr>
        <w:t xml:space="preserve"> and</w:t>
      </w:r>
      <w:r w:rsidR="00986C81" w:rsidRPr="000B14F3">
        <w:rPr>
          <w:rFonts w:ascii="Times New Roman" w:hAnsi="Times New Roman"/>
        </w:rPr>
        <w:t xml:space="preserve"> Table A</w:t>
      </w:r>
      <w:r w:rsidR="00273342" w:rsidRPr="000B14F3">
        <w:rPr>
          <w:rFonts w:ascii="Times New Roman" w:hAnsi="Times New Roman"/>
        </w:rPr>
        <w:t>2</w:t>
      </w:r>
      <w:r w:rsidR="00986C81" w:rsidRPr="000B14F3">
        <w:rPr>
          <w:rFonts w:ascii="Times New Roman" w:hAnsi="Times New Roman"/>
        </w:rPr>
        <w:t xml:space="preserve"> </w:t>
      </w:r>
      <w:r w:rsidR="00FB7372" w:rsidRPr="000B14F3">
        <w:rPr>
          <w:rFonts w:ascii="Times New Roman" w:hAnsi="Times New Roman"/>
        </w:rPr>
        <w:t>m</w:t>
      </w:r>
      <w:r w:rsidR="00986C81" w:rsidRPr="000B14F3">
        <w:rPr>
          <w:rFonts w:ascii="Times New Roman" w:hAnsi="Times New Roman"/>
        </w:rPr>
        <w:t xml:space="preserve">odel </w:t>
      </w:r>
      <w:r w:rsidR="001E352D" w:rsidRPr="000B14F3">
        <w:rPr>
          <w:rFonts w:ascii="Times New Roman" w:hAnsi="Times New Roman"/>
        </w:rPr>
        <w:t>M</w:t>
      </w:r>
      <w:r w:rsidR="00273342" w:rsidRPr="000B14F3">
        <w:rPr>
          <w:rFonts w:ascii="Times New Roman" w:hAnsi="Times New Roman"/>
        </w:rPr>
        <w:t>8</w:t>
      </w:r>
      <w:r w:rsidR="00986C81" w:rsidRPr="000B14F3">
        <w:rPr>
          <w:rFonts w:ascii="Times New Roman" w:hAnsi="Times New Roman"/>
        </w:rPr>
        <w:t xml:space="preserve">. </w:t>
      </w:r>
      <w:r w:rsidR="00DF3BD5" w:rsidRPr="000B14F3">
        <w:rPr>
          <w:rFonts w:ascii="Times New Roman" w:hAnsi="Times New Roman"/>
        </w:rPr>
        <w:t xml:space="preserve">Although there is a drop in the magnitude and significance level in the variables of interest, a similar and significant result can be found. </w:t>
      </w:r>
      <w:r w:rsidR="00984577" w:rsidRPr="000B14F3">
        <w:rPr>
          <w:rFonts w:ascii="Times New Roman" w:hAnsi="Times New Roman"/>
        </w:rPr>
        <w:t>A lag</w:t>
      </w:r>
      <w:r w:rsidR="00986C81" w:rsidRPr="000B14F3">
        <w:rPr>
          <w:rFonts w:ascii="Times New Roman" w:hAnsi="Times New Roman"/>
        </w:rPr>
        <w:t xml:space="preserve"> length of 2 years is chosen as it can absorb serial correlation (</w:t>
      </w:r>
      <w:r w:rsidR="00367710" w:rsidRPr="000B14F3">
        <w:rPr>
          <w:rFonts w:ascii="Times New Roman" w:hAnsi="Times New Roman"/>
        </w:rPr>
        <w:t xml:space="preserve">based on the </w:t>
      </w:r>
      <w:r w:rsidR="00460B18" w:rsidRPr="000B14F3">
        <w:rPr>
          <w:rFonts w:ascii="Times New Roman" w:hAnsi="Times New Roman"/>
        </w:rPr>
        <w:t>Lagrange multiplier test suggested by Beck [2001</w:t>
      </w:r>
      <w:r w:rsidR="00127E06">
        <w:rPr>
          <w:rFonts w:ascii="Times New Roman" w:hAnsi="Times New Roman"/>
        </w:rPr>
        <w:t>:</w:t>
      </w:r>
      <w:r w:rsidR="00790CB0" w:rsidRPr="000B14F3">
        <w:rPr>
          <w:rFonts w:ascii="Times New Roman" w:hAnsi="Times New Roman"/>
        </w:rPr>
        <w:t xml:space="preserve"> </w:t>
      </w:r>
      <w:r w:rsidR="00460B18" w:rsidRPr="000B14F3">
        <w:rPr>
          <w:rFonts w:ascii="Times New Roman" w:hAnsi="Times New Roman"/>
        </w:rPr>
        <w:t>279-280]</w:t>
      </w:r>
      <w:r w:rsidR="00986C81" w:rsidRPr="000B14F3">
        <w:rPr>
          <w:rFonts w:ascii="Times New Roman" w:hAnsi="Times New Roman"/>
        </w:rPr>
        <w:t xml:space="preserve">) while returning a similar result. </w:t>
      </w:r>
      <w:r w:rsidR="00367A7F" w:rsidRPr="000B14F3">
        <w:rPr>
          <w:rFonts w:ascii="Times New Roman" w:hAnsi="Times New Roman"/>
        </w:rPr>
        <w:t xml:space="preserve">A higher lag length will return </w:t>
      </w:r>
      <w:r w:rsidR="00D763B3" w:rsidRPr="000B14F3">
        <w:rPr>
          <w:rFonts w:ascii="Times New Roman" w:hAnsi="Times New Roman"/>
        </w:rPr>
        <w:t>more significant</w:t>
      </w:r>
      <w:r w:rsidR="00367A7F" w:rsidRPr="000B14F3">
        <w:rPr>
          <w:rFonts w:ascii="Times New Roman" w:hAnsi="Times New Roman"/>
        </w:rPr>
        <w:t xml:space="preserve"> </w:t>
      </w:r>
      <w:r w:rsidR="00F83F04" w:rsidRPr="000B14F3">
        <w:rPr>
          <w:rFonts w:ascii="Times New Roman" w:hAnsi="Times New Roman"/>
        </w:rPr>
        <w:t>coefficients</w:t>
      </w:r>
      <w:r w:rsidR="00367A7F" w:rsidRPr="000B14F3">
        <w:rPr>
          <w:rFonts w:ascii="Times New Roman" w:hAnsi="Times New Roman"/>
        </w:rPr>
        <w:t xml:space="preserve"> but</w:t>
      </w:r>
      <w:r w:rsidR="00B72C81">
        <w:rPr>
          <w:rFonts w:ascii="Times New Roman" w:hAnsi="Times New Roman"/>
        </w:rPr>
        <w:t xml:space="preserve"> will not </w:t>
      </w:r>
      <w:r w:rsidR="001D54CB">
        <w:rPr>
          <w:rFonts w:ascii="Times New Roman" w:hAnsi="Times New Roman"/>
        </w:rPr>
        <w:t xml:space="preserve">sufficiently </w:t>
      </w:r>
      <w:r w:rsidR="00B72C81">
        <w:rPr>
          <w:rFonts w:ascii="Times New Roman" w:hAnsi="Times New Roman"/>
        </w:rPr>
        <w:t>account for</w:t>
      </w:r>
      <w:r w:rsidR="00367A7F" w:rsidRPr="000B14F3">
        <w:rPr>
          <w:rFonts w:ascii="Times New Roman" w:hAnsi="Times New Roman"/>
        </w:rPr>
        <w:t xml:space="preserve"> serial correlation. </w:t>
      </w:r>
      <w:r w:rsidR="00986C81" w:rsidRPr="000B14F3">
        <w:rPr>
          <w:rFonts w:ascii="Times New Roman" w:hAnsi="Times New Roman"/>
        </w:rPr>
        <w:t xml:space="preserve">It is acknowledged that a lag length of 1 year </w:t>
      </w:r>
      <w:r w:rsidR="009B2317">
        <w:rPr>
          <w:rFonts w:ascii="Times New Roman" w:hAnsi="Times New Roman"/>
        </w:rPr>
        <w:t>would</w:t>
      </w:r>
      <w:r w:rsidR="00986C81" w:rsidRPr="000B14F3">
        <w:rPr>
          <w:rFonts w:ascii="Times New Roman" w:hAnsi="Times New Roman"/>
        </w:rPr>
        <w:t xml:space="preserve"> rende</w:t>
      </w:r>
      <w:r w:rsidR="00027065" w:rsidRPr="000B14F3">
        <w:rPr>
          <w:rFonts w:ascii="Times New Roman" w:hAnsi="Times New Roman"/>
        </w:rPr>
        <w:t xml:space="preserve">r </w:t>
      </w:r>
      <w:r w:rsidR="00116C42" w:rsidRPr="000B14F3">
        <w:rPr>
          <w:rFonts w:ascii="Times New Roman" w:hAnsi="Times New Roman"/>
        </w:rPr>
        <w:t>the</w:t>
      </w:r>
      <w:r w:rsidR="00027065" w:rsidRPr="000B14F3">
        <w:rPr>
          <w:rFonts w:ascii="Times New Roman" w:hAnsi="Times New Roman"/>
        </w:rPr>
        <w:t xml:space="preserve"> results insignificant. This </w:t>
      </w:r>
      <w:r w:rsidR="00E520CD">
        <w:rPr>
          <w:rFonts w:ascii="Times New Roman" w:hAnsi="Times New Roman"/>
        </w:rPr>
        <w:t>may be due to</w:t>
      </w:r>
      <w:r w:rsidR="00027065" w:rsidRPr="000B14F3">
        <w:rPr>
          <w:rFonts w:ascii="Times New Roman" w:hAnsi="Times New Roman"/>
        </w:rPr>
        <w:t xml:space="preserve"> </w:t>
      </w:r>
      <w:r w:rsidR="00986C81" w:rsidRPr="000B14F3">
        <w:rPr>
          <w:rFonts w:ascii="Times New Roman" w:hAnsi="Times New Roman"/>
        </w:rPr>
        <w:t xml:space="preserve">the </w:t>
      </w:r>
      <w:r w:rsidR="007D40E0">
        <w:rPr>
          <w:rFonts w:ascii="Times New Roman" w:hAnsi="Times New Roman"/>
        </w:rPr>
        <w:t>issue</w:t>
      </w:r>
      <w:r w:rsidR="00986C81" w:rsidRPr="000B14F3">
        <w:rPr>
          <w:rFonts w:ascii="Times New Roman" w:hAnsi="Times New Roman"/>
        </w:rPr>
        <w:t xml:space="preserve"> of</w:t>
      </w:r>
      <w:r w:rsidR="00CD7EDE" w:rsidRPr="000B14F3">
        <w:rPr>
          <w:rFonts w:ascii="Times New Roman" w:hAnsi="Times New Roman"/>
        </w:rPr>
        <w:t xml:space="preserve"> LDV</w:t>
      </w:r>
      <w:r w:rsidR="00986C81" w:rsidRPr="000B14F3">
        <w:rPr>
          <w:rFonts w:ascii="Times New Roman" w:hAnsi="Times New Roman"/>
        </w:rPr>
        <w:t xml:space="preserve"> suppressing the power of other independent variables</w:t>
      </w:r>
      <w:r w:rsidR="00CD7EDE" w:rsidRPr="000B14F3">
        <w:rPr>
          <w:rFonts w:ascii="Times New Roman" w:hAnsi="Times New Roman"/>
        </w:rPr>
        <w:t xml:space="preserve"> </w:t>
      </w:r>
      <w:r w:rsidR="00E43088" w:rsidRPr="000B14F3">
        <w:rPr>
          <w:rFonts w:ascii="Times New Roman" w:hAnsi="Times New Roman"/>
        </w:rPr>
        <w:t>as suggested by</w:t>
      </w:r>
      <w:r w:rsidR="00CD7EDE" w:rsidRPr="000B14F3">
        <w:rPr>
          <w:rFonts w:ascii="Times New Roman" w:hAnsi="Times New Roman"/>
        </w:rPr>
        <w:t xml:space="preserve"> </w:t>
      </w:r>
      <w:proofErr w:type="spellStart"/>
      <w:r w:rsidR="00CD7EDE" w:rsidRPr="000B14F3">
        <w:rPr>
          <w:rFonts w:ascii="Times New Roman" w:hAnsi="Times New Roman"/>
        </w:rPr>
        <w:t>Achen</w:t>
      </w:r>
      <w:proofErr w:type="spellEnd"/>
      <w:r w:rsidR="00CD7EDE" w:rsidRPr="000B14F3">
        <w:rPr>
          <w:rFonts w:ascii="Times New Roman" w:hAnsi="Times New Roman"/>
        </w:rPr>
        <w:t xml:space="preserve"> (2</w:t>
      </w:r>
      <w:r w:rsidR="00986C81" w:rsidRPr="000B14F3">
        <w:rPr>
          <w:rFonts w:ascii="Times New Roman" w:hAnsi="Times New Roman"/>
        </w:rPr>
        <w:t>000).</w:t>
      </w:r>
      <w:r w:rsidR="00F23233" w:rsidRPr="000B14F3">
        <w:rPr>
          <w:rFonts w:ascii="Times New Roman" w:hAnsi="Times New Roman"/>
        </w:rPr>
        <w:t xml:space="preserve"> </w:t>
      </w:r>
      <w:r w:rsidR="00F721FF">
        <w:rPr>
          <w:rFonts w:ascii="Times New Roman" w:hAnsi="Times New Roman"/>
        </w:rPr>
        <w:t>A</w:t>
      </w:r>
      <w:r w:rsidR="00986C81" w:rsidRPr="000B14F3">
        <w:rPr>
          <w:rFonts w:ascii="Times New Roman" w:hAnsi="Times New Roman"/>
        </w:rPr>
        <w:t xml:space="preserve"> 1-year LDV explains almost all variations of interest</w:t>
      </w:r>
      <w:r w:rsidR="00843203" w:rsidRPr="000B14F3">
        <w:rPr>
          <w:rFonts w:ascii="Times New Roman" w:hAnsi="Times New Roman"/>
        </w:rPr>
        <w:t xml:space="preserve"> in H1 and H2</w:t>
      </w:r>
      <w:r w:rsidR="00986C81" w:rsidRPr="000B14F3">
        <w:rPr>
          <w:rFonts w:ascii="Times New Roman" w:hAnsi="Times New Roman"/>
        </w:rPr>
        <w:t xml:space="preserve"> (</w:t>
      </w:r>
      <w:r w:rsidR="00E769B5" w:rsidRPr="000B14F3">
        <w:rPr>
          <w:rFonts w:ascii="Times New Roman" w:hAnsi="Times New Roman"/>
        </w:rPr>
        <w:t xml:space="preserve">over 90% of both left vote and </w:t>
      </w:r>
      <w:r w:rsidR="00986C81" w:rsidRPr="000B14F3">
        <w:rPr>
          <w:rFonts w:ascii="Times New Roman" w:hAnsi="Times New Roman"/>
        </w:rPr>
        <w:t>redistribution)</w:t>
      </w:r>
      <w:r w:rsidR="00F23233" w:rsidRPr="000B14F3">
        <w:rPr>
          <w:rFonts w:ascii="Times New Roman" w:hAnsi="Times New Roman"/>
        </w:rPr>
        <w:t>.</w:t>
      </w:r>
      <w:r w:rsidR="001C3387" w:rsidRPr="000B14F3">
        <w:rPr>
          <w:rFonts w:ascii="Times New Roman" w:hAnsi="Times New Roman"/>
        </w:rPr>
        <w:t xml:space="preserve"> However, this should be expected in a panel with a large number of interpolated observations. I </w:t>
      </w:r>
      <w:r w:rsidR="003749C8">
        <w:rPr>
          <w:rFonts w:ascii="Times New Roman" w:hAnsi="Times New Roman"/>
        </w:rPr>
        <w:t>discuss</w:t>
      </w:r>
      <w:r w:rsidR="001C3387" w:rsidRPr="000B14F3">
        <w:rPr>
          <w:rFonts w:ascii="Times New Roman" w:hAnsi="Times New Roman"/>
        </w:rPr>
        <w:t xml:space="preserve"> th</w:t>
      </w:r>
      <w:r w:rsidR="00D84F4C" w:rsidRPr="000B14F3">
        <w:rPr>
          <w:rFonts w:ascii="Times New Roman" w:hAnsi="Times New Roman"/>
        </w:rPr>
        <w:t>e</w:t>
      </w:r>
      <w:r w:rsidR="001C3387" w:rsidRPr="000B14F3">
        <w:rPr>
          <w:rFonts w:ascii="Times New Roman" w:hAnsi="Times New Roman"/>
        </w:rPr>
        <w:t xml:space="preserve"> problem</w:t>
      </w:r>
      <w:r w:rsidR="00D84F4C" w:rsidRPr="000B14F3">
        <w:rPr>
          <w:rFonts w:ascii="Times New Roman" w:hAnsi="Times New Roman"/>
        </w:rPr>
        <w:t xml:space="preserve"> of interpolation</w:t>
      </w:r>
      <w:r w:rsidR="001C3387" w:rsidRPr="000B14F3">
        <w:rPr>
          <w:rFonts w:ascii="Times New Roman" w:hAnsi="Times New Roman"/>
        </w:rPr>
        <w:t xml:space="preserve"> </w:t>
      </w:r>
      <w:r w:rsidR="00182B64" w:rsidRPr="000B14F3">
        <w:rPr>
          <w:rFonts w:ascii="Times New Roman" w:hAnsi="Times New Roman"/>
        </w:rPr>
        <w:t>below</w:t>
      </w:r>
      <w:r w:rsidR="001C3387" w:rsidRPr="000B14F3">
        <w:rPr>
          <w:rFonts w:ascii="Times New Roman" w:hAnsi="Times New Roman"/>
        </w:rPr>
        <w:t>.</w:t>
      </w:r>
    </w:p>
    <w:p w:rsidR="00244F1E" w:rsidRPr="000B14F3" w:rsidRDefault="00244F1E" w:rsidP="00377B6B">
      <w:pPr>
        <w:rPr>
          <w:rFonts w:ascii="Times New Roman" w:hAnsi="Times New Roman"/>
          <w:b/>
          <w:i/>
        </w:rPr>
      </w:pPr>
    </w:p>
    <w:p w:rsidR="00377B6B" w:rsidRPr="000B14F3" w:rsidRDefault="00377B6B" w:rsidP="00377B6B">
      <w:pPr>
        <w:rPr>
          <w:rFonts w:ascii="Times New Roman" w:hAnsi="Times New Roman"/>
          <w:b/>
          <w:i/>
        </w:rPr>
      </w:pPr>
      <w:proofErr w:type="spellStart"/>
      <w:r w:rsidRPr="000B14F3">
        <w:rPr>
          <w:rFonts w:ascii="Times New Roman" w:hAnsi="Times New Roman"/>
          <w:b/>
          <w:i/>
        </w:rPr>
        <w:t>Stationarity</w:t>
      </w:r>
      <w:proofErr w:type="spellEnd"/>
      <w:r w:rsidR="0085395E" w:rsidRPr="000B14F3">
        <w:rPr>
          <w:rFonts w:ascii="Times New Roman" w:hAnsi="Times New Roman"/>
          <w:b/>
          <w:i/>
        </w:rPr>
        <w:t xml:space="preserve"> and Error Correction Models</w:t>
      </w:r>
    </w:p>
    <w:p w:rsidR="00892448" w:rsidRPr="000B14F3" w:rsidRDefault="00AB5E35" w:rsidP="00671E97">
      <w:pPr>
        <w:jc w:val="both"/>
        <w:rPr>
          <w:rFonts w:ascii="Times New Roman" w:hAnsi="Times New Roman"/>
          <w:lang w:eastAsia="zh-HK"/>
        </w:rPr>
      </w:pPr>
      <w:r w:rsidRPr="000B14F3">
        <w:rPr>
          <w:rFonts w:ascii="Times New Roman" w:hAnsi="Times New Roman"/>
        </w:rPr>
        <w:t xml:space="preserve">Another concern underlying this research is that some measures </w:t>
      </w:r>
      <w:r w:rsidR="001B07F4">
        <w:rPr>
          <w:rFonts w:ascii="Times New Roman" w:hAnsi="Times New Roman"/>
        </w:rPr>
        <w:t>may</w:t>
      </w:r>
      <w:r w:rsidRPr="000B14F3">
        <w:rPr>
          <w:rFonts w:ascii="Times New Roman" w:hAnsi="Times New Roman"/>
        </w:rPr>
        <w:t xml:space="preserve"> potentially be non-stationary, which would lead to </w:t>
      </w:r>
      <w:r w:rsidR="00E32084" w:rsidRPr="000B14F3">
        <w:rPr>
          <w:rFonts w:ascii="Times New Roman" w:hAnsi="Times New Roman"/>
        </w:rPr>
        <w:t xml:space="preserve">the problem of </w:t>
      </w:r>
      <w:r w:rsidRPr="000B14F3">
        <w:rPr>
          <w:rFonts w:ascii="Times New Roman" w:hAnsi="Times New Roman"/>
        </w:rPr>
        <w:t>spuriou</w:t>
      </w:r>
      <w:r w:rsidR="00E32084" w:rsidRPr="000B14F3">
        <w:rPr>
          <w:rFonts w:ascii="Times New Roman" w:hAnsi="Times New Roman"/>
        </w:rPr>
        <w:t>s regression</w:t>
      </w:r>
      <w:r w:rsidRPr="000B14F3">
        <w:rPr>
          <w:rFonts w:ascii="Times New Roman" w:hAnsi="Times New Roman"/>
        </w:rPr>
        <w:t xml:space="preserve">. </w:t>
      </w:r>
      <w:r w:rsidR="007F4FFA" w:rsidRPr="000B14F3">
        <w:rPr>
          <w:rFonts w:ascii="Times New Roman" w:hAnsi="Times New Roman"/>
        </w:rPr>
        <w:t xml:space="preserve">In this section, </w:t>
      </w:r>
      <w:r w:rsidR="00F07E83">
        <w:rPr>
          <w:rFonts w:ascii="Times New Roman" w:hAnsi="Times New Roman"/>
        </w:rPr>
        <w:t>I test</w:t>
      </w:r>
      <w:r w:rsidR="007F4FFA" w:rsidRPr="000B14F3">
        <w:rPr>
          <w:rFonts w:ascii="Times New Roman" w:hAnsi="Times New Roman"/>
        </w:rPr>
        <w:t xml:space="preserve"> </w:t>
      </w:r>
      <w:proofErr w:type="spellStart"/>
      <w:r w:rsidR="007F4FFA" w:rsidRPr="000B14F3">
        <w:rPr>
          <w:rFonts w:ascii="Times New Roman" w:hAnsi="Times New Roman"/>
        </w:rPr>
        <w:t>stationarity</w:t>
      </w:r>
      <w:proofErr w:type="spellEnd"/>
      <w:r w:rsidR="00F07E83">
        <w:rPr>
          <w:rFonts w:ascii="Times New Roman" w:hAnsi="Times New Roman"/>
        </w:rPr>
        <w:t xml:space="preserve"> and</w:t>
      </w:r>
      <w:r w:rsidR="007F4FFA" w:rsidRPr="000B14F3">
        <w:rPr>
          <w:rFonts w:ascii="Times New Roman" w:hAnsi="Times New Roman"/>
        </w:rPr>
        <w:t xml:space="preserve"> alternative specifications to better address the problem. </w:t>
      </w:r>
      <w:r w:rsidR="007C210D" w:rsidRPr="000B14F3">
        <w:rPr>
          <w:rFonts w:ascii="Times New Roman" w:hAnsi="Times New Roman"/>
        </w:rPr>
        <w:t xml:space="preserve">MMR </w:t>
      </w:r>
      <w:r w:rsidR="007C210D" w:rsidRPr="000B14F3">
        <w:rPr>
          <w:rFonts w:ascii="Times New Roman" w:hAnsi="Times New Roman"/>
        </w:rPr>
        <w:lastRenderedPageBreak/>
        <w:t xml:space="preserve">and Redistribution over time for each country </w:t>
      </w:r>
      <w:r w:rsidR="007C210D">
        <w:rPr>
          <w:rFonts w:ascii="Times New Roman" w:hAnsi="Times New Roman"/>
        </w:rPr>
        <w:t xml:space="preserve">are shown in </w:t>
      </w:r>
      <w:r w:rsidR="007E05C0" w:rsidRPr="000B14F3">
        <w:rPr>
          <w:rFonts w:ascii="Times New Roman" w:hAnsi="Times New Roman"/>
        </w:rPr>
        <w:t xml:space="preserve">Figures A2 and A3. </w:t>
      </w:r>
      <w:r w:rsidR="006D2081" w:rsidRPr="000B14F3">
        <w:rPr>
          <w:rFonts w:ascii="Times New Roman" w:hAnsi="Times New Roman"/>
        </w:rPr>
        <w:t xml:space="preserve">It would appear that </w:t>
      </w:r>
      <w:proofErr w:type="spellStart"/>
      <w:r w:rsidR="006D2081" w:rsidRPr="000B14F3">
        <w:rPr>
          <w:rFonts w:ascii="Times New Roman" w:hAnsi="Times New Roman"/>
        </w:rPr>
        <w:t>stationarity</w:t>
      </w:r>
      <w:proofErr w:type="spellEnd"/>
      <w:r w:rsidR="006D2081" w:rsidRPr="000B14F3">
        <w:rPr>
          <w:rFonts w:ascii="Times New Roman" w:hAnsi="Times New Roman"/>
        </w:rPr>
        <w:t xml:space="preserve"> is indeed a problem, at least in the case of MMR for some countries. </w:t>
      </w:r>
      <w:r w:rsidR="00892448" w:rsidRPr="000B14F3">
        <w:rPr>
          <w:rFonts w:ascii="Times New Roman" w:hAnsi="Times New Roman"/>
        </w:rPr>
        <w:t xml:space="preserve">Following Morgan and Kelly (2013), two groups of tests are performed </w:t>
      </w:r>
      <w:r w:rsidR="00EE4878">
        <w:rPr>
          <w:rFonts w:ascii="Times New Roman" w:hAnsi="Times New Roman"/>
        </w:rPr>
        <w:t>to determine</w:t>
      </w:r>
      <w:r w:rsidR="00892448" w:rsidRPr="000B14F3">
        <w:rPr>
          <w:rFonts w:ascii="Times New Roman" w:hAnsi="Times New Roman"/>
        </w:rPr>
        <w:t xml:space="preserve"> (1) whether the </w:t>
      </w:r>
      <w:r w:rsidR="00892448" w:rsidRPr="000B14F3">
        <w:rPr>
          <w:rFonts w:ascii="Times New Roman" w:hAnsi="Times New Roman"/>
          <w:lang w:eastAsia="zh-HK"/>
        </w:rPr>
        <w:t xml:space="preserve">level of the variables included is stationary; and </w:t>
      </w:r>
      <w:r w:rsidR="00724105" w:rsidRPr="000B14F3">
        <w:rPr>
          <w:rFonts w:ascii="Times New Roman" w:hAnsi="Times New Roman"/>
          <w:lang w:eastAsia="zh-HK"/>
        </w:rPr>
        <w:t>(</w:t>
      </w:r>
      <w:r w:rsidR="00892448" w:rsidRPr="000B14F3">
        <w:rPr>
          <w:rFonts w:ascii="Times New Roman" w:hAnsi="Times New Roman"/>
          <w:lang w:eastAsia="zh-HK"/>
        </w:rPr>
        <w:t xml:space="preserve">2) </w:t>
      </w:r>
      <w:r w:rsidR="00D206C5">
        <w:rPr>
          <w:rFonts w:ascii="Times New Roman" w:hAnsi="Times New Roman"/>
          <w:lang w:eastAsia="zh-HK"/>
        </w:rPr>
        <w:t>whether</w:t>
      </w:r>
      <w:r w:rsidR="00892448" w:rsidRPr="000B14F3">
        <w:rPr>
          <w:rFonts w:ascii="Times New Roman" w:hAnsi="Times New Roman"/>
          <w:lang w:eastAsia="zh-HK"/>
        </w:rPr>
        <w:t xml:space="preserve"> the residuals of regressions on unit-root explanatory variables are stationary. </w:t>
      </w:r>
    </w:p>
    <w:p w:rsidR="008E5787" w:rsidRPr="000B14F3" w:rsidRDefault="008E5787" w:rsidP="00037137">
      <w:pPr>
        <w:jc w:val="both"/>
        <w:rPr>
          <w:rFonts w:ascii="Times New Roman" w:hAnsi="Times New Roman"/>
        </w:rPr>
      </w:pPr>
    </w:p>
    <w:p w:rsidR="00462BA2" w:rsidRPr="000B14F3" w:rsidRDefault="001E2BE1" w:rsidP="00037137">
      <w:pPr>
        <w:jc w:val="both"/>
        <w:rPr>
          <w:rFonts w:ascii="Times New Roman" w:hAnsi="Times New Roman"/>
        </w:rPr>
      </w:pPr>
      <w:r w:rsidRPr="005366A6">
        <w:rPr>
          <w:rFonts w:ascii="Times New Roman" w:hAnsi="Times New Roman"/>
          <w:lang w:eastAsia="zh-HK"/>
        </w:rPr>
        <w:t xml:space="preserve">The first test focuses on the level form of </w:t>
      </w:r>
      <w:r w:rsidR="00EF6499" w:rsidRPr="005366A6">
        <w:rPr>
          <w:rFonts w:ascii="Times New Roman" w:hAnsi="Times New Roman"/>
          <w:lang w:eastAsia="zh-HK"/>
        </w:rPr>
        <w:t>all main</w:t>
      </w:r>
      <w:r w:rsidRPr="005366A6">
        <w:rPr>
          <w:rFonts w:ascii="Times New Roman" w:hAnsi="Times New Roman"/>
          <w:lang w:eastAsia="zh-HK"/>
        </w:rPr>
        <w:t xml:space="preserve"> variable</w:t>
      </w:r>
      <w:r w:rsidR="00EF6499" w:rsidRPr="005366A6">
        <w:rPr>
          <w:rFonts w:ascii="Times New Roman" w:hAnsi="Times New Roman"/>
          <w:lang w:eastAsia="zh-HK"/>
        </w:rPr>
        <w:t>s</w:t>
      </w:r>
      <w:r w:rsidRPr="005366A6">
        <w:rPr>
          <w:rFonts w:ascii="Times New Roman" w:hAnsi="Times New Roman"/>
          <w:lang w:eastAsia="zh-HK"/>
        </w:rPr>
        <w:t>. The Fisher-type (based</w:t>
      </w:r>
      <w:r w:rsidRPr="000B14F3">
        <w:rPr>
          <w:rFonts w:ascii="Times New Roman" w:hAnsi="Times New Roman"/>
          <w:lang w:eastAsia="zh-HK"/>
        </w:rPr>
        <w:t xml:space="preserve"> on the Dickey-Fuller test) unit root test</w:t>
      </w:r>
      <w:r w:rsidR="00A27C87">
        <w:rPr>
          <w:rFonts w:ascii="Times New Roman" w:hAnsi="Times New Roman"/>
          <w:lang w:eastAsia="zh-HK"/>
        </w:rPr>
        <w:t xml:space="preserve"> is used</w:t>
      </w:r>
      <w:r w:rsidRPr="000B14F3">
        <w:rPr>
          <w:rFonts w:ascii="Times New Roman" w:hAnsi="Times New Roman"/>
          <w:lang w:eastAsia="zh-HK"/>
        </w:rPr>
        <w:t xml:space="preserve">. </w:t>
      </w:r>
      <w:r w:rsidR="004C27E6" w:rsidRPr="000B14F3">
        <w:rPr>
          <w:rFonts w:ascii="Times New Roman" w:hAnsi="Times New Roman"/>
        </w:rPr>
        <w:t>A lag length of 2 is chosen (the suitable lag length is always between 1 and 2 according to the AIC</w:t>
      </w:r>
      <w:r w:rsidR="007D3FA3" w:rsidRPr="000B14F3">
        <w:rPr>
          <w:rFonts w:ascii="Times New Roman" w:hAnsi="Times New Roman"/>
        </w:rPr>
        <w:t xml:space="preserve"> performed with the </w:t>
      </w:r>
      <w:proofErr w:type="spellStart"/>
      <w:r w:rsidR="007D3FA3" w:rsidRPr="000B14F3">
        <w:rPr>
          <w:rFonts w:ascii="Times New Roman" w:hAnsi="Times New Roman"/>
        </w:rPr>
        <w:t>Im</w:t>
      </w:r>
      <w:proofErr w:type="spellEnd"/>
      <w:r w:rsidR="007D3FA3" w:rsidRPr="000B14F3">
        <w:rPr>
          <w:rFonts w:ascii="Times New Roman" w:hAnsi="Times New Roman"/>
        </w:rPr>
        <w:t>-</w:t>
      </w:r>
      <w:proofErr w:type="spellStart"/>
      <w:r w:rsidR="007D3FA3" w:rsidRPr="000B14F3">
        <w:rPr>
          <w:rFonts w:ascii="Times New Roman" w:hAnsi="Times New Roman"/>
        </w:rPr>
        <w:t>Pesaran</w:t>
      </w:r>
      <w:proofErr w:type="spellEnd"/>
      <w:r w:rsidR="007D3FA3" w:rsidRPr="000B14F3">
        <w:rPr>
          <w:rFonts w:ascii="Times New Roman" w:hAnsi="Times New Roman"/>
        </w:rPr>
        <w:t>-Shin test</w:t>
      </w:r>
      <w:r w:rsidR="004C27E6" w:rsidRPr="000B14F3">
        <w:rPr>
          <w:rFonts w:ascii="Times New Roman" w:hAnsi="Times New Roman"/>
        </w:rPr>
        <w:t xml:space="preserve">). </w:t>
      </w:r>
      <w:r w:rsidR="00D562EB">
        <w:rPr>
          <w:rFonts w:ascii="Times New Roman" w:hAnsi="Times New Roman"/>
        </w:rPr>
        <w:t>The r</w:t>
      </w:r>
      <w:r w:rsidR="000A350B" w:rsidRPr="000B14F3">
        <w:rPr>
          <w:rFonts w:ascii="Times New Roman" w:hAnsi="Times New Roman"/>
        </w:rPr>
        <w:t xml:space="preserve">esults are presented in Table </w:t>
      </w:r>
      <w:r w:rsidR="00B91765" w:rsidRPr="000B14F3">
        <w:rPr>
          <w:rFonts w:ascii="Times New Roman" w:hAnsi="Times New Roman"/>
        </w:rPr>
        <w:t>A</w:t>
      </w:r>
      <w:r w:rsidR="00450AF4" w:rsidRPr="000B14F3">
        <w:rPr>
          <w:rFonts w:ascii="Times New Roman" w:hAnsi="Times New Roman"/>
        </w:rPr>
        <w:t>4</w:t>
      </w:r>
      <w:r w:rsidR="000A350B" w:rsidRPr="000B14F3">
        <w:rPr>
          <w:rFonts w:ascii="Times New Roman" w:hAnsi="Times New Roman"/>
        </w:rPr>
        <w:t xml:space="preserve"> below. </w:t>
      </w:r>
      <w:r w:rsidR="00361FEF" w:rsidRPr="000B14F3">
        <w:rPr>
          <w:rFonts w:ascii="Times New Roman" w:hAnsi="Times New Roman"/>
          <w:lang w:eastAsia="zh-HK"/>
        </w:rPr>
        <w:t xml:space="preserve">A significant test statistic indicates a rejection of a unit root. </w:t>
      </w:r>
    </w:p>
    <w:p w:rsidR="00363283" w:rsidRPr="000B14F3" w:rsidRDefault="00363283" w:rsidP="00990B1A">
      <w:pPr>
        <w:rPr>
          <w:rFonts w:ascii="Times New Roman" w:hAnsi="Times New Roman"/>
        </w:rPr>
      </w:pPr>
    </w:p>
    <w:p w:rsidR="003E6A03" w:rsidRPr="000B14F3" w:rsidRDefault="00AB2C68" w:rsidP="0083587F">
      <w:pPr>
        <w:jc w:val="both"/>
        <w:rPr>
          <w:rFonts w:ascii="Times New Roman" w:hAnsi="Times New Roman"/>
          <w:lang w:eastAsia="zh-HK"/>
        </w:rPr>
      </w:pPr>
      <w:r w:rsidRPr="000B14F3">
        <w:rPr>
          <w:rFonts w:ascii="Times New Roman" w:hAnsi="Times New Roman"/>
          <w:lang w:eastAsia="zh-HK"/>
        </w:rPr>
        <w:t xml:space="preserve">The existence of a unit root in several variables, including MMR and Redistribution, </w:t>
      </w:r>
      <w:r w:rsidR="00815CEA" w:rsidRPr="000B14F3">
        <w:rPr>
          <w:rFonts w:ascii="Times New Roman" w:hAnsi="Times New Roman"/>
          <w:lang w:eastAsia="zh-HK"/>
        </w:rPr>
        <w:t>is actually</w:t>
      </w:r>
      <w:r w:rsidR="006979B5" w:rsidRPr="000B14F3">
        <w:rPr>
          <w:rFonts w:ascii="Times New Roman" w:hAnsi="Times New Roman"/>
          <w:lang w:eastAsia="zh-HK"/>
        </w:rPr>
        <w:t xml:space="preserve"> a cause of concern, and </w:t>
      </w:r>
      <w:r w:rsidRPr="000B14F3">
        <w:rPr>
          <w:rFonts w:ascii="Times New Roman" w:hAnsi="Times New Roman"/>
          <w:lang w:eastAsia="zh-HK"/>
        </w:rPr>
        <w:t>further test</w:t>
      </w:r>
      <w:r w:rsidR="006979B5" w:rsidRPr="000B14F3">
        <w:rPr>
          <w:rFonts w:ascii="Times New Roman" w:hAnsi="Times New Roman"/>
          <w:lang w:eastAsia="zh-HK"/>
        </w:rPr>
        <w:t>s</w:t>
      </w:r>
      <w:r w:rsidRPr="000B14F3">
        <w:rPr>
          <w:rFonts w:ascii="Times New Roman" w:hAnsi="Times New Roman"/>
          <w:lang w:eastAsia="zh-HK"/>
        </w:rPr>
        <w:t xml:space="preserve"> </w:t>
      </w:r>
      <w:r w:rsidR="006979B5" w:rsidRPr="000B14F3">
        <w:rPr>
          <w:rFonts w:ascii="Times New Roman" w:hAnsi="Times New Roman"/>
          <w:lang w:eastAsia="zh-HK"/>
        </w:rPr>
        <w:t>are</w:t>
      </w:r>
      <w:r w:rsidRPr="000B14F3">
        <w:rPr>
          <w:rFonts w:ascii="Times New Roman" w:hAnsi="Times New Roman"/>
          <w:lang w:eastAsia="zh-HK"/>
        </w:rPr>
        <w:t xml:space="preserve"> conducted to </w:t>
      </w:r>
      <w:r w:rsidR="00802ED4" w:rsidRPr="000B14F3">
        <w:rPr>
          <w:rFonts w:ascii="Times New Roman" w:hAnsi="Times New Roman"/>
          <w:lang w:eastAsia="zh-HK"/>
        </w:rPr>
        <w:t xml:space="preserve">investigate the plausibility of </w:t>
      </w:r>
      <w:r w:rsidR="009E1287">
        <w:rPr>
          <w:rFonts w:ascii="Times New Roman" w:hAnsi="Times New Roman"/>
          <w:lang w:eastAsia="zh-HK"/>
        </w:rPr>
        <w:t xml:space="preserve">the </w:t>
      </w:r>
      <w:r w:rsidR="00802ED4" w:rsidRPr="000B14F3">
        <w:rPr>
          <w:rFonts w:ascii="Times New Roman" w:hAnsi="Times New Roman"/>
          <w:lang w:eastAsia="zh-HK"/>
        </w:rPr>
        <w:t>results and estimations</w:t>
      </w:r>
      <w:r w:rsidRPr="000B14F3">
        <w:rPr>
          <w:rFonts w:ascii="Times New Roman" w:hAnsi="Times New Roman"/>
          <w:lang w:eastAsia="zh-HK"/>
        </w:rPr>
        <w:t xml:space="preserve">. </w:t>
      </w:r>
      <w:r w:rsidR="00B618FD" w:rsidRPr="000B14F3">
        <w:rPr>
          <w:rFonts w:ascii="Times New Roman" w:hAnsi="Times New Roman"/>
          <w:lang w:eastAsia="zh-HK"/>
        </w:rPr>
        <w:t>As discussed, t</w:t>
      </w:r>
      <w:r w:rsidRPr="000B14F3">
        <w:rPr>
          <w:rFonts w:ascii="Times New Roman" w:hAnsi="Times New Roman"/>
          <w:lang w:eastAsia="zh-HK"/>
        </w:rPr>
        <w:t xml:space="preserve">he next step </w:t>
      </w:r>
      <w:r w:rsidR="001076AA" w:rsidRPr="000B14F3">
        <w:rPr>
          <w:rFonts w:ascii="Times New Roman" w:hAnsi="Times New Roman"/>
          <w:lang w:eastAsia="zh-HK"/>
        </w:rPr>
        <w:t>repeats the unit root test</w:t>
      </w:r>
      <w:r w:rsidRPr="000B14F3">
        <w:rPr>
          <w:rFonts w:ascii="Times New Roman" w:hAnsi="Times New Roman"/>
          <w:lang w:eastAsia="zh-HK"/>
        </w:rPr>
        <w:t xml:space="preserve"> on the residuals </w:t>
      </w:r>
      <w:r w:rsidR="00AA514A" w:rsidRPr="000B14F3">
        <w:rPr>
          <w:rFonts w:ascii="Times New Roman" w:hAnsi="Times New Roman"/>
          <w:lang w:eastAsia="zh-HK"/>
        </w:rPr>
        <w:t xml:space="preserve">from regressions </w:t>
      </w:r>
      <w:r w:rsidRPr="000B14F3">
        <w:rPr>
          <w:rFonts w:ascii="Times New Roman" w:hAnsi="Times New Roman"/>
          <w:lang w:eastAsia="zh-HK"/>
        </w:rPr>
        <w:t xml:space="preserve">of the dependent variables </w:t>
      </w:r>
      <w:r w:rsidR="007C3B9D" w:rsidRPr="000B14F3">
        <w:rPr>
          <w:rFonts w:ascii="Times New Roman" w:hAnsi="Times New Roman"/>
          <w:lang w:eastAsia="zh-HK"/>
        </w:rPr>
        <w:t xml:space="preserve">(i.e., Redistribution in H2 and MMR in H3) </w:t>
      </w:r>
      <w:r w:rsidRPr="000B14F3">
        <w:rPr>
          <w:rFonts w:ascii="Times New Roman" w:hAnsi="Times New Roman"/>
          <w:lang w:eastAsia="zh-HK"/>
        </w:rPr>
        <w:t>on the unit root expl</w:t>
      </w:r>
      <w:r w:rsidR="007C3B9D" w:rsidRPr="000B14F3">
        <w:rPr>
          <w:rFonts w:ascii="Times New Roman" w:hAnsi="Times New Roman"/>
          <w:lang w:eastAsia="zh-HK"/>
        </w:rPr>
        <w:t>anatory variables in level form.</w:t>
      </w:r>
      <w:r w:rsidR="00815B20" w:rsidRPr="000B14F3">
        <w:rPr>
          <w:rFonts w:ascii="Times New Roman" w:hAnsi="Times New Roman"/>
          <w:lang w:eastAsia="zh-HK"/>
        </w:rPr>
        <w:t xml:space="preserve"> </w:t>
      </w:r>
      <w:r w:rsidR="00D827B0">
        <w:rPr>
          <w:rFonts w:ascii="Times New Roman" w:hAnsi="Times New Roman"/>
          <w:lang w:eastAsia="zh-HK"/>
        </w:rPr>
        <w:t>The r</w:t>
      </w:r>
      <w:r w:rsidR="00815B20" w:rsidRPr="000B14F3">
        <w:rPr>
          <w:rFonts w:ascii="Times New Roman" w:hAnsi="Times New Roman"/>
          <w:lang w:eastAsia="zh-HK"/>
        </w:rPr>
        <w:t xml:space="preserve">esults are reported in Table </w:t>
      </w:r>
      <w:r w:rsidR="00B91765" w:rsidRPr="000B14F3">
        <w:rPr>
          <w:rFonts w:ascii="Times New Roman" w:hAnsi="Times New Roman"/>
          <w:lang w:eastAsia="zh-HK"/>
        </w:rPr>
        <w:t>A</w:t>
      </w:r>
      <w:r w:rsidR="00273342" w:rsidRPr="000B14F3">
        <w:rPr>
          <w:rFonts w:ascii="Times New Roman" w:hAnsi="Times New Roman"/>
          <w:lang w:eastAsia="zh-HK"/>
        </w:rPr>
        <w:t>5</w:t>
      </w:r>
      <w:r w:rsidR="00815B20" w:rsidRPr="000B14F3">
        <w:rPr>
          <w:rFonts w:ascii="Times New Roman" w:hAnsi="Times New Roman"/>
          <w:lang w:eastAsia="zh-HK"/>
        </w:rPr>
        <w:t xml:space="preserve">. </w:t>
      </w:r>
      <w:r w:rsidR="00833741" w:rsidRPr="000B14F3">
        <w:rPr>
          <w:rFonts w:ascii="Times New Roman" w:hAnsi="Times New Roman"/>
          <w:lang w:eastAsia="zh-HK"/>
        </w:rPr>
        <w:t xml:space="preserve">Perhaps most importantly, the residual from the pair Redistribution-MMR is stationary. </w:t>
      </w:r>
    </w:p>
    <w:p w:rsidR="003E6A03" w:rsidRPr="000B14F3" w:rsidRDefault="003E6A03" w:rsidP="0083587F">
      <w:pPr>
        <w:jc w:val="both"/>
        <w:rPr>
          <w:rFonts w:ascii="Times New Roman" w:hAnsi="Times New Roman"/>
          <w:lang w:eastAsia="zh-HK"/>
        </w:rPr>
      </w:pPr>
    </w:p>
    <w:p w:rsidR="0083587F" w:rsidRPr="000B14F3" w:rsidRDefault="00343C8B" w:rsidP="0083587F">
      <w:pPr>
        <w:jc w:val="both"/>
        <w:rPr>
          <w:rFonts w:ascii="Times New Roman" w:hAnsi="Times New Roman"/>
          <w:lang w:eastAsia="zh-HK"/>
        </w:rPr>
      </w:pPr>
      <w:r w:rsidRPr="000B14F3">
        <w:rPr>
          <w:rFonts w:ascii="Times New Roman" w:hAnsi="Times New Roman"/>
          <w:lang w:eastAsia="zh-HK"/>
        </w:rPr>
        <w:t>Still, the</w:t>
      </w:r>
      <w:r w:rsidR="00843B60" w:rsidRPr="000B14F3">
        <w:rPr>
          <w:rFonts w:ascii="Times New Roman" w:hAnsi="Times New Roman"/>
          <w:lang w:eastAsia="zh-HK"/>
        </w:rPr>
        <w:t xml:space="preserve"> </w:t>
      </w:r>
      <w:proofErr w:type="spellStart"/>
      <w:r w:rsidR="00843B60" w:rsidRPr="000B14F3">
        <w:rPr>
          <w:rFonts w:ascii="Times New Roman" w:hAnsi="Times New Roman"/>
          <w:lang w:eastAsia="zh-HK"/>
        </w:rPr>
        <w:t>stationarity</w:t>
      </w:r>
      <w:proofErr w:type="spellEnd"/>
      <w:r w:rsidR="00843B60" w:rsidRPr="000B14F3">
        <w:rPr>
          <w:rFonts w:ascii="Times New Roman" w:hAnsi="Times New Roman"/>
          <w:lang w:eastAsia="zh-HK"/>
        </w:rPr>
        <w:t xml:space="preserve"> of other explanatory variables might </w:t>
      </w:r>
      <w:r w:rsidR="00641993" w:rsidRPr="000B14F3">
        <w:rPr>
          <w:rFonts w:ascii="Times New Roman" w:hAnsi="Times New Roman"/>
          <w:lang w:eastAsia="zh-HK"/>
        </w:rPr>
        <w:t xml:space="preserve">influence the reliability of </w:t>
      </w:r>
      <w:proofErr w:type="gramStart"/>
      <w:r w:rsidR="00641993" w:rsidRPr="000B14F3">
        <w:rPr>
          <w:rFonts w:ascii="Times New Roman" w:hAnsi="Times New Roman"/>
          <w:lang w:eastAsia="zh-HK"/>
        </w:rPr>
        <w:t>the</w:t>
      </w:r>
      <w:proofErr w:type="gramEnd"/>
      <w:r w:rsidR="00641993" w:rsidRPr="000B14F3">
        <w:rPr>
          <w:rFonts w:ascii="Times New Roman" w:hAnsi="Times New Roman"/>
          <w:lang w:eastAsia="zh-HK"/>
        </w:rPr>
        <w:t xml:space="preserve"> main variables</w:t>
      </w:r>
      <w:r w:rsidR="003C06C3">
        <w:rPr>
          <w:rFonts w:ascii="Times New Roman" w:hAnsi="Times New Roman"/>
          <w:lang w:eastAsia="zh-HK"/>
        </w:rPr>
        <w:t>, so</w:t>
      </w:r>
      <w:r w:rsidR="002962EB" w:rsidRPr="000B14F3">
        <w:rPr>
          <w:rFonts w:ascii="Times New Roman" w:hAnsi="Times New Roman"/>
          <w:lang w:eastAsia="zh-HK"/>
        </w:rPr>
        <w:t xml:space="preserve"> I perform an alternative estimation </w:t>
      </w:r>
      <w:r w:rsidR="00504416" w:rsidRPr="000B14F3">
        <w:rPr>
          <w:rFonts w:ascii="Times New Roman" w:hAnsi="Times New Roman"/>
          <w:lang w:eastAsia="zh-HK"/>
        </w:rPr>
        <w:t>method</w:t>
      </w:r>
      <w:r w:rsidR="002962EB" w:rsidRPr="000B14F3">
        <w:rPr>
          <w:rFonts w:ascii="Times New Roman" w:hAnsi="Times New Roman"/>
          <w:lang w:eastAsia="zh-HK"/>
        </w:rPr>
        <w:t xml:space="preserve"> </w:t>
      </w:r>
      <w:r w:rsidR="00504416" w:rsidRPr="000B14F3">
        <w:rPr>
          <w:rFonts w:ascii="Times New Roman" w:hAnsi="Times New Roman"/>
          <w:lang w:eastAsia="zh-HK"/>
        </w:rPr>
        <w:t>by using an Error Correction Model (ECM)</w:t>
      </w:r>
      <w:r w:rsidR="002962EB" w:rsidRPr="000B14F3">
        <w:rPr>
          <w:rFonts w:ascii="Times New Roman" w:hAnsi="Times New Roman"/>
          <w:lang w:eastAsia="zh-HK"/>
        </w:rPr>
        <w:t>.</w:t>
      </w:r>
      <w:r w:rsidR="00504416" w:rsidRPr="000B14F3">
        <w:rPr>
          <w:rFonts w:ascii="Times New Roman" w:hAnsi="Times New Roman"/>
          <w:lang w:eastAsia="zh-HK"/>
        </w:rPr>
        <w:t xml:space="preserve"> </w:t>
      </w:r>
      <w:r w:rsidR="0083587F" w:rsidRPr="000B14F3">
        <w:rPr>
          <w:rFonts w:ascii="Times New Roman" w:hAnsi="Times New Roman"/>
          <w:lang w:eastAsia="zh-HK"/>
        </w:rPr>
        <w:t>A simple ECM can be expressed as the following equation:</w:t>
      </w:r>
    </w:p>
    <w:p w:rsidR="0083587F" w:rsidRPr="000B14F3" w:rsidRDefault="0083587F" w:rsidP="0083587F">
      <w:pPr>
        <w:ind w:firstLine="480"/>
        <w:rPr>
          <w:rFonts w:ascii="Times New Roman" w:hAnsi="Times New Roman"/>
          <w:lang w:eastAsia="zh-HK"/>
        </w:rPr>
      </w:pPr>
    </w:p>
    <w:p w:rsidR="0083587F" w:rsidRPr="000B14F3" w:rsidRDefault="0083587F" w:rsidP="0083587F">
      <w:pPr>
        <w:ind w:firstLine="480"/>
        <w:rPr>
          <w:rFonts w:ascii="Times New Roman" w:hAnsi="Times New Roman"/>
          <w:lang w:eastAsia="zh-HK"/>
        </w:rPr>
      </w:pPr>
      <w:r w:rsidRPr="000B14F3">
        <w:rPr>
          <w:rFonts w:ascii="Times New Roman" w:hAnsi="Times New Roman"/>
          <w:lang w:eastAsia="zh-HK"/>
        </w:rPr>
        <w:t xml:space="preserve">△Y </w:t>
      </w:r>
      <w:r w:rsidRPr="000B14F3">
        <w:rPr>
          <w:rFonts w:ascii="Times New Roman" w:hAnsi="Times New Roman"/>
          <w:vertAlign w:val="subscript"/>
          <w:lang w:eastAsia="zh-HK"/>
        </w:rPr>
        <w:t>t</w:t>
      </w:r>
      <w:r w:rsidRPr="000B14F3">
        <w:rPr>
          <w:rFonts w:ascii="Times New Roman" w:hAnsi="Times New Roman"/>
          <w:lang w:eastAsia="zh-HK"/>
        </w:rPr>
        <w:t xml:space="preserve"> = α</w:t>
      </w:r>
      <w:r w:rsidRPr="000B14F3">
        <w:rPr>
          <w:rFonts w:ascii="Times New Roman" w:hAnsi="Times New Roman"/>
          <w:vertAlign w:val="subscript"/>
          <w:lang w:eastAsia="zh-HK"/>
        </w:rPr>
        <w:t>0</w:t>
      </w:r>
      <w:r w:rsidRPr="000B14F3">
        <w:rPr>
          <w:rFonts w:ascii="Times New Roman" w:hAnsi="Times New Roman"/>
          <w:lang w:eastAsia="zh-HK"/>
        </w:rPr>
        <w:t xml:space="preserve"> +α</w:t>
      </w:r>
      <w:r w:rsidRPr="000B14F3">
        <w:rPr>
          <w:rFonts w:ascii="Times New Roman" w:hAnsi="Times New Roman"/>
          <w:vertAlign w:val="subscript"/>
          <w:lang w:eastAsia="zh-HK"/>
        </w:rPr>
        <w:t>1</w:t>
      </w:r>
      <w:r w:rsidRPr="000B14F3">
        <w:rPr>
          <w:rFonts w:ascii="Times New Roman" w:hAnsi="Times New Roman"/>
          <w:lang w:eastAsia="zh-HK"/>
        </w:rPr>
        <w:t xml:space="preserve"> Y </w:t>
      </w:r>
      <w:r w:rsidRPr="000B14F3">
        <w:rPr>
          <w:rFonts w:ascii="Times New Roman" w:hAnsi="Times New Roman"/>
          <w:vertAlign w:val="subscript"/>
          <w:lang w:eastAsia="zh-HK"/>
        </w:rPr>
        <w:t>t-1</w:t>
      </w:r>
      <w:r w:rsidRPr="000B14F3">
        <w:rPr>
          <w:rFonts w:ascii="Times New Roman" w:hAnsi="Times New Roman"/>
          <w:lang w:eastAsia="zh-HK"/>
        </w:rPr>
        <w:t xml:space="preserve"> + β</w:t>
      </w:r>
      <w:r w:rsidRPr="000B14F3">
        <w:rPr>
          <w:rFonts w:ascii="Times New Roman" w:hAnsi="Times New Roman"/>
          <w:vertAlign w:val="subscript"/>
          <w:lang w:eastAsia="zh-HK"/>
        </w:rPr>
        <w:t>1</w:t>
      </w:r>
      <w:r w:rsidRPr="000B14F3">
        <w:rPr>
          <w:rFonts w:ascii="Times New Roman" w:hAnsi="Times New Roman"/>
          <w:lang w:eastAsia="zh-HK"/>
        </w:rPr>
        <w:t xml:space="preserve"> △X </w:t>
      </w:r>
      <w:r w:rsidRPr="000B14F3">
        <w:rPr>
          <w:rFonts w:ascii="Times New Roman" w:hAnsi="Times New Roman"/>
          <w:vertAlign w:val="subscript"/>
          <w:lang w:eastAsia="zh-HK"/>
        </w:rPr>
        <w:t>t</w:t>
      </w:r>
      <w:r w:rsidRPr="000B14F3">
        <w:rPr>
          <w:rFonts w:ascii="Times New Roman" w:hAnsi="Times New Roman"/>
          <w:lang w:eastAsia="zh-HK"/>
        </w:rPr>
        <w:t xml:space="preserve"> +β</w:t>
      </w:r>
      <w:r w:rsidRPr="000B14F3">
        <w:rPr>
          <w:rFonts w:ascii="Times New Roman" w:hAnsi="Times New Roman"/>
          <w:vertAlign w:val="subscript"/>
          <w:lang w:eastAsia="zh-HK"/>
        </w:rPr>
        <w:t>2</w:t>
      </w:r>
      <w:r w:rsidRPr="000B14F3">
        <w:rPr>
          <w:rFonts w:ascii="Times New Roman" w:hAnsi="Times New Roman"/>
          <w:lang w:eastAsia="zh-HK"/>
        </w:rPr>
        <w:t xml:space="preserve"> X </w:t>
      </w:r>
      <w:r w:rsidRPr="000B14F3">
        <w:rPr>
          <w:rFonts w:ascii="Times New Roman" w:hAnsi="Times New Roman"/>
          <w:vertAlign w:val="subscript"/>
          <w:lang w:eastAsia="zh-HK"/>
        </w:rPr>
        <w:t>t-1</w:t>
      </w:r>
      <w:r w:rsidRPr="000B14F3">
        <w:rPr>
          <w:rFonts w:ascii="Times New Roman" w:hAnsi="Times New Roman"/>
          <w:lang w:eastAsia="zh-HK"/>
        </w:rPr>
        <w:t xml:space="preserve"> + </w:t>
      </w:r>
      <w:proofErr w:type="spellStart"/>
      <w:proofErr w:type="gramStart"/>
      <w:r w:rsidRPr="000B14F3">
        <w:rPr>
          <w:rFonts w:ascii="Times New Roman" w:hAnsi="Times New Roman"/>
          <w:lang w:eastAsia="zh-HK"/>
        </w:rPr>
        <w:t>ε</w:t>
      </w:r>
      <w:r w:rsidRPr="000B14F3">
        <w:rPr>
          <w:rFonts w:ascii="Times New Roman" w:hAnsi="Times New Roman"/>
          <w:vertAlign w:val="subscript"/>
          <w:lang w:eastAsia="zh-HK"/>
        </w:rPr>
        <w:t>t</w:t>
      </w:r>
      <w:proofErr w:type="spellEnd"/>
      <w:proofErr w:type="gramEnd"/>
    </w:p>
    <w:p w:rsidR="0083587F" w:rsidRPr="000B14F3" w:rsidRDefault="0083587F" w:rsidP="00CA6DE9">
      <w:pPr>
        <w:jc w:val="both"/>
        <w:rPr>
          <w:rFonts w:ascii="Times New Roman" w:hAnsi="Times New Roman"/>
          <w:lang w:eastAsia="zh-HK"/>
        </w:rPr>
      </w:pPr>
    </w:p>
    <w:p w:rsidR="0083587F" w:rsidRPr="000B14F3" w:rsidRDefault="0083587F" w:rsidP="00CA6DE9">
      <w:pPr>
        <w:jc w:val="both"/>
        <w:rPr>
          <w:rFonts w:ascii="Times New Roman" w:hAnsi="Times New Roman"/>
          <w:lang w:eastAsia="zh-HK"/>
        </w:rPr>
      </w:pPr>
      <w:r w:rsidRPr="000B14F3">
        <w:rPr>
          <w:rFonts w:ascii="Times New Roman" w:hAnsi="Times New Roman"/>
          <w:lang w:eastAsia="zh-HK"/>
        </w:rPr>
        <w:t xml:space="preserve">The distinctive feature </w:t>
      </w:r>
      <w:r w:rsidR="00324C4A">
        <w:rPr>
          <w:rFonts w:ascii="Times New Roman" w:hAnsi="Times New Roman"/>
          <w:lang w:eastAsia="zh-HK"/>
        </w:rPr>
        <w:t>of</w:t>
      </w:r>
      <w:r w:rsidRPr="000B14F3">
        <w:rPr>
          <w:rFonts w:ascii="Times New Roman" w:hAnsi="Times New Roman"/>
          <w:lang w:eastAsia="zh-HK"/>
        </w:rPr>
        <w:t xml:space="preserve"> this model is that there are two parameters to estimate for each independent variable X: one for the differenced variable (β</w:t>
      </w:r>
      <w:r w:rsidRPr="000B14F3">
        <w:rPr>
          <w:rFonts w:ascii="Times New Roman" w:hAnsi="Times New Roman"/>
          <w:vertAlign w:val="subscript"/>
          <w:lang w:eastAsia="zh-HK"/>
        </w:rPr>
        <w:t>1</w:t>
      </w:r>
      <w:r w:rsidRPr="000B14F3">
        <w:rPr>
          <w:rFonts w:ascii="Times New Roman" w:hAnsi="Times New Roman"/>
          <w:lang w:eastAsia="zh-HK"/>
        </w:rPr>
        <w:t>) and one for the lagged level of X (β</w:t>
      </w:r>
      <w:r w:rsidRPr="000B14F3">
        <w:rPr>
          <w:rFonts w:ascii="Times New Roman" w:hAnsi="Times New Roman"/>
          <w:vertAlign w:val="subscript"/>
          <w:lang w:eastAsia="zh-HK"/>
        </w:rPr>
        <w:t>2</w:t>
      </w:r>
      <w:r w:rsidRPr="000B14F3">
        <w:rPr>
          <w:rFonts w:ascii="Times New Roman" w:hAnsi="Times New Roman"/>
          <w:lang w:eastAsia="zh-HK"/>
        </w:rPr>
        <w:t>). An explanatory variable can be considered significant if either of them indicates a statistically significant relationship. β</w:t>
      </w:r>
      <w:r w:rsidRPr="000B14F3">
        <w:rPr>
          <w:rFonts w:ascii="Times New Roman" w:hAnsi="Times New Roman"/>
          <w:vertAlign w:val="subscript"/>
          <w:lang w:eastAsia="zh-HK"/>
        </w:rPr>
        <w:t>1</w:t>
      </w:r>
      <w:r w:rsidRPr="000B14F3">
        <w:rPr>
          <w:rFonts w:ascii="Times New Roman" w:hAnsi="Times New Roman"/>
          <w:lang w:eastAsia="zh-HK"/>
        </w:rPr>
        <w:t xml:space="preserve"> represents the initial change in Y associated with a shock to X</w:t>
      </w:r>
      <w:r w:rsidR="00897D53" w:rsidRPr="000B14F3">
        <w:rPr>
          <w:rFonts w:ascii="Times New Roman" w:hAnsi="Times New Roman"/>
          <w:lang w:eastAsia="zh-HK"/>
        </w:rPr>
        <w:t xml:space="preserve"> </w:t>
      </w:r>
      <w:r w:rsidRPr="000B14F3">
        <w:rPr>
          <w:rFonts w:ascii="Times New Roman" w:hAnsi="Times New Roman"/>
          <w:lang w:eastAsia="zh-HK"/>
        </w:rPr>
        <w:t xml:space="preserve">known as the </w:t>
      </w:r>
      <w:r w:rsidR="00074DC4">
        <w:rPr>
          <w:rFonts w:ascii="Times New Roman" w:hAnsi="Times New Roman"/>
          <w:lang w:eastAsia="zh-HK"/>
        </w:rPr>
        <w:t>‘</w:t>
      </w:r>
      <w:r w:rsidRPr="000B14F3">
        <w:rPr>
          <w:rFonts w:ascii="Times New Roman" w:hAnsi="Times New Roman"/>
          <w:lang w:eastAsia="zh-HK"/>
        </w:rPr>
        <w:t>short-term</w:t>
      </w:r>
      <w:r w:rsidR="00074DC4">
        <w:rPr>
          <w:rFonts w:ascii="Times New Roman" w:hAnsi="Times New Roman"/>
          <w:lang w:eastAsia="zh-HK"/>
        </w:rPr>
        <w:t>’</w:t>
      </w:r>
      <w:r w:rsidRPr="000B14F3">
        <w:rPr>
          <w:rFonts w:ascii="Times New Roman" w:hAnsi="Times New Roman"/>
          <w:lang w:eastAsia="zh-HK"/>
        </w:rPr>
        <w:t xml:space="preserve"> effect, which will </w:t>
      </w:r>
      <w:r w:rsidR="00324C4A" w:rsidRPr="000B14F3">
        <w:rPr>
          <w:rFonts w:ascii="Times New Roman" w:hAnsi="Times New Roman"/>
          <w:lang w:eastAsia="zh-HK"/>
        </w:rPr>
        <w:t xml:space="preserve">wholly </w:t>
      </w:r>
      <w:r w:rsidRPr="000B14F3">
        <w:rPr>
          <w:rFonts w:ascii="Times New Roman" w:hAnsi="Times New Roman"/>
          <w:lang w:eastAsia="zh-HK"/>
        </w:rPr>
        <w:t xml:space="preserve">occur at a specific point in time (but not that the effect is not permanent). </w:t>
      </w:r>
      <w:r w:rsidR="0035361D">
        <w:rPr>
          <w:rFonts w:ascii="Times New Roman" w:hAnsi="Times New Roman"/>
          <w:lang w:eastAsia="zh-HK"/>
        </w:rPr>
        <w:t>T</w:t>
      </w:r>
      <w:r w:rsidRPr="000B14F3">
        <w:rPr>
          <w:rFonts w:ascii="Times New Roman" w:hAnsi="Times New Roman"/>
          <w:lang w:eastAsia="zh-HK"/>
        </w:rPr>
        <w:t xml:space="preserve">he </w:t>
      </w:r>
      <w:r w:rsidR="00074DC4">
        <w:rPr>
          <w:rFonts w:ascii="Times New Roman" w:hAnsi="Times New Roman"/>
          <w:lang w:eastAsia="zh-HK"/>
        </w:rPr>
        <w:t>‘</w:t>
      </w:r>
      <w:r w:rsidRPr="000B14F3">
        <w:rPr>
          <w:rFonts w:ascii="Times New Roman" w:hAnsi="Times New Roman"/>
          <w:lang w:eastAsia="zh-HK"/>
        </w:rPr>
        <w:t>error correction component</w:t>
      </w:r>
      <w:r w:rsidR="00074DC4">
        <w:rPr>
          <w:rFonts w:ascii="Times New Roman" w:hAnsi="Times New Roman"/>
          <w:lang w:eastAsia="zh-HK"/>
        </w:rPr>
        <w:t>’</w:t>
      </w:r>
      <w:r w:rsidRPr="000B14F3">
        <w:rPr>
          <w:rFonts w:ascii="Times New Roman" w:hAnsi="Times New Roman"/>
          <w:lang w:eastAsia="zh-HK"/>
        </w:rPr>
        <w:t xml:space="preserve"> of the model consists of</w:t>
      </w:r>
      <w:r w:rsidR="00A515EF">
        <w:rPr>
          <w:rFonts w:ascii="Times New Roman" w:hAnsi="Times New Roman"/>
          <w:lang w:eastAsia="zh-HK"/>
        </w:rPr>
        <w:t xml:space="preserve"> </w:t>
      </w:r>
      <w:r w:rsidRPr="000B14F3">
        <w:rPr>
          <w:rFonts w:ascii="Times New Roman" w:hAnsi="Times New Roman"/>
          <w:lang w:eastAsia="zh-HK"/>
        </w:rPr>
        <w:t>α</w:t>
      </w:r>
      <w:r w:rsidRPr="000B14F3">
        <w:rPr>
          <w:rFonts w:ascii="Times New Roman" w:hAnsi="Times New Roman"/>
          <w:vertAlign w:val="subscript"/>
          <w:lang w:eastAsia="zh-HK"/>
        </w:rPr>
        <w:t>1</w:t>
      </w:r>
      <w:r w:rsidRPr="000B14F3">
        <w:rPr>
          <w:rFonts w:ascii="Times New Roman" w:hAnsi="Times New Roman"/>
          <w:lang w:eastAsia="zh-HK"/>
        </w:rPr>
        <w:t>, which is called the error correction rate, and β</w:t>
      </w:r>
      <w:r w:rsidRPr="000B14F3">
        <w:rPr>
          <w:rFonts w:ascii="Times New Roman" w:hAnsi="Times New Roman"/>
          <w:vertAlign w:val="subscript"/>
          <w:lang w:eastAsia="zh-HK"/>
        </w:rPr>
        <w:t>2</w:t>
      </w:r>
      <w:r w:rsidRPr="000B14F3">
        <w:rPr>
          <w:rFonts w:ascii="Times New Roman" w:hAnsi="Times New Roman"/>
          <w:lang w:eastAsia="zh-HK"/>
        </w:rPr>
        <w:t xml:space="preserve">. As opposed to the short-term effect, the </w:t>
      </w:r>
      <w:r w:rsidR="00074DC4">
        <w:rPr>
          <w:rFonts w:ascii="Times New Roman" w:hAnsi="Times New Roman"/>
          <w:lang w:eastAsia="zh-HK"/>
        </w:rPr>
        <w:t>‘</w:t>
      </w:r>
      <w:r w:rsidRPr="000B14F3">
        <w:rPr>
          <w:rFonts w:ascii="Times New Roman" w:hAnsi="Times New Roman"/>
          <w:lang w:eastAsia="zh-HK"/>
        </w:rPr>
        <w:t>long-term</w:t>
      </w:r>
      <w:r w:rsidR="00074DC4">
        <w:rPr>
          <w:rFonts w:ascii="Times New Roman" w:hAnsi="Times New Roman"/>
          <w:lang w:eastAsia="zh-HK"/>
        </w:rPr>
        <w:t>’</w:t>
      </w:r>
      <w:r w:rsidRPr="000B14F3">
        <w:rPr>
          <w:rFonts w:ascii="Times New Roman" w:hAnsi="Times New Roman"/>
          <w:lang w:eastAsia="zh-HK"/>
        </w:rPr>
        <w:t xml:space="preserve"> </w:t>
      </w:r>
      <w:r w:rsidR="007279F2">
        <w:rPr>
          <w:rFonts w:ascii="Times New Roman" w:hAnsi="Times New Roman"/>
          <w:lang w:eastAsia="zh-HK"/>
        </w:rPr>
        <w:t>effect</w:t>
      </w:r>
      <w:r w:rsidRPr="000B14F3">
        <w:rPr>
          <w:rFonts w:ascii="Times New Roman" w:hAnsi="Times New Roman"/>
          <w:lang w:eastAsia="zh-HK"/>
        </w:rPr>
        <w:t xml:space="preserve"> is the portion of </w:t>
      </w:r>
      <w:r w:rsidR="008A13FC">
        <w:rPr>
          <w:rFonts w:ascii="Times New Roman" w:hAnsi="Times New Roman"/>
          <w:lang w:eastAsia="zh-HK"/>
        </w:rPr>
        <w:t xml:space="preserve">the </w:t>
      </w:r>
      <w:r w:rsidRPr="000B14F3">
        <w:rPr>
          <w:rFonts w:ascii="Times New Roman" w:hAnsi="Times New Roman"/>
          <w:lang w:eastAsia="zh-HK"/>
        </w:rPr>
        <w:t xml:space="preserve">effect distributed over time </w:t>
      </w:r>
      <w:r w:rsidR="00815584">
        <w:rPr>
          <w:rFonts w:ascii="Times New Roman" w:hAnsi="Times New Roman"/>
          <w:lang w:eastAsia="zh-HK"/>
        </w:rPr>
        <w:t>so it</w:t>
      </w:r>
      <w:r w:rsidRPr="000B14F3">
        <w:rPr>
          <w:rFonts w:ascii="Times New Roman" w:hAnsi="Times New Roman"/>
          <w:lang w:eastAsia="zh-HK"/>
        </w:rPr>
        <w:t xml:space="preserve"> is felt in each period over a time span. The size of the </w:t>
      </w:r>
      <w:r w:rsidR="00F72DEF">
        <w:rPr>
          <w:rFonts w:ascii="Times New Roman" w:hAnsi="Times New Roman"/>
          <w:lang w:eastAsia="zh-HK"/>
        </w:rPr>
        <w:t>effect</w:t>
      </w:r>
      <w:r w:rsidRPr="000B14F3">
        <w:rPr>
          <w:rFonts w:ascii="Times New Roman" w:hAnsi="Times New Roman"/>
          <w:lang w:eastAsia="zh-HK"/>
        </w:rPr>
        <w:t xml:space="preserve"> is calculated by dividing β</w:t>
      </w:r>
      <w:r w:rsidRPr="000B14F3">
        <w:rPr>
          <w:rFonts w:ascii="Times New Roman" w:hAnsi="Times New Roman"/>
          <w:vertAlign w:val="subscript"/>
          <w:lang w:eastAsia="zh-HK"/>
        </w:rPr>
        <w:t>2</w:t>
      </w:r>
      <w:r w:rsidRPr="000B14F3">
        <w:rPr>
          <w:rFonts w:ascii="Times New Roman" w:hAnsi="Times New Roman"/>
          <w:lang w:eastAsia="zh-HK"/>
        </w:rPr>
        <w:t xml:space="preserve"> by α</w:t>
      </w:r>
      <w:r w:rsidRPr="000B14F3">
        <w:rPr>
          <w:rFonts w:ascii="Times New Roman" w:hAnsi="Times New Roman"/>
          <w:vertAlign w:val="subscript"/>
          <w:lang w:eastAsia="zh-HK"/>
        </w:rPr>
        <w:t>1</w:t>
      </w:r>
      <w:r w:rsidRPr="000B14F3">
        <w:rPr>
          <w:rFonts w:ascii="Times New Roman" w:hAnsi="Times New Roman"/>
          <w:lang w:eastAsia="zh-HK"/>
        </w:rPr>
        <w:t xml:space="preserve">. ECMs </w:t>
      </w:r>
      <w:r w:rsidR="0071286F">
        <w:rPr>
          <w:rFonts w:ascii="Times New Roman" w:hAnsi="Times New Roman"/>
          <w:lang w:eastAsia="zh-HK"/>
        </w:rPr>
        <w:t xml:space="preserve">then </w:t>
      </w:r>
      <w:r w:rsidRPr="000B14F3">
        <w:rPr>
          <w:rFonts w:ascii="Times New Roman" w:hAnsi="Times New Roman"/>
          <w:lang w:eastAsia="zh-HK"/>
        </w:rPr>
        <w:t>allow us to estimate the immediate effects</w:t>
      </w:r>
      <w:r w:rsidR="00C30671">
        <w:rPr>
          <w:rFonts w:ascii="Times New Roman" w:hAnsi="Times New Roman"/>
          <w:lang w:eastAsia="zh-HK"/>
        </w:rPr>
        <w:t>,</w:t>
      </w:r>
      <w:r w:rsidRPr="000B14F3">
        <w:rPr>
          <w:rFonts w:ascii="Times New Roman" w:hAnsi="Times New Roman"/>
          <w:lang w:eastAsia="zh-HK"/>
        </w:rPr>
        <w:t xml:space="preserve"> and </w:t>
      </w:r>
      <w:r w:rsidR="009D1440">
        <w:rPr>
          <w:rFonts w:ascii="Times New Roman" w:hAnsi="Times New Roman"/>
          <w:lang w:eastAsia="zh-HK"/>
        </w:rPr>
        <w:t>those</w:t>
      </w:r>
      <w:r w:rsidRPr="000B14F3">
        <w:rPr>
          <w:rFonts w:ascii="Times New Roman" w:hAnsi="Times New Roman"/>
          <w:lang w:eastAsia="zh-HK"/>
        </w:rPr>
        <w:t xml:space="preserve"> that are spread over time</w:t>
      </w:r>
      <w:r w:rsidR="00C30671">
        <w:rPr>
          <w:rFonts w:ascii="Times New Roman" w:hAnsi="Times New Roman"/>
          <w:lang w:eastAsia="zh-HK"/>
        </w:rPr>
        <w:t>,</w:t>
      </w:r>
      <w:r w:rsidRPr="000B14F3">
        <w:rPr>
          <w:rFonts w:ascii="Times New Roman" w:hAnsi="Times New Roman"/>
          <w:lang w:eastAsia="zh-HK"/>
        </w:rPr>
        <w:t xml:space="preserve"> of the explanatory </w:t>
      </w:r>
      <w:r w:rsidRPr="000B14F3">
        <w:rPr>
          <w:rFonts w:ascii="Times New Roman" w:hAnsi="Times New Roman"/>
          <w:lang w:eastAsia="zh-HK"/>
        </w:rPr>
        <w:lastRenderedPageBreak/>
        <w:t>variables.</w:t>
      </w:r>
    </w:p>
    <w:p w:rsidR="00504416" w:rsidRPr="000B14F3" w:rsidRDefault="00504416" w:rsidP="00504416">
      <w:pPr>
        <w:jc w:val="both"/>
        <w:rPr>
          <w:rFonts w:ascii="Times New Roman" w:hAnsi="Times New Roman"/>
        </w:rPr>
      </w:pPr>
    </w:p>
    <w:p w:rsidR="00504416" w:rsidRPr="000B14F3" w:rsidRDefault="00504416" w:rsidP="00504416">
      <w:pPr>
        <w:jc w:val="both"/>
        <w:rPr>
          <w:rFonts w:ascii="Times New Roman" w:hAnsi="Times New Roman"/>
          <w:lang w:eastAsia="zh-HK"/>
        </w:rPr>
      </w:pPr>
      <w:r w:rsidRPr="000B14F3">
        <w:rPr>
          <w:rFonts w:ascii="Times New Roman" w:hAnsi="Times New Roman"/>
          <w:lang w:eastAsia="zh-HK"/>
        </w:rPr>
        <w:t>Some argue that using an</w:t>
      </w:r>
      <w:r w:rsidR="003E6A03" w:rsidRPr="000B14F3">
        <w:rPr>
          <w:rFonts w:ascii="Times New Roman" w:hAnsi="Times New Roman"/>
          <w:lang w:eastAsia="zh-HK"/>
        </w:rPr>
        <w:t xml:space="preserve"> ECM</w:t>
      </w:r>
      <w:r w:rsidR="00A261A9">
        <w:rPr>
          <w:rFonts w:ascii="Times New Roman" w:hAnsi="Times New Roman"/>
          <w:lang w:eastAsia="zh-HK"/>
        </w:rPr>
        <w:t xml:space="preserve"> imposes</w:t>
      </w:r>
      <w:r w:rsidRPr="000B14F3">
        <w:rPr>
          <w:rFonts w:ascii="Times New Roman" w:hAnsi="Times New Roman"/>
          <w:lang w:eastAsia="zh-HK"/>
        </w:rPr>
        <w:t xml:space="preserve"> the fewest possible restrictions in the estimation process (e.g., De </w:t>
      </w:r>
      <w:proofErr w:type="spellStart"/>
      <w:r w:rsidRPr="000B14F3">
        <w:rPr>
          <w:rFonts w:ascii="Times New Roman" w:hAnsi="Times New Roman"/>
          <w:lang w:eastAsia="zh-HK"/>
        </w:rPr>
        <w:t>Boef</w:t>
      </w:r>
      <w:proofErr w:type="spellEnd"/>
      <w:r w:rsidRPr="000B14F3">
        <w:rPr>
          <w:rFonts w:ascii="Times New Roman" w:hAnsi="Times New Roman"/>
          <w:lang w:eastAsia="zh-HK"/>
        </w:rPr>
        <w:t xml:space="preserve"> and </w:t>
      </w:r>
      <w:proofErr w:type="spellStart"/>
      <w:r w:rsidRPr="000B14F3">
        <w:rPr>
          <w:rFonts w:ascii="Times New Roman" w:hAnsi="Times New Roman"/>
          <w:lang w:eastAsia="zh-HK"/>
        </w:rPr>
        <w:t>Keele</w:t>
      </w:r>
      <w:proofErr w:type="spellEnd"/>
      <w:r w:rsidRPr="000B14F3">
        <w:rPr>
          <w:rFonts w:ascii="Times New Roman" w:hAnsi="Times New Roman"/>
          <w:lang w:eastAsia="zh-HK"/>
        </w:rPr>
        <w:t xml:space="preserve"> 2008). De </w:t>
      </w:r>
      <w:proofErr w:type="spellStart"/>
      <w:r w:rsidRPr="000B14F3">
        <w:rPr>
          <w:rFonts w:ascii="Times New Roman" w:hAnsi="Times New Roman"/>
          <w:lang w:eastAsia="zh-HK"/>
        </w:rPr>
        <w:t>Boef</w:t>
      </w:r>
      <w:proofErr w:type="spellEnd"/>
      <w:r w:rsidRPr="000B14F3">
        <w:rPr>
          <w:rFonts w:ascii="Times New Roman" w:hAnsi="Times New Roman"/>
          <w:lang w:eastAsia="zh-HK"/>
        </w:rPr>
        <w:t xml:space="preserve"> and </w:t>
      </w:r>
      <w:proofErr w:type="spellStart"/>
      <w:r w:rsidRPr="000B14F3">
        <w:rPr>
          <w:rFonts w:ascii="Times New Roman" w:hAnsi="Times New Roman"/>
          <w:lang w:eastAsia="zh-HK"/>
        </w:rPr>
        <w:t>Keele</w:t>
      </w:r>
      <w:proofErr w:type="spellEnd"/>
      <w:r w:rsidRPr="000B14F3">
        <w:rPr>
          <w:rFonts w:ascii="Times New Roman" w:hAnsi="Times New Roman"/>
          <w:lang w:eastAsia="zh-HK"/>
        </w:rPr>
        <w:t xml:space="preserve"> (2008) go as far as </w:t>
      </w:r>
      <w:r w:rsidR="00302C40">
        <w:rPr>
          <w:rFonts w:ascii="Times New Roman" w:hAnsi="Times New Roman"/>
          <w:lang w:eastAsia="zh-HK"/>
        </w:rPr>
        <w:t>to suggest</w:t>
      </w:r>
      <w:r w:rsidRPr="000B14F3">
        <w:rPr>
          <w:rFonts w:ascii="Times New Roman" w:hAnsi="Times New Roman"/>
          <w:lang w:eastAsia="zh-HK"/>
        </w:rPr>
        <w:t xml:space="preserve"> that the ECM is suitable for stationary and integrated data and there is no need to discuss unit roots, </w:t>
      </w:r>
      <w:proofErr w:type="spellStart"/>
      <w:r w:rsidRPr="000B14F3">
        <w:rPr>
          <w:rFonts w:ascii="Times New Roman" w:hAnsi="Times New Roman"/>
          <w:lang w:eastAsia="zh-HK"/>
        </w:rPr>
        <w:t>cointegration</w:t>
      </w:r>
      <w:proofErr w:type="spellEnd"/>
      <w:r w:rsidRPr="000B14F3">
        <w:rPr>
          <w:rFonts w:ascii="Times New Roman" w:hAnsi="Times New Roman"/>
          <w:lang w:eastAsia="zh-HK"/>
        </w:rPr>
        <w:t xml:space="preserve">, and long-run </w:t>
      </w:r>
      <w:proofErr w:type="spellStart"/>
      <w:r w:rsidRPr="000B14F3">
        <w:rPr>
          <w:rFonts w:ascii="Times New Roman" w:hAnsi="Times New Roman"/>
          <w:lang w:eastAsia="zh-HK"/>
        </w:rPr>
        <w:t>equilibria</w:t>
      </w:r>
      <w:proofErr w:type="spellEnd"/>
      <w:r w:rsidRPr="000B14F3">
        <w:rPr>
          <w:rFonts w:ascii="Times New Roman" w:hAnsi="Times New Roman"/>
          <w:lang w:eastAsia="zh-HK"/>
        </w:rPr>
        <w:t xml:space="preserve">. </w:t>
      </w:r>
      <w:r w:rsidR="00E94E83">
        <w:rPr>
          <w:rFonts w:ascii="Times New Roman" w:hAnsi="Times New Roman"/>
          <w:lang w:eastAsia="zh-HK"/>
        </w:rPr>
        <w:t>A</w:t>
      </w:r>
      <w:r w:rsidRPr="000B14F3">
        <w:rPr>
          <w:rFonts w:ascii="Times New Roman" w:hAnsi="Times New Roman"/>
          <w:lang w:eastAsia="zh-HK"/>
        </w:rPr>
        <w:t xml:space="preserve">n ECM </w:t>
      </w:r>
      <w:r w:rsidR="00D506C5">
        <w:rPr>
          <w:rFonts w:ascii="Times New Roman" w:hAnsi="Times New Roman"/>
          <w:lang w:eastAsia="zh-HK"/>
        </w:rPr>
        <w:t xml:space="preserve">then </w:t>
      </w:r>
      <w:r w:rsidR="003D1E39">
        <w:rPr>
          <w:rFonts w:ascii="Times New Roman" w:hAnsi="Times New Roman"/>
          <w:lang w:eastAsia="zh-HK"/>
        </w:rPr>
        <w:t>enables</w:t>
      </w:r>
      <w:r w:rsidRPr="000B14F3">
        <w:rPr>
          <w:rFonts w:ascii="Times New Roman" w:hAnsi="Times New Roman"/>
          <w:lang w:eastAsia="zh-HK"/>
        </w:rPr>
        <w:t xml:space="preserve"> us to minimize the possibility of spurious regressions arising from integrated or near-integrated series.</w:t>
      </w:r>
    </w:p>
    <w:p w:rsidR="00504416" w:rsidRPr="000B14F3" w:rsidRDefault="00504416" w:rsidP="00504416">
      <w:pPr>
        <w:jc w:val="both"/>
        <w:rPr>
          <w:rFonts w:ascii="Times New Roman" w:hAnsi="Times New Roman"/>
          <w:lang w:eastAsia="zh-HK"/>
        </w:rPr>
      </w:pPr>
    </w:p>
    <w:p w:rsidR="007879D7" w:rsidRPr="000B14F3" w:rsidRDefault="002A44BE" w:rsidP="00504416">
      <w:pPr>
        <w:jc w:val="both"/>
        <w:rPr>
          <w:rFonts w:ascii="Times New Roman" w:hAnsi="Times New Roman"/>
        </w:rPr>
      </w:pPr>
      <w:r w:rsidRPr="000B14F3">
        <w:rPr>
          <w:rFonts w:ascii="Times New Roman" w:hAnsi="Times New Roman"/>
          <w:lang w:eastAsia="zh-HK"/>
        </w:rPr>
        <w:t xml:space="preserve">However, even if De </w:t>
      </w:r>
      <w:proofErr w:type="spellStart"/>
      <w:r w:rsidRPr="000B14F3">
        <w:rPr>
          <w:rFonts w:ascii="Times New Roman" w:hAnsi="Times New Roman"/>
          <w:lang w:eastAsia="zh-HK"/>
        </w:rPr>
        <w:t>Boef</w:t>
      </w:r>
      <w:proofErr w:type="spellEnd"/>
      <w:r w:rsidRPr="000B14F3">
        <w:rPr>
          <w:rFonts w:ascii="Times New Roman" w:hAnsi="Times New Roman"/>
          <w:lang w:eastAsia="zh-HK"/>
        </w:rPr>
        <w:t xml:space="preserve"> and </w:t>
      </w:r>
      <w:proofErr w:type="spellStart"/>
      <w:r w:rsidRPr="000B14F3">
        <w:rPr>
          <w:rFonts w:ascii="Times New Roman" w:hAnsi="Times New Roman"/>
          <w:lang w:eastAsia="zh-HK"/>
        </w:rPr>
        <w:t>Keele</w:t>
      </w:r>
      <w:proofErr w:type="spellEnd"/>
      <w:r w:rsidRPr="000B14F3">
        <w:rPr>
          <w:rFonts w:ascii="Times New Roman" w:hAnsi="Times New Roman"/>
          <w:lang w:eastAsia="zh-HK"/>
        </w:rPr>
        <w:t xml:space="preserve"> (2008)</w:t>
      </w:r>
      <w:r w:rsidR="007432BF">
        <w:rPr>
          <w:rFonts w:ascii="Times New Roman" w:hAnsi="Times New Roman"/>
          <w:lang w:eastAsia="zh-HK"/>
        </w:rPr>
        <w:t xml:space="preserve"> are correct</w:t>
      </w:r>
      <w:r w:rsidRPr="000B14F3">
        <w:rPr>
          <w:rFonts w:ascii="Times New Roman" w:hAnsi="Times New Roman"/>
          <w:lang w:eastAsia="zh-HK"/>
        </w:rPr>
        <w:t xml:space="preserve">, we should always ensure that a true long-run relationship is present when ECM is used with integrated data. That is, the residuals of a regression on a unit-root explanatory variable must be stationary. Therefore, in the ECM estimations below, the variables </w:t>
      </w:r>
      <w:r w:rsidR="004063B5">
        <w:rPr>
          <w:rFonts w:ascii="Times New Roman" w:hAnsi="Times New Roman"/>
          <w:lang w:eastAsia="zh-HK"/>
        </w:rPr>
        <w:t xml:space="preserve">with </w:t>
      </w:r>
      <w:r w:rsidRPr="000B14F3">
        <w:rPr>
          <w:rFonts w:ascii="Times New Roman" w:hAnsi="Times New Roman"/>
          <w:lang w:eastAsia="zh-HK"/>
        </w:rPr>
        <w:t xml:space="preserve">non-stationary residuals </w:t>
      </w:r>
      <w:r w:rsidR="007F55FA" w:rsidRPr="000B14F3">
        <w:rPr>
          <w:rFonts w:ascii="Times New Roman" w:hAnsi="Times New Roman"/>
          <w:lang w:eastAsia="zh-HK"/>
        </w:rPr>
        <w:t xml:space="preserve">(Table </w:t>
      </w:r>
      <w:r w:rsidR="00B91765" w:rsidRPr="000B14F3">
        <w:rPr>
          <w:rFonts w:ascii="Times New Roman" w:hAnsi="Times New Roman"/>
          <w:lang w:eastAsia="zh-HK"/>
        </w:rPr>
        <w:t>A</w:t>
      </w:r>
      <w:r w:rsidR="00273342" w:rsidRPr="000B14F3">
        <w:rPr>
          <w:rFonts w:ascii="Times New Roman" w:hAnsi="Times New Roman"/>
          <w:lang w:eastAsia="zh-HK"/>
        </w:rPr>
        <w:t>5</w:t>
      </w:r>
      <w:r w:rsidR="007F55FA" w:rsidRPr="000B14F3">
        <w:rPr>
          <w:rFonts w:ascii="Times New Roman" w:hAnsi="Times New Roman"/>
          <w:lang w:eastAsia="zh-HK"/>
        </w:rPr>
        <w:t xml:space="preserve">) </w:t>
      </w:r>
      <w:r w:rsidR="00700397">
        <w:rPr>
          <w:rFonts w:ascii="Times New Roman" w:hAnsi="Times New Roman"/>
          <w:lang w:eastAsia="zh-HK"/>
        </w:rPr>
        <w:t>are</w:t>
      </w:r>
      <w:r w:rsidRPr="000B14F3">
        <w:rPr>
          <w:rFonts w:ascii="Times New Roman" w:hAnsi="Times New Roman"/>
          <w:lang w:eastAsia="zh-HK"/>
        </w:rPr>
        <w:t xml:space="preserve"> excluded to ensure the validity of the results (including them </w:t>
      </w:r>
      <w:r w:rsidR="00E63434">
        <w:rPr>
          <w:rFonts w:ascii="Times New Roman" w:hAnsi="Times New Roman"/>
          <w:lang w:eastAsia="zh-HK"/>
        </w:rPr>
        <w:t xml:space="preserve">does not </w:t>
      </w:r>
      <w:r w:rsidRPr="000B14F3">
        <w:rPr>
          <w:rFonts w:ascii="Times New Roman" w:hAnsi="Times New Roman"/>
          <w:lang w:eastAsia="zh-HK"/>
        </w:rPr>
        <w:t>affect the outcome).</w:t>
      </w:r>
      <w:r w:rsidR="00DF370E" w:rsidRPr="000B14F3">
        <w:rPr>
          <w:rFonts w:ascii="Times New Roman" w:hAnsi="Times New Roman"/>
          <w:lang w:eastAsia="zh-HK"/>
        </w:rPr>
        <w:t xml:space="preserve"> While H3 </w:t>
      </w:r>
      <w:r w:rsidR="00C077C1" w:rsidRPr="000B14F3">
        <w:rPr>
          <w:rFonts w:ascii="Times New Roman" w:hAnsi="Times New Roman"/>
          <w:lang w:eastAsia="zh-HK"/>
        </w:rPr>
        <w:t>hypothesizes</w:t>
      </w:r>
      <w:r w:rsidR="00D92662" w:rsidRPr="000B14F3">
        <w:rPr>
          <w:rFonts w:ascii="Times New Roman" w:hAnsi="Times New Roman"/>
          <w:lang w:eastAsia="zh-HK"/>
        </w:rPr>
        <w:t xml:space="preserve"> that a 3-year gap should be allowed</w:t>
      </w:r>
      <w:r w:rsidR="00DF370E" w:rsidRPr="000B14F3">
        <w:rPr>
          <w:rFonts w:ascii="Times New Roman" w:hAnsi="Times New Roman"/>
          <w:lang w:eastAsia="zh-HK"/>
        </w:rPr>
        <w:t xml:space="preserve"> for the effects to </w:t>
      </w:r>
      <w:r w:rsidR="00C077C1" w:rsidRPr="000B14F3">
        <w:rPr>
          <w:rFonts w:ascii="Times New Roman" w:hAnsi="Times New Roman"/>
          <w:lang w:eastAsia="zh-HK"/>
        </w:rPr>
        <w:t>materialize</w:t>
      </w:r>
      <w:r w:rsidR="00C43741" w:rsidRPr="000B14F3">
        <w:rPr>
          <w:rFonts w:ascii="Times New Roman" w:hAnsi="Times New Roman"/>
          <w:lang w:eastAsia="zh-HK"/>
        </w:rPr>
        <w:t xml:space="preserve">, it is less </w:t>
      </w:r>
      <w:r w:rsidR="00D92662" w:rsidRPr="000B14F3">
        <w:rPr>
          <w:rFonts w:ascii="Times New Roman" w:hAnsi="Times New Roman"/>
          <w:lang w:eastAsia="zh-HK"/>
        </w:rPr>
        <w:t xml:space="preserve">clear </w:t>
      </w:r>
      <w:r w:rsidR="00062472">
        <w:rPr>
          <w:rFonts w:ascii="Times New Roman" w:hAnsi="Times New Roman"/>
          <w:lang w:eastAsia="zh-HK"/>
        </w:rPr>
        <w:t>whether</w:t>
      </w:r>
      <w:r w:rsidR="00D92662" w:rsidRPr="000B14F3">
        <w:rPr>
          <w:rFonts w:ascii="Times New Roman" w:hAnsi="Times New Roman"/>
          <w:lang w:eastAsia="zh-HK"/>
        </w:rPr>
        <w:t xml:space="preserve"> this </w:t>
      </w:r>
      <w:r w:rsidR="005000E5" w:rsidRPr="000B14F3">
        <w:rPr>
          <w:rFonts w:ascii="Times New Roman" w:hAnsi="Times New Roman"/>
          <w:lang w:eastAsia="zh-HK"/>
        </w:rPr>
        <w:t xml:space="preserve">design is </w:t>
      </w:r>
      <w:r w:rsidR="00D92662" w:rsidRPr="000B14F3">
        <w:rPr>
          <w:rFonts w:ascii="Times New Roman" w:hAnsi="Times New Roman"/>
          <w:lang w:eastAsia="zh-HK"/>
        </w:rPr>
        <w:t xml:space="preserve">required in an ECM. </w:t>
      </w:r>
      <w:r w:rsidR="00C94F8F" w:rsidRPr="000B14F3">
        <w:rPr>
          <w:rFonts w:ascii="Times New Roman" w:hAnsi="Times New Roman"/>
          <w:lang w:eastAsia="zh-HK"/>
        </w:rPr>
        <w:t xml:space="preserve">I have tested </w:t>
      </w:r>
      <w:r w:rsidR="00963175">
        <w:rPr>
          <w:rFonts w:ascii="Times New Roman" w:hAnsi="Times New Roman"/>
          <w:lang w:eastAsia="zh-HK"/>
        </w:rPr>
        <w:t>using</w:t>
      </w:r>
      <w:r w:rsidR="00C94F8F" w:rsidRPr="000B14F3">
        <w:rPr>
          <w:rFonts w:ascii="Times New Roman" w:hAnsi="Times New Roman"/>
          <w:lang w:eastAsia="zh-HK"/>
        </w:rPr>
        <w:t xml:space="preserve"> both concurrent MMR</w:t>
      </w:r>
      <w:r w:rsidR="00AC3442" w:rsidRPr="000B14F3">
        <w:rPr>
          <w:rFonts w:ascii="Times New Roman" w:hAnsi="Times New Roman"/>
          <w:lang w:eastAsia="zh-HK"/>
        </w:rPr>
        <w:t xml:space="preserve"> and MMR lead by 3 years</w:t>
      </w:r>
      <w:r w:rsidR="009831F1" w:rsidRPr="000B14F3">
        <w:rPr>
          <w:rFonts w:ascii="Times New Roman" w:hAnsi="Times New Roman"/>
          <w:lang w:eastAsia="zh-HK"/>
        </w:rPr>
        <w:t xml:space="preserve"> as </w:t>
      </w:r>
      <w:r w:rsidR="0084533B">
        <w:rPr>
          <w:rFonts w:ascii="Times New Roman" w:hAnsi="Times New Roman"/>
          <w:lang w:eastAsia="zh-HK"/>
        </w:rPr>
        <w:t xml:space="preserve">the </w:t>
      </w:r>
      <w:r w:rsidR="009831F1" w:rsidRPr="000B14F3">
        <w:rPr>
          <w:rFonts w:ascii="Times New Roman" w:hAnsi="Times New Roman"/>
          <w:lang w:eastAsia="zh-HK"/>
        </w:rPr>
        <w:t>dependent variables here.</w:t>
      </w:r>
    </w:p>
    <w:p w:rsidR="002B1574" w:rsidRPr="000B14F3" w:rsidRDefault="002B1574" w:rsidP="00990B1A">
      <w:pPr>
        <w:rPr>
          <w:rFonts w:ascii="Times New Roman" w:hAnsi="Times New Roman"/>
        </w:rPr>
      </w:pPr>
    </w:p>
    <w:p w:rsidR="00E83BEB" w:rsidRPr="000B14F3" w:rsidRDefault="00F95C31" w:rsidP="009140A5">
      <w:pPr>
        <w:jc w:val="both"/>
        <w:rPr>
          <w:rFonts w:ascii="Times New Roman" w:hAnsi="Times New Roman"/>
        </w:rPr>
      </w:pPr>
      <w:r>
        <w:rPr>
          <w:rFonts w:ascii="Times New Roman" w:hAnsi="Times New Roman"/>
        </w:rPr>
        <w:t>The r</w:t>
      </w:r>
      <w:r w:rsidR="00E83BEB" w:rsidRPr="000B14F3">
        <w:rPr>
          <w:rFonts w:ascii="Times New Roman" w:hAnsi="Times New Roman"/>
        </w:rPr>
        <w:t xml:space="preserve">esults </w:t>
      </w:r>
      <w:r w:rsidR="00D922A1">
        <w:rPr>
          <w:rFonts w:ascii="Times New Roman" w:hAnsi="Times New Roman"/>
        </w:rPr>
        <w:t>of the</w:t>
      </w:r>
      <w:r w:rsidR="00E83BEB" w:rsidRPr="000B14F3">
        <w:rPr>
          <w:rFonts w:ascii="Times New Roman" w:hAnsi="Times New Roman"/>
        </w:rPr>
        <w:t xml:space="preserve"> ECMs are shown in Table </w:t>
      </w:r>
      <w:r w:rsidR="00BD468C" w:rsidRPr="000B14F3">
        <w:rPr>
          <w:rFonts w:ascii="Times New Roman" w:hAnsi="Times New Roman"/>
        </w:rPr>
        <w:t>A</w:t>
      </w:r>
      <w:r w:rsidR="00273342" w:rsidRPr="000B14F3">
        <w:rPr>
          <w:rFonts w:ascii="Times New Roman" w:hAnsi="Times New Roman"/>
        </w:rPr>
        <w:t>6</w:t>
      </w:r>
      <w:r w:rsidR="00E83BEB" w:rsidRPr="000B14F3">
        <w:rPr>
          <w:rFonts w:ascii="Times New Roman" w:hAnsi="Times New Roman"/>
        </w:rPr>
        <w:t xml:space="preserve">. </w:t>
      </w:r>
      <w:r w:rsidR="009A6563" w:rsidRPr="000B14F3">
        <w:rPr>
          <w:rFonts w:ascii="Times New Roman" w:hAnsi="Times New Roman"/>
        </w:rPr>
        <w:t>Model M</w:t>
      </w:r>
      <w:r w:rsidR="00F94E1B" w:rsidRPr="000B14F3">
        <w:rPr>
          <w:rFonts w:ascii="Times New Roman" w:hAnsi="Times New Roman"/>
        </w:rPr>
        <w:t>11 replicates the results of H2. I</w:t>
      </w:r>
      <w:r w:rsidR="009A6563" w:rsidRPr="000B14F3">
        <w:rPr>
          <w:rFonts w:ascii="Times New Roman" w:hAnsi="Times New Roman"/>
        </w:rPr>
        <w:t xml:space="preserve">t can be seen that </w:t>
      </w:r>
      <w:r w:rsidR="0088672D" w:rsidRPr="000B14F3">
        <w:rPr>
          <w:rFonts w:ascii="Times New Roman" w:hAnsi="Times New Roman"/>
        </w:rPr>
        <w:t>the effects match those reported in the article</w:t>
      </w:r>
      <w:r w:rsidR="00F94E1B" w:rsidRPr="000B14F3">
        <w:rPr>
          <w:rFonts w:ascii="Times New Roman" w:hAnsi="Times New Roman"/>
        </w:rPr>
        <w:t xml:space="preserve"> and an interaction effect </w:t>
      </w:r>
      <w:r w:rsidR="008E1F18" w:rsidRPr="000B14F3">
        <w:rPr>
          <w:rFonts w:ascii="Times New Roman" w:hAnsi="Times New Roman"/>
        </w:rPr>
        <w:t xml:space="preserve">similar to Figure 3 in the </w:t>
      </w:r>
      <w:r w:rsidR="0047192A" w:rsidRPr="000B14F3">
        <w:rPr>
          <w:rFonts w:ascii="Times New Roman" w:hAnsi="Times New Roman"/>
        </w:rPr>
        <w:t xml:space="preserve">article </w:t>
      </w:r>
      <w:r w:rsidR="00F7170E">
        <w:rPr>
          <w:rFonts w:ascii="Times New Roman" w:hAnsi="Times New Roman"/>
        </w:rPr>
        <w:t>is</w:t>
      </w:r>
      <w:r w:rsidR="00F94E1B" w:rsidRPr="000B14F3">
        <w:rPr>
          <w:rFonts w:ascii="Times New Roman" w:hAnsi="Times New Roman"/>
        </w:rPr>
        <w:t xml:space="preserve"> replicated</w:t>
      </w:r>
      <w:r w:rsidR="0088672D" w:rsidRPr="000B14F3">
        <w:rPr>
          <w:rFonts w:ascii="Times New Roman" w:hAnsi="Times New Roman"/>
        </w:rPr>
        <w:t xml:space="preserve">. </w:t>
      </w:r>
      <w:r w:rsidR="002A489C" w:rsidRPr="000B14F3">
        <w:rPr>
          <w:rFonts w:ascii="Times New Roman" w:hAnsi="Times New Roman"/>
        </w:rPr>
        <w:t>MMR</w:t>
      </w:r>
      <w:r w:rsidR="00101522" w:rsidRPr="000B14F3">
        <w:rPr>
          <w:rFonts w:ascii="Times New Roman" w:hAnsi="Times New Roman"/>
        </w:rPr>
        <w:t xml:space="preserve"> demonstrates a positive, short-term</w:t>
      </w:r>
      <w:r w:rsidR="002A489C" w:rsidRPr="000B14F3">
        <w:rPr>
          <w:rFonts w:ascii="Times New Roman" w:hAnsi="Times New Roman"/>
        </w:rPr>
        <w:t xml:space="preserve"> effect on redistribution</w:t>
      </w:r>
      <w:r w:rsidR="00101522" w:rsidRPr="000B14F3">
        <w:rPr>
          <w:rFonts w:ascii="Times New Roman" w:hAnsi="Times New Roman"/>
        </w:rPr>
        <w:t xml:space="preserve"> and a long-term</w:t>
      </w:r>
      <w:r w:rsidR="002A489C" w:rsidRPr="000B14F3">
        <w:rPr>
          <w:rFonts w:ascii="Times New Roman" w:hAnsi="Times New Roman"/>
        </w:rPr>
        <w:t xml:space="preserve"> interactive effect between left partisanship and corporatism</w:t>
      </w:r>
      <w:r w:rsidR="00101522" w:rsidRPr="000B14F3">
        <w:rPr>
          <w:rFonts w:ascii="Times New Roman" w:hAnsi="Times New Roman"/>
        </w:rPr>
        <w:t xml:space="preserve">. </w:t>
      </w:r>
      <w:r w:rsidR="00032BA0" w:rsidRPr="000B14F3">
        <w:rPr>
          <w:rFonts w:ascii="Times New Roman" w:hAnsi="Times New Roman"/>
        </w:rPr>
        <w:t xml:space="preserve">For H3, </w:t>
      </w:r>
      <w:r w:rsidR="00293C45">
        <w:rPr>
          <w:rFonts w:ascii="Times New Roman" w:hAnsi="Times New Roman"/>
        </w:rPr>
        <w:t xml:space="preserve">the </w:t>
      </w:r>
      <w:r w:rsidR="00032BA0" w:rsidRPr="000B14F3">
        <w:rPr>
          <w:rFonts w:ascii="Times New Roman" w:hAnsi="Times New Roman"/>
        </w:rPr>
        <w:t>left seat share has a long-term effect on MMR with a 3 year time lag</w:t>
      </w:r>
      <w:r w:rsidR="006B7931" w:rsidRPr="000B14F3">
        <w:rPr>
          <w:rFonts w:ascii="Times New Roman" w:hAnsi="Times New Roman"/>
        </w:rPr>
        <w:t xml:space="preserve"> (model M12)</w:t>
      </w:r>
      <w:r w:rsidR="00032BA0" w:rsidRPr="000B14F3">
        <w:rPr>
          <w:rFonts w:ascii="Times New Roman" w:hAnsi="Times New Roman"/>
        </w:rPr>
        <w:t>, and union density a short-term effect</w:t>
      </w:r>
      <w:r w:rsidR="00B72008" w:rsidRPr="000B14F3">
        <w:rPr>
          <w:rFonts w:ascii="Times New Roman" w:hAnsi="Times New Roman"/>
        </w:rPr>
        <w:t xml:space="preserve"> (p&lt;0.1)</w:t>
      </w:r>
      <w:r w:rsidR="00032BA0" w:rsidRPr="000B14F3">
        <w:rPr>
          <w:rFonts w:ascii="Times New Roman" w:hAnsi="Times New Roman"/>
        </w:rPr>
        <w:t xml:space="preserve"> on the concurrent MMR</w:t>
      </w:r>
      <w:r w:rsidR="006B7931" w:rsidRPr="000B14F3">
        <w:rPr>
          <w:rFonts w:ascii="Times New Roman" w:hAnsi="Times New Roman"/>
        </w:rPr>
        <w:t xml:space="preserve"> (model M13)</w:t>
      </w:r>
      <w:r w:rsidR="00032BA0" w:rsidRPr="000B14F3">
        <w:rPr>
          <w:rFonts w:ascii="Times New Roman" w:hAnsi="Times New Roman"/>
        </w:rPr>
        <w:t xml:space="preserve">. </w:t>
      </w:r>
      <w:r w:rsidR="0099523C" w:rsidRPr="000B14F3">
        <w:rPr>
          <w:rFonts w:ascii="Times New Roman" w:hAnsi="Times New Roman"/>
        </w:rPr>
        <w:t xml:space="preserve">The two results </w:t>
      </w:r>
      <w:r w:rsidR="00FE235A">
        <w:rPr>
          <w:rFonts w:ascii="Times New Roman" w:hAnsi="Times New Roman"/>
        </w:rPr>
        <w:t>may</w:t>
      </w:r>
      <w:r w:rsidR="0099523C" w:rsidRPr="000B14F3">
        <w:rPr>
          <w:rFonts w:ascii="Times New Roman" w:hAnsi="Times New Roman"/>
        </w:rPr>
        <w:t xml:space="preserve"> be a better reflection of the underlying significance of both terms reported in the article. </w:t>
      </w:r>
      <w:r w:rsidR="00244DD1" w:rsidRPr="000B14F3">
        <w:rPr>
          <w:rFonts w:ascii="Times New Roman" w:hAnsi="Times New Roman"/>
        </w:rPr>
        <w:t>This finding also justif</w:t>
      </w:r>
      <w:r w:rsidR="00214FA1">
        <w:rPr>
          <w:rFonts w:ascii="Times New Roman" w:hAnsi="Times New Roman"/>
        </w:rPr>
        <w:t>ies</w:t>
      </w:r>
      <w:r w:rsidR="00244DD1" w:rsidRPr="000B14F3">
        <w:rPr>
          <w:rFonts w:ascii="Times New Roman" w:hAnsi="Times New Roman"/>
        </w:rPr>
        <w:t xml:space="preserve"> the choice of a 3-year gap allowed for </w:t>
      </w:r>
      <w:r w:rsidR="008F6F0A" w:rsidRPr="000B14F3">
        <w:rPr>
          <w:rFonts w:ascii="Times New Roman" w:hAnsi="Times New Roman"/>
        </w:rPr>
        <w:t>the</w:t>
      </w:r>
      <w:r w:rsidR="00CD63D6" w:rsidRPr="000B14F3">
        <w:rPr>
          <w:rFonts w:ascii="Times New Roman" w:hAnsi="Times New Roman"/>
        </w:rPr>
        <w:t xml:space="preserve"> policies </w:t>
      </w:r>
      <w:r w:rsidR="00244DD1" w:rsidRPr="000B14F3">
        <w:rPr>
          <w:rFonts w:ascii="Times New Roman" w:hAnsi="Times New Roman"/>
        </w:rPr>
        <w:t>to come into effect. Finally</w:t>
      </w:r>
      <w:r w:rsidR="009D3969" w:rsidRPr="000B14F3">
        <w:rPr>
          <w:rFonts w:ascii="Times New Roman" w:hAnsi="Times New Roman"/>
        </w:rPr>
        <w:t xml:space="preserve">, given that the results in the article are largely similar to those returned from the ECM, </w:t>
      </w:r>
      <w:r w:rsidR="005337E6" w:rsidRPr="000B14F3">
        <w:rPr>
          <w:rFonts w:ascii="Times New Roman" w:hAnsi="Times New Roman"/>
        </w:rPr>
        <w:t xml:space="preserve">they are kept for the ease of interpretation, </w:t>
      </w:r>
      <w:r w:rsidR="00006DC3">
        <w:rPr>
          <w:rFonts w:ascii="Times New Roman" w:hAnsi="Times New Roman"/>
        </w:rPr>
        <w:t>particularly</w:t>
      </w:r>
      <w:r w:rsidR="00A859D3" w:rsidRPr="000B14F3">
        <w:rPr>
          <w:rFonts w:ascii="Times New Roman" w:hAnsi="Times New Roman"/>
        </w:rPr>
        <w:t xml:space="preserve"> </w:t>
      </w:r>
      <w:r w:rsidR="00C3423A">
        <w:rPr>
          <w:rFonts w:ascii="Times New Roman" w:hAnsi="Times New Roman"/>
        </w:rPr>
        <w:t>for</w:t>
      </w:r>
      <w:r w:rsidR="00A859D3" w:rsidRPr="000B14F3">
        <w:rPr>
          <w:rFonts w:ascii="Times New Roman" w:hAnsi="Times New Roman"/>
        </w:rPr>
        <w:t xml:space="preserve"> </w:t>
      </w:r>
      <w:r w:rsidR="005337E6" w:rsidRPr="000B14F3">
        <w:rPr>
          <w:rFonts w:ascii="Times New Roman" w:hAnsi="Times New Roman"/>
        </w:rPr>
        <w:t>interaction terms.</w:t>
      </w:r>
    </w:p>
    <w:p w:rsidR="00244F1E" w:rsidRPr="000B14F3" w:rsidRDefault="00244F1E" w:rsidP="00244F1E">
      <w:pPr>
        <w:rPr>
          <w:rFonts w:ascii="Times New Roman" w:hAnsi="Times New Roman"/>
        </w:rPr>
      </w:pPr>
    </w:p>
    <w:p w:rsidR="00244F1E" w:rsidRPr="000B14F3" w:rsidRDefault="00244F1E" w:rsidP="00244F1E">
      <w:pPr>
        <w:rPr>
          <w:rFonts w:ascii="Times New Roman" w:hAnsi="Times New Roman"/>
          <w:b/>
          <w:i/>
        </w:rPr>
      </w:pPr>
      <w:r w:rsidRPr="000B14F3">
        <w:rPr>
          <w:rFonts w:ascii="Times New Roman" w:hAnsi="Times New Roman"/>
          <w:b/>
          <w:i/>
        </w:rPr>
        <w:t>Missing Data</w:t>
      </w:r>
    </w:p>
    <w:p w:rsidR="00244F1E" w:rsidRPr="000B14F3" w:rsidRDefault="00244F1E" w:rsidP="00244F1E">
      <w:pPr>
        <w:jc w:val="both"/>
        <w:rPr>
          <w:rFonts w:ascii="Times New Roman" w:hAnsi="Times New Roman"/>
        </w:rPr>
      </w:pPr>
      <w:r w:rsidRPr="000B14F3">
        <w:rPr>
          <w:rFonts w:ascii="Times New Roman" w:hAnsi="Times New Roman"/>
        </w:rPr>
        <w:t xml:space="preserve">While interpolation </w:t>
      </w:r>
      <w:r w:rsidR="00D350D3">
        <w:rPr>
          <w:rFonts w:ascii="Times New Roman" w:hAnsi="Times New Roman"/>
        </w:rPr>
        <w:t>could</w:t>
      </w:r>
      <w:r w:rsidRPr="000B14F3">
        <w:rPr>
          <w:rFonts w:ascii="Times New Roman" w:hAnsi="Times New Roman"/>
        </w:rPr>
        <w:t xml:space="preserve"> be a justifiable strategy for handling data with gaps between observations (e.g., LIS data), there </w:t>
      </w:r>
      <w:r w:rsidR="00B107CE">
        <w:rPr>
          <w:rFonts w:ascii="Times New Roman" w:hAnsi="Times New Roman"/>
        </w:rPr>
        <w:t xml:space="preserve">are </w:t>
      </w:r>
      <w:r w:rsidRPr="000B14F3">
        <w:rPr>
          <w:rFonts w:ascii="Times New Roman" w:hAnsi="Times New Roman"/>
        </w:rPr>
        <w:t xml:space="preserve">concerns about this method, </w:t>
      </w:r>
      <w:r w:rsidR="00BA5B69">
        <w:rPr>
          <w:rFonts w:ascii="Times New Roman" w:hAnsi="Times New Roman"/>
        </w:rPr>
        <w:t>particularly</w:t>
      </w:r>
      <w:r w:rsidRPr="000B14F3">
        <w:rPr>
          <w:rFonts w:ascii="Times New Roman" w:hAnsi="Times New Roman"/>
        </w:rPr>
        <w:t xml:space="preserve"> when the proportion of interpolated data is large. First, robustness tests with non-interpolated data are conducted. However, this setup is not applicable for H3 with a component over time. While it can potentially be estimated, it would require a more </w:t>
      </w:r>
      <w:r w:rsidRPr="000B14F3">
        <w:rPr>
          <w:rFonts w:ascii="Times New Roman" w:hAnsi="Times New Roman"/>
        </w:rPr>
        <w:lastRenderedPageBreak/>
        <w:t xml:space="preserve">complex model and more </w:t>
      </w:r>
      <w:r w:rsidR="009F4111">
        <w:rPr>
          <w:rFonts w:ascii="Times New Roman" w:hAnsi="Times New Roman"/>
        </w:rPr>
        <w:t>importantly</w:t>
      </w:r>
      <w:r w:rsidRPr="000B14F3">
        <w:rPr>
          <w:rFonts w:ascii="Times New Roman" w:hAnsi="Times New Roman"/>
        </w:rPr>
        <w:t xml:space="preserve">, render the estimations and interpretation different across the hypotheses. </w:t>
      </w:r>
      <w:r w:rsidR="009569AD">
        <w:rPr>
          <w:rFonts w:ascii="Times New Roman" w:hAnsi="Times New Roman"/>
        </w:rPr>
        <w:t>Replications</w:t>
      </w:r>
      <w:r w:rsidRPr="000B14F3">
        <w:rPr>
          <w:rFonts w:ascii="Times New Roman" w:hAnsi="Times New Roman"/>
        </w:rPr>
        <w:t xml:space="preserve"> for H1 and H2 using only non-interpolated data</w:t>
      </w:r>
      <w:r w:rsidR="00F177A8" w:rsidRPr="000B14F3">
        <w:rPr>
          <w:rFonts w:ascii="Times New Roman" w:hAnsi="Times New Roman"/>
        </w:rPr>
        <w:t>, and results for H1 with only observations in election years (country-election as unit of analysis)</w:t>
      </w:r>
      <w:r w:rsidRPr="000B14F3">
        <w:rPr>
          <w:rFonts w:ascii="Times New Roman" w:hAnsi="Times New Roman"/>
        </w:rPr>
        <w:t xml:space="preserve"> can be found in Table</w:t>
      </w:r>
      <w:r w:rsidR="00043642" w:rsidRPr="000B14F3">
        <w:rPr>
          <w:rFonts w:ascii="Times New Roman" w:hAnsi="Times New Roman"/>
        </w:rPr>
        <w:t xml:space="preserve"> A</w:t>
      </w:r>
      <w:r w:rsidR="00273342" w:rsidRPr="000B14F3">
        <w:rPr>
          <w:rFonts w:ascii="Times New Roman" w:hAnsi="Times New Roman"/>
        </w:rPr>
        <w:t>7</w:t>
      </w:r>
      <w:r w:rsidRPr="000B14F3">
        <w:rPr>
          <w:rFonts w:ascii="Times New Roman" w:hAnsi="Times New Roman"/>
        </w:rPr>
        <w:t xml:space="preserve">. </w:t>
      </w:r>
      <w:r w:rsidR="00761741">
        <w:rPr>
          <w:rFonts w:ascii="Times New Roman" w:hAnsi="Times New Roman"/>
        </w:rPr>
        <w:t>S</w:t>
      </w:r>
      <w:r w:rsidR="00DB5F5D" w:rsidRPr="000B14F3">
        <w:rPr>
          <w:rFonts w:ascii="Times New Roman" w:hAnsi="Times New Roman"/>
        </w:rPr>
        <w:t>imilar results can be obtained.</w:t>
      </w:r>
    </w:p>
    <w:p w:rsidR="00244F1E" w:rsidRPr="009569AD" w:rsidRDefault="00244F1E" w:rsidP="00244F1E">
      <w:pPr>
        <w:jc w:val="both"/>
        <w:rPr>
          <w:rFonts w:ascii="Times New Roman" w:hAnsi="Times New Roman"/>
        </w:rPr>
      </w:pPr>
    </w:p>
    <w:p w:rsidR="00244F1E" w:rsidRPr="000B14F3" w:rsidRDefault="00244F1E" w:rsidP="00244F1E">
      <w:pPr>
        <w:jc w:val="both"/>
        <w:rPr>
          <w:rFonts w:ascii="Times New Roman" w:hAnsi="Times New Roman"/>
        </w:rPr>
      </w:pPr>
      <w:r w:rsidRPr="000B14F3">
        <w:rPr>
          <w:rFonts w:ascii="Times New Roman" w:hAnsi="Times New Roman"/>
        </w:rPr>
        <w:t xml:space="preserve">Alternatively, multiple </w:t>
      </w:r>
      <w:proofErr w:type="gramStart"/>
      <w:r w:rsidRPr="000B14F3">
        <w:rPr>
          <w:rFonts w:ascii="Times New Roman" w:hAnsi="Times New Roman"/>
        </w:rPr>
        <w:t>imputation</w:t>
      </w:r>
      <w:proofErr w:type="gramEnd"/>
      <w:r w:rsidRPr="000B14F3">
        <w:rPr>
          <w:rFonts w:ascii="Times New Roman" w:hAnsi="Times New Roman"/>
        </w:rPr>
        <w:t xml:space="preserve"> </w:t>
      </w:r>
      <w:r w:rsidR="00CF0E68">
        <w:rPr>
          <w:rFonts w:ascii="Times New Roman" w:hAnsi="Times New Roman"/>
        </w:rPr>
        <w:t>can be used</w:t>
      </w:r>
      <w:r w:rsidRPr="000B14F3">
        <w:rPr>
          <w:rFonts w:ascii="Times New Roman" w:hAnsi="Times New Roman"/>
        </w:rPr>
        <w:t xml:space="preserve"> to tack</w:t>
      </w:r>
      <w:r w:rsidR="00713C32">
        <w:rPr>
          <w:rFonts w:ascii="Times New Roman" w:hAnsi="Times New Roman"/>
        </w:rPr>
        <w:t xml:space="preserve">le the problem of missing data, and </w:t>
      </w:r>
      <w:r w:rsidRPr="000B14F3">
        <w:rPr>
          <w:rFonts w:ascii="Times New Roman" w:hAnsi="Times New Roman"/>
        </w:rPr>
        <w:t>is recommended by some scholars (e.g., Honaker and King, 2010)</w:t>
      </w:r>
      <w:r w:rsidR="002207FE">
        <w:rPr>
          <w:rFonts w:ascii="Times New Roman" w:hAnsi="Times New Roman"/>
        </w:rPr>
        <w:t>.</w:t>
      </w:r>
      <w:r w:rsidRPr="000B14F3">
        <w:rPr>
          <w:rFonts w:ascii="Times New Roman" w:hAnsi="Times New Roman"/>
        </w:rPr>
        <w:t xml:space="preserve"> I prefer linear interpolation over multiple </w:t>
      </w:r>
      <w:proofErr w:type="gramStart"/>
      <w:r w:rsidRPr="000B14F3">
        <w:rPr>
          <w:rFonts w:ascii="Times New Roman" w:hAnsi="Times New Roman"/>
        </w:rPr>
        <w:t>imputation</w:t>
      </w:r>
      <w:proofErr w:type="gramEnd"/>
      <w:r w:rsidRPr="000B14F3">
        <w:rPr>
          <w:rFonts w:ascii="Times New Roman" w:hAnsi="Times New Roman"/>
        </w:rPr>
        <w:t xml:space="preserve"> in this research</w:t>
      </w:r>
      <w:r w:rsidR="00045497">
        <w:rPr>
          <w:rFonts w:ascii="Times New Roman" w:hAnsi="Times New Roman"/>
        </w:rPr>
        <w:t>, although</w:t>
      </w:r>
      <w:r w:rsidRPr="000B14F3">
        <w:rPr>
          <w:rFonts w:ascii="Times New Roman" w:hAnsi="Times New Roman"/>
        </w:rPr>
        <w:t xml:space="preserve"> I agree with the statistical superiority of imputation over list</w:t>
      </w:r>
      <w:r w:rsidR="00CF21C9">
        <w:rPr>
          <w:rFonts w:ascii="Times New Roman" w:hAnsi="Times New Roman"/>
        </w:rPr>
        <w:t>-</w:t>
      </w:r>
      <w:r w:rsidRPr="000B14F3">
        <w:rPr>
          <w:rFonts w:ascii="Times New Roman" w:hAnsi="Times New Roman"/>
        </w:rPr>
        <w:t xml:space="preserve">wise deletion. MMR and Redistribution are both slow-changing series, </w:t>
      </w:r>
      <w:r w:rsidR="00FB3AB0">
        <w:rPr>
          <w:rFonts w:ascii="Times New Roman" w:hAnsi="Times New Roman"/>
        </w:rPr>
        <w:t xml:space="preserve">so </w:t>
      </w:r>
      <w:r w:rsidRPr="000B14F3">
        <w:rPr>
          <w:rFonts w:ascii="Times New Roman" w:hAnsi="Times New Roman"/>
        </w:rPr>
        <w:t xml:space="preserve">linear interpolation adds in valuable information that would otherwise be </w:t>
      </w:r>
      <w:r w:rsidR="00B96B5F" w:rsidRPr="000B14F3">
        <w:rPr>
          <w:rFonts w:ascii="Times New Roman" w:hAnsi="Times New Roman"/>
        </w:rPr>
        <w:t>lost</w:t>
      </w:r>
      <w:r w:rsidRPr="000B14F3">
        <w:rPr>
          <w:rFonts w:ascii="Times New Roman" w:hAnsi="Times New Roman"/>
        </w:rPr>
        <w:t xml:space="preserve"> in an imputed dataset. </w:t>
      </w:r>
      <w:r w:rsidR="0071398E">
        <w:rPr>
          <w:rFonts w:ascii="Times New Roman" w:hAnsi="Times New Roman"/>
        </w:rPr>
        <w:t>A</w:t>
      </w:r>
      <w:r w:rsidRPr="000B14F3">
        <w:rPr>
          <w:rFonts w:ascii="Times New Roman" w:hAnsi="Times New Roman"/>
        </w:rPr>
        <w:t>ccording to Honaker and King (2010</w:t>
      </w:r>
      <w:r w:rsidR="003437C3">
        <w:rPr>
          <w:rFonts w:ascii="Times New Roman" w:hAnsi="Times New Roman"/>
        </w:rPr>
        <w:t xml:space="preserve">: </w:t>
      </w:r>
      <w:r w:rsidRPr="000B14F3">
        <w:rPr>
          <w:rFonts w:ascii="Times New Roman" w:hAnsi="Times New Roman"/>
        </w:rPr>
        <w:t>562), list</w:t>
      </w:r>
      <w:r w:rsidR="003D117F">
        <w:rPr>
          <w:rFonts w:ascii="Times New Roman" w:hAnsi="Times New Roman"/>
        </w:rPr>
        <w:t>-</w:t>
      </w:r>
      <w:r w:rsidRPr="000B14F3">
        <w:rPr>
          <w:rFonts w:ascii="Times New Roman" w:hAnsi="Times New Roman"/>
        </w:rPr>
        <w:t xml:space="preserve">wise deletion after interpolation </w:t>
      </w:r>
      <w:r w:rsidR="00CC7138">
        <w:rPr>
          <w:rFonts w:ascii="Times New Roman" w:hAnsi="Times New Roman"/>
        </w:rPr>
        <w:t>can</w:t>
      </w:r>
      <w:r w:rsidRPr="000B14F3">
        <w:rPr>
          <w:rFonts w:ascii="Times New Roman" w:hAnsi="Times New Roman"/>
        </w:rPr>
        <w:t xml:space="preserve"> be problematic (see also </w:t>
      </w:r>
      <w:proofErr w:type="gramStart"/>
      <w:r w:rsidRPr="000B14F3">
        <w:rPr>
          <w:rFonts w:ascii="Times New Roman" w:hAnsi="Times New Roman"/>
        </w:rPr>
        <w:t>Little</w:t>
      </w:r>
      <w:proofErr w:type="gramEnd"/>
      <w:r w:rsidRPr="000B14F3">
        <w:rPr>
          <w:rFonts w:ascii="Times New Roman" w:hAnsi="Times New Roman"/>
        </w:rPr>
        <w:t xml:space="preserve"> and Rubin, 2002). However, I argue that this problem is less severe for my dataset</w:t>
      </w:r>
      <w:r w:rsidR="00CD3DC5">
        <w:rPr>
          <w:rFonts w:ascii="Times New Roman" w:hAnsi="Times New Roman"/>
        </w:rPr>
        <w:t>, a</w:t>
      </w:r>
      <w:r w:rsidRPr="000B14F3">
        <w:rPr>
          <w:rFonts w:ascii="Times New Roman" w:hAnsi="Times New Roman"/>
        </w:rPr>
        <w:t xml:space="preserve">s I performed interpolation for gaps in between observations, </w:t>
      </w:r>
      <w:r w:rsidR="007B6443">
        <w:rPr>
          <w:rFonts w:ascii="Times New Roman" w:hAnsi="Times New Roman"/>
        </w:rPr>
        <w:t xml:space="preserve">so </w:t>
      </w:r>
      <w:r w:rsidRPr="000B14F3">
        <w:rPr>
          <w:rFonts w:ascii="Times New Roman" w:hAnsi="Times New Roman"/>
        </w:rPr>
        <w:t>was able to include the entire time per</w:t>
      </w:r>
      <w:r w:rsidR="00763D3C" w:rsidRPr="000B14F3">
        <w:rPr>
          <w:rFonts w:ascii="Times New Roman" w:hAnsi="Times New Roman"/>
        </w:rPr>
        <w:t>iod covered by the first</w:t>
      </w:r>
      <w:r w:rsidR="007F487F">
        <w:rPr>
          <w:rFonts w:ascii="Times New Roman" w:hAnsi="Times New Roman"/>
        </w:rPr>
        <w:t xml:space="preserve"> to the last</w:t>
      </w:r>
      <w:r w:rsidR="00763D3C" w:rsidRPr="000B14F3">
        <w:rPr>
          <w:rFonts w:ascii="Times New Roman" w:hAnsi="Times New Roman"/>
        </w:rPr>
        <w:t xml:space="preserve"> LIS survey</w:t>
      </w:r>
      <w:r w:rsidRPr="000B14F3">
        <w:rPr>
          <w:rFonts w:ascii="Times New Roman" w:hAnsi="Times New Roman"/>
        </w:rPr>
        <w:t xml:space="preserve">. In a sense, the time period not covered by the survey can be considered to be </w:t>
      </w:r>
      <w:r w:rsidR="00877C3F">
        <w:rPr>
          <w:rFonts w:ascii="Times New Roman" w:hAnsi="Times New Roman"/>
        </w:rPr>
        <w:t>‘</w:t>
      </w:r>
      <w:r w:rsidR="00133672" w:rsidRPr="000B14F3">
        <w:rPr>
          <w:rFonts w:ascii="Times New Roman" w:hAnsi="Times New Roman"/>
        </w:rPr>
        <w:t>external</w:t>
      </w:r>
      <w:r w:rsidR="00877C3F">
        <w:rPr>
          <w:rFonts w:ascii="Times New Roman" w:hAnsi="Times New Roman"/>
        </w:rPr>
        <w:t>’</w:t>
      </w:r>
      <w:r w:rsidRPr="000B14F3">
        <w:rPr>
          <w:rFonts w:ascii="Times New Roman" w:hAnsi="Times New Roman"/>
        </w:rPr>
        <w:t xml:space="preserve"> to the dataset (e.g., Denmark </w:t>
      </w:r>
      <w:r w:rsidR="00A53546">
        <w:rPr>
          <w:rFonts w:ascii="Times New Roman" w:hAnsi="Times New Roman"/>
        </w:rPr>
        <w:t>before</w:t>
      </w:r>
      <w:r w:rsidRPr="000B14F3">
        <w:rPr>
          <w:rFonts w:ascii="Times New Roman" w:hAnsi="Times New Roman"/>
        </w:rPr>
        <w:t xml:space="preserve"> 1987 or Japan</w:t>
      </w:r>
      <w:r w:rsidR="00055F3C">
        <w:rPr>
          <w:rFonts w:ascii="Times New Roman" w:hAnsi="Times New Roman"/>
        </w:rPr>
        <w:t>, where</w:t>
      </w:r>
      <w:r w:rsidRPr="000B14F3">
        <w:rPr>
          <w:rFonts w:ascii="Times New Roman" w:hAnsi="Times New Roman"/>
        </w:rPr>
        <w:t xml:space="preserve"> only one survey</w:t>
      </w:r>
      <w:r w:rsidR="00FB376A">
        <w:rPr>
          <w:rFonts w:ascii="Times New Roman" w:hAnsi="Times New Roman"/>
        </w:rPr>
        <w:t xml:space="preserve"> was</w:t>
      </w:r>
      <w:r w:rsidRPr="000B14F3">
        <w:rPr>
          <w:rFonts w:ascii="Times New Roman" w:hAnsi="Times New Roman"/>
        </w:rPr>
        <w:t xml:space="preserve"> done in 2008) and their exclusion should not pose a problem. On the contrary, even though the method of imputation could be applied, it </w:t>
      </w:r>
      <w:r w:rsidR="00D41236">
        <w:rPr>
          <w:rFonts w:ascii="Times New Roman" w:hAnsi="Times New Roman"/>
        </w:rPr>
        <w:t>does</w:t>
      </w:r>
      <w:r w:rsidRPr="000B14F3">
        <w:rPr>
          <w:rFonts w:ascii="Times New Roman" w:hAnsi="Times New Roman"/>
        </w:rPr>
        <w:t xml:space="preserve"> not make much sense to include the case of Japan and impute all observations for it from 1970-2009</w:t>
      </w:r>
      <w:r w:rsidR="00B67DBD">
        <w:rPr>
          <w:rFonts w:ascii="Times New Roman" w:hAnsi="Times New Roman"/>
        </w:rPr>
        <w:t>,</w:t>
      </w:r>
      <w:r w:rsidRPr="000B14F3">
        <w:rPr>
          <w:rFonts w:ascii="Times New Roman" w:hAnsi="Times New Roman"/>
        </w:rPr>
        <w:t xml:space="preserve"> </w:t>
      </w:r>
      <w:r w:rsidRPr="00C479DA">
        <w:rPr>
          <w:rFonts w:ascii="Times New Roman" w:hAnsi="Times New Roman"/>
        </w:rPr>
        <w:t>except</w:t>
      </w:r>
      <w:r w:rsidRPr="000B14F3">
        <w:rPr>
          <w:rFonts w:ascii="Times New Roman" w:hAnsi="Times New Roman"/>
        </w:rPr>
        <w:t xml:space="preserve"> 2008. An alternative solution might be to use imputation but to </w:t>
      </w:r>
      <w:r w:rsidR="00CE15C8">
        <w:rPr>
          <w:rFonts w:ascii="Times New Roman" w:hAnsi="Times New Roman"/>
        </w:rPr>
        <w:t>limit</w:t>
      </w:r>
      <w:r w:rsidRPr="000B14F3">
        <w:rPr>
          <w:rFonts w:ascii="Times New Roman" w:hAnsi="Times New Roman"/>
        </w:rPr>
        <w:t xml:space="preserve"> the scope of analysis to the period covered by surveys (e.g., Denmark from 1987 onwards, the US from 1974 onwards). This is what I </w:t>
      </w:r>
      <w:r w:rsidR="00D24EE4">
        <w:rPr>
          <w:rFonts w:ascii="Times New Roman" w:hAnsi="Times New Roman"/>
        </w:rPr>
        <w:t>do</w:t>
      </w:r>
      <w:r w:rsidRPr="000B14F3">
        <w:rPr>
          <w:rFonts w:ascii="Times New Roman" w:hAnsi="Times New Roman"/>
        </w:rPr>
        <w:t xml:space="preserve"> next.</w:t>
      </w:r>
    </w:p>
    <w:p w:rsidR="00244F1E" w:rsidRPr="000B14F3" w:rsidRDefault="00244F1E" w:rsidP="00244F1E">
      <w:pPr>
        <w:jc w:val="both"/>
        <w:rPr>
          <w:rFonts w:ascii="Times New Roman" w:hAnsi="Times New Roman"/>
        </w:rPr>
      </w:pPr>
    </w:p>
    <w:p w:rsidR="00244F1E" w:rsidRPr="000B14F3" w:rsidRDefault="00244F1E" w:rsidP="00244F1E">
      <w:pPr>
        <w:jc w:val="both"/>
        <w:rPr>
          <w:rFonts w:ascii="Times New Roman" w:hAnsi="Times New Roman"/>
        </w:rPr>
      </w:pPr>
      <w:r w:rsidRPr="000B14F3">
        <w:rPr>
          <w:rFonts w:ascii="Times New Roman" w:hAnsi="Times New Roman"/>
        </w:rPr>
        <w:t xml:space="preserve">The software Amelia II developed by Honaker </w:t>
      </w:r>
      <w:r w:rsidRPr="000B14F3">
        <w:rPr>
          <w:rFonts w:ascii="Times New Roman" w:hAnsi="Times New Roman"/>
          <w:i/>
        </w:rPr>
        <w:t>et al</w:t>
      </w:r>
      <w:r w:rsidRPr="000B14F3">
        <w:rPr>
          <w:rFonts w:ascii="Times New Roman" w:hAnsi="Times New Roman"/>
        </w:rPr>
        <w:t xml:space="preserve">. (2009) is used as it </w:t>
      </w:r>
      <w:r w:rsidR="00145CF0">
        <w:rPr>
          <w:rFonts w:ascii="Times New Roman" w:hAnsi="Times New Roman"/>
        </w:rPr>
        <w:t xml:space="preserve">enables </w:t>
      </w:r>
      <w:r w:rsidRPr="000B14F3">
        <w:rPr>
          <w:rFonts w:ascii="Times New Roman" w:hAnsi="Times New Roman"/>
        </w:rPr>
        <w:t xml:space="preserve">imputation </w:t>
      </w:r>
      <w:r w:rsidR="00145CF0">
        <w:rPr>
          <w:rFonts w:ascii="Times New Roman" w:hAnsi="Times New Roman"/>
        </w:rPr>
        <w:t xml:space="preserve">to be performed </w:t>
      </w:r>
      <w:r w:rsidRPr="000B14F3">
        <w:rPr>
          <w:rFonts w:ascii="Times New Roman" w:hAnsi="Times New Roman"/>
        </w:rPr>
        <w:t xml:space="preserve">with </w:t>
      </w:r>
      <w:r w:rsidR="002053A3">
        <w:rPr>
          <w:rFonts w:ascii="Times New Roman" w:hAnsi="Times New Roman"/>
        </w:rPr>
        <w:t xml:space="preserve">a </w:t>
      </w:r>
      <w:r w:rsidRPr="000B14F3">
        <w:rPr>
          <w:rFonts w:ascii="Times New Roman" w:hAnsi="Times New Roman"/>
        </w:rPr>
        <w:t>cross-sectional unit</w:t>
      </w:r>
      <w:r w:rsidR="006B2D21">
        <w:rPr>
          <w:rFonts w:ascii="Times New Roman" w:hAnsi="Times New Roman"/>
        </w:rPr>
        <w:t xml:space="preserve">, </w:t>
      </w:r>
      <w:r w:rsidRPr="000B14F3">
        <w:rPr>
          <w:rFonts w:ascii="Times New Roman" w:hAnsi="Times New Roman"/>
        </w:rPr>
        <w:t xml:space="preserve">as if fixed effects were used. </w:t>
      </w:r>
      <w:r w:rsidR="00396983">
        <w:rPr>
          <w:rFonts w:ascii="Times New Roman" w:hAnsi="Times New Roman"/>
        </w:rPr>
        <w:t>The r</w:t>
      </w:r>
      <w:r w:rsidRPr="000B14F3">
        <w:rPr>
          <w:rFonts w:ascii="Times New Roman" w:hAnsi="Times New Roman"/>
        </w:rPr>
        <w:t xml:space="preserve">esults are shown in Table </w:t>
      </w:r>
      <w:r w:rsidR="000C3F7F" w:rsidRPr="000B14F3">
        <w:rPr>
          <w:rFonts w:ascii="Times New Roman" w:hAnsi="Times New Roman"/>
        </w:rPr>
        <w:t>A</w:t>
      </w:r>
      <w:r w:rsidR="004A0524" w:rsidRPr="000B14F3">
        <w:rPr>
          <w:rFonts w:ascii="Times New Roman" w:hAnsi="Times New Roman"/>
        </w:rPr>
        <w:t>7</w:t>
      </w:r>
      <w:r w:rsidRPr="000B14F3">
        <w:rPr>
          <w:rFonts w:ascii="Times New Roman" w:hAnsi="Times New Roman"/>
        </w:rPr>
        <w:t xml:space="preserve">. Although the results are weaker, H1 and H3 </w:t>
      </w:r>
      <w:r w:rsidR="00A360AF">
        <w:rPr>
          <w:rFonts w:ascii="Times New Roman" w:hAnsi="Times New Roman"/>
        </w:rPr>
        <w:t>both</w:t>
      </w:r>
      <w:r w:rsidRPr="000B14F3">
        <w:rPr>
          <w:rFonts w:ascii="Times New Roman" w:hAnsi="Times New Roman"/>
        </w:rPr>
        <w:t xml:space="preserve"> hold. For H2, however, it is acknowledged that the interaction effect between left partisanship and corporatism cannot be replicated</w:t>
      </w:r>
      <w:r w:rsidR="00F63F92">
        <w:rPr>
          <w:rFonts w:ascii="Times New Roman" w:hAnsi="Times New Roman"/>
        </w:rPr>
        <w:t>, and i</w:t>
      </w:r>
      <w:r w:rsidRPr="000B14F3">
        <w:rPr>
          <w:rFonts w:ascii="Times New Roman" w:hAnsi="Times New Roman"/>
        </w:rPr>
        <w:t xml:space="preserve">nstead, union density becomes significant at p&lt;0.01. I argue that this </w:t>
      </w:r>
      <w:r w:rsidR="007A62B5">
        <w:rPr>
          <w:rFonts w:ascii="Times New Roman" w:hAnsi="Times New Roman"/>
        </w:rPr>
        <w:t>may</w:t>
      </w:r>
      <w:r w:rsidRPr="000B14F3">
        <w:rPr>
          <w:rFonts w:ascii="Times New Roman" w:hAnsi="Times New Roman"/>
        </w:rPr>
        <w:t xml:space="preserve"> be a reflection of the difference between interpolation and imputation</w:t>
      </w:r>
      <w:r w:rsidR="00AA4989">
        <w:rPr>
          <w:rFonts w:ascii="Times New Roman" w:hAnsi="Times New Roman"/>
        </w:rPr>
        <w:t>, as interpolation</w:t>
      </w:r>
      <w:r w:rsidRPr="000B14F3">
        <w:rPr>
          <w:rFonts w:ascii="Times New Roman" w:hAnsi="Times New Roman"/>
        </w:rPr>
        <w:t xml:space="preserve"> (which is used in the main tests) </w:t>
      </w:r>
      <w:r w:rsidR="00A71086" w:rsidRPr="000B14F3">
        <w:rPr>
          <w:rFonts w:ascii="Times New Roman" w:hAnsi="Times New Roman"/>
        </w:rPr>
        <w:t xml:space="preserve">takes into </w:t>
      </w:r>
      <w:r w:rsidRPr="000B14F3">
        <w:rPr>
          <w:rFonts w:ascii="Times New Roman" w:hAnsi="Times New Roman"/>
        </w:rPr>
        <w:t xml:space="preserve">account the slow-changing nature of both MMR and redistribution, </w:t>
      </w:r>
      <w:r w:rsidR="00FD3E5A">
        <w:rPr>
          <w:rFonts w:ascii="Times New Roman" w:hAnsi="Times New Roman"/>
        </w:rPr>
        <w:t xml:space="preserve">so </w:t>
      </w:r>
      <w:r w:rsidRPr="000B14F3">
        <w:rPr>
          <w:rFonts w:ascii="Times New Roman" w:hAnsi="Times New Roman"/>
        </w:rPr>
        <w:t xml:space="preserve">the additional information allows for the testing of a </w:t>
      </w:r>
      <w:r w:rsidR="007F687C" w:rsidRPr="000B14F3">
        <w:rPr>
          <w:rFonts w:ascii="Times New Roman" w:hAnsi="Times New Roman"/>
        </w:rPr>
        <w:t xml:space="preserve">more </w:t>
      </w:r>
      <w:r w:rsidRPr="000B14F3">
        <w:rPr>
          <w:rFonts w:ascii="Times New Roman" w:hAnsi="Times New Roman"/>
        </w:rPr>
        <w:t xml:space="preserve">nuanced hypothesis. </w:t>
      </w:r>
      <w:r w:rsidR="00547E45">
        <w:rPr>
          <w:rFonts w:ascii="Times New Roman" w:hAnsi="Times New Roman"/>
        </w:rPr>
        <w:t>I</w:t>
      </w:r>
      <w:r w:rsidRPr="000B14F3">
        <w:rPr>
          <w:rFonts w:ascii="Times New Roman" w:hAnsi="Times New Roman"/>
        </w:rPr>
        <w:t>mputation treats the gaps in</w:t>
      </w:r>
      <w:r w:rsidR="00CB1403">
        <w:rPr>
          <w:rFonts w:ascii="Times New Roman" w:hAnsi="Times New Roman"/>
        </w:rPr>
        <w:t xml:space="preserve"> </w:t>
      </w:r>
      <w:r w:rsidRPr="000B14F3">
        <w:rPr>
          <w:rFonts w:ascii="Times New Roman" w:hAnsi="Times New Roman"/>
        </w:rPr>
        <w:t xml:space="preserve">between as </w:t>
      </w:r>
      <w:r w:rsidR="00325ACB" w:rsidRPr="000B14F3">
        <w:rPr>
          <w:rFonts w:ascii="Times New Roman" w:hAnsi="Times New Roman"/>
        </w:rPr>
        <w:t>source</w:t>
      </w:r>
      <w:r w:rsidR="000E09DE">
        <w:rPr>
          <w:rFonts w:ascii="Times New Roman" w:hAnsi="Times New Roman"/>
        </w:rPr>
        <w:t>s</w:t>
      </w:r>
      <w:r w:rsidR="00325ACB" w:rsidRPr="000B14F3">
        <w:rPr>
          <w:rFonts w:ascii="Times New Roman" w:hAnsi="Times New Roman"/>
        </w:rPr>
        <w:t xml:space="preserve"> of </w:t>
      </w:r>
      <w:r w:rsidRPr="000B14F3">
        <w:rPr>
          <w:rFonts w:ascii="Times New Roman" w:hAnsi="Times New Roman"/>
        </w:rPr>
        <w:t xml:space="preserve">uncertainty and thus the interaction effects cannot be </w:t>
      </w:r>
      <w:r w:rsidR="00F114B3">
        <w:rPr>
          <w:rFonts w:ascii="Times New Roman" w:hAnsi="Times New Roman"/>
        </w:rPr>
        <w:t>discerned</w:t>
      </w:r>
      <w:r w:rsidRPr="000B14F3">
        <w:rPr>
          <w:rFonts w:ascii="Times New Roman" w:hAnsi="Times New Roman"/>
        </w:rPr>
        <w:t>. This makes union density significant</w:t>
      </w:r>
      <w:r w:rsidR="005E6CEB">
        <w:rPr>
          <w:rFonts w:ascii="Times New Roman" w:hAnsi="Times New Roman"/>
        </w:rPr>
        <w:t>,</w:t>
      </w:r>
      <w:r w:rsidRPr="000B14F3">
        <w:rPr>
          <w:rFonts w:ascii="Times New Roman" w:hAnsi="Times New Roman"/>
        </w:rPr>
        <w:t xml:space="preserve"> as they are closely related. From a wider perspective, the effects of both median voter and power resources on redistribution can be confirmed regardless of how we hand</w:t>
      </w:r>
      <w:r w:rsidR="00D97F75">
        <w:rPr>
          <w:rFonts w:ascii="Times New Roman" w:hAnsi="Times New Roman"/>
        </w:rPr>
        <w:t>le</w:t>
      </w:r>
      <w:r w:rsidRPr="000B14F3">
        <w:rPr>
          <w:rFonts w:ascii="Times New Roman" w:hAnsi="Times New Roman"/>
        </w:rPr>
        <w:t xml:space="preserve"> </w:t>
      </w:r>
      <w:r w:rsidRPr="000B14F3">
        <w:rPr>
          <w:rFonts w:ascii="Times New Roman" w:hAnsi="Times New Roman"/>
        </w:rPr>
        <w:lastRenderedPageBreak/>
        <w:t>missing data.</w:t>
      </w:r>
    </w:p>
    <w:p w:rsidR="00244F1E" w:rsidRPr="000B14F3" w:rsidRDefault="00244F1E" w:rsidP="00244F1E">
      <w:pPr>
        <w:jc w:val="both"/>
        <w:rPr>
          <w:rFonts w:ascii="Times New Roman" w:hAnsi="Times New Roman"/>
        </w:rPr>
      </w:pPr>
    </w:p>
    <w:p w:rsidR="00244F1E" w:rsidRPr="000B14F3" w:rsidRDefault="00244F1E" w:rsidP="00244F1E">
      <w:pPr>
        <w:jc w:val="both"/>
        <w:rPr>
          <w:rFonts w:ascii="Times New Roman" w:hAnsi="Times New Roman"/>
        </w:rPr>
      </w:pPr>
      <w:r w:rsidRPr="000B14F3">
        <w:rPr>
          <w:rFonts w:ascii="Times New Roman" w:hAnsi="Times New Roman"/>
        </w:rPr>
        <w:t xml:space="preserve">A final way to </w:t>
      </w:r>
      <w:proofErr w:type="spellStart"/>
      <w:r w:rsidRPr="000B14F3">
        <w:rPr>
          <w:rFonts w:ascii="Times New Roman" w:hAnsi="Times New Roman"/>
        </w:rPr>
        <w:t>operationali</w:t>
      </w:r>
      <w:r w:rsidR="00126901">
        <w:rPr>
          <w:rFonts w:ascii="Times New Roman" w:hAnsi="Times New Roman"/>
        </w:rPr>
        <w:t>z</w:t>
      </w:r>
      <w:r w:rsidRPr="000B14F3">
        <w:rPr>
          <w:rFonts w:ascii="Times New Roman" w:hAnsi="Times New Roman"/>
        </w:rPr>
        <w:t>e</w:t>
      </w:r>
      <w:proofErr w:type="spellEnd"/>
      <w:r w:rsidRPr="000B14F3">
        <w:rPr>
          <w:rFonts w:ascii="Times New Roman" w:hAnsi="Times New Roman"/>
        </w:rPr>
        <w:t xml:space="preserve"> panel data is to aggregate observations into 5-year averages. This can reduce the influence of interpolation and perhaps even concerns about autocorrelation. </w:t>
      </w:r>
      <w:r w:rsidR="00E52F8F">
        <w:rPr>
          <w:rFonts w:ascii="Times New Roman" w:hAnsi="Times New Roman"/>
        </w:rPr>
        <w:t>With</w:t>
      </w:r>
      <w:r w:rsidR="00E52F8F" w:rsidRPr="000B14F3">
        <w:rPr>
          <w:rFonts w:ascii="Times New Roman" w:hAnsi="Times New Roman"/>
        </w:rPr>
        <w:t xml:space="preserve"> this dataset, the main results of all hypotheses can be replicated</w:t>
      </w:r>
      <w:r w:rsidR="00E52F8F">
        <w:rPr>
          <w:rFonts w:ascii="Times New Roman" w:hAnsi="Times New Roman"/>
        </w:rPr>
        <w:t>, and are given in</w:t>
      </w:r>
      <w:r w:rsidRPr="000B14F3">
        <w:rPr>
          <w:rFonts w:ascii="Times New Roman" w:hAnsi="Times New Roman"/>
        </w:rPr>
        <w:t xml:space="preserve"> the last three columns </w:t>
      </w:r>
      <w:r w:rsidR="00593B92">
        <w:rPr>
          <w:rFonts w:ascii="Times New Roman" w:hAnsi="Times New Roman"/>
        </w:rPr>
        <w:t>of</w:t>
      </w:r>
      <w:r w:rsidRPr="000B14F3">
        <w:rPr>
          <w:rFonts w:ascii="Times New Roman" w:hAnsi="Times New Roman"/>
        </w:rPr>
        <w:t xml:space="preserve"> Table </w:t>
      </w:r>
      <w:r w:rsidR="000C3F7F" w:rsidRPr="000B14F3">
        <w:rPr>
          <w:rFonts w:ascii="Times New Roman" w:hAnsi="Times New Roman"/>
        </w:rPr>
        <w:t>A</w:t>
      </w:r>
      <w:r w:rsidR="00273342" w:rsidRPr="000B14F3">
        <w:rPr>
          <w:rFonts w:ascii="Times New Roman" w:hAnsi="Times New Roman"/>
        </w:rPr>
        <w:t>7</w:t>
      </w:r>
      <w:r w:rsidRPr="000B14F3">
        <w:rPr>
          <w:rFonts w:ascii="Times New Roman" w:hAnsi="Times New Roman"/>
        </w:rPr>
        <w:t xml:space="preserve">. The exception here is the effect of MMR in H2. Although the magnitude of the effect is comparable to the estimation in other models, the uncertainty is too high for it to reach statistical significance. Following the discussion above, collapsing the dataset </w:t>
      </w:r>
      <w:r w:rsidR="0000704E">
        <w:rPr>
          <w:rFonts w:ascii="Times New Roman" w:hAnsi="Times New Roman"/>
        </w:rPr>
        <w:t>can</w:t>
      </w:r>
      <w:r w:rsidRPr="000B14F3">
        <w:rPr>
          <w:rFonts w:ascii="Times New Roman" w:hAnsi="Times New Roman"/>
        </w:rPr>
        <w:t xml:space="preserve"> </w:t>
      </w:r>
      <w:r w:rsidR="0000704E">
        <w:rPr>
          <w:rFonts w:ascii="Times New Roman" w:hAnsi="Times New Roman"/>
        </w:rPr>
        <w:t>cause</w:t>
      </w:r>
      <w:r w:rsidRPr="000B14F3">
        <w:rPr>
          <w:rFonts w:ascii="Times New Roman" w:hAnsi="Times New Roman"/>
        </w:rPr>
        <w:t xml:space="preserve"> important variations underlying the effects of MMR to be discarded. Taking all alternative estimations in Table </w:t>
      </w:r>
      <w:r w:rsidR="00645E54" w:rsidRPr="000B14F3">
        <w:rPr>
          <w:rFonts w:ascii="Times New Roman" w:hAnsi="Times New Roman"/>
        </w:rPr>
        <w:t>A</w:t>
      </w:r>
      <w:r w:rsidR="00273342" w:rsidRPr="000B14F3">
        <w:rPr>
          <w:rFonts w:ascii="Times New Roman" w:hAnsi="Times New Roman"/>
        </w:rPr>
        <w:t>7</w:t>
      </w:r>
      <w:r w:rsidR="00645E54" w:rsidRPr="000B14F3">
        <w:rPr>
          <w:rFonts w:ascii="Times New Roman" w:hAnsi="Times New Roman"/>
        </w:rPr>
        <w:t xml:space="preserve"> </w:t>
      </w:r>
      <w:r w:rsidRPr="000B14F3">
        <w:rPr>
          <w:rFonts w:ascii="Times New Roman" w:hAnsi="Times New Roman"/>
        </w:rPr>
        <w:t>together,</w:t>
      </w:r>
      <w:r w:rsidR="00A37F41" w:rsidRPr="000B14F3">
        <w:rPr>
          <w:rFonts w:ascii="Times New Roman" w:hAnsi="Times New Roman"/>
        </w:rPr>
        <w:t xml:space="preserve"> </w:t>
      </w:r>
      <w:r w:rsidR="0047799D" w:rsidRPr="000B14F3">
        <w:rPr>
          <w:rFonts w:ascii="Times New Roman" w:hAnsi="Times New Roman"/>
        </w:rPr>
        <w:t>while</w:t>
      </w:r>
      <w:r w:rsidRPr="000B14F3">
        <w:rPr>
          <w:rFonts w:ascii="Times New Roman" w:hAnsi="Times New Roman"/>
        </w:rPr>
        <w:t xml:space="preserve"> it </w:t>
      </w:r>
      <w:r w:rsidR="002637C2">
        <w:rPr>
          <w:rFonts w:ascii="Times New Roman" w:hAnsi="Times New Roman"/>
        </w:rPr>
        <w:t>could be</w:t>
      </w:r>
      <w:r w:rsidRPr="000B14F3">
        <w:rPr>
          <w:rFonts w:ascii="Times New Roman" w:hAnsi="Times New Roman"/>
        </w:rPr>
        <w:t xml:space="preserve"> conclude</w:t>
      </w:r>
      <w:r w:rsidR="002637C2">
        <w:rPr>
          <w:rFonts w:ascii="Times New Roman" w:hAnsi="Times New Roman"/>
        </w:rPr>
        <w:t>d</w:t>
      </w:r>
      <w:r w:rsidRPr="000B14F3">
        <w:rPr>
          <w:rFonts w:ascii="Times New Roman" w:hAnsi="Times New Roman"/>
        </w:rPr>
        <w:t xml:space="preserve"> that H2 is weaker, the </w:t>
      </w:r>
      <w:r w:rsidR="009418D8" w:rsidRPr="000B14F3">
        <w:rPr>
          <w:rFonts w:ascii="Times New Roman" w:hAnsi="Times New Roman"/>
        </w:rPr>
        <w:t xml:space="preserve">overall results do not </w:t>
      </w:r>
      <w:r w:rsidR="003618D2">
        <w:rPr>
          <w:rFonts w:ascii="Times New Roman" w:hAnsi="Times New Roman"/>
        </w:rPr>
        <w:t>appear</w:t>
      </w:r>
      <w:r w:rsidR="009418D8" w:rsidRPr="000B14F3">
        <w:rPr>
          <w:rFonts w:ascii="Times New Roman" w:hAnsi="Times New Roman"/>
        </w:rPr>
        <w:t xml:space="preserve"> to be sensitive to the method of linear interpolation</w:t>
      </w:r>
      <w:r w:rsidRPr="000B14F3">
        <w:rPr>
          <w:rFonts w:ascii="Times New Roman" w:hAnsi="Times New Roman"/>
        </w:rPr>
        <w:t>.</w:t>
      </w:r>
    </w:p>
    <w:p w:rsidR="00E83BEB" w:rsidRPr="000B14F3" w:rsidRDefault="00E83BEB" w:rsidP="00990B1A">
      <w:pPr>
        <w:rPr>
          <w:rFonts w:ascii="Times New Roman" w:hAnsi="Times New Roman"/>
        </w:rPr>
      </w:pPr>
    </w:p>
    <w:p w:rsidR="00600EC6" w:rsidRPr="000B14F3" w:rsidRDefault="005A7805" w:rsidP="00990B1A">
      <w:pPr>
        <w:rPr>
          <w:rFonts w:ascii="Times New Roman" w:hAnsi="Times New Roman"/>
          <w:b/>
          <w:i/>
        </w:rPr>
      </w:pPr>
      <w:r w:rsidRPr="000B14F3">
        <w:rPr>
          <w:rFonts w:ascii="Times New Roman" w:hAnsi="Times New Roman"/>
          <w:b/>
          <w:i/>
        </w:rPr>
        <w:t>Mediation Analysis</w:t>
      </w:r>
    </w:p>
    <w:p w:rsidR="00600EC6" w:rsidRPr="000B14F3" w:rsidRDefault="00902263" w:rsidP="002E71AF">
      <w:pPr>
        <w:jc w:val="both"/>
        <w:rPr>
          <w:rFonts w:ascii="Times New Roman" w:hAnsi="Times New Roman"/>
        </w:rPr>
      </w:pPr>
      <w:r w:rsidRPr="000B14F3">
        <w:rPr>
          <w:rFonts w:ascii="Times New Roman" w:hAnsi="Times New Roman"/>
        </w:rPr>
        <w:t>Based on the framework estimated, it appear</w:t>
      </w:r>
      <w:r w:rsidR="00BA532B">
        <w:rPr>
          <w:rFonts w:ascii="Times New Roman" w:hAnsi="Times New Roman"/>
        </w:rPr>
        <w:t>s</w:t>
      </w:r>
      <w:r w:rsidRPr="000B14F3">
        <w:rPr>
          <w:rFonts w:ascii="Times New Roman" w:hAnsi="Times New Roman"/>
        </w:rPr>
        <w:t xml:space="preserve"> </w:t>
      </w:r>
      <w:r w:rsidR="006C0220" w:rsidRPr="000B14F3">
        <w:rPr>
          <w:rFonts w:ascii="Times New Roman" w:hAnsi="Times New Roman"/>
        </w:rPr>
        <w:t xml:space="preserve">to be the case </w:t>
      </w:r>
      <w:r w:rsidRPr="000B14F3">
        <w:rPr>
          <w:rFonts w:ascii="Times New Roman" w:hAnsi="Times New Roman"/>
        </w:rPr>
        <w:t xml:space="preserve">that the relationship between MMR, left vote share, and redistribution can be estimated by </w:t>
      </w:r>
      <w:r w:rsidR="00D1420F" w:rsidRPr="000B14F3">
        <w:rPr>
          <w:rFonts w:ascii="Times New Roman" w:hAnsi="Times New Roman"/>
        </w:rPr>
        <w:t>structural equation model</w:t>
      </w:r>
      <w:r w:rsidR="00A41B07">
        <w:rPr>
          <w:rFonts w:ascii="Times New Roman" w:hAnsi="Times New Roman"/>
        </w:rPr>
        <w:t>ing</w:t>
      </w:r>
      <w:r w:rsidR="00D1420F" w:rsidRPr="000B14F3">
        <w:rPr>
          <w:rFonts w:ascii="Times New Roman" w:hAnsi="Times New Roman"/>
        </w:rPr>
        <w:t xml:space="preserve"> and </w:t>
      </w:r>
      <w:r w:rsidRPr="000B14F3">
        <w:rPr>
          <w:rFonts w:ascii="Times New Roman" w:hAnsi="Times New Roman"/>
        </w:rPr>
        <w:t xml:space="preserve">the causal mediation framework developed by </w:t>
      </w:r>
      <w:r w:rsidR="00CB1C85" w:rsidRPr="000B14F3">
        <w:rPr>
          <w:rFonts w:ascii="Times New Roman" w:hAnsi="Times New Roman"/>
        </w:rPr>
        <w:t>Imai</w:t>
      </w:r>
      <w:r w:rsidR="00B1675F" w:rsidRPr="000B14F3">
        <w:rPr>
          <w:rFonts w:ascii="Times New Roman" w:hAnsi="Times New Roman"/>
        </w:rPr>
        <w:t xml:space="preserve"> and others</w:t>
      </w:r>
      <w:r w:rsidR="00CB1C85" w:rsidRPr="000B14F3">
        <w:rPr>
          <w:rFonts w:ascii="Times New Roman" w:hAnsi="Times New Roman"/>
        </w:rPr>
        <w:t xml:space="preserve"> </w:t>
      </w:r>
      <w:r w:rsidR="00B1675F" w:rsidRPr="000B14F3">
        <w:rPr>
          <w:rFonts w:ascii="Times New Roman" w:hAnsi="Times New Roman"/>
        </w:rPr>
        <w:t xml:space="preserve">(e.g., Imai </w:t>
      </w:r>
      <w:r w:rsidR="00B1675F" w:rsidRPr="000B14F3">
        <w:rPr>
          <w:rFonts w:ascii="Times New Roman" w:hAnsi="Times New Roman"/>
          <w:i/>
        </w:rPr>
        <w:t>et al</w:t>
      </w:r>
      <w:r w:rsidR="00B1675F" w:rsidRPr="000B14F3">
        <w:rPr>
          <w:rFonts w:ascii="Times New Roman" w:hAnsi="Times New Roman"/>
        </w:rPr>
        <w:t xml:space="preserve">., </w:t>
      </w:r>
      <w:r w:rsidR="00CB1C85" w:rsidRPr="000B14F3">
        <w:rPr>
          <w:rFonts w:ascii="Times New Roman" w:hAnsi="Times New Roman"/>
        </w:rPr>
        <w:t xml:space="preserve">2011). </w:t>
      </w:r>
      <w:r w:rsidR="005917ED" w:rsidRPr="000B14F3">
        <w:rPr>
          <w:rFonts w:ascii="Times New Roman" w:hAnsi="Times New Roman"/>
        </w:rPr>
        <w:t xml:space="preserve">The framework is used to identify causal mechanisms with mediation. </w:t>
      </w:r>
      <w:r w:rsidR="0096227F" w:rsidRPr="000B14F3">
        <w:rPr>
          <w:rFonts w:ascii="Times New Roman" w:hAnsi="Times New Roman"/>
        </w:rPr>
        <w:t xml:space="preserve">For our purpose, the relationship can be </w:t>
      </w:r>
      <w:r w:rsidR="00320D2B" w:rsidRPr="000B14F3">
        <w:rPr>
          <w:rFonts w:ascii="Times New Roman" w:hAnsi="Times New Roman"/>
        </w:rPr>
        <w:t>simplified as</w:t>
      </w:r>
      <w:r w:rsidR="00824B1F">
        <w:rPr>
          <w:rFonts w:ascii="Times New Roman" w:hAnsi="Times New Roman"/>
        </w:rPr>
        <w:t>:</w:t>
      </w:r>
    </w:p>
    <w:p w:rsidR="004C2405" w:rsidRPr="000B14F3" w:rsidRDefault="0005249A" w:rsidP="002E71AF">
      <w:pPr>
        <w:jc w:val="center"/>
        <w:rPr>
          <w:rFonts w:ascii="Times New Roman" w:hAnsi="Times New Roman"/>
        </w:rPr>
      </w:pPr>
      <w:r w:rsidRPr="009B1C93">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129pt">
            <v:imagedata r:id="rId7" o:title=""/>
          </v:shape>
        </w:pict>
      </w:r>
    </w:p>
    <w:p w:rsidR="008A55F0" w:rsidRPr="000B14F3" w:rsidRDefault="008A55F0" w:rsidP="002E71AF">
      <w:pPr>
        <w:jc w:val="center"/>
        <w:rPr>
          <w:rFonts w:ascii="Times New Roman" w:hAnsi="Times New Roman"/>
        </w:rPr>
      </w:pPr>
    </w:p>
    <w:p w:rsidR="004C2405" w:rsidRPr="000B14F3" w:rsidRDefault="00492760" w:rsidP="002E71AF">
      <w:pPr>
        <w:jc w:val="both"/>
        <w:rPr>
          <w:rFonts w:ascii="Times New Roman" w:hAnsi="Times New Roman"/>
        </w:rPr>
      </w:pPr>
      <w:r w:rsidRPr="000B14F3">
        <w:rPr>
          <w:rFonts w:ascii="Times New Roman" w:hAnsi="Times New Roman"/>
        </w:rPr>
        <w:t>The direct and indirect effects of MMR on redistribution can be decomposed into two equations</w:t>
      </w:r>
      <w:r w:rsidR="000348A0" w:rsidRPr="000B14F3">
        <w:rPr>
          <w:rFonts w:ascii="Times New Roman" w:hAnsi="Times New Roman"/>
        </w:rPr>
        <w:t xml:space="preserve"> (Baron and Kenny, 1986; Imai </w:t>
      </w:r>
      <w:r w:rsidR="000348A0" w:rsidRPr="000B14F3">
        <w:rPr>
          <w:rFonts w:ascii="Times New Roman" w:hAnsi="Times New Roman"/>
          <w:i/>
        </w:rPr>
        <w:t>et al</w:t>
      </w:r>
      <w:r w:rsidR="000348A0" w:rsidRPr="000B14F3">
        <w:rPr>
          <w:rFonts w:ascii="Times New Roman" w:hAnsi="Times New Roman"/>
        </w:rPr>
        <w:t>., 2011</w:t>
      </w:r>
      <w:r w:rsidR="00AF2E7F" w:rsidRPr="000B14F3">
        <w:rPr>
          <w:rFonts w:ascii="Times New Roman" w:hAnsi="Times New Roman"/>
        </w:rPr>
        <w:t>)</w:t>
      </w:r>
      <w:r w:rsidRPr="000B14F3">
        <w:rPr>
          <w:rFonts w:ascii="Times New Roman" w:hAnsi="Times New Roman"/>
        </w:rPr>
        <w:t>:</w:t>
      </w:r>
    </w:p>
    <w:p w:rsidR="00492760" w:rsidRPr="000B14F3" w:rsidRDefault="00492760" w:rsidP="002E71AF">
      <w:pPr>
        <w:jc w:val="both"/>
        <w:rPr>
          <w:rFonts w:ascii="Times New Roman" w:hAnsi="Times New Roman"/>
        </w:rPr>
      </w:pPr>
    </w:p>
    <w:p w:rsidR="00492760" w:rsidRPr="000B14F3" w:rsidRDefault="004F525C" w:rsidP="004F525C">
      <w:pPr>
        <w:rPr>
          <w:rFonts w:ascii="Times New Roman" w:hAnsi="Times New Roman"/>
        </w:rPr>
      </w:pPr>
      <w:r w:rsidRPr="000B14F3">
        <w:rPr>
          <w:rFonts w:ascii="Times New Roman" w:hAnsi="Times New Roman"/>
          <w:i/>
        </w:rPr>
        <w:t xml:space="preserve">       </w:t>
      </w:r>
      <w:r w:rsidR="00806BBB" w:rsidRPr="000B14F3">
        <w:rPr>
          <w:rFonts w:ascii="Times New Roman" w:hAnsi="Times New Roman"/>
          <w:i/>
        </w:rPr>
        <w:t xml:space="preserve">Left vote </w:t>
      </w:r>
      <w:r w:rsidR="00806BBB" w:rsidRPr="000B14F3">
        <w:rPr>
          <w:rFonts w:ascii="Times New Roman" w:hAnsi="Times New Roman"/>
          <w:i/>
          <w:vertAlign w:val="subscript"/>
        </w:rPr>
        <w:t>i</w:t>
      </w:r>
      <w:r w:rsidR="00806BBB" w:rsidRPr="000B14F3">
        <w:rPr>
          <w:rFonts w:ascii="Times New Roman" w:hAnsi="Times New Roman"/>
        </w:rPr>
        <w:t xml:space="preserve"> </w:t>
      </w:r>
      <w:r w:rsidRPr="000B14F3">
        <w:rPr>
          <w:rFonts w:ascii="Times New Roman" w:hAnsi="Times New Roman"/>
        </w:rPr>
        <w:tab/>
      </w:r>
      <w:r w:rsidR="00806BBB" w:rsidRPr="000B14F3">
        <w:rPr>
          <w:rFonts w:ascii="Times New Roman" w:hAnsi="Times New Roman"/>
        </w:rPr>
        <w:t xml:space="preserve">= </w:t>
      </w:r>
      <w:r w:rsidR="00EC5FF4" w:rsidRPr="000B14F3">
        <w:rPr>
          <w:rFonts w:ascii="Times New Roman" w:hAnsi="Times New Roman"/>
        </w:rPr>
        <w:t xml:space="preserve"> </w:t>
      </w:r>
      <w:r w:rsidR="00806BBB" w:rsidRPr="000B14F3">
        <w:rPr>
          <w:rFonts w:ascii="Times New Roman" w:hAnsi="Times New Roman"/>
          <w:i/>
        </w:rPr>
        <w:t>α</w:t>
      </w:r>
      <w:r w:rsidR="00806BBB" w:rsidRPr="000B14F3">
        <w:rPr>
          <w:rFonts w:ascii="Times New Roman" w:hAnsi="Times New Roman"/>
          <w:vertAlign w:val="subscript"/>
        </w:rPr>
        <w:t>1</w:t>
      </w:r>
      <w:r w:rsidR="00806BBB" w:rsidRPr="000B14F3">
        <w:rPr>
          <w:rFonts w:ascii="Times New Roman" w:hAnsi="Times New Roman"/>
        </w:rPr>
        <w:t xml:space="preserve"> + </w:t>
      </w:r>
      <w:r w:rsidR="00806BBB" w:rsidRPr="000B14F3">
        <w:rPr>
          <w:rFonts w:ascii="Times New Roman" w:hAnsi="Times New Roman"/>
          <w:i/>
        </w:rPr>
        <w:t>β</w:t>
      </w:r>
      <w:r w:rsidR="00806BBB" w:rsidRPr="000B14F3">
        <w:rPr>
          <w:rFonts w:ascii="Times New Roman" w:hAnsi="Times New Roman"/>
          <w:vertAlign w:val="subscript"/>
        </w:rPr>
        <w:t>1</w:t>
      </w:r>
      <w:r w:rsidR="00806BBB" w:rsidRPr="000B14F3">
        <w:rPr>
          <w:rFonts w:ascii="Times New Roman" w:hAnsi="Times New Roman"/>
        </w:rPr>
        <w:t xml:space="preserve"> </w:t>
      </w:r>
      <w:r w:rsidR="00806BBB" w:rsidRPr="000B14F3">
        <w:rPr>
          <w:rFonts w:ascii="Times New Roman" w:hAnsi="Times New Roman"/>
          <w:i/>
        </w:rPr>
        <w:t>MMR</w:t>
      </w:r>
      <w:r w:rsidR="003865F6" w:rsidRPr="000B14F3">
        <w:rPr>
          <w:rFonts w:ascii="Times New Roman" w:hAnsi="Times New Roman"/>
          <w:i/>
        </w:rPr>
        <w:t xml:space="preserve"> </w:t>
      </w:r>
      <w:r w:rsidR="00806BBB" w:rsidRPr="000B14F3">
        <w:rPr>
          <w:rFonts w:ascii="Times New Roman" w:hAnsi="Times New Roman"/>
          <w:i/>
          <w:vertAlign w:val="subscript"/>
        </w:rPr>
        <w:t>i</w:t>
      </w:r>
      <w:r w:rsidR="00806BBB" w:rsidRPr="000B14F3">
        <w:rPr>
          <w:rFonts w:ascii="Times New Roman" w:hAnsi="Times New Roman"/>
        </w:rPr>
        <w:t xml:space="preserve"> + </w:t>
      </w:r>
      <w:r w:rsidR="00806BBB" w:rsidRPr="000B14F3">
        <w:rPr>
          <w:rFonts w:ascii="Times New Roman" w:hAnsi="Times New Roman"/>
          <w:i/>
        </w:rPr>
        <w:t>ξ</w:t>
      </w:r>
      <w:r w:rsidR="00806BBB" w:rsidRPr="000B14F3">
        <w:rPr>
          <w:rFonts w:ascii="Times New Roman" w:hAnsi="Times New Roman"/>
          <w:vertAlign w:val="subscript"/>
        </w:rPr>
        <w:t>1</w:t>
      </w:r>
      <w:r w:rsidR="00806BBB" w:rsidRPr="000B14F3">
        <w:rPr>
          <w:rFonts w:ascii="Times New Roman" w:hAnsi="Times New Roman"/>
        </w:rPr>
        <w:t xml:space="preserve"> </w:t>
      </w:r>
      <w:r w:rsidR="00806BBB" w:rsidRPr="000B14F3">
        <w:rPr>
          <w:rFonts w:ascii="Times New Roman" w:hAnsi="Times New Roman"/>
          <w:i/>
        </w:rPr>
        <w:t>X</w:t>
      </w:r>
      <w:r w:rsidR="00CF28B4" w:rsidRPr="000B14F3">
        <w:rPr>
          <w:rFonts w:ascii="Times New Roman" w:hAnsi="Times New Roman"/>
          <w:i/>
          <w:vertAlign w:val="subscript"/>
        </w:rPr>
        <w:t>i</w:t>
      </w:r>
      <w:r w:rsidR="00806BBB" w:rsidRPr="000B14F3">
        <w:rPr>
          <w:rFonts w:ascii="Times New Roman" w:hAnsi="Times New Roman"/>
        </w:rPr>
        <w:t xml:space="preserve"> + </w:t>
      </w:r>
      <w:r w:rsidR="00806BBB" w:rsidRPr="000B14F3">
        <w:rPr>
          <w:rFonts w:ascii="Times New Roman" w:hAnsi="Times New Roman"/>
          <w:i/>
        </w:rPr>
        <w:t>ε</w:t>
      </w:r>
      <w:r w:rsidR="00806BBB" w:rsidRPr="000B14F3">
        <w:rPr>
          <w:rFonts w:ascii="Times New Roman" w:hAnsi="Times New Roman"/>
          <w:vertAlign w:val="subscript"/>
        </w:rPr>
        <w:t>i1</w:t>
      </w:r>
      <w:r w:rsidR="00EB4136" w:rsidRPr="000B14F3">
        <w:rPr>
          <w:rFonts w:ascii="Times New Roman" w:hAnsi="Times New Roman"/>
          <w:vertAlign w:val="subscript"/>
        </w:rPr>
        <w:t xml:space="preserve"> </w:t>
      </w:r>
      <w:r w:rsidR="00EB4136" w:rsidRPr="000B14F3">
        <w:rPr>
          <w:rFonts w:ascii="Times New Roman" w:hAnsi="Times New Roman"/>
        </w:rPr>
        <w:t>,</w:t>
      </w:r>
    </w:p>
    <w:p w:rsidR="00FC2185" w:rsidRPr="000B14F3" w:rsidRDefault="004F525C" w:rsidP="00FC2185">
      <w:pPr>
        <w:rPr>
          <w:rFonts w:ascii="Times New Roman" w:hAnsi="Times New Roman"/>
        </w:rPr>
      </w:pPr>
      <w:r w:rsidRPr="000B14F3">
        <w:rPr>
          <w:rFonts w:ascii="Times New Roman" w:hAnsi="Times New Roman"/>
          <w:i/>
        </w:rPr>
        <w:t xml:space="preserve">   Redistribution</w:t>
      </w:r>
      <w:r w:rsidR="00FC2185" w:rsidRPr="000B14F3">
        <w:rPr>
          <w:rFonts w:ascii="Times New Roman" w:hAnsi="Times New Roman"/>
          <w:i/>
        </w:rPr>
        <w:t xml:space="preserve"> </w:t>
      </w:r>
      <w:r w:rsidR="00FC2185" w:rsidRPr="000B14F3">
        <w:rPr>
          <w:rFonts w:ascii="Times New Roman" w:hAnsi="Times New Roman"/>
          <w:i/>
          <w:vertAlign w:val="subscript"/>
        </w:rPr>
        <w:t>i</w:t>
      </w:r>
      <w:r w:rsidRPr="000B14F3">
        <w:rPr>
          <w:rFonts w:ascii="Times New Roman" w:hAnsi="Times New Roman"/>
        </w:rPr>
        <w:tab/>
      </w:r>
      <w:r w:rsidR="00FC2185" w:rsidRPr="000B14F3">
        <w:rPr>
          <w:rFonts w:ascii="Times New Roman" w:hAnsi="Times New Roman"/>
        </w:rPr>
        <w:t xml:space="preserve">= </w:t>
      </w:r>
      <w:r w:rsidR="00EC5FF4" w:rsidRPr="000B14F3">
        <w:rPr>
          <w:rFonts w:ascii="Times New Roman" w:hAnsi="Times New Roman"/>
        </w:rPr>
        <w:t xml:space="preserve"> </w:t>
      </w:r>
      <w:r w:rsidR="00FC2185" w:rsidRPr="000B14F3">
        <w:rPr>
          <w:rFonts w:ascii="Times New Roman" w:hAnsi="Times New Roman"/>
          <w:i/>
        </w:rPr>
        <w:t>α</w:t>
      </w:r>
      <w:r w:rsidR="00FC2185" w:rsidRPr="000B14F3">
        <w:rPr>
          <w:rFonts w:ascii="Times New Roman" w:hAnsi="Times New Roman"/>
          <w:vertAlign w:val="subscript"/>
        </w:rPr>
        <w:t>2</w:t>
      </w:r>
      <w:r w:rsidR="00FC2185" w:rsidRPr="000B14F3">
        <w:rPr>
          <w:rFonts w:ascii="Times New Roman" w:hAnsi="Times New Roman"/>
        </w:rPr>
        <w:t xml:space="preserve"> + </w:t>
      </w:r>
      <w:r w:rsidR="00FC2185" w:rsidRPr="000B14F3">
        <w:rPr>
          <w:rFonts w:ascii="Times New Roman" w:hAnsi="Times New Roman"/>
          <w:i/>
        </w:rPr>
        <w:t>β</w:t>
      </w:r>
      <w:r w:rsidR="00FC2185" w:rsidRPr="000B14F3">
        <w:rPr>
          <w:rFonts w:ascii="Times New Roman" w:hAnsi="Times New Roman"/>
          <w:vertAlign w:val="subscript"/>
        </w:rPr>
        <w:t>2</w:t>
      </w:r>
      <w:r w:rsidR="00FC2185" w:rsidRPr="000B14F3">
        <w:rPr>
          <w:rFonts w:ascii="Times New Roman" w:hAnsi="Times New Roman"/>
        </w:rPr>
        <w:t xml:space="preserve"> </w:t>
      </w:r>
      <w:r w:rsidR="00FC2185" w:rsidRPr="000B14F3">
        <w:rPr>
          <w:rFonts w:ascii="Times New Roman" w:hAnsi="Times New Roman"/>
          <w:i/>
        </w:rPr>
        <w:t>MMR</w:t>
      </w:r>
      <w:r w:rsidR="003865F6" w:rsidRPr="000B14F3">
        <w:rPr>
          <w:rFonts w:ascii="Times New Roman" w:hAnsi="Times New Roman"/>
          <w:i/>
        </w:rPr>
        <w:t xml:space="preserve"> </w:t>
      </w:r>
      <w:r w:rsidR="00FC2185" w:rsidRPr="000B14F3">
        <w:rPr>
          <w:rFonts w:ascii="Times New Roman" w:hAnsi="Times New Roman"/>
          <w:i/>
          <w:vertAlign w:val="subscript"/>
        </w:rPr>
        <w:t>i</w:t>
      </w:r>
      <w:r w:rsidR="00FC2185" w:rsidRPr="000B14F3">
        <w:rPr>
          <w:rFonts w:ascii="Times New Roman" w:hAnsi="Times New Roman"/>
        </w:rPr>
        <w:t xml:space="preserve"> + </w:t>
      </w:r>
      <w:r w:rsidR="00FC2185" w:rsidRPr="000B14F3">
        <w:rPr>
          <w:rFonts w:ascii="PMingLiU" w:hAnsi="PMingLiU"/>
        </w:rPr>
        <w:t>δ</w:t>
      </w:r>
      <w:r w:rsidR="00FC2185" w:rsidRPr="000B14F3">
        <w:rPr>
          <w:rFonts w:ascii="Times New Roman" w:hAnsi="Times New Roman"/>
          <w:i/>
        </w:rPr>
        <w:t xml:space="preserve">Left vote </w:t>
      </w:r>
      <w:r w:rsidR="00FC2185" w:rsidRPr="000B14F3">
        <w:rPr>
          <w:rFonts w:ascii="Times New Roman" w:hAnsi="Times New Roman"/>
          <w:i/>
          <w:vertAlign w:val="subscript"/>
        </w:rPr>
        <w:t xml:space="preserve">i </w:t>
      </w:r>
      <w:r w:rsidR="00FC2185" w:rsidRPr="000B14F3">
        <w:rPr>
          <w:rFonts w:ascii="Times New Roman" w:hAnsi="Times New Roman"/>
        </w:rPr>
        <w:t xml:space="preserve">+ </w:t>
      </w:r>
      <w:r w:rsidR="00FC2185" w:rsidRPr="000B14F3">
        <w:rPr>
          <w:rFonts w:ascii="Times New Roman" w:hAnsi="Times New Roman"/>
          <w:i/>
        </w:rPr>
        <w:t>ξ</w:t>
      </w:r>
      <w:r w:rsidR="00FC2185" w:rsidRPr="000B14F3">
        <w:rPr>
          <w:rFonts w:ascii="Times New Roman" w:hAnsi="Times New Roman"/>
          <w:vertAlign w:val="subscript"/>
        </w:rPr>
        <w:t>2</w:t>
      </w:r>
      <w:r w:rsidR="00FC2185" w:rsidRPr="000B14F3">
        <w:rPr>
          <w:rFonts w:ascii="Times New Roman" w:hAnsi="Times New Roman"/>
        </w:rPr>
        <w:t xml:space="preserve"> </w:t>
      </w:r>
      <w:r w:rsidR="00FC2185" w:rsidRPr="000B14F3">
        <w:rPr>
          <w:rFonts w:ascii="Times New Roman" w:hAnsi="Times New Roman"/>
          <w:i/>
        </w:rPr>
        <w:t>X</w:t>
      </w:r>
      <w:r w:rsidR="00DC0AD3" w:rsidRPr="000B14F3">
        <w:rPr>
          <w:rFonts w:ascii="Times New Roman" w:hAnsi="Times New Roman"/>
          <w:i/>
        </w:rPr>
        <w:t>'</w:t>
      </w:r>
      <w:r w:rsidR="00CF28B4" w:rsidRPr="000B14F3">
        <w:rPr>
          <w:rFonts w:ascii="Times New Roman" w:hAnsi="Times New Roman"/>
          <w:i/>
          <w:vertAlign w:val="subscript"/>
        </w:rPr>
        <w:t>i</w:t>
      </w:r>
      <w:r w:rsidR="00FC2185" w:rsidRPr="000B14F3">
        <w:rPr>
          <w:rFonts w:ascii="Times New Roman" w:hAnsi="Times New Roman"/>
        </w:rPr>
        <w:t xml:space="preserve"> + </w:t>
      </w:r>
      <w:r w:rsidR="00FC2185" w:rsidRPr="000B14F3">
        <w:rPr>
          <w:rFonts w:ascii="Times New Roman" w:hAnsi="Times New Roman"/>
          <w:i/>
        </w:rPr>
        <w:t>ε</w:t>
      </w:r>
      <w:r w:rsidR="00FC2185" w:rsidRPr="000B14F3">
        <w:rPr>
          <w:rFonts w:ascii="Times New Roman" w:hAnsi="Times New Roman"/>
          <w:vertAlign w:val="subscript"/>
        </w:rPr>
        <w:t>i2</w:t>
      </w:r>
      <w:r w:rsidR="00EB4136" w:rsidRPr="000B14F3">
        <w:rPr>
          <w:rFonts w:ascii="Times New Roman" w:hAnsi="Times New Roman"/>
          <w:vertAlign w:val="subscript"/>
        </w:rPr>
        <w:t xml:space="preserve"> </w:t>
      </w:r>
      <w:r w:rsidR="00EB4136" w:rsidRPr="000B14F3">
        <w:rPr>
          <w:rFonts w:ascii="Times New Roman" w:hAnsi="Times New Roman"/>
        </w:rPr>
        <w:t>,</w:t>
      </w:r>
    </w:p>
    <w:p w:rsidR="00600EC6" w:rsidRPr="000B14F3" w:rsidRDefault="00600EC6" w:rsidP="00990B1A">
      <w:pPr>
        <w:rPr>
          <w:rFonts w:ascii="Times New Roman" w:hAnsi="Times New Roman"/>
        </w:rPr>
      </w:pPr>
    </w:p>
    <w:p w:rsidR="00D50550" w:rsidRPr="000B14F3" w:rsidRDefault="00EB4136" w:rsidP="002E71AF">
      <w:pPr>
        <w:jc w:val="both"/>
        <w:rPr>
          <w:rFonts w:ascii="Times New Roman" w:hAnsi="Times New Roman"/>
        </w:rPr>
      </w:pPr>
      <w:r w:rsidRPr="000B14F3">
        <w:rPr>
          <w:rFonts w:ascii="Times New Roman" w:hAnsi="Times New Roman"/>
        </w:rPr>
        <w:t xml:space="preserve">where </w:t>
      </w:r>
      <w:r w:rsidRPr="000B14F3">
        <w:rPr>
          <w:rFonts w:ascii="Times New Roman" w:hAnsi="Times New Roman"/>
          <w:i/>
        </w:rPr>
        <w:t>X</w:t>
      </w:r>
      <w:r w:rsidRPr="000B14F3">
        <w:rPr>
          <w:rFonts w:ascii="Times New Roman" w:hAnsi="Times New Roman"/>
        </w:rPr>
        <w:t xml:space="preserve"> </w:t>
      </w:r>
      <w:r w:rsidR="00DC0AD3" w:rsidRPr="000B14F3">
        <w:rPr>
          <w:rFonts w:ascii="Times New Roman" w:hAnsi="Times New Roman"/>
        </w:rPr>
        <w:t xml:space="preserve">and </w:t>
      </w:r>
      <w:r w:rsidR="00DC0AD3" w:rsidRPr="000B14F3">
        <w:rPr>
          <w:rFonts w:ascii="Times New Roman" w:hAnsi="Times New Roman"/>
          <w:i/>
        </w:rPr>
        <w:t>X</w:t>
      </w:r>
      <w:r w:rsidR="00610A4F">
        <w:rPr>
          <w:rFonts w:ascii="Times New Roman" w:hAnsi="Times New Roman"/>
        </w:rPr>
        <w:t xml:space="preserve">’ </w:t>
      </w:r>
      <w:r w:rsidR="00DC0AD3" w:rsidRPr="000B14F3">
        <w:rPr>
          <w:rFonts w:ascii="Times New Roman" w:hAnsi="Times New Roman"/>
        </w:rPr>
        <w:t>are</w:t>
      </w:r>
      <w:r w:rsidR="0049052F" w:rsidRPr="000B14F3">
        <w:rPr>
          <w:rFonts w:ascii="Times New Roman" w:hAnsi="Times New Roman"/>
        </w:rPr>
        <w:t xml:space="preserve"> vector</w:t>
      </w:r>
      <w:r w:rsidR="00DC0AD3" w:rsidRPr="000B14F3">
        <w:rPr>
          <w:rFonts w:ascii="Times New Roman" w:hAnsi="Times New Roman"/>
        </w:rPr>
        <w:t>s</w:t>
      </w:r>
      <w:r w:rsidR="0049052F" w:rsidRPr="000B14F3">
        <w:rPr>
          <w:rFonts w:ascii="Times New Roman" w:hAnsi="Times New Roman"/>
        </w:rPr>
        <w:t xml:space="preserve"> of control variables</w:t>
      </w:r>
      <w:r w:rsidR="00DC0AD3" w:rsidRPr="000B14F3">
        <w:rPr>
          <w:rFonts w:ascii="Times New Roman" w:hAnsi="Times New Roman"/>
        </w:rPr>
        <w:t xml:space="preserve"> for the respective dependent variable</w:t>
      </w:r>
      <w:r w:rsidR="00362CB1" w:rsidRPr="000B14F3">
        <w:rPr>
          <w:rFonts w:ascii="Times New Roman" w:hAnsi="Times New Roman"/>
        </w:rPr>
        <w:t>s</w:t>
      </w:r>
      <w:r w:rsidR="003E63C7" w:rsidRPr="000B14F3">
        <w:rPr>
          <w:rFonts w:ascii="Times New Roman" w:hAnsi="Times New Roman"/>
        </w:rPr>
        <w:t>, and the direct and indirect effects of MMR on redistribution are represented by</w:t>
      </w:r>
      <w:r w:rsidR="005663F2" w:rsidRPr="000B14F3">
        <w:rPr>
          <w:rFonts w:ascii="Times New Roman" w:hAnsi="Times New Roman"/>
        </w:rPr>
        <w:t xml:space="preserve"> </w:t>
      </w:r>
      <w:r w:rsidR="005663F2" w:rsidRPr="000B14F3">
        <w:rPr>
          <w:rFonts w:ascii="Times New Roman" w:hAnsi="Times New Roman"/>
          <w:i/>
        </w:rPr>
        <w:t>β</w:t>
      </w:r>
      <w:r w:rsidR="006A0E2C" w:rsidRPr="000B14F3">
        <w:rPr>
          <w:rFonts w:ascii="Times New Roman" w:hAnsi="Times New Roman"/>
          <w:vertAlign w:val="subscript"/>
        </w:rPr>
        <w:t>2</w:t>
      </w:r>
      <w:r w:rsidR="005663F2" w:rsidRPr="000B14F3">
        <w:rPr>
          <w:rFonts w:ascii="Times New Roman" w:hAnsi="Times New Roman"/>
        </w:rPr>
        <w:t xml:space="preserve"> and </w:t>
      </w:r>
      <w:r w:rsidR="005663F2" w:rsidRPr="000B14F3">
        <w:rPr>
          <w:rFonts w:ascii="Times New Roman" w:hAnsi="Times New Roman"/>
          <w:i/>
        </w:rPr>
        <w:t>β</w:t>
      </w:r>
      <w:r w:rsidR="006A0E2C" w:rsidRPr="000B14F3">
        <w:rPr>
          <w:rFonts w:ascii="Times New Roman" w:hAnsi="Times New Roman"/>
          <w:vertAlign w:val="subscript"/>
        </w:rPr>
        <w:t>1</w:t>
      </w:r>
      <w:r w:rsidR="005663F2" w:rsidRPr="000B14F3">
        <w:rPr>
          <w:rFonts w:ascii="Times New Roman" w:hAnsi="Times New Roman"/>
          <w:vertAlign w:val="subscript"/>
        </w:rPr>
        <w:t xml:space="preserve"> </w:t>
      </w:r>
      <w:r w:rsidR="005663F2" w:rsidRPr="000B14F3">
        <w:rPr>
          <w:rFonts w:ascii="PMingLiU" w:hAnsi="PMingLiU"/>
        </w:rPr>
        <w:t>×</w:t>
      </w:r>
      <w:r w:rsidR="007B2C2A" w:rsidRPr="000B14F3">
        <w:rPr>
          <w:rFonts w:ascii="PMingLiU" w:hAnsi="PMingLiU"/>
        </w:rPr>
        <w:t>δ</w:t>
      </w:r>
      <w:r w:rsidR="00C813DA">
        <w:rPr>
          <w:rFonts w:ascii="PMingLiU" w:hAnsi="PMingLiU"/>
        </w:rPr>
        <w:t>,</w:t>
      </w:r>
      <w:r w:rsidR="005663F2" w:rsidRPr="000B14F3">
        <w:rPr>
          <w:rFonts w:ascii="Times New Roman" w:hAnsi="Times New Roman"/>
        </w:rPr>
        <w:t xml:space="preserve"> r</w:t>
      </w:r>
      <w:r w:rsidR="003E63C7" w:rsidRPr="000B14F3">
        <w:rPr>
          <w:rFonts w:ascii="Times New Roman" w:hAnsi="Times New Roman"/>
        </w:rPr>
        <w:t>espectively</w:t>
      </w:r>
      <w:r w:rsidR="0049052F" w:rsidRPr="000B14F3">
        <w:rPr>
          <w:rFonts w:ascii="Times New Roman" w:hAnsi="Times New Roman"/>
        </w:rPr>
        <w:t xml:space="preserve">. </w:t>
      </w:r>
      <w:r w:rsidR="00D50550" w:rsidRPr="000B14F3">
        <w:rPr>
          <w:rFonts w:ascii="Times New Roman" w:hAnsi="Times New Roman"/>
        </w:rPr>
        <w:t xml:space="preserve">However, it </w:t>
      </w:r>
      <w:r w:rsidR="00C813DA">
        <w:rPr>
          <w:rFonts w:ascii="Times New Roman" w:hAnsi="Times New Roman"/>
        </w:rPr>
        <w:t>must</w:t>
      </w:r>
      <w:r w:rsidR="00D50550" w:rsidRPr="000B14F3">
        <w:rPr>
          <w:rFonts w:ascii="Times New Roman" w:hAnsi="Times New Roman"/>
        </w:rPr>
        <w:t xml:space="preserve"> be noted that the </w:t>
      </w:r>
      <w:r w:rsidR="008A0797" w:rsidRPr="000B14F3">
        <w:rPr>
          <w:rFonts w:ascii="Times New Roman" w:hAnsi="Times New Roman"/>
        </w:rPr>
        <w:t>estimations below</w:t>
      </w:r>
      <w:r w:rsidR="00D50550" w:rsidRPr="000B14F3">
        <w:rPr>
          <w:rFonts w:ascii="Times New Roman" w:hAnsi="Times New Roman"/>
        </w:rPr>
        <w:t xml:space="preserve"> are </w:t>
      </w:r>
      <w:r w:rsidR="00D50550" w:rsidRPr="000B14F3">
        <w:rPr>
          <w:rFonts w:ascii="Times New Roman" w:hAnsi="Times New Roman"/>
        </w:rPr>
        <w:lastRenderedPageBreak/>
        <w:t xml:space="preserve">different from those reported </w:t>
      </w:r>
      <w:r w:rsidR="00EC16E9">
        <w:rPr>
          <w:rFonts w:ascii="Times New Roman" w:hAnsi="Times New Roman"/>
        </w:rPr>
        <w:t>elsewhere</w:t>
      </w:r>
      <w:r w:rsidR="00D50550" w:rsidRPr="000B14F3">
        <w:rPr>
          <w:rFonts w:ascii="Times New Roman" w:hAnsi="Times New Roman"/>
        </w:rPr>
        <w:t xml:space="preserve"> in several important ways. First, as this framework is developed f</w:t>
      </w:r>
      <w:r w:rsidR="003B6A4C" w:rsidRPr="000B14F3">
        <w:rPr>
          <w:rFonts w:ascii="Times New Roman" w:hAnsi="Times New Roman"/>
        </w:rPr>
        <w:t xml:space="preserve">or identifying the effect of a </w:t>
      </w:r>
      <w:r w:rsidR="00DC15A6">
        <w:rPr>
          <w:rFonts w:ascii="Times New Roman" w:hAnsi="Times New Roman"/>
        </w:rPr>
        <w:t>‘</w:t>
      </w:r>
      <w:r w:rsidR="00D50550" w:rsidRPr="000B14F3">
        <w:rPr>
          <w:rFonts w:ascii="Times New Roman" w:hAnsi="Times New Roman"/>
        </w:rPr>
        <w:t>treatment,</w:t>
      </w:r>
      <w:r w:rsidR="00DC15A6">
        <w:rPr>
          <w:rFonts w:ascii="Times New Roman" w:hAnsi="Times New Roman"/>
        </w:rPr>
        <w:t>’</w:t>
      </w:r>
      <w:r w:rsidR="00D50550" w:rsidRPr="000B14F3">
        <w:rPr>
          <w:rFonts w:ascii="Times New Roman" w:hAnsi="Times New Roman"/>
        </w:rPr>
        <w:t xml:space="preserve"> MMR has to be transformed into a binary treatment variable (0/1). </w:t>
      </w:r>
      <w:r w:rsidR="00787A84" w:rsidRPr="000B14F3">
        <w:rPr>
          <w:rFonts w:ascii="Times New Roman" w:hAnsi="Times New Roman"/>
        </w:rPr>
        <w:t xml:space="preserve">Two treatment variables are developed: MMR as high/low (cut-off at mean across all observations) </w:t>
      </w:r>
      <w:r w:rsidR="006A12A5" w:rsidRPr="000B14F3">
        <w:rPr>
          <w:rFonts w:ascii="Times New Roman" w:hAnsi="Times New Roman"/>
        </w:rPr>
        <w:t>or</w:t>
      </w:r>
      <w:r w:rsidR="00787A84" w:rsidRPr="000B14F3">
        <w:rPr>
          <w:rFonts w:ascii="Times New Roman" w:hAnsi="Times New Roman"/>
        </w:rPr>
        <w:t xml:space="preserve"> an increase in MMR </w:t>
      </w:r>
      <w:r w:rsidR="00B84EFD" w:rsidRPr="000B14F3">
        <w:rPr>
          <w:rFonts w:ascii="Times New Roman" w:hAnsi="Times New Roman"/>
        </w:rPr>
        <w:t xml:space="preserve">(increase = 1) </w:t>
      </w:r>
      <w:r w:rsidR="00787A84" w:rsidRPr="000B14F3">
        <w:rPr>
          <w:rFonts w:ascii="Times New Roman" w:hAnsi="Times New Roman"/>
        </w:rPr>
        <w:t xml:space="preserve">as compared to last year. </w:t>
      </w:r>
      <w:r w:rsidR="006B113E" w:rsidRPr="000B14F3">
        <w:rPr>
          <w:rFonts w:ascii="Times New Roman" w:hAnsi="Times New Roman"/>
        </w:rPr>
        <w:t xml:space="preserve">Both </w:t>
      </w:r>
      <w:r w:rsidR="007B4B7C">
        <w:rPr>
          <w:rFonts w:ascii="Times New Roman" w:hAnsi="Times New Roman"/>
        </w:rPr>
        <w:t>methods discard</w:t>
      </w:r>
      <w:r w:rsidR="006B113E" w:rsidRPr="000B14F3">
        <w:rPr>
          <w:rFonts w:ascii="Times New Roman" w:hAnsi="Times New Roman"/>
        </w:rPr>
        <w:t xml:space="preserve"> a lot of potentially useful variations, in particular the cross-national differences in the former. </w:t>
      </w:r>
      <w:r w:rsidR="00A0539B" w:rsidRPr="000B14F3">
        <w:rPr>
          <w:rFonts w:ascii="Times New Roman" w:hAnsi="Times New Roman"/>
        </w:rPr>
        <w:t xml:space="preserve">Second, </w:t>
      </w:r>
      <w:r w:rsidR="003D2058" w:rsidRPr="000B14F3">
        <w:rPr>
          <w:rFonts w:ascii="Times New Roman" w:hAnsi="Times New Roman"/>
        </w:rPr>
        <w:t xml:space="preserve">given the change in </w:t>
      </w:r>
      <w:r w:rsidR="00CE6D18" w:rsidRPr="000B14F3">
        <w:rPr>
          <w:rFonts w:ascii="Times New Roman" w:hAnsi="Times New Roman"/>
        </w:rPr>
        <w:t>the operationali</w:t>
      </w:r>
      <w:r w:rsidR="008E5633">
        <w:rPr>
          <w:rFonts w:ascii="Times New Roman" w:hAnsi="Times New Roman"/>
        </w:rPr>
        <w:t>z</w:t>
      </w:r>
      <w:r w:rsidR="00CE6D18" w:rsidRPr="000B14F3">
        <w:rPr>
          <w:rFonts w:ascii="Times New Roman" w:hAnsi="Times New Roman"/>
        </w:rPr>
        <w:t xml:space="preserve">ation of MMR, </w:t>
      </w:r>
      <w:r w:rsidR="00676931">
        <w:rPr>
          <w:rFonts w:ascii="Times New Roman" w:hAnsi="Times New Roman"/>
        </w:rPr>
        <w:t xml:space="preserve">it is no longer efficient to use </w:t>
      </w:r>
      <w:r w:rsidR="00B117EE" w:rsidRPr="000B14F3">
        <w:rPr>
          <w:rFonts w:ascii="Times New Roman" w:hAnsi="Times New Roman"/>
        </w:rPr>
        <w:t xml:space="preserve">the fixed effects estimation </w:t>
      </w:r>
      <w:r w:rsidR="00EC4D33" w:rsidRPr="000B14F3">
        <w:rPr>
          <w:rFonts w:ascii="Times New Roman" w:hAnsi="Times New Roman"/>
        </w:rPr>
        <w:t>throughout the article and other tests</w:t>
      </w:r>
      <w:r w:rsidR="00577E00" w:rsidRPr="000B14F3">
        <w:rPr>
          <w:rFonts w:ascii="Times New Roman" w:hAnsi="Times New Roman"/>
        </w:rPr>
        <w:t xml:space="preserve">, and thus the estimations here </w:t>
      </w:r>
      <w:r w:rsidR="009B7F86" w:rsidRPr="000B14F3">
        <w:rPr>
          <w:rFonts w:ascii="Times New Roman" w:hAnsi="Times New Roman"/>
        </w:rPr>
        <w:t>do</w:t>
      </w:r>
      <w:r w:rsidR="00577E00" w:rsidRPr="000B14F3">
        <w:rPr>
          <w:rFonts w:ascii="Times New Roman" w:hAnsi="Times New Roman"/>
        </w:rPr>
        <w:t xml:space="preserve"> not include fixed effects.</w:t>
      </w:r>
      <w:r w:rsidR="00B117EE" w:rsidRPr="000B14F3">
        <w:rPr>
          <w:rFonts w:ascii="Times New Roman" w:hAnsi="Times New Roman"/>
        </w:rPr>
        <w:t xml:space="preserve"> </w:t>
      </w:r>
      <w:r w:rsidR="00632E3D" w:rsidRPr="000B14F3">
        <w:rPr>
          <w:rFonts w:ascii="Times New Roman" w:hAnsi="Times New Roman"/>
        </w:rPr>
        <w:t xml:space="preserve">Third, </w:t>
      </w:r>
      <w:r w:rsidR="003B2C6D" w:rsidRPr="000B14F3">
        <w:rPr>
          <w:rFonts w:ascii="Times New Roman" w:hAnsi="Times New Roman"/>
        </w:rPr>
        <w:t xml:space="preserve">the temporal dynamics (e.g., AR(1)) </w:t>
      </w:r>
      <w:r w:rsidR="00CD1597">
        <w:rPr>
          <w:rFonts w:ascii="Times New Roman" w:hAnsi="Times New Roman"/>
        </w:rPr>
        <w:t>are</w:t>
      </w:r>
      <w:r w:rsidR="003B2C6D" w:rsidRPr="000B14F3">
        <w:rPr>
          <w:rFonts w:ascii="Times New Roman" w:hAnsi="Times New Roman"/>
        </w:rPr>
        <w:t xml:space="preserve"> not </w:t>
      </w:r>
      <w:r w:rsidR="008E5633" w:rsidRPr="000B14F3">
        <w:rPr>
          <w:rFonts w:ascii="Times New Roman" w:hAnsi="Times New Roman"/>
        </w:rPr>
        <w:t>modeled</w:t>
      </w:r>
      <w:r w:rsidR="003B2C6D" w:rsidRPr="000B14F3">
        <w:rPr>
          <w:rFonts w:ascii="Times New Roman" w:hAnsi="Times New Roman"/>
        </w:rPr>
        <w:t xml:space="preserve"> in this estimation. To </w:t>
      </w:r>
      <w:r w:rsidR="006503CF">
        <w:rPr>
          <w:rFonts w:ascii="Times New Roman" w:hAnsi="Times New Roman"/>
        </w:rPr>
        <w:t>the</w:t>
      </w:r>
      <w:r w:rsidR="003B2C6D" w:rsidRPr="000B14F3">
        <w:rPr>
          <w:rFonts w:ascii="Times New Roman" w:hAnsi="Times New Roman"/>
        </w:rPr>
        <w:t xml:space="preserve"> best</w:t>
      </w:r>
      <w:r w:rsidR="006503CF">
        <w:rPr>
          <w:rFonts w:ascii="Times New Roman" w:hAnsi="Times New Roman"/>
        </w:rPr>
        <w:t xml:space="preserve"> of my</w:t>
      </w:r>
      <w:r w:rsidR="003B2C6D" w:rsidRPr="000B14F3">
        <w:rPr>
          <w:rFonts w:ascii="Times New Roman" w:hAnsi="Times New Roman"/>
        </w:rPr>
        <w:t xml:space="preserve"> knowledge, these </w:t>
      </w:r>
      <w:r w:rsidR="009C7478" w:rsidRPr="000B14F3">
        <w:rPr>
          <w:rFonts w:ascii="Times New Roman" w:hAnsi="Times New Roman"/>
        </w:rPr>
        <w:t>problems cannot be resolved in the current mediation analysis</w:t>
      </w:r>
      <w:r w:rsidR="00FC2ACF" w:rsidRPr="000B14F3">
        <w:rPr>
          <w:rFonts w:ascii="Times New Roman" w:hAnsi="Times New Roman"/>
        </w:rPr>
        <w:t xml:space="preserve"> framework</w:t>
      </w:r>
      <w:r w:rsidR="00284CE4" w:rsidRPr="000B14F3">
        <w:rPr>
          <w:rFonts w:ascii="Times New Roman" w:hAnsi="Times New Roman"/>
        </w:rPr>
        <w:t>, which is why this method is still primarily used in survey research</w:t>
      </w:r>
      <w:r w:rsidR="00A61039">
        <w:rPr>
          <w:rFonts w:ascii="Times New Roman" w:hAnsi="Times New Roman"/>
        </w:rPr>
        <w:t xml:space="preserve"> (except </w:t>
      </w:r>
      <w:r w:rsidR="00065ACD" w:rsidRPr="000B14F3">
        <w:rPr>
          <w:rFonts w:ascii="Times New Roman" w:hAnsi="Times New Roman"/>
        </w:rPr>
        <w:t xml:space="preserve">Bates and Block, 2013; </w:t>
      </w:r>
      <w:r w:rsidR="008379AC" w:rsidRPr="000B14F3">
        <w:rPr>
          <w:rFonts w:ascii="Times New Roman" w:hAnsi="Times New Roman"/>
        </w:rPr>
        <w:t xml:space="preserve">however, </w:t>
      </w:r>
      <w:r w:rsidR="00065ACD" w:rsidRPr="000B14F3">
        <w:rPr>
          <w:rFonts w:ascii="Times New Roman" w:hAnsi="Times New Roman"/>
        </w:rPr>
        <w:t>their treatment</w:t>
      </w:r>
      <w:r w:rsidR="008379AC" w:rsidRPr="000B14F3">
        <w:rPr>
          <w:rFonts w:ascii="Times New Roman" w:hAnsi="Times New Roman"/>
        </w:rPr>
        <w:t xml:space="preserve"> variable</w:t>
      </w:r>
      <w:r w:rsidR="00065ACD" w:rsidRPr="000B14F3">
        <w:rPr>
          <w:rFonts w:ascii="Times New Roman" w:hAnsi="Times New Roman"/>
        </w:rPr>
        <w:t xml:space="preserve"> allows for the inclusion of fixed effects</w:t>
      </w:r>
      <w:r w:rsidR="002A3A58" w:rsidRPr="000B14F3">
        <w:rPr>
          <w:rFonts w:ascii="Times New Roman" w:hAnsi="Times New Roman"/>
        </w:rPr>
        <w:t xml:space="preserve"> in a time-series cross-sectional study</w:t>
      </w:r>
      <w:r w:rsidR="00065ACD" w:rsidRPr="000B14F3">
        <w:rPr>
          <w:rFonts w:ascii="Times New Roman" w:hAnsi="Times New Roman"/>
        </w:rPr>
        <w:t>)</w:t>
      </w:r>
      <w:r w:rsidR="009C7478" w:rsidRPr="000B14F3">
        <w:rPr>
          <w:rFonts w:ascii="Times New Roman" w:hAnsi="Times New Roman"/>
        </w:rPr>
        <w:t xml:space="preserve">. </w:t>
      </w:r>
      <w:r w:rsidR="0047047A" w:rsidRPr="000B14F3">
        <w:rPr>
          <w:rFonts w:ascii="Times New Roman" w:hAnsi="Times New Roman"/>
        </w:rPr>
        <w:t>Finally, left vote is used as the intervening variable here, w</w:t>
      </w:r>
      <w:r w:rsidR="00B2148D">
        <w:rPr>
          <w:rFonts w:ascii="Times New Roman" w:hAnsi="Times New Roman"/>
        </w:rPr>
        <w:t>hich is different from the vote</w:t>
      </w:r>
      <w:r w:rsidR="006779D0">
        <w:rPr>
          <w:rFonts w:ascii="Times New Roman" w:hAnsi="Times New Roman"/>
        </w:rPr>
        <w:t xml:space="preserve"> share</w:t>
      </w:r>
      <w:r w:rsidR="0047047A" w:rsidRPr="000B14F3">
        <w:rPr>
          <w:rFonts w:ascii="Times New Roman" w:hAnsi="Times New Roman"/>
        </w:rPr>
        <w:t xml:space="preserve">/seat share design in the </w:t>
      </w:r>
      <w:r w:rsidR="00486CE6" w:rsidRPr="000B14F3">
        <w:rPr>
          <w:rFonts w:ascii="Times New Roman" w:hAnsi="Times New Roman"/>
        </w:rPr>
        <w:t>article</w:t>
      </w:r>
      <w:r w:rsidR="0047047A" w:rsidRPr="000B14F3">
        <w:rPr>
          <w:rFonts w:ascii="Times New Roman" w:hAnsi="Times New Roman"/>
        </w:rPr>
        <w:t xml:space="preserve">. </w:t>
      </w:r>
      <w:r w:rsidR="006A7FBD" w:rsidRPr="000B14F3">
        <w:rPr>
          <w:rFonts w:ascii="Times New Roman" w:hAnsi="Times New Roman"/>
        </w:rPr>
        <w:t xml:space="preserve">Given the differences, the results here are </w:t>
      </w:r>
      <w:r w:rsidR="00E751CD">
        <w:rPr>
          <w:rFonts w:ascii="Times New Roman" w:hAnsi="Times New Roman"/>
        </w:rPr>
        <w:t>reported for further discussion</w:t>
      </w:r>
      <w:r w:rsidR="006A7FBD" w:rsidRPr="000B14F3">
        <w:rPr>
          <w:rFonts w:ascii="Times New Roman" w:hAnsi="Times New Roman"/>
        </w:rPr>
        <w:t>. It</w:t>
      </w:r>
      <w:r w:rsidR="00204112" w:rsidRPr="000B14F3">
        <w:rPr>
          <w:rFonts w:ascii="Times New Roman" w:hAnsi="Times New Roman"/>
        </w:rPr>
        <w:t xml:space="preserve"> would be interesting to see how </w:t>
      </w:r>
      <w:r w:rsidR="001B6A47">
        <w:rPr>
          <w:rFonts w:ascii="Times New Roman" w:hAnsi="Times New Roman"/>
        </w:rPr>
        <w:t>they</w:t>
      </w:r>
      <w:r w:rsidR="00204112" w:rsidRPr="000B14F3">
        <w:rPr>
          <w:rFonts w:ascii="Times New Roman" w:hAnsi="Times New Roman"/>
        </w:rPr>
        <w:t xml:space="preserve"> change as the framework is further</w:t>
      </w:r>
      <w:r w:rsidR="007070FA" w:rsidRPr="000B14F3">
        <w:rPr>
          <w:rFonts w:ascii="Times New Roman" w:hAnsi="Times New Roman"/>
        </w:rPr>
        <w:t xml:space="preserve"> developed</w:t>
      </w:r>
      <w:r w:rsidR="00204112" w:rsidRPr="000B14F3">
        <w:rPr>
          <w:rFonts w:ascii="Times New Roman" w:hAnsi="Times New Roman"/>
        </w:rPr>
        <w:t>.</w:t>
      </w:r>
    </w:p>
    <w:p w:rsidR="006E5589" w:rsidRPr="00A50E05" w:rsidRDefault="006E5589" w:rsidP="002E71AF">
      <w:pPr>
        <w:jc w:val="both"/>
        <w:rPr>
          <w:rFonts w:ascii="Times New Roman" w:hAnsi="Times New Roman"/>
        </w:rPr>
      </w:pPr>
    </w:p>
    <w:p w:rsidR="00AC1CE1" w:rsidRPr="000B14F3" w:rsidRDefault="00A50E05" w:rsidP="002E71AF">
      <w:pPr>
        <w:jc w:val="both"/>
        <w:rPr>
          <w:rFonts w:ascii="Times New Roman" w:hAnsi="Times New Roman"/>
        </w:rPr>
      </w:pPr>
      <w:r>
        <w:rPr>
          <w:rFonts w:ascii="Times New Roman" w:hAnsi="Times New Roman"/>
        </w:rPr>
        <w:t>The r</w:t>
      </w:r>
      <w:r w:rsidR="00AC1CE1" w:rsidRPr="000B14F3">
        <w:rPr>
          <w:rFonts w:ascii="Times New Roman" w:hAnsi="Times New Roman"/>
        </w:rPr>
        <w:t xml:space="preserve">esults </w:t>
      </w:r>
      <w:r w:rsidR="0031482A">
        <w:rPr>
          <w:rFonts w:ascii="Times New Roman" w:hAnsi="Times New Roman"/>
        </w:rPr>
        <w:t>of the</w:t>
      </w:r>
      <w:r w:rsidR="00AC1CE1" w:rsidRPr="000B14F3">
        <w:rPr>
          <w:rFonts w:ascii="Times New Roman" w:hAnsi="Times New Roman"/>
        </w:rPr>
        <w:t xml:space="preserve"> mediation</w:t>
      </w:r>
      <w:r w:rsidR="00824FAF" w:rsidRPr="000B14F3">
        <w:rPr>
          <w:rFonts w:ascii="Times New Roman" w:hAnsi="Times New Roman"/>
        </w:rPr>
        <w:t xml:space="preserve"> analysis </w:t>
      </w:r>
      <w:r w:rsidR="001A0367">
        <w:rPr>
          <w:rFonts w:ascii="Times New Roman" w:hAnsi="Times New Roman"/>
        </w:rPr>
        <w:t>are</w:t>
      </w:r>
      <w:r w:rsidR="00824FAF" w:rsidRPr="000B14F3">
        <w:rPr>
          <w:rFonts w:ascii="Times New Roman" w:hAnsi="Times New Roman"/>
        </w:rPr>
        <w:t xml:space="preserve"> shown in Table A</w:t>
      </w:r>
      <w:r w:rsidR="00273342" w:rsidRPr="000B14F3">
        <w:rPr>
          <w:rFonts w:ascii="Times New Roman" w:hAnsi="Times New Roman"/>
        </w:rPr>
        <w:t>8</w:t>
      </w:r>
      <w:r w:rsidR="00824FAF" w:rsidRPr="000B14F3">
        <w:rPr>
          <w:rFonts w:ascii="Times New Roman" w:hAnsi="Times New Roman"/>
        </w:rPr>
        <w:t xml:space="preserve">, and are similar regardless of the </w:t>
      </w:r>
      <w:r w:rsidR="00F5246A" w:rsidRPr="000B14F3">
        <w:rPr>
          <w:rFonts w:ascii="Times New Roman" w:hAnsi="Times New Roman"/>
        </w:rPr>
        <w:t>transformation</w:t>
      </w:r>
      <w:r w:rsidR="00824FAF" w:rsidRPr="000B14F3">
        <w:rPr>
          <w:rFonts w:ascii="Times New Roman" w:hAnsi="Times New Roman"/>
        </w:rPr>
        <w:t xml:space="preserve"> of MMR</w:t>
      </w:r>
      <w:r w:rsidR="00F5246A" w:rsidRPr="000B14F3">
        <w:rPr>
          <w:rFonts w:ascii="Times New Roman" w:hAnsi="Times New Roman"/>
        </w:rPr>
        <w:t xml:space="preserve"> into </w:t>
      </w:r>
      <w:r w:rsidR="00824FAF" w:rsidRPr="000B14F3">
        <w:rPr>
          <w:rFonts w:ascii="Times New Roman" w:hAnsi="Times New Roman"/>
        </w:rPr>
        <w:t xml:space="preserve">a treatment variable. </w:t>
      </w:r>
      <w:r w:rsidR="00AD7036" w:rsidRPr="000B14F3">
        <w:rPr>
          <w:rFonts w:ascii="Times New Roman" w:hAnsi="Times New Roman"/>
        </w:rPr>
        <w:t xml:space="preserve">MMR is found to indirectly affect redistribution through </w:t>
      </w:r>
      <w:r w:rsidR="0047047A" w:rsidRPr="000B14F3">
        <w:rPr>
          <w:rFonts w:ascii="Times New Roman" w:hAnsi="Times New Roman"/>
        </w:rPr>
        <w:t>left vote share</w:t>
      </w:r>
      <w:r w:rsidR="00D833D8" w:rsidRPr="000B14F3">
        <w:rPr>
          <w:rFonts w:ascii="Times New Roman" w:hAnsi="Times New Roman"/>
        </w:rPr>
        <w:t xml:space="preserve">, but has an insignificant effect on redistribution directly. </w:t>
      </w:r>
      <w:r w:rsidR="008255EB" w:rsidRPr="000B14F3">
        <w:rPr>
          <w:rFonts w:ascii="Times New Roman" w:hAnsi="Times New Roman"/>
        </w:rPr>
        <w:t xml:space="preserve">This is confirmed by the estimation of </w:t>
      </w:r>
      <w:r w:rsidR="0010201F">
        <w:rPr>
          <w:rFonts w:ascii="Times New Roman" w:hAnsi="Times New Roman"/>
        </w:rPr>
        <w:t xml:space="preserve">the </w:t>
      </w:r>
      <w:r w:rsidR="008255EB" w:rsidRPr="000B14F3">
        <w:rPr>
          <w:rFonts w:ascii="Times New Roman" w:hAnsi="Times New Roman"/>
        </w:rPr>
        <w:t xml:space="preserve">average causal mediation effect and average direct effect (Imai </w:t>
      </w:r>
      <w:r w:rsidR="008255EB" w:rsidRPr="000B14F3">
        <w:rPr>
          <w:rFonts w:ascii="Times New Roman" w:hAnsi="Times New Roman"/>
          <w:i/>
        </w:rPr>
        <w:t>et al</w:t>
      </w:r>
      <w:r w:rsidR="008255EB" w:rsidRPr="000B14F3">
        <w:rPr>
          <w:rFonts w:ascii="Times New Roman" w:hAnsi="Times New Roman"/>
        </w:rPr>
        <w:t xml:space="preserve">., 2011). </w:t>
      </w:r>
      <w:r w:rsidR="005817EC">
        <w:rPr>
          <w:rFonts w:ascii="Times New Roman" w:hAnsi="Times New Roman"/>
        </w:rPr>
        <w:t>Again,</w:t>
      </w:r>
      <w:r w:rsidR="005D0382" w:rsidRPr="000B14F3">
        <w:rPr>
          <w:rFonts w:ascii="Times New Roman" w:hAnsi="Times New Roman"/>
        </w:rPr>
        <w:t xml:space="preserve"> this should not be taken as evidence against the results presented in the </w:t>
      </w:r>
      <w:r w:rsidR="00CA6A4C" w:rsidRPr="000B14F3">
        <w:rPr>
          <w:rFonts w:ascii="Times New Roman" w:hAnsi="Times New Roman"/>
        </w:rPr>
        <w:t>article</w:t>
      </w:r>
      <w:r w:rsidR="006F082C">
        <w:rPr>
          <w:rFonts w:ascii="Times New Roman" w:hAnsi="Times New Roman"/>
        </w:rPr>
        <w:t>;</w:t>
      </w:r>
      <w:r w:rsidR="00F14F99">
        <w:rPr>
          <w:rFonts w:ascii="Times New Roman" w:hAnsi="Times New Roman"/>
        </w:rPr>
        <w:t xml:space="preserve"> i</w:t>
      </w:r>
      <w:r w:rsidR="005D0382" w:rsidRPr="000B14F3">
        <w:rPr>
          <w:rFonts w:ascii="Times New Roman" w:hAnsi="Times New Roman"/>
        </w:rPr>
        <w:t>nstead, we can see that a different dynamic</w:t>
      </w:r>
      <w:r w:rsidR="00042469">
        <w:rPr>
          <w:rFonts w:ascii="Times New Roman" w:hAnsi="Times New Roman"/>
        </w:rPr>
        <w:t xml:space="preserve"> can</w:t>
      </w:r>
      <w:r w:rsidR="005D0382" w:rsidRPr="000B14F3">
        <w:rPr>
          <w:rFonts w:ascii="Times New Roman" w:hAnsi="Times New Roman"/>
        </w:rPr>
        <w:t xml:space="preserve"> be found</w:t>
      </w:r>
      <w:r w:rsidR="00F36205">
        <w:rPr>
          <w:rFonts w:ascii="Times New Roman" w:hAnsi="Times New Roman"/>
        </w:rPr>
        <w:t>,</w:t>
      </w:r>
      <w:r w:rsidR="005D0382" w:rsidRPr="000B14F3">
        <w:rPr>
          <w:rFonts w:ascii="Times New Roman" w:hAnsi="Times New Roman"/>
        </w:rPr>
        <w:t xml:space="preserve"> based on largely cross-national </w:t>
      </w:r>
      <w:r w:rsidR="0051463F" w:rsidRPr="000B14F3">
        <w:rPr>
          <w:rFonts w:ascii="Times New Roman" w:hAnsi="Times New Roman"/>
        </w:rPr>
        <w:t>variations</w:t>
      </w:r>
      <w:r w:rsidR="009E3E2A" w:rsidRPr="000B14F3">
        <w:rPr>
          <w:rFonts w:ascii="Times New Roman" w:hAnsi="Times New Roman"/>
        </w:rPr>
        <w:t xml:space="preserve"> </w:t>
      </w:r>
      <w:r w:rsidR="001B7343" w:rsidRPr="000B14F3">
        <w:rPr>
          <w:rFonts w:ascii="Times New Roman" w:hAnsi="Times New Roman"/>
        </w:rPr>
        <w:t>with this analysis</w:t>
      </w:r>
      <w:r w:rsidR="00A63BD4" w:rsidRPr="000B14F3">
        <w:rPr>
          <w:rFonts w:ascii="Times New Roman" w:hAnsi="Times New Roman"/>
        </w:rPr>
        <w:t xml:space="preserve"> </w:t>
      </w:r>
      <w:r w:rsidR="009E3E2A" w:rsidRPr="000B14F3">
        <w:rPr>
          <w:rFonts w:ascii="Times New Roman" w:hAnsi="Times New Roman"/>
        </w:rPr>
        <w:t>(among other differences)</w:t>
      </w:r>
      <w:r w:rsidR="005D0382" w:rsidRPr="000B14F3">
        <w:rPr>
          <w:rFonts w:ascii="Times New Roman" w:hAnsi="Times New Roman"/>
        </w:rPr>
        <w:t xml:space="preserve">. </w:t>
      </w:r>
    </w:p>
    <w:p w:rsidR="0051463F" w:rsidRPr="006F082C" w:rsidRDefault="0051463F" w:rsidP="002E71AF">
      <w:pPr>
        <w:jc w:val="both"/>
        <w:rPr>
          <w:rFonts w:ascii="Times New Roman" w:hAnsi="Times New Roman"/>
        </w:rPr>
      </w:pPr>
    </w:p>
    <w:p w:rsidR="0051463F" w:rsidRPr="000B14F3" w:rsidRDefault="0051463F" w:rsidP="002E71AF">
      <w:pPr>
        <w:jc w:val="both"/>
        <w:rPr>
          <w:rFonts w:ascii="Times New Roman" w:hAnsi="Times New Roman"/>
        </w:rPr>
      </w:pPr>
    </w:p>
    <w:p w:rsidR="00AC1CE1" w:rsidRPr="000B14F3" w:rsidRDefault="00AC1CE1" w:rsidP="00990B1A">
      <w:pPr>
        <w:rPr>
          <w:rFonts w:ascii="Times New Roman" w:hAnsi="Times New Roman"/>
        </w:rPr>
      </w:pPr>
    </w:p>
    <w:p w:rsidR="00990B1A" w:rsidRPr="000B14F3" w:rsidRDefault="00A14BE6" w:rsidP="00990B1A">
      <w:pPr>
        <w:rPr>
          <w:rFonts w:ascii="Times New Roman" w:hAnsi="Times New Roman"/>
          <w:b/>
          <w:lang w:eastAsia="zh-HK"/>
        </w:rPr>
      </w:pPr>
      <w:r w:rsidRPr="000B14F3">
        <w:rPr>
          <w:rFonts w:ascii="Times New Roman" w:hAnsi="Times New Roman"/>
          <w:b/>
          <w:lang w:eastAsia="zh-HK"/>
        </w:rPr>
        <w:br w:type="page"/>
      </w:r>
    </w:p>
    <w:p w:rsidR="005C7DC4" w:rsidRPr="000B14F3" w:rsidRDefault="00CC3F80" w:rsidP="005C7DC4">
      <w:pPr>
        <w:jc w:val="center"/>
        <w:rPr>
          <w:rFonts w:ascii="Times New Roman" w:hAnsi="Times New Roman"/>
          <w:b/>
          <w:lang w:eastAsia="zh-HK"/>
        </w:rPr>
      </w:pPr>
      <w:r w:rsidRPr="000B14F3">
        <w:rPr>
          <w:rFonts w:ascii="Times New Roman" w:hAnsi="Times New Roman"/>
          <w:b/>
          <w:lang w:eastAsia="zh-HK"/>
        </w:rPr>
        <w:t xml:space="preserve">Table </w:t>
      </w:r>
      <w:r w:rsidR="00FD197F" w:rsidRPr="000B14F3">
        <w:rPr>
          <w:rFonts w:ascii="Times New Roman" w:hAnsi="Times New Roman"/>
          <w:b/>
          <w:lang w:eastAsia="zh-HK"/>
        </w:rPr>
        <w:t>A1</w:t>
      </w:r>
      <w:r w:rsidRPr="000B14F3">
        <w:rPr>
          <w:rFonts w:ascii="Times New Roman" w:hAnsi="Times New Roman"/>
          <w:b/>
          <w:lang w:eastAsia="zh-HK"/>
        </w:rPr>
        <w:t xml:space="preserve">. </w:t>
      </w:r>
      <w:r w:rsidR="005C7DC4" w:rsidRPr="000B14F3">
        <w:rPr>
          <w:rFonts w:ascii="Times New Roman" w:hAnsi="Times New Roman"/>
          <w:b/>
          <w:lang w:eastAsia="zh-HK"/>
        </w:rPr>
        <w:t>Robustness Tests for H1</w:t>
      </w:r>
    </w:p>
    <w:tbl>
      <w:tblPr>
        <w:tblW w:w="7860" w:type="dxa"/>
        <w:jc w:val="center"/>
        <w:tblInd w:w="13" w:type="dxa"/>
        <w:tblCellMar>
          <w:left w:w="28" w:type="dxa"/>
          <w:right w:w="28" w:type="dxa"/>
        </w:tblCellMar>
        <w:tblLook w:val="04A0"/>
      </w:tblPr>
      <w:tblGrid>
        <w:gridCol w:w="2060"/>
        <w:gridCol w:w="1160"/>
        <w:gridCol w:w="1160"/>
        <w:gridCol w:w="1160"/>
        <w:gridCol w:w="1160"/>
        <w:gridCol w:w="1160"/>
      </w:tblGrid>
      <w:tr w:rsidR="00DD70B3" w:rsidRPr="00D4685B" w:rsidTr="00DD70B3">
        <w:trPr>
          <w:trHeight w:val="330"/>
          <w:jc w:val="center"/>
        </w:trPr>
        <w:tc>
          <w:tcPr>
            <w:tcW w:w="2060" w:type="dxa"/>
            <w:tcBorders>
              <w:top w:val="single" w:sz="4" w:space="0" w:color="auto"/>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Model</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F84C17"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M1</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F84C17"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M2</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F84C17"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M3</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F84C17"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M4</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F84C17"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M5</w:t>
            </w:r>
          </w:p>
        </w:tc>
      </w:tr>
      <w:tr w:rsidR="0084007F" w:rsidRPr="00D4685B" w:rsidTr="0084444E">
        <w:trPr>
          <w:trHeight w:val="330"/>
          <w:jc w:val="center"/>
        </w:trPr>
        <w:tc>
          <w:tcPr>
            <w:tcW w:w="2060" w:type="dxa"/>
            <w:tcBorders>
              <w:top w:val="nil"/>
              <w:left w:val="nil"/>
              <w:bottom w:val="nil"/>
              <w:right w:val="nil"/>
            </w:tcBorders>
            <w:shd w:val="clear" w:color="auto" w:fill="auto"/>
            <w:noWrap/>
            <w:vAlign w:val="bottom"/>
            <w:hideMark/>
          </w:tcPr>
          <w:p w:rsidR="0084007F" w:rsidRPr="00D4685B" w:rsidRDefault="0084007F" w:rsidP="00786B19">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Dependent variable</w:t>
            </w:r>
          </w:p>
        </w:tc>
        <w:tc>
          <w:tcPr>
            <w:tcW w:w="1160" w:type="dxa"/>
            <w:tcBorders>
              <w:top w:val="nil"/>
              <w:left w:val="nil"/>
              <w:bottom w:val="nil"/>
              <w:right w:val="nil"/>
            </w:tcBorders>
            <w:shd w:val="clear" w:color="auto" w:fill="auto"/>
            <w:noWrap/>
            <w:vAlign w:val="bottom"/>
            <w:hideMark/>
          </w:tcPr>
          <w:p w:rsidR="0084007F" w:rsidRPr="00D4685B" w:rsidRDefault="0084007F" w:rsidP="008400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160" w:type="dxa"/>
            <w:tcBorders>
              <w:top w:val="nil"/>
              <w:left w:val="nil"/>
              <w:bottom w:val="nil"/>
              <w:right w:val="nil"/>
            </w:tcBorders>
            <w:shd w:val="clear" w:color="auto" w:fill="auto"/>
            <w:noWrap/>
            <w:hideMark/>
          </w:tcPr>
          <w:p w:rsidR="0084007F" w:rsidRPr="00D4685B" w:rsidRDefault="0084007F" w:rsidP="0084007F">
            <w:pPr>
              <w:jc w:val="center"/>
              <w:rPr>
                <w:rFonts w:eastAsiaTheme="minorEastAsia"/>
              </w:rPr>
            </w:pPr>
            <w:r w:rsidRPr="00D4685B">
              <w:rPr>
                <w:rFonts w:ascii="Times New Roman" w:eastAsiaTheme="minorEastAsia" w:hAnsi="Times New Roman"/>
                <w:color w:val="000000"/>
                <w:kern w:val="0"/>
                <w:szCs w:val="24"/>
              </w:rPr>
              <w:t>Left vote</w:t>
            </w:r>
          </w:p>
        </w:tc>
        <w:tc>
          <w:tcPr>
            <w:tcW w:w="1160" w:type="dxa"/>
            <w:tcBorders>
              <w:top w:val="nil"/>
              <w:left w:val="nil"/>
              <w:bottom w:val="nil"/>
              <w:right w:val="nil"/>
            </w:tcBorders>
            <w:shd w:val="clear" w:color="auto" w:fill="auto"/>
            <w:noWrap/>
            <w:hideMark/>
          </w:tcPr>
          <w:p w:rsidR="0084007F" w:rsidRPr="00D4685B" w:rsidRDefault="0084007F" w:rsidP="0084007F">
            <w:pPr>
              <w:jc w:val="center"/>
              <w:rPr>
                <w:rFonts w:eastAsiaTheme="minorEastAsia"/>
              </w:rPr>
            </w:pPr>
            <w:r w:rsidRPr="00D4685B">
              <w:rPr>
                <w:rFonts w:ascii="Times New Roman" w:eastAsiaTheme="minorEastAsia" w:hAnsi="Times New Roman"/>
                <w:color w:val="000000"/>
                <w:kern w:val="0"/>
                <w:szCs w:val="24"/>
              </w:rPr>
              <w:t>Left vote</w:t>
            </w:r>
          </w:p>
        </w:tc>
        <w:tc>
          <w:tcPr>
            <w:tcW w:w="1160" w:type="dxa"/>
            <w:tcBorders>
              <w:top w:val="nil"/>
              <w:left w:val="nil"/>
              <w:bottom w:val="nil"/>
              <w:right w:val="nil"/>
            </w:tcBorders>
            <w:shd w:val="clear" w:color="auto" w:fill="auto"/>
            <w:noWrap/>
            <w:hideMark/>
          </w:tcPr>
          <w:p w:rsidR="0084007F" w:rsidRPr="00D4685B" w:rsidRDefault="0084007F" w:rsidP="0084007F">
            <w:pPr>
              <w:jc w:val="center"/>
              <w:rPr>
                <w:rFonts w:eastAsiaTheme="minorEastAsia"/>
              </w:rPr>
            </w:pPr>
            <w:r w:rsidRPr="00D4685B">
              <w:rPr>
                <w:rFonts w:ascii="Times New Roman" w:eastAsiaTheme="minorEastAsia" w:hAnsi="Times New Roman"/>
                <w:color w:val="000000"/>
                <w:kern w:val="0"/>
                <w:szCs w:val="24"/>
              </w:rPr>
              <w:t>Left vote</w:t>
            </w:r>
          </w:p>
        </w:tc>
        <w:tc>
          <w:tcPr>
            <w:tcW w:w="1160" w:type="dxa"/>
            <w:tcBorders>
              <w:top w:val="nil"/>
              <w:left w:val="nil"/>
              <w:bottom w:val="nil"/>
              <w:right w:val="nil"/>
            </w:tcBorders>
            <w:shd w:val="clear" w:color="auto" w:fill="auto"/>
            <w:noWrap/>
            <w:hideMark/>
          </w:tcPr>
          <w:p w:rsidR="0084007F" w:rsidRPr="00D4685B" w:rsidRDefault="0084007F" w:rsidP="0084007F">
            <w:pPr>
              <w:jc w:val="center"/>
              <w:rPr>
                <w:rFonts w:eastAsiaTheme="minorEastAsia"/>
              </w:rPr>
            </w:pPr>
            <w:r w:rsidRPr="00D4685B">
              <w:rPr>
                <w:rFonts w:ascii="Times New Roman" w:eastAsiaTheme="minorEastAsia" w:hAnsi="Times New Roman"/>
                <w:color w:val="000000"/>
                <w:kern w:val="0"/>
                <w:szCs w:val="24"/>
              </w:rPr>
              <w:t>Left vote</w:t>
            </w:r>
          </w:p>
        </w:tc>
      </w:tr>
      <w:tr w:rsidR="00DD70B3" w:rsidRPr="00D4685B" w:rsidTr="00DD70B3">
        <w:trPr>
          <w:trHeight w:val="330"/>
          <w:jc w:val="center"/>
        </w:trPr>
        <w:tc>
          <w:tcPr>
            <w:tcW w:w="20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Period</w:t>
            </w:r>
          </w:p>
        </w:tc>
        <w:tc>
          <w:tcPr>
            <w:tcW w:w="11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　</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1970-1989</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1990-2009</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4.46*</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4.36**</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3.26</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7.35**</w:t>
            </w:r>
          </w:p>
        </w:tc>
        <w:tc>
          <w:tcPr>
            <w:tcW w:w="1160" w:type="dxa"/>
            <w:tcBorders>
              <w:top w:val="single" w:sz="4" w:space="0" w:color="auto"/>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3.53*</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(2.30)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(2.14)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(6.16)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(3.33)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(1.90)</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0.0064</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(0.17)</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786B19">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Union</w:t>
            </w:r>
            <w:r w:rsidR="00786B19" w:rsidRPr="00D4685B">
              <w:rPr>
                <w:rFonts w:ascii="Times New Roman" w:eastAsiaTheme="minorEastAsia" w:hAnsi="Times New Roman"/>
                <w:color w:val="000000"/>
                <w:kern w:val="0"/>
                <w:szCs w:val="24"/>
              </w:rPr>
              <w:t xml:space="preserve"> d</w:t>
            </w:r>
            <w:r w:rsidRPr="00D4685B">
              <w:rPr>
                <w:rFonts w:ascii="Times New Roman" w:eastAsiaTheme="minorEastAsia" w:hAnsi="Times New Roman"/>
                <w:color w:val="000000"/>
                <w:kern w:val="0"/>
                <w:szCs w:val="24"/>
              </w:rPr>
              <w:t>ensity</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0.0073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0.061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0.046</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(0.062)</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ENPP</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-0.54*</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(0.35)</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(0.28)</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(0.30)</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Lagged DV (2-year)</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0.30***</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(0.061)</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GDP per capita</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0.00066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0.000097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0.00011</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(0.000083)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(0.000063)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(0.00056)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(0.00015)</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(0.000091)</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786B19">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Gov. </w:t>
            </w:r>
            <w:r w:rsidR="00786B19" w:rsidRPr="00D4685B">
              <w:rPr>
                <w:rFonts w:ascii="Times New Roman" w:eastAsiaTheme="minorEastAsia" w:hAnsi="Times New Roman"/>
                <w:color w:val="000000"/>
                <w:kern w:val="0"/>
                <w:szCs w:val="24"/>
              </w:rPr>
              <w:t>e</w:t>
            </w:r>
            <w:r w:rsidRPr="00D4685B">
              <w:rPr>
                <w:rFonts w:ascii="Times New Roman" w:eastAsiaTheme="minorEastAsia" w:hAnsi="Times New Roman"/>
                <w:color w:val="000000"/>
                <w:kern w:val="0"/>
                <w:szCs w:val="24"/>
              </w:rPr>
              <w:t>xp.</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0.082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-0.035</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-0.061</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(0.15)</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(0.18)</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Unemployment</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-0.048</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-0.085</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0.31</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0.026</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(0.068)</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Turnout</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0.0019</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0.038*</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-0.0081</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(0.023)</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(0.024)</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786B19">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Manufact. </w:t>
            </w:r>
            <w:r w:rsidR="00786B19" w:rsidRPr="00D4685B">
              <w:rPr>
                <w:rFonts w:ascii="Times New Roman" w:eastAsiaTheme="minorEastAsia" w:hAnsi="Times New Roman"/>
                <w:color w:val="000000"/>
                <w:kern w:val="0"/>
                <w:szCs w:val="24"/>
              </w:rPr>
              <w:t>e</w:t>
            </w:r>
            <w:r w:rsidRPr="00D4685B">
              <w:rPr>
                <w:rFonts w:ascii="Times New Roman" w:eastAsiaTheme="minorEastAsia" w:hAnsi="Times New Roman"/>
                <w:color w:val="000000"/>
                <w:kern w:val="0"/>
                <w:szCs w:val="24"/>
              </w:rPr>
              <w:t>mploy</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0.40</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0.37</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2.24***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-0.048</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(0.36)</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(0.25)</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(0.44)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(0.30)</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Country FE</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c>
          <w:tcPr>
            <w:tcW w:w="1160" w:type="dxa"/>
            <w:tcBorders>
              <w:top w:val="nil"/>
              <w:left w:val="nil"/>
              <w:bottom w:val="nil"/>
              <w:right w:val="nil"/>
            </w:tcBorders>
            <w:shd w:val="clear" w:color="auto" w:fill="auto"/>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c>
          <w:tcPr>
            <w:tcW w:w="1160" w:type="dxa"/>
            <w:tcBorders>
              <w:top w:val="nil"/>
              <w:left w:val="nil"/>
              <w:bottom w:val="nil"/>
              <w:right w:val="nil"/>
            </w:tcBorders>
            <w:shd w:val="clear" w:color="auto" w:fill="auto"/>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Time FE</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Year</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Decade</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Year</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Year</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Year</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  #Countries</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464, 18</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464, 18</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144, 14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269, 14</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464, 18</w:t>
            </w:r>
          </w:p>
        </w:tc>
      </w:tr>
      <w:tr w:rsidR="00DD70B3" w:rsidRPr="00D4685B" w:rsidTr="00DD70B3">
        <w:trPr>
          <w:trHeight w:val="330"/>
          <w:jc w:val="center"/>
        </w:trPr>
        <w:tc>
          <w:tcPr>
            <w:tcW w:w="2060" w:type="dxa"/>
            <w:tcBorders>
              <w:top w:val="nil"/>
              <w:left w:val="nil"/>
              <w:bottom w:val="nil"/>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rho</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0.89</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0.69</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0.72</w:t>
            </w:r>
          </w:p>
        </w:tc>
        <w:tc>
          <w:tcPr>
            <w:tcW w:w="1160" w:type="dxa"/>
            <w:tcBorders>
              <w:top w:val="nil"/>
              <w:left w:val="nil"/>
              <w:bottom w:val="nil"/>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0.62</w:t>
            </w:r>
          </w:p>
        </w:tc>
      </w:tr>
      <w:tr w:rsidR="00DD70B3" w:rsidRPr="00D4685B" w:rsidTr="00DD70B3">
        <w:trPr>
          <w:trHeight w:val="330"/>
          <w:jc w:val="center"/>
        </w:trPr>
        <w:tc>
          <w:tcPr>
            <w:tcW w:w="20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R-squared</w:t>
            </w:r>
          </w:p>
        </w:tc>
        <w:tc>
          <w:tcPr>
            <w:tcW w:w="1160" w:type="dxa"/>
            <w:tcBorders>
              <w:top w:val="nil"/>
              <w:left w:val="nil"/>
              <w:bottom w:val="single" w:sz="4" w:space="0" w:color="auto"/>
              <w:right w:val="nil"/>
            </w:tcBorders>
            <w:shd w:val="clear" w:color="auto" w:fill="auto"/>
            <w:noWrap/>
            <w:vAlign w:val="bottom"/>
            <w:hideMark/>
          </w:tcPr>
          <w:p w:rsidR="00DD70B3" w:rsidRPr="00D4685B" w:rsidRDefault="00DD70B3" w:rsidP="0002211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w:t>
            </w:r>
            <w:r w:rsidR="00022113" w:rsidRPr="00D4685B">
              <w:rPr>
                <w:rFonts w:ascii="Times New Roman" w:eastAsiaTheme="minorEastAsia" w:hAnsi="Times New Roman"/>
                <w:color w:val="000000"/>
                <w:kern w:val="0"/>
                <w:szCs w:val="24"/>
              </w:rPr>
              <w:t>582</w:t>
            </w:r>
          </w:p>
        </w:tc>
        <w:tc>
          <w:tcPr>
            <w:tcW w:w="11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0.799</w:t>
            </w:r>
          </w:p>
        </w:tc>
        <w:tc>
          <w:tcPr>
            <w:tcW w:w="11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0.964</w:t>
            </w:r>
          </w:p>
        </w:tc>
        <w:tc>
          <w:tcPr>
            <w:tcW w:w="11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0.855</w:t>
            </w:r>
          </w:p>
        </w:tc>
        <w:tc>
          <w:tcPr>
            <w:tcW w:w="1160" w:type="dxa"/>
            <w:tcBorders>
              <w:top w:val="nil"/>
              <w:left w:val="nil"/>
              <w:bottom w:val="single" w:sz="4" w:space="0" w:color="auto"/>
              <w:right w:val="nil"/>
            </w:tcBorders>
            <w:shd w:val="clear" w:color="auto" w:fill="auto"/>
            <w:noWrap/>
            <w:vAlign w:val="bottom"/>
            <w:hideMark/>
          </w:tcPr>
          <w:p w:rsidR="00DD70B3" w:rsidRPr="00D4685B" w:rsidRDefault="00DD70B3" w:rsidP="00DD70B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0.884</w:t>
            </w:r>
          </w:p>
        </w:tc>
      </w:tr>
    </w:tbl>
    <w:p w:rsidR="00543E3C" w:rsidRPr="000B14F3" w:rsidRDefault="005C7DC4" w:rsidP="006112F6">
      <w:pPr>
        <w:widowControl/>
        <w:jc w:val="both"/>
        <w:rPr>
          <w:rFonts w:ascii="Times New Roman" w:hAnsi="Times New Roman"/>
          <w:sz w:val="21"/>
        </w:rPr>
      </w:pPr>
      <w:r w:rsidRPr="000B14F3">
        <w:rPr>
          <w:rFonts w:ascii="Times New Roman" w:hAnsi="Times New Roman"/>
          <w:i/>
          <w:sz w:val="21"/>
        </w:rPr>
        <w:t>Notes</w:t>
      </w:r>
      <w:r w:rsidRPr="000B14F3">
        <w:rPr>
          <w:rFonts w:ascii="Times New Roman" w:hAnsi="Times New Roman"/>
          <w:sz w:val="21"/>
        </w:rPr>
        <w:t xml:space="preserve">: Dependent variable is vote share obtained by left parties. </w:t>
      </w:r>
      <w:r w:rsidR="00152323" w:rsidRPr="000B14F3">
        <w:rPr>
          <w:rFonts w:ascii="Times New Roman" w:hAnsi="Times New Roman"/>
          <w:sz w:val="21"/>
        </w:rPr>
        <w:t xml:space="preserve">Parameters are estimated by the Prais-Winsten estimator with panel-corrected standard error in parentheses. The common AR(1) parameter is denoted by rho. </w:t>
      </w:r>
      <w:r w:rsidR="00BC04C8" w:rsidRPr="000B14F3">
        <w:rPr>
          <w:rFonts w:ascii="Times New Roman" w:hAnsi="Times New Roman"/>
          <w:sz w:val="21"/>
          <w:lang w:eastAsia="zh-HK"/>
        </w:rPr>
        <w:t>C</w:t>
      </w:r>
      <w:r w:rsidRPr="000B14F3">
        <w:rPr>
          <w:rFonts w:ascii="Times New Roman" w:hAnsi="Times New Roman"/>
          <w:sz w:val="21"/>
        </w:rPr>
        <w:t xml:space="preserve">onstant terms </w:t>
      </w:r>
      <w:r w:rsidRPr="000B14F3">
        <w:rPr>
          <w:rFonts w:ascii="Times New Roman" w:hAnsi="Times New Roman"/>
          <w:sz w:val="21"/>
          <w:lang w:eastAsia="zh-HK"/>
        </w:rPr>
        <w:t>included in all models</w:t>
      </w:r>
      <w:r w:rsidR="00867377" w:rsidRPr="000B14F3">
        <w:rPr>
          <w:rFonts w:ascii="Times New Roman" w:hAnsi="Times New Roman"/>
          <w:sz w:val="21"/>
          <w:lang w:eastAsia="zh-HK"/>
        </w:rPr>
        <w:t xml:space="preserve"> but not reported</w:t>
      </w:r>
      <w:r w:rsidRPr="000B14F3">
        <w:rPr>
          <w:rFonts w:ascii="Times New Roman" w:hAnsi="Times New Roman"/>
          <w:sz w:val="21"/>
          <w:lang w:eastAsia="zh-HK"/>
        </w:rPr>
        <w:t xml:space="preserve">. Model </w:t>
      </w:r>
      <w:r w:rsidR="00F84C17" w:rsidRPr="000B14F3">
        <w:rPr>
          <w:rFonts w:ascii="Times New Roman" w:hAnsi="Times New Roman"/>
          <w:sz w:val="21"/>
          <w:lang w:eastAsia="zh-HK"/>
        </w:rPr>
        <w:t>M</w:t>
      </w:r>
      <w:r w:rsidR="00AA03F0" w:rsidRPr="000B14F3">
        <w:rPr>
          <w:rFonts w:ascii="Times New Roman" w:hAnsi="Times New Roman"/>
          <w:sz w:val="21"/>
          <w:lang w:eastAsia="zh-HK"/>
        </w:rPr>
        <w:t>4</w:t>
      </w:r>
      <w:r w:rsidRPr="000B14F3">
        <w:rPr>
          <w:rFonts w:ascii="Times New Roman" w:hAnsi="Times New Roman"/>
          <w:sz w:val="21"/>
          <w:lang w:eastAsia="zh-HK"/>
        </w:rPr>
        <w:t xml:space="preserve"> only </w:t>
      </w:r>
      <w:r w:rsidR="00CC5262" w:rsidRPr="000B14F3">
        <w:rPr>
          <w:rFonts w:ascii="Times New Roman" w:hAnsi="Times New Roman"/>
          <w:sz w:val="21"/>
          <w:lang w:eastAsia="zh-HK"/>
        </w:rPr>
        <w:t>covers</w:t>
      </w:r>
      <w:r w:rsidRPr="000B14F3">
        <w:rPr>
          <w:rFonts w:ascii="Times New Roman" w:hAnsi="Times New Roman"/>
          <w:sz w:val="21"/>
          <w:lang w:eastAsia="zh-HK"/>
        </w:rPr>
        <w:t xml:space="preserve"> the countries included in </w:t>
      </w:r>
      <w:r w:rsidR="00AA03F0" w:rsidRPr="000B14F3">
        <w:rPr>
          <w:rFonts w:ascii="Times New Roman" w:hAnsi="Times New Roman"/>
          <w:sz w:val="21"/>
          <w:lang w:eastAsia="zh-HK"/>
        </w:rPr>
        <w:t xml:space="preserve">model </w:t>
      </w:r>
      <w:r w:rsidR="00F84C17" w:rsidRPr="000B14F3">
        <w:rPr>
          <w:rFonts w:ascii="Times New Roman" w:hAnsi="Times New Roman"/>
          <w:sz w:val="21"/>
          <w:lang w:eastAsia="zh-HK"/>
        </w:rPr>
        <w:t>M</w:t>
      </w:r>
      <w:r w:rsidR="00AA03F0" w:rsidRPr="000B14F3">
        <w:rPr>
          <w:rFonts w:ascii="Times New Roman" w:hAnsi="Times New Roman"/>
          <w:sz w:val="21"/>
          <w:lang w:eastAsia="zh-HK"/>
        </w:rPr>
        <w:t>3</w:t>
      </w:r>
      <w:r w:rsidRPr="000B14F3">
        <w:rPr>
          <w:rFonts w:ascii="Times New Roman" w:hAnsi="Times New Roman"/>
          <w:sz w:val="21"/>
          <w:lang w:eastAsia="zh-HK"/>
        </w:rPr>
        <w:t xml:space="preserve"> for comparison.</w:t>
      </w:r>
      <w:r w:rsidR="00543E3C" w:rsidRPr="000B14F3">
        <w:rPr>
          <w:rFonts w:ascii="Times New Roman" w:hAnsi="Times New Roman"/>
          <w:sz w:val="21"/>
        </w:rPr>
        <w:t xml:space="preserve"> </w:t>
      </w:r>
      <w:r w:rsidR="00985403" w:rsidRPr="00985403">
        <w:rPr>
          <w:rFonts w:ascii="Times New Roman" w:hAnsi="Times New Roman"/>
          <w:sz w:val="21"/>
        </w:rPr>
        <w:t>MMR = Mean-median ratio; ENPP = Effective number of parliamentary parties.</w:t>
      </w:r>
    </w:p>
    <w:p w:rsidR="005C7DC4" w:rsidRPr="000B14F3" w:rsidRDefault="00543E3C" w:rsidP="006112F6">
      <w:pPr>
        <w:widowControl/>
        <w:jc w:val="both"/>
        <w:rPr>
          <w:rFonts w:ascii="Times New Roman" w:hAnsi="Times New Roman"/>
          <w:sz w:val="21"/>
          <w:lang w:eastAsia="zh-HK"/>
        </w:rPr>
      </w:pPr>
      <w:r w:rsidRPr="000B14F3">
        <w:rPr>
          <w:rFonts w:ascii="Times New Roman" w:hAnsi="Times New Roman"/>
          <w:sz w:val="21"/>
        </w:rPr>
        <w:t>*** p&lt;0.01, ** p&lt;0.05, * p&lt;0.1.</w:t>
      </w:r>
    </w:p>
    <w:p w:rsidR="005C7DC4" w:rsidRPr="000B14F3" w:rsidRDefault="005C7DC4" w:rsidP="005C7DC4">
      <w:pPr>
        <w:rPr>
          <w:rFonts w:ascii="Times New Roman" w:hAnsi="Times New Roman"/>
          <w:lang w:eastAsia="zh-HK"/>
        </w:rPr>
      </w:pPr>
    </w:p>
    <w:p w:rsidR="00CC5262" w:rsidRPr="000B14F3" w:rsidRDefault="00CC5262" w:rsidP="00CC5262">
      <w:pPr>
        <w:rPr>
          <w:rFonts w:ascii="Times New Roman" w:hAnsi="Times New Roman"/>
        </w:rPr>
      </w:pPr>
      <w:r w:rsidRPr="000B14F3">
        <w:br w:type="page"/>
      </w:r>
    </w:p>
    <w:p w:rsidR="00CC5262" w:rsidRPr="000B14F3" w:rsidRDefault="00D955AD" w:rsidP="00CC5262">
      <w:pPr>
        <w:jc w:val="center"/>
        <w:rPr>
          <w:rFonts w:ascii="Times New Roman" w:hAnsi="Times New Roman"/>
          <w:b/>
          <w:lang w:eastAsia="zh-HK"/>
        </w:rPr>
      </w:pPr>
      <w:r w:rsidRPr="000B14F3">
        <w:rPr>
          <w:rFonts w:ascii="Times New Roman" w:hAnsi="Times New Roman"/>
          <w:b/>
          <w:lang w:eastAsia="zh-HK"/>
        </w:rPr>
        <w:t xml:space="preserve">Table </w:t>
      </w:r>
      <w:r w:rsidR="00FD197F" w:rsidRPr="000B14F3">
        <w:rPr>
          <w:rFonts w:ascii="Times New Roman" w:hAnsi="Times New Roman"/>
          <w:b/>
          <w:lang w:eastAsia="zh-HK"/>
        </w:rPr>
        <w:t>A2</w:t>
      </w:r>
      <w:r w:rsidRPr="000B14F3">
        <w:rPr>
          <w:rFonts w:ascii="Times New Roman" w:hAnsi="Times New Roman"/>
          <w:b/>
          <w:lang w:eastAsia="zh-HK"/>
        </w:rPr>
        <w:t xml:space="preserve">. </w:t>
      </w:r>
      <w:r w:rsidR="00CC5262" w:rsidRPr="000B14F3">
        <w:rPr>
          <w:rFonts w:ascii="Times New Roman" w:hAnsi="Times New Roman"/>
          <w:b/>
          <w:lang w:eastAsia="zh-HK"/>
        </w:rPr>
        <w:t>Robustness Tests for H2</w:t>
      </w:r>
    </w:p>
    <w:tbl>
      <w:tblPr>
        <w:tblW w:w="6310" w:type="dxa"/>
        <w:jc w:val="center"/>
        <w:tblInd w:w="13" w:type="dxa"/>
        <w:tblCellMar>
          <w:left w:w="28" w:type="dxa"/>
          <w:right w:w="28" w:type="dxa"/>
        </w:tblCellMar>
        <w:tblLook w:val="04A0"/>
      </w:tblPr>
      <w:tblGrid>
        <w:gridCol w:w="2520"/>
        <w:gridCol w:w="1270"/>
        <w:gridCol w:w="1260"/>
        <w:gridCol w:w="1260"/>
      </w:tblGrid>
      <w:tr w:rsidR="00733394" w:rsidRPr="00D4685B" w:rsidTr="000F21D4">
        <w:trPr>
          <w:trHeight w:hRule="exact" w:val="312"/>
          <w:jc w:val="center"/>
        </w:trPr>
        <w:tc>
          <w:tcPr>
            <w:tcW w:w="2520" w:type="dxa"/>
            <w:tcBorders>
              <w:top w:val="single" w:sz="4" w:space="0" w:color="auto"/>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Model</w:t>
            </w:r>
          </w:p>
        </w:tc>
        <w:tc>
          <w:tcPr>
            <w:tcW w:w="1270" w:type="dxa"/>
            <w:tcBorders>
              <w:top w:val="single" w:sz="4" w:space="0" w:color="auto"/>
              <w:left w:val="nil"/>
              <w:bottom w:val="nil"/>
              <w:right w:val="nil"/>
            </w:tcBorders>
            <w:shd w:val="clear" w:color="auto" w:fill="auto"/>
            <w:noWrap/>
            <w:vAlign w:val="bottom"/>
            <w:hideMark/>
          </w:tcPr>
          <w:p w:rsidR="00733394" w:rsidRPr="00D4685B" w:rsidRDefault="00F84C17"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M</w:t>
            </w:r>
            <w:r w:rsidR="00733394" w:rsidRPr="00D4685B">
              <w:rPr>
                <w:rFonts w:ascii="Times New Roman" w:eastAsiaTheme="minorEastAsia" w:hAnsi="Times New Roman"/>
                <w:color w:val="000000"/>
                <w:kern w:val="0"/>
                <w:sz w:val="22"/>
                <w:szCs w:val="24"/>
              </w:rPr>
              <w:t>6</w:t>
            </w:r>
          </w:p>
        </w:tc>
        <w:tc>
          <w:tcPr>
            <w:tcW w:w="1260" w:type="dxa"/>
            <w:tcBorders>
              <w:top w:val="single" w:sz="4" w:space="0" w:color="auto"/>
              <w:left w:val="nil"/>
              <w:bottom w:val="nil"/>
              <w:right w:val="nil"/>
            </w:tcBorders>
            <w:shd w:val="clear" w:color="auto" w:fill="auto"/>
            <w:noWrap/>
            <w:vAlign w:val="bottom"/>
            <w:hideMark/>
          </w:tcPr>
          <w:p w:rsidR="00733394" w:rsidRPr="00D4685B" w:rsidRDefault="00F84C17"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M</w:t>
            </w:r>
            <w:r w:rsidR="00733394" w:rsidRPr="00D4685B">
              <w:rPr>
                <w:rFonts w:ascii="Times New Roman" w:eastAsiaTheme="minorEastAsia" w:hAnsi="Times New Roman"/>
                <w:color w:val="000000"/>
                <w:kern w:val="0"/>
                <w:sz w:val="22"/>
                <w:szCs w:val="24"/>
              </w:rPr>
              <w:t>7</w:t>
            </w:r>
          </w:p>
        </w:tc>
        <w:tc>
          <w:tcPr>
            <w:tcW w:w="1260" w:type="dxa"/>
            <w:tcBorders>
              <w:top w:val="single" w:sz="4" w:space="0" w:color="auto"/>
              <w:left w:val="nil"/>
              <w:bottom w:val="nil"/>
              <w:right w:val="nil"/>
            </w:tcBorders>
            <w:shd w:val="clear" w:color="auto" w:fill="auto"/>
            <w:noWrap/>
            <w:vAlign w:val="bottom"/>
            <w:hideMark/>
          </w:tcPr>
          <w:p w:rsidR="00733394" w:rsidRPr="00D4685B" w:rsidRDefault="00F84C17"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M</w:t>
            </w:r>
            <w:r w:rsidR="00733394" w:rsidRPr="00D4685B">
              <w:rPr>
                <w:rFonts w:ascii="Times New Roman" w:eastAsiaTheme="minorEastAsia" w:hAnsi="Times New Roman"/>
                <w:color w:val="000000"/>
                <w:kern w:val="0"/>
                <w:sz w:val="22"/>
                <w:szCs w:val="24"/>
              </w:rPr>
              <w:t>8</w:t>
            </w:r>
          </w:p>
        </w:tc>
      </w:tr>
      <w:tr w:rsidR="00733394" w:rsidRPr="00D4685B" w:rsidTr="000F21D4">
        <w:trPr>
          <w:trHeight w:hRule="exact" w:val="312"/>
          <w:jc w:val="center"/>
        </w:trPr>
        <w:tc>
          <w:tcPr>
            <w:tcW w:w="2520" w:type="dxa"/>
            <w:tcBorders>
              <w:top w:val="nil"/>
              <w:left w:val="nil"/>
              <w:bottom w:val="single" w:sz="4" w:space="0" w:color="auto"/>
              <w:right w:val="nil"/>
            </w:tcBorders>
            <w:shd w:val="clear" w:color="auto" w:fill="auto"/>
            <w:noWrap/>
            <w:vAlign w:val="bottom"/>
            <w:hideMark/>
          </w:tcPr>
          <w:p w:rsidR="00733394" w:rsidRPr="00D4685B" w:rsidRDefault="00733394" w:rsidP="00786B19">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Dependent variable</w:t>
            </w:r>
          </w:p>
        </w:tc>
        <w:tc>
          <w:tcPr>
            <w:tcW w:w="1270" w:type="dxa"/>
            <w:tcBorders>
              <w:top w:val="nil"/>
              <w:left w:val="nil"/>
              <w:bottom w:val="single" w:sz="4" w:space="0" w:color="auto"/>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Redist-CWS</w:t>
            </w:r>
          </w:p>
        </w:tc>
        <w:tc>
          <w:tcPr>
            <w:tcW w:w="1260" w:type="dxa"/>
            <w:tcBorders>
              <w:top w:val="nil"/>
              <w:left w:val="nil"/>
              <w:bottom w:val="single" w:sz="4" w:space="0" w:color="auto"/>
              <w:right w:val="nil"/>
            </w:tcBorders>
            <w:shd w:val="clear" w:color="auto" w:fill="auto"/>
            <w:noWrap/>
            <w:vAlign w:val="bottom"/>
            <w:hideMark/>
          </w:tcPr>
          <w:p w:rsidR="00733394" w:rsidRPr="00D4685B" w:rsidRDefault="00733394" w:rsidP="00F445E8">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 xml:space="preserve">Social </w:t>
            </w:r>
            <w:r w:rsidR="00F445E8" w:rsidRPr="00D4685B">
              <w:rPr>
                <w:rFonts w:ascii="Times New Roman" w:eastAsiaTheme="minorEastAsia" w:hAnsi="Times New Roman"/>
                <w:color w:val="000000"/>
                <w:kern w:val="0"/>
                <w:sz w:val="22"/>
                <w:szCs w:val="24"/>
              </w:rPr>
              <w:t>e</w:t>
            </w:r>
            <w:r w:rsidRPr="00D4685B">
              <w:rPr>
                <w:rFonts w:ascii="Times New Roman" w:eastAsiaTheme="minorEastAsia" w:hAnsi="Times New Roman"/>
                <w:color w:val="000000"/>
                <w:kern w:val="0"/>
                <w:sz w:val="22"/>
                <w:szCs w:val="24"/>
              </w:rPr>
              <w:t>xp.</w:t>
            </w:r>
          </w:p>
        </w:tc>
        <w:tc>
          <w:tcPr>
            <w:tcW w:w="1260" w:type="dxa"/>
            <w:tcBorders>
              <w:top w:val="nil"/>
              <w:left w:val="nil"/>
              <w:bottom w:val="single" w:sz="4" w:space="0" w:color="auto"/>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Redist.</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MMR</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4.25**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1.49***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3.35**</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(1.86)</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(0.54)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(1.54)</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F445E8">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Left</w:t>
            </w:r>
            <w:r w:rsidR="00F445E8" w:rsidRPr="00D4685B">
              <w:rPr>
                <w:rFonts w:ascii="Times New Roman" w:eastAsiaTheme="minorEastAsia" w:hAnsi="Times New Roman"/>
                <w:color w:val="000000"/>
                <w:kern w:val="0"/>
                <w:sz w:val="22"/>
                <w:szCs w:val="24"/>
              </w:rPr>
              <w:t xml:space="preserve"> s</w:t>
            </w:r>
            <w:r w:rsidRPr="00D4685B">
              <w:rPr>
                <w:rFonts w:ascii="Times New Roman" w:eastAsiaTheme="minorEastAsia" w:hAnsi="Times New Roman"/>
                <w:color w:val="000000"/>
                <w:kern w:val="0"/>
                <w:sz w:val="22"/>
                <w:szCs w:val="24"/>
              </w:rPr>
              <w:t>eat</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-0.018</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-0.055***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-0.015</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(0.012)</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(0.020)</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(0.023)</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Corporatism</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-0.34**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-0.43**</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-0.81*</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(0.20)</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(0.44)</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F445E8">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Left</w:t>
            </w:r>
            <w:r w:rsidR="00F445E8" w:rsidRPr="00D4685B">
              <w:rPr>
                <w:rFonts w:ascii="Times New Roman" w:eastAsiaTheme="minorEastAsia" w:hAnsi="Times New Roman"/>
                <w:color w:val="000000"/>
                <w:kern w:val="0"/>
                <w:sz w:val="22"/>
                <w:szCs w:val="24"/>
              </w:rPr>
              <w:t xml:space="preserve"> s</w:t>
            </w:r>
            <w:r w:rsidRPr="00D4685B">
              <w:rPr>
                <w:rFonts w:ascii="Times New Roman" w:eastAsiaTheme="minorEastAsia" w:hAnsi="Times New Roman"/>
                <w:color w:val="000000"/>
                <w:kern w:val="0"/>
                <w:sz w:val="22"/>
                <w:szCs w:val="24"/>
              </w:rPr>
              <w:t>eat*Corporatism</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0.0070**</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0.010**</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0.017*</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(0.0031)</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(0.0051)</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(0.0091)</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786B19">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Union density</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0.017</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-0.027</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0.029</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(0.026)</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(0.030)</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(0.029)</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Lagged DV (2-year)</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0.72***</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(0.072)</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ENPP</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0.29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-0.21</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-0.14</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(0.24)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(0.13)</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GDP per capita</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-0.000039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-0.000042</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0.000043</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(0.000096)</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(0.000064)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(0.000082)</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786B19">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Gov. exp.</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0.091</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0.48***</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0.19**</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(0.078)</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(0.079)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(0.090)</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Growth</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-0.0089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-0.11***</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-0.043</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(0.027)</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(0.039)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(0.033)</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Unemployment</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0.035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0.092</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(0.055)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(0.034)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(0.067)</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Turnout</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0.014</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0.017</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0.012*</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(0.0095)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(0.0069)</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Debt</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0.027*</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-0.00069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-0.026*</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(0.016)</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(0.0095)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(0.015)</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786B19">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Old-age population</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-0.92**</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0.082</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0.62*</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(0.39)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(0.12)</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(0.35)</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Country FE</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Y</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Y</w:t>
            </w:r>
          </w:p>
        </w:tc>
        <w:tc>
          <w:tcPr>
            <w:tcW w:w="1260" w:type="dxa"/>
            <w:tcBorders>
              <w:top w:val="nil"/>
              <w:left w:val="nil"/>
              <w:bottom w:val="nil"/>
              <w:right w:val="nil"/>
            </w:tcBorders>
            <w:shd w:val="clear" w:color="auto" w:fill="auto"/>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Y</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Year FE</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1980-2008</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1980-2009</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1982-2004</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EA48C2"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N,</w:t>
            </w:r>
            <w:r w:rsidR="00733394" w:rsidRPr="00D4685B">
              <w:rPr>
                <w:rFonts w:ascii="Times New Roman" w:eastAsiaTheme="minorEastAsia" w:hAnsi="Times New Roman"/>
                <w:color w:val="000000"/>
                <w:kern w:val="0"/>
                <w:sz w:val="22"/>
                <w:szCs w:val="24"/>
              </w:rPr>
              <w:t xml:space="preserve"> #Countries</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318, 18</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382, 18</w:t>
            </w:r>
          </w:p>
        </w:tc>
        <w:tc>
          <w:tcPr>
            <w:tcW w:w="1260" w:type="dxa"/>
            <w:tcBorders>
              <w:top w:val="nil"/>
              <w:left w:val="nil"/>
              <w:bottom w:val="nil"/>
              <w:right w:val="nil"/>
            </w:tcBorders>
            <w:shd w:val="clear" w:color="auto" w:fill="auto"/>
            <w:noWrap/>
            <w:vAlign w:val="bottom"/>
            <w:hideMark/>
          </w:tcPr>
          <w:p w:rsidR="00733394" w:rsidRPr="00D4685B" w:rsidRDefault="00733394" w:rsidP="003F32D1">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182, 16</w:t>
            </w:r>
          </w:p>
        </w:tc>
      </w:tr>
      <w:tr w:rsidR="00733394" w:rsidRPr="00D4685B" w:rsidTr="000F21D4">
        <w:trPr>
          <w:trHeight w:hRule="exact" w:val="312"/>
          <w:jc w:val="center"/>
        </w:trPr>
        <w:tc>
          <w:tcPr>
            <w:tcW w:w="2520" w:type="dxa"/>
            <w:tcBorders>
              <w:top w:val="nil"/>
              <w:left w:val="nil"/>
              <w:bottom w:val="nil"/>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rho</w:t>
            </w:r>
          </w:p>
        </w:tc>
        <w:tc>
          <w:tcPr>
            <w:tcW w:w="127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0.95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0.65</w:t>
            </w:r>
          </w:p>
        </w:tc>
        <w:tc>
          <w:tcPr>
            <w:tcW w:w="1260" w:type="dxa"/>
            <w:tcBorders>
              <w:top w:val="nil"/>
              <w:left w:val="nil"/>
              <w:bottom w:val="nil"/>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0.90</w:t>
            </w:r>
          </w:p>
        </w:tc>
      </w:tr>
      <w:tr w:rsidR="00733394" w:rsidRPr="00D4685B" w:rsidTr="000F21D4">
        <w:trPr>
          <w:trHeight w:hRule="exact" w:val="312"/>
          <w:jc w:val="center"/>
        </w:trPr>
        <w:tc>
          <w:tcPr>
            <w:tcW w:w="2520" w:type="dxa"/>
            <w:tcBorders>
              <w:top w:val="nil"/>
              <w:left w:val="nil"/>
              <w:bottom w:val="single" w:sz="4" w:space="0" w:color="auto"/>
              <w:right w:val="nil"/>
            </w:tcBorders>
            <w:shd w:val="clear" w:color="auto" w:fill="auto"/>
            <w:noWrap/>
            <w:vAlign w:val="bottom"/>
            <w:hideMark/>
          </w:tcPr>
          <w:p w:rsidR="00733394" w:rsidRPr="00D4685B" w:rsidRDefault="00733394" w:rsidP="00BE60EE">
            <w:pPr>
              <w:widowControl/>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R-squared</w:t>
            </w:r>
          </w:p>
        </w:tc>
        <w:tc>
          <w:tcPr>
            <w:tcW w:w="1270" w:type="dxa"/>
            <w:tcBorders>
              <w:top w:val="nil"/>
              <w:left w:val="nil"/>
              <w:bottom w:val="single" w:sz="4" w:space="0" w:color="auto"/>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0.524</w:t>
            </w:r>
          </w:p>
        </w:tc>
        <w:tc>
          <w:tcPr>
            <w:tcW w:w="1260" w:type="dxa"/>
            <w:tcBorders>
              <w:top w:val="nil"/>
              <w:left w:val="nil"/>
              <w:bottom w:val="single" w:sz="4" w:space="0" w:color="auto"/>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0.940</w:t>
            </w:r>
          </w:p>
        </w:tc>
        <w:tc>
          <w:tcPr>
            <w:tcW w:w="1260" w:type="dxa"/>
            <w:tcBorders>
              <w:top w:val="nil"/>
              <w:left w:val="nil"/>
              <w:bottom w:val="single" w:sz="4" w:space="0" w:color="auto"/>
              <w:right w:val="nil"/>
            </w:tcBorders>
            <w:shd w:val="clear" w:color="auto" w:fill="auto"/>
            <w:noWrap/>
            <w:vAlign w:val="bottom"/>
            <w:hideMark/>
          </w:tcPr>
          <w:p w:rsidR="00733394" w:rsidRPr="00D4685B" w:rsidRDefault="00733394" w:rsidP="00BE60EE">
            <w:pPr>
              <w:widowControl/>
              <w:jc w:val="center"/>
              <w:rPr>
                <w:rFonts w:ascii="Times New Roman" w:eastAsiaTheme="minorEastAsia" w:hAnsi="Times New Roman"/>
                <w:color w:val="000000"/>
                <w:kern w:val="0"/>
                <w:sz w:val="22"/>
                <w:szCs w:val="24"/>
              </w:rPr>
            </w:pPr>
            <w:r w:rsidRPr="00D4685B">
              <w:rPr>
                <w:rFonts w:ascii="Times New Roman" w:eastAsiaTheme="minorEastAsia" w:hAnsi="Times New Roman"/>
                <w:color w:val="000000"/>
                <w:kern w:val="0"/>
                <w:sz w:val="22"/>
                <w:szCs w:val="24"/>
              </w:rPr>
              <w:t>0.986</w:t>
            </w:r>
          </w:p>
        </w:tc>
      </w:tr>
    </w:tbl>
    <w:p w:rsidR="00CC5262" w:rsidRPr="000B14F3" w:rsidRDefault="001615E4" w:rsidP="006112F6">
      <w:pPr>
        <w:widowControl/>
        <w:jc w:val="both"/>
        <w:rPr>
          <w:rFonts w:ascii="Times New Roman" w:hAnsi="Times New Roman"/>
          <w:sz w:val="21"/>
          <w:lang w:eastAsia="zh-HK"/>
        </w:rPr>
      </w:pPr>
      <w:r w:rsidRPr="000B14F3">
        <w:rPr>
          <w:rFonts w:ascii="Times New Roman" w:hAnsi="Times New Roman"/>
          <w:i/>
          <w:sz w:val="21"/>
        </w:rPr>
        <w:t>Notes</w:t>
      </w:r>
      <w:r w:rsidRPr="000B14F3">
        <w:rPr>
          <w:rFonts w:ascii="Times New Roman" w:hAnsi="Times New Roman"/>
          <w:sz w:val="21"/>
        </w:rPr>
        <w:t>: Dependent variables are measures of redistribution</w:t>
      </w:r>
      <w:r w:rsidR="004D2A1F" w:rsidRPr="000B14F3">
        <w:rPr>
          <w:rFonts w:ascii="Times New Roman" w:hAnsi="Times New Roman"/>
          <w:sz w:val="21"/>
        </w:rPr>
        <w:t xml:space="preserve"> and social expenditure</w:t>
      </w:r>
      <w:r w:rsidRPr="000B14F3">
        <w:rPr>
          <w:rFonts w:ascii="Times New Roman" w:hAnsi="Times New Roman"/>
          <w:sz w:val="21"/>
        </w:rPr>
        <w:t xml:space="preserve">. </w:t>
      </w:r>
      <w:r w:rsidR="00D32463" w:rsidRPr="000B14F3">
        <w:rPr>
          <w:rFonts w:ascii="Times New Roman" w:hAnsi="Times New Roman"/>
          <w:sz w:val="21"/>
        </w:rPr>
        <w:t xml:space="preserve">Parameters are estimated by the Prais-Winsten estimator with panel-corrected standard error in parentheses. The common AR(1) parameter is denoted by rho. </w:t>
      </w:r>
      <w:r w:rsidR="00D32463" w:rsidRPr="000B14F3">
        <w:rPr>
          <w:rFonts w:ascii="Times New Roman" w:hAnsi="Times New Roman"/>
          <w:sz w:val="21"/>
          <w:lang w:eastAsia="zh-HK"/>
        </w:rPr>
        <w:t>C</w:t>
      </w:r>
      <w:r w:rsidR="00D32463" w:rsidRPr="000B14F3">
        <w:rPr>
          <w:rFonts w:ascii="Times New Roman" w:hAnsi="Times New Roman"/>
          <w:sz w:val="21"/>
        </w:rPr>
        <w:t xml:space="preserve">onstant terms </w:t>
      </w:r>
      <w:r w:rsidR="00D32463" w:rsidRPr="000B14F3">
        <w:rPr>
          <w:rFonts w:ascii="Times New Roman" w:hAnsi="Times New Roman"/>
          <w:sz w:val="21"/>
          <w:lang w:eastAsia="zh-HK"/>
        </w:rPr>
        <w:t xml:space="preserve">included in all models but not reported. </w:t>
      </w:r>
      <w:r w:rsidR="00985403" w:rsidRPr="00985403">
        <w:rPr>
          <w:rFonts w:ascii="Times New Roman" w:hAnsi="Times New Roman"/>
          <w:sz w:val="21"/>
          <w:lang w:eastAsia="zh-HK"/>
        </w:rPr>
        <w:t>MMR = Mean-median ratio; ENPP = Effective number of parliamentary parties.</w:t>
      </w:r>
    </w:p>
    <w:p w:rsidR="009D6224" w:rsidRPr="000B14F3" w:rsidRDefault="00543E3C">
      <w:pPr>
        <w:rPr>
          <w:rFonts w:ascii="Times New Roman" w:hAnsi="Times New Roman"/>
          <w:sz w:val="21"/>
        </w:rPr>
      </w:pPr>
      <w:r w:rsidRPr="000B14F3">
        <w:rPr>
          <w:rFonts w:ascii="Times New Roman" w:hAnsi="Times New Roman"/>
          <w:sz w:val="21"/>
        </w:rPr>
        <w:t>*** p&lt;0.01, ** p&lt;0.05, * p&lt;0.1.</w:t>
      </w:r>
    </w:p>
    <w:p w:rsidR="003464CE" w:rsidRPr="000B14F3" w:rsidRDefault="009D6224" w:rsidP="003464CE">
      <w:pPr>
        <w:rPr>
          <w:rFonts w:ascii="Times New Roman" w:hAnsi="Times New Roman"/>
        </w:rPr>
      </w:pPr>
      <w:r w:rsidRPr="000B14F3">
        <w:rPr>
          <w:rFonts w:ascii="Times New Roman" w:hAnsi="Times New Roman"/>
          <w:sz w:val="21"/>
        </w:rPr>
        <w:br w:type="page"/>
      </w:r>
    </w:p>
    <w:p w:rsidR="003464CE" w:rsidRPr="000B14F3" w:rsidRDefault="003464CE" w:rsidP="003464CE">
      <w:pPr>
        <w:jc w:val="center"/>
        <w:rPr>
          <w:rFonts w:ascii="Times New Roman" w:hAnsi="Times New Roman"/>
          <w:b/>
          <w:lang w:eastAsia="zh-HK"/>
        </w:rPr>
      </w:pPr>
      <w:r w:rsidRPr="000B14F3">
        <w:rPr>
          <w:rFonts w:ascii="Times New Roman" w:hAnsi="Times New Roman"/>
          <w:b/>
          <w:lang w:eastAsia="zh-HK"/>
        </w:rPr>
        <w:t xml:space="preserve">Figure A1. Marginal Effect of Left </w:t>
      </w:r>
      <w:r w:rsidR="005A31FD">
        <w:rPr>
          <w:rFonts w:ascii="Times New Roman" w:hAnsi="Times New Roman"/>
          <w:b/>
          <w:lang w:eastAsia="zh-HK"/>
        </w:rPr>
        <w:t>Seat Share</w:t>
      </w:r>
      <w:r w:rsidRPr="000B14F3">
        <w:rPr>
          <w:rFonts w:ascii="Times New Roman" w:hAnsi="Times New Roman"/>
          <w:b/>
          <w:lang w:eastAsia="zh-HK"/>
        </w:rPr>
        <w:t xml:space="preserve"> on Social Expenditures</w:t>
      </w:r>
    </w:p>
    <w:p w:rsidR="003464CE" w:rsidRPr="000B14F3" w:rsidRDefault="0005249A" w:rsidP="003464CE">
      <w:pPr>
        <w:jc w:val="center"/>
      </w:pPr>
      <w:r>
        <w:pict>
          <v:shape id="_x0000_i1026" type="#_x0000_t75" style="width:402.6pt;height:294.6pt">
            <v:imagedata r:id="rId8" o:title=""/>
          </v:shape>
        </w:pict>
      </w:r>
    </w:p>
    <w:p w:rsidR="003464CE" w:rsidRPr="000B14F3" w:rsidRDefault="003464CE" w:rsidP="003464CE">
      <w:pPr>
        <w:jc w:val="both"/>
        <w:rPr>
          <w:rFonts w:ascii="Times New Roman" w:hAnsi="Times New Roman"/>
          <w:sz w:val="21"/>
          <w:szCs w:val="24"/>
        </w:rPr>
      </w:pPr>
      <w:r w:rsidRPr="000B14F3">
        <w:rPr>
          <w:rFonts w:ascii="Times New Roman" w:hAnsi="Times New Roman"/>
          <w:i/>
          <w:sz w:val="21"/>
          <w:szCs w:val="24"/>
        </w:rPr>
        <w:t xml:space="preserve">Notes: </w:t>
      </w:r>
      <w:r w:rsidRPr="000B14F3">
        <w:rPr>
          <w:rFonts w:ascii="Times New Roman" w:hAnsi="Times New Roman"/>
          <w:sz w:val="21"/>
          <w:szCs w:val="24"/>
        </w:rPr>
        <w:t xml:space="preserve">Graph of marginal effect of share of left party seats on social expenditures as corporatism changes. The broken lines represent the 95% confidence interval for two-tailed tests. Plotted with the coefficient matrix and the variance-covariance matrix of model M7 (Table A2). See Brambor </w:t>
      </w:r>
      <w:r w:rsidRPr="000B14F3">
        <w:rPr>
          <w:rFonts w:ascii="Times New Roman" w:hAnsi="Times New Roman"/>
          <w:i/>
          <w:sz w:val="21"/>
          <w:szCs w:val="24"/>
        </w:rPr>
        <w:t>et al</w:t>
      </w:r>
      <w:r w:rsidRPr="000B14F3">
        <w:rPr>
          <w:rFonts w:ascii="Times New Roman" w:hAnsi="Times New Roman"/>
          <w:sz w:val="21"/>
          <w:szCs w:val="24"/>
        </w:rPr>
        <w:t>. (2006) for a description of the methods and the computer code used to generate the graph.</w:t>
      </w:r>
    </w:p>
    <w:p w:rsidR="009D6224" w:rsidRPr="000B14F3" w:rsidRDefault="003464CE" w:rsidP="003464CE">
      <w:pPr>
        <w:rPr>
          <w:rFonts w:ascii="Times New Roman" w:hAnsi="Times New Roman"/>
        </w:rPr>
      </w:pPr>
      <w:r w:rsidRPr="000B14F3">
        <w:rPr>
          <w:rFonts w:ascii="Times New Roman" w:hAnsi="Times New Roman"/>
        </w:rPr>
        <w:br w:type="page"/>
      </w:r>
    </w:p>
    <w:p w:rsidR="009D6224" w:rsidRPr="000B14F3" w:rsidRDefault="009D6224" w:rsidP="009D6224">
      <w:pPr>
        <w:jc w:val="center"/>
        <w:rPr>
          <w:rFonts w:ascii="Times New Roman" w:hAnsi="Times New Roman"/>
          <w:b/>
          <w:lang w:eastAsia="zh-HK"/>
        </w:rPr>
      </w:pPr>
      <w:r w:rsidRPr="000B14F3">
        <w:rPr>
          <w:rFonts w:ascii="Times New Roman" w:hAnsi="Times New Roman"/>
          <w:b/>
          <w:lang w:eastAsia="zh-HK"/>
        </w:rPr>
        <w:t>Table A3. Robustness Tests for H</w:t>
      </w:r>
      <w:r w:rsidR="00611819" w:rsidRPr="000B14F3">
        <w:rPr>
          <w:rFonts w:ascii="Times New Roman" w:hAnsi="Times New Roman"/>
          <w:b/>
          <w:lang w:eastAsia="zh-HK"/>
        </w:rPr>
        <w:t>3</w:t>
      </w:r>
    </w:p>
    <w:tbl>
      <w:tblPr>
        <w:tblW w:w="4832" w:type="dxa"/>
        <w:jc w:val="center"/>
        <w:tblInd w:w="13" w:type="dxa"/>
        <w:tblCellMar>
          <w:left w:w="28" w:type="dxa"/>
          <w:right w:w="28" w:type="dxa"/>
        </w:tblCellMar>
        <w:tblLook w:val="04A0"/>
      </w:tblPr>
      <w:tblGrid>
        <w:gridCol w:w="2280"/>
        <w:gridCol w:w="1276"/>
        <w:gridCol w:w="1276"/>
      </w:tblGrid>
      <w:tr w:rsidR="00BC4C09" w:rsidRPr="00D4685B" w:rsidTr="0078352F">
        <w:trPr>
          <w:trHeight w:val="330"/>
          <w:jc w:val="center"/>
        </w:trPr>
        <w:tc>
          <w:tcPr>
            <w:tcW w:w="2280" w:type="dxa"/>
            <w:tcBorders>
              <w:top w:val="single" w:sz="4" w:space="0" w:color="auto"/>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Model</w:t>
            </w:r>
          </w:p>
        </w:tc>
        <w:tc>
          <w:tcPr>
            <w:tcW w:w="1276" w:type="dxa"/>
            <w:tcBorders>
              <w:top w:val="single" w:sz="4" w:space="0" w:color="auto"/>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M9</w:t>
            </w:r>
          </w:p>
        </w:tc>
        <w:tc>
          <w:tcPr>
            <w:tcW w:w="1276" w:type="dxa"/>
            <w:tcBorders>
              <w:top w:val="single" w:sz="4" w:space="0" w:color="auto"/>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M10</w:t>
            </w:r>
          </w:p>
        </w:tc>
      </w:tr>
      <w:tr w:rsidR="00BC4C09" w:rsidRPr="00D4685B" w:rsidTr="00BC4C09">
        <w:trPr>
          <w:trHeight w:val="330"/>
          <w:jc w:val="center"/>
        </w:trPr>
        <w:tc>
          <w:tcPr>
            <w:tcW w:w="2280" w:type="dxa"/>
            <w:tcBorders>
              <w:top w:val="nil"/>
              <w:left w:val="nil"/>
              <w:bottom w:val="single" w:sz="4" w:space="0" w:color="auto"/>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Dependent variable</w:t>
            </w:r>
          </w:p>
        </w:tc>
        <w:tc>
          <w:tcPr>
            <w:tcW w:w="1276" w:type="dxa"/>
            <w:tcBorders>
              <w:top w:val="nil"/>
              <w:left w:val="nil"/>
              <w:bottom w:val="single" w:sz="4" w:space="0" w:color="auto"/>
              <w:right w:val="nil"/>
            </w:tcBorders>
            <w:shd w:val="clear" w:color="auto" w:fill="auto"/>
            <w:noWrap/>
            <w:hideMark/>
          </w:tcPr>
          <w:p w:rsidR="00BC4C09" w:rsidRPr="00D4685B" w:rsidRDefault="00BC4C09" w:rsidP="0078352F">
            <w:pPr>
              <w:jc w:val="center"/>
              <w:rPr>
                <w:rFonts w:eastAsiaTheme="minorEastAsia"/>
              </w:rPr>
            </w:pPr>
            <w:r w:rsidRPr="00D4685B">
              <w:rPr>
                <w:rFonts w:ascii="Times New Roman" w:eastAsiaTheme="minorEastAsia" w:hAnsi="Times New Roman"/>
                <w:color w:val="000000"/>
                <w:kern w:val="0"/>
                <w:szCs w:val="24"/>
              </w:rPr>
              <w:t xml:space="preserve">MMR </w:t>
            </w:r>
            <w:r w:rsidRPr="00D4685B">
              <w:rPr>
                <w:rFonts w:ascii="Times New Roman" w:eastAsiaTheme="minorEastAsia" w:hAnsi="Times New Roman"/>
                <w:color w:val="000000"/>
                <w:kern w:val="0"/>
                <w:szCs w:val="24"/>
                <w:vertAlign w:val="subscript"/>
              </w:rPr>
              <w:t>t+3</w:t>
            </w:r>
          </w:p>
        </w:tc>
        <w:tc>
          <w:tcPr>
            <w:tcW w:w="1276" w:type="dxa"/>
            <w:tcBorders>
              <w:top w:val="nil"/>
              <w:left w:val="nil"/>
              <w:bottom w:val="single" w:sz="4" w:space="0" w:color="auto"/>
              <w:right w:val="nil"/>
            </w:tcBorders>
          </w:tcPr>
          <w:p w:rsidR="00BC4C09" w:rsidRPr="00D4685B" w:rsidRDefault="00BC4C09" w:rsidP="0078352F">
            <w:pPr>
              <w:jc w:val="center"/>
              <w:rPr>
                <w:rFonts w:eastAsiaTheme="minorEastAsia"/>
              </w:rPr>
            </w:pPr>
            <w:r w:rsidRPr="00D4685B">
              <w:rPr>
                <w:rFonts w:ascii="Times New Roman" w:eastAsiaTheme="minorEastAsia" w:hAnsi="Times New Roman"/>
                <w:color w:val="000000"/>
                <w:kern w:val="0"/>
                <w:szCs w:val="24"/>
              </w:rPr>
              <w:t xml:space="preserve">MMR </w:t>
            </w:r>
            <w:r w:rsidRPr="00D4685B">
              <w:rPr>
                <w:rFonts w:ascii="Times New Roman" w:eastAsiaTheme="minorEastAsia" w:hAnsi="Times New Roman"/>
                <w:color w:val="000000"/>
                <w:kern w:val="0"/>
                <w:szCs w:val="24"/>
                <w:vertAlign w:val="subscript"/>
              </w:rPr>
              <w:t>t+3</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0.88***</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(0.031)</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-0.00055***</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-0.00051</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(0.00018)</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(0.00039)</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0.0024</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(0.0068)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seat*Corporatism</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1.6e-06</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(0.00014)</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Union density</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0.00030</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-0.0023***</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(0.00021)</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(0.00068)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ENPP</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-0.0082***</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-0.0027</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(0.0029)</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(0.0030)</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GDP per capita</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-7.3e-07</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3.9e-06**</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(9.2e-07)</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(1.5e-06)</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Gov. exp.</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-0.0012</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0.0014</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(0.00092)</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(0.0025)</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Growth</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-0.0011*</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-0.00088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(0.00062)</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(0.00085)</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Unemployment</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-0.0038***</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-0.0034**</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(0.0010)</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(0.0014)</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Female labour</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-0.00090*</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0.0013</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(0.00049)</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(0.0010)</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Manufact. employ</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-0.0025**</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-0.0088**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(0.0012)</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(0.0039)</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Country FE</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Year FE (1970-2007)</w:t>
            </w:r>
          </w:p>
        </w:tc>
        <w:tc>
          <w:tcPr>
            <w:tcW w:w="1276" w:type="dxa"/>
            <w:tcBorders>
              <w:top w:val="nil"/>
              <w:left w:val="nil"/>
              <w:bottom w:val="nil"/>
              <w:right w:val="nil"/>
            </w:tcBorders>
            <w:shd w:val="clear" w:color="auto" w:fill="auto"/>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 #Countries</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416, 18</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416, 18</w:t>
            </w:r>
          </w:p>
        </w:tc>
      </w:tr>
      <w:tr w:rsidR="00BC4C09" w:rsidRPr="00D4685B" w:rsidTr="0078352F">
        <w:trPr>
          <w:trHeight w:val="330"/>
          <w:jc w:val="center"/>
        </w:trPr>
        <w:tc>
          <w:tcPr>
            <w:tcW w:w="2280" w:type="dxa"/>
            <w:tcBorders>
              <w:top w:val="nil"/>
              <w:left w:val="nil"/>
              <w:bottom w:val="nil"/>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rho</w:t>
            </w:r>
          </w:p>
        </w:tc>
        <w:tc>
          <w:tcPr>
            <w:tcW w:w="1276" w:type="dxa"/>
            <w:tcBorders>
              <w:top w:val="nil"/>
              <w:left w:val="nil"/>
              <w:bottom w:val="nil"/>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0.84</w:t>
            </w:r>
          </w:p>
        </w:tc>
        <w:tc>
          <w:tcPr>
            <w:tcW w:w="1276" w:type="dxa"/>
            <w:tcBorders>
              <w:top w:val="nil"/>
              <w:left w:val="nil"/>
              <w:bottom w:val="nil"/>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0.81</w:t>
            </w:r>
          </w:p>
        </w:tc>
      </w:tr>
      <w:tr w:rsidR="00BC4C09" w:rsidRPr="00D4685B" w:rsidTr="0078352F">
        <w:trPr>
          <w:trHeight w:val="330"/>
          <w:jc w:val="center"/>
        </w:trPr>
        <w:tc>
          <w:tcPr>
            <w:tcW w:w="2280" w:type="dxa"/>
            <w:tcBorders>
              <w:top w:val="nil"/>
              <w:left w:val="nil"/>
              <w:bottom w:val="single" w:sz="4" w:space="0" w:color="auto"/>
              <w:right w:val="nil"/>
            </w:tcBorders>
            <w:shd w:val="clear" w:color="auto" w:fill="auto"/>
            <w:noWrap/>
            <w:vAlign w:val="bottom"/>
            <w:hideMark/>
          </w:tcPr>
          <w:p w:rsidR="00BC4C09" w:rsidRPr="00D4685B" w:rsidRDefault="00BC4C09" w:rsidP="0078352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R-squared</w:t>
            </w:r>
          </w:p>
        </w:tc>
        <w:tc>
          <w:tcPr>
            <w:tcW w:w="1276" w:type="dxa"/>
            <w:tcBorders>
              <w:top w:val="nil"/>
              <w:left w:val="nil"/>
              <w:bottom w:val="single" w:sz="4" w:space="0" w:color="auto"/>
              <w:right w:val="nil"/>
            </w:tcBorders>
            <w:shd w:val="clear" w:color="auto" w:fill="auto"/>
            <w:noWrap/>
            <w:vAlign w:val="bottom"/>
            <w:hideMark/>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0.933</w:t>
            </w:r>
          </w:p>
        </w:tc>
        <w:tc>
          <w:tcPr>
            <w:tcW w:w="1276" w:type="dxa"/>
            <w:tcBorders>
              <w:top w:val="nil"/>
              <w:left w:val="nil"/>
              <w:bottom w:val="single" w:sz="4" w:space="0" w:color="auto"/>
              <w:right w:val="nil"/>
            </w:tcBorders>
            <w:vAlign w:val="bottom"/>
          </w:tcPr>
          <w:p w:rsidR="00BC4C09" w:rsidRPr="00D4685B" w:rsidRDefault="00BC4C09" w:rsidP="0078352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0.947</w:t>
            </w:r>
          </w:p>
        </w:tc>
      </w:tr>
    </w:tbl>
    <w:p w:rsidR="00553D03" w:rsidRPr="000B14F3" w:rsidRDefault="00553D03" w:rsidP="00553D03">
      <w:pPr>
        <w:widowControl/>
        <w:rPr>
          <w:rFonts w:ascii="Times New Roman" w:hAnsi="Times New Roman"/>
          <w:sz w:val="21"/>
        </w:rPr>
      </w:pPr>
      <w:r w:rsidRPr="000B14F3">
        <w:rPr>
          <w:rFonts w:ascii="Times New Roman" w:hAnsi="Times New Roman"/>
          <w:i/>
          <w:sz w:val="21"/>
        </w:rPr>
        <w:t>Notes</w:t>
      </w:r>
      <w:r w:rsidRPr="000B14F3">
        <w:rPr>
          <w:rFonts w:ascii="Times New Roman" w:hAnsi="Times New Roman"/>
          <w:sz w:val="21"/>
        </w:rPr>
        <w:t xml:space="preserve">: Dependent variable is mean-median ratio lead by 3 years. Parameters are estimated by the Prais-Winsten estimator with panel-corrected standard error in parentheses. The common AR(1) parameter is denoted by rho. </w:t>
      </w:r>
      <w:r w:rsidRPr="000B14F3">
        <w:rPr>
          <w:rFonts w:ascii="Times New Roman" w:hAnsi="Times New Roman"/>
          <w:sz w:val="21"/>
          <w:lang w:eastAsia="zh-HK"/>
        </w:rPr>
        <w:t>C</w:t>
      </w:r>
      <w:r w:rsidRPr="000B14F3">
        <w:rPr>
          <w:rFonts w:ascii="Times New Roman" w:hAnsi="Times New Roman"/>
          <w:sz w:val="21"/>
        </w:rPr>
        <w:t xml:space="preserve">onstant terms are </w:t>
      </w:r>
      <w:r w:rsidRPr="000B14F3">
        <w:rPr>
          <w:rFonts w:ascii="Times New Roman" w:hAnsi="Times New Roman"/>
          <w:sz w:val="21"/>
          <w:lang w:eastAsia="zh-HK"/>
        </w:rPr>
        <w:t>included in all models</w:t>
      </w:r>
      <w:r w:rsidRPr="000B14F3">
        <w:rPr>
          <w:rFonts w:ascii="Times New Roman" w:hAnsi="Times New Roman"/>
          <w:sz w:val="21"/>
        </w:rPr>
        <w:t xml:space="preserve">. </w:t>
      </w:r>
      <w:r w:rsidR="006B1E51" w:rsidRPr="006B1E51">
        <w:rPr>
          <w:rFonts w:ascii="Times New Roman" w:hAnsi="Times New Roman"/>
          <w:sz w:val="21"/>
        </w:rPr>
        <w:t>MMR = Mean-median ratio; ENPP = Effective number of parliamentary parties.</w:t>
      </w:r>
    </w:p>
    <w:p w:rsidR="009D6224" w:rsidRPr="000B14F3" w:rsidRDefault="00553D03" w:rsidP="006B1E51">
      <w:pPr>
        <w:widowControl/>
        <w:rPr>
          <w:rFonts w:ascii="Times New Roman" w:hAnsi="Times New Roman"/>
          <w:sz w:val="21"/>
        </w:rPr>
      </w:pPr>
      <w:r w:rsidRPr="000B14F3">
        <w:rPr>
          <w:rFonts w:ascii="Times New Roman" w:hAnsi="Times New Roman"/>
          <w:sz w:val="21"/>
        </w:rPr>
        <w:t>*** p&lt;0.01, ** p&lt;0.05, * p&lt;0.1.</w:t>
      </w:r>
    </w:p>
    <w:p w:rsidR="003464CE" w:rsidRPr="000B14F3" w:rsidRDefault="0062627A" w:rsidP="003464CE">
      <w:pPr>
        <w:rPr>
          <w:rFonts w:ascii="Times New Roman" w:hAnsi="Times New Roman"/>
          <w:b/>
          <w:lang w:eastAsia="zh-HK"/>
        </w:rPr>
      </w:pPr>
      <w:r w:rsidRPr="000B14F3">
        <w:rPr>
          <w:rFonts w:ascii="Times New Roman" w:hAnsi="Times New Roman"/>
          <w:sz w:val="21"/>
        </w:rPr>
        <w:br w:type="page"/>
      </w:r>
    </w:p>
    <w:p w:rsidR="0062627A" w:rsidRPr="000B14F3" w:rsidRDefault="00B50DA5" w:rsidP="007003EB">
      <w:pPr>
        <w:jc w:val="center"/>
        <w:rPr>
          <w:rFonts w:ascii="Times New Roman" w:hAnsi="Times New Roman"/>
        </w:rPr>
      </w:pPr>
      <w:r w:rsidRPr="000B14F3">
        <w:rPr>
          <w:rFonts w:ascii="Times New Roman" w:hAnsi="Times New Roman"/>
          <w:b/>
          <w:lang w:eastAsia="zh-HK"/>
        </w:rPr>
        <w:t xml:space="preserve">Figure A2. </w:t>
      </w:r>
      <w:r w:rsidR="00FF20B7" w:rsidRPr="000B14F3">
        <w:rPr>
          <w:rFonts w:ascii="Times New Roman" w:hAnsi="Times New Roman"/>
          <w:b/>
          <w:lang w:eastAsia="zh-HK"/>
        </w:rPr>
        <w:t xml:space="preserve">Trends of </w:t>
      </w:r>
      <w:r w:rsidR="00096621" w:rsidRPr="000B14F3">
        <w:rPr>
          <w:rFonts w:ascii="Times New Roman" w:hAnsi="Times New Roman"/>
          <w:b/>
        </w:rPr>
        <w:t>Redistribution</w:t>
      </w:r>
      <w:r w:rsidR="00FF20B7" w:rsidRPr="000B14F3">
        <w:rPr>
          <w:rFonts w:ascii="Times New Roman" w:hAnsi="Times New Roman"/>
          <w:b/>
        </w:rPr>
        <w:t xml:space="preserve"> by Country</w:t>
      </w:r>
    </w:p>
    <w:p w:rsidR="00CC16E0" w:rsidRPr="000B14F3" w:rsidRDefault="0005249A" w:rsidP="0062627A">
      <w:pPr>
        <w:rPr>
          <w:rFonts w:ascii="Times New Roman" w:hAnsi="Times New Roman"/>
        </w:rPr>
      </w:pPr>
      <w:r w:rsidRPr="009B1C93">
        <w:rPr>
          <w:rFonts w:ascii="Times New Roman" w:hAnsi="Times New Roman"/>
        </w:rPr>
        <w:pict>
          <v:shape id="_x0000_i1027" type="#_x0000_t75" style="width:402.6pt;height:294.6pt">
            <v:imagedata r:id="rId9" o:title=""/>
          </v:shape>
        </w:pict>
      </w:r>
    </w:p>
    <w:p w:rsidR="00027FED" w:rsidRPr="000B14F3" w:rsidRDefault="0005249A" w:rsidP="0062627A">
      <w:pPr>
        <w:rPr>
          <w:rFonts w:ascii="Times New Roman" w:hAnsi="Times New Roman"/>
        </w:rPr>
      </w:pPr>
      <w:r w:rsidRPr="009B1C93">
        <w:rPr>
          <w:rFonts w:ascii="Times New Roman" w:hAnsi="Times New Roman"/>
        </w:rPr>
        <w:pict>
          <v:shape id="_x0000_i1028" type="#_x0000_t75" style="width:402.6pt;height:294.6pt">
            <v:imagedata r:id="rId10" o:title=""/>
          </v:shape>
        </w:pict>
      </w:r>
    </w:p>
    <w:p w:rsidR="00027FED" w:rsidRPr="000B14F3" w:rsidRDefault="001C4881" w:rsidP="0062627A">
      <w:pPr>
        <w:rPr>
          <w:rFonts w:ascii="Times New Roman" w:hAnsi="Times New Roman"/>
        </w:rPr>
      </w:pPr>
      <w:r w:rsidRPr="000B14F3">
        <w:rPr>
          <w:rFonts w:ascii="Times New Roman" w:hAnsi="Times New Roman"/>
          <w:i/>
          <w:sz w:val="21"/>
          <w:szCs w:val="24"/>
        </w:rPr>
        <w:t xml:space="preserve">Notes: </w:t>
      </w:r>
      <w:r w:rsidR="009F1FB9" w:rsidRPr="000B14F3">
        <w:rPr>
          <w:rFonts w:ascii="Times New Roman" w:hAnsi="Times New Roman"/>
          <w:sz w:val="21"/>
          <w:szCs w:val="24"/>
        </w:rPr>
        <w:t xml:space="preserve">Redistribution based on </w:t>
      </w:r>
      <w:r w:rsidR="002B2A86">
        <w:rPr>
          <w:rFonts w:ascii="Times New Roman" w:hAnsi="Times New Roman"/>
          <w:sz w:val="21"/>
          <w:szCs w:val="24"/>
        </w:rPr>
        <w:t>G</w:t>
      </w:r>
      <w:r w:rsidR="009F1FB9" w:rsidRPr="000B14F3">
        <w:rPr>
          <w:rFonts w:ascii="Times New Roman" w:hAnsi="Times New Roman"/>
          <w:sz w:val="21"/>
          <w:szCs w:val="24"/>
        </w:rPr>
        <w:t xml:space="preserve">ini reduction. </w:t>
      </w:r>
      <w:r w:rsidRPr="000B14F3">
        <w:rPr>
          <w:rFonts w:ascii="Times New Roman" w:hAnsi="Times New Roman"/>
          <w:sz w:val="21"/>
          <w:szCs w:val="24"/>
        </w:rPr>
        <w:t>Data from Mahler and Jesuit (2008).</w:t>
      </w:r>
    </w:p>
    <w:p w:rsidR="00B232CD" w:rsidRPr="000B14F3" w:rsidRDefault="00027FED" w:rsidP="007003EB">
      <w:pPr>
        <w:jc w:val="center"/>
        <w:rPr>
          <w:rFonts w:ascii="Times New Roman" w:hAnsi="Times New Roman"/>
        </w:rPr>
      </w:pPr>
      <w:r w:rsidRPr="000B14F3">
        <w:rPr>
          <w:rFonts w:ascii="Times New Roman" w:hAnsi="Times New Roman"/>
        </w:rPr>
        <w:br w:type="page"/>
      </w:r>
      <w:r w:rsidR="00B50DA5" w:rsidRPr="000B14F3">
        <w:rPr>
          <w:rFonts w:ascii="Times New Roman" w:hAnsi="Times New Roman"/>
          <w:b/>
          <w:lang w:eastAsia="zh-HK"/>
        </w:rPr>
        <w:lastRenderedPageBreak/>
        <w:t xml:space="preserve">Figure A3. </w:t>
      </w:r>
      <w:r w:rsidR="00A202D8" w:rsidRPr="000B14F3">
        <w:rPr>
          <w:rFonts w:ascii="Times New Roman" w:hAnsi="Times New Roman"/>
          <w:b/>
          <w:lang w:eastAsia="zh-HK"/>
        </w:rPr>
        <w:t xml:space="preserve">Trends of </w:t>
      </w:r>
      <w:r w:rsidR="00A202D8" w:rsidRPr="000B14F3">
        <w:rPr>
          <w:rFonts w:ascii="Times New Roman" w:hAnsi="Times New Roman"/>
          <w:b/>
        </w:rPr>
        <w:t>MMR by Country</w:t>
      </w:r>
    </w:p>
    <w:p w:rsidR="00CC16E0" w:rsidRPr="000B14F3" w:rsidRDefault="0005249A" w:rsidP="0062627A">
      <w:pPr>
        <w:rPr>
          <w:rFonts w:ascii="Times New Roman" w:hAnsi="Times New Roman"/>
        </w:rPr>
      </w:pPr>
      <w:r w:rsidRPr="009B1C93">
        <w:rPr>
          <w:rFonts w:ascii="Times New Roman" w:hAnsi="Times New Roman"/>
        </w:rPr>
        <w:pict>
          <v:shape id="_x0000_i1029" type="#_x0000_t75" style="width:402.6pt;height:294.6pt">
            <v:imagedata r:id="rId11" o:title=""/>
          </v:shape>
        </w:pict>
      </w:r>
    </w:p>
    <w:p w:rsidR="00CC16E0" w:rsidRPr="000B14F3" w:rsidRDefault="0005249A" w:rsidP="0062627A">
      <w:pPr>
        <w:rPr>
          <w:rFonts w:ascii="Times New Roman" w:hAnsi="Times New Roman"/>
        </w:rPr>
      </w:pPr>
      <w:r w:rsidRPr="009B1C93">
        <w:rPr>
          <w:rFonts w:ascii="Times New Roman" w:hAnsi="Times New Roman"/>
        </w:rPr>
        <w:pict>
          <v:shape id="_x0000_i1030" type="#_x0000_t75" style="width:402.6pt;height:294.6pt">
            <v:imagedata r:id="rId12" o:title=""/>
          </v:shape>
        </w:pict>
      </w:r>
    </w:p>
    <w:p w:rsidR="009F1FB9" w:rsidRPr="000B14F3" w:rsidRDefault="009F1FB9" w:rsidP="0062627A">
      <w:pPr>
        <w:rPr>
          <w:rFonts w:ascii="Times New Roman" w:hAnsi="Times New Roman"/>
        </w:rPr>
      </w:pPr>
      <w:r w:rsidRPr="000B14F3">
        <w:rPr>
          <w:rFonts w:ascii="Times New Roman" w:hAnsi="Times New Roman"/>
          <w:i/>
          <w:sz w:val="21"/>
          <w:szCs w:val="24"/>
        </w:rPr>
        <w:t xml:space="preserve">Notes: </w:t>
      </w:r>
      <w:r w:rsidR="00B72C21" w:rsidRPr="000B14F3">
        <w:rPr>
          <w:rFonts w:ascii="Times New Roman" w:hAnsi="Times New Roman"/>
          <w:sz w:val="21"/>
          <w:szCs w:val="24"/>
        </w:rPr>
        <w:t>Mean</w:t>
      </w:r>
      <w:r w:rsidR="00F41BC8" w:rsidRPr="000B14F3">
        <w:rPr>
          <w:rFonts w:ascii="Times New Roman" w:hAnsi="Times New Roman"/>
          <w:sz w:val="21"/>
          <w:szCs w:val="24"/>
        </w:rPr>
        <w:t>-</w:t>
      </w:r>
      <w:r w:rsidR="00B72C21" w:rsidRPr="000B14F3">
        <w:rPr>
          <w:rFonts w:ascii="Times New Roman" w:hAnsi="Times New Roman"/>
          <w:sz w:val="21"/>
          <w:szCs w:val="24"/>
        </w:rPr>
        <w:t>to</w:t>
      </w:r>
      <w:r w:rsidR="00F41BC8" w:rsidRPr="000B14F3">
        <w:rPr>
          <w:rFonts w:ascii="Times New Roman" w:hAnsi="Times New Roman"/>
          <w:sz w:val="21"/>
          <w:szCs w:val="24"/>
        </w:rPr>
        <w:t>-</w:t>
      </w:r>
      <w:r w:rsidR="00B72C21" w:rsidRPr="000B14F3">
        <w:rPr>
          <w:rFonts w:ascii="Times New Roman" w:hAnsi="Times New Roman"/>
          <w:sz w:val="21"/>
          <w:szCs w:val="24"/>
        </w:rPr>
        <w:t>median income ratio. D</w:t>
      </w:r>
      <w:r w:rsidRPr="000B14F3">
        <w:rPr>
          <w:rFonts w:ascii="Times New Roman" w:hAnsi="Times New Roman"/>
          <w:sz w:val="21"/>
          <w:szCs w:val="24"/>
        </w:rPr>
        <w:t>ata from Luxembourg Income Stud</w:t>
      </w:r>
      <w:r w:rsidR="00930A18" w:rsidRPr="000B14F3">
        <w:rPr>
          <w:rFonts w:ascii="Times New Roman" w:hAnsi="Times New Roman"/>
          <w:sz w:val="21"/>
          <w:szCs w:val="24"/>
        </w:rPr>
        <w:t xml:space="preserve">y </w:t>
      </w:r>
      <w:r w:rsidR="00146CBD" w:rsidRPr="000B14F3">
        <w:rPr>
          <w:rFonts w:ascii="Times New Roman" w:hAnsi="Times New Roman"/>
          <w:sz w:val="21"/>
          <w:szCs w:val="24"/>
        </w:rPr>
        <w:t xml:space="preserve">(2015) </w:t>
      </w:r>
      <w:r w:rsidR="00930A18" w:rsidRPr="000B14F3">
        <w:rPr>
          <w:rFonts w:ascii="Times New Roman" w:hAnsi="Times New Roman"/>
          <w:sz w:val="21"/>
          <w:szCs w:val="24"/>
        </w:rPr>
        <w:t>surveys.</w:t>
      </w:r>
    </w:p>
    <w:p w:rsidR="007E2BD4" w:rsidRPr="000B14F3" w:rsidRDefault="007E2BD4" w:rsidP="007E2BD4">
      <w:pPr>
        <w:jc w:val="center"/>
        <w:rPr>
          <w:rFonts w:ascii="Times New Roman" w:hAnsi="Times New Roman"/>
          <w:color w:val="000000"/>
          <w:kern w:val="0"/>
          <w:szCs w:val="24"/>
        </w:rPr>
      </w:pPr>
      <w:r w:rsidRPr="000B14F3">
        <w:rPr>
          <w:rFonts w:ascii="Times New Roman" w:hAnsi="Times New Roman"/>
          <w:sz w:val="21"/>
        </w:rPr>
        <w:br w:type="page"/>
      </w:r>
      <w:r w:rsidRPr="000B14F3">
        <w:rPr>
          <w:rFonts w:ascii="Times New Roman" w:hAnsi="Times New Roman"/>
          <w:b/>
          <w:lang w:eastAsia="zh-HK"/>
        </w:rPr>
        <w:lastRenderedPageBreak/>
        <w:t>Table A</w:t>
      </w:r>
      <w:r w:rsidR="0089437F" w:rsidRPr="000B14F3">
        <w:rPr>
          <w:rFonts w:ascii="Times New Roman" w:hAnsi="Times New Roman"/>
          <w:b/>
          <w:lang w:eastAsia="zh-HK"/>
        </w:rPr>
        <w:t>4</w:t>
      </w:r>
      <w:r w:rsidRPr="000B14F3">
        <w:rPr>
          <w:rFonts w:ascii="Times New Roman" w:hAnsi="Times New Roman"/>
          <w:b/>
          <w:lang w:eastAsia="zh-HK"/>
        </w:rPr>
        <w:t>. Unit Root Tests for All Variables</w:t>
      </w:r>
    </w:p>
    <w:tbl>
      <w:tblPr>
        <w:tblW w:w="4120" w:type="dxa"/>
        <w:jc w:val="center"/>
        <w:tblInd w:w="13" w:type="dxa"/>
        <w:tblCellMar>
          <w:left w:w="28" w:type="dxa"/>
          <w:right w:w="28" w:type="dxa"/>
        </w:tblCellMar>
        <w:tblLook w:val="04A0"/>
      </w:tblPr>
      <w:tblGrid>
        <w:gridCol w:w="2720"/>
        <w:gridCol w:w="1400"/>
      </w:tblGrid>
      <w:tr w:rsidR="007E2BD4" w:rsidRPr="00D4685B" w:rsidTr="00AA12A3">
        <w:trPr>
          <w:trHeight w:val="330"/>
          <w:jc w:val="center"/>
        </w:trPr>
        <w:tc>
          <w:tcPr>
            <w:tcW w:w="2720" w:type="dxa"/>
            <w:tcBorders>
              <w:top w:val="single" w:sz="4" w:space="0" w:color="auto"/>
              <w:left w:val="nil"/>
              <w:bottom w:val="single" w:sz="4" w:space="0" w:color="auto"/>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Variable</w:t>
            </w:r>
          </w:p>
        </w:tc>
        <w:tc>
          <w:tcPr>
            <w:tcW w:w="1400" w:type="dxa"/>
            <w:tcBorders>
              <w:top w:val="single" w:sz="4" w:space="0" w:color="auto"/>
              <w:left w:val="nil"/>
              <w:bottom w:val="single" w:sz="4" w:space="0" w:color="auto"/>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Significance</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Union density</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0.09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0.39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Turnout</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0.55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GDP per capita</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Gov. exp.</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0.67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Growth</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Manufact. employ</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0.87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Unemployment</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Female labour</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0.53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Old-age population</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1.00 </w:t>
            </w:r>
          </w:p>
        </w:tc>
      </w:tr>
      <w:tr w:rsidR="007E2BD4" w:rsidRPr="00D4685B" w:rsidTr="00AA12A3">
        <w:trPr>
          <w:trHeight w:val="330"/>
          <w:jc w:val="center"/>
        </w:trPr>
        <w:tc>
          <w:tcPr>
            <w:tcW w:w="272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Debt</w:t>
            </w:r>
          </w:p>
        </w:tc>
        <w:tc>
          <w:tcPr>
            <w:tcW w:w="14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0.19 </w:t>
            </w:r>
          </w:p>
        </w:tc>
      </w:tr>
      <w:tr w:rsidR="007E2BD4" w:rsidRPr="00D4685B" w:rsidTr="00AA12A3">
        <w:trPr>
          <w:trHeight w:val="330"/>
          <w:jc w:val="center"/>
        </w:trPr>
        <w:tc>
          <w:tcPr>
            <w:tcW w:w="2720" w:type="dxa"/>
            <w:tcBorders>
              <w:top w:val="nil"/>
              <w:left w:val="nil"/>
              <w:bottom w:val="single" w:sz="4" w:space="0" w:color="auto"/>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ENPP</w:t>
            </w:r>
          </w:p>
        </w:tc>
        <w:tc>
          <w:tcPr>
            <w:tcW w:w="1400" w:type="dxa"/>
            <w:tcBorders>
              <w:top w:val="nil"/>
              <w:left w:val="nil"/>
              <w:bottom w:val="single" w:sz="4" w:space="0" w:color="auto"/>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0.01 </w:t>
            </w:r>
          </w:p>
        </w:tc>
      </w:tr>
    </w:tbl>
    <w:p w:rsidR="007E2BD4" w:rsidRPr="000B14F3" w:rsidRDefault="007E2BD4" w:rsidP="007E2BD4">
      <w:pPr>
        <w:jc w:val="both"/>
        <w:rPr>
          <w:rFonts w:ascii="Times New Roman" w:hAnsi="Times New Roman"/>
          <w:sz w:val="21"/>
          <w:lang w:eastAsia="zh-HK"/>
        </w:rPr>
      </w:pPr>
      <w:r w:rsidRPr="000B14F3">
        <w:rPr>
          <w:rFonts w:ascii="Times New Roman" w:hAnsi="Times New Roman"/>
          <w:i/>
          <w:sz w:val="21"/>
          <w:lang w:eastAsia="zh-HK"/>
        </w:rPr>
        <w:t>Notes</w:t>
      </w:r>
      <w:r w:rsidRPr="000B14F3">
        <w:rPr>
          <w:rFonts w:ascii="Times New Roman" w:hAnsi="Times New Roman"/>
          <w:sz w:val="21"/>
          <w:lang w:eastAsia="zh-HK"/>
        </w:rPr>
        <w:t>: Fisher-type unit root test based on augmented Dickey-Fuller tests. Performed with xtunitroot package of STATA. Null hypothesis indicates unit root. Significant statistic indicates rejection of unit root.</w:t>
      </w:r>
    </w:p>
    <w:p w:rsidR="007E2BD4" w:rsidRPr="000B14F3" w:rsidRDefault="007E2BD4" w:rsidP="007E2BD4">
      <w:pPr>
        <w:rPr>
          <w:rFonts w:ascii="Times New Roman" w:hAnsi="Times New Roman"/>
        </w:rPr>
      </w:pPr>
    </w:p>
    <w:p w:rsidR="007E2BD4" w:rsidRPr="000B14F3" w:rsidRDefault="007E2BD4" w:rsidP="007E2BD4">
      <w:pPr>
        <w:jc w:val="center"/>
        <w:rPr>
          <w:rFonts w:ascii="Times New Roman" w:hAnsi="Times New Roman"/>
        </w:rPr>
      </w:pPr>
      <w:r w:rsidRPr="000B14F3">
        <w:rPr>
          <w:rFonts w:ascii="Times New Roman" w:hAnsi="Times New Roman"/>
          <w:b/>
          <w:lang w:eastAsia="zh-HK"/>
        </w:rPr>
        <w:t>Table A</w:t>
      </w:r>
      <w:r w:rsidR="0089437F" w:rsidRPr="000B14F3">
        <w:rPr>
          <w:rFonts w:ascii="Times New Roman" w:hAnsi="Times New Roman"/>
          <w:b/>
          <w:lang w:eastAsia="zh-HK"/>
        </w:rPr>
        <w:t>5.</w:t>
      </w:r>
      <w:r w:rsidRPr="000B14F3">
        <w:rPr>
          <w:rFonts w:ascii="Times New Roman" w:hAnsi="Times New Roman"/>
          <w:b/>
          <w:lang w:eastAsia="zh-HK"/>
        </w:rPr>
        <w:t xml:space="preserve"> Unit Root Tests of Residuals from Regressions on Unit Root Explanatory Variables</w:t>
      </w:r>
    </w:p>
    <w:tbl>
      <w:tblPr>
        <w:tblW w:w="6000" w:type="dxa"/>
        <w:jc w:val="center"/>
        <w:tblInd w:w="13" w:type="dxa"/>
        <w:tblCellMar>
          <w:left w:w="28" w:type="dxa"/>
          <w:right w:w="28" w:type="dxa"/>
        </w:tblCellMar>
        <w:tblLook w:val="04A0"/>
      </w:tblPr>
      <w:tblGrid>
        <w:gridCol w:w="2200"/>
        <w:gridCol w:w="2300"/>
        <w:gridCol w:w="1500"/>
      </w:tblGrid>
      <w:tr w:rsidR="007E2BD4" w:rsidRPr="00D4685B" w:rsidTr="00AA12A3">
        <w:trPr>
          <w:trHeight w:val="330"/>
          <w:jc w:val="center"/>
        </w:trPr>
        <w:tc>
          <w:tcPr>
            <w:tcW w:w="2200" w:type="dxa"/>
            <w:tcBorders>
              <w:top w:val="single" w:sz="4" w:space="0" w:color="auto"/>
              <w:left w:val="nil"/>
              <w:bottom w:val="single" w:sz="4" w:space="0" w:color="auto"/>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Dependent Variable</w:t>
            </w:r>
          </w:p>
        </w:tc>
        <w:tc>
          <w:tcPr>
            <w:tcW w:w="2300" w:type="dxa"/>
            <w:tcBorders>
              <w:top w:val="single" w:sz="4" w:space="0" w:color="auto"/>
              <w:left w:val="nil"/>
              <w:bottom w:val="single" w:sz="4" w:space="0" w:color="auto"/>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Explanatory Variable</w:t>
            </w:r>
          </w:p>
        </w:tc>
        <w:tc>
          <w:tcPr>
            <w:tcW w:w="1500" w:type="dxa"/>
            <w:tcBorders>
              <w:top w:val="single" w:sz="4" w:space="0" w:color="auto"/>
              <w:left w:val="nil"/>
              <w:bottom w:val="single" w:sz="4" w:space="0" w:color="auto"/>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Significance</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0.06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GDP per capita</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0.72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Gov. exp.</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0.32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Old-age population</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0.01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Debt</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0.03 </w:t>
            </w:r>
          </w:p>
        </w:tc>
      </w:tr>
      <w:tr w:rsidR="007E2BD4" w:rsidRPr="00D4685B" w:rsidTr="00AA12A3">
        <w:trPr>
          <w:trHeight w:val="330"/>
          <w:jc w:val="center"/>
        </w:trPr>
        <w:tc>
          <w:tcPr>
            <w:tcW w:w="2200" w:type="dxa"/>
            <w:tcBorders>
              <w:top w:val="nil"/>
              <w:left w:val="nil"/>
              <w:bottom w:val="single" w:sz="4" w:space="0" w:color="auto"/>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2300" w:type="dxa"/>
            <w:tcBorders>
              <w:top w:val="nil"/>
              <w:left w:val="nil"/>
              <w:bottom w:val="single" w:sz="4" w:space="0" w:color="auto"/>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Turnout</w:t>
            </w:r>
          </w:p>
        </w:tc>
        <w:tc>
          <w:tcPr>
            <w:tcW w:w="1500" w:type="dxa"/>
            <w:tcBorders>
              <w:top w:val="nil"/>
              <w:left w:val="nil"/>
              <w:bottom w:val="single" w:sz="4" w:space="0" w:color="auto"/>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0.09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GDP per capita</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0.19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Gov. exp.</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0.95 </w:t>
            </w:r>
          </w:p>
        </w:tc>
      </w:tr>
      <w:tr w:rsidR="007E2BD4" w:rsidRPr="00D4685B" w:rsidTr="00AA12A3">
        <w:trPr>
          <w:trHeight w:val="330"/>
          <w:jc w:val="center"/>
        </w:trPr>
        <w:tc>
          <w:tcPr>
            <w:tcW w:w="2200" w:type="dxa"/>
            <w:tcBorders>
              <w:top w:val="nil"/>
              <w:left w:val="nil"/>
              <w:bottom w:val="nil"/>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2300" w:type="dxa"/>
            <w:tcBorders>
              <w:top w:val="nil"/>
              <w:left w:val="nil"/>
              <w:bottom w:val="nil"/>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Manufact. employ</w:t>
            </w:r>
          </w:p>
        </w:tc>
        <w:tc>
          <w:tcPr>
            <w:tcW w:w="1500" w:type="dxa"/>
            <w:tcBorders>
              <w:top w:val="nil"/>
              <w:left w:val="nil"/>
              <w:bottom w:val="nil"/>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0.86 </w:t>
            </w:r>
          </w:p>
        </w:tc>
      </w:tr>
      <w:tr w:rsidR="007E2BD4" w:rsidRPr="00D4685B" w:rsidTr="00AA12A3">
        <w:trPr>
          <w:trHeight w:val="330"/>
          <w:jc w:val="center"/>
        </w:trPr>
        <w:tc>
          <w:tcPr>
            <w:tcW w:w="2200" w:type="dxa"/>
            <w:tcBorders>
              <w:top w:val="nil"/>
              <w:left w:val="nil"/>
              <w:bottom w:val="single" w:sz="4" w:space="0" w:color="auto"/>
              <w:right w:val="nil"/>
            </w:tcBorders>
            <w:shd w:val="clear" w:color="auto" w:fill="auto"/>
            <w:noWrap/>
            <w:vAlign w:val="center"/>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2300" w:type="dxa"/>
            <w:tcBorders>
              <w:top w:val="nil"/>
              <w:left w:val="nil"/>
              <w:bottom w:val="single" w:sz="4" w:space="0" w:color="auto"/>
              <w:right w:val="nil"/>
            </w:tcBorders>
            <w:shd w:val="clear" w:color="auto" w:fill="auto"/>
            <w:noWrap/>
            <w:vAlign w:val="bottom"/>
            <w:hideMark/>
          </w:tcPr>
          <w:p w:rsidR="007E2BD4" w:rsidRPr="00D4685B" w:rsidRDefault="007E2BD4"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Female labour</w:t>
            </w:r>
          </w:p>
        </w:tc>
        <w:tc>
          <w:tcPr>
            <w:tcW w:w="1500" w:type="dxa"/>
            <w:tcBorders>
              <w:top w:val="nil"/>
              <w:left w:val="nil"/>
              <w:bottom w:val="single" w:sz="4" w:space="0" w:color="auto"/>
              <w:right w:val="nil"/>
            </w:tcBorders>
            <w:shd w:val="clear" w:color="auto" w:fill="auto"/>
            <w:noWrap/>
            <w:vAlign w:val="center"/>
            <w:hideMark/>
          </w:tcPr>
          <w:p w:rsidR="007E2BD4" w:rsidRPr="00D4685B" w:rsidRDefault="007E2BD4"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0.99 </w:t>
            </w:r>
          </w:p>
        </w:tc>
      </w:tr>
    </w:tbl>
    <w:p w:rsidR="00E97F90" w:rsidRPr="000B14F3" w:rsidRDefault="007E2BD4" w:rsidP="007E2BD4">
      <w:pPr>
        <w:jc w:val="both"/>
        <w:rPr>
          <w:rFonts w:ascii="Times New Roman" w:hAnsi="Times New Roman"/>
          <w:sz w:val="21"/>
          <w:lang w:eastAsia="zh-HK"/>
        </w:rPr>
      </w:pPr>
      <w:r w:rsidRPr="000B14F3">
        <w:rPr>
          <w:rFonts w:ascii="Times New Roman" w:hAnsi="Times New Roman"/>
          <w:i/>
          <w:sz w:val="21"/>
          <w:lang w:eastAsia="zh-HK"/>
        </w:rPr>
        <w:t>Notes</w:t>
      </w:r>
      <w:r w:rsidRPr="000B14F3">
        <w:rPr>
          <w:rFonts w:ascii="Times New Roman" w:hAnsi="Times New Roman"/>
          <w:sz w:val="21"/>
          <w:lang w:eastAsia="zh-HK"/>
        </w:rPr>
        <w:t>: Fisher-type unit root test based on augmented Dickey-Fuller tests. Performed with xtunitroot package of STATA. Null hypothesis indicates unit root. Significant statistic indicates rejection of unit root.</w:t>
      </w:r>
    </w:p>
    <w:p w:rsidR="00F23800" w:rsidRPr="000B14F3" w:rsidRDefault="00E97F90" w:rsidP="00F23800">
      <w:pPr>
        <w:jc w:val="center"/>
        <w:rPr>
          <w:rFonts w:ascii="Times New Roman" w:hAnsi="Times New Roman"/>
          <w:color w:val="000000"/>
          <w:kern w:val="0"/>
          <w:szCs w:val="24"/>
        </w:rPr>
      </w:pPr>
      <w:r w:rsidRPr="000B14F3">
        <w:rPr>
          <w:rFonts w:ascii="Times New Roman" w:hAnsi="Times New Roman"/>
          <w:sz w:val="21"/>
          <w:lang w:eastAsia="zh-HK"/>
        </w:rPr>
        <w:br w:type="page"/>
      </w:r>
      <w:r w:rsidR="00F23800" w:rsidRPr="000B14F3">
        <w:rPr>
          <w:rFonts w:ascii="Times New Roman" w:hAnsi="Times New Roman"/>
          <w:b/>
          <w:lang w:eastAsia="zh-HK"/>
        </w:rPr>
        <w:lastRenderedPageBreak/>
        <w:t>Table A</w:t>
      </w:r>
      <w:r w:rsidR="0089437F" w:rsidRPr="000B14F3">
        <w:rPr>
          <w:rFonts w:ascii="Times New Roman" w:hAnsi="Times New Roman"/>
          <w:b/>
          <w:lang w:eastAsia="zh-HK"/>
        </w:rPr>
        <w:t>6</w:t>
      </w:r>
      <w:r w:rsidR="00F23800" w:rsidRPr="000B14F3">
        <w:rPr>
          <w:rFonts w:ascii="Times New Roman" w:hAnsi="Times New Roman"/>
          <w:b/>
          <w:lang w:eastAsia="zh-HK"/>
        </w:rPr>
        <w:t>. Error Correction Models</w:t>
      </w:r>
    </w:p>
    <w:tbl>
      <w:tblPr>
        <w:tblW w:w="7217" w:type="dxa"/>
        <w:jc w:val="center"/>
        <w:tblCellMar>
          <w:left w:w="28" w:type="dxa"/>
          <w:right w:w="28" w:type="dxa"/>
        </w:tblCellMar>
        <w:tblLook w:val="04A0"/>
      </w:tblPr>
      <w:tblGrid>
        <w:gridCol w:w="2680"/>
        <w:gridCol w:w="1577"/>
        <w:gridCol w:w="1480"/>
        <w:gridCol w:w="1480"/>
      </w:tblGrid>
      <w:tr w:rsidR="00F23800" w:rsidRPr="00D4685B" w:rsidTr="00E30356">
        <w:trPr>
          <w:trHeight w:val="330"/>
          <w:jc w:val="center"/>
        </w:trPr>
        <w:tc>
          <w:tcPr>
            <w:tcW w:w="2680" w:type="dxa"/>
            <w:tcBorders>
              <w:top w:val="single" w:sz="8" w:space="0" w:color="000000"/>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Model</w:t>
            </w:r>
          </w:p>
        </w:tc>
        <w:tc>
          <w:tcPr>
            <w:tcW w:w="1577" w:type="dxa"/>
            <w:tcBorders>
              <w:top w:val="single" w:sz="8" w:space="0" w:color="000000"/>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w:t>
            </w:r>
            <w:r w:rsidR="007F51B4" w:rsidRPr="00D4685B">
              <w:rPr>
                <w:rFonts w:ascii="Times New Roman" w:eastAsiaTheme="minorEastAsia" w:hAnsi="Times New Roman"/>
                <w:color w:val="000000"/>
                <w:kern w:val="0"/>
                <w:szCs w:val="24"/>
              </w:rPr>
              <w:t>11</w:t>
            </w:r>
          </w:p>
        </w:tc>
        <w:tc>
          <w:tcPr>
            <w:tcW w:w="1480" w:type="dxa"/>
            <w:tcBorders>
              <w:top w:val="single" w:sz="8" w:space="0" w:color="000000"/>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w:t>
            </w:r>
            <w:r w:rsidR="007F51B4" w:rsidRPr="00D4685B">
              <w:rPr>
                <w:rFonts w:ascii="Times New Roman" w:eastAsiaTheme="minorEastAsia" w:hAnsi="Times New Roman"/>
                <w:color w:val="000000"/>
                <w:kern w:val="0"/>
                <w:szCs w:val="24"/>
              </w:rPr>
              <w:t>12</w:t>
            </w:r>
          </w:p>
        </w:tc>
        <w:tc>
          <w:tcPr>
            <w:tcW w:w="1480" w:type="dxa"/>
            <w:tcBorders>
              <w:top w:val="single" w:sz="8" w:space="0" w:color="000000"/>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w:t>
            </w:r>
            <w:r w:rsidR="007F51B4" w:rsidRPr="00D4685B">
              <w:rPr>
                <w:rFonts w:ascii="Times New Roman" w:eastAsiaTheme="minorEastAsia" w:hAnsi="Times New Roman"/>
                <w:color w:val="000000"/>
                <w:kern w:val="0"/>
                <w:szCs w:val="24"/>
              </w:rPr>
              <w:t>13</w:t>
            </w:r>
          </w:p>
        </w:tc>
      </w:tr>
      <w:tr w:rsidR="00F23800" w:rsidRPr="00D4685B" w:rsidTr="00E30356">
        <w:trPr>
          <w:trHeight w:val="390"/>
          <w:jc w:val="center"/>
        </w:trPr>
        <w:tc>
          <w:tcPr>
            <w:tcW w:w="2680" w:type="dxa"/>
            <w:tcBorders>
              <w:top w:val="nil"/>
              <w:left w:val="nil"/>
              <w:bottom w:val="single" w:sz="8" w:space="0" w:color="auto"/>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Dependent Variable</w:t>
            </w:r>
          </w:p>
        </w:tc>
        <w:tc>
          <w:tcPr>
            <w:tcW w:w="1577" w:type="dxa"/>
            <w:tcBorders>
              <w:top w:val="nil"/>
              <w:left w:val="nil"/>
              <w:bottom w:val="single" w:sz="8" w:space="0" w:color="auto"/>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1480" w:type="dxa"/>
            <w:tcBorders>
              <w:top w:val="nil"/>
              <w:left w:val="nil"/>
              <w:bottom w:val="single" w:sz="8" w:space="0" w:color="auto"/>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∆MMR </w:t>
            </w:r>
            <w:r w:rsidRPr="00D4685B">
              <w:rPr>
                <w:rFonts w:ascii="Times New Roman" w:eastAsiaTheme="minorEastAsia" w:hAnsi="Times New Roman"/>
                <w:color w:val="000000"/>
                <w:kern w:val="0"/>
                <w:szCs w:val="24"/>
                <w:vertAlign w:val="subscript"/>
              </w:rPr>
              <w:t>t+3</w:t>
            </w:r>
          </w:p>
        </w:tc>
        <w:tc>
          <w:tcPr>
            <w:tcW w:w="1480" w:type="dxa"/>
            <w:tcBorders>
              <w:top w:val="nil"/>
              <w:left w:val="nil"/>
              <w:bottom w:val="single" w:sz="8" w:space="0" w:color="auto"/>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r w:rsidR="005B6908" w:rsidRPr="00D4685B">
              <w:rPr>
                <w:rFonts w:ascii="Times New Roman" w:eastAsiaTheme="minorEastAsia" w:hAnsi="Times New Roman"/>
                <w:color w:val="000000"/>
                <w:kern w:val="0"/>
                <w:szCs w:val="24"/>
              </w:rPr>
              <w:t xml:space="preserve"> </w:t>
            </w:r>
            <w:r w:rsidR="005B6908" w:rsidRPr="00D4685B">
              <w:rPr>
                <w:rFonts w:ascii="Times New Roman" w:eastAsiaTheme="minorEastAsia" w:hAnsi="Times New Roman"/>
                <w:color w:val="000000"/>
                <w:kern w:val="0"/>
                <w:szCs w:val="24"/>
                <w:vertAlign w:val="subscript"/>
              </w:rPr>
              <w:t>t</w:t>
            </w:r>
          </w:p>
        </w:tc>
      </w:tr>
      <w:tr w:rsidR="00F23800" w:rsidRPr="00D4685B" w:rsidTr="00E30356">
        <w:trPr>
          <w:trHeight w:val="375"/>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Dependent Variable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0.072***</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(0.024)</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(0.020)</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(0.021)</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MMR</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12.5***</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(2.32)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0.071</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Left seat</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0.00027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0.00020</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(0.00035)</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(0.00043)</w:t>
            </w: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-0.00057***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2.7e-07</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(0.00020)</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(0.00020)</w:t>
            </w:r>
          </w:p>
        </w:tc>
      </w:tr>
      <w:tr w:rsidR="00E30356"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E30356" w:rsidRPr="00D4685B" w:rsidRDefault="00E30356" w:rsidP="00F6247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Union density</w:t>
            </w:r>
          </w:p>
        </w:tc>
        <w:tc>
          <w:tcPr>
            <w:tcW w:w="1577"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0.036</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-0.0011</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-0.0020*</w:t>
            </w:r>
          </w:p>
        </w:tc>
      </w:tr>
      <w:tr w:rsidR="00E30356"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E30356" w:rsidRPr="00D4685B" w:rsidRDefault="00E30356" w:rsidP="00F6247F">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(0.027)</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(0.00094)</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(0.0011)</w:t>
            </w:r>
          </w:p>
        </w:tc>
      </w:tr>
      <w:tr w:rsidR="00E30356"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E30356" w:rsidRPr="00D4685B" w:rsidRDefault="00E30356" w:rsidP="00F6247F">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Union density</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-0.012</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0.000062</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0.000024</w:t>
            </w:r>
          </w:p>
        </w:tc>
      </w:tr>
      <w:tr w:rsidR="00E30356"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E30356" w:rsidRPr="00D4685B" w:rsidRDefault="00E30356" w:rsidP="00F6247F">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(0.016)</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(0.00049)</w:t>
            </w:r>
          </w:p>
        </w:tc>
        <w:tc>
          <w:tcPr>
            <w:tcW w:w="1480" w:type="dxa"/>
            <w:tcBorders>
              <w:top w:val="nil"/>
              <w:left w:val="nil"/>
              <w:bottom w:val="nil"/>
              <w:right w:val="nil"/>
            </w:tcBorders>
            <w:shd w:val="clear" w:color="auto" w:fill="auto"/>
            <w:noWrap/>
            <w:vAlign w:val="bottom"/>
            <w:hideMark/>
          </w:tcPr>
          <w:p w:rsidR="00E30356" w:rsidRPr="00D4685B" w:rsidRDefault="00E30356" w:rsidP="00F6247F">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(0.00041)</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Corporatism</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(0.45)</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-1.33***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(0.38)</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Left seat*Corporatism</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-0.0057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(0.0090)</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seat*Corporatism</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0.024***</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(0.0073)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ENPP</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0.099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0.0047</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(0.0040)</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(0.0058)</w:t>
            </w: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ENPP</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-0.30*</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0.0024</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0.0031</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(0.0034)</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(0.0038)</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Growth</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0.00096</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(0.0012)</w:t>
            </w: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Growth</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-0.00027</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(0.0014)</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(0.0018)</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Unemployment</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-0.071</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0.0018</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0.0056**</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(0.071)</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(0.0022)</w:t>
            </w: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Unemployment</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-0.0017**</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-0.00013</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(0.038)</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(0.00068)</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(0.00095)</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lastRenderedPageBreak/>
              <w:t>∆ Turnout</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0.020**</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(0.0099)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Turnout</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Debt</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0.011</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Debt</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-0.029***</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(0.0092)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Old-age population</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0.15</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42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Old-age population</w:t>
            </w:r>
            <w:r w:rsidRPr="00D4685B">
              <w:rPr>
                <w:rFonts w:ascii="Times New Roman" w:eastAsiaTheme="minorEastAsia" w:hAnsi="Times New Roman"/>
                <w:color w:val="000000"/>
                <w:kern w:val="0"/>
                <w:sz w:val="32"/>
                <w:szCs w:val="32"/>
              </w:rPr>
              <w:t xml:space="preserve"> </w:t>
            </w:r>
            <w:r w:rsidRPr="00D4685B">
              <w:rPr>
                <w:rFonts w:ascii="Times New Roman" w:eastAsiaTheme="minorEastAsia" w:hAnsi="Times New Roman"/>
                <w:color w:val="000000"/>
                <w:kern w:val="0"/>
                <w:szCs w:val="24"/>
                <w:vertAlign w:val="subscript"/>
              </w:rPr>
              <w:t>t-1</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0.33**</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eastAsiaTheme="minorEastAsia" w:cs="PMingLiU"/>
                <w:color w:val="000000"/>
                <w:kern w:val="0"/>
                <w:szCs w:val="24"/>
              </w:rPr>
            </w:pP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(0.15)</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Country FE</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Year FE</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1980-2004</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1980-2006</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1980-2009</w:t>
            </w:r>
          </w:p>
        </w:tc>
      </w:tr>
      <w:tr w:rsidR="00F23800" w:rsidRPr="00D4685B" w:rsidTr="00E30356">
        <w:trPr>
          <w:trHeight w:val="330"/>
          <w:jc w:val="center"/>
        </w:trPr>
        <w:tc>
          <w:tcPr>
            <w:tcW w:w="2680" w:type="dxa"/>
            <w:tcBorders>
              <w:top w:val="nil"/>
              <w:left w:val="nil"/>
              <w:bottom w:val="nil"/>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w:t>
            </w:r>
          </w:p>
        </w:tc>
        <w:tc>
          <w:tcPr>
            <w:tcW w:w="1577"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182</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388</w:t>
            </w:r>
          </w:p>
        </w:tc>
        <w:tc>
          <w:tcPr>
            <w:tcW w:w="1480" w:type="dxa"/>
            <w:tcBorders>
              <w:top w:val="nil"/>
              <w:left w:val="nil"/>
              <w:bottom w:val="nil"/>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442</w:t>
            </w:r>
          </w:p>
        </w:tc>
      </w:tr>
      <w:tr w:rsidR="00F23800" w:rsidRPr="00D4685B" w:rsidTr="00E30356">
        <w:trPr>
          <w:trHeight w:val="345"/>
          <w:jc w:val="center"/>
        </w:trPr>
        <w:tc>
          <w:tcPr>
            <w:tcW w:w="2680" w:type="dxa"/>
            <w:tcBorders>
              <w:top w:val="nil"/>
              <w:left w:val="nil"/>
              <w:bottom w:val="single" w:sz="8" w:space="0" w:color="000000"/>
              <w:right w:val="nil"/>
            </w:tcBorders>
            <w:shd w:val="clear" w:color="auto" w:fill="auto"/>
            <w:noWrap/>
            <w:vAlign w:val="bottom"/>
            <w:hideMark/>
          </w:tcPr>
          <w:p w:rsidR="00F23800" w:rsidRPr="00D4685B" w:rsidRDefault="00F23800"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R-squared</w:t>
            </w:r>
          </w:p>
        </w:tc>
        <w:tc>
          <w:tcPr>
            <w:tcW w:w="1577" w:type="dxa"/>
            <w:tcBorders>
              <w:top w:val="nil"/>
              <w:left w:val="nil"/>
              <w:bottom w:val="single" w:sz="4" w:space="0" w:color="000000"/>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0.714</w:t>
            </w:r>
          </w:p>
        </w:tc>
        <w:tc>
          <w:tcPr>
            <w:tcW w:w="1480" w:type="dxa"/>
            <w:tcBorders>
              <w:top w:val="nil"/>
              <w:left w:val="nil"/>
              <w:bottom w:val="single" w:sz="4" w:space="0" w:color="000000"/>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0.553</w:t>
            </w:r>
          </w:p>
        </w:tc>
        <w:tc>
          <w:tcPr>
            <w:tcW w:w="1480" w:type="dxa"/>
            <w:tcBorders>
              <w:top w:val="nil"/>
              <w:left w:val="nil"/>
              <w:bottom w:val="single" w:sz="4" w:space="0" w:color="000000"/>
              <w:right w:val="nil"/>
            </w:tcBorders>
            <w:shd w:val="clear" w:color="auto" w:fill="auto"/>
            <w:noWrap/>
            <w:vAlign w:val="bottom"/>
            <w:hideMark/>
          </w:tcPr>
          <w:p w:rsidR="00F23800" w:rsidRPr="00D4685B" w:rsidRDefault="00F23800"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0.394</w:t>
            </w:r>
          </w:p>
        </w:tc>
      </w:tr>
    </w:tbl>
    <w:p w:rsidR="00F23800" w:rsidRPr="000B14F3" w:rsidRDefault="00F23800" w:rsidP="00F23800">
      <w:pPr>
        <w:jc w:val="both"/>
        <w:rPr>
          <w:rFonts w:ascii="Times New Roman" w:hAnsi="Times New Roman"/>
          <w:sz w:val="21"/>
        </w:rPr>
      </w:pPr>
      <w:r w:rsidRPr="000B14F3">
        <w:rPr>
          <w:rFonts w:ascii="Times New Roman" w:hAnsi="Times New Roman"/>
          <w:i/>
          <w:sz w:val="21"/>
        </w:rPr>
        <w:t>Notes</w:t>
      </w:r>
      <w:r w:rsidRPr="000B14F3">
        <w:rPr>
          <w:rFonts w:ascii="Times New Roman" w:hAnsi="Times New Roman"/>
          <w:sz w:val="21"/>
        </w:rPr>
        <w:t xml:space="preserve">: </w:t>
      </w:r>
      <w:r w:rsidR="00D90468" w:rsidRPr="00D90468">
        <w:rPr>
          <w:rFonts w:ascii="Times New Roman" w:hAnsi="Times New Roman"/>
          <w:sz w:val="21"/>
        </w:rPr>
        <w:t>Dependent variable</w:t>
      </w:r>
      <w:r w:rsidR="00D90468">
        <w:rPr>
          <w:rFonts w:ascii="Times New Roman" w:hAnsi="Times New Roman"/>
          <w:sz w:val="21"/>
        </w:rPr>
        <w:t>s are change in redistribution (M11)</w:t>
      </w:r>
      <w:r w:rsidR="00C15497">
        <w:rPr>
          <w:rFonts w:ascii="Times New Roman" w:hAnsi="Times New Roman"/>
          <w:sz w:val="21"/>
        </w:rPr>
        <w:t>, change in MMR (with 3-year lag; M12), and change in current MMR (M13).</w:t>
      </w:r>
      <w:r w:rsidR="00D90468" w:rsidRPr="00D90468">
        <w:rPr>
          <w:rFonts w:ascii="Times New Roman" w:hAnsi="Times New Roman"/>
          <w:sz w:val="21"/>
        </w:rPr>
        <w:t xml:space="preserve"> </w:t>
      </w:r>
      <w:r w:rsidRPr="000B14F3">
        <w:rPr>
          <w:rFonts w:ascii="Times New Roman" w:hAnsi="Times New Roman"/>
          <w:sz w:val="21"/>
        </w:rPr>
        <w:t xml:space="preserve">OLS estimates with robust standard errors in parentheses. </w:t>
      </w:r>
      <w:r w:rsidR="00D16039" w:rsidRPr="00D16039">
        <w:rPr>
          <w:rFonts w:ascii="Times New Roman" w:hAnsi="Times New Roman"/>
          <w:sz w:val="21"/>
        </w:rPr>
        <w:t>Constant terms are included in all models. MMR = Mean-median ratio; ENPP = Effective number of parliamentary parties.</w:t>
      </w:r>
    </w:p>
    <w:p w:rsidR="00F23800" w:rsidRPr="000B14F3" w:rsidRDefault="00F23800" w:rsidP="00F23800">
      <w:pPr>
        <w:jc w:val="both"/>
        <w:rPr>
          <w:rFonts w:ascii="Times New Roman" w:hAnsi="Times New Roman"/>
          <w:sz w:val="21"/>
          <w:lang w:eastAsia="zh-HK"/>
        </w:rPr>
      </w:pPr>
      <w:r w:rsidRPr="000B14F3">
        <w:rPr>
          <w:rFonts w:ascii="Times New Roman" w:hAnsi="Times New Roman"/>
          <w:sz w:val="21"/>
        </w:rPr>
        <w:t xml:space="preserve">***p=0.01. **p=0.05. *p=0.10. </w:t>
      </w:r>
    </w:p>
    <w:p w:rsidR="0065265B" w:rsidRPr="000B14F3" w:rsidRDefault="0065265B" w:rsidP="007E2BD4">
      <w:pPr>
        <w:jc w:val="both"/>
        <w:rPr>
          <w:rFonts w:ascii="Times New Roman" w:hAnsi="Times New Roman"/>
          <w:sz w:val="21"/>
          <w:lang w:eastAsia="zh-HK"/>
        </w:rPr>
      </w:pPr>
    </w:p>
    <w:p w:rsidR="00E97F90" w:rsidRPr="000B14F3" w:rsidRDefault="00E97F90" w:rsidP="007E2BD4">
      <w:pPr>
        <w:jc w:val="both"/>
        <w:rPr>
          <w:rFonts w:ascii="Times New Roman" w:hAnsi="Times New Roman"/>
          <w:sz w:val="21"/>
          <w:lang w:eastAsia="zh-HK"/>
        </w:rPr>
      </w:pPr>
    </w:p>
    <w:p w:rsidR="00E97F90" w:rsidRPr="000B14F3" w:rsidRDefault="00E97F90" w:rsidP="007E2BD4">
      <w:pPr>
        <w:jc w:val="both"/>
      </w:pPr>
    </w:p>
    <w:p w:rsidR="0065265B" w:rsidRPr="000B14F3" w:rsidRDefault="0065265B">
      <w:pPr>
        <w:sectPr w:rsidR="0065265B" w:rsidRPr="000B14F3" w:rsidSect="00296DBB">
          <w:footerReference w:type="default" r:id="rId13"/>
          <w:pgSz w:w="11906" w:h="16838"/>
          <w:pgMar w:top="1440" w:right="1800" w:bottom="1440" w:left="1800" w:header="851" w:footer="992" w:gutter="0"/>
          <w:cols w:space="425"/>
          <w:docGrid w:type="lines" w:linePitch="360"/>
        </w:sectPr>
      </w:pPr>
    </w:p>
    <w:p w:rsidR="00C7017C" w:rsidRPr="000B14F3" w:rsidRDefault="00C7017C" w:rsidP="00B15AA2">
      <w:pPr>
        <w:jc w:val="center"/>
        <w:rPr>
          <w:rFonts w:ascii="Times New Roman" w:hAnsi="Times New Roman"/>
          <w:b/>
          <w:lang w:eastAsia="zh-HK"/>
        </w:rPr>
      </w:pPr>
    </w:p>
    <w:p w:rsidR="00B15AA2" w:rsidRPr="000B14F3" w:rsidRDefault="00B15AA2" w:rsidP="00B15AA2">
      <w:pPr>
        <w:jc w:val="center"/>
        <w:rPr>
          <w:rFonts w:ascii="Times New Roman" w:hAnsi="Times New Roman"/>
          <w:color w:val="000000"/>
          <w:kern w:val="0"/>
          <w:szCs w:val="24"/>
        </w:rPr>
      </w:pPr>
      <w:r w:rsidRPr="000B14F3">
        <w:rPr>
          <w:rFonts w:ascii="Times New Roman" w:hAnsi="Times New Roman"/>
          <w:b/>
          <w:lang w:eastAsia="zh-HK"/>
        </w:rPr>
        <w:t xml:space="preserve">Table </w:t>
      </w:r>
      <w:r w:rsidR="00F160DA" w:rsidRPr="000B14F3">
        <w:rPr>
          <w:rFonts w:ascii="Times New Roman" w:hAnsi="Times New Roman"/>
          <w:b/>
          <w:lang w:eastAsia="zh-HK"/>
        </w:rPr>
        <w:t>A</w:t>
      </w:r>
      <w:r w:rsidR="0089437F" w:rsidRPr="000B14F3">
        <w:rPr>
          <w:rFonts w:ascii="Times New Roman" w:hAnsi="Times New Roman"/>
          <w:b/>
          <w:lang w:eastAsia="zh-HK"/>
        </w:rPr>
        <w:t>7</w:t>
      </w:r>
      <w:r w:rsidRPr="000B14F3">
        <w:rPr>
          <w:rFonts w:ascii="Times New Roman" w:hAnsi="Times New Roman"/>
          <w:b/>
          <w:lang w:eastAsia="zh-HK"/>
        </w:rPr>
        <w:t>. Robustness Tests for Missing Observations</w:t>
      </w:r>
    </w:p>
    <w:tbl>
      <w:tblPr>
        <w:tblW w:w="12016" w:type="dxa"/>
        <w:jc w:val="center"/>
        <w:tblInd w:w="13" w:type="dxa"/>
        <w:tblCellMar>
          <w:left w:w="28" w:type="dxa"/>
          <w:right w:w="28" w:type="dxa"/>
        </w:tblCellMar>
        <w:tblLook w:val="04A0"/>
      </w:tblPr>
      <w:tblGrid>
        <w:gridCol w:w="2260"/>
        <w:gridCol w:w="1349"/>
        <w:gridCol w:w="1048"/>
        <w:gridCol w:w="1032"/>
        <w:gridCol w:w="1035"/>
        <w:gridCol w:w="1066"/>
        <w:gridCol w:w="916"/>
        <w:gridCol w:w="319"/>
        <w:gridCol w:w="1023"/>
        <w:gridCol w:w="1023"/>
        <w:gridCol w:w="1124"/>
      </w:tblGrid>
      <w:tr w:rsidR="00787D9C" w:rsidRPr="00D4685B" w:rsidTr="008140FE">
        <w:trPr>
          <w:trHeight w:val="630"/>
          <w:jc w:val="center"/>
        </w:trPr>
        <w:tc>
          <w:tcPr>
            <w:tcW w:w="2260" w:type="dxa"/>
            <w:tcBorders>
              <w:top w:val="single" w:sz="4" w:space="0" w:color="auto"/>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　</w:t>
            </w:r>
          </w:p>
        </w:tc>
        <w:tc>
          <w:tcPr>
            <w:tcW w:w="1349" w:type="dxa"/>
            <w:tcBorders>
              <w:top w:val="single" w:sz="4" w:space="0" w:color="auto"/>
              <w:left w:val="nil"/>
              <w:bottom w:val="nil"/>
              <w:right w:val="nil"/>
            </w:tcBorders>
            <w:shd w:val="clear" w:color="auto" w:fill="auto"/>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Election-year only</w:t>
            </w:r>
          </w:p>
        </w:tc>
        <w:tc>
          <w:tcPr>
            <w:tcW w:w="2080" w:type="dxa"/>
            <w:gridSpan w:val="2"/>
            <w:tcBorders>
              <w:top w:val="single" w:sz="4" w:space="0" w:color="auto"/>
              <w:left w:val="nil"/>
              <w:bottom w:val="nil"/>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Non-interpolated</w:t>
            </w:r>
          </w:p>
        </w:tc>
        <w:tc>
          <w:tcPr>
            <w:tcW w:w="3157" w:type="dxa"/>
            <w:gridSpan w:val="4"/>
            <w:tcBorders>
              <w:top w:val="single" w:sz="4" w:space="0" w:color="auto"/>
              <w:left w:val="nil"/>
              <w:bottom w:val="nil"/>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Multiple imputation (m=5)</w:t>
            </w:r>
          </w:p>
        </w:tc>
        <w:tc>
          <w:tcPr>
            <w:tcW w:w="3170" w:type="dxa"/>
            <w:gridSpan w:val="3"/>
            <w:tcBorders>
              <w:top w:val="single" w:sz="4" w:space="0" w:color="auto"/>
              <w:left w:val="nil"/>
              <w:bottom w:val="nil"/>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5-year periods</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Hypothesis</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H1</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H1</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H2</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H1</w:t>
            </w: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H2</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H3</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H1</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H2</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H3</w:t>
            </w:r>
          </w:p>
        </w:tc>
      </w:tr>
      <w:tr w:rsidR="00787D9C" w:rsidRPr="00D4685B" w:rsidTr="008140FE">
        <w:trPr>
          <w:trHeight w:val="330"/>
          <w:jc w:val="center"/>
        </w:trPr>
        <w:tc>
          <w:tcPr>
            <w:tcW w:w="2260"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Dependent variable</w:t>
            </w:r>
          </w:p>
        </w:tc>
        <w:tc>
          <w:tcPr>
            <w:tcW w:w="1349"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048"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032"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w:t>
            </w:r>
          </w:p>
        </w:tc>
        <w:tc>
          <w:tcPr>
            <w:tcW w:w="1035"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066"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w:t>
            </w:r>
          </w:p>
        </w:tc>
        <w:tc>
          <w:tcPr>
            <w:tcW w:w="737"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r w:rsidR="008140FE" w:rsidRPr="00D4685B">
              <w:rPr>
                <w:rFonts w:ascii="Times New Roman" w:eastAsiaTheme="minorEastAsia" w:hAnsi="Times New Roman"/>
                <w:color w:val="000000"/>
                <w:kern w:val="0"/>
                <w:szCs w:val="24"/>
                <w:vertAlign w:val="subscript"/>
              </w:rPr>
              <w:t xml:space="preserve"> t+3</w:t>
            </w:r>
          </w:p>
        </w:tc>
        <w:tc>
          <w:tcPr>
            <w:tcW w:w="1342" w:type="dxa"/>
            <w:gridSpan w:val="2"/>
            <w:tcBorders>
              <w:top w:val="nil"/>
              <w:left w:val="nil"/>
              <w:bottom w:val="single" w:sz="4" w:space="0" w:color="auto"/>
              <w:right w:val="nil"/>
            </w:tcBorders>
            <w:shd w:val="clear" w:color="auto" w:fill="auto"/>
            <w:noWrap/>
            <w:vAlign w:val="bottom"/>
            <w:hideMark/>
          </w:tcPr>
          <w:p w:rsidR="00787D9C" w:rsidRPr="00D4685B" w:rsidRDefault="00787D9C" w:rsidP="008140FE">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r w:rsidR="008140FE" w:rsidRPr="00D4685B">
              <w:rPr>
                <w:rFonts w:ascii="Times New Roman" w:eastAsiaTheme="minorEastAsia" w:hAnsi="Times New Roman"/>
                <w:color w:val="000000"/>
                <w:kern w:val="0"/>
                <w:szCs w:val="24"/>
                <w:vertAlign w:val="subscript"/>
              </w:rPr>
              <w:t xml:space="preserve"> t+1</w:t>
            </w:r>
          </w:p>
        </w:tc>
        <w:tc>
          <w:tcPr>
            <w:tcW w:w="1023" w:type="dxa"/>
            <w:tcBorders>
              <w:top w:val="nil"/>
              <w:left w:val="nil"/>
              <w:bottom w:val="single" w:sz="4" w:space="0" w:color="auto"/>
              <w:right w:val="nil"/>
            </w:tcBorders>
            <w:shd w:val="clear" w:color="auto" w:fill="auto"/>
            <w:noWrap/>
            <w:vAlign w:val="bottom"/>
            <w:hideMark/>
          </w:tcPr>
          <w:p w:rsidR="00787D9C" w:rsidRPr="00D4685B" w:rsidRDefault="00787D9C" w:rsidP="008140FE">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w:t>
            </w:r>
            <w:r w:rsidR="008140FE" w:rsidRPr="00D4685B">
              <w:rPr>
                <w:rFonts w:ascii="Times New Roman" w:eastAsiaTheme="minorEastAsia" w:hAnsi="Times New Roman"/>
                <w:color w:val="000000"/>
                <w:kern w:val="0"/>
                <w:szCs w:val="24"/>
                <w:vertAlign w:val="subscript"/>
              </w:rPr>
              <w:t xml:space="preserve"> t+1</w:t>
            </w:r>
            <w:r w:rsidRPr="00D4685B">
              <w:rPr>
                <w:rFonts w:ascii="Times New Roman" w:eastAsiaTheme="minorEastAsia" w:hAnsi="Times New Roman"/>
                <w:color w:val="000000"/>
                <w:kern w:val="0"/>
                <w:szCs w:val="24"/>
              </w:rPr>
              <w:t>.</w:t>
            </w:r>
          </w:p>
        </w:tc>
        <w:tc>
          <w:tcPr>
            <w:tcW w:w="1124" w:type="dxa"/>
            <w:tcBorders>
              <w:top w:val="nil"/>
              <w:left w:val="nil"/>
              <w:bottom w:val="single" w:sz="4" w:space="0" w:color="auto"/>
              <w:right w:val="nil"/>
            </w:tcBorders>
            <w:shd w:val="clear" w:color="auto" w:fill="auto"/>
            <w:noWrap/>
            <w:vAlign w:val="bottom"/>
            <w:hideMark/>
          </w:tcPr>
          <w:p w:rsidR="00787D9C" w:rsidRPr="00D4685B" w:rsidRDefault="00787D9C" w:rsidP="008140FE">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r w:rsidR="008140FE" w:rsidRPr="00D4685B">
              <w:rPr>
                <w:rFonts w:ascii="Times New Roman" w:eastAsiaTheme="minorEastAsia" w:hAnsi="Times New Roman"/>
                <w:color w:val="000000"/>
                <w:kern w:val="0"/>
                <w:szCs w:val="24"/>
                <w:vertAlign w:val="subscript"/>
              </w:rPr>
              <w:t xml:space="preserve"> t+1</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9.77**</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7.45***</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3.55*</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4.56*</w:t>
            </w: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10.86***</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0.33***</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2.98**</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6.53</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0.76***</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(4.36)</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(2.18)</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(2.54)</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(2.45)</w:t>
            </w: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(3.22)</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(0.12)</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(1.29)</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(6.79)</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(0.051)</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-0.11***</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0.028</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0.0013</w:t>
            </w:r>
          </w:p>
        </w:tc>
        <w:tc>
          <w:tcPr>
            <w:tcW w:w="1342" w:type="dxa"/>
            <w:gridSpan w:val="2"/>
            <w:tcBorders>
              <w:top w:val="nil"/>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0.0012</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(0.041)</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(0.086)</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(0.0015)</w:t>
            </w:r>
          </w:p>
        </w:tc>
        <w:tc>
          <w:tcPr>
            <w:tcW w:w="1342" w:type="dxa"/>
            <w:gridSpan w:val="2"/>
            <w:tcBorders>
              <w:top w:val="nil"/>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(0.020)</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(0.00072)</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-0.17</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-1.81</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-1.47**</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-1.18</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-0.00083</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0.72</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-1.10***</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0.011</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(0.62)</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(1.23)</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(0.64)</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(1.58)</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(0.034)</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(0.44)</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(0.33)</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(0.012)</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seat*Corporatism</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0.033**</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0.013</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342" w:type="dxa"/>
            <w:gridSpan w:val="2"/>
            <w:tcBorders>
              <w:top w:val="nil"/>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w:t>
            </w:r>
          </w:p>
        </w:tc>
        <w:tc>
          <w:tcPr>
            <w:tcW w:w="1124" w:type="dxa"/>
            <w:tcBorders>
              <w:top w:val="nil"/>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(0.013)</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(0.017)</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342" w:type="dxa"/>
            <w:gridSpan w:val="2"/>
            <w:tcBorders>
              <w:top w:val="nil"/>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(0.0054)</w:t>
            </w:r>
          </w:p>
        </w:tc>
        <w:tc>
          <w:tcPr>
            <w:tcW w:w="1124" w:type="dxa"/>
            <w:tcBorders>
              <w:top w:val="nil"/>
              <w:left w:val="nil"/>
              <w:bottom w:val="nil"/>
              <w:right w:val="nil"/>
            </w:tcBorders>
            <w:shd w:val="clear" w:color="auto" w:fill="auto"/>
            <w:noWrap/>
            <w:vAlign w:val="center"/>
            <w:hideMark/>
          </w:tcPr>
          <w:p w:rsidR="00787D9C" w:rsidRPr="00D4685B" w:rsidRDefault="00787D9C" w:rsidP="00787D9C">
            <w:pPr>
              <w:widowControl/>
              <w:rPr>
                <w:rFonts w:ascii="Times New Roman" w:eastAsiaTheme="minorEastAsia" w:hAnsi="Times New Roman"/>
                <w:color w:val="000000"/>
                <w:kern w:val="0"/>
                <w:szCs w:val="24"/>
              </w:rPr>
            </w:pP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Union density</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0.12</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0.058</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0.25***</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-0.0090*</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-0.055</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0.30</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-0.0048**</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(0.16)</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(0.11)</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(0.072)</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(0.093)</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(0.0050)</w:t>
            </w:r>
          </w:p>
        </w:tc>
        <w:tc>
          <w:tcPr>
            <w:tcW w:w="1342" w:type="dxa"/>
            <w:gridSpan w:val="2"/>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(0.057)</w:t>
            </w:r>
          </w:p>
        </w:tc>
        <w:tc>
          <w:tcPr>
            <w:tcW w:w="1023"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(0.19)</w:t>
            </w:r>
          </w:p>
        </w:tc>
        <w:tc>
          <w:tcPr>
            <w:tcW w:w="1124"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(0.0022)</w:t>
            </w:r>
          </w:p>
        </w:tc>
      </w:tr>
      <w:tr w:rsidR="00787D9C" w:rsidRPr="00D4685B" w:rsidTr="008140FE">
        <w:trPr>
          <w:trHeight w:val="330"/>
          <w:jc w:val="center"/>
        </w:trPr>
        <w:tc>
          <w:tcPr>
            <w:tcW w:w="2260" w:type="dxa"/>
            <w:tcBorders>
              <w:top w:val="nil"/>
              <w:left w:val="nil"/>
              <w:bottom w:val="nil"/>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w:t>
            </w:r>
          </w:p>
        </w:tc>
        <w:tc>
          <w:tcPr>
            <w:tcW w:w="1349"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140</w:t>
            </w:r>
          </w:p>
        </w:tc>
        <w:tc>
          <w:tcPr>
            <w:tcW w:w="1048"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119</w:t>
            </w:r>
          </w:p>
        </w:tc>
        <w:tc>
          <w:tcPr>
            <w:tcW w:w="1032"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79</w:t>
            </w:r>
          </w:p>
        </w:tc>
        <w:tc>
          <w:tcPr>
            <w:tcW w:w="1035"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351</w:t>
            </w:r>
          </w:p>
        </w:tc>
        <w:tc>
          <w:tcPr>
            <w:tcW w:w="1066"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351</w:t>
            </w:r>
          </w:p>
        </w:tc>
        <w:tc>
          <w:tcPr>
            <w:tcW w:w="737" w:type="dxa"/>
            <w:tcBorders>
              <w:top w:val="nil"/>
              <w:left w:val="nil"/>
              <w:bottom w:val="nil"/>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312</w:t>
            </w:r>
          </w:p>
        </w:tc>
        <w:tc>
          <w:tcPr>
            <w:tcW w:w="1342" w:type="dxa"/>
            <w:gridSpan w:val="2"/>
            <w:tcBorders>
              <w:top w:val="nil"/>
              <w:left w:val="nil"/>
              <w:bottom w:val="nil"/>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101</w:t>
            </w:r>
          </w:p>
        </w:tc>
        <w:tc>
          <w:tcPr>
            <w:tcW w:w="1023" w:type="dxa"/>
            <w:tcBorders>
              <w:top w:val="nil"/>
              <w:left w:val="nil"/>
              <w:bottom w:val="nil"/>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48</w:t>
            </w:r>
          </w:p>
        </w:tc>
        <w:tc>
          <w:tcPr>
            <w:tcW w:w="1124" w:type="dxa"/>
            <w:tcBorders>
              <w:top w:val="nil"/>
              <w:left w:val="nil"/>
              <w:bottom w:val="nil"/>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99</w:t>
            </w:r>
          </w:p>
        </w:tc>
      </w:tr>
      <w:tr w:rsidR="00787D9C" w:rsidRPr="00D4685B" w:rsidTr="008140FE">
        <w:trPr>
          <w:trHeight w:val="330"/>
          <w:jc w:val="center"/>
        </w:trPr>
        <w:tc>
          <w:tcPr>
            <w:tcW w:w="2260"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R-squared</w:t>
            </w:r>
          </w:p>
        </w:tc>
        <w:tc>
          <w:tcPr>
            <w:tcW w:w="1349"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0.932</w:t>
            </w:r>
          </w:p>
        </w:tc>
        <w:tc>
          <w:tcPr>
            <w:tcW w:w="1048"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0.920</w:t>
            </w:r>
          </w:p>
        </w:tc>
        <w:tc>
          <w:tcPr>
            <w:tcW w:w="1032"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0.975</w:t>
            </w:r>
          </w:p>
        </w:tc>
        <w:tc>
          <w:tcPr>
            <w:tcW w:w="1035"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w:t>
            </w:r>
          </w:p>
        </w:tc>
        <w:tc>
          <w:tcPr>
            <w:tcW w:w="1066"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w:t>
            </w:r>
          </w:p>
        </w:tc>
        <w:tc>
          <w:tcPr>
            <w:tcW w:w="737" w:type="dxa"/>
            <w:tcBorders>
              <w:top w:val="nil"/>
              <w:left w:val="nil"/>
              <w:bottom w:val="single" w:sz="4" w:space="0" w:color="auto"/>
              <w:right w:val="nil"/>
            </w:tcBorders>
            <w:shd w:val="clear" w:color="auto" w:fill="auto"/>
            <w:noWrap/>
            <w:vAlign w:val="bottom"/>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w:t>
            </w:r>
          </w:p>
        </w:tc>
        <w:tc>
          <w:tcPr>
            <w:tcW w:w="1342" w:type="dxa"/>
            <w:gridSpan w:val="2"/>
            <w:tcBorders>
              <w:top w:val="nil"/>
              <w:left w:val="nil"/>
              <w:bottom w:val="single" w:sz="4" w:space="0" w:color="auto"/>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0.928</w:t>
            </w:r>
          </w:p>
        </w:tc>
        <w:tc>
          <w:tcPr>
            <w:tcW w:w="1023" w:type="dxa"/>
            <w:tcBorders>
              <w:top w:val="nil"/>
              <w:left w:val="nil"/>
              <w:bottom w:val="single" w:sz="4" w:space="0" w:color="auto"/>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0.980 </w:t>
            </w:r>
          </w:p>
        </w:tc>
        <w:tc>
          <w:tcPr>
            <w:tcW w:w="1124" w:type="dxa"/>
            <w:tcBorders>
              <w:top w:val="nil"/>
              <w:left w:val="nil"/>
              <w:bottom w:val="single" w:sz="4" w:space="0" w:color="auto"/>
              <w:right w:val="nil"/>
            </w:tcBorders>
            <w:shd w:val="clear" w:color="auto" w:fill="auto"/>
            <w:noWrap/>
            <w:vAlign w:val="center"/>
            <w:hideMark/>
          </w:tcPr>
          <w:p w:rsidR="00787D9C" w:rsidRPr="00D4685B" w:rsidRDefault="00787D9C" w:rsidP="00787D9C">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0.862</w:t>
            </w:r>
          </w:p>
        </w:tc>
      </w:tr>
    </w:tbl>
    <w:p w:rsidR="0065265B" w:rsidRPr="000B14F3" w:rsidRDefault="00B15AA2" w:rsidP="00B15AA2">
      <w:pPr>
        <w:jc w:val="both"/>
      </w:pPr>
      <w:r w:rsidRPr="000B14F3">
        <w:rPr>
          <w:rFonts w:ascii="Times New Roman" w:hAnsi="Times New Roman"/>
          <w:i/>
          <w:sz w:val="21"/>
        </w:rPr>
        <w:t>Notes</w:t>
      </w:r>
      <w:r w:rsidRPr="000B14F3">
        <w:rPr>
          <w:rFonts w:ascii="Times New Roman" w:hAnsi="Times New Roman"/>
          <w:sz w:val="21"/>
        </w:rPr>
        <w:t xml:space="preserve">: Models estimated by Prais-Winsten estimations with full set of controls and country fixed effects included. Robust standard error in parentheses. Multiple imputation performed with Amelia II (Honaker </w:t>
      </w:r>
      <w:r w:rsidRPr="000B14F3">
        <w:rPr>
          <w:rFonts w:ascii="Times New Roman" w:hAnsi="Times New Roman"/>
          <w:i/>
          <w:sz w:val="21"/>
        </w:rPr>
        <w:t>et al</w:t>
      </w:r>
      <w:r w:rsidRPr="000B14F3">
        <w:rPr>
          <w:rFonts w:ascii="Times New Roman" w:hAnsi="Times New Roman"/>
          <w:sz w:val="21"/>
        </w:rPr>
        <w:t>., 2009).</w:t>
      </w:r>
      <w:r w:rsidRPr="000B14F3">
        <w:rPr>
          <w:rFonts w:ascii="Times New Roman" w:hAnsi="Times New Roman"/>
          <w:sz w:val="18"/>
        </w:rPr>
        <w:t xml:space="preserve"> </w:t>
      </w:r>
      <w:r w:rsidRPr="000B14F3">
        <w:rPr>
          <w:rFonts w:ascii="Times New Roman" w:hAnsi="Times New Roman"/>
          <w:sz w:val="21"/>
        </w:rPr>
        <w:t xml:space="preserve">N is larger in the imputed datasets as there are time periods that is covered by either Redistribution or MMR only (that would be dropped in the main results as no extrapolation was done). </w:t>
      </w:r>
      <w:r w:rsidR="000959F3" w:rsidRPr="00D16039">
        <w:rPr>
          <w:rFonts w:ascii="Times New Roman" w:hAnsi="Times New Roman"/>
          <w:sz w:val="21"/>
        </w:rPr>
        <w:t>MMR = Mean-median ratio</w:t>
      </w:r>
      <w:r w:rsidR="000959F3">
        <w:rPr>
          <w:rFonts w:ascii="Times New Roman" w:hAnsi="Times New Roman"/>
          <w:sz w:val="21"/>
        </w:rPr>
        <w:t>.</w:t>
      </w:r>
    </w:p>
    <w:p w:rsidR="0065265B" w:rsidRPr="000B14F3" w:rsidRDefault="0065265B"/>
    <w:p w:rsidR="0065265B" w:rsidRPr="000B14F3" w:rsidRDefault="0065265B">
      <w:pPr>
        <w:sectPr w:rsidR="0065265B" w:rsidRPr="000B14F3" w:rsidSect="0065265B">
          <w:pgSz w:w="16838" w:h="11906" w:orient="landscape"/>
          <w:pgMar w:top="1797" w:right="1440" w:bottom="1797" w:left="1440" w:header="851" w:footer="992" w:gutter="0"/>
          <w:cols w:space="425"/>
          <w:docGrid w:type="linesAndChars" w:linePitch="360"/>
        </w:sectPr>
      </w:pPr>
    </w:p>
    <w:p w:rsidR="006E5589" w:rsidRPr="000B14F3" w:rsidRDefault="006E5589" w:rsidP="006E5589">
      <w:pPr>
        <w:rPr>
          <w:rFonts w:ascii="Times New Roman" w:hAnsi="Times New Roman"/>
        </w:rPr>
      </w:pPr>
    </w:p>
    <w:p w:rsidR="006E5589" w:rsidRPr="000B14F3" w:rsidRDefault="006E5589" w:rsidP="006E5589">
      <w:pPr>
        <w:jc w:val="center"/>
        <w:rPr>
          <w:rFonts w:ascii="Times New Roman" w:hAnsi="Times New Roman"/>
          <w:color w:val="000000"/>
          <w:kern w:val="0"/>
          <w:szCs w:val="24"/>
        </w:rPr>
      </w:pPr>
      <w:r w:rsidRPr="000B14F3">
        <w:rPr>
          <w:rFonts w:ascii="Times New Roman" w:hAnsi="Times New Roman"/>
          <w:b/>
          <w:lang w:eastAsia="zh-HK"/>
        </w:rPr>
        <w:t>Table A</w:t>
      </w:r>
      <w:r w:rsidR="00273342" w:rsidRPr="000B14F3">
        <w:rPr>
          <w:rFonts w:ascii="Times New Roman" w:hAnsi="Times New Roman"/>
          <w:b/>
          <w:lang w:eastAsia="zh-HK"/>
        </w:rPr>
        <w:t>8</w:t>
      </w:r>
      <w:r w:rsidRPr="000B14F3">
        <w:rPr>
          <w:rFonts w:ascii="Times New Roman" w:hAnsi="Times New Roman"/>
          <w:b/>
          <w:lang w:eastAsia="zh-HK"/>
        </w:rPr>
        <w:t>. Mediation Analysis</w:t>
      </w:r>
    </w:p>
    <w:tbl>
      <w:tblPr>
        <w:tblW w:w="9580" w:type="dxa"/>
        <w:jc w:val="center"/>
        <w:tblInd w:w="13" w:type="dxa"/>
        <w:tblCellMar>
          <w:left w:w="28" w:type="dxa"/>
          <w:right w:w="28" w:type="dxa"/>
        </w:tblCellMar>
        <w:tblLook w:val="04A0"/>
      </w:tblPr>
      <w:tblGrid>
        <w:gridCol w:w="3340"/>
        <w:gridCol w:w="1187"/>
        <w:gridCol w:w="1933"/>
        <w:gridCol w:w="1187"/>
        <w:gridCol w:w="1933"/>
      </w:tblGrid>
      <w:tr w:rsidR="006E5589" w:rsidRPr="00D4685B" w:rsidTr="00AA12A3">
        <w:trPr>
          <w:trHeight w:val="315"/>
          <w:jc w:val="center"/>
        </w:trPr>
        <w:tc>
          <w:tcPr>
            <w:tcW w:w="3340" w:type="dxa"/>
            <w:tcBorders>
              <w:top w:val="single" w:sz="4" w:space="0" w:color="auto"/>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Treatment</w:t>
            </w:r>
          </w:p>
        </w:tc>
        <w:tc>
          <w:tcPr>
            <w:tcW w:w="3120" w:type="dxa"/>
            <w:gridSpan w:val="2"/>
            <w:tcBorders>
              <w:top w:val="single" w:sz="4" w:space="0" w:color="auto"/>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 High/Low (1/0)</w:t>
            </w:r>
          </w:p>
        </w:tc>
        <w:tc>
          <w:tcPr>
            <w:tcW w:w="3120" w:type="dxa"/>
            <w:gridSpan w:val="2"/>
            <w:tcBorders>
              <w:top w:val="single" w:sz="4" w:space="0" w:color="auto"/>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 Increase (1/0)</w:t>
            </w:r>
          </w:p>
        </w:tc>
      </w:tr>
      <w:tr w:rsidR="006E5589" w:rsidRPr="00D4685B" w:rsidTr="00AA12A3">
        <w:trPr>
          <w:trHeight w:val="315"/>
          <w:jc w:val="center"/>
        </w:trPr>
        <w:tc>
          <w:tcPr>
            <w:tcW w:w="3340"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Dependent variable</w:t>
            </w:r>
          </w:p>
        </w:tc>
        <w:tc>
          <w:tcPr>
            <w:tcW w:w="1187"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933"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c>
          <w:tcPr>
            <w:tcW w:w="1187"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933"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Redistribution</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MMR (Treatment)</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9.75***</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0.10</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3.27**</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-0.76</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(2.20)</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(0.82)</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(1.50)</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(0.47)</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Left vote</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0.13***</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(0.04)</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Corporatism</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0.67</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4.16***</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-0.14</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3.92***</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(0.68)</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(1.06)</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(0.67)</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(1.06)</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Union density</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0.10**</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0.08*</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(0.05)</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N</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191</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191</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191</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191</w:t>
            </w:r>
          </w:p>
        </w:tc>
      </w:tr>
      <w:tr w:rsidR="006E5589" w:rsidRPr="00D4685B" w:rsidTr="00AA12A3">
        <w:trPr>
          <w:trHeight w:val="315"/>
          <w:jc w:val="center"/>
        </w:trPr>
        <w:tc>
          <w:tcPr>
            <w:tcW w:w="3340"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R-squared</w:t>
            </w:r>
          </w:p>
        </w:tc>
        <w:tc>
          <w:tcPr>
            <w:tcW w:w="1187"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0.30 </w:t>
            </w:r>
          </w:p>
        </w:tc>
        <w:tc>
          <w:tcPr>
            <w:tcW w:w="1933"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0.91</w:t>
            </w:r>
          </w:p>
        </w:tc>
        <w:tc>
          <w:tcPr>
            <w:tcW w:w="1187"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0.24</w:t>
            </w:r>
          </w:p>
        </w:tc>
        <w:tc>
          <w:tcPr>
            <w:tcW w:w="1933"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0.90 </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p>
        </w:tc>
        <w:tc>
          <w:tcPr>
            <w:tcW w:w="1187" w:type="dxa"/>
            <w:tcBorders>
              <w:top w:val="single" w:sz="4" w:space="0" w:color="auto"/>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　</w:t>
            </w:r>
          </w:p>
        </w:tc>
        <w:tc>
          <w:tcPr>
            <w:tcW w:w="1933" w:type="dxa"/>
            <w:tcBorders>
              <w:top w:val="single" w:sz="4" w:space="0" w:color="auto"/>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95% CI</w:t>
            </w:r>
          </w:p>
        </w:tc>
        <w:tc>
          <w:tcPr>
            <w:tcW w:w="1187" w:type="dxa"/>
            <w:tcBorders>
              <w:top w:val="single" w:sz="4" w:space="0" w:color="auto"/>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 xml:space="preserve">　</w:t>
            </w:r>
          </w:p>
        </w:tc>
        <w:tc>
          <w:tcPr>
            <w:tcW w:w="1933" w:type="dxa"/>
            <w:tcBorders>
              <w:top w:val="single" w:sz="4" w:space="0" w:color="auto"/>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95% CI</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Average causal mediation effect</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1.24</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[0.35   2.41]</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0.42</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[0.02   0.98]</w:t>
            </w:r>
          </w:p>
        </w:tc>
      </w:tr>
      <w:tr w:rsidR="006E5589" w:rsidRPr="00D4685B" w:rsidTr="00AA12A3">
        <w:trPr>
          <w:trHeight w:val="315"/>
          <w:jc w:val="center"/>
        </w:trPr>
        <w:tc>
          <w:tcPr>
            <w:tcW w:w="3340" w:type="dxa"/>
            <w:tcBorders>
              <w:top w:val="nil"/>
              <w:left w:val="nil"/>
              <w:bottom w:val="nil"/>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Average direct effect</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0.11</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[-1.43   1.73]</w:t>
            </w:r>
          </w:p>
        </w:tc>
        <w:tc>
          <w:tcPr>
            <w:tcW w:w="1187"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-0.75</w:t>
            </w:r>
          </w:p>
        </w:tc>
        <w:tc>
          <w:tcPr>
            <w:tcW w:w="1933" w:type="dxa"/>
            <w:tcBorders>
              <w:top w:val="nil"/>
              <w:left w:val="nil"/>
              <w:bottom w:val="nil"/>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[-1.63   0.18]</w:t>
            </w:r>
          </w:p>
        </w:tc>
      </w:tr>
      <w:tr w:rsidR="006E5589" w:rsidRPr="00D4685B" w:rsidTr="00AA12A3">
        <w:trPr>
          <w:trHeight w:val="315"/>
          <w:jc w:val="center"/>
        </w:trPr>
        <w:tc>
          <w:tcPr>
            <w:tcW w:w="3340"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Average total effect</w:t>
            </w:r>
          </w:p>
        </w:tc>
        <w:tc>
          <w:tcPr>
            <w:tcW w:w="1187"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1.35</w:t>
            </w:r>
          </w:p>
        </w:tc>
        <w:tc>
          <w:tcPr>
            <w:tcW w:w="1933"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[-0.33   3.17]</w:t>
            </w:r>
          </w:p>
        </w:tc>
        <w:tc>
          <w:tcPr>
            <w:tcW w:w="1187"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-0.33</w:t>
            </w:r>
          </w:p>
        </w:tc>
        <w:tc>
          <w:tcPr>
            <w:tcW w:w="1933" w:type="dxa"/>
            <w:tcBorders>
              <w:top w:val="nil"/>
              <w:left w:val="nil"/>
              <w:bottom w:val="single" w:sz="4" w:space="0" w:color="auto"/>
              <w:right w:val="nil"/>
            </w:tcBorders>
            <w:shd w:val="clear" w:color="auto" w:fill="auto"/>
            <w:noWrap/>
            <w:vAlign w:val="center"/>
            <w:hideMark/>
          </w:tcPr>
          <w:p w:rsidR="006E5589" w:rsidRPr="00D4685B" w:rsidRDefault="006E5589" w:rsidP="00AA12A3">
            <w:pPr>
              <w:widowControl/>
              <w:jc w:val="center"/>
              <w:rPr>
                <w:rFonts w:ascii="Times New Roman" w:eastAsiaTheme="minorEastAsia" w:hAnsi="Times New Roman"/>
                <w:color w:val="000000"/>
                <w:kern w:val="0"/>
                <w:szCs w:val="24"/>
              </w:rPr>
            </w:pPr>
            <w:r w:rsidRPr="00D4685B">
              <w:rPr>
                <w:rFonts w:ascii="Times New Roman" w:eastAsiaTheme="minorEastAsia" w:hAnsi="Times New Roman"/>
                <w:color w:val="000000"/>
                <w:kern w:val="0"/>
                <w:szCs w:val="24"/>
              </w:rPr>
              <w:t>[-1.34   0.68]</w:t>
            </w:r>
          </w:p>
        </w:tc>
      </w:tr>
    </w:tbl>
    <w:p w:rsidR="006E5589" w:rsidRPr="000B14F3" w:rsidRDefault="006E5589" w:rsidP="006E5589">
      <w:pPr>
        <w:jc w:val="both"/>
        <w:rPr>
          <w:rFonts w:ascii="Times New Roman" w:hAnsi="Times New Roman"/>
          <w:sz w:val="21"/>
        </w:rPr>
      </w:pPr>
      <w:r w:rsidRPr="000B14F3">
        <w:rPr>
          <w:rFonts w:ascii="Times New Roman" w:hAnsi="Times New Roman"/>
          <w:i/>
          <w:sz w:val="21"/>
        </w:rPr>
        <w:t>Notes</w:t>
      </w:r>
      <w:r w:rsidRPr="000B14F3">
        <w:rPr>
          <w:rFonts w:ascii="Times New Roman" w:hAnsi="Times New Roman"/>
          <w:sz w:val="21"/>
        </w:rPr>
        <w:t xml:space="preserve">: Models estimated by OLS with full set of controls included for Left vote and Redistribution. Standard error in parentheses. Analysis performed with medeff package for STATA (Hicks and Tingley, 2011) based on the mediation analysis framework developed by Imai and others (e.g., Imai </w:t>
      </w:r>
      <w:r w:rsidRPr="000B14F3">
        <w:rPr>
          <w:rFonts w:ascii="Times New Roman" w:hAnsi="Times New Roman"/>
          <w:i/>
          <w:sz w:val="21"/>
        </w:rPr>
        <w:t>et al.</w:t>
      </w:r>
      <w:r w:rsidRPr="000B14F3">
        <w:rPr>
          <w:rFonts w:ascii="Times New Roman" w:hAnsi="Times New Roman"/>
          <w:sz w:val="21"/>
        </w:rPr>
        <w:t>, 2011).</w:t>
      </w:r>
      <w:r w:rsidR="00212632" w:rsidRPr="00212632">
        <w:t xml:space="preserve"> </w:t>
      </w:r>
      <w:r w:rsidR="00212632" w:rsidRPr="00212632">
        <w:rPr>
          <w:rFonts w:ascii="Times New Roman" w:hAnsi="Times New Roman"/>
          <w:sz w:val="21"/>
        </w:rPr>
        <w:t>MMR = Mean-median ratio</w:t>
      </w:r>
      <w:r w:rsidR="00212632">
        <w:rPr>
          <w:rFonts w:ascii="Times New Roman" w:hAnsi="Times New Roman"/>
          <w:sz w:val="21"/>
        </w:rPr>
        <w:t>.</w:t>
      </w:r>
    </w:p>
    <w:p w:rsidR="006E5589" w:rsidRPr="000B14F3" w:rsidRDefault="006E5589" w:rsidP="006E5589">
      <w:pPr>
        <w:jc w:val="both"/>
        <w:rPr>
          <w:rFonts w:ascii="Times New Roman" w:hAnsi="Times New Roman"/>
          <w:sz w:val="21"/>
        </w:rPr>
      </w:pPr>
      <w:r w:rsidRPr="000B14F3">
        <w:rPr>
          <w:rFonts w:ascii="Times New Roman" w:hAnsi="Times New Roman"/>
          <w:sz w:val="21"/>
        </w:rPr>
        <w:t>*** p&lt;0.01, ** p&lt;0.05, * p&lt;0.1.</w:t>
      </w:r>
    </w:p>
    <w:p w:rsidR="006E5589" w:rsidRPr="000B14F3" w:rsidRDefault="006E5589" w:rsidP="006E5589">
      <w:pPr>
        <w:rPr>
          <w:rFonts w:ascii="Times New Roman" w:hAnsi="Times New Roman"/>
        </w:rPr>
      </w:pPr>
    </w:p>
    <w:p w:rsidR="006E5589" w:rsidRPr="000B14F3" w:rsidRDefault="006E5589" w:rsidP="00A31383"/>
    <w:p w:rsidR="00A31383" w:rsidRPr="000B14F3" w:rsidRDefault="006E5589" w:rsidP="00A31383">
      <w:r w:rsidRPr="000B14F3">
        <w:br w:type="page"/>
      </w:r>
    </w:p>
    <w:p w:rsidR="00A31383" w:rsidRPr="000B14F3" w:rsidRDefault="00A31383" w:rsidP="009403F5">
      <w:pPr>
        <w:rPr>
          <w:rFonts w:ascii="Times New Roman" w:hAnsi="Times New Roman"/>
          <w:b/>
          <w:lang w:eastAsia="zh-HK"/>
        </w:rPr>
      </w:pPr>
      <w:r w:rsidRPr="000B14F3">
        <w:rPr>
          <w:rFonts w:ascii="Times New Roman" w:hAnsi="Times New Roman"/>
          <w:b/>
          <w:lang w:eastAsia="zh-HK"/>
        </w:rPr>
        <w:t>References</w:t>
      </w:r>
      <w:r w:rsidR="0051589E" w:rsidRPr="000B14F3">
        <w:rPr>
          <w:rFonts w:ascii="Times New Roman" w:hAnsi="Times New Roman"/>
          <w:b/>
          <w:lang w:eastAsia="zh-HK"/>
        </w:rPr>
        <w:t xml:space="preserve"> </w:t>
      </w:r>
    </w:p>
    <w:p w:rsidR="00503246" w:rsidRPr="000B14F3" w:rsidRDefault="00503246" w:rsidP="00706E97">
      <w:pPr>
        <w:ind w:firstLineChars="200" w:firstLine="480"/>
        <w:jc w:val="both"/>
        <w:rPr>
          <w:rFonts w:ascii="Times New Roman" w:hAnsi="Times New Roman"/>
          <w:lang w:eastAsia="zh-HK"/>
        </w:rPr>
      </w:pPr>
      <w:r w:rsidRPr="000B14F3">
        <w:rPr>
          <w:rFonts w:ascii="Times New Roman" w:hAnsi="Times New Roman"/>
          <w:lang w:eastAsia="zh-HK"/>
        </w:rPr>
        <w:t>Achen, C. (2000)</w:t>
      </w:r>
      <w:r w:rsidR="00FA188D" w:rsidRPr="000B14F3">
        <w:rPr>
          <w:rFonts w:ascii="Times New Roman" w:hAnsi="Times New Roman"/>
          <w:lang w:eastAsia="zh-HK"/>
        </w:rPr>
        <w:t>,</w:t>
      </w:r>
      <w:r w:rsidRPr="000B14F3">
        <w:rPr>
          <w:rFonts w:ascii="Times New Roman" w:hAnsi="Times New Roman"/>
          <w:lang w:eastAsia="zh-HK"/>
        </w:rPr>
        <w:t xml:space="preserve"> </w:t>
      </w:r>
      <w:r w:rsidR="00FA188D" w:rsidRPr="000B14F3">
        <w:rPr>
          <w:rFonts w:ascii="Times New Roman" w:hAnsi="Times New Roman"/>
          <w:lang w:eastAsia="zh-HK"/>
        </w:rPr>
        <w:t>‘</w:t>
      </w:r>
      <w:r w:rsidRPr="000B14F3">
        <w:rPr>
          <w:rFonts w:ascii="Times New Roman" w:hAnsi="Times New Roman"/>
          <w:lang w:eastAsia="zh-HK"/>
        </w:rPr>
        <w:t xml:space="preserve">Why </w:t>
      </w:r>
      <w:r w:rsidR="00FA188D" w:rsidRPr="000B14F3">
        <w:rPr>
          <w:rFonts w:ascii="Times New Roman" w:hAnsi="Times New Roman"/>
          <w:lang w:eastAsia="zh-HK"/>
        </w:rPr>
        <w:t>l</w:t>
      </w:r>
      <w:r w:rsidRPr="000B14F3">
        <w:rPr>
          <w:rFonts w:ascii="Times New Roman" w:hAnsi="Times New Roman"/>
          <w:lang w:eastAsia="zh-HK"/>
        </w:rPr>
        <w:t xml:space="preserve">agged </w:t>
      </w:r>
      <w:r w:rsidR="00FA188D" w:rsidRPr="000B14F3">
        <w:rPr>
          <w:rFonts w:ascii="Times New Roman" w:hAnsi="Times New Roman"/>
          <w:lang w:eastAsia="zh-HK"/>
        </w:rPr>
        <w:t>d</w:t>
      </w:r>
      <w:r w:rsidRPr="000B14F3">
        <w:rPr>
          <w:rFonts w:ascii="Times New Roman" w:hAnsi="Times New Roman"/>
          <w:lang w:eastAsia="zh-HK"/>
        </w:rPr>
        <w:t xml:space="preserve">ependent </w:t>
      </w:r>
      <w:r w:rsidR="00FA188D" w:rsidRPr="000B14F3">
        <w:rPr>
          <w:rFonts w:ascii="Times New Roman" w:hAnsi="Times New Roman"/>
          <w:lang w:eastAsia="zh-HK"/>
        </w:rPr>
        <w:t>v</w:t>
      </w:r>
      <w:r w:rsidRPr="000B14F3">
        <w:rPr>
          <w:rFonts w:ascii="Times New Roman" w:hAnsi="Times New Roman"/>
          <w:lang w:eastAsia="zh-HK"/>
        </w:rPr>
        <w:t xml:space="preserve">ariables can </w:t>
      </w:r>
      <w:r w:rsidR="00FA188D" w:rsidRPr="000B14F3">
        <w:rPr>
          <w:rFonts w:ascii="Times New Roman" w:hAnsi="Times New Roman"/>
          <w:lang w:eastAsia="zh-HK"/>
        </w:rPr>
        <w:t>s</w:t>
      </w:r>
      <w:r w:rsidRPr="000B14F3">
        <w:rPr>
          <w:rFonts w:ascii="Times New Roman" w:hAnsi="Times New Roman"/>
          <w:lang w:eastAsia="zh-HK"/>
        </w:rPr>
        <w:t xml:space="preserve">uppress the </w:t>
      </w:r>
      <w:r w:rsidR="00FA188D" w:rsidRPr="000B14F3">
        <w:rPr>
          <w:rFonts w:ascii="Times New Roman" w:hAnsi="Times New Roman"/>
          <w:lang w:eastAsia="zh-HK"/>
        </w:rPr>
        <w:t>e</w:t>
      </w:r>
      <w:r w:rsidRPr="000B14F3">
        <w:rPr>
          <w:rFonts w:ascii="Times New Roman" w:hAnsi="Times New Roman"/>
          <w:lang w:eastAsia="zh-HK"/>
        </w:rPr>
        <w:t xml:space="preserve">xplanatory </w:t>
      </w:r>
      <w:r w:rsidR="00FA188D" w:rsidRPr="000B14F3">
        <w:rPr>
          <w:rFonts w:ascii="Times New Roman" w:hAnsi="Times New Roman"/>
          <w:lang w:eastAsia="zh-HK"/>
        </w:rPr>
        <w:t>p</w:t>
      </w:r>
      <w:r w:rsidRPr="000B14F3">
        <w:rPr>
          <w:rFonts w:ascii="Times New Roman" w:hAnsi="Times New Roman"/>
          <w:lang w:eastAsia="zh-HK"/>
        </w:rPr>
        <w:t xml:space="preserve">ower of </w:t>
      </w:r>
      <w:r w:rsidR="00FA188D" w:rsidRPr="000B14F3">
        <w:rPr>
          <w:rFonts w:ascii="Times New Roman" w:hAnsi="Times New Roman"/>
          <w:lang w:eastAsia="zh-HK"/>
        </w:rPr>
        <w:t>o</w:t>
      </w:r>
      <w:r w:rsidRPr="000B14F3">
        <w:rPr>
          <w:rFonts w:ascii="Times New Roman" w:hAnsi="Times New Roman"/>
          <w:lang w:eastAsia="zh-HK"/>
        </w:rPr>
        <w:t xml:space="preserve">ther </w:t>
      </w:r>
      <w:r w:rsidR="00FA188D" w:rsidRPr="000B14F3">
        <w:rPr>
          <w:rFonts w:ascii="Times New Roman" w:hAnsi="Times New Roman"/>
          <w:lang w:eastAsia="zh-HK"/>
        </w:rPr>
        <w:t>i</w:t>
      </w:r>
      <w:r w:rsidRPr="000B14F3">
        <w:rPr>
          <w:rFonts w:ascii="Times New Roman" w:hAnsi="Times New Roman"/>
          <w:lang w:eastAsia="zh-HK"/>
        </w:rPr>
        <w:t xml:space="preserve">ndependent </w:t>
      </w:r>
      <w:r w:rsidR="00FA188D" w:rsidRPr="000B14F3">
        <w:rPr>
          <w:rFonts w:ascii="Times New Roman" w:hAnsi="Times New Roman"/>
          <w:lang w:eastAsia="zh-HK"/>
        </w:rPr>
        <w:t>v</w:t>
      </w:r>
      <w:r w:rsidRPr="000B14F3">
        <w:rPr>
          <w:rFonts w:ascii="Times New Roman" w:hAnsi="Times New Roman"/>
          <w:lang w:eastAsia="zh-HK"/>
        </w:rPr>
        <w:t>ariables</w:t>
      </w:r>
      <w:r w:rsidR="00FA188D" w:rsidRPr="000B14F3">
        <w:rPr>
          <w:rFonts w:ascii="Times New Roman" w:hAnsi="Times New Roman"/>
          <w:lang w:eastAsia="zh-HK"/>
        </w:rPr>
        <w:t>’</w:t>
      </w:r>
      <w:r w:rsidRPr="000B14F3">
        <w:rPr>
          <w:rFonts w:ascii="Times New Roman" w:hAnsi="Times New Roman"/>
          <w:lang w:eastAsia="zh-HK"/>
        </w:rPr>
        <w:t>, Paper presented at the Annual Meeting of the American Political Science Association, Los Angeles, California.</w:t>
      </w:r>
    </w:p>
    <w:p w:rsidR="00706E97" w:rsidRDefault="00706E97" w:rsidP="00706E97">
      <w:pPr>
        <w:ind w:firstLineChars="200" w:firstLine="480"/>
        <w:jc w:val="both"/>
        <w:rPr>
          <w:rFonts w:ascii="Times New Roman" w:hAnsi="Times New Roman"/>
          <w:lang w:eastAsia="zh-HK"/>
        </w:rPr>
      </w:pPr>
      <w:r w:rsidRPr="000B14F3">
        <w:rPr>
          <w:rFonts w:ascii="Times New Roman" w:hAnsi="Times New Roman"/>
          <w:lang w:eastAsia="zh-HK"/>
        </w:rPr>
        <w:t>Adolph, C.,</w:t>
      </w:r>
      <w:r w:rsidR="00D93DBF" w:rsidRPr="000B14F3">
        <w:rPr>
          <w:rFonts w:ascii="Times New Roman" w:hAnsi="Times New Roman"/>
          <w:lang w:eastAsia="zh-HK"/>
        </w:rPr>
        <w:t xml:space="preserve"> D.</w:t>
      </w:r>
      <w:r w:rsidRPr="000B14F3">
        <w:rPr>
          <w:rFonts w:ascii="Times New Roman" w:hAnsi="Times New Roman"/>
          <w:lang w:eastAsia="zh-HK"/>
        </w:rPr>
        <w:t xml:space="preserve"> B</w:t>
      </w:r>
      <w:r w:rsidR="00D93DBF" w:rsidRPr="000B14F3">
        <w:rPr>
          <w:rFonts w:ascii="Times New Roman" w:hAnsi="Times New Roman"/>
          <w:lang w:eastAsia="zh-HK"/>
        </w:rPr>
        <w:t>utler</w:t>
      </w:r>
      <w:r w:rsidRPr="000B14F3">
        <w:rPr>
          <w:rFonts w:ascii="Times New Roman" w:hAnsi="Times New Roman"/>
          <w:lang w:eastAsia="zh-HK"/>
        </w:rPr>
        <w:t xml:space="preserve"> and </w:t>
      </w:r>
      <w:r w:rsidR="00D93DBF" w:rsidRPr="000B14F3">
        <w:rPr>
          <w:rFonts w:ascii="Times New Roman" w:hAnsi="Times New Roman"/>
          <w:lang w:eastAsia="zh-HK"/>
        </w:rPr>
        <w:t>S. Wilson</w:t>
      </w:r>
      <w:r w:rsidRPr="000B14F3">
        <w:rPr>
          <w:rFonts w:ascii="Times New Roman" w:hAnsi="Times New Roman"/>
          <w:lang w:eastAsia="zh-HK"/>
        </w:rPr>
        <w:t xml:space="preserve"> (2005)</w:t>
      </w:r>
      <w:r w:rsidR="00D93DBF" w:rsidRPr="000B14F3">
        <w:rPr>
          <w:rFonts w:ascii="Times New Roman" w:hAnsi="Times New Roman"/>
          <w:lang w:eastAsia="zh-HK"/>
        </w:rPr>
        <w:t>,</w:t>
      </w:r>
      <w:r w:rsidRPr="000B14F3">
        <w:rPr>
          <w:rFonts w:ascii="Times New Roman" w:hAnsi="Times New Roman"/>
          <w:lang w:eastAsia="zh-HK"/>
        </w:rPr>
        <w:t xml:space="preserve"> </w:t>
      </w:r>
      <w:r w:rsidR="00D93DBF" w:rsidRPr="000B14F3">
        <w:rPr>
          <w:rFonts w:ascii="Times New Roman" w:hAnsi="Times New Roman"/>
          <w:lang w:eastAsia="zh-HK"/>
        </w:rPr>
        <w:t>‘</w:t>
      </w:r>
      <w:r w:rsidRPr="000B14F3">
        <w:rPr>
          <w:rFonts w:ascii="Times New Roman" w:hAnsi="Times New Roman"/>
          <w:lang w:eastAsia="zh-HK"/>
        </w:rPr>
        <w:t xml:space="preserve">Like </w:t>
      </w:r>
      <w:r w:rsidR="00D93DBF" w:rsidRPr="000B14F3">
        <w:rPr>
          <w:rFonts w:ascii="Times New Roman" w:hAnsi="Times New Roman"/>
          <w:lang w:eastAsia="zh-HK"/>
        </w:rPr>
        <w:t>s</w:t>
      </w:r>
      <w:r w:rsidRPr="000B14F3">
        <w:rPr>
          <w:rFonts w:ascii="Times New Roman" w:hAnsi="Times New Roman"/>
          <w:lang w:eastAsia="zh-HK"/>
        </w:rPr>
        <w:t xml:space="preserve">hoes and </w:t>
      </w:r>
      <w:r w:rsidR="00D93DBF" w:rsidRPr="000B14F3">
        <w:rPr>
          <w:rFonts w:ascii="Times New Roman" w:hAnsi="Times New Roman"/>
          <w:lang w:eastAsia="zh-HK"/>
        </w:rPr>
        <w:t>s</w:t>
      </w:r>
      <w:r w:rsidRPr="000B14F3">
        <w:rPr>
          <w:rFonts w:ascii="Times New Roman" w:hAnsi="Times New Roman"/>
          <w:lang w:eastAsia="zh-HK"/>
        </w:rPr>
        <w:t xml:space="preserve">hirt, </w:t>
      </w:r>
      <w:r w:rsidR="00D93DBF" w:rsidRPr="000B14F3">
        <w:rPr>
          <w:rFonts w:ascii="Times New Roman" w:hAnsi="Times New Roman"/>
          <w:lang w:eastAsia="zh-HK"/>
        </w:rPr>
        <w:t>o</w:t>
      </w:r>
      <w:r w:rsidRPr="000B14F3">
        <w:rPr>
          <w:rFonts w:ascii="Times New Roman" w:hAnsi="Times New Roman"/>
          <w:lang w:eastAsia="zh-HK"/>
        </w:rPr>
        <w:t xml:space="preserve">ne </w:t>
      </w:r>
      <w:r w:rsidR="00D93DBF" w:rsidRPr="000B14F3">
        <w:rPr>
          <w:rFonts w:ascii="Times New Roman" w:hAnsi="Times New Roman"/>
          <w:lang w:eastAsia="zh-HK"/>
        </w:rPr>
        <w:t>s</w:t>
      </w:r>
      <w:r w:rsidRPr="000B14F3">
        <w:rPr>
          <w:rFonts w:ascii="Times New Roman" w:hAnsi="Times New Roman"/>
          <w:lang w:eastAsia="zh-HK"/>
        </w:rPr>
        <w:t xml:space="preserve">ize </w:t>
      </w:r>
      <w:r w:rsidR="00D93DBF" w:rsidRPr="000B14F3">
        <w:rPr>
          <w:rFonts w:ascii="Times New Roman" w:hAnsi="Times New Roman"/>
          <w:lang w:eastAsia="zh-HK"/>
        </w:rPr>
        <w:t>d</w:t>
      </w:r>
      <w:r w:rsidRPr="000B14F3">
        <w:rPr>
          <w:rFonts w:ascii="Times New Roman" w:hAnsi="Times New Roman"/>
          <w:lang w:eastAsia="zh-HK"/>
        </w:rPr>
        <w:t xml:space="preserve">oes </w:t>
      </w:r>
      <w:r w:rsidR="00D93DBF" w:rsidRPr="000B14F3">
        <w:rPr>
          <w:rFonts w:ascii="Times New Roman" w:hAnsi="Times New Roman"/>
          <w:lang w:eastAsia="zh-HK"/>
        </w:rPr>
        <w:t>n</w:t>
      </w:r>
      <w:r w:rsidRPr="000B14F3">
        <w:rPr>
          <w:rFonts w:ascii="Times New Roman" w:hAnsi="Times New Roman"/>
          <w:lang w:eastAsia="zh-HK"/>
        </w:rPr>
        <w:t xml:space="preserve">ot </w:t>
      </w:r>
      <w:r w:rsidR="00D93DBF" w:rsidRPr="000B14F3">
        <w:rPr>
          <w:rFonts w:ascii="Times New Roman" w:hAnsi="Times New Roman"/>
          <w:lang w:eastAsia="zh-HK"/>
        </w:rPr>
        <w:t>f</w:t>
      </w:r>
      <w:r w:rsidRPr="000B14F3">
        <w:rPr>
          <w:rFonts w:ascii="Times New Roman" w:hAnsi="Times New Roman"/>
          <w:lang w:eastAsia="zh-HK"/>
        </w:rPr>
        <w:t xml:space="preserve">it </w:t>
      </w:r>
      <w:r w:rsidR="00D93DBF" w:rsidRPr="000B14F3">
        <w:rPr>
          <w:rFonts w:ascii="Times New Roman" w:hAnsi="Times New Roman"/>
          <w:lang w:eastAsia="zh-HK"/>
        </w:rPr>
        <w:t>a</w:t>
      </w:r>
      <w:r w:rsidRPr="000B14F3">
        <w:rPr>
          <w:rFonts w:ascii="Times New Roman" w:hAnsi="Times New Roman"/>
          <w:lang w:eastAsia="zh-HK"/>
        </w:rPr>
        <w:t xml:space="preserve">ll: Evidence on </w:t>
      </w:r>
      <w:r w:rsidR="00D93DBF" w:rsidRPr="000B14F3">
        <w:rPr>
          <w:rFonts w:ascii="Times New Roman" w:hAnsi="Times New Roman"/>
          <w:lang w:eastAsia="zh-HK"/>
        </w:rPr>
        <w:t>t</w:t>
      </w:r>
      <w:r w:rsidRPr="000B14F3">
        <w:rPr>
          <w:rFonts w:ascii="Times New Roman" w:hAnsi="Times New Roman"/>
          <w:lang w:eastAsia="zh-HK"/>
        </w:rPr>
        <w:t xml:space="preserve">ime </w:t>
      </w:r>
      <w:r w:rsidR="00D93DBF" w:rsidRPr="000B14F3">
        <w:rPr>
          <w:rFonts w:ascii="Times New Roman" w:hAnsi="Times New Roman"/>
          <w:lang w:eastAsia="zh-HK"/>
        </w:rPr>
        <w:t>s</w:t>
      </w:r>
      <w:r w:rsidRPr="000B14F3">
        <w:rPr>
          <w:rFonts w:ascii="Times New Roman" w:hAnsi="Times New Roman"/>
          <w:lang w:eastAsia="zh-HK"/>
        </w:rPr>
        <w:t xml:space="preserve">eries </w:t>
      </w:r>
      <w:r w:rsidR="00D93DBF" w:rsidRPr="000B14F3">
        <w:rPr>
          <w:rFonts w:ascii="Times New Roman" w:hAnsi="Times New Roman"/>
          <w:lang w:eastAsia="zh-HK"/>
        </w:rPr>
        <w:t>c</w:t>
      </w:r>
      <w:r w:rsidRPr="000B14F3">
        <w:rPr>
          <w:rFonts w:ascii="Times New Roman" w:hAnsi="Times New Roman"/>
          <w:lang w:eastAsia="zh-HK"/>
        </w:rPr>
        <w:t>ross-</w:t>
      </w:r>
      <w:r w:rsidR="00D93DBF" w:rsidRPr="000B14F3">
        <w:rPr>
          <w:rFonts w:ascii="Times New Roman" w:hAnsi="Times New Roman"/>
          <w:lang w:eastAsia="zh-HK"/>
        </w:rPr>
        <w:t>s</w:t>
      </w:r>
      <w:r w:rsidRPr="000B14F3">
        <w:rPr>
          <w:rFonts w:ascii="Times New Roman" w:hAnsi="Times New Roman"/>
          <w:lang w:eastAsia="zh-HK"/>
        </w:rPr>
        <w:t xml:space="preserve">ection </w:t>
      </w:r>
      <w:r w:rsidR="00D93DBF" w:rsidRPr="000B14F3">
        <w:rPr>
          <w:rFonts w:ascii="Times New Roman" w:hAnsi="Times New Roman"/>
          <w:lang w:eastAsia="zh-HK"/>
        </w:rPr>
        <w:t>e</w:t>
      </w:r>
      <w:r w:rsidRPr="000B14F3">
        <w:rPr>
          <w:rFonts w:ascii="Times New Roman" w:hAnsi="Times New Roman"/>
          <w:lang w:eastAsia="zh-HK"/>
        </w:rPr>
        <w:t xml:space="preserve">stimators and </w:t>
      </w:r>
      <w:r w:rsidR="00D93DBF" w:rsidRPr="000B14F3">
        <w:rPr>
          <w:rFonts w:ascii="Times New Roman" w:hAnsi="Times New Roman"/>
          <w:lang w:eastAsia="zh-HK"/>
        </w:rPr>
        <w:t>s</w:t>
      </w:r>
      <w:r w:rsidRPr="000B14F3">
        <w:rPr>
          <w:rFonts w:ascii="Times New Roman" w:hAnsi="Times New Roman"/>
          <w:lang w:eastAsia="zh-HK"/>
        </w:rPr>
        <w:t xml:space="preserve">pecifications from Monte Carlo </w:t>
      </w:r>
      <w:r w:rsidR="00D93DBF" w:rsidRPr="000B14F3">
        <w:rPr>
          <w:rFonts w:ascii="Times New Roman" w:hAnsi="Times New Roman"/>
          <w:lang w:eastAsia="zh-HK"/>
        </w:rPr>
        <w:t>e</w:t>
      </w:r>
      <w:r w:rsidRPr="000B14F3">
        <w:rPr>
          <w:rFonts w:ascii="Times New Roman" w:hAnsi="Times New Roman"/>
          <w:lang w:eastAsia="zh-HK"/>
        </w:rPr>
        <w:t>xperiments</w:t>
      </w:r>
      <w:r w:rsidR="00D93DBF" w:rsidRPr="000B14F3">
        <w:rPr>
          <w:rFonts w:ascii="Times New Roman" w:hAnsi="Times New Roman"/>
          <w:lang w:eastAsia="zh-HK"/>
        </w:rPr>
        <w:t>’</w:t>
      </w:r>
      <w:r w:rsidRPr="000B14F3">
        <w:rPr>
          <w:rFonts w:ascii="Times New Roman" w:hAnsi="Times New Roman"/>
          <w:lang w:eastAsia="zh-HK"/>
        </w:rPr>
        <w:t>, Paper presented at the Annual Conference of the American Political Science Association, Washington, DC.</w:t>
      </w:r>
    </w:p>
    <w:p w:rsidR="00A85FA5" w:rsidRPr="000B14F3" w:rsidRDefault="00A85FA5" w:rsidP="00A85FA5">
      <w:pPr>
        <w:ind w:firstLineChars="200" w:firstLine="480"/>
        <w:jc w:val="both"/>
        <w:rPr>
          <w:rFonts w:ascii="Times New Roman" w:hAnsi="Times New Roman"/>
          <w:lang w:eastAsia="zh-HK"/>
        </w:rPr>
      </w:pPr>
      <w:r w:rsidRPr="00A85FA5">
        <w:rPr>
          <w:rFonts w:ascii="Times New Roman" w:hAnsi="Times New Roman"/>
          <w:lang w:eastAsia="zh-HK"/>
        </w:rPr>
        <w:t>Baron, R.</w:t>
      </w:r>
      <w:r>
        <w:rPr>
          <w:rFonts w:ascii="Times New Roman" w:hAnsi="Times New Roman"/>
          <w:lang w:eastAsia="zh-HK"/>
        </w:rPr>
        <w:t>M. and D.A. Kenny (</w:t>
      </w:r>
      <w:r w:rsidRPr="00A85FA5">
        <w:rPr>
          <w:rFonts w:ascii="Times New Roman" w:hAnsi="Times New Roman"/>
          <w:lang w:eastAsia="zh-HK"/>
        </w:rPr>
        <w:t>1986</w:t>
      </w:r>
      <w:r>
        <w:rPr>
          <w:rFonts w:ascii="Times New Roman" w:hAnsi="Times New Roman"/>
          <w:lang w:eastAsia="zh-HK"/>
        </w:rPr>
        <w:t>),</w:t>
      </w:r>
      <w:r w:rsidRPr="00A85FA5">
        <w:rPr>
          <w:rFonts w:ascii="Times New Roman" w:hAnsi="Times New Roman"/>
          <w:lang w:eastAsia="zh-HK"/>
        </w:rPr>
        <w:t xml:space="preserve"> </w:t>
      </w:r>
      <w:r>
        <w:rPr>
          <w:rFonts w:ascii="Times New Roman" w:hAnsi="Times New Roman"/>
          <w:lang w:eastAsia="zh-HK"/>
        </w:rPr>
        <w:t>‘</w:t>
      </w:r>
      <w:r w:rsidRPr="00A85FA5">
        <w:rPr>
          <w:rFonts w:ascii="Times New Roman" w:hAnsi="Times New Roman"/>
          <w:lang w:eastAsia="zh-HK"/>
        </w:rPr>
        <w:t xml:space="preserve">The </w:t>
      </w:r>
      <w:r>
        <w:rPr>
          <w:rFonts w:ascii="Times New Roman" w:hAnsi="Times New Roman"/>
          <w:lang w:eastAsia="zh-HK"/>
        </w:rPr>
        <w:t>m</w:t>
      </w:r>
      <w:r w:rsidRPr="00A85FA5">
        <w:rPr>
          <w:rFonts w:ascii="Times New Roman" w:hAnsi="Times New Roman"/>
          <w:lang w:eastAsia="zh-HK"/>
        </w:rPr>
        <w:t>oderator–</w:t>
      </w:r>
      <w:r>
        <w:rPr>
          <w:rFonts w:ascii="Times New Roman" w:hAnsi="Times New Roman"/>
          <w:lang w:eastAsia="zh-HK"/>
        </w:rPr>
        <w:t>m</w:t>
      </w:r>
      <w:r w:rsidRPr="00A85FA5">
        <w:rPr>
          <w:rFonts w:ascii="Times New Roman" w:hAnsi="Times New Roman"/>
          <w:lang w:eastAsia="zh-HK"/>
        </w:rPr>
        <w:t>ediator</w:t>
      </w:r>
      <w:r>
        <w:rPr>
          <w:rFonts w:ascii="Times New Roman" w:hAnsi="Times New Roman"/>
          <w:lang w:eastAsia="zh-HK"/>
        </w:rPr>
        <w:t xml:space="preserve"> v</w:t>
      </w:r>
      <w:r w:rsidRPr="00A85FA5">
        <w:rPr>
          <w:rFonts w:ascii="Times New Roman" w:hAnsi="Times New Roman"/>
          <w:lang w:eastAsia="zh-HK"/>
        </w:rPr>
        <w:t xml:space="preserve">ariable </w:t>
      </w:r>
      <w:r>
        <w:rPr>
          <w:rFonts w:ascii="Times New Roman" w:hAnsi="Times New Roman"/>
          <w:lang w:eastAsia="zh-HK"/>
        </w:rPr>
        <w:t>d</w:t>
      </w:r>
      <w:r w:rsidRPr="00A85FA5">
        <w:rPr>
          <w:rFonts w:ascii="Times New Roman" w:hAnsi="Times New Roman"/>
          <w:lang w:eastAsia="zh-HK"/>
        </w:rPr>
        <w:t xml:space="preserve">istinction in </w:t>
      </w:r>
      <w:r>
        <w:rPr>
          <w:rFonts w:ascii="Times New Roman" w:hAnsi="Times New Roman"/>
          <w:lang w:eastAsia="zh-HK"/>
        </w:rPr>
        <w:t>s</w:t>
      </w:r>
      <w:r w:rsidRPr="00A85FA5">
        <w:rPr>
          <w:rFonts w:ascii="Times New Roman" w:hAnsi="Times New Roman"/>
          <w:lang w:eastAsia="zh-HK"/>
        </w:rPr>
        <w:t>ocial</w:t>
      </w:r>
      <w:r>
        <w:rPr>
          <w:rFonts w:ascii="Times New Roman" w:hAnsi="Times New Roman"/>
          <w:lang w:eastAsia="zh-HK"/>
        </w:rPr>
        <w:t xml:space="preserve"> psychological research: Concep</w:t>
      </w:r>
      <w:r w:rsidRPr="00A85FA5">
        <w:rPr>
          <w:rFonts w:ascii="Times New Roman" w:hAnsi="Times New Roman"/>
          <w:lang w:eastAsia="zh-HK"/>
        </w:rPr>
        <w:t xml:space="preserve">tual, </w:t>
      </w:r>
      <w:r>
        <w:rPr>
          <w:rFonts w:ascii="Times New Roman" w:hAnsi="Times New Roman"/>
          <w:lang w:eastAsia="zh-HK"/>
        </w:rPr>
        <w:t>s</w:t>
      </w:r>
      <w:r w:rsidRPr="00A85FA5">
        <w:rPr>
          <w:rFonts w:ascii="Times New Roman" w:hAnsi="Times New Roman"/>
          <w:lang w:eastAsia="zh-HK"/>
        </w:rPr>
        <w:t xml:space="preserve">trategic, and </w:t>
      </w:r>
      <w:r>
        <w:rPr>
          <w:rFonts w:ascii="Times New Roman" w:hAnsi="Times New Roman"/>
          <w:lang w:eastAsia="zh-HK"/>
        </w:rPr>
        <w:t>s</w:t>
      </w:r>
      <w:r w:rsidRPr="00A85FA5">
        <w:rPr>
          <w:rFonts w:ascii="Times New Roman" w:hAnsi="Times New Roman"/>
          <w:lang w:eastAsia="zh-HK"/>
        </w:rPr>
        <w:t xml:space="preserve">tatistical </w:t>
      </w:r>
      <w:r>
        <w:rPr>
          <w:rFonts w:ascii="Times New Roman" w:hAnsi="Times New Roman"/>
          <w:lang w:eastAsia="zh-HK"/>
        </w:rPr>
        <w:t>c</w:t>
      </w:r>
      <w:r w:rsidRPr="00A85FA5">
        <w:rPr>
          <w:rFonts w:ascii="Times New Roman" w:hAnsi="Times New Roman"/>
          <w:lang w:eastAsia="zh-HK"/>
        </w:rPr>
        <w:t>on</w:t>
      </w:r>
      <w:r>
        <w:rPr>
          <w:rFonts w:ascii="Times New Roman" w:hAnsi="Times New Roman"/>
          <w:lang w:eastAsia="zh-HK"/>
        </w:rPr>
        <w:t xml:space="preserve">siderations’, </w:t>
      </w:r>
      <w:r w:rsidR="009B1C93" w:rsidRPr="009B1C93">
        <w:rPr>
          <w:rFonts w:ascii="Times New Roman" w:hAnsi="Times New Roman"/>
          <w:i/>
          <w:lang w:eastAsia="zh-HK"/>
        </w:rPr>
        <w:t>Journal of Personality and Social Psychology</w:t>
      </w:r>
      <w:r>
        <w:rPr>
          <w:rFonts w:ascii="Times New Roman" w:hAnsi="Times New Roman"/>
          <w:lang w:eastAsia="zh-HK"/>
        </w:rPr>
        <w:t xml:space="preserve"> </w:t>
      </w:r>
      <w:r w:rsidR="009B1C93" w:rsidRPr="009B1C93">
        <w:rPr>
          <w:rFonts w:ascii="Times New Roman" w:hAnsi="Times New Roman"/>
          <w:b/>
          <w:lang w:eastAsia="zh-HK"/>
        </w:rPr>
        <w:t>51</w:t>
      </w:r>
      <w:r w:rsidRPr="00A85FA5">
        <w:rPr>
          <w:rFonts w:ascii="Times New Roman" w:hAnsi="Times New Roman"/>
          <w:lang w:eastAsia="zh-HK"/>
        </w:rPr>
        <w:t>(6): 1173–</w:t>
      </w:r>
      <w:r>
        <w:rPr>
          <w:rFonts w:ascii="Times New Roman" w:hAnsi="Times New Roman"/>
          <w:lang w:eastAsia="zh-HK"/>
        </w:rPr>
        <w:t>11</w:t>
      </w:r>
      <w:r w:rsidRPr="00A85FA5">
        <w:rPr>
          <w:rFonts w:ascii="Times New Roman" w:hAnsi="Times New Roman"/>
          <w:lang w:eastAsia="zh-HK"/>
        </w:rPr>
        <w:t>82.</w:t>
      </w:r>
    </w:p>
    <w:p w:rsidR="00A31551" w:rsidRPr="000B14F3" w:rsidRDefault="00A31551" w:rsidP="00706E97">
      <w:pPr>
        <w:ind w:firstLineChars="200" w:firstLine="480"/>
        <w:jc w:val="both"/>
        <w:rPr>
          <w:rFonts w:ascii="Times New Roman" w:hAnsi="Times New Roman"/>
          <w:lang w:eastAsia="zh-HK"/>
        </w:rPr>
      </w:pPr>
      <w:r w:rsidRPr="000B14F3">
        <w:rPr>
          <w:rFonts w:ascii="Times New Roman" w:hAnsi="Times New Roman"/>
          <w:lang w:eastAsia="zh-HK"/>
        </w:rPr>
        <w:t>Bates, R. and</w:t>
      </w:r>
      <w:r w:rsidR="005973E8" w:rsidRPr="000B14F3">
        <w:rPr>
          <w:rFonts w:ascii="Times New Roman" w:hAnsi="Times New Roman"/>
          <w:lang w:eastAsia="zh-HK"/>
        </w:rPr>
        <w:t xml:space="preserve"> S. Block</w:t>
      </w:r>
      <w:r w:rsidRPr="000B14F3">
        <w:rPr>
          <w:rFonts w:ascii="Times New Roman" w:hAnsi="Times New Roman"/>
          <w:lang w:eastAsia="zh-HK"/>
        </w:rPr>
        <w:t xml:space="preserve"> </w:t>
      </w:r>
      <w:r w:rsidR="00302503" w:rsidRPr="000B14F3">
        <w:rPr>
          <w:rFonts w:ascii="Times New Roman" w:hAnsi="Times New Roman"/>
          <w:lang w:eastAsia="zh-HK"/>
        </w:rPr>
        <w:t>(</w:t>
      </w:r>
      <w:r w:rsidRPr="000B14F3">
        <w:rPr>
          <w:rFonts w:ascii="Times New Roman" w:hAnsi="Times New Roman"/>
          <w:lang w:eastAsia="zh-HK"/>
        </w:rPr>
        <w:t>2013</w:t>
      </w:r>
      <w:r w:rsidR="00302503" w:rsidRPr="000B14F3">
        <w:rPr>
          <w:rFonts w:ascii="Times New Roman" w:hAnsi="Times New Roman"/>
          <w:lang w:eastAsia="zh-HK"/>
        </w:rPr>
        <w:t>)</w:t>
      </w:r>
      <w:r w:rsidR="005973E8" w:rsidRPr="000B14F3">
        <w:rPr>
          <w:rFonts w:ascii="Times New Roman" w:hAnsi="Times New Roman"/>
          <w:lang w:eastAsia="zh-HK"/>
        </w:rPr>
        <w:t>,</w:t>
      </w:r>
      <w:r w:rsidRPr="000B14F3">
        <w:rPr>
          <w:rFonts w:ascii="Times New Roman" w:hAnsi="Times New Roman"/>
          <w:lang w:eastAsia="zh-HK"/>
        </w:rPr>
        <w:t xml:space="preserve"> </w:t>
      </w:r>
      <w:r w:rsidR="002C6649" w:rsidRPr="000B14F3">
        <w:rPr>
          <w:rFonts w:ascii="Times New Roman" w:hAnsi="Times New Roman"/>
          <w:lang w:eastAsia="zh-HK"/>
        </w:rPr>
        <w:t>‘</w:t>
      </w:r>
      <w:r w:rsidRPr="000B14F3">
        <w:rPr>
          <w:rFonts w:ascii="Times New Roman" w:hAnsi="Times New Roman"/>
          <w:lang w:eastAsia="zh-HK"/>
        </w:rPr>
        <w:t xml:space="preserve">Revisiting African </w:t>
      </w:r>
      <w:r w:rsidR="002C6649" w:rsidRPr="000B14F3">
        <w:rPr>
          <w:rFonts w:ascii="Times New Roman" w:hAnsi="Times New Roman"/>
          <w:lang w:eastAsia="zh-HK"/>
        </w:rPr>
        <w:t>a</w:t>
      </w:r>
      <w:r w:rsidRPr="000B14F3">
        <w:rPr>
          <w:rFonts w:ascii="Times New Roman" w:hAnsi="Times New Roman"/>
          <w:lang w:eastAsia="zh-HK"/>
        </w:rPr>
        <w:t xml:space="preserve">griculture: Institutional </w:t>
      </w:r>
      <w:r w:rsidR="002C6649" w:rsidRPr="000B14F3">
        <w:rPr>
          <w:rFonts w:ascii="Times New Roman" w:hAnsi="Times New Roman"/>
          <w:lang w:eastAsia="zh-HK"/>
        </w:rPr>
        <w:t>c</w:t>
      </w:r>
      <w:r w:rsidRPr="000B14F3">
        <w:rPr>
          <w:rFonts w:ascii="Times New Roman" w:hAnsi="Times New Roman"/>
          <w:lang w:eastAsia="zh-HK"/>
        </w:rPr>
        <w:t xml:space="preserve">hange and </w:t>
      </w:r>
      <w:r w:rsidR="002C6649" w:rsidRPr="000B14F3">
        <w:rPr>
          <w:rFonts w:ascii="Times New Roman" w:hAnsi="Times New Roman"/>
          <w:lang w:eastAsia="zh-HK"/>
        </w:rPr>
        <w:t>p</w:t>
      </w:r>
      <w:r w:rsidRPr="000B14F3">
        <w:rPr>
          <w:rFonts w:ascii="Times New Roman" w:hAnsi="Times New Roman"/>
          <w:lang w:eastAsia="zh-HK"/>
        </w:rPr>
        <w:t xml:space="preserve">roductivity </w:t>
      </w:r>
      <w:r w:rsidR="002C6649" w:rsidRPr="000B14F3">
        <w:rPr>
          <w:rFonts w:ascii="Times New Roman" w:hAnsi="Times New Roman"/>
          <w:lang w:eastAsia="zh-HK"/>
        </w:rPr>
        <w:t>g</w:t>
      </w:r>
      <w:r w:rsidRPr="000B14F3">
        <w:rPr>
          <w:rFonts w:ascii="Times New Roman" w:hAnsi="Times New Roman"/>
          <w:lang w:eastAsia="zh-HK"/>
        </w:rPr>
        <w:t>rowth</w:t>
      </w:r>
      <w:r w:rsidR="002C6649"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Journal of Politics</w:t>
      </w:r>
      <w:r w:rsidRPr="000B14F3">
        <w:rPr>
          <w:rFonts w:ascii="Times New Roman" w:hAnsi="Times New Roman"/>
          <w:lang w:eastAsia="zh-HK"/>
        </w:rPr>
        <w:t xml:space="preserve"> </w:t>
      </w:r>
      <w:r w:rsidRPr="000B14F3">
        <w:rPr>
          <w:rFonts w:ascii="Times New Roman" w:hAnsi="Times New Roman"/>
          <w:b/>
          <w:lang w:eastAsia="zh-HK"/>
        </w:rPr>
        <w:t>75</w:t>
      </w:r>
      <w:r w:rsidRPr="000B14F3">
        <w:rPr>
          <w:rFonts w:ascii="Times New Roman" w:hAnsi="Times New Roman"/>
          <w:lang w:eastAsia="zh-HK"/>
        </w:rPr>
        <w:t>(2)</w:t>
      </w:r>
      <w:r w:rsidR="00ED64CA" w:rsidRPr="000B14F3">
        <w:rPr>
          <w:rFonts w:ascii="Times New Roman" w:hAnsi="Times New Roman"/>
          <w:lang w:eastAsia="zh-HK"/>
        </w:rPr>
        <w:t>:</w:t>
      </w:r>
      <w:r w:rsidRPr="000B14F3">
        <w:rPr>
          <w:rFonts w:ascii="Times New Roman" w:hAnsi="Times New Roman"/>
          <w:lang w:eastAsia="zh-HK"/>
        </w:rPr>
        <w:t xml:space="preserve"> 372-</w:t>
      </w:r>
      <w:r w:rsidR="00ED64CA" w:rsidRPr="000B14F3">
        <w:rPr>
          <w:rFonts w:ascii="Times New Roman" w:hAnsi="Times New Roman"/>
          <w:lang w:eastAsia="zh-HK"/>
        </w:rPr>
        <w:t>3</w:t>
      </w:r>
      <w:r w:rsidRPr="000B14F3">
        <w:rPr>
          <w:rFonts w:ascii="Times New Roman" w:hAnsi="Times New Roman"/>
          <w:lang w:eastAsia="zh-HK"/>
        </w:rPr>
        <w:t>84.</w:t>
      </w:r>
    </w:p>
    <w:p w:rsidR="00D72B8A" w:rsidRPr="000B14F3" w:rsidRDefault="004B2935" w:rsidP="00456084">
      <w:pPr>
        <w:ind w:firstLineChars="200" w:firstLine="480"/>
        <w:jc w:val="both"/>
        <w:rPr>
          <w:rFonts w:ascii="Times New Roman" w:hAnsi="Times New Roman"/>
          <w:lang w:eastAsia="zh-HK"/>
        </w:rPr>
      </w:pPr>
      <w:r w:rsidRPr="000B14F3">
        <w:rPr>
          <w:rFonts w:ascii="Times New Roman" w:hAnsi="Times New Roman"/>
          <w:lang w:eastAsia="zh-HK"/>
        </w:rPr>
        <w:t xml:space="preserve">Beck, N. and </w:t>
      </w:r>
      <w:r w:rsidR="004478F9" w:rsidRPr="000B14F3">
        <w:rPr>
          <w:rFonts w:ascii="Times New Roman" w:hAnsi="Times New Roman"/>
          <w:lang w:eastAsia="zh-HK"/>
        </w:rPr>
        <w:t xml:space="preserve">J. </w:t>
      </w:r>
      <w:r w:rsidRPr="000B14F3">
        <w:rPr>
          <w:rFonts w:ascii="Times New Roman" w:hAnsi="Times New Roman"/>
          <w:lang w:eastAsia="zh-HK"/>
        </w:rPr>
        <w:t>Katz (1995)</w:t>
      </w:r>
      <w:r w:rsidR="004478F9" w:rsidRPr="000B14F3">
        <w:rPr>
          <w:rFonts w:ascii="Times New Roman" w:hAnsi="Times New Roman"/>
          <w:lang w:eastAsia="zh-HK"/>
        </w:rPr>
        <w:t>,</w:t>
      </w:r>
      <w:r w:rsidRPr="000B14F3">
        <w:rPr>
          <w:rFonts w:ascii="Times New Roman" w:hAnsi="Times New Roman"/>
          <w:lang w:eastAsia="zh-HK"/>
        </w:rPr>
        <w:t xml:space="preserve"> </w:t>
      </w:r>
      <w:r w:rsidR="004478F9" w:rsidRPr="000B14F3">
        <w:rPr>
          <w:rFonts w:ascii="Times New Roman" w:hAnsi="Times New Roman"/>
          <w:lang w:eastAsia="zh-HK"/>
        </w:rPr>
        <w:t>‘</w:t>
      </w:r>
      <w:r w:rsidRPr="000B14F3">
        <w:rPr>
          <w:rFonts w:ascii="Times New Roman" w:hAnsi="Times New Roman"/>
          <w:lang w:eastAsia="zh-HK"/>
        </w:rPr>
        <w:t xml:space="preserve">What to do (and not to do) with </w:t>
      </w:r>
      <w:r w:rsidR="00811C10" w:rsidRPr="000B14F3">
        <w:rPr>
          <w:rFonts w:ascii="Times New Roman" w:hAnsi="Times New Roman"/>
          <w:lang w:eastAsia="zh-HK"/>
        </w:rPr>
        <w:t>t</w:t>
      </w:r>
      <w:r w:rsidRPr="000B14F3">
        <w:rPr>
          <w:rFonts w:ascii="Times New Roman" w:hAnsi="Times New Roman"/>
          <w:lang w:eastAsia="zh-HK"/>
        </w:rPr>
        <w:t xml:space="preserve">ime-series </w:t>
      </w:r>
      <w:r w:rsidR="00811C10" w:rsidRPr="000B14F3">
        <w:rPr>
          <w:rFonts w:ascii="Times New Roman" w:hAnsi="Times New Roman"/>
          <w:lang w:eastAsia="zh-HK"/>
        </w:rPr>
        <w:t>c</w:t>
      </w:r>
      <w:r w:rsidRPr="000B14F3">
        <w:rPr>
          <w:rFonts w:ascii="Times New Roman" w:hAnsi="Times New Roman"/>
          <w:lang w:eastAsia="zh-HK"/>
        </w:rPr>
        <w:t xml:space="preserve">ross-section </w:t>
      </w:r>
      <w:r w:rsidR="00811C10" w:rsidRPr="000B14F3">
        <w:rPr>
          <w:rFonts w:ascii="Times New Roman" w:hAnsi="Times New Roman"/>
          <w:lang w:eastAsia="zh-HK"/>
        </w:rPr>
        <w:t>d</w:t>
      </w:r>
      <w:r w:rsidRPr="000B14F3">
        <w:rPr>
          <w:rFonts w:ascii="Times New Roman" w:hAnsi="Times New Roman"/>
          <w:lang w:eastAsia="zh-HK"/>
        </w:rPr>
        <w:t>ata</w:t>
      </w:r>
      <w:r w:rsidR="00811C10"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American Political Science Review</w:t>
      </w:r>
      <w:r w:rsidRPr="000B14F3">
        <w:rPr>
          <w:rFonts w:ascii="Times New Roman" w:hAnsi="Times New Roman"/>
          <w:lang w:eastAsia="zh-HK"/>
        </w:rPr>
        <w:t xml:space="preserve"> </w:t>
      </w:r>
      <w:r w:rsidRPr="000B14F3">
        <w:rPr>
          <w:rFonts w:ascii="Times New Roman" w:hAnsi="Times New Roman"/>
          <w:b/>
          <w:lang w:eastAsia="zh-HK"/>
        </w:rPr>
        <w:t>89</w:t>
      </w:r>
      <w:r w:rsidR="00811C10" w:rsidRPr="000B14F3">
        <w:rPr>
          <w:rFonts w:ascii="Times New Roman" w:hAnsi="Times New Roman"/>
          <w:lang w:eastAsia="zh-HK"/>
        </w:rPr>
        <w:t>:</w:t>
      </w:r>
      <w:r w:rsidRPr="000B14F3">
        <w:rPr>
          <w:rFonts w:ascii="Times New Roman" w:hAnsi="Times New Roman"/>
          <w:lang w:eastAsia="zh-HK"/>
        </w:rPr>
        <w:t xml:space="preserve"> 634–</w:t>
      </w:r>
      <w:r w:rsidR="00811C10" w:rsidRPr="000B14F3">
        <w:rPr>
          <w:rFonts w:ascii="Times New Roman" w:hAnsi="Times New Roman"/>
          <w:lang w:eastAsia="zh-HK"/>
        </w:rPr>
        <w:t>6</w:t>
      </w:r>
      <w:r w:rsidRPr="000B14F3">
        <w:rPr>
          <w:rFonts w:ascii="Times New Roman" w:hAnsi="Times New Roman"/>
          <w:lang w:eastAsia="zh-HK"/>
        </w:rPr>
        <w:t>47.</w:t>
      </w:r>
    </w:p>
    <w:p w:rsidR="00706E97" w:rsidRPr="000B14F3" w:rsidRDefault="00D72B8A" w:rsidP="00456084">
      <w:pPr>
        <w:ind w:firstLineChars="200" w:firstLine="480"/>
        <w:jc w:val="both"/>
        <w:rPr>
          <w:rFonts w:ascii="Times New Roman" w:hAnsi="Times New Roman"/>
          <w:lang w:eastAsia="zh-HK"/>
        </w:rPr>
      </w:pPr>
      <w:r w:rsidRPr="000B14F3">
        <w:rPr>
          <w:rFonts w:ascii="Times New Roman" w:hAnsi="Times New Roman"/>
          <w:lang w:eastAsia="zh-HK"/>
        </w:rPr>
        <w:t xml:space="preserve">Beck, N. and </w:t>
      </w:r>
      <w:r w:rsidR="00DC30E0" w:rsidRPr="000B14F3">
        <w:rPr>
          <w:rFonts w:ascii="Times New Roman" w:hAnsi="Times New Roman"/>
          <w:lang w:eastAsia="zh-HK"/>
        </w:rPr>
        <w:t xml:space="preserve">J. </w:t>
      </w:r>
      <w:r w:rsidRPr="000B14F3">
        <w:rPr>
          <w:rFonts w:ascii="Times New Roman" w:hAnsi="Times New Roman"/>
          <w:lang w:eastAsia="zh-HK"/>
        </w:rPr>
        <w:t>Katz (2011)</w:t>
      </w:r>
      <w:r w:rsidR="00DC30E0" w:rsidRPr="000B14F3">
        <w:rPr>
          <w:rFonts w:ascii="Times New Roman" w:hAnsi="Times New Roman"/>
          <w:lang w:eastAsia="zh-HK"/>
        </w:rPr>
        <w:t>,</w:t>
      </w:r>
      <w:r w:rsidRPr="000B14F3">
        <w:rPr>
          <w:rFonts w:ascii="Times New Roman" w:hAnsi="Times New Roman"/>
          <w:lang w:eastAsia="zh-HK"/>
        </w:rPr>
        <w:t xml:space="preserve"> </w:t>
      </w:r>
      <w:r w:rsidR="00114960" w:rsidRPr="000B14F3">
        <w:rPr>
          <w:rFonts w:ascii="Times New Roman" w:hAnsi="Times New Roman"/>
          <w:lang w:eastAsia="zh-HK"/>
        </w:rPr>
        <w:t>‘</w:t>
      </w:r>
      <w:r w:rsidRPr="000B14F3">
        <w:rPr>
          <w:rFonts w:ascii="Times New Roman" w:hAnsi="Times New Roman"/>
          <w:lang w:eastAsia="zh-HK"/>
        </w:rPr>
        <w:t xml:space="preserve">Modeling </w:t>
      </w:r>
      <w:r w:rsidR="001147BA" w:rsidRPr="000B14F3">
        <w:rPr>
          <w:rFonts w:ascii="Times New Roman" w:hAnsi="Times New Roman"/>
          <w:lang w:eastAsia="zh-HK"/>
        </w:rPr>
        <w:t>d</w:t>
      </w:r>
      <w:r w:rsidRPr="000B14F3">
        <w:rPr>
          <w:rFonts w:ascii="Times New Roman" w:hAnsi="Times New Roman"/>
          <w:lang w:eastAsia="zh-HK"/>
        </w:rPr>
        <w:t xml:space="preserve">ynamics in </w:t>
      </w:r>
      <w:r w:rsidR="001147BA" w:rsidRPr="000B14F3">
        <w:rPr>
          <w:rFonts w:ascii="Times New Roman" w:hAnsi="Times New Roman"/>
          <w:lang w:eastAsia="zh-HK"/>
        </w:rPr>
        <w:t>t</w:t>
      </w:r>
      <w:r w:rsidRPr="000B14F3">
        <w:rPr>
          <w:rFonts w:ascii="Times New Roman" w:hAnsi="Times New Roman"/>
          <w:lang w:eastAsia="zh-HK"/>
        </w:rPr>
        <w:t>ime-</w:t>
      </w:r>
      <w:r w:rsidR="001147BA" w:rsidRPr="000B14F3">
        <w:rPr>
          <w:rFonts w:ascii="Times New Roman" w:hAnsi="Times New Roman"/>
          <w:lang w:eastAsia="zh-HK"/>
        </w:rPr>
        <w:t>s</w:t>
      </w:r>
      <w:r w:rsidRPr="000B14F3">
        <w:rPr>
          <w:rFonts w:ascii="Times New Roman" w:hAnsi="Times New Roman"/>
          <w:lang w:eastAsia="zh-HK"/>
        </w:rPr>
        <w:t>eries-</w:t>
      </w:r>
      <w:r w:rsidR="001147BA" w:rsidRPr="000B14F3">
        <w:rPr>
          <w:rFonts w:ascii="Times New Roman" w:hAnsi="Times New Roman"/>
          <w:lang w:eastAsia="zh-HK"/>
        </w:rPr>
        <w:t>c</w:t>
      </w:r>
      <w:r w:rsidRPr="000B14F3">
        <w:rPr>
          <w:rFonts w:ascii="Times New Roman" w:hAnsi="Times New Roman"/>
          <w:lang w:eastAsia="zh-HK"/>
        </w:rPr>
        <w:t>ross-</w:t>
      </w:r>
      <w:r w:rsidR="001147BA" w:rsidRPr="000B14F3">
        <w:rPr>
          <w:rFonts w:ascii="Times New Roman" w:hAnsi="Times New Roman"/>
          <w:lang w:eastAsia="zh-HK"/>
        </w:rPr>
        <w:t>s</w:t>
      </w:r>
      <w:r w:rsidRPr="000B14F3">
        <w:rPr>
          <w:rFonts w:ascii="Times New Roman" w:hAnsi="Times New Roman"/>
          <w:lang w:eastAsia="zh-HK"/>
        </w:rPr>
        <w:t xml:space="preserve">ection </w:t>
      </w:r>
      <w:r w:rsidR="00EA6303" w:rsidRPr="000B14F3">
        <w:rPr>
          <w:rFonts w:ascii="Times New Roman" w:hAnsi="Times New Roman"/>
          <w:lang w:eastAsia="zh-HK"/>
        </w:rPr>
        <w:t>p</w:t>
      </w:r>
      <w:r w:rsidRPr="000B14F3">
        <w:rPr>
          <w:rFonts w:ascii="Times New Roman" w:hAnsi="Times New Roman"/>
          <w:lang w:eastAsia="zh-HK"/>
        </w:rPr>
        <w:t xml:space="preserve">olitical </w:t>
      </w:r>
      <w:r w:rsidR="00EA6303" w:rsidRPr="000B14F3">
        <w:rPr>
          <w:rFonts w:ascii="Times New Roman" w:hAnsi="Times New Roman"/>
          <w:lang w:eastAsia="zh-HK"/>
        </w:rPr>
        <w:t>e</w:t>
      </w:r>
      <w:r w:rsidRPr="000B14F3">
        <w:rPr>
          <w:rFonts w:ascii="Times New Roman" w:hAnsi="Times New Roman"/>
          <w:lang w:eastAsia="zh-HK"/>
        </w:rPr>
        <w:t xml:space="preserve">conomy </w:t>
      </w:r>
      <w:r w:rsidR="00EA6303" w:rsidRPr="000B14F3">
        <w:rPr>
          <w:rFonts w:ascii="Times New Roman" w:hAnsi="Times New Roman"/>
          <w:lang w:eastAsia="zh-HK"/>
        </w:rPr>
        <w:t>d</w:t>
      </w:r>
      <w:r w:rsidRPr="000B14F3">
        <w:rPr>
          <w:rFonts w:ascii="Times New Roman" w:hAnsi="Times New Roman"/>
          <w:lang w:eastAsia="zh-HK"/>
        </w:rPr>
        <w:t>ata</w:t>
      </w:r>
      <w:r w:rsidR="00EA6303"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Annual Review of Political Science</w:t>
      </w:r>
      <w:r w:rsidRPr="000B14F3">
        <w:rPr>
          <w:rFonts w:ascii="Times New Roman" w:hAnsi="Times New Roman"/>
          <w:lang w:eastAsia="zh-HK"/>
        </w:rPr>
        <w:t xml:space="preserve"> </w:t>
      </w:r>
      <w:r w:rsidRPr="000B14F3">
        <w:rPr>
          <w:rFonts w:ascii="Times New Roman" w:hAnsi="Times New Roman"/>
          <w:b/>
          <w:lang w:eastAsia="zh-HK"/>
        </w:rPr>
        <w:t>14</w:t>
      </w:r>
      <w:r w:rsidR="00DD29CB" w:rsidRPr="000B14F3">
        <w:rPr>
          <w:rFonts w:ascii="Times New Roman" w:hAnsi="Times New Roman"/>
          <w:lang w:eastAsia="zh-HK"/>
        </w:rPr>
        <w:t>:</w:t>
      </w:r>
      <w:r w:rsidRPr="000B14F3">
        <w:rPr>
          <w:rFonts w:ascii="Times New Roman" w:hAnsi="Times New Roman"/>
          <w:lang w:eastAsia="zh-HK"/>
        </w:rPr>
        <w:t xml:space="preserve"> 331-</w:t>
      </w:r>
      <w:r w:rsidR="00DD29CB" w:rsidRPr="000B14F3">
        <w:rPr>
          <w:rFonts w:ascii="Times New Roman" w:hAnsi="Times New Roman"/>
          <w:lang w:eastAsia="zh-HK"/>
        </w:rPr>
        <w:t>3</w:t>
      </w:r>
      <w:r w:rsidRPr="000B14F3">
        <w:rPr>
          <w:rFonts w:ascii="Times New Roman" w:hAnsi="Times New Roman"/>
          <w:lang w:eastAsia="zh-HK"/>
        </w:rPr>
        <w:t>52.</w:t>
      </w:r>
    </w:p>
    <w:p w:rsidR="000B176E" w:rsidRPr="000B14F3" w:rsidRDefault="000B176E" w:rsidP="000B176E">
      <w:pPr>
        <w:ind w:firstLineChars="200" w:firstLine="480"/>
        <w:jc w:val="both"/>
        <w:rPr>
          <w:rFonts w:ascii="Times New Roman" w:hAnsi="Times New Roman"/>
          <w:lang w:eastAsia="zh-HK"/>
        </w:rPr>
      </w:pPr>
      <w:r w:rsidRPr="000B14F3">
        <w:rPr>
          <w:rFonts w:ascii="Times New Roman" w:hAnsi="Times New Roman"/>
          <w:lang w:eastAsia="zh-HK"/>
        </w:rPr>
        <w:t>Behr, A. (2003)</w:t>
      </w:r>
      <w:r w:rsidR="00415E76" w:rsidRPr="000B14F3">
        <w:rPr>
          <w:rFonts w:ascii="Times New Roman" w:hAnsi="Times New Roman"/>
          <w:lang w:eastAsia="zh-HK"/>
        </w:rPr>
        <w:t>,</w:t>
      </w:r>
      <w:r w:rsidRPr="000B14F3">
        <w:rPr>
          <w:rFonts w:ascii="Times New Roman" w:hAnsi="Times New Roman"/>
          <w:lang w:eastAsia="zh-HK"/>
        </w:rPr>
        <w:t xml:space="preserve"> </w:t>
      </w:r>
      <w:r w:rsidR="00415E76" w:rsidRPr="000B14F3">
        <w:rPr>
          <w:rFonts w:ascii="Times New Roman" w:hAnsi="Times New Roman"/>
          <w:lang w:eastAsia="zh-HK"/>
        </w:rPr>
        <w:t>‘</w:t>
      </w:r>
      <w:r w:rsidRPr="000B14F3">
        <w:rPr>
          <w:rFonts w:ascii="Times New Roman" w:hAnsi="Times New Roman"/>
          <w:lang w:eastAsia="zh-HK"/>
        </w:rPr>
        <w:t xml:space="preserve">A </w:t>
      </w:r>
      <w:r w:rsidR="007F5246" w:rsidRPr="000B14F3">
        <w:rPr>
          <w:rFonts w:ascii="Times New Roman" w:hAnsi="Times New Roman"/>
          <w:lang w:eastAsia="zh-HK"/>
        </w:rPr>
        <w:t>c</w:t>
      </w:r>
      <w:r w:rsidRPr="000B14F3">
        <w:rPr>
          <w:rFonts w:ascii="Times New Roman" w:hAnsi="Times New Roman"/>
          <w:lang w:eastAsia="zh-HK"/>
        </w:rPr>
        <w:t xml:space="preserve">omparison of </w:t>
      </w:r>
      <w:r w:rsidR="007F5246" w:rsidRPr="000B14F3">
        <w:rPr>
          <w:rFonts w:ascii="Times New Roman" w:hAnsi="Times New Roman"/>
          <w:lang w:eastAsia="zh-HK"/>
        </w:rPr>
        <w:t>d</w:t>
      </w:r>
      <w:r w:rsidRPr="000B14F3">
        <w:rPr>
          <w:rFonts w:ascii="Times New Roman" w:hAnsi="Times New Roman"/>
          <w:lang w:eastAsia="zh-HK"/>
        </w:rPr>
        <w:t xml:space="preserve">ynamic </w:t>
      </w:r>
      <w:r w:rsidR="007F5246" w:rsidRPr="000B14F3">
        <w:rPr>
          <w:rFonts w:ascii="Times New Roman" w:hAnsi="Times New Roman"/>
          <w:lang w:eastAsia="zh-HK"/>
        </w:rPr>
        <w:t>p</w:t>
      </w:r>
      <w:r w:rsidRPr="000B14F3">
        <w:rPr>
          <w:rFonts w:ascii="Times New Roman" w:hAnsi="Times New Roman"/>
          <w:lang w:eastAsia="zh-HK"/>
        </w:rPr>
        <w:t xml:space="preserve">anel </w:t>
      </w:r>
      <w:r w:rsidR="007F5246" w:rsidRPr="000B14F3">
        <w:rPr>
          <w:rFonts w:ascii="Times New Roman" w:hAnsi="Times New Roman"/>
          <w:lang w:eastAsia="zh-HK"/>
        </w:rPr>
        <w:t>d</w:t>
      </w:r>
      <w:r w:rsidRPr="000B14F3">
        <w:rPr>
          <w:rFonts w:ascii="Times New Roman" w:hAnsi="Times New Roman"/>
          <w:lang w:eastAsia="zh-HK"/>
        </w:rPr>
        <w:t xml:space="preserve">ata </w:t>
      </w:r>
      <w:r w:rsidR="007F5246" w:rsidRPr="000B14F3">
        <w:rPr>
          <w:rFonts w:ascii="Times New Roman" w:hAnsi="Times New Roman"/>
          <w:lang w:eastAsia="zh-HK"/>
        </w:rPr>
        <w:t>e</w:t>
      </w:r>
      <w:r w:rsidRPr="000B14F3">
        <w:rPr>
          <w:rFonts w:ascii="Times New Roman" w:hAnsi="Times New Roman"/>
          <w:lang w:eastAsia="zh-HK"/>
        </w:rPr>
        <w:t xml:space="preserve">stimators: Monte Carlo </w:t>
      </w:r>
      <w:r w:rsidR="007F5246" w:rsidRPr="000B14F3">
        <w:rPr>
          <w:rFonts w:ascii="Times New Roman" w:hAnsi="Times New Roman"/>
          <w:lang w:eastAsia="zh-HK"/>
        </w:rPr>
        <w:t>e</w:t>
      </w:r>
      <w:r w:rsidRPr="000B14F3">
        <w:rPr>
          <w:rFonts w:ascii="Times New Roman" w:hAnsi="Times New Roman"/>
          <w:lang w:eastAsia="zh-HK"/>
        </w:rPr>
        <w:t xml:space="preserve">vidence and an </w:t>
      </w:r>
      <w:r w:rsidR="007F5246" w:rsidRPr="000B14F3">
        <w:rPr>
          <w:rFonts w:ascii="Times New Roman" w:hAnsi="Times New Roman"/>
          <w:lang w:eastAsia="zh-HK"/>
        </w:rPr>
        <w:t>a</w:t>
      </w:r>
      <w:r w:rsidRPr="000B14F3">
        <w:rPr>
          <w:rFonts w:ascii="Times New Roman" w:hAnsi="Times New Roman"/>
          <w:lang w:eastAsia="zh-HK"/>
        </w:rPr>
        <w:t xml:space="preserve">pplication to the </w:t>
      </w:r>
      <w:r w:rsidR="007F5246" w:rsidRPr="000B14F3">
        <w:rPr>
          <w:rFonts w:ascii="Times New Roman" w:hAnsi="Times New Roman"/>
          <w:lang w:eastAsia="zh-HK"/>
        </w:rPr>
        <w:t>i</w:t>
      </w:r>
      <w:r w:rsidRPr="000B14F3">
        <w:rPr>
          <w:rFonts w:ascii="Times New Roman" w:hAnsi="Times New Roman"/>
          <w:lang w:eastAsia="zh-HK"/>
        </w:rPr>
        <w:t xml:space="preserve">nvestment </w:t>
      </w:r>
      <w:r w:rsidR="007F5246" w:rsidRPr="000B14F3">
        <w:rPr>
          <w:rFonts w:ascii="Times New Roman" w:hAnsi="Times New Roman"/>
          <w:lang w:eastAsia="zh-HK"/>
        </w:rPr>
        <w:t>f</w:t>
      </w:r>
      <w:r w:rsidRPr="000B14F3">
        <w:rPr>
          <w:rFonts w:ascii="Times New Roman" w:hAnsi="Times New Roman"/>
          <w:lang w:eastAsia="zh-HK"/>
        </w:rPr>
        <w:t>unction</w:t>
      </w:r>
      <w:r w:rsidR="00E27A78" w:rsidRPr="000B14F3">
        <w:rPr>
          <w:rFonts w:ascii="Times New Roman" w:hAnsi="Times New Roman"/>
          <w:lang w:eastAsia="zh-HK"/>
        </w:rPr>
        <w:t>’</w:t>
      </w:r>
      <w:r w:rsidR="000A2EFF" w:rsidRPr="000B14F3">
        <w:rPr>
          <w:rFonts w:ascii="Times New Roman" w:hAnsi="Times New Roman"/>
          <w:lang w:eastAsia="zh-HK"/>
        </w:rPr>
        <w:t>,</w:t>
      </w:r>
      <w:r w:rsidRPr="000B14F3">
        <w:rPr>
          <w:rFonts w:ascii="Times New Roman" w:hAnsi="Times New Roman"/>
          <w:lang w:eastAsia="zh-HK"/>
        </w:rPr>
        <w:t xml:space="preserve"> Discussion </w:t>
      </w:r>
      <w:r w:rsidR="00B143C5" w:rsidRPr="000B14F3">
        <w:rPr>
          <w:rFonts w:ascii="Times New Roman" w:hAnsi="Times New Roman"/>
          <w:lang w:eastAsia="zh-HK"/>
        </w:rPr>
        <w:t>P</w:t>
      </w:r>
      <w:r w:rsidRPr="000B14F3">
        <w:rPr>
          <w:rFonts w:ascii="Times New Roman" w:hAnsi="Times New Roman"/>
          <w:lang w:eastAsia="zh-HK"/>
        </w:rPr>
        <w:t>aper 05/03, Economic Research Centre of the Deutsche Bundesbank.</w:t>
      </w:r>
    </w:p>
    <w:p w:rsidR="00022578" w:rsidRPr="000B14F3" w:rsidRDefault="00022578" w:rsidP="000B176E">
      <w:pPr>
        <w:ind w:firstLineChars="200" w:firstLine="480"/>
        <w:jc w:val="both"/>
        <w:rPr>
          <w:rFonts w:ascii="Times New Roman" w:hAnsi="Times New Roman"/>
          <w:lang w:eastAsia="zh-HK"/>
        </w:rPr>
      </w:pPr>
      <w:r w:rsidRPr="000B14F3">
        <w:rPr>
          <w:rFonts w:ascii="Times New Roman" w:hAnsi="Times New Roman"/>
          <w:szCs w:val="24"/>
        </w:rPr>
        <w:t xml:space="preserve">Beramendi, </w:t>
      </w:r>
      <w:r w:rsidR="004E3E9C" w:rsidRPr="000B14F3">
        <w:rPr>
          <w:rFonts w:ascii="Times New Roman" w:hAnsi="Times New Roman"/>
          <w:szCs w:val="24"/>
        </w:rPr>
        <w:t>P.</w:t>
      </w:r>
      <w:r w:rsidRPr="000B14F3">
        <w:rPr>
          <w:rFonts w:ascii="Times New Roman" w:hAnsi="Times New Roman"/>
          <w:szCs w:val="24"/>
        </w:rPr>
        <w:t xml:space="preserve"> and T. Cusack (2009)</w:t>
      </w:r>
      <w:r w:rsidR="00C1779A" w:rsidRPr="000B14F3">
        <w:rPr>
          <w:rFonts w:ascii="Times New Roman" w:hAnsi="Times New Roman"/>
          <w:szCs w:val="24"/>
        </w:rPr>
        <w:t>,</w:t>
      </w:r>
      <w:r w:rsidR="004E3E9C" w:rsidRPr="000B14F3">
        <w:rPr>
          <w:rFonts w:ascii="Times New Roman" w:hAnsi="Times New Roman"/>
          <w:szCs w:val="24"/>
        </w:rPr>
        <w:t xml:space="preserve"> </w:t>
      </w:r>
      <w:r w:rsidR="00C1779A" w:rsidRPr="000B14F3">
        <w:rPr>
          <w:rFonts w:ascii="Times New Roman" w:hAnsi="Times New Roman"/>
          <w:szCs w:val="24"/>
        </w:rPr>
        <w:t>‘</w:t>
      </w:r>
      <w:r w:rsidRPr="000B14F3">
        <w:rPr>
          <w:rFonts w:ascii="Times New Roman" w:hAnsi="Times New Roman"/>
          <w:szCs w:val="24"/>
        </w:rPr>
        <w:t xml:space="preserve">Diverse </w:t>
      </w:r>
      <w:r w:rsidR="005A0E70" w:rsidRPr="000B14F3">
        <w:rPr>
          <w:rFonts w:ascii="Times New Roman" w:hAnsi="Times New Roman"/>
          <w:szCs w:val="24"/>
        </w:rPr>
        <w:t>d</w:t>
      </w:r>
      <w:r w:rsidRPr="000B14F3">
        <w:rPr>
          <w:rFonts w:ascii="Times New Roman" w:hAnsi="Times New Roman"/>
          <w:szCs w:val="24"/>
        </w:rPr>
        <w:t xml:space="preserve">isparities: The </w:t>
      </w:r>
      <w:r w:rsidR="005A0E70" w:rsidRPr="000B14F3">
        <w:rPr>
          <w:rFonts w:ascii="Times New Roman" w:hAnsi="Times New Roman"/>
          <w:szCs w:val="24"/>
        </w:rPr>
        <w:t>p</w:t>
      </w:r>
      <w:r w:rsidRPr="000B14F3">
        <w:rPr>
          <w:rFonts w:ascii="Times New Roman" w:hAnsi="Times New Roman"/>
          <w:szCs w:val="24"/>
        </w:rPr>
        <w:t xml:space="preserve">olitics and </w:t>
      </w:r>
      <w:r w:rsidR="005A0E70" w:rsidRPr="000B14F3">
        <w:rPr>
          <w:rFonts w:ascii="Times New Roman" w:hAnsi="Times New Roman"/>
          <w:szCs w:val="24"/>
        </w:rPr>
        <w:t>e</w:t>
      </w:r>
      <w:r w:rsidRPr="000B14F3">
        <w:rPr>
          <w:rFonts w:ascii="Times New Roman" w:hAnsi="Times New Roman"/>
          <w:szCs w:val="24"/>
        </w:rPr>
        <w:t xml:space="preserve">conomics of </w:t>
      </w:r>
      <w:r w:rsidR="005A0E70" w:rsidRPr="000B14F3">
        <w:rPr>
          <w:rFonts w:ascii="Times New Roman" w:hAnsi="Times New Roman"/>
          <w:szCs w:val="24"/>
        </w:rPr>
        <w:t>w</w:t>
      </w:r>
      <w:r w:rsidRPr="000B14F3">
        <w:rPr>
          <w:rFonts w:ascii="Times New Roman" w:hAnsi="Times New Roman"/>
          <w:szCs w:val="24"/>
        </w:rPr>
        <w:t xml:space="preserve">age, </w:t>
      </w:r>
      <w:r w:rsidR="005A0E70" w:rsidRPr="000B14F3">
        <w:rPr>
          <w:rFonts w:ascii="Times New Roman" w:hAnsi="Times New Roman"/>
          <w:szCs w:val="24"/>
        </w:rPr>
        <w:t>m</w:t>
      </w:r>
      <w:r w:rsidRPr="000B14F3">
        <w:rPr>
          <w:rFonts w:ascii="Times New Roman" w:hAnsi="Times New Roman"/>
          <w:szCs w:val="24"/>
        </w:rPr>
        <w:t xml:space="preserve">arket and </w:t>
      </w:r>
      <w:r w:rsidR="005A0E70" w:rsidRPr="000B14F3">
        <w:rPr>
          <w:rFonts w:ascii="Times New Roman" w:hAnsi="Times New Roman"/>
          <w:szCs w:val="24"/>
        </w:rPr>
        <w:t>d</w:t>
      </w:r>
      <w:r w:rsidRPr="000B14F3">
        <w:rPr>
          <w:rFonts w:ascii="Times New Roman" w:hAnsi="Times New Roman"/>
          <w:szCs w:val="24"/>
        </w:rPr>
        <w:t xml:space="preserve">isposable </w:t>
      </w:r>
      <w:r w:rsidR="005A0E70" w:rsidRPr="000B14F3">
        <w:rPr>
          <w:rFonts w:ascii="Times New Roman" w:hAnsi="Times New Roman"/>
          <w:szCs w:val="24"/>
        </w:rPr>
        <w:t>i</w:t>
      </w:r>
      <w:r w:rsidRPr="000B14F3">
        <w:rPr>
          <w:rFonts w:ascii="Times New Roman" w:hAnsi="Times New Roman"/>
          <w:szCs w:val="24"/>
        </w:rPr>
        <w:t xml:space="preserve">ncome </w:t>
      </w:r>
      <w:r w:rsidR="005A0E70" w:rsidRPr="000B14F3">
        <w:rPr>
          <w:rFonts w:ascii="Times New Roman" w:hAnsi="Times New Roman"/>
          <w:szCs w:val="24"/>
        </w:rPr>
        <w:t>i</w:t>
      </w:r>
      <w:r w:rsidRPr="000B14F3">
        <w:rPr>
          <w:rFonts w:ascii="Times New Roman" w:hAnsi="Times New Roman"/>
          <w:szCs w:val="24"/>
        </w:rPr>
        <w:t>nequalities</w:t>
      </w:r>
      <w:r w:rsidR="005A0E70" w:rsidRPr="000B14F3">
        <w:rPr>
          <w:rFonts w:ascii="Times New Roman" w:hAnsi="Times New Roman"/>
          <w:szCs w:val="24"/>
        </w:rPr>
        <w:t>’</w:t>
      </w:r>
      <w:r w:rsidR="004E3E9C" w:rsidRPr="000B14F3">
        <w:rPr>
          <w:rFonts w:ascii="Times New Roman" w:hAnsi="Times New Roman"/>
          <w:szCs w:val="24"/>
        </w:rPr>
        <w:t>,</w:t>
      </w:r>
      <w:r w:rsidRPr="000B14F3">
        <w:rPr>
          <w:rFonts w:ascii="Times New Roman" w:hAnsi="Times New Roman"/>
          <w:szCs w:val="24"/>
        </w:rPr>
        <w:t xml:space="preserve"> </w:t>
      </w:r>
      <w:r w:rsidRPr="000B14F3">
        <w:rPr>
          <w:rFonts w:ascii="Times New Roman" w:hAnsi="Times New Roman"/>
          <w:i/>
          <w:szCs w:val="24"/>
        </w:rPr>
        <w:t>Political Research Quarterly</w:t>
      </w:r>
      <w:r w:rsidRPr="000B14F3">
        <w:rPr>
          <w:rFonts w:ascii="Times New Roman" w:hAnsi="Times New Roman"/>
          <w:szCs w:val="24"/>
        </w:rPr>
        <w:t xml:space="preserve"> </w:t>
      </w:r>
      <w:r w:rsidRPr="000B14F3">
        <w:rPr>
          <w:rFonts w:ascii="Times New Roman" w:hAnsi="Times New Roman"/>
          <w:b/>
          <w:szCs w:val="24"/>
        </w:rPr>
        <w:t>62</w:t>
      </w:r>
      <w:r w:rsidRPr="000B14F3">
        <w:rPr>
          <w:rFonts w:ascii="Times New Roman" w:hAnsi="Times New Roman"/>
          <w:szCs w:val="24"/>
        </w:rPr>
        <w:t>(2): 257-</w:t>
      </w:r>
      <w:r w:rsidR="00D46D42" w:rsidRPr="000B14F3">
        <w:rPr>
          <w:rFonts w:ascii="Times New Roman" w:hAnsi="Times New Roman"/>
          <w:szCs w:val="24"/>
        </w:rPr>
        <w:t>2</w:t>
      </w:r>
      <w:r w:rsidRPr="000B14F3">
        <w:rPr>
          <w:rFonts w:ascii="Times New Roman" w:hAnsi="Times New Roman"/>
          <w:szCs w:val="24"/>
        </w:rPr>
        <w:t>75.</w:t>
      </w:r>
    </w:p>
    <w:p w:rsidR="00CC5148" w:rsidRPr="000B14F3" w:rsidRDefault="00CC5148" w:rsidP="000B176E">
      <w:pPr>
        <w:ind w:firstLineChars="200" w:firstLine="480"/>
        <w:jc w:val="both"/>
        <w:rPr>
          <w:rFonts w:ascii="Times New Roman" w:hAnsi="Times New Roman"/>
          <w:lang w:eastAsia="zh-HK"/>
        </w:rPr>
      </w:pPr>
      <w:r w:rsidRPr="000B14F3">
        <w:rPr>
          <w:rFonts w:ascii="Times New Roman" w:hAnsi="Times New Roman"/>
          <w:lang w:eastAsia="zh-HK"/>
        </w:rPr>
        <w:t xml:space="preserve">Brady, </w:t>
      </w:r>
      <w:r w:rsidR="00302503" w:rsidRPr="000B14F3">
        <w:rPr>
          <w:rFonts w:ascii="Times New Roman" w:hAnsi="Times New Roman"/>
          <w:lang w:eastAsia="zh-HK"/>
        </w:rPr>
        <w:t>D.</w:t>
      </w:r>
      <w:r w:rsidRPr="000B14F3">
        <w:rPr>
          <w:rFonts w:ascii="Times New Roman" w:hAnsi="Times New Roman"/>
          <w:lang w:eastAsia="zh-HK"/>
        </w:rPr>
        <w:t xml:space="preserve">, </w:t>
      </w:r>
      <w:r w:rsidR="00727EBC" w:rsidRPr="000B14F3">
        <w:rPr>
          <w:rFonts w:ascii="Times New Roman" w:hAnsi="Times New Roman"/>
          <w:lang w:eastAsia="zh-HK"/>
        </w:rPr>
        <w:t xml:space="preserve">E. </w:t>
      </w:r>
      <w:r w:rsidRPr="000B14F3">
        <w:rPr>
          <w:rFonts w:ascii="Times New Roman" w:hAnsi="Times New Roman"/>
          <w:lang w:eastAsia="zh-HK"/>
        </w:rPr>
        <w:t>Huber</w:t>
      </w:r>
      <w:r w:rsidR="00302503" w:rsidRPr="000B14F3">
        <w:rPr>
          <w:rFonts w:ascii="Times New Roman" w:hAnsi="Times New Roman"/>
          <w:lang w:eastAsia="zh-HK"/>
        </w:rPr>
        <w:t xml:space="preserve"> </w:t>
      </w:r>
      <w:r w:rsidRPr="000B14F3">
        <w:rPr>
          <w:rFonts w:ascii="Times New Roman" w:hAnsi="Times New Roman"/>
          <w:lang w:eastAsia="zh-HK"/>
        </w:rPr>
        <w:t xml:space="preserve">and </w:t>
      </w:r>
      <w:r w:rsidR="00727EBC" w:rsidRPr="000B14F3">
        <w:rPr>
          <w:rFonts w:ascii="Times New Roman" w:hAnsi="Times New Roman"/>
          <w:lang w:eastAsia="zh-HK"/>
        </w:rPr>
        <w:t xml:space="preserve">J.D. </w:t>
      </w:r>
      <w:r w:rsidRPr="000B14F3">
        <w:rPr>
          <w:rFonts w:ascii="Times New Roman" w:hAnsi="Times New Roman"/>
          <w:lang w:eastAsia="zh-HK"/>
        </w:rPr>
        <w:t>Stephens</w:t>
      </w:r>
      <w:r w:rsidR="00302503" w:rsidRPr="000B14F3">
        <w:rPr>
          <w:rFonts w:ascii="Times New Roman" w:hAnsi="Times New Roman"/>
          <w:lang w:eastAsia="zh-HK"/>
        </w:rPr>
        <w:t xml:space="preserve"> (</w:t>
      </w:r>
      <w:r w:rsidRPr="000B14F3">
        <w:rPr>
          <w:rFonts w:ascii="Times New Roman" w:hAnsi="Times New Roman"/>
          <w:lang w:eastAsia="zh-HK"/>
        </w:rPr>
        <w:t>2014</w:t>
      </w:r>
      <w:r w:rsidR="00302503" w:rsidRPr="000B14F3">
        <w:rPr>
          <w:rFonts w:ascii="Times New Roman" w:hAnsi="Times New Roman"/>
          <w:lang w:eastAsia="zh-HK"/>
        </w:rPr>
        <w:t>)</w:t>
      </w:r>
      <w:r w:rsidR="00620861" w:rsidRPr="000B14F3">
        <w:rPr>
          <w:rFonts w:ascii="Times New Roman" w:hAnsi="Times New Roman"/>
          <w:lang w:eastAsia="zh-HK"/>
        </w:rPr>
        <w:t>,</w:t>
      </w:r>
      <w:r w:rsidRPr="000B14F3">
        <w:rPr>
          <w:rFonts w:ascii="Times New Roman" w:hAnsi="Times New Roman"/>
          <w:lang w:eastAsia="zh-HK"/>
        </w:rPr>
        <w:t xml:space="preserve"> Comparative </w:t>
      </w:r>
      <w:r w:rsidR="00755727" w:rsidRPr="000B14F3">
        <w:rPr>
          <w:rFonts w:ascii="Times New Roman" w:hAnsi="Times New Roman"/>
          <w:lang w:eastAsia="zh-HK"/>
        </w:rPr>
        <w:t>w</w:t>
      </w:r>
      <w:r w:rsidRPr="000B14F3">
        <w:rPr>
          <w:rFonts w:ascii="Times New Roman" w:hAnsi="Times New Roman"/>
          <w:lang w:eastAsia="zh-HK"/>
        </w:rPr>
        <w:t xml:space="preserve">elfare </w:t>
      </w:r>
      <w:r w:rsidR="00755727" w:rsidRPr="000B14F3">
        <w:rPr>
          <w:rFonts w:ascii="Times New Roman" w:hAnsi="Times New Roman"/>
          <w:lang w:eastAsia="zh-HK"/>
        </w:rPr>
        <w:t>s</w:t>
      </w:r>
      <w:r w:rsidRPr="000B14F3">
        <w:rPr>
          <w:rFonts w:ascii="Times New Roman" w:hAnsi="Times New Roman"/>
          <w:lang w:eastAsia="zh-HK"/>
        </w:rPr>
        <w:t xml:space="preserve">tates </w:t>
      </w:r>
      <w:r w:rsidR="00755727" w:rsidRPr="000B14F3">
        <w:rPr>
          <w:rFonts w:ascii="Times New Roman" w:hAnsi="Times New Roman"/>
          <w:lang w:eastAsia="zh-HK"/>
        </w:rPr>
        <w:t>d</w:t>
      </w:r>
      <w:r w:rsidRPr="000B14F3">
        <w:rPr>
          <w:rFonts w:ascii="Times New Roman" w:hAnsi="Times New Roman"/>
          <w:lang w:eastAsia="zh-HK"/>
        </w:rPr>
        <w:t xml:space="preserve">ata </w:t>
      </w:r>
      <w:r w:rsidR="00755727" w:rsidRPr="000B14F3">
        <w:rPr>
          <w:rFonts w:ascii="Times New Roman" w:hAnsi="Times New Roman"/>
          <w:lang w:eastAsia="zh-HK"/>
        </w:rPr>
        <w:t>s</w:t>
      </w:r>
      <w:r w:rsidRPr="000B14F3">
        <w:rPr>
          <w:rFonts w:ascii="Times New Roman" w:hAnsi="Times New Roman"/>
          <w:lang w:eastAsia="zh-HK"/>
        </w:rPr>
        <w:t>et, University of North Carolina and WZB Berlin Social Science Center.</w:t>
      </w:r>
    </w:p>
    <w:p w:rsidR="002A32E4" w:rsidRPr="000B14F3" w:rsidRDefault="002A32E4" w:rsidP="002A32E4">
      <w:pPr>
        <w:ind w:firstLineChars="200" w:firstLine="480"/>
        <w:jc w:val="both"/>
        <w:rPr>
          <w:rFonts w:ascii="Times New Roman" w:hAnsi="Times New Roman"/>
          <w:lang w:eastAsia="zh-HK"/>
        </w:rPr>
      </w:pPr>
      <w:r w:rsidRPr="000B14F3">
        <w:rPr>
          <w:rFonts w:ascii="Times New Roman" w:hAnsi="Times New Roman"/>
          <w:lang w:eastAsia="zh-HK"/>
        </w:rPr>
        <w:t xml:space="preserve">Brambor, T., </w:t>
      </w:r>
      <w:r w:rsidR="007858D8" w:rsidRPr="000B14F3">
        <w:rPr>
          <w:rFonts w:ascii="Times New Roman" w:hAnsi="Times New Roman"/>
          <w:lang w:eastAsia="zh-HK"/>
        </w:rPr>
        <w:t>W. Clark</w:t>
      </w:r>
      <w:r w:rsidRPr="000B14F3">
        <w:rPr>
          <w:rFonts w:ascii="Times New Roman" w:hAnsi="Times New Roman"/>
          <w:lang w:eastAsia="zh-HK"/>
        </w:rPr>
        <w:t xml:space="preserve"> and </w:t>
      </w:r>
      <w:r w:rsidR="007858D8" w:rsidRPr="000B14F3">
        <w:rPr>
          <w:rFonts w:ascii="Times New Roman" w:hAnsi="Times New Roman"/>
          <w:lang w:eastAsia="zh-HK"/>
        </w:rPr>
        <w:t>M. Golder</w:t>
      </w:r>
      <w:r w:rsidRPr="000B14F3">
        <w:rPr>
          <w:rFonts w:ascii="Times New Roman" w:hAnsi="Times New Roman"/>
          <w:lang w:eastAsia="zh-HK"/>
        </w:rPr>
        <w:t xml:space="preserve"> (2006)</w:t>
      </w:r>
      <w:r w:rsidR="007858D8" w:rsidRPr="000B14F3">
        <w:rPr>
          <w:rFonts w:ascii="Times New Roman" w:hAnsi="Times New Roman"/>
          <w:lang w:eastAsia="zh-HK"/>
        </w:rPr>
        <w:t>,</w:t>
      </w:r>
      <w:r w:rsidRPr="000B14F3">
        <w:rPr>
          <w:rFonts w:ascii="Times New Roman" w:hAnsi="Times New Roman"/>
          <w:lang w:eastAsia="zh-HK"/>
        </w:rPr>
        <w:t xml:space="preserve"> </w:t>
      </w:r>
      <w:r w:rsidR="007858D8" w:rsidRPr="000B14F3">
        <w:rPr>
          <w:rFonts w:ascii="Times New Roman" w:hAnsi="Times New Roman"/>
          <w:lang w:eastAsia="zh-HK"/>
        </w:rPr>
        <w:t>‘</w:t>
      </w:r>
      <w:r w:rsidRPr="000B14F3">
        <w:rPr>
          <w:rFonts w:ascii="Times New Roman" w:hAnsi="Times New Roman"/>
          <w:lang w:eastAsia="zh-HK"/>
        </w:rPr>
        <w:t xml:space="preserve">Understanding </w:t>
      </w:r>
      <w:r w:rsidR="00BF6FE5" w:rsidRPr="000B14F3">
        <w:rPr>
          <w:rFonts w:ascii="Times New Roman" w:hAnsi="Times New Roman"/>
          <w:lang w:eastAsia="zh-HK"/>
        </w:rPr>
        <w:t>i</w:t>
      </w:r>
      <w:r w:rsidRPr="000B14F3">
        <w:rPr>
          <w:rFonts w:ascii="Times New Roman" w:hAnsi="Times New Roman"/>
          <w:lang w:eastAsia="zh-HK"/>
        </w:rPr>
        <w:t xml:space="preserve">nteraction </w:t>
      </w:r>
      <w:r w:rsidR="00BF6FE5" w:rsidRPr="000B14F3">
        <w:rPr>
          <w:rFonts w:ascii="Times New Roman" w:hAnsi="Times New Roman"/>
          <w:lang w:eastAsia="zh-HK"/>
        </w:rPr>
        <w:t>m</w:t>
      </w:r>
      <w:r w:rsidRPr="000B14F3">
        <w:rPr>
          <w:rFonts w:ascii="Times New Roman" w:hAnsi="Times New Roman"/>
          <w:lang w:eastAsia="zh-HK"/>
        </w:rPr>
        <w:t xml:space="preserve">odels: Improving </w:t>
      </w:r>
      <w:r w:rsidR="00BF6FE5" w:rsidRPr="000B14F3">
        <w:rPr>
          <w:rFonts w:ascii="Times New Roman" w:hAnsi="Times New Roman"/>
          <w:lang w:eastAsia="zh-HK"/>
        </w:rPr>
        <w:t>e</w:t>
      </w:r>
      <w:r w:rsidRPr="000B14F3">
        <w:rPr>
          <w:rFonts w:ascii="Times New Roman" w:hAnsi="Times New Roman"/>
          <w:lang w:eastAsia="zh-HK"/>
        </w:rPr>
        <w:t xml:space="preserve">mpirical </w:t>
      </w:r>
      <w:r w:rsidR="00BF6FE5" w:rsidRPr="000B14F3">
        <w:rPr>
          <w:rFonts w:ascii="Times New Roman" w:hAnsi="Times New Roman"/>
          <w:lang w:eastAsia="zh-HK"/>
        </w:rPr>
        <w:t>a</w:t>
      </w:r>
      <w:r w:rsidRPr="000B14F3">
        <w:rPr>
          <w:rFonts w:ascii="Times New Roman" w:hAnsi="Times New Roman"/>
          <w:lang w:eastAsia="zh-HK"/>
        </w:rPr>
        <w:t>nalyses</w:t>
      </w:r>
      <w:r w:rsidR="00BF6FE5"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Political Analysis</w:t>
      </w:r>
      <w:r w:rsidRPr="000B14F3">
        <w:rPr>
          <w:rFonts w:ascii="Times New Roman" w:hAnsi="Times New Roman"/>
          <w:lang w:eastAsia="zh-HK"/>
        </w:rPr>
        <w:t xml:space="preserve"> </w:t>
      </w:r>
      <w:r w:rsidRPr="000B14F3">
        <w:rPr>
          <w:rFonts w:ascii="Times New Roman" w:hAnsi="Times New Roman"/>
          <w:b/>
          <w:lang w:eastAsia="zh-HK"/>
        </w:rPr>
        <w:t>14</w:t>
      </w:r>
      <w:r w:rsidRPr="000B14F3">
        <w:rPr>
          <w:rFonts w:ascii="Times New Roman" w:hAnsi="Times New Roman"/>
          <w:lang w:eastAsia="zh-HK"/>
        </w:rPr>
        <w:t>(1)</w:t>
      </w:r>
      <w:r w:rsidR="00124D53" w:rsidRPr="000B14F3">
        <w:rPr>
          <w:rFonts w:ascii="Times New Roman" w:hAnsi="Times New Roman"/>
          <w:lang w:eastAsia="zh-HK"/>
        </w:rPr>
        <w:t>:</w:t>
      </w:r>
      <w:r w:rsidRPr="000B14F3">
        <w:rPr>
          <w:rFonts w:ascii="Times New Roman" w:hAnsi="Times New Roman"/>
          <w:lang w:eastAsia="zh-HK"/>
        </w:rPr>
        <w:t xml:space="preserve"> 63-82.</w:t>
      </w:r>
    </w:p>
    <w:p w:rsidR="00516651" w:rsidRPr="000B14F3" w:rsidRDefault="00516651" w:rsidP="00516651">
      <w:pPr>
        <w:ind w:firstLineChars="200" w:firstLine="480"/>
        <w:jc w:val="both"/>
        <w:rPr>
          <w:rFonts w:ascii="Times New Roman" w:hAnsi="Times New Roman"/>
          <w:lang w:eastAsia="zh-HK"/>
        </w:rPr>
      </w:pPr>
      <w:r w:rsidRPr="000B14F3">
        <w:rPr>
          <w:rFonts w:ascii="Times New Roman" w:hAnsi="Times New Roman"/>
          <w:lang w:eastAsia="zh-HK"/>
        </w:rPr>
        <w:t xml:space="preserve">De Boef, S. and </w:t>
      </w:r>
      <w:r w:rsidR="009E7655" w:rsidRPr="000B14F3">
        <w:rPr>
          <w:rFonts w:ascii="Times New Roman" w:hAnsi="Times New Roman"/>
          <w:lang w:eastAsia="zh-HK"/>
        </w:rPr>
        <w:t xml:space="preserve">L. </w:t>
      </w:r>
      <w:r w:rsidRPr="000B14F3">
        <w:rPr>
          <w:rFonts w:ascii="Times New Roman" w:hAnsi="Times New Roman"/>
          <w:lang w:eastAsia="zh-HK"/>
        </w:rPr>
        <w:t xml:space="preserve">Keele (2008) </w:t>
      </w:r>
      <w:r w:rsidR="009E7655" w:rsidRPr="000B14F3">
        <w:rPr>
          <w:rFonts w:ascii="Times New Roman" w:hAnsi="Times New Roman"/>
          <w:lang w:eastAsia="zh-HK"/>
        </w:rPr>
        <w:t>‘</w:t>
      </w:r>
      <w:r w:rsidRPr="000B14F3">
        <w:rPr>
          <w:rFonts w:ascii="Times New Roman" w:hAnsi="Times New Roman"/>
          <w:lang w:eastAsia="zh-HK"/>
        </w:rPr>
        <w:t xml:space="preserve">Taking </w:t>
      </w:r>
      <w:r w:rsidR="009E7655" w:rsidRPr="000B14F3">
        <w:rPr>
          <w:rFonts w:ascii="Times New Roman" w:hAnsi="Times New Roman"/>
          <w:lang w:eastAsia="zh-HK"/>
        </w:rPr>
        <w:t>t</w:t>
      </w:r>
      <w:r w:rsidRPr="000B14F3">
        <w:rPr>
          <w:rFonts w:ascii="Times New Roman" w:hAnsi="Times New Roman"/>
          <w:lang w:eastAsia="zh-HK"/>
        </w:rPr>
        <w:t xml:space="preserve">ime </w:t>
      </w:r>
      <w:r w:rsidR="009E7655" w:rsidRPr="000B14F3">
        <w:rPr>
          <w:rFonts w:ascii="Times New Roman" w:hAnsi="Times New Roman"/>
          <w:lang w:eastAsia="zh-HK"/>
        </w:rPr>
        <w:t>s</w:t>
      </w:r>
      <w:r w:rsidRPr="000B14F3">
        <w:rPr>
          <w:rFonts w:ascii="Times New Roman" w:hAnsi="Times New Roman"/>
          <w:lang w:eastAsia="zh-HK"/>
        </w:rPr>
        <w:t>eriously</w:t>
      </w:r>
      <w:r w:rsidR="009E7655"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American Journal of Political Science</w:t>
      </w:r>
      <w:r w:rsidRPr="000B14F3">
        <w:rPr>
          <w:rFonts w:ascii="Times New Roman" w:hAnsi="Times New Roman"/>
          <w:lang w:eastAsia="zh-HK"/>
        </w:rPr>
        <w:t xml:space="preserve"> </w:t>
      </w:r>
      <w:r w:rsidRPr="000B14F3">
        <w:rPr>
          <w:rFonts w:ascii="Times New Roman" w:hAnsi="Times New Roman"/>
          <w:b/>
          <w:lang w:eastAsia="zh-HK"/>
        </w:rPr>
        <w:t>52</w:t>
      </w:r>
      <w:r w:rsidRPr="000B14F3">
        <w:rPr>
          <w:rFonts w:ascii="Times New Roman" w:hAnsi="Times New Roman"/>
          <w:lang w:eastAsia="zh-HK"/>
        </w:rPr>
        <w:t>(1)</w:t>
      </w:r>
      <w:r w:rsidR="009E7655" w:rsidRPr="000B14F3">
        <w:rPr>
          <w:rFonts w:ascii="Times New Roman" w:hAnsi="Times New Roman"/>
          <w:lang w:eastAsia="zh-HK"/>
        </w:rPr>
        <w:t xml:space="preserve">: </w:t>
      </w:r>
      <w:r w:rsidRPr="000B14F3">
        <w:rPr>
          <w:rFonts w:ascii="Times New Roman" w:hAnsi="Times New Roman"/>
          <w:lang w:eastAsia="zh-HK"/>
        </w:rPr>
        <w:t>184–200.</w:t>
      </w:r>
    </w:p>
    <w:p w:rsidR="00ED4E30" w:rsidRPr="000B14F3" w:rsidRDefault="00ED4E30" w:rsidP="009403F5">
      <w:pPr>
        <w:jc w:val="both"/>
        <w:rPr>
          <w:rFonts w:ascii="Times New Roman" w:hAnsi="Times New Roman"/>
          <w:lang w:eastAsia="zh-HK"/>
        </w:rPr>
      </w:pPr>
      <w:r w:rsidRPr="000B14F3">
        <w:rPr>
          <w:rFonts w:ascii="Times New Roman" w:hAnsi="Times New Roman"/>
          <w:lang w:eastAsia="zh-HK"/>
        </w:rPr>
        <w:tab/>
        <w:t xml:space="preserve">Hicks, R. and </w:t>
      </w:r>
      <w:r w:rsidR="007D7E88" w:rsidRPr="000B14F3">
        <w:rPr>
          <w:rFonts w:ascii="Times New Roman" w:hAnsi="Times New Roman"/>
          <w:lang w:eastAsia="zh-HK"/>
        </w:rPr>
        <w:t xml:space="preserve">D. Tingley </w:t>
      </w:r>
      <w:r w:rsidR="006F47E9" w:rsidRPr="000B14F3">
        <w:rPr>
          <w:rFonts w:ascii="Times New Roman" w:hAnsi="Times New Roman"/>
          <w:lang w:eastAsia="zh-HK"/>
        </w:rPr>
        <w:t>(</w:t>
      </w:r>
      <w:r w:rsidRPr="000B14F3">
        <w:rPr>
          <w:rFonts w:ascii="Times New Roman" w:hAnsi="Times New Roman"/>
          <w:lang w:eastAsia="zh-HK"/>
        </w:rPr>
        <w:t>2011</w:t>
      </w:r>
      <w:r w:rsidR="006F47E9" w:rsidRPr="000B14F3">
        <w:rPr>
          <w:rFonts w:ascii="Times New Roman" w:hAnsi="Times New Roman"/>
          <w:lang w:eastAsia="zh-HK"/>
        </w:rPr>
        <w:t>)</w:t>
      </w:r>
      <w:r w:rsidR="007D7E88" w:rsidRPr="000B14F3">
        <w:rPr>
          <w:rFonts w:ascii="Times New Roman" w:hAnsi="Times New Roman"/>
          <w:lang w:eastAsia="zh-HK"/>
        </w:rPr>
        <w:t>,</w:t>
      </w:r>
      <w:r w:rsidRPr="000B14F3">
        <w:rPr>
          <w:rFonts w:ascii="Times New Roman" w:hAnsi="Times New Roman"/>
          <w:lang w:eastAsia="zh-HK"/>
        </w:rPr>
        <w:t xml:space="preserve"> Mediation: STATA </w:t>
      </w:r>
      <w:r w:rsidR="00F32D65" w:rsidRPr="000B14F3">
        <w:rPr>
          <w:rFonts w:ascii="Times New Roman" w:hAnsi="Times New Roman"/>
          <w:lang w:eastAsia="zh-HK"/>
        </w:rPr>
        <w:t>p</w:t>
      </w:r>
      <w:r w:rsidRPr="000B14F3">
        <w:rPr>
          <w:rFonts w:ascii="Times New Roman" w:hAnsi="Times New Roman"/>
          <w:lang w:eastAsia="zh-HK"/>
        </w:rPr>
        <w:t xml:space="preserve">ackage for </w:t>
      </w:r>
      <w:r w:rsidR="00F32D65" w:rsidRPr="000B14F3">
        <w:rPr>
          <w:rFonts w:ascii="Times New Roman" w:hAnsi="Times New Roman"/>
          <w:lang w:eastAsia="zh-HK"/>
        </w:rPr>
        <w:t>c</w:t>
      </w:r>
      <w:r w:rsidRPr="000B14F3">
        <w:rPr>
          <w:rFonts w:ascii="Times New Roman" w:hAnsi="Times New Roman"/>
          <w:lang w:eastAsia="zh-HK"/>
        </w:rPr>
        <w:t xml:space="preserve">ausal </w:t>
      </w:r>
      <w:r w:rsidR="00F32D65" w:rsidRPr="000B14F3">
        <w:rPr>
          <w:rFonts w:ascii="Times New Roman" w:hAnsi="Times New Roman"/>
          <w:lang w:eastAsia="zh-HK"/>
        </w:rPr>
        <w:t>m</w:t>
      </w:r>
      <w:r w:rsidRPr="000B14F3">
        <w:rPr>
          <w:rFonts w:ascii="Times New Roman" w:hAnsi="Times New Roman"/>
          <w:lang w:eastAsia="zh-HK"/>
        </w:rPr>
        <w:t xml:space="preserve">ediation </w:t>
      </w:r>
      <w:r w:rsidR="00F32D65" w:rsidRPr="000B14F3">
        <w:rPr>
          <w:rFonts w:ascii="Times New Roman" w:hAnsi="Times New Roman"/>
          <w:lang w:eastAsia="zh-HK"/>
        </w:rPr>
        <w:t>a</w:t>
      </w:r>
      <w:r w:rsidRPr="000B14F3">
        <w:rPr>
          <w:rFonts w:ascii="Times New Roman" w:hAnsi="Times New Roman"/>
          <w:lang w:eastAsia="zh-HK"/>
        </w:rPr>
        <w:t>nalysis.</w:t>
      </w:r>
    </w:p>
    <w:p w:rsidR="00A41772" w:rsidRPr="000B14F3" w:rsidRDefault="00A41772" w:rsidP="00A41772">
      <w:pPr>
        <w:jc w:val="both"/>
        <w:rPr>
          <w:rFonts w:ascii="Times New Roman" w:hAnsi="Times New Roman"/>
          <w:lang w:eastAsia="zh-HK"/>
        </w:rPr>
      </w:pPr>
      <w:r w:rsidRPr="000B14F3">
        <w:rPr>
          <w:rFonts w:ascii="Times New Roman" w:hAnsi="Times New Roman"/>
          <w:lang w:eastAsia="zh-HK"/>
        </w:rPr>
        <w:tab/>
        <w:t xml:space="preserve">Honaker, J. and </w:t>
      </w:r>
      <w:r w:rsidR="00F32D65" w:rsidRPr="000B14F3">
        <w:rPr>
          <w:rFonts w:ascii="Times New Roman" w:hAnsi="Times New Roman"/>
          <w:lang w:eastAsia="zh-HK"/>
        </w:rPr>
        <w:t>G. King</w:t>
      </w:r>
      <w:r w:rsidRPr="000B14F3">
        <w:rPr>
          <w:rFonts w:ascii="Times New Roman" w:hAnsi="Times New Roman"/>
          <w:lang w:eastAsia="zh-HK"/>
        </w:rPr>
        <w:t xml:space="preserve"> (2010)</w:t>
      </w:r>
      <w:r w:rsidR="009C5EA7" w:rsidRPr="000B14F3">
        <w:rPr>
          <w:rFonts w:ascii="Times New Roman" w:hAnsi="Times New Roman"/>
          <w:lang w:eastAsia="zh-HK"/>
        </w:rPr>
        <w:t>,</w:t>
      </w:r>
      <w:r w:rsidRPr="000B14F3">
        <w:rPr>
          <w:rFonts w:ascii="Times New Roman" w:hAnsi="Times New Roman"/>
          <w:lang w:eastAsia="zh-HK"/>
        </w:rPr>
        <w:t xml:space="preserve"> </w:t>
      </w:r>
      <w:r w:rsidR="00A461CB" w:rsidRPr="000B14F3">
        <w:rPr>
          <w:rFonts w:ascii="Times New Roman" w:hAnsi="Times New Roman"/>
          <w:lang w:eastAsia="zh-HK"/>
        </w:rPr>
        <w:t>‘</w:t>
      </w:r>
      <w:r w:rsidRPr="000B14F3">
        <w:rPr>
          <w:rFonts w:ascii="Times New Roman" w:hAnsi="Times New Roman"/>
          <w:lang w:eastAsia="zh-HK"/>
        </w:rPr>
        <w:t xml:space="preserve">What to </w:t>
      </w:r>
      <w:r w:rsidR="0078404E" w:rsidRPr="000B14F3">
        <w:rPr>
          <w:rFonts w:ascii="Times New Roman" w:hAnsi="Times New Roman"/>
          <w:lang w:eastAsia="zh-HK"/>
        </w:rPr>
        <w:t>d</w:t>
      </w:r>
      <w:r w:rsidRPr="000B14F3">
        <w:rPr>
          <w:rFonts w:ascii="Times New Roman" w:hAnsi="Times New Roman"/>
          <w:lang w:eastAsia="zh-HK"/>
        </w:rPr>
        <w:t xml:space="preserve">o about </w:t>
      </w:r>
      <w:r w:rsidR="0078404E" w:rsidRPr="000B14F3">
        <w:rPr>
          <w:rFonts w:ascii="Times New Roman" w:hAnsi="Times New Roman"/>
          <w:lang w:eastAsia="zh-HK"/>
        </w:rPr>
        <w:t>m</w:t>
      </w:r>
      <w:r w:rsidRPr="000B14F3">
        <w:rPr>
          <w:rFonts w:ascii="Times New Roman" w:hAnsi="Times New Roman"/>
          <w:lang w:eastAsia="zh-HK"/>
        </w:rPr>
        <w:t xml:space="preserve">issing </w:t>
      </w:r>
      <w:r w:rsidR="0078404E" w:rsidRPr="000B14F3">
        <w:rPr>
          <w:rFonts w:ascii="Times New Roman" w:hAnsi="Times New Roman"/>
          <w:lang w:eastAsia="zh-HK"/>
        </w:rPr>
        <w:t>v</w:t>
      </w:r>
      <w:r w:rsidRPr="000B14F3">
        <w:rPr>
          <w:rFonts w:ascii="Times New Roman" w:hAnsi="Times New Roman"/>
          <w:lang w:eastAsia="zh-HK"/>
        </w:rPr>
        <w:t xml:space="preserve">alues in </w:t>
      </w:r>
      <w:r w:rsidR="0078404E" w:rsidRPr="000B14F3">
        <w:rPr>
          <w:rFonts w:ascii="Times New Roman" w:hAnsi="Times New Roman"/>
          <w:lang w:eastAsia="zh-HK"/>
        </w:rPr>
        <w:t>t</w:t>
      </w:r>
      <w:r w:rsidRPr="000B14F3">
        <w:rPr>
          <w:rFonts w:ascii="Times New Roman" w:hAnsi="Times New Roman"/>
          <w:lang w:eastAsia="zh-HK"/>
        </w:rPr>
        <w:t>ime-</w:t>
      </w:r>
      <w:r w:rsidR="0078404E" w:rsidRPr="000B14F3">
        <w:rPr>
          <w:rFonts w:ascii="Times New Roman" w:hAnsi="Times New Roman"/>
          <w:lang w:eastAsia="zh-HK"/>
        </w:rPr>
        <w:t>s</w:t>
      </w:r>
      <w:r w:rsidRPr="000B14F3">
        <w:rPr>
          <w:rFonts w:ascii="Times New Roman" w:hAnsi="Times New Roman"/>
          <w:lang w:eastAsia="zh-HK"/>
        </w:rPr>
        <w:t xml:space="preserve">eries </w:t>
      </w:r>
      <w:r w:rsidR="0078404E" w:rsidRPr="000B14F3">
        <w:rPr>
          <w:rFonts w:ascii="Times New Roman" w:hAnsi="Times New Roman"/>
          <w:lang w:eastAsia="zh-HK"/>
        </w:rPr>
        <w:t>c</w:t>
      </w:r>
      <w:r w:rsidRPr="000B14F3">
        <w:rPr>
          <w:rFonts w:ascii="Times New Roman" w:hAnsi="Times New Roman"/>
          <w:lang w:eastAsia="zh-HK"/>
        </w:rPr>
        <w:t>ross-</w:t>
      </w:r>
      <w:r w:rsidR="0078404E" w:rsidRPr="000B14F3">
        <w:rPr>
          <w:rFonts w:ascii="Times New Roman" w:hAnsi="Times New Roman"/>
          <w:lang w:eastAsia="zh-HK"/>
        </w:rPr>
        <w:t>s</w:t>
      </w:r>
      <w:r w:rsidRPr="000B14F3">
        <w:rPr>
          <w:rFonts w:ascii="Times New Roman" w:hAnsi="Times New Roman"/>
          <w:lang w:eastAsia="zh-HK"/>
        </w:rPr>
        <w:t xml:space="preserve">ection </w:t>
      </w:r>
      <w:r w:rsidR="0078404E" w:rsidRPr="000B14F3">
        <w:rPr>
          <w:rFonts w:ascii="Times New Roman" w:hAnsi="Times New Roman"/>
          <w:lang w:eastAsia="zh-HK"/>
        </w:rPr>
        <w:t>d</w:t>
      </w:r>
      <w:r w:rsidRPr="000B14F3">
        <w:rPr>
          <w:rFonts w:ascii="Times New Roman" w:hAnsi="Times New Roman"/>
          <w:lang w:eastAsia="zh-HK"/>
        </w:rPr>
        <w:t>ata</w:t>
      </w:r>
      <w:r w:rsidR="0078404E"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American Journal of Political Science</w:t>
      </w:r>
      <w:r w:rsidRPr="000B14F3">
        <w:rPr>
          <w:rFonts w:ascii="Times New Roman" w:hAnsi="Times New Roman"/>
          <w:lang w:eastAsia="zh-HK"/>
        </w:rPr>
        <w:t xml:space="preserve"> </w:t>
      </w:r>
      <w:r w:rsidRPr="000B14F3">
        <w:rPr>
          <w:rFonts w:ascii="Times New Roman" w:hAnsi="Times New Roman"/>
          <w:b/>
          <w:lang w:eastAsia="zh-HK"/>
        </w:rPr>
        <w:t>54</w:t>
      </w:r>
      <w:r w:rsidRPr="000B14F3">
        <w:rPr>
          <w:rFonts w:ascii="Times New Roman" w:hAnsi="Times New Roman"/>
          <w:lang w:eastAsia="zh-HK"/>
        </w:rPr>
        <w:t>(2), 561–</w:t>
      </w:r>
      <w:r w:rsidR="00534BD0" w:rsidRPr="000B14F3">
        <w:rPr>
          <w:rFonts w:ascii="Times New Roman" w:hAnsi="Times New Roman"/>
          <w:lang w:eastAsia="zh-HK"/>
        </w:rPr>
        <w:t>5</w:t>
      </w:r>
      <w:r w:rsidRPr="000B14F3">
        <w:rPr>
          <w:rFonts w:ascii="Times New Roman" w:hAnsi="Times New Roman"/>
          <w:lang w:eastAsia="zh-HK"/>
        </w:rPr>
        <w:t>81.</w:t>
      </w:r>
    </w:p>
    <w:p w:rsidR="00E73415" w:rsidRPr="000B14F3" w:rsidRDefault="00E73415" w:rsidP="00E73415">
      <w:pPr>
        <w:jc w:val="both"/>
        <w:rPr>
          <w:rFonts w:ascii="Times New Roman" w:hAnsi="Times New Roman"/>
          <w:lang w:eastAsia="zh-HK"/>
        </w:rPr>
      </w:pPr>
      <w:r w:rsidRPr="000B14F3">
        <w:rPr>
          <w:rFonts w:ascii="Times New Roman" w:hAnsi="Times New Roman"/>
          <w:lang w:eastAsia="zh-HK"/>
        </w:rPr>
        <w:tab/>
        <w:t xml:space="preserve">Honaker, J., </w:t>
      </w:r>
      <w:r w:rsidR="00521406" w:rsidRPr="000B14F3">
        <w:rPr>
          <w:rFonts w:ascii="Times New Roman" w:hAnsi="Times New Roman"/>
          <w:lang w:eastAsia="zh-HK"/>
        </w:rPr>
        <w:t xml:space="preserve">G. </w:t>
      </w:r>
      <w:r w:rsidR="00D966B3" w:rsidRPr="000B14F3">
        <w:rPr>
          <w:rFonts w:ascii="Times New Roman" w:hAnsi="Times New Roman"/>
          <w:lang w:eastAsia="zh-HK"/>
        </w:rPr>
        <w:t>King</w:t>
      </w:r>
      <w:r w:rsidRPr="000B14F3">
        <w:rPr>
          <w:rFonts w:ascii="Times New Roman" w:hAnsi="Times New Roman"/>
          <w:lang w:eastAsia="zh-HK"/>
        </w:rPr>
        <w:t xml:space="preserve"> and </w:t>
      </w:r>
      <w:r w:rsidR="00521406" w:rsidRPr="000B14F3">
        <w:rPr>
          <w:rFonts w:ascii="Times New Roman" w:hAnsi="Times New Roman"/>
          <w:lang w:eastAsia="zh-HK"/>
        </w:rPr>
        <w:t xml:space="preserve">M. </w:t>
      </w:r>
      <w:r w:rsidRPr="000B14F3">
        <w:rPr>
          <w:rFonts w:ascii="Times New Roman" w:hAnsi="Times New Roman"/>
          <w:lang w:eastAsia="zh-HK"/>
        </w:rPr>
        <w:t>Blackwell (2009</w:t>
      </w:r>
      <w:r w:rsidR="00214BA4" w:rsidRPr="000B14F3">
        <w:rPr>
          <w:rFonts w:ascii="Times New Roman" w:hAnsi="Times New Roman"/>
          <w:lang w:eastAsia="zh-HK"/>
        </w:rPr>
        <w:t>)</w:t>
      </w:r>
      <w:r w:rsidR="00A461CB" w:rsidRPr="000B14F3">
        <w:rPr>
          <w:rFonts w:ascii="Times New Roman" w:hAnsi="Times New Roman"/>
          <w:lang w:eastAsia="zh-HK"/>
        </w:rPr>
        <w:t>,</w:t>
      </w:r>
      <w:r w:rsidR="00214BA4" w:rsidRPr="000B14F3">
        <w:rPr>
          <w:rFonts w:ascii="Times New Roman" w:hAnsi="Times New Roman"/>
          <w:lang w:eastAsia="zh-HK"/>
        </w:rPr>
        <w:t xml:space="preserve"> </w:t>
      </w:r>
      <w:r w:rsidRPr="000B14F3">
        <w:rPr>
          <w:rFonts w:ascii="Times New Roman" w:hAnsi="Times New Roman"/>
          <w:lang w:eastAsia="zh-HK"/>
        </w:rPr>
        <w:t xml:space="preserve">Amelia II: A </w:t>
      </w:r>
      <w:r w:rsidR="00214BA4" w:rsidRPr="000B14F3">
        <w:rPr>
          <w:rFonts w:ascii="Times New Roman" w:hAnsi="Times New Roman"/>
          <w:lang w:eastAsia="zh-HK"/>
        </w:rPr>
        <w:t>p</w:t>
      </w:r>
      <w:r w:rsidRPr="000B14F3">
        <w:rPr>
          <w:rFonts w:ascii="Times New Roman" w:hAnsi="Times New Roman"/>
          <w:lang w:eastAsia="zh-HK"/>
        </w:rPr>
        <w:t xml:space="preserve">rogram for </w:t>
      </w:r>
      <w:r w:rsidR="00214BA4" w:rsidRPr="000B14F3">
        <w:rPr>
          <w:rFonts w:ascii="Times New Roman" w:hAnsi="Times New Roman"/>
          <w:lang w:eastAsia="zh-HK"/>
        </w:rPr>
        <w:t>m</w:t>
      </w:r>
      <w:r w:rsidRPr="000B14F3">
        <w:rPr>
          <w:rFonts w:ascii="Times New Roman" w:hAnsi="Times New Roman"/>
          <w:lang w:eastAsia="zh-HK"/>
        </w:rPr>
        <w:t xml:space="preserve">issing </w:t>
      </w:r>
      <w:r w:rsidR="00214BA4" w:rsidRPr="000B14F3">
        <w:rPr>
          <w:rFonts w:ascii="Times New Roman" w:hAnsi="Times New Roman"/>
          <w:lang w:eastAsia="zh-HK"/>
        </w:rPr>
        <w:t>d</w:t>
      </w:r>
      <w:r w:rsidRPr="000B14F3">
        <w:rPr>
          <w:rFonts w:ascii="Times New Roman" w:hAnsi="Times New Roman"/>
          <w:lang w:eastAsia="zh-HK"/>
        </w:rPr>
        <w:t>ata</w:t>
      </w:r>
      <w:r w:rsidR="00214BA4" w:rsidRPr="000B14F3">
        <w:rPr>
          <w:rFonts w:ascii="Times New Roman" w:hAnsi="Times New Roman"/>
          <w:lang w:eastAsia="zh-HK"/>
        </w:rPr>
        <w:t>.</w:t>
      </w:r>
      <w:r w:rsidRPr="000B14F3">
        <w:rPr>
          <w:rFonts w:ascii="Times New Roman" w:hAnsi="Times New Roman"/>
          <w:lang w:eastAsia="zh-HK"/>
        </w:rPr>
        <w:t xml:space="preserve"> http://gking.harvard.edu/amelia.</w:t>
      </w:r>
    </w:p>
    <w:p w:rsidR="00D34FE6" w:rsidRPr="000B14F3" w:rsidRDefault="00D34FE6" w:rsidP="009403F5">
      <w:pPr>
        <w:jc w:val="both"/>
        <w:rPr>
          <w:rFonts w:ascii="Times New Roman" w:hAnsi="Times New Roman"/>
          <w:lang w:eastAsia="zh-HK"/>
        </w:rPr>
      </w:pPr>
      <w:r w:rsidRPr="000B14F3">
        <w:rPr>
          <w:rFonts w:ascii="Times New Roman" w:hAnsi="Times New Roman"/>
          <w:lang w:eastAsia="zh-HK"/>
        </w:rPr>
        <w:tab/>
        <w:t>Huber, E. and</w:t>
      </w:r>
      <w:r w:rsidR="007F751A" w:rsidRPr="000B14F3">
        <w:rPr>
          <w:rFonts w:ascii="Times New Roman" w:hAnsi="Times New Roman"/>
          <w:lang w:eastAsia="zh-HK"/>
        </w:rPr>
        <w:t xml:space="preserve"> J.D.</w:t>
      </w:r>
      <w:r w:rsidRPr="000B14F3">
        <w:rPr>
          <w:rFonts w:ascii="Times New Roman" w:hAnsi="Times New Roman"/>
          <w:lang w:eastAsia="zh-HK"/>
        </w:rPr>
        <w:t xml:space="preserve"> Stephens (20</w:t>
      </w:r>
      <w:r w:rsidR="0041447B" w:rsidRPr="000B14F3">
        <w:rPr>
          <w:rFonts w:ascii="Times New Roman" w:hAnsi="Times New Roman"/>
          <w:lang w:eastAsia="zh-HK"/>
        </w:rPr>
        <w:t>01</w:t>
      </w:r>
      <w:r w:rsidRPr="000B14F3">
        <w:rPr>
          <w:rFonts w:ascii="Times New Roman" w:hAnsi="Times New Roman"/>
          <w:lang w:eastAsia="zh-HK"/>
        </w:rPr>
        <w:t>)</w:t>
      </w:r>
      <w:r w:rsidR="002B18D6"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Development and Crisis of the Welfare State.</w:t>
      </w:r>
      <w:r w:rsidRPr="000B14F3">
        <w:rPr>
          <w:rFonts w:ascii="Times New Roman" w:hAnsi="Times New Roman"/>
          <w:lang w:eastAsia="zh-HK"/>
        </w:rPr>
        <w:t xml:space="preserve"> Chicago, IL: Chicago University Press.</w:t>
      </w:r>
    </w:p>
    <w:p w:rsidR="00761A87" w:rsidRPr="000B14F3" w:rsidRDefault="007F751A" w:rsidP="00761A87">
      <w:pPr>
        <w:ind w:firstLineChars="200" w:firstLine="480"/>
        <w:jc w:val="both"/>
        <w:rPr>
          <w:rFonts w:ascii="Times New Roman" w:hAnsi="Times New Roman"/>
          <w:lang w:eastAsia="zh-HK"/>
        </w:rPr>
      </w:pPr>
      <w:r w:rsidRPr="000B14F3">
        <w:rPr>
          <w:rFonts w:ascii="Times New Roman" w:hAnsi="Times New Roman"/>
          <w:lang w:eastAsia="zh-HK"/>
        </w:rPr>
        <w:lastRenderedPageBreak/>
        <w:t>Huber, E. and J.D. Stephens</w:t>
      </w:r>
      <w:r w:rsidR="00761A87" w:rsidRPr="000B14F3">
        <w:rPr>
          <w:rFonts w:ascii="Times New Roman" w:hAnsi="Times New Roman"/>
          <w:lang w:eastAsia="zh-HK"/>
        </w:rPr>
        <w:t xml:space="preserve"> </w:t>
      </w:r>
      <w:r w:rsidR="006F47E9" w:rsidRPr="000B14F3">
        <w:rPr>
          <w:rFonts w:ascii="Times New Roman" w:hAnsi="Times New Roman"/>
          <w:lang w:eastAsia="zh-HK"/>
        </w:rPr>
        <w:t>(</w:t>
      </w:r>
      <w:r w:rsidR="00761A87" w:rsidRPr="000B14F3">
        <w:rPr>
          <w:rFonts w:ascii="Times New Roman" w:hAnsi="Times New Roman"/>
          <w:lang w:eastAsia="zh-HK"/>
        </w:rPr>
        <w:t>2012</w:t>
      </w:r>
      <w:r w:rsidR="006F47E9" w:rsidRPr="000B14F3">
        <w:rPr>
          <w:rFonts w:ascii="Times New Roman" w:hAnsi="Times New Roman"/>
          <w:lang w:eastAsia="zh-HK"/>
        </w:rPr>
        <w:t>)</w:t>
      </w:r>
      <w:r w:rsidR="002B18D6" w:rsidRPr="000B14F3">
        <w:rPr>
          <w:rFonts w:ascii="Times New Roman" w:hAnsi="Times New Roman"/>
          <w:lang w:eastAsia="zh-HK"/>
        </w:rPr>
        <w:t>,</w:t>
      </w:r>
      <w:r w:rsidR="00761A87" w:rsidRPr="000B14F3">
        <w:rPr>
          <w:rFonts w:ascii="Times New Roman" w:hAnsi="Times New Roman"/>
          <w:lang w:eastAsia="zh-HK"/>
        </w:rPr>
        <w:t xml:space="preserve"> </w:t>
      </w:r>
      <w:r w:rsidR="00761A87" w:rsidRPr="000B14F3">
        <w:rPr>
          <w:rFonts w:ascii="Times New Roman" w:hAnsi="Times New Roman"/>
          <w:i/>
          <w:lang w:eastAsia="zh-HK"/>
        </w:rPr>
        <w:t>Democracy and the Left: Social Policy and Inequality in Latin America</w:t>
      </w:r>
      <w:r w:rsidR="00761A87" w:rsidRPr="000B14F3">
        <w:rPr>
          <w:rFonts w:ascii="Times New Roman" w:hAnsi="Times New Roman"/>
          <w:lang w:eastAsia="zh-HK"/>
        </w:rPr>
        <w:t>. Chicago: University of Chicago Press.</w:t>
      </w:r>
    </w:p>
    <w:p w:rsidR="003315AE" w:rsidRPr="000B14F3" w:rsidRDefault="003315AE" w:rsidP="003315AE">
      <w:pPr>
        <w:ind w:firstLineChars="200" w:firstLine="480"/>
        <w:jc w:val="both"/>
        <w:rPr>
          <w:rFonts w:ascii="Times New Roman" w:hAnsi="Times New Roman"/>
          <w:lang w:eastAsia="zh-HK"/>
        </w:rPr>
      </w:pPr>
      <w:r w:rsidRPr="000B14F3">
        <w:rPr>
          <w:rFonts w:ascii="Times New Roman" w:hAnsi="Times New Roman"/>
          <w:lang w:eastAsia="zh-HK"/>
        </w:rPr>
        <w:t xml:space="preserve">Imai, K., </w:t>
      </w:r>
      <w:r w:rsidR="00FE5E7E" w:rsidRPr="000B14F3">
        <w:rPr>
          <w:rFonts w:ascii="Times New Roman" w:hAnsi="Times New Roman"/>
          <w:lang w:eastAsia="zh-HK"/>
        </w:rPr>
        <w:t>L. Keele,</w:t>
      </w:r>
      <w:r w:rsidRPr="000B14F3">
        <w:rPr>
          <w:rFonts w:ascii="Times New Roman" w:hAnsi="Times New Roman"/>
          <w:lang w:eastAsia="zh-HK"/>
        </w:rPr>
        <w:t xml:space="preserve"> </w:t>
      </w:r>
      <w:r w:rsidR="00FE5E7E" w:rsidRPr="000B14F3">
        <w:rPr>
          <w:rFonts w:ascii="Times New Roman" w:hAnsi="Times New Roman"/>
          <w:lang w:eastAsia="zh-HK"/>
        </w:rPr>
        <w:t>D. Tingley</w:t>
      </w:r>
      <w:r w:rsidRPr="000B14F3">
        <w:rPr>
          <w:rFonts w:ascii="Times New Roman" w:hAnsi="Times New Roman"/>
          <w:lang w:eastAsia="zh-HK"/>
        </w:rPr>
        <w:t xml:space="preserve"> and </w:t>
      </w:r>
      <w:r w:rsidR="00FE5E7E" w:rsidRPr="000B14F3">
        <w:rPr>
          <w:rFonts w:ascii="Times New Roman" w:hAnsi="Times New Roman"/>
          <w:lang w:eastAsia="zh-HK"/>
        </w:rPr>
        <w:t>T. Yamamoto</w:t>
      </w:r>
      <w:r w:rsidRPr="000B14F3">
        <w:rPr>
          <w:rFonts w:ascii="Times New Roman" w:hAnsi="Times New Roman"/>
          <w:lang w:eastAsia="zh-HK"/>
        </w:rPr>
        <w:t xml:space="preserve"> </w:t>
      </w:r>
      <w:r w:rsidR="006F47E9" w:rsidRPr="000B14F3">
        <w:rPr>
          <w:rFonts w:ascii="Times New Roman" w:hAnsi="Times New Roman"/>
          <w:lang w:eastAsia="zh-HK"/>
        </w:rPr>
        <w:t>(</w:t>
      </w:r>
      <w:r w:rsidRPr="000B14F3">
        <w:rPr>
          <w:rFonts w:ascii="Times New Roman" w:hAnsi="Times New Roman"/>
          <w:lang w:eastAsia="zh-HK"/>
        </w:rPr>
        <w:t>2011</w:t>
      </w:r>
      <w:r w:rsidR="006F47E9" w:rsidRPr="000B14F3">
        <w:rPr>
          <w:rFonts w:ascii="Times New Roman" w:hAnsi="Times New Roman"/>
          <w:lang w:eastAsia="zh-HK"/>
        </w:rPr>
        <w:t>)</w:t>
      </w:r>
      <w:r w:rsidR="00FE5E7E" w:rsidRPr="000B14F3">
        <w:rPr>
          <w:rFonts w:ascii="Times New Roman" w:hAnsi="Times New Roman"/>
          <w:lang w:eastAsia="zh-HK"/>
        </w:rPr>
        <w:t>,</w:t>
      </w:r>
      <w:r w:rsidRPr="000B14F3">
        <w:rPr>
          <w:rFonts w:ascii="Times New Roman" w:hAnsi="Times New Roman"/>
          <w:lang w:eastAsia="zh-HK"/>
        </w:rPr>
        <w:t xml:space="preserve"> </w:t>
      </w:r>
      <w:r w:rsidR="00FE5E7E" w:rsidRPr="000B14F3">
        <w:rPr>
          <w:rFonts w:ascii="Times New Roman" w:hAnsi="Times New Roman"/>
          <w:lang w:eastAsia="zh-HK"/>
        </w:rPr>
        <w:t>‘</w:t>
      </w:r>
      <w:r w:rsidRPr="000B14F3">
        <w:rPr>
          <w:rFonts w:ascii="Times New Roman" w:hAnsi="Times New Roman"/>
          <w:lang w:eastAsia="zh-HK"/>
        </w:rPr>
        <w:t xml:space="preserve">Unpacking the </w:t>
      </w:r>
      <w:r w:rsidR="004367FF" w:rsidRPr="000B14F3">
        <w:rPr>
          <w:rFonts w:ascii="Times New Roman" w:hAnsi="Times New Roman"/>
          <w:lang w:eastAsia="zh-HK"/>
        </w:rPr>
        <w:t>b</w:t>
      </w:r>
      <w:r w:rsidRPr="000B14F3">
        <w:rPr>
          <w:rFonts w:ascii="Times New Roman" w:hAnsi="Times New Roman"/>
          <w:lang w:eastAsia="zh-HK"/>
        </w:rPr>
        <w:t xml:space="preserve">lack </w:t>
      </w:r>
      <w:r w:rsidR="004367FF" w:rsidRPr="000B14F3">
        <w:rPr>
          <w:rFonts w:ascii="Times New Roman" w:hAnsi="Times New Roman"/>
          <w:lang w:eastAsia="zh-HK"/>
        </w:rPr>
        <w:t>b</w:t>
      </w:r>
      <w:r w:rsidRPr="000B14F3">
        <w:rPr>
          <w:rFonts w:ascii="Times New Roman" w:hAnsi="Times New Roman"/>
          <w:lang w:eastAsia="zh-HK"/>
        </w:rPr>
        <w:t xml:space="preserve">ox of </w:t>
      </w:r>
      <w:r w:rsidR="004367FF" w:rsidRPr="000B14F3">
        <w:rPr>
          <w:rFonts w:ascii="Times New Roman" w:hAnsi="Times New Roman"/>
          <w:lang w:eastAsia="zh-HK"/>
        </w:rPr>
        <w:t>c</w:t>
      </w:r>
      <w:r w:rsidRPr="000B14F3">
        <w:rPr>
          <w:rFonts w:ascii="Times New Roman" w:hAnsi="Times New Roman"/>
          <w:lang w:eastAsia="zh-HK"/>
        </w:rPr>
        <w:t xml:space="preserve">ausality: Learning about </w:t>
      </w:r>
      <w:r w:rsidR="004367FF" w:rsidRPr="000B14F3">
        <w:rPr>
          <w:rFonts w:ascii="Times New Roman" w:hAnsi="Times New Roman"/>
          <w:lang w:eastAsia="zh-HK"/>
        </w:rPr>
        <w:t>c</w:t>
      </w:r>
      <w:r w:rsidRPr="000B14F3">
        <w:rPr>
          <w:rFonts w:ascii="Times New Roman" w:hAnsi="Times New Roman"/>
          <w:lang w:eastAsia="zh-HK"/>
        </w:rPr>
        <w:t xml:space="preserve">ausal </w:t>
      </w:r>
      <w:r w:rsidR="004367FF" w:rsidRPr="000B14F3">
        <w:rPr>
          <w:rFonts w:ascii="Times New Roman" w:hAnsi="Times New Roman"/>
          <w:lang w:eastAsia="zh-HK"/>
        </w:rPr>
        <w:t>m</w:t>
      </w:r>
      <w:r w:rsidRPr="000B14F3">
        <w:rPr>
          <w:rFonts w:ascii="Times New Roman" w:hAnsi="Times New Roman"/>
          <w:lang w:eastAsia="zh-HK"/>
        </w:rPr>
        <w:t xml:space="preserve">echanisms from </w:t>
      </w:r>
      <w:r w:rsidR="004367FF" w:rsidRPr="000B14F3">
        <w:rPr>
          <w:rFonts w:ascii="Times New Roman" w:hAnsi="Times New Roman"/>
          <w:lang w:eastAsia="zh-HK"/>
        </w:rPr>
        <w:t>e</w:t>
      </w:r>
      <w:r w:rsidRPr="000B14F3">
        <w:rPr>
          <w:rFonts w:ascii="Times New Roman" w:hAnsi="Times New Roman"/>
          <w:lang w:eastAsia="zh-HK"/>
        </w:rPr>
        <w:t xml:space="preserve">xperimental and </w:t>
      </w:r>
      <w:r w:rsidR="004367FF" w:rsidRPr="000B14F3">
        <w:rPr>
          <w:rFonts w:ascii="Times New Roman" w:hAnsi="Times New Roman"/>
          <w:lang w:eastAsia="zh-HK"/>
        </w:rPr>
        <w:t>o</w:t>
      </w:r>
      <w:r w:rsidRPr="000B14F3">
        <w:rPr>
          <w:rFonts w:ascii="Times New Roman" w:hAnsi="Times New Roman"/>
          <w:lang w:eastAsia="zh-HK"/>
        </w:rPr>
        <w:t xml:space="preserve">bservational </w:t>
      </w:r>
      <w:r w:rsidR="004367FF" w:rsidRPr="000B14F3">
        <w:rPr>
          <w:rFonts w:ascii="Times New Roman" w:hAnsi="Times New Roman"/>
          <w:lang w:eastAsia="zh-HK"/>
        </w:rPr>
        <w:t>s</w:t>
      </w:r>
      <w:r w:rsidRPr="000B14F3">
        <w:rPr>
          <w:rFonts w:ascii="Times New Roman" w:hAnsi="Times New Roman"/>
          <w:lang w:eastAsia="zh-HK"/>
        </w:rPr>
        <w:t>tudies</w:t>
      </w:r>
      <w:r w:rsidR="004367FF"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American Political Science Review</w:t>
      </w:r>
      <w:r w:rsidR="00DA411E" w:rsidRPr="000B14F3">
        <w:rPr>
          <w:rFonts w:ascii="Times New Roman" w:hAnsi="Times New Roman"/>
          <w:lang w:eastAsia="zh-HK"/>
        </w:rPr>
        <w:t xml:space="preserve"> </w:t>
      </w:r>
      <w:r w:rsidR="00DA411E" w:rsidRPr="000B14F3">
        <w:rPr>
          <w:rFonts w:ascii="Times New Roman" w:hAnsi="Times New Roman"/>
          <w:b/>
          <w:lang w:eastAsia="zh-HK"/>
        </w:rPr>
        <w:t>105</w:t>
      </w:r>
      <w:r w:rsidRPr="000B14F3">
        <w:rPr>
          <w:rFonts w:ascii="Times New Roman" w:hAnsi="Times New Roman"/>
          <w:lang w:eastAsia="zh-HK"/>
        </w:rPr>
        <w:t>(4)</w:t>
      </w:r>
      <w:r w:rsidR="00DA411E" w:rsidRPr="000B14F3">
        <w:rPr>
          <w:rFonts w:ascii="Times New Roman" w:hAnsi="Times New Roman"/>
          <w:lang w:eastAsia="zh-HK"/>
        </w:rPr>
        <w:t>:</w:t>
      </w:r>
      <w:r w:rsidRPr="000B14F3">
        <w:rPr>
          <w:rFonts w:ascii="Times New Roman" w:hAnsi="Times New Roman"/>
          <w:lang w:eastAsia="zh-HK"/>
        </w:rPr>
        <w:t xml:space="preserve"> 765-</w:t>
      </w:r>
      <w:r w:rsidR="00DA411E" w:rsidRPr="000B14F3">
        <w:rPr>
          <w:rFonts w:ascii="Times New Roman" w:hAnsi="Times New Roman"/>
          <w:lang w:eastAsia="zh-HK"/>
        </w:rPr>
        <w:t>7</w:t>
      </w:r>
      <w:r w:rsidRPr="000B14F3">
        <w:rPr>
          <w:rFonts w:ascii="Times New Roman" w:hAnsi="Times New Roman"/>
          <w:lang w:eastAsia="zh-HK"/>
        </w:rPr>
        <w:t>89.</w:t>
      </w:r>
    </w:p>
    <w:p w:rsidR="005926C4" w:rsidRPr="000B14F3" w:rsidRDefault="005926C4" w:rsidP="005926C4">
      <w:pPr>
        <w:ind w:firstLineChars="200" w:firstLine="480"/>
        <w:jc w:val="both"/>
        <w:rPr>
          <w:rFonts w:ascii="Times New Roman" w:hAnsi="Times New Roman"/>
          <w:lang w:eastAsia="zh-HK"/>
        </w:rPr>
      </w:pPr>
      <w:r w:rsidRPr="000B14F3">
        <w:rPr>
          <w:rFonts w:ascii="Times New Roman" w:hAnsi="Times New Roman"/>
          <w:lang w:eastAsia="zh-HK"/>
        </w:rPr>
        <w:t xml:space="preserve">Little, R. and </w:t>
      </w:r>
      <w:r w:rsidR="002E2017" w:rsidRPr="000B14F3">
        <w:rPr>
          <w:rFonts w:ascii="Times New Roman" w:hAnsi="Times New Roman"/>
          <w:lang w:eastAsia="zh-HK"/>
        </w:rPr>
        <w:t xml:space="preserve">D. </w:t>
      </w:r>
      <w:r w:rsidRPr="000B14F3">
        <w:rPr>
          <w:rFonts w:ascii="Times New Roman" w:hAnsi="Times New Roman"/>
          <w:lang w:eastAsia="zh-HK"/>
        </w:rPr>
        <w:t>Rubin (2002)</w:t>
      </w:r>
      <w:r w:rsidR="002E2017"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Statistical Analysis with Missing Data</w:t>
      </w:r>
      <w:r w:rsidRPr="000B14F3">
        <w:rPr>
          <w:rFonts w:ascii="Times New Roman" w:hAnsi="Times New Roman"/>
          <w:lang w:eastAsia="zh-HK"/>
        </w:rPr>
        <w:t>. 2nd ed. New York: John Wiley and Sons.</w:t>
      </w:r>
    </w:p>
    <w:p w:rsidR="00A767E0" w:rsidRPr="000B14F3" w:rsidRDefault="00A767E0" w:rsidP="00A767E0">
      <w:pPr>
        <w:ind w:firstLineChars="200" w:firstLine="480"/>
        <w:jc w:val="both"/>
        <w:rPr>
          <w:rFonts w:ascii="Times New Roman" w:hAnsi="Times New Roman"/>
          <w:lang w:eastAsia="zh-HK"/>
        </w:rPr>
      </w:pPr>
      <w:r w:rsidRPr="000B14F3">
        <w:rPr>
          <w:rFonts w:ascii="Times New Roman" w:hAnsi="Times New Roman"/>
          <w:lang w:eastAsia="zh-HK"/>
        </w:rPr>
        <w:t>Lupu, N. and</w:t>
      </w:r>
      <w:r w:rsidR="002E2017" w:rsidRPr="000B14F3">
        <w:rPr>
          <w:rFonts w:ascii="Times New Roman" w:hAnsi="Times New Roman"/>
          <w:lang w:eastAsia="zh-HK"/>
        </w:rPr>
        <w:t xml:space="preserve"> J.</w:t>
      </w:r>
      <w:r w:rsidRPr="000B14F3">
        <w:rPr>
          <w:rFonts w:ascii="Times New Roman" w:hAnsi="Times New Roman"/>
          <w:lang w:eastAsia="zh-HK"/>
        </w:rPr>
        <w:t xml:space="preserve"> Pontusson (2011)</w:t>
      </w:r>
      <w:r w:rsidR="002E2017" w:rsidRPr="000B14F3">
        <w:rPr>
          <w:rFonts w:ascii="Times New Roman" w:hAnsi="Times New Roman"/>
          <w:lang w:eastAsia="zh-HK"/>
        </w:rPr>
        <w:t>,</w:t>
      </w:r>
      <w:r w:rsidRPr="000B14F3">
        <w:rPr>
          <w:rFonts w:ascii="Times New Roman" w:hAnsi="Times New Roman"/>
          <w:lang w:eastAsia="zh-HK"/>
        </w:rPr>
        <w:t xml:space="preserve"> </w:t>
      </w:r>
      <w:r w:rsidR="002E2017" w:rsidRPr="000B14F3">
        <w:rPr>
          <w:rFonts w:ascii="Times New Roman" w:hAnsi="Times New Roman"/>
          <w:lang w:eastAsia="zh-HK"/>
        </w:rPr>
        <w:t>‘</w:t>
      </w:r>
      <w:r w:rsidRPr="000B14F3">
        <w:rPr>
          <w:rFonts w:ascii="Times New Roman" w:hAnsi="Times New Roman"/>
          <w:lang w:eastAsia="zh-HK"/>
        </w:rPr>
        <w:t xml:space="preserve">The </w:t>
      </w:r>
      <w:r w:rsidR="002E2017" w:rsidRPr="000B14F3">
        <w:rPr>
          <w:rFonts w:ascii="Times New Roman" w:hAnsi="Times New Roman"/>
          <w:lang w:eastAsia="zh-HK"/>
        </w:rPr>
        <w:t>s</w:t>
      </w:r>
      <w:r w:rsidRPr="000B14F3">
        <w:rPr>
          <w:rFonts w:ascii="Times New Roman" w:hAnsi="Times New Roman"/>
          <w:lang w:eastAsia="zh-HK"/>
        </w:rPr>
        <w:t xml:space="preserve">tructure of </w:t>
      </w:r>
      <w:r w:rsidR="002E2017" w:rsidRPr="000B14F3">
        <w:rPr>
          <w:rFonts w:ascii="Times New Roman" w:hAnsi="Times New Roman"/>
          <w:lang w:eastAsia="zh-HK"/>
        </w:rPr>
        <w:t>i</w:t>
      </w:r>
      <w:r w:rsidRPr="000B14F3">
        <w:rPr>
          <w:rFonts w:ascii="Times New Roman" w:hAnsi="Times New Roman"/>
          <w:lang w:eastAsia="zh-HK"/>
        </w:rPr>
        <w:t xml:space="preserve">nequality and the </w:t>
      </w:r>
      <w:r w:rsidR="002E2017" w:rsidRPr="000B14F3">
        <w:rPr>
          <w:rFonts w:ascii="Times New Roman" w:hAnsi="Times New Roman"/>
          <w:lang w:eastAsia="zh-HK"/>
        </w:rPr>
        <w:t>p</w:t>
      </w:r>
      <w:r w:rsidRPr="000B14F3">
        <w:rPr>
          <w:rFonts w:ascii="Times New Roman" w:hAnsi="Times New Roman"/>
          <w:lang w:eastAsia="zh-HK"/>
        </w:rPr>
        <w:t xml:space="preserve">olitics of </w:t>
      </w:r>
      <w:r w:rsidR="002E2017" w:rsidRPr="000B14F3">
        <w:rPr>
          <w:rFonts w:ascii="Times New Roman" w:hAnsi="Times New Roman"/>
          <w:lang w:eastAsia="zh-HK"/>
        </w:rPr>
        <w:t>r</w:t>
      </w:r>
      <w:r w:rsidRPr="000B14F3">
        <w:rPr>
          <w:rFonts w:ascii="Times New Roman" w:hAnsi="Times New Roman"/>
          <w:lang w:eastAsia="zh-HK"/>
        </w:rPr>
        <w:t>edistribution</w:t>
      </w:r>
      <w:r w:rsidR="002E2017"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American Political Science Review</w:t>
      </w:r>
      <w:r w:rsidRPr="000B14F3">
        <w:rPr>
          <w:rFonts w:ascii="Times New Roman" w:hAnsi="Times New Roman"/>
          <w:lang w:eastAsia="zh-HK"/>
        </w:rPr>
        <w:t xml:space="preserve"> </w:t>
      </w:r>
      <w:r w:rsidRPr="000B14F3">
        <w:rPr>
          <w:rFonts w:ascii="Times New Roman" w:hAnsi="Times New Roman"/>
          <w:b/>
          <w:lang w:eastAsia="zh-HK"/>
        </w:rPr>
        <w:t>105</w:t>
      </w:r>
      <w:r w:rsidRPr="000B14F3">
        <w:rPr>
          <w:rFonts w:ascii="Times New Roman" w:hAnsi="Times New Roman"/>
          <w:lang w:eastAsia="zh-HK"/>
        </w:rPr>
        <w:t>(2)</w:t>
      </w:r>
      <w:r w:rsidR="002E2017" w:rsidRPr="000B14F3">
        <w:rPr>
          <w:rFonts w:ascii="Times New Roman" w:hAnsi="Times New Roman"/>
          <w:lang w:eastAsia="zh-HK"/>
        </w:rPr>
        <w:t>:</w:t>
      </w:r>
      <w:r w:rsidRPr="000B14F3">
        <w:rPr>
          <w:rFonts w:ascii="Times New Roman" w:hAnsi="Times New Roman"/>
          <w:lang w:eastAsia="zh-HK"/>
        </w:rPr>
        <w:t xml:space="preserve"> 316-</w:t>
      </w:r>
      <w:r w:rsidR="00E16FAB" w:rsidRPr="000B14F3">
        <w:rPr>
          <w:rFonts w:ascii="Times New Roman" w:hAnsi="Times New Roman"/>
          <w:lang w:eastAsia="zh-HK"/>
        </w:rPr>
        <w:t>3</w:t>
      </w:r>
      <w:r w:rsidRPr="000B14F3">
        <w:rPr>
          <w:rFonts w:ascii="Times New Roman" w:hAnsi="Times New Roman"/>
          <w:lang w:eastAsia="zh-HK"/>
        </w:rPr>
        <w:t>36.</w:t>
      </w:r>
    </w:p>
    <w:p w:rsidR="00474D5C" w:rsidRPr="000B14F3" w:rsidRDefault="00474D5C" w:rsidP="00474D5C">
      <w:pPr>
        <w:ind w:firstLineChars="200" w:firstLine="480"/>
        <w:jc w:val="both"/>
        <w:rPr>
          <w:rFonts w:ascii="Times New Roman" w:hAnsi="Times New Roman"/>
          <w:lang w:eastAsia="zh-HK"/>
        </w:rPr>
      </w:pPr>
      <w:r w:rsidRPr="000B14F3">
        <w:rPr>
          <w:rFonts w:ascii="Times New Roman" w:hAnsi="Times New Roman"/>
          <w:lang w:eastAsia="zh-HK"/>
        </w:rPr>
        <w:t xml:space="preserve">Mahler, V. (2008), ‘Electoral turnout and income redistribution by the state: A cross-national analysis of the developed democracies’, </w:t>
      </w:r>
      <w:r w:rsidRPr="000B14F3">
        <w:rPr>
          <w:rFonts w:ascii="Times New Roman" w:hAnsi="Times New Roman"/>
          <w:i/>
          <w:lang w:eastAsia="zh-HK"/>
        </w:rPr>
        <w:t>European Journal of Political Research</w:t>
      </w:r>
      <w:r w:rsidRPr="000B14F3">
        <w:rPr>
          <w:rFonts w:ascii="Times New Roman" w:hAnsi="Times New Roman"/>
          <w:lang w:eastAsia="zh-HK"/>
        </w:rPr>
        <w:t xml:space="preserve"> </w:t>
      </w:r>
      <w:r w:rsidRPr="000B14F3">
        <w:rPr>
          <w:rFonts w:ascii="Times New Roman" w:hAnsi="Times New Roman"/>
          <w:b/>
          <w:lang w:eastAsia="zh-HK"/>
        </w:rPr>
        <w:t>47</w:t>
      </w:r>
      <w:r w:rsidRPr="000B14F3">
        <w:rPr>
          <w:rFonts w:ascii="Times New Roman" w:hAnsi="Times New Roman"/>
          <w:lang w:eastAsia="zh-HK"/>
        </w:rPr>
        <w:t>: 161-183.</w:t>
      </w:r>
    </w:p>
    <w:p w:rsidR="004A664F" w:rsidRPr="000B14F3" w:rsidRDefault="004A664F" w:rsidP="004A664F">
      <w:pPr>
        <w:ind w:firstLineChars="200" w:firstLine="480"/>
        <w:jc w:val="both"/>
        <w:rPr>
          <w:rFonts w:ascii="Times New Roman" w:hAnsi="Times New Roman"/>
          <w:lang w:eastAsia="zh-HK"/>
        </w:rPr>
      </w:pPr>
      <w:r w:rsidRPr="000B14F3">
        <w:rPr>
          <w:rFonts w:ascii="Times New Roman" w:hAnsi="Times New Roman"/>
          <w:lang w:eastAsia="zh-HK"/>
        </w:rPr>
        <w:t xml:space="preserve">Mahler, V. and </w:t>
      </w:r>
      <w:r w:rsidR="00317C51" w:rsidRPr="000B14F3">
        <w:rPr>
          <w:rFonts w:ascii="Times New Roman" w:hAnsi="Times New Roman"/>
          <w:lang w:eastAsia="zh-HK"/>
        </w:rPr>
        <w:t xml:space="preserve">D. </w:t>
      </w:r>
      <w:r w:rsidRPr="000B14F3">
        <w:rPr>
          <w:rFonts w:ascii="Times New Roman" w:hAnsi="Times New Roman"/>
          <w:lang w:eastAsia="zh-HK"/>
        </w:rPr>
        <w:t>Jesuit (2006)</w:t>
      </w:r>
      <w:r w:rsidR="00317C51" w:rsidRPr="000B14F3">
        <w:rPr>
          <w:rFonts w:ascii="Times New Roman" w:hAnsi="Times New Roman"/>
          <w:lang w:eastAsia="zh-HK"/>
        </w:rPr>
        <w:t>,</w:t>
      </w:r>
      <w:r w:rsidRPr="000B14F3">
        <w:rPr>
          <w:rFonts w:ascii="Times New Roman" w:hAnsi="Times New Roman"/>
          <w:lang w:eastAsia="zh-HK"/>
        </w:rPr>
        <w:t xml:space="preserve"> </w:t>
      </w:r>
      <w:r w:rsidR="00317C51" w:rsidRPr="000B14F3">
        <w:rPr>
          <w:rFonts w:ascii="Times New Roman" w:hAnsi="Times New Roman"/>
          <w:lang w:eastAsia="zh-HK"/>
        </w:rPr>
        <w:t>‘</w:t>
      </w:r>
      <w:r w:rsidRPr="000B14F3">
        <w:rPr>
          <w:rFonts w:ascii="Times New Roman" w:hAnsi="Times New Roman"/>
          <w:lang w:eastAsia="zh-HK"/>
        </w:rPr>
        <w:t xml:space="preserve">Fiscal </w:t>
      </w:r>
      <w:r w:rsidR="00317C51" w:rsidRPr="000B14F3">
        <w:rPr>
          <w:rFonts w:ascii="Times New Roman" w:hAnsi="Times New Roman"/>
          <w:lang w:eastAsia="zh-HK"/>
        </w:rPr>
        <w:t>r</w:t>
      </w:r>
      <w:r w:rsidRPr="000B14F3">
        <w:rPr>
          <w:rFonts w:ascii="Times New Roman" w:hAnsi="Times New Roman"/>
          <w:lang w:eastAsia="zh-HK"/>
        </w:rPr>
        <w:t xml:space="preserve">edistribution in the </w:t>
      </w:r>
      <w:r w:rsidR="00317C51" w:rsidRPr="000B14F3">
        <w:rPr>
          <w:rFonts w:ascii="Times New Roman" w:hAnsi="Times New Roman"/>
          <w:lang w:eastAsia="zh-HK"/>
        </w:rPr>
        <w:t>d</w:t>
      </w:r>
      <w:r w:rsidRPr="000B14F3">
        <w:rPr>
          <w:rFonts w:ascii="Times New Roman" w:hAnsi="Times New Roman"/>
          <w:lang w:eastAsia="zh-HK"/>
        </w:rPr>
        <w:t xml:space="preserve">eveloped </w:t>
      </w:r>
      <w:r w:rsidR="00317C51" w:rsidRPr="000B14F3">
        <w:rPr>
          <w:rFonts w:ascii="Times New Roman" w:hAnsi="Times New Roman"/>
          <w:lang w:eastAsia="zh-HK"/>
        </w:rPr>
        <w:t>c</w:t>
      </w:r>
      <w:r w:rsidRPr="000B14F3">
        <w:rPr>
          <w:rFonts w:ascii="Times New Roman" w:hAnsi="Times New Roman"/>
          <w:lang w:eastAsia="zh-HK"/>
        </w:rPr>
        <w:t xml:space="preserve">ountries: New </w:t>
      </w:r>
      <w:r w:rsidR="00317C51" w:rsidRPr="000B14F3">
        <w:rPr>
          <w:rFonts w:ascii="Times New Roman" w:hAnsi="Times New Roman"/>
          <w:lang w:eastAsia="zh-HK"/>
        </w:rPr>
        <w:t>i</w:t>
      </w:r>
      <w:r w:rsidRPr="000B14F3">
        <w:rPr>
          <w:rFonts w:ascii="Times New Roman" w:hAnsi="Times New Roman"/>
          <w:lang w:eastAsia="zh-HK"/>
        </w:rPr>
        <w:t>nsights from the Luxembourg Income Study</w:t>
      </w:r>
      <w:r w:rsidR="00317C51"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Socio-Economic Review</w:t>
      </w:r>
      <w:r w:rsidRPr="000B14F3">
        <w:rPr>
          <w:rFonts w:ascii="Times New Roman" w:hAnsi="Times New Roman"/>
          <w:lang w:eastAsia="zh-HK"/>
        </w:rPr>
        <w:t xml:space="preserve"> </w:t>
      </w:r>
      <w:r w:rsidRPr="000B14F3">
        <w:rPr>
          <w:rFonts w:ascii="Times New Roman" w:hAnsi="Times New Roman"/>
          <w:b/>
          <w:lang w:eastAsia="zh-HK"/>
        </w:rPr>
        <w:t>4</w:t>
      </w:r>
      <w:r w:rsidR="00317C51" w:rsidRPr="000B14F3">
        <w:rPr>
          <w:rFonts w:ascii="Times New Roman" w:hAnsi="Times New Roman"/>
          <w:lang w:eastAsia="zh-HK"/>
        </w:rPr>
        <w:t>:</w:t>
      </w:r>
      <w:r w:rsidRPr="000B14F3">
        <w:rPr>
          <w:rFonts w:ascii="Times New Roman" w:hAnsi="Times New Roman"/>
          <w:lang w:eastAsia="zh-HK"/>
        </w:rPr>
        <w:t xml:space="preserve"> 483-511.</w:t>
      </w:r>
    </w:p>
    <w:p w:rsidR="002A4073" w:rsidRPr="000B14F3" w:rsidRDefault="002A4073" w:rsidP="002A4073">
      <w:pPr>
        <w:ind w:firstLineChars="200" w:firstLine="480"/>
        <w:jc w:val="both"/>
        <w:rPr>
          <w:rFonts w:ascii="Times New Roman" w:hAnsi="Times New Roman"/>
          <w:lang w:eastAsia="zh-HK"/>
        </w:rPr>
      </w:pPr>
      <w:r w:rsidRPr="000B14F3">
        <w:rPr>
          <w:rFonts w:ascii="Times New Roman" w:hAnsi="Times New Roman"/>
          <w:lang w:eastAsia="zh-HK"/>
        </w:rPr>
        <w:t xml:space="preserve">Mahler, V. and D. Jesuit (2008), </w:t>
      </w:r>
      <w:r w:rsidRPr="000B14F3">
        <w:rPr>
          <w:rFonts w:ascii="Times New Roman" w:hAnsi="Times New Roman"/>
        </w:rPr>
        <w:t xml:space="preserve">Fiscal redistribution dataset, Version 2. Retrieved 26 August 2011 from http://www.lisdatacenter.org/resources/other-databases/. </w:t>
      </w:r>
    </w:p>
    <w:p w:rsidR="001B071E" w:rsidRPr="000B14F3" w:rsidRDefault="001B071E" w:rsidP="001B071E">
      <w:pPr>
        <w:jc w:val="both"/>
        <w:rPr>
          <w:rFonts w:ascii="Times New Roman" w:hAnsi="Times New Roman"/>
          <w:lang w:eastAsia="zh-HK"/>
        </w:rPr>
      </w:pPr>
      <w:r w:rsidRPr="000B14F3">
        <w:rPr>
          <w:rFonts w:ascii="Times New Roman" w:hAnsi="Times New Roman"/>
        </w:rPr>
        <w:tab/>
        <w:t>Morgan, J. and</w:t>
      </w:r>
      <w:r w:rsidR="00327271" w:rsidRPr="000B14F3">
        <w:rPr>
          <w:rFonts w:ascii="Times New Roman" w:hAnsi="Times New Roman"/>
        </w:rPr>
        <w:t xml:space="preserve"> N. Kelly</w:t>
      </w:r>
      <w:r w:rsidRPr="000B14F3">
        <w:rPr>
          <w:rFonts w:ascii="Times New Roman" w:hAnsi="Times New Roman"/>
        </w:rPr>
        <w:t xml:space="preserve"> (2013)</w:t>
      </w:r>
      <w:r w:rsidR="00327271" w:rsidRPr="000B14F3">
        <w:rPr>
          <w:rFonts w:ascii="Times New Roman" w:hAnsi="Times New Roman"/>
        </w:rPr>
        <w:t>,</w:t>
      </w:r>
      <w:r w:rsidRPr="000B14F3">
        <w:rPr>
          <w:rFonts w:ascii="Times New Roman" w:hAnsi="Times New Roman"/>
        </w:rPr>
        <w:t xml:space="preserve"> </w:t>
      </w:r>
      <w:r w:rsidR="00327271" w:rsidRPr="000B14F3">
        <w:rPr>
          <w:rFonts w:ascii="Times New Roman" w:hAnsi="Times New Roman"/>
        </w:rPr>
        <w:t>‘</w:t>
      </w:r>
      <w:r w:rsidRPr="000B14F3">
        <w:rPr>
          <w:rFonts w:ascii="Times New Roman" w:hAnsi="Times New Roman"/>
        </w:rPr>
        <w:t xml:space="preserve">Market </w:t>
      </w:r>
      <w:r w:rsidR="00327271" w:rsidRPr="000B14F3">
        <w:rPr>
          <w:rFonts w:ascii="Times New Roman" w:hAnsi="Times New Roman"/>
        </w:rPr>
        <w:t>i</w:t>
      </w:r>
      <w:r w:rsidRPr="000B14F3">
        <w:rPr>
          <w:rFonts w:ascii="Times New Roman" w:hAnsi="Times New Roman"/>
        </w:rPr>
        <w:t xml:space="preserve">nequality and </w:t>
      </w:r>
      <w:r w:rsidR="00327271" w:rsidRPr="000B14F3">
        <w:rPr>
          <w:rFonts w:ascii="Times New Roman" w:hAnsi="Times New Roman"/>
        </w:rPr>
        <w:t>r</w:t>
      </w:r>
      <w:r w:rsidRPr="000B14F3">
        <w:rPr>
          <w:rFonts w:ascii="Times New Roman" w:hAnsi="Times New Roman"/>
        </w:rPr>
        <w:t>edistribution in Latin America and the Caribbean</w:t>
      </w:r>
      <w:r w:rsidR="00327271" w:rsidRPr="000B14F3">
        <w:rPr>
          <w:rFonts w:ascii="Times New Roman" w:hAnsi="Times New Roman"/>
        </w:rPr>
        <w:t>’</w:t>
      </w:r>
      <w:r w:rsidRPr="000B14F3">
        <w:rPr>
          <w:rFonts w:ascii="Times New Roman" w:hAnsi="Times New Roman"/>
        </w:rPr>
        <w:t xml:space="preserve">, </w:t>
      </w:r>
      <w:r w:rsidRPr="000B14F3">
        <w:rPr>
          <w:rFonts w:ascii="Times New Roman" w:hAnsi="Times New Roman"/>
          <w:i/>
        </w:rPr>
        <w:t>Journal of Politics</w:t>
      </w:r>
      <w:r w:rsidRPr="000B14F3">
        <w:rPr>
          <w:rFonts w:ascii="Times New Roman" w:hAnsi="Times New Roman"/>
        </w:rPr>
        <w:t xml:space="preserve"> </w:t>
      </w:r>
      <w:r w:rsidRPr="000B14F3">
        <w:rPr>
          <w:rFonts w:ascii="Times New Roman" w:hAnsi="Times New Roman"/>
          <w:b/>
        </w:rPr>
        <w:t>75</w:t>
      </w:r>
      <w:r w:rsidRPr="000B14F3">
        <w:rPr>
          <w:rFonts w:ascii="Times New Roman" w:hAnsi="Times New Roman"/>
        </w:rPr>
        <w:t>(3)</w:t>
      </w:r>
      <w:r w:rsidR="00327271" w:rsidRPr="000B14F3">
        <w:rPr>
          <w:rFonts w:ascii="Times New Roman" w:hAnsi="Times New Roman"/>
        </w:rPr>
        <w:t>:</w:t>
      </w:r>
      <w:r w:rsidRPr="000B14F3">
        <w:rPr>
          <w:rFonts w:ascii="Times New Roman" w:hAnsi="Times New Roman"/>
        </w:rPr>
        <w:t xml:space="preserve"> 672-</w:t>
      </w:r>
      <w:r w:rsidR="00327271" w:rsidRPr="000B14F3">
        <w:rPr>
          <w:rFonts w:ascii="Times New Roman" w:hAnsi="Times New Roman"/>
        </w:rPr>
        <w:t>6</w:t>
      </w:r>
      <w:r w:rsidRPr="000B14F3">
        <w:rPr>
          <w:rFonts w:ascii="Times New Roman" w:hAnsi="Times New Roman"/>
        </w:rPr>
        <w:t>85.</w:t>
      </w:r>
    </w:p>
    <w:p w:rsidR="002E2121" w:rsidRPr="000B14F3" w:rsidRDefault="002E2121" w:rsidP="00C14BC0">
      <w:pPr>
        <w:ind w:firstLineChars="200" w:firstLine="480"/>
        <w:jc w:val="both"/>
        <w:rPr>
          <w:rFonts w:ascii="Times New Roman" w:hAnsi="Times New Roman"/>
          <w:lang w:eastAsia="zh-HK"/>
        </w:rPr>
      </w:pPr>
      <w:r w:rsidRPr="000B14F3">
        <w:rPr>
          <w:rFonts w:ascii="Times New Roman" w:hAnsi="Times New Roman"/>
          <w:lang w:eastAsia="zh-HK"/>
        </w:rPr>
        <w:t>Nickell, S. (1981)</w:t>
      </w:r>
      <w:r w:rsidR="00913071" w:rsidRPr="000B14F3">
        <w:rPr>
          <w:rFonts w:ascii="Times New Roman" w:hAnsi="Times New Roman"/>
          <w:lang w:eastAsia="zh-HK"/>
        </w:rPr>
        <w:t>,</w:t>
      </w:r>
      <w:r w:rsidRPr="000B14F3">
        <w:rPr>
          <w:rFonts w:ascii="Times New Roman" w:hAnsi="Times New Roman"/>
          <w:lang w:eastAsia="zh-HK"/>
        </w:rPr>
        <w:t xml:space="preserve"> </w:t>
      </w:r>
      <w:r w:rsidR="00913071" w:rsidRPr="000B14F3">
        <w:rPr>
          <w:rFonts w:ascii="Times New Roman" w:hAnsi="Times New Roman"/>
          <w:lang w:eastAsia="zh-HK"/>
        </w:rPr>
        <w:t>‘</w:t>
      </w:r>
      <w:r w:rsidRPr="000B14F3">
        <w:rPr>
          <w:rFonts w:ascii="Times New Roman" w:hAnsi="Times New Roman"/>
          <w:lang w:eastAsia="zh-HK"/>
        </w:rPr>
        <w:t xml:space="preserve">Biases in </w:t>
      </w:r>
      <w:r w:rsidR="00913071" w:rsidRPr="000B14F3">
        <w:rPr>
          <w:rFonts w:ascii="Times New Roman" w:hAnsi="Times New Roman"/>
          <w:lang w:eastAsia="zh-HK"/>
        </w:rPr>
        <w:t>d</w:t>
      </w:r>
      <w:r w:rsidRPr="000B14F3">
        <w:rPr>
          <w:rFonts w:ascii="Times New Roman" w:hAnsi="Times New Roman"/>
          <w:lang w:eastAsia="zh-HK"/>
        </w:rPr>
        <w:t xml:space="preserve">ynamic </w:t>
      </w:r>
      <w:r w:rsidR="00913071" w:rsidRPr="000B14F3">
        <w:rPr>
          <w:rFonts w:ascii="Times New Roman" w:hAnsi="Times New Roman"/>
          <w:lang w:eastAsia="zh-HK"/>
        </w:rPr>
        <w:t>m</w:t>
      </w:r>
      <w:r w:rsidRPr="000B14F3">
        <w:rPr>
          <w:rFonts w:ascii="Times New Roman" w:hAnsi="Times New Roman"/>
          <w:lang w:eastAsia="zh-HK"/>
        </w:rPr>
        <w:t xml:space="preserve">odels with </w:t>
      </w:r>
      <w:r w:rsidR="00913071" w:rsidRPr="000B14F3">
        <w:rPr>
          <w:rFonts w:ascii="Times New Roman" w:hAnsi="Times New Roman"/>
          <w:lang w:eastAsia="zh-HK"/>
        </w:rPr>
        <w:t>f</w:t>
      </w:r>
      <w:r w:rsidRPr="000B14F3">
        <w:rPr>
          <w:rFonts w:ascii="Times New Roman" w:hAnsi="Times New Roman"/>
          <w:lang w:eastAsia="zh-HK"/>
        </w:rPr>
        <w:t xml:space="preserve">ixed </w:t>
      </w:r>
      <w:r w:rsidR="00913071" w:rsidRPr="000B14F3">
        <w:rPr>
          <w:rFonts w:ascii="Times New Roman" w:hAnsi="Times New Roman"/>
          <w:lang w:eastAsia="zh-HK"/>
        </w:rPr>
        <w:t>e</w:t>
      </w:r>
      <w:r w:rsidRPr="000B14F3">
        <w:rPr>
          <w:rFonts w:ascii="Times New Roman" w:hAnsi="Times New Roman"/>
          <w:lang w:eastAsia="zh-HK"/>
        </w:rPr>
        <w:t>ffects</w:t>
      </w:r>
      <w:r w:rsidR="00913071"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Econometrica</w:t>
      </w:r>
      <w:r w:rsidRPr="000B14F3">
        <w:rPr>
          <w:rFonts w:ascii="Times New Roman" w:hAnsi="Times New Roman"/>
          <w:lang w:eastAsia="zh-HK"/>
        </w:rPr>
        <w:t xml:space="preserve">, </w:t>
      </w:r>
      <w:r w:rsidRPr="000B14F3">
        <w:rPr>
          <w:rFonts w:ascii="Times New Roman" w:hAnsi="Times New Roman"/>
          <w:b/>
          <w:lang w:eastAsia="zh-HK"/>
        </w:rPr>
        <w:t>49</w:t>
      </w:r>
      <w:r w:rsidR="004B6FA1" w:rsidRPr="000B14F3">
        <w:rPr>
          <w:rFonts w:ascii="Times New Roman" w:hAnsi="Times New Roman"/>
          <w:lang w:eastAsia="zh-HK"/>
        </w:rPr>
        <w:t xml:space="preserve">: </w:t>
      </w:r>
      <w:r w:rsidRPr="000B14F3">
        <w:rPr>
          <w:rFonts w:ascii="Times New Roman" w:hAnsi="Times New Roman"/>
          <w:lang w:eastAsia="zh-HK"/>
        </w:rPr>
        <w:t>1417–</w:t>
      </w:r>
      <w:r w:rsidR="004B6FA1" w:rsidRPr="000B14F3">
        <w:rPr>
          <w:rFonts w:ascii="Times New Roman" w:hAnsi="Times New Roman"/>
          <w:lang w:eastAsia="zh-HK"/>
        </w:rPr>
        <w:t>14</w:t>
      </w:r>
      <w:r w:rsidRPr="000B14F3">
        <w:rPr>
          <w:rFonts w:ascii="Times New Roman" w:hAnsi="Times New Roman"/>
          <w:lang w:eastAsia="zh-HK"/>
        </w:rPr>
        <w:t>26</w:t>
      </w:r>
      <w:r w:rsidR="004B6FA1" w:rsidRPr="000B14F3">
        <w:rPr>
          <w:rFonts w:ascii="Times New Roman" w:hAnsi="Times New Roman"/>
          <w:lang w:eastAsia="zh-HK"/>
        </w:rPr>
        <w:t>.</w:t>
      </w:r>
    </w:p>
    <w:p w:rsidR="00640E22" w:rsidRPr="000B14F3" w:rsidRDefault="00640E22" w:rsidP="00C14BC0">
      <w:pPr>
        <w:ind w:firstLineChars="200" w:firstLine="480"/>
        <w:jc w:val="both"/>
        <w:rPr>
          <w:rFonts w:ascii="Times New Roman" w:hAnsi="Times New Roman"/>
          <w:lang w:eastAsia="zh-HK"/>
        </w:rPr>
      </w:pPr>
      <w:r w:rsidRPr="000B14F3">
        <w:rPr>
          <w:rFonts w:ascii="Times New Roman" w:hAnsi="Times New Roman"/>
          <w:lang w:eastAsia="zh-HK"/>
        </w:rPr>
        <w:t xml:space="preserve">Organisation for Economic Cooperation and Development </w:t>
      </w:r>
      <w:r w:rsidR="00CF748F" w:rsidRPr="000B14F3">
        <w:rPr>
          <w:rFonts w:ascii="Times New Roman" w:hAnsi="Times New Roman"/>
          <w:lang w:eastAsia="zh-HK"/>
        </w:rPr>
        <w:t>(</w:t>
      </w:r>
      <w:r w:rsidRPr="000B14F3">
        <w:rPr>
          <w:rFonts w:ascii="Times New Roman" w:hAnsi="Times New Roman"/>
          <w:lang w:eastAsia="zh-HK"/>
        </w:rPr>
        <w:t>2013</w:t>
      </w:r>
      <w:r w:rsidR="00CF748F" w:rsidRPr="000B14F3">
        <w:rPr>
          <w:rFonts w:ascii="Times New Roman" w:hAnsi="Times New Roman"/>
          <w:lang w:eastAsia="zh-HK"/>
        </w:rPr>
        <w:t>)</w:t>
      </w:r>
      <w:r w:rsidR="001A3AAD" w:rsidRPr="000B14F3">
        <w:rPr>
          <w:rFonts w:ascii="Times New Roman" w:hAnsi="Times New Roman"/>
          <w:lang w:eastAsia="zh-HK"/>
        </w:rPr>
        <w:t>,</w:t>
      </w:r>
      <w:r w:rsidRPr="000B14F3">
        <w:rPr>
          <w:rFonts w:ascii="Times New Roman" w:hAnsi="Times New Roman"/>
          <w:lang w:eastAsia="zh-HK"/>
        </w:rPr>
        <w:t xml:space="preserve"> Social </w:t>
      </w:r>
      <w:r w:rsidR="001A3AAD" w:rsidRPr="000B14F3">
        <w:rPr>
          <w:rFonts w:ascii="Times New Roman" w:hAnsi="Times New Roman"/>
          <w:lang w:eastAsia="zh-HK"/>
        </w:rPr>
        <w:t>e</w:t>
      </w:r>
      <w:r w:rsidRPr="000B14F3">
        <w:rPr>
          <w:rFonts w:ascii="Times New Roman" w:hAnsi="Times New Roman"/>
          <w:lang w:eastAsia="zh-HK"/>
        </w:rPr>
        <w:t xml:space="preserve">xpenditure </w:t>
      </w:r>
      <w:r w:rsidR="001A3AAD" w:rsidRPr="000B14F3">
        <w:rPr>
          <w:rFonts w:ascii="Times New Roman" w:hAnsi="Times New Roman"/>
          <w:lang w:eastAsia="zh-HK"/>
        </w:rPr>
        <w:t>s</w:t>
      </w:r>
      <w:r w:rsidRPr="000B14F3">
        <w:rPr>
          <w:rFonts w:ascii="Times New Roman" w:hAnsi="Times New Roman"/>
          <w:lang w:eastAsia="zh-HK"/>
        </w:rPr>
        <w:t>tatistics (database)</w:t>
      </w:r>
      <w:r w:rsidR="0081280B" w:rsidRPr="000B14F3">
        <w:rPr>
          <w:rFonts w:ascii="Times New Roman" w:hAnsi="Times New Roman"/>
          <w:lang w:eastAsia="zh-HK"/>
        </w:rPr>
        <w:t>.</w:t>
      </w:r>
      <w:r w:rsidRPr="000B14F3">
        <w:rPr>
          <w:rFonts w:ascii="Times New Roman" w:hAnsi="Times New Roman"/>
          <w:lang w:eastAsia="zh-HK"/>
        </w:rPr>
        <w:t xml:space="preserve"> </w:t>
      </w:r>
      <w:r w:rsidR="00AF6037" w:rsidRPr="000B14F3">
        <w:rPr>
          <w:rFonts w:ascii="Times New Roman" w:hAnsi="Times New Roman"/>
        </w:rPr>
        <w:t xml:space="preserve">Retrieved </w:t>
      </w:r>
      <w:r w:rsidR="0081280B" w:rsidRPr="000B14F3">
        <w:rPr>
          <w:rFonts w:ascii="Times New Roman" w:hAnsi="Times New Roman"/>
          <w:lang w:eastAsia="zh-HK"/>
        </w:rPr>
        <w:t>16 Jun</w:t>
      </w:r>
      <w:r w:rsidR="00AF6037" w:rsidRPr="000B14F3">
        <w:rPr>
          <w:rFonts w:ascii="Times New Roman" w:hAnsi="Times New Roman"/>
          <w:lang w:eastAsia="zh-HK"/>
        </w:rPr>
        <w:t>e</w:t>
      </w:r>
      <w:r w:rsidR="0081280B" w:rsidRPr="000B14F3">
        <w:rPr>
          <w:rFonts w:ascii="Times New Roman" w:hAnsi="Times New Roman"/>
          <w:lang w:eastAsia="zh-HK"/>
        </w:rPr>
        <w:t xml:space="preserve"> 2013.</w:t>
      </w:r>
    </w:p>
    <w:p w:rsidR="00321676" w:rsidRPr="000B14F3" w:rsidRDefault="00321676" w:rsidP="00321676">
      <w:pPr>
        <w:ind w:firstLineChars="200" w:firstLine="480"/>
        <w:jc w:val="both"/>
        <w:rPr>
          <w:rFonts w:ascii="Times New Roman" w:hAnsi="Times New Roman"/>
          <w:lang w:eastAsia="zh-HK"/>
        </w:rPr>
      </w:pPr>
      <w:r w:rsidRPr="000B14F3">
        <w:rPr>
          <w:rFonts w:ascii="Times New Roman" w:hAnsi="Times New Roman"/>
          <w:lang w:eastAsia="zh-HK"/>
        </w:rPr>
        <w:t xml:space="preserve">Plumper, T., </w:t>
      </w:r>
      <w:r w:rsidR="00CF6860" w:rsidRPr="000B14F3">
        <w:rPr>
          <w:rFonts w:ascii="Times New Roman" w:hAnsi="Times New Roman"/>
          <w:lang w:eastAsia="zh-HK"/>
        </w:rPr>
        <w:t xml:space="preserve">V. </w:t>
      </w:r>
      <w:r w:rsidRPr="000B14F3">
        <w:rPr>
          <w:rFonts w:ascii="Times New Roman" w:hAnsi="Times New Roman"/>
          <w:lang w:eastAsia="zh-HK"/>
        </w:rPr>
        <w:t xml:space="preserve">Troeger and </w:t>
      </w:r>
      <w:r w:rsidR="00CF6860" w:rsidRPr="000B14F3">
        <w:rPr>
          <w:rFonts w:ascii="Times New Roman" w:hAnsi="Times New Roman"/>
          <w:lang w:eastAsia="zh-HK"/>
        </w:rPr>
        <w:t xml:space="preserve">P. </w:t>
      </w:r>
      <w:r w:rsidRPr="000B14F3">
        <w:rPr>
          <w:rFonts w:ascii="Times New Roman" w:hAnsi="Times New Roman"/>
          <w:lang w:eastAsia="zh-HK"/>
        </w:rPr>
        <w:t>Manow (2005)</w:t>
      </w:r>
      <w:r w:rsidR="00CF6860" w:rsidRPr="000B14F3">
        <w:rPr>
          <w:rFonts w:ascii="Times New Roman" w:hAnsi="Times New Roman"/>
          <w:lang w:eastAsia="zh-HK"/>
        </w:rPr>
        <w:t>,</w:t>
      </w:r>
      <w:r w:rsidRPr="000B14F3">
        <w:rPr>
          <w:rFonts w:ascii="Times New Roman" w:hAnsi="Times New Roman"/>
          <w:lang w:eastAsia="zh-HK"/>
        </w:rPr>
        <w:t xml:space="preserve"> </w:t>
      </w:r>
      <w:r w:rsidR="00CF6860" w:rsidRPr="000B14F3">
        <w:rPr>
          <w:rFonts w:ascii="Times New Roman" w:hAnsi="Times New Roman"/>
          <w:lang w:eastAsia="zh-HK"/>
        </w:rPr>
        <w:t>‘</w:t>
      </w:r>
      <w:r w:rsidRPr="000B14F3">
        <w:rPr>
          <w:rFonts w:ascii="Times New Roman" w:hAnsi="Times New Roman"/>
          <w:lang w:eastAsia="zh-HK"/>
        </w:rPr>
        <w:t xml:space="preserve">Panel </w:t>
      </w:r>
      <w:r w:rsidR="00CF6860" w:rsidRPr="000B14F3">
        <w:rPr>
          <w:rFonts w:ascii="Times New Roman" w:hAnsi="Times New Roman"/>
          <w:lang w:eastAsia="zh-HK"/>
        </w:rPr>
        <w:t>d</w:t>
      </w:r>
      <w:r w:rsidRPr="000B14F3">
        <w:rPr>
          <w:rFonts w:ascii="Times New Roman" w:hAnsi="Times New Roman"/>
          <w:lang w:eastAsia="zh-HK"/>
        </w:rPr>
        <w:t xml:space="preserve">ata </w:t>
      </w:r>
      <w:r w:rsidR="00CF6860" w:rsidRPr="000B14F3">
        <w:rPr>
          <w:rFonts w:ascii="Times New Roman" w:hAnsi="Times New Roman"/>
          <w:lang w:eastAsia="zh-HK"/>
        </w:rPr>
        <w:t>a</w:t>
      </w:r>
      <w:r w:rsidRPr="000B14F3">
        <w:rPr>
          <w:rFonts w:ascii="Times New Roman" w:hAnsi="Times New Roman"/>
          <w:lang w:eastAsia="zh-HK"/>
        </w:rPr>
        <w:t xml:space="preserve">nalysis in </w:t>
      </w:r>
      <w:r w:rsidR="00CF6860" w:rsidRPr="000B14F3">
        <w:rPr>
          <w:rFonts w:ascii="Times New Roman" w:hAnsi="Times New Roman"/>
          <w:lang w:eastAsia="zh-HK"/>
        </w:rPr>
        <w:t>c</w:t>
      </w:r>
      <w:r w:rsidRPr="000B14F3">
        <w:rPr>
          <w:rFonts w:ascii="Times New Roman" w:hAnsi="Times New Roman"/>
          <w:lang w:eastAsia="zh-HK"/>
        </w:rPr>
        <w:t xml:space="preserve">omparative </w:t>
      </w:r>
      <w:r w:rsidR="00CF6860" w:rsidRPr="000B14F3">
        <w:rPr>
          <w:rFonts w:ascii="Times New Roman" w:hAnsi="Times New Roman"/>
          <w:lang w:eastAsia="zh-HK"/>
        </w:rPr>
        <w:t>p</w:t>
      </w:r>
      <w:r w:rsidRPr="000B14F3">
        <w:rPr>
          <w:rFonts w:ascii="Times New Roman" w:hAnsi="Times New Roman"/>
          <w:lang w:eastAsia="zh-HK"/>
        </w:rPr>
        <w:t xml:space="preserve">olitics: Linking </w:t>
      </w:r>
      <w:r w:rsidR="00CF6860" w:rsidRPr="000B14F3">
        <w:rPr>
          <w:rFonts w:ascii="Times New Roman" w:hAnsi="Times New Roman"/>
          <w:lang w:eastAsia="zh-HK"/>
        </w:rPr>
        <w:t>m</w:t>
      </w:r>
      <w:r w:rsidRPr="000B14F3">
        <w:rPr>
          <w:rFonts w:ascii="Times New Roman" w:hAnsi="Times New Roman"/>
          <w:lang w:eastAsia="zh-HK"/>
        </w:rPr>
        <w:t xml:space="preserve">ethod to </w:t>
      </w:r>
      <w:r w:rsidR="00CF6860" w:rsidRPr="000B14F3">
        <w:rPr>
          <w:rFonts w:ascii="Times New Roman" w:hAnsi="Times New Roman"/>
          <w:lang w:eastAsia="zh-HK"/>
        </w:rPr>
        <w:t>t</w:t>
      </w:r>
      <w:r w:rsidRPr="000B14F3">
        <w:rPr>
          <w:rFonts w:ascii="Times New Roman" w:hAnsi="Times New Roman"/>
          <w:lang w:eastAsia="zh-HK"/>
        </w:rPr>
        <w:t>heory</w:t>
      </w:r>
      <w:r w:rsidR="00CF6860"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European Journal of Political Research</w:t>
      </w:r>
      <w:r w:rsidRPr="000B14F3">
        <w:rPr>
          <w:rFonts w:ascii="Times New Roman" w:hAnsi="Times New Roman"/>
          <w:lang w:eastAsia="zh-HK"/>
        </w:rPr>
        <w:t xml:space="preserve"> </w:t>
      </w:r>
      <w:r w:rsidRPr="000B14F3">
        <w:rPr>
          <w:rFonts w:ascii="Times New Roman" w:hAnsi="Times New Roman"/>
          <w:b/>
          <w:lang w:eastAsia="zh-HK"/>
        </w:rPr>
        <w:t>44</w:t>
      </w:r>
      <w:r w:rsidR="0091624A" w:rsidRPr="000B14F3">
        <w:rPr>
          <w:rFonts w:ascii="Times New Roman" w:hAnsi="Times New Roman"/>
          <w:lang w:eastAsia="zh-HK"/>
        </w:rPr>
        <w:t>:</w:t>
      </w:r>
      <w:r w:rsidRPr="000B14F3">
        <w:rPr>
          <w:rFonts w:ascii="Times New Roman" w:hAnsi="Times New Roman"/>
          <w:lang w:eastAsia="zh-HK"/>
        </w:rPr>
        <w:t xml:space="preserve"> 327-</w:t>
      </w:r>
      <w:r w:rsidR="0091624A" w:rsidRPr="000B14F3">
        <w:rPr>
          <w:rFonts w:ascii="Times New Roman" w:hAnsi="Times New Roman"/>
          <w:lang w:eastAsia="zh-HK"/>
        </w:rPr>
        <w:t>3</w:t>
      </w:r>
      <w:r w:rsidRPr="000B14F3">
        <w:rPr>
          <w:rFonts w:ascii="Times New Roman" w:hAnsi="Times New Roman"/>
          <w:lang w:eastAsia="zh-HK"/>
        </w:rPr>
        <w:t>54.</w:t>
      </w:r>
    </w:p>
    <w:p w:rsidR="00E92498" w:rsidRPr="000B14F3" w:rsidRDefault="00E92498" w:rsidP="00E92498">
      <w:pPr>
        <w:ind w:firstLineChars="200" w:firstLine="480"/>
        <w:jc w:val="both"/>
        <w:rPr>
          <w:rFonts w:ascii="Times New Roman" w:hAnsi="Times New Roman"/>
          <w:lang w:eastAsia="zh-HK"/>
        </w:rPr>
      </w:pPr>
      <w:r w:rsidRPr="000B14F3">
        <w:rPr>
          <w:rFonts w:ascii="Times New Roman" w:hAnsi="Times New Roman"/>
          <w:lang w:eastAsia="zh-HK"/>
        </w:rPr>
        <w:t xml:space="preserve">Pontusson, </w:t>
      </w:r>
      <w:r w:rsidR="009663C5" w:rsidRPr="000B14F3">
        <w:rPr>
          <w:rFonts w:ascii="Times New Roman" w:hAnsi="Times New Roman"/>
          <w:lang w:eastAsia="zh-HK"/>
        </w:rPr>
        <w:t>J.</w:t>
      </w:r>
      <w:r w:rsidRPr="000B14F3">
        <w:rPr>
          <w:rFonts w:ascii="Times New Roman" w:hAnsi="Times New Roman"/>
          <w:lang w:eastAsia="zh-HK"/>
        </w:rPr>
        <w:t xml:space="preserve">, </w:t>
      </w:r>
      <w:r w:rsidR="00971E5C" w:rsidRPr="000B14F3">
        <w:rPr>
          <w:rFonts w:ascii="Times New Roman" w:hAnsi="Times New Roman"/>
          <w:lang w:eastAsia="zh-HK"/>
        </w:rPr>
        <w:t xml:space="preserve">D. </w:t>
      </w:r>
      <w:r w:rsidRPr="000B14F3">
        <w:rPr>
          <w:rFonts w:ascii="Times New Roman" w:hAnsi="Times New Roman"/>
          <w:lang w:eastAsia="zh-HK"/>
        </w:rPr>
        <w:t>Rueda</w:t>
      </w:r>
      <w:r w:rsidR="009663C5" w:rsidRPr="000B14F3">
        <w:rPr>
          <w:rFonts w:ascii="Times New Roman" w:hAnsi="Times New Roman"/>
          <w:lang w:eastAsia="zh-HK"/>
        </w:rPr>
        <w:t xml:space="preserve">, </w:t>
      </w:r>
      <w:r w:rsidRPr="000B14F3">
        <w:rPr>
          <w:rFonts w:ascii="Times New Roman" w:hAnsi="Times New Roman"/>
          <w:lang w:eastAsia="zh-HK"/>
        </w:rPr>
        <w:t xml:space="preserve">and </w:t>
      </w:r>
      <w:r w:rsidR="00971E5C" w:rsidRPr="000B14F3">
        <w:rPr>
          <w:rFonts w:ascii="Times New Roman" w:hAnsi="Times New Roman"/>
          <w:lang w:eastAsia="zh-HK"/>
        </w:rPr>
        <w:t xml:space="preserve">C. </w:t>
      </w:r>
      <w:r w:rsidRPr="000B14F3">
        <w:rPr>
          <w:rFonts w:ascii="Times New Roman" w:hAnsi="Times New Roman"/>
          <w:lang w:eastAsia="zh-HK"/>
        </w:rPr>
        <w:t>Way</w:t>
      </w:r>
      <w:r w:rsidR="009663C5" w:rsidRPr="000B14F3">
        <w:rPr>
          <w:rFonts w:ascii="Times New Roman" w:hAnsi="Times New Roman"/>
          <w:lang w:eastAsia="zh-HK"/>
        </w:rPr>
        <w:t xml:space="preserve"> (2002)</w:t>
      </w:r>
      <w:r w:rsidR="00971E5C" w:rsidRPr="000B14F3">
        <w:rPr>
          <w:rFonts w:ascii="Times New Roman" w:hAnsi="Times New Roman"/>
          <w:lang w:eastAsia="zh-HK"/>
        </w:rPr>
        <w:t>,</w:t>
      </w:r>
      <w:r w:rsidRPr="000B14F3">
        <w:rPr>
          <w:rFonts w:ascii="Times New Roman" w:hAnsi="Times New Roman"/>
          <w:lang w:eastAsia="zh-HK"/>
        </w:rPr>
        <w:t xml:space="preserve"> </w:t>
      </w:r>
      <w:r w:rsidR="00971E5C" w:rsidRPr="000B14F3">
        <w:rPr>
          <w:rFonts w:ascii="Times New Roman" w:hAnsi="Times New Roman"/>
          <w:lang w:eastAsia="zh-HK"/>
        </w:rPr>
        <w:t>‘</w:t>
      </w:r>
      <w:r w:rsidRPr="000B14F3">
        <w:rPr>
          <w:rFonts w:ascii="Times New Roman" w:hAnsi="Times New Roman"/>
          <w:lang w:eastAsia="zh-HK"/>
        </w:rPr>
        <w:t xml:space="preserve">Comparative </w:t>
      </w:r>
      <w:r w:rsidR="00971E5C" w:rsidRPr="000B14F3">
        <w:rPr>
          <w:rFonts w:ascii="Times New Roman" w:hAnsi="Times New Roman"/>
          <w:lang w:eastAsia="zh-HK"/>
        </w:rPr>
        <w:t>p</w:t>
      </w:r>
      <w:r w:rsidRPr="000B14F3">
        <w:rPr>
          <w:rFonts w:ascii="Times New Roman" w:hAnsi="Times New Roman"/>
          <w:lang w:eastAsia="zh-HK"/>
        </w:rPr>
        <w:t xml:space="preserve">olitical </w:t>
      </w:r>
      <w:r w:rsidR="00971E5C" w:rsidRPr="000B14F3">
        <w:rPr>
          <w:rFonts w:ascii="Times New Roman" w:hAnsi="Times New Roman"/>
          <w:lang w:eastAsia="zh-HK"/>
        </w:rPr>
        <w:t>e</w:t>
      </w:r>
      <w:r w:rsidRPr="000B14F3">
        <w:rPr>
          <w:rFonts w:ascii="Times New Roman" w:hAnsi="Times New Roman"/>
          <w:lang w:eastAsia="zh-HK"/>
        </w:rPr>
        <w:t xml:space="preserve">conomy of </w:t>
      </w:r>
      <w:r w:rsidR="00971E5C" w:rsidRPr="000B14F3">
        <w:rPr>
          <w:rFonts w:ascii="Times New Roman" w:hAnsi="Times New Roman"/>
          <w:lang w:eastAsia="zh-HK"/>
        </w:rPr>
        <w:t>w</w:t>
      </w:r>
      <w:r w:rsidRPr="000B14F3">
        <w:rPr>
          <w:rFonts w:ascii="Times New Roman" w:hAnsi="Times New Roman"/>
          <w:lang w:eastAsia="zh-HK"/>
        </w:rPr>
        <w:t xml:space="preserve">age </w:t>
      </w:r>
      <w:r w:rsidR="00971E5C" w:rsidRPr="000B14F3">
        <w:rPr>
          <w:rFonts w:ascii="Times New Roman" w:hAnsi="Times New Roman"/>
          <w:lang w:eastAsia="zh-HK"/>
        </w:rPr>
        <w:t>d</w:t>
      </w:r>
      <w:r w:rsidRPr="000B14F3">
        <w:rPr>
          <w:rFonts w:ascii="Times New Roman" w:hAnsi="Times New Roman"/>
          <w:lang w:eastAsia="zh-HK"/>
        </w:rPr>
        <w:t xml:space="preserve">istribution: The </w:t>
      </w:r>
      <w:r w:rsidR="00971E5C" w:rsidRPr="000B14F3">
        <w:rPr>
          <w:rFonts w:ascii="Times New Roman" w:hAnsi="Times New Roman"/>
          <w:lang w:eastAsia="zh-HK"/>
        </w:rPr>
        <w:t>r</w:t>
      </w:r>
      <w:r w:rsidRPr="000B14F3">
        <w:rPr>
          <w:rFonts w:ascii="Times New Roman" w:hAnsi="Times New Roman"/>
          <w:lang w:eastAsia="zh-HK"/>
        </w:rPr>
        <w:t xml:space="preserve">ole of </w:t>
      </w:r>
      <w:r w:rsidR="00971E5C" w:rsidRPr="000B14F3">
        <w:rPr>
          <w:rFonts w:ascii="Times New Roman" w:hAnsi="Times New Roman"/>
          <w:lang w:eastAsia="zh-HK"/>
        </w:rPr>
        <w:t>p</w:t>
      </w:r>
      <w:r w:rsidRPr="000B14F3">
        <w:rPr>
          <w:rFonts w:ascii="Times New Roman" w:hAnsi="Times New Roman"/>
          <w:lang w:eastAsia="zh-HK"/>
        </w:rPr>
        <w:t xml:space="preserve">artisanship and </w:t>
      </w:r>
      <w:r w:rsidR="00971E5C" w:rsidRPr="000B14F3">
        <w:rPr>
          <w:rFonts w:ascii="Times New Roman" w:hAnsi="Times New Roman"/>
          <w:lang w:eastAsia="zh-HK"/>
        </w:rPr>
        <w:t>l</w:t>
      </w:r>
      <w:r w:rsidRPr="000B14F3">
        <w:rPr>
          <w:rFonts w:ascii="Times New Roman" w:hAnsi="Times New Roman"/>
          <w:lang w:eastAsia="zh-HK"/>
        </w:rPr>
        <w:t xml:space="preserve">abor </w:t>
      </w:r>
      <w:r w:rsidR="00971E5C" w:rsidRPr="000B14F3">
        <w:rPr>
          <w:rFonts w:ascii="Times New Roman" w:hAnsi="Times New Roman"/>
          <w:lang w:eastAsia="zh-HK"/>
        </w:rPr>
        <w:t>m</w:t>
      </w:r>
      <w:r w:rsidRPr="000B14F3">
        <w:rPr>
          <w:rFonts w:ascii="Times New Roman" w:hAnsi="Times New Roman"/>
          <w:lang w:eastAsia="zh-HK"/>
        </w:rPr>
        <w:t xml:space="preserve">arket </w:t>
      </w:r>
      <w:r w:rsidR="00971E5C" w:rsidRPr="000B14F3">
        <w:rPr>
          <w:rFonts w:ascii="Times New Roman" w:hAnsi="Times New Roman"/>
          <w:lang w:eastAsia="zh-HK"/>
        </w:rPr>
        <w:t>i</w:t>
      </w:r>
      <w:r w:rsidRPr="000B14F3">
        <w:rPr>
          <w:rFonts w:ascii="Times New Roman" w:hAnsi="Times New Roman"/>
          <w:lang w:eastAsia="zh-HK"/>
        </w:rPr>
        <w:t>nstitutions</w:t>
      </w:r>
      <w:r w:rsidR="00971E5C" w:rsidRPr="000B14F3">
        <w:rPr>
          <w:rFonts w:ascii="Times New Roman" w:hAnsi="Times New Roman"/>
          <w:lang w:eastAsia="zh-HK"/>
        </w:rPr>
        <w:t>’</w:t>
      </w:r>
      <w:r w:rsidR="009663C5" w:rsidRPr="000B14F3">
        <w:rPr>
          <w:rFonts w:ascii="Times New Roman" w:hAnsi="Times New Roman"/>
          <w:lang w:eastAsia="zh-HK"/>
        </w:rPr>
        <w:t>,</w:t>
      </w:r>
      <w:r w:rsidRPr="000B14F3">
        <w:rPr>
          <w:rFonts w:ascii="Times New Roman" w:hAnsi="Times New Roman"/>
          <w:i/>
          <w:lang w:eastAsia="zh-HK"/>
        </w:rPr>
        <w:t xml:space="preserve"> British Journal of Political Science</w:t>
      </w:r>
      <w:r w:rsidR="00B15923" w:rsidRPr="000B14F3">
        <w:rPr>
          <w:rFonts w:ascii="Times New Roman" w:hAnsi="Times New Roman"/>
          <w:lang w:eastAsia="zh-HK"/>
        </w:rPr>
        <w:t xml:space="preserve"> </w:t>
      </w:r>
      <w:r w:rsidR="00B15923" w:rsidRPr="000B14F3">
        <w:rPr>
          <w:rFonts w:ascii="Times New Roman" w:hAnsi="Times New Roman"/>
          <w:b/>
          <w:lang w:eastAsia="zh-HK"/>
        </w:rPr>
        <w:t>32</w:t>
      </w:r>
      <w:r w:rsidR="00B15923" w:rsidRPr="000B14F3">
        <w:rPr>
          <w:rFonts w:ascii="Times New Roman" w:hAnsi="Times New Roman"/>
          <w:lang w:eastAsia="zh-HK"/>
        </w:rPr>
        <w:t>(2)</w:t>
      </w:r>
      <w:r w:rsidR="001B1409" w:rsidRPr="000B14F3">
        <w:rPr>
          <w:rFonts w:ascii="Times New Roman" w:hAnsi="Times New Roman"/>
          <w:lang w:eastAsia="zh-HK"/>
        </w:rPr>
        <w:t>:</w:t>
      </w:r>
      <w:r w:rsidR="00B15923" w:rsidRPr="000B14F3">
        <w:rPr>
          <w:rFonts w:ascii="Times New Roman" w:hAnsi="Times New Roman"/>
          <w:lang w:eastAsia="zh-HK"/>
        </w:rPr>
        <w:t xml:space="preserve"> </w:t>
      </w:r>
      <w:r w:rsidR="00B15923" w:rsidRPr="000B14F3">
        <w:rPr>
          <w:rFonts w:ascii="Times New Roman" w:hAnsi="Times New Roman"/>
          <w:szCs w:val="24"/>
          <w:lang w:eastAsia="zh-HK"/>
        </w:rPr>
        <w:t>281-308.</w:t>
      </w:r>
    </w:p>
    <w:p w:rsidR="00A767E0" w:rsidRPr="000B14F3" w:rsidRDefault="00A767E0" w:rsidP="00A767E0">
      <w:pPr>
        <w:ind w:firstLineChars="200" w:firstLine="480"/>
        <w:jc w:val="both"/>
        <w:rPr>
          <w:rFonts w:ascii="Times New Roman" w:hAnsi="Times New Roman"/>
          <w:lang w:eastAsia="zh-HK"/>
        </w:rPr>
      </w:pPr>
      <w:r w:rsidRPr="000B14F3">
        <w:rPr>
          <w:rFonts w:ascii="Times New Roman" w:hAnsi="Times New Roman"/>
          <w:lang w:eastAsia="zh-HK"/>
        </w:rPr>
        <w:t>Rueda, D. (2008)</w:t>
      </w:r>
      <w:r w:rsidR="001B1409" w:rsidRPr="000B14F3">
        <w:rPr>
          <w:rFonts w:ascii="Times New Roman" w:hAnsi="Times New Roman"/>
          <w:lang w:eastAsia="zh-HK"/>
        </w:rPr>
        <w:t>,</w:t>
      </w:r>
      <w:r w:rsidRPr="000B14F3">
        <w:rPr>
          <w:rFonts w:ascii="Times New Roman" w:hAnsi="Times New Roman"/>
          <w:lang w:eastAsia="zh-HK"/>
        </w:rPr>
        <w:t xml:space="preserve"> </w:t>
      </w:r>
      <w:r w:rsidR="001B1409" w:rsidRPr="000B14F3">
        <w:rPr>
          <w:rFonts w:ascii="Times New Roman" w:hAnsi="Times New Roman"/>
          <w:lang w:eastAsia="zh-HK"/>
        </w:rPr>
        <w:t>‘</w:t>
      </w:r>
      <w:r w:rsidRPr="000B14F3">
        <w:rPr>
          <w:rFonts w:ascii="Times New Roman" w:hAnsi="Times New Roman"/>
          <w:lang w:eastAsia="zh-HK"/>
        </w:rPr>
        <w:t xml:space="preserve">Left </w:t>
      </w:r>
      <w:r w:rsidR="001B1409" w:rsidRPr="000B14F3">
        <w:rPr>
          <w:rFonts w:ascii="Times New Roman" w:hAnsi="Times New Roman"/>
          <w:lang w:eastAsia="zh-HK"/>
        </w:rPr>
        <w:t>g</w:t>
      </w:r>
      <w:r w:rsidRPr="000B14F3">
        <w:rPr>
          <w:rFonts w:ascii="Times New Roman" w:hAnsi="Times New Roman"/>
          <w:lang w:eastAsia="zh-HK"/>
        </w:rPr>
        <w:t xml:space="preserve">overnment, </w:t>
      </w:r>
      <w:r w:rsidR="001B1409" w:rsidRPr="000B14F3">
        <w:rPr>
          <w:rFonts w:ascii="Times New Roman" w:hAnsi="Times New Roman"/>
          <w:lang w:eastAsia="zh-HK"/>
        </w:rPr>
        <w:t>p</w:t>
      </w:r>
      <w:r w:rsidRPr="000B14F3">
        <w:rPr>
          <w:rFonts w:ascii="Times New Roman" w:hAnsi="Times New Roman"/>
          <w:lang w:eastAsia="zh-HK"/>
        </w:rPr>
        <w:t xml:space="preserve">olicy, and </w:t>
      </w:r>
      <w:r w:rsidR="001B1409" w:rsidRPr="000B14F3">
        <w:rPr>
          <w:rFonts w:ascii="Times New Roman" w:hAnsi="Times New Roman"/>
          <w:lang w:eastAsia="zh-HK"/>
        </w:rPr>
        <w:t>c</w:t>
      </w:r>
      <w:r w:rsidRPr="000B14F3">
        <w:rPr>
          <w:rFonts w:ascii="Times New Roman" w:hAnsi="Times New Roman"/>
          <w:lang w:eastAsia="zh-HK"/>
        </w:rPr>
        <w:t xml:space="preserve">orporatism Explaining the </w:t>
      </w:r>
      <w:r w:rsidR="001B1409" w:rsidRPr="000B14F3">
        <w:rPr>
          <w:rFonts w:ascii="Times New Roman" w:hAnsi="Times New Roman"/>
          <w:lang w:eastAsia="zh-HK"/>
        </w:rPr>
        <w:t>i</w:t>
      </w:r>
      <w:r w:rsidRPr="000B14F3">
        <w:rPr>
          <w:rFonts w:ascii="Times New Roman" w:hAnsi="Times New Roman"/>
          <w:lang w:eastAsia="zh-HK"/>
        </w:rPr>
        <w:t xml:space="preserve">nfluence of </w:t>
      </w:r>
      <w:r w:rsidR="001B1409" w:rsidRPr="000B14F3">
        <w:rPr>
          <w:rFonts w:ascii="Times New Roman" w:hAnsi="Times New Roman"/>
          <w:lang w:eastAsia="zh-HK"/>
        </w:rPr>
        <w:t>p</w:t>
      </w:r>
      <w:r w:rsidRPr="000B14F3">
        <w:rPr>
          <w:rFonts w:ascii="Times New Roman" w:hAnsi="Times New Roman"/>
          <w:lang w:eastAsia="zh-HK"/>
        </w:rPr>
        <w:t xml:space="preserve">artisanship on </w:t>
      </w:r>
      <w:r w:rsidR="001B1409" w:rsidRPr="000B14F3">
        <w:rPr>
          <w:rFonts w:ascii="Times New Roman" w:hAnsi="Times New Roman"/>
          <w:lang w:eastAsia="zh-HK"/>
        </w:rPr>
        <w:t>i</w:t>
      </w:r>
      <w:r w:rsidRPr="000B14F3">
        <w:rPr>
          <w:rFonts w:ascii="Times New Roman" w:hAnsi="Times New Roman"/>
          <w:lang w:eastAsia="zh-HK"/>
        </w:rPr>
        <w:t>nequality</w:t>
      </w:r>
      <w:r w:rsidR="001B1409" w:rsidRPr="000B14F3">
        <w:rPr>
          <w:rFonts w:ascii="Times New Roman" w:hAnsi="Times New Roman"/>
          <w:lang w:eastAsia="zh-HK"/>
        </w:rPr>
        <w:t>’</w:t>
      </w:r>
      <w:r w:rsidRPr="000B14F3">
        <w:rPr>
          <w:rFonts w:ascii="Times New Roman" w:hAnsi="Times New Roman"/>
          <w:lang w:eastAsia="zh-HK"/>
        </w:rPr>
        <w:t xml:space="preserve">, </w:t>
      </w:r>
      <w:r w:rsidRPr="000B14F3">
        <w:rPr>
          <w:rFonts w:ascii="Times New Roman" w:hAnsi="Times New Roman"/>
          <w:i/>
          <w:lang w:eastAsia="zh-HK"/>
        </w:rPr>
        <w:t>World Politics</w:t>
      </w:r>
      <w:r w:rsidRPr="000B14F3">
        <w:rPr>
          <w:rFonts w:ascii="Times New Roman" w:hAnsi="Times New Roman"/>
          <w:lang w:eastAsia="zh-HK"/>
        </w:rPr>
        <w:t xml:space="preserve"> </w:t>
      </w:r>
      <w:r w:rsidRPr="000B14F3">
        <w:rPr>
          <w:rFonts w:ascii="Times New Roman" w:hAnsi="Times New Roman"/>
          <w:b/>
          <w:lang w:eastAsia="zh-HK"/>
        </w:rPr>
        <w:t>60</w:t>
      </w:r>
      <w:r w:rsidRPr="000B14F3">
        <w:rPr>
          <w:rFonts w:ascii="Times New Roman" w:hAnsi="Times New Roman"/>
          <w:lang w:eastAsia="zh-HK"/>
        </w:rPr>
        <w:t>(3)</w:t>
      </w:r>
      <w:r w:rsidR="002C1BA2" w:rsidRPr="000B14F3">
        <w:rPr>
          <w:rFonts w:ascii="Times New Roman" w:hAnsi="Times New Roman"/>
          <w:lang w:eastAsia="zh-HK"/>
        </w:rPr>
        <w:t>:</w:t>
      </w:r>
      <w:r w:rsidRPr="000B14F3">
        <w:rPr>
          <w:rFonts w:ascii="Times New Roman" w:hAnsi="Times New Roman"/>
          <w:lang w:eastAsia="zh-HK"/>
        </w:rPr>
        <w:t xml:space="preserve"> 349-</w:t>
      </w:r>
      <w:r w:rsidR="002C1BA2" w:rsidRPr="000B14F3">
        <w:rPr>
          <w:rFonts w:ascii="Times New Roman" w:hAnsi="Times New Roman"/>
          <w:lang w:eastAsia="zh-HK"/>
        </w:rPr>
        <w:t>3</w:t>
      </w:r>
      <w:r w:rsidRPr="000B14F3">
        <w:rPr>
          <w:rFonts w:ascii="Times New Roman" w:hAnsi="Times New Roman"/>
          <w:lang w:eastAsia="zh-HK"/>
        </w:rPr>
        <w:t>89.</w:t>
      </w:r>
    </w:p>
    <w:p w:rsidR="00A86FC1" w:rsidRPr="000B14F3" w:rsidRDefault="00A86FC1"/>
    <w:p w:rsidR="00016779" w:rsidRPr="000B14F3" w:rsidRDefault="00016779"/>
    <w:p w:rsidR="00016779" w:rsidRPr="000B14F3" w:rsidRDefault="00016779"/>
    <w:sectPr w:rsidR="00016779" w:rsidRPr="000B14F3" w:rsidSect="0065265B">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AA" w:rsidRDefault="009D30AA">
      <w:r>
        <w:separator/>
      </w:r>
    </w:p>
  </w:endnote>
  <w:endnote w:type="continuationSeparator" w:id="0">
    <w:p w:rsidR="009D30AA" w:rsidRDefault="009D3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A3" w:rsidRPr="00296DBB" w:rsidRDefault="009B1C93">
    <w:pPr>
      <w:pStyle w:val="Footer"/>
      <w:jc w:val="center"/>
      <w:rPr>
        <w:rFonts w:ascii="Times New Roman" w:hAnsi="Times New Roman"/>
      </w:rPr>
    </w:pPr>
    <w:r w:rsidRPr="00296DBB">
      <w:rPr>
        <w:rFonts w:ascii="Times New Roman" w:hAnsi="Times New Roman"/>
      </w:rPr>
      <w:fldChar w:fldCharType="begin"/>
    </w:r>
    <w:r w:rsidR="002053A3" w:rsidRPr="00296DBB">
      <w:rPr>
        <w:rFonts w:ascii="Times New Roman" w:hAnsi="Times New Roman"/>
      </w:rPr>
      <w:instrText xml:space="preserve"> PAGE   \* MERGEFORMAT </w:instrText>
    </w:r>
    <w:r w:rsidRPr="00296DBB">
      <w:rPr>
        <w:rFonts w:ascii="Times New Roman" w:hAnsi="Times New Roman"/>
      </w:rPr>
      <w:fldChar w:fldCharType="separate"/>
    </w:r>
    <w:r w:rsidR="0005249A" w:rsidRPr="0005249A">
      <w:rPr>
        <w:rFonts w:ascii="Times New Roman" w:hAnsi="Times New Roman"/>
        <w:noProof/>
        <w:lang w:val="zh-TW"/>
      </w:rPr>
      <w:t>22</w:t>
    </w:r>
    <w:r w:rsidRPr="00296DBB">
      <w:rPr>
        <w:rFonts w:ascii="Times New Roman" w:hAnsi="Times New Roman"/>
      </w:rPr>
      <w:fldChar w:fldCharType="end"/>
    </w:r>
  </w:p>
  <w:p w:rsidR="002053A3" w:rsidRPr="00296DBB" w:rsidRDefault="002053A3">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AA" w:rsidRDefault="009D30AA">
      <w:r>
        <w:separator/>
      </w:r>
    </w:p>
  </w:footnote>
  <w:footnote w:type="continuationSeparator" w:id="0">
    <w:p w:rsidR="009D30AA" w:rsidRDefault="009D3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DC4"/>
    <w:rsid w:val="00000626"/>
    <w:rsid w:val="0000163F"/>
    <w:rsid w:val="000036A7"/>
    <w:rsid w:val="00005955"/>
    <w:rsid w:val="00006DC3"/>
    <w:rsid w:val="0000704E"/>
    <w:rsid w:val="00013853"/>
    <w:rsid w:val="00014305"/>
    <w:rsid w:val="00015966"/>
    <w:rsid w:val="00016476"/>
    <w:rsid w:val="00016779"/>
    <w:rsid w:val="00016DFA"/>
    <w:rsid w:val="000173ED"/>
    <w:rsid w:val="00022113"/>
    <w:rsid w:val="00022578"/>
    <w:rsid w:val="00027065"/>
    <w:rsid w:val="00027FED"/>
    <w:rsid w:val="00032BA0"/>
    <w:rsid w:val="00034101"/>
    <w:rsid w:val="000348A0"/>
    <w:rsid w:val="00037137"/>
    <w:rsid w:val="00041A06"/>
    <w:rsid w:val="00042469"/>
    <w:rsid w:val="00043074"/>
    <w:rsid w:val="00043642"/>
    <w:rsid w:val="00045497"/>
    <w:rsid w:val="00047256"/>
    <w:rsid w:val="00050B4A"/>
    <w:rsid w:val="0005249A"/>
    <w:rsid w:val="000537B2"/>
    <w:rsid w:val="00055F3C"/>
    <w:rsid w:val="00062472"/>
    <w:rsid w:val="00065ACD"/>
    <w:rsid w:val="00072180"/>
    <w:rsid w:val="00074DC4"/>
    <w:rsid w:val="00075E30"/>
    <w:rsid w:val="00076903"/>
    <w:rsid w:val="00076E73"/>
    <w:rsid w:val="000771FC"/>
    <w:rsid w:val="00080BE4"/>
    <w:rsid w:val="00084E69"/>
    <w:rsid w:val="00086BBC"/>
    <w:rsid w:val="00091B82"/>
    <w:rsid w:val="00094064"/>
    <w:rsid w:val="000949F1"/>
    <w:rsid w:val="000959F3"/>
    <w:rsid w:val="00096621"/>
    <w:rsid w:val="000969C6"/>
    <w:rsid w:val="000A2EFF"/>
    <w:rsid w:val="000A350B"/>
    <w:rsid w:val="000A3C0E"/>
    <w:rsid w:val="000A5C46"/>
    <w:rsid w:val="000A5FA5"/>
    <w:rsid w:val="000A679D"/>
    <w:rsid w:val="000A6FBD"/>
    <w:rsid w:val="000A7B60"/>
    <w:rsid w:val="000B14F3"/>
    <w:rsid w:val="000B175A"/>
    <w:rsid w:val="000B176E"/>
    <w:rsid w:val="000B1CDE"/>
    <w:rsid w:val="000B4B3B"/>
    <w:rsid w:val="000C0489"/>
    <w:rsid w:val="000C06F7"/>
    <w:rsid w:val="000C099F"/>
    <w:rsid w:val="000C191C"/>
    <w:rsid w:val="000C3DA2"/>
    <w:rsid w:val="000C3E0D"/>
    <w:rsid w:val="000C3F7F"/>
    <w:rsid w:val="000D0BB2"/>
    <w:rsid w:val="000D1B30"/>
    <w:rsid w:val="000D230B"/>
    <w:rsid w:val="000E09DE"/>
    <w:rsid w:val="000E1776"/>
    <w:rsid w:val="000E2416"/>
    <w:rsid w:val="000E7A46"/>
    <w:rsid w:val="000E7B19"/>
    <w:rsid w:val="000F0111"/>
    <w:rsid w:val="000F21D4"/>
    <w:rsid w:val="000F3F74"/>
    <w:rsid w:val="00101522"/>
    <w:rsid w:val="001019A8"/>
    <w:rsid w:val="0010201F"/>
    <w:rsid w:val="001054FF"/>
    <w:rsid w:val="00105A92"/>
    <w:rsid w:val="00105FE2"/>
    <w:rsid w:val="0010632C"/>
    <w:rsid w:val="001071AE"/>
    <w:rsid w:val="001076AA"/>
    <w:rsid w:val="001147BA"/>
    <w:rsid w:val="00114960"/>
    <w:rsid w:val="00114ED4"/>
    <w:rsid w:val="00116C42"/>
    <w:rsid w:val="00116D67"/>
    <w:rsid w:val="0011765C"/>
    <w:rsid w:val="001216B5"/>
    <w:rsid w:val="00124D53"/>
    <w:rsid w:val="00124E9E"/>
    <w:rsid w:val="00124F9C"/>
    <w:rsid w:val="00126901"/>
    <w:rsid w:val="00127E06"/>
    <w:rsid w:val="00133672"/>
    <w:rsid w:val="0013450C"/>
    <w:rsid w:val="00140A7B"/>
    <w:rsid w:val="001416DF"/>
    <w:rsid w:val="00144562"/>
    <w:rsid w:val="001445DF"/>
    <w:rsid w:val="001452ED"/>
    <w:rsid w:val="00145CF0"/>
    <w:rsid w:val="00146A97"/>
    <w:rsid w:val="00146CBD"/>
    <w:rsid w:val="00152187"/>
    <w:rsid w:val="00152323"/>
    <w:rsid w:val="0015553E"/>
    <w:rsid w:val="00156491"/>
    <w:rsid w:val="00156F61"/>
    <w:rsid w:val="00160034"/>
    <w:rsid w:val="00161048"/>
    <w:rsid w:val="001615E4"/>
    <w:rsid w:val="001630DE"/>
    <w:rsid w:val="0016511A"/>
    <w:rsid w:val="0016613F"/>
    <w:rsid w:val="00170177"/>
    <w:rsid w:val="00173C17"/>
    <w:rsid w:val="00182B64"/>
    <w:rsid w:val="00184CCB"/>
    <w:rsid w:val="0019078A"/>
    <w:rsid w:val="001921BA"/>
    <w:rsid w:val="00196688"/>
    <w:rsid w:val="00197AAB"/>
    <w:rsid w:val="001A0367"/>
    <w:rsid w:val="001A0C2A"/>
    <w:rsid w:val="001A3AAD"/>
    <w:rsid w:val="001A609D"/>
    <w:rsid w:val="001A6300"/>
    <w:rsid w:val="001A7D68"/>
    <w:rsid w:val="001B071E"/>
    <w:rsid w:val="001B07F4"/>
    <w:rsid w:val="001B1409"/>
    <w:rsid w:val="001B4834"/>
    <w:rsid w:val="001B629D"/>
    <w:rsid w:val="001B6A47"/>
    <w:rsid w:val="001B7343"/>
    <w:rsid w:val="001C3387"/>
    <w:rsid w:val="001C4881"/>
    <w:rsid w:val="001D11DD"/>
    <w:rsid w:val="001D1BC4"/>
    <w:rsid w:val="001D2048"/>
    <w:rsid w:val="001D54CB"/>
    <w:rsid w:val="001D63A8"/>
    <w:rsid w:val="001E0BB6"/>
    <w:rsid w:val="001E1CBD"/>
    <w:rsid w:val="001E2BE1"/>
    <w:rsid w:val="001E2F36"/>
    <w:rsid w:val="001E352D"/>
    <w:rsid w:val="001E79D1"/>
    <w:rsid w:val="001E7A74"/>
    <w:rsid w:val="001F097C"/>
    <w:rsid w:val="001F51E4"/>
    <w:rsid w:val="001F5AAD"/>
    <w:rsid w:val="001F75E9"/>
    <w:rsid w:val="00203389"/>
    <w:rsid w:val="002035E5"/>
    <w:rsid w:val="00204112"/>
    <w:rsid w:val="002053A3"/>
    <w:rsid w:val="002071B6"/>
    <w:rsid w:val="00212632"/>
    <w:rsid w:val="002143C2"/>
    <w:rsid w:val="00214BA4"/>
    <w:rsid w:val="00214FA1"/>
    <w:rsid w:val="002153A9"/>
    <w:rsid w:val="002170E7"/>
    <w:rsid w:val="00217E8B"/>
    <w:rsid w:val="00220302"/>
    <w:rsid w:val="002207FE"/>
    <w:rsid w:val="002211D8"/>
    <w:rsid w:val="002239DC"/>
    <w:rsid w:val="00224707"/>
    <w:rsid w:val="00225832"/>
    <w:rsid w:val="002261FA"/>
    <w:rsid w:val="00227E22"/>
    <w:rsid w:val="002317EA"/>
    <w:rsid w:val="00233DF8"/>
    <w:rsid w:val="00235D4A"/>
    <w:rsid w:val="00242671"/>
    <w:rsid w:val="00243010"/>
    <w:rsid w:val="00244DD1"/>
    <w:rsid w:val="00244F1E"/>
    <w:rsid w:val="002463F7"/>
    <w:rsid w:val="0024649E"/>
    <w:rsid w:val="00247103"/>
    <w:rsid w:val="00251DB2"/>
    <w:rsid w:val="00253CC9"/>
    <w:rsid w:val="00253D26"/>
    <w:rsid w:val="00261798"/>
    <w:rsid w:val="00262CEF"/>
    <w:rsid w:val="002637C2"/>
    <w:rsid w:val="002731DD"/>
    <w:rsid w:val="00273342"/>
    <w:rsid w:val="002825AF"/>
    <w:rsid w:val="00284CE4"/>
    <w:rsid w:val="0029243B"/>
    <w:rsid w:val="00293C45"/>
    <w:rsid w:val="002962EB"/>
    <w:rsid w:val="00296DBB"/>
    <w:rsid w:val="002A2F2B"/>
    <w:rsid w:val="002A32E4"/>
    <w:rsid w:val="002A3689"/>
    <w:rsid w:val="002A3A58"/>
    <w:rsid w:val="002A4073"/>
    <w:rsid w:val="002A44BE"/>
    <w:rsid w:val="002A489C"/>
    <w:rsid w:val="002A4B7B"/>
    <w:rsid w:val="002B1574"/>
    <w:rsid w:val="002B16D3"/>
    <w:rsid w:val="002B18D6"/>
    <w:rsid w:val="002B2A86"/>
    <w:rsid w:val="002B488B"/>
    <w:rsid w:val="002C0DBA"/>
    <w:rsid w:val="002C0EDC"/>
    <w:rsid w:val="002C1BA2"/>
    <w:rsid w:val="002C230C"/>
    <w:rsid w:val="002C596F"/>
    <w:rsid w:val="002C6649"/>
    <w:rsid w:val="002C6854"/>
    <w:rsid w:val="002C6D12"/>
    <w:rsid w:val="002D23BA"/>
    <w:rsid w:val="002E2017"/>
    <w:rsid w:val="002E2121"/>
    <w:rsid w:val="002E71AF"/>
    <w:rsid w:val="002F095B"/>
    <w:rsid w:val="002F1A24"/>
    <w:rsid w:val="002F1E43"/>
    <w:rsid w:val="002F3712"/>
    <w:rsid w:val="002F4DAD"/>
    <w:rsid w:val="002F520A"/>
    <w:rsid w:val="002F7807"/>
    <w:rsid w:val="00301114"/>
    <w:rsid w:val="00301F8F"/>
    <w:rsid w:val="00302503"/>
    <w:rsid w:val="0030278F"/>
    <w:rsid w:val="00302C40"/>
    <w:rsid w:val="00302F62"/>
    <w:rsid w:val="00303CE9"/>
    <w:rsid w:val="00311A80"/>
    <w:rsid w:val="003122BD"/>
    <w:rsid w:val="003122D5"/>
    <w:rsid w:val="0031356C"/>
    <w:rsid w:val="00313BEB"/>
    <w:rsid w:val="0031482A"/>
    <w:rsid w:val="00317688"/>
    <w:rsid w:val="00317C51"/>
    <w:rsid w:val="0032079B"/>
    <w:rsid w:val="00320D2B"/>
    <w:rsid w:val="00321676"/>
    <w:rsid w:val="00324C4A"/>
    <w:rsid w:val="00325ACB"/>
    <w:rsid w:val="00327271"/>
    <w:rsid w:val="003315AE"/>
    <w:rsid w:val="0033409B"/>
    <w:rsid w:val="0033503F"/>
    <w:rsid w:val="00335158"/>
    <w:rsid w:val="00335F51"/>
    <w:rsid w:val="003437C3"/>
    <w:rsid w:val="00343C8B"/>
    <w:rsid w:val="003444BE"/>
    <w:rsid w:val="00344A9B"/>
    <w:rsid w:val="003464CE"/>
    <w:rsid w:val="00346BF4"/>
    <w:rsid w:val="0034785C"/>
    <w:rsid w:val="0035361D"/>
    <w:rsid w:val="00357A44"/>
    <w:rsid w:val="003618D2"/>
    <w:rsid w:val="00361FEF"/>
    <w:rsid w:val="00362CB1"/>
    <w:rsid w:val="00363283"/>
    <w:rsid w:val="00363CBC"/>
    <w:rsid w:val="00364D06"/>
    <w:rsid w:val="00365D82"/>
    <w:rsid w:val="00367710"/>
    <w:rsid w:val="00367A7F"/>
    <w:rsid w:val="003702D3"/>
    <w:rsid w:val="00372095"/>
    <w:rsid w:val="00372319"/>
    <w:rsid w:val="003725B2"/>
    <w:rsid w:val="003743BB"/>
    <w:rsid w:val="003749C8"/>
    <w:rsid w:val="00376509"/>
    <w:rsid w:val="0037764E"/>
    <w:rsid w:val="00377B6B"/>
    <w:rsid w:val="00380DF1"/>
    <w:rsid w:val="003865F6"/>
    <w:rsid w:val="00386AE7"/>
    <w:rsid w:val="00391059"/>
    <w:rsid w:val="00392068"/>
    <w:rsid w:val="00396983"/>
    <w:rsid w:val="003A67A8"/>
    <w:rsid w:val="003B2C6D"/>
    <w:rsid w:val="003B6A4C"/>
    <w:rsid w:val="003C06C3"/>
    <w:rsid w:val="003C3C9D"/>
    <w:rsid w:val="003C56FD"/>
    <w:rsid w:val="003C6732"/>
    <w:rsid w:val="003D117F"/>
    <w:rsid w:val="003D1E39"/>
    <w:rsid w:val="003D2058"/>
    <w:rsid w:val="003D3F3E"/>
    <w:rsid w:val="003D4B08"/>
    <w:rsid w:val="003E05F6"/>
    <w:rsid w:val="003E1249"/>
    <w:rsid w:val="003E250A"/>
    <w:rsid w:val="003E33E5"/>
    <w:rsid w:val="003E38EC"/>
    <w:rsid w:val="003E598C"/>
    <w:rsid w:val="003E5B5F"/>
    <w:rsid w:val="003E63C7"/>
    <w:rsid w:val="003E6A03"/>
    <w:rsid w:val="003E6D49"/>
    <w:rsid w:val="003F32D1"/>
    <w:rsid w:val="003F399E"/>
    <w:rsid w:val="003F51E9"/>
    <w:rsid w:val="003F7F9E"/>
    <w:rsid w:val="004010B0"/>
    <w:rsid w:val="00401F3B"/>
    <w:rsid w:val="00402257"/>
    <w:rsid w:val="00402BB4"/>
    <w:rsid w:val="004063B5"/>
    <w:rsid w:val="00406BAE"/>
    <w:rsid w:val="0041447B"/>
    <w:rsid w:val="00414805"/>
    <w:rsid w:val="00415A15"/>
    <w:rsid w:val="00415E76"/>
    <w:rsid w:val="004173DD"/>
    <w:rsid w:val="0042023B"/>
    <w:rsid w:val="004241D7"/>
    <w:rsid w:val="00425DD1"/>
    <w:rsid w:val="00425EB6"/>
    <w:rsid w:val="004277BE"/>
    <w:rsid w:val="00432056"/>
    <w:rsid w:val="00433E60"/>
    <w:rsid w:val="004367FF"/>
    <w:rsid w:val="00436F6F"/>
    <w:rsid w:val="00437A62"/>
    <w:rsid w:val="00440C24"/>
    <w:rsid w:val="0044466E"/>
    <w:rsid w:val="0044708F"/>
    <w:rsid w:val="004474A1"/>
    <w:rsid w:val="004478F9"/>
    <w:rsid w:val="00450AF4"/>
    <w:rsid w:val="004513C2"/>
    <w:rsid w:val="00456084"/>
    <w:rsid w:val="00460478"/>
    <w:rsid w:val="00460B18"/>
    <w:rsid w:val="004620A5"/>
    <w:rsid w:val="00462BA2"/>
    <w:rsid w:val="00464DF5"/>
    <w:rsid w:val="0047047A"/>
    <w:rsid w:val="0047192A"/>
    <w:rsid w:val="00472D1B"/>
    <w:rsid w:val="00473BA5"/>
    <w:rsid w:val="00474279"/>
    <w:rsid w:val="00474D5C"/>
    <w:rsid w:val="00475583"/>
    <w:rsid w:val="0047799D"/>
    <w:rsid w:val="00486CE6"/>
    <w:rsid w:val="00487BD1"/>
    <w:rsid w:val="0049052F"/>
    <w:rsid w:val="00492760"/>
    <w:rsid w:val="0049375A"/>
    <w:rsid w:val="004948E6"/>
    <w:rsid w:val="004A0524"/>
    <w:rsid w:val="004A3269"/>
    <w:rsid w:val="004A4E0B"/>
    <w:rsid w:val="004A62E1"/>
    <w:rsid w:val="004A664F"/>
    <w:rsid w:val="004A6B05"/>
    <w:rsid w:val="004B2935"/>
    <w:rsid w:val="004B2F9A"/>
    <w:rsid w:val="004B42BA"/>
    <w:rsid w:val="004B4439"/>
    <w:rsid w:val="004B4E77"/>
    <w:rsid w:val="004B5634"/>
    <w:rsid w:val="004B6FA1"/>
    <w:rsid w:val="004B7469"/>
    <w:rsid w:val="004C2405"/>
    <w:rsid w:val="004C27E6"/>
    <w:rsid w:val="004C451A"/>
    <w:rsid w:val="004C49EA"/>
    <w:rsid w:val="004C5866"/>
    <w:rsid w:val="004C63AB"/>
    <w:rsid w:val="004D2A1F"/>
    <w:rsid w:val="004D6A4B"/>
    <w:rsid w:val="004E08E9"/>
    <w:rsid w:val="004E347F"/>
    <w:rsid w:val="004E3E9C"/>
    <w:rsid w:val="004E49ED"/>
    <w:rsid w:val="004E7C3C"/>
    <w:rsid w:val="004F00E9"/>
    <w:rsid w:val="004F100A"/>
    <w:rsid w:val="004F3BC2"/>
    <w:rsid w:val="004F3F89"/>
    <w:rsid w:val="004F525C"/>
    <w:rsid w:val="004F59FD"/>
    <w:rsid w:val="004F6E0B"/>
    <w:rsid w:val="004F711E"/>
    <w:rsid w:val="005000E5"/>
    <w:rsid w:val="00500C6F"/>
    <w:rsid w:val="005027BE"/>
    <w:rsid w:val="00502D75"/>
    <w:rsid w:val="00503246"/>
    <w:rsid w:val="00504416"/>
    <w:rsid w:val="00504FAF"/>
    <w:rsid w:val="00510266"/>
    <w:rsid w:val="00512C05"/>
    <w:rsid w:val="005133E2"/>
    <w:rsid w:val="0051463F"/>
    <w:rsid w:val="005157CB"/>
    <w:rsid w:val="0051589E"/>
    <w:rsid w:val="00515E6A"/>
    <w:rsid w:val="00516651"/>
    <w:rsid w:val="00516694"/>
    <w:rsid w:val="005167B4"/>
    <w:rsid w:val="00521406"/>
    <w:rsid w:val="005245E4"/>
    <w:rsid w:val="00525DC3"/>
    <w:rsid w:val="00530165"/>
    <w:rsid w:val="005337E6"/>
    <w:rsid w:val="00534BD0"/>
    <w:rsid w:val="005366A6"/>
    <w:rsid w:val="00543E3C"/>
    <w:rsid w:val="00544F23"/>
    <w:rsid w:val="00545CE7"/>
    <w:rsid w:val="00546D4A"/>
    <w:rsid w:val="00547E45"/>
    <w:rsid w:val="00553D03"/>
    <w:rsid w:val="005547B7"/>
    <w:rsid w:val="005610DD"/>
    <w:rsid w:val="00562E1E"/>
    <w:rsid w:val="00563BAE"/>
    <w:rsid w:val="00565EC4"/>
    <w:rsid w:val="005663F2"/>
    <w:rsid w:val="00567C77"/>
    <w:rsid w:val="00570A92"/>
    <w:rsid w:val="00577E00"/>
    <w:rsid w:val="005805FF"/>
    <w:rsid w:val="00580ED4"/>
    <w:rsid w:val="005817EC"/>
    <w:rsid w:val="005866D7"/>
    <w:rsid w:val="00587198"/>
    <w:rsid w:val="0058750B"/>
    <w:rsid w:val="005876FE"/>
    <w:rsid w:val="005917ED"/>
    <w:rsid w:val="0059216D"/>
    <w:rsid w:val="005926C4"/>
    <w:rsid w:val="00593A56"/>
    <w:rsid w:val="00593B92"/>
    <w:rsid w:val="005973E8"/>
    <w:rsid w:val="005A0092"/>
    <w:rsid w:val="005A0E70"/>
    <w:rsid w:val="005A1699"/>
    <w:rsid w:val="005A19F8"/>
    <w:rsid w:val="005A2D54"/>
    <w:rsid w:val="005A31FD"/>
    <w:rsid w:val="005A4E57"/>
    <w:rsid w:val="005A5D6F"/>
    <w:rsid w:val="005A7805"/>
    <w:rsid w:val="005B4D5D"/>
    <w:rsid w:val="005B6908"/>
    <w:rsid w:val="005C24D7"/>
    <w:rsid w:val="005C7DC4"/>
    <w:rsid w:val="005D0382"/>
    <w:rsid w:val="005D353C"/>
    <w:rsid w:val="005D3BCE"/>
    <w:rsid w:val="005D3ED8"/>
    <w:rsid w:val="005D4383"/>
    <w:rsid w:val="005D51BE"/>
    <w:rsid w:val="005E3F40"/>
    <w:rsid w:val="005E5058"/>
    <w:rsid w:val="005E6CEB"/>
    <w:rsid w:val="005F56A4"/>
    <w:rsid w:val="005F58CA"/>
    <w:rsid w:val="005F603B"/>
    <w:rsid w:val="00600EC6"/>
    <w:rsid w:val="00605ED8"/>
    <w:rsid w:val="0061067C"/>
    <w:rsid w:val="00610A4F"/>
    <w:rsid w:val="006112F6"/>
    <w:rsid w:val="00611819"/>
    <w:rsid w:val="00611F6F"/>
    <w:rsid w:val="0061419A"/>
    <w:rsid w:val="00615F9E"/>
    <w:rsid w:val="00620861"/>
    <w:rsid w:val="00620D13"/>
    <w:rsid w:val="00621BB9"/>
    <w:rsid w:val="006245CE"/>
    <w:rsid w:val="0062627A"/>
    <w:rsid w:val="006270D9"/>
    <w:rsid w:val="00632E3D"/>
    <w:rsid w:val="006378DE"/>
    <w:rsid w:val="00640E22"/>
    <w:rsid w:val="00641386"/>
    <w:rsid w:val="00641993"/>
    <w:rsid w:val="00642B20"/>
    <w:rsid w:val="00642B44"/>
    <w:rsid w:val="00645E54"/>
    <w:rsid w:val="006460FA"/>
    <w:rsid w:val="006503CF"/>
    <w:rsid w:val="00651C20"/>
    <w:rsid w:val="0065265B"/>
    <w:rsid w:val="006529A7"/>
    <w:rsid w:val="006541BA"/>
    <w:rsid w:val="00655A04"/>
    <w:rsid w:val="006571B5"/>
    <w:rsid w:val="006620FB"/>
    <w:rsid w:val="00662C2F"/>
    <w:rsid w:val="0066407B"/>
    <w:rsid w:val="0066447A"/>
    <w:rsid w:val="006654C8"/>
    <w:rsid w:val="00670917"/>
    <w:rsid w:val="00671E97"/>
    <w:rsid w:val="006738C1"/>
    <w:rsid w:val="00675CD2"/>
    <w:rsid w:val="00676931"/>
    <w:rsid w:val="00677499"/>
    <w:rsid w:val="006779D0"/>
    <w:rsid w:val="00677DF9"/>
    <w:rsid w:val="00687584"/>
    <w:rsid w:val="00691BA9"/>
    <w:rsid w:val="006947C4"/>
    <w:rsid w:val="006950F4"/>
    <w:rsid w:val="006971B2"/>
    <w:rsid w:val="006979B5"/>
    <w:rsid w:val="006A0C96"/>
    <w:rsid w:val="006A0E2C"/>
    <w:rsid w:val="006A12A5"/>
    <w:rsid w:val="006A5F69"/>
    <w:rsid w:val="006A7FBD"/>
    <w:rsid w:val="006B096F"/>
    <w:rsid w:val="006B113E"/>
    <w:rsid w:val="006B1E51"/>
    <w:rsid w:val="006B20D0"/>
    <w:rsid w:val="006B2D21"/>
    <w:rsid w:val="006B48BF"/>
    <w:rsid w:val="006B779D"/>
    <w:rsid w:val="006B7931"/>
    <w:rsid w:val="006C0220"/>
    <w:rsid w:val="006C1B0E"/>
    <w:rsid w:val="006C2B6B"/>
    <w:rsid w:val="006C6051"/>
    <w:rsid w:val="006C7E07"/>
    <w:rsid w:val="006D01CE"/>
    <w:rsid w:val="006D1EA5"/>
    <w:rsid w:val="006D2081"/>
    <w:rsid w:val="006D6527"/>
    <w:rsid w:val="006D6547"/>
    <w:rsid w:val="006D6AD5"/>
    <w:rsid w:val="006E05EC"/>
    <w:rsid w:val="006E183B"/>
    <w:rsid w:val="006E48D8"/>
    <w:rsid w:val="006E5589"/>
    <w:rsid w:val="006F0197"/>
    <w:rsid w:val="006F082C"/>
    <w:rsid w:val="006F47E9"/>
    <w:rsid w:val="006F5C24"/>
    <w:rsid w:val="006F6660"/>
    <w:rsid w:val="00700397"/>
    <w:rsid w:val="007003EB"/>
    <w:rsid w:val="00701FA6"/>
    <w:rsid w:val="00706E97"/>
    <w:rsid w:val="007070FA"/>
    <w:rsid w:val="0071286F"/>
    <w:rsid w:val="00713981"/>
    <w:rsid w:val="0071398E"/>
    <w:rsid w:val="00713C32"/>
    <w:rsid w:val="007155B5"/>
    <w:rsid w:val="00716D9D"/>
    <w:rsid w:val="00720AD3"/>
    <w:rsid w:val="00721D75"/>
    <w:rsid w:val="00724105"/>
    <w:rsid w:val="00724D30"/>
    <w:rsid w:val="007279F2"/>
    <w:rsid w:val="00727EBC"/>
    <w:rsid w:val="00732BB2"/>
    <w:rsid w:val="00733394"/>
    <w:rsid w:val="007338EE"/>
    <w:rsid w:val="00736CA0"/>
    <w:rsid w:val="00740231"/>
    <w:rsid w:val="00742221"/>
    <w:rsid w:val="007432BF"/>
    <w:rsid w:val="00743534"/>
    <w:rsid w:val="00747D54"/>
    <w:rsid w:val="0075338F"/>
    <w:rsid w:val="0075490A"/>
    <w:rsid w:val="00755727"/>
    <w:rsid w:val="0076107A"/>
    <w:rsid w:val="00761741"/>
    <w:rsid w:val="00761A87"/>
    <w:rsid w:val="007633C5"/>
    <w:rsid w:val="007638FC"/>
    <w:rsid w:val="00763D3C"/>
    <w:rsid w:val="0077034F"/>
    <w:rsid w:val="00772982"/>
    <w:rsid w:val="00774954"/>
    <w:rsid w:val="00775E5B"/>
    <w:rsid w:val="00781CA5"/>
    <w:rsid w:val="007820A7"/>
    <w:rsid w:val="00782126"/>
    <w:rsid w:val="0078352F"/>
    <w:rsid w:val="0078404E"/>
    <w:rsid w:val="00784201"/>
    <w:rsid w:val="007858D8"/>
    <w:rsid w:val="00786B19"/>
    <w:rsid w:val="007872F3"/>
    <w:rsid w:val="007879D7"/>
    <w:rsid w:val="00787A84"/>
    <w:rsid w:val="00787D9C"/>
    <w:rsid w:val="00790462"/>
    <w:rsid w:val="00790CB0"/>
    <w:rsid w:val="00794357"/>
    <w:rsid w:val="00794941"/>
    <w:rsid w:val="0079774C"/>
    <w:rsid w:val="00797CF7"/>
    <w:rsid w:val="007A37B6"/>
    <w:rsid w:val="007A62B5"/>
    <w:rsid w:val="007A6B61"/>
    <w:rsid w:val="007B00E0"/>
    <w:rsid w:val="007B2263"/>
    <w:rsid w:val="007B2C2A"/>
    <w:rsid w:val="007B4B7C"/>
    <w:rsid w:val="007B6443"/>
    <w:rsid w:val="007C06E7"/>
    <w:rsid w:val="007C0EDF"/>
    <w:rsid w:val="007C210D"/>
    <w:rsid w:val="007C3B9D"/>
    <w:rsid w:val="007C4AFD"/>
    <w:rsid w:val="007C4D69"/>
    <w:rsid w:val="007C5348"/>
    <w:rsid w:val="007D0BC6"/>
    <w:rsid w:val="007D24C0"/>
    <w:rsid w:val="007D3BD0"/>
    <w:rsid w:val="007D3FA3"/>
    <w:rsid w:val="007D40E0"/>
    <w:rsid w:val="007D4C0A"/>
    <w:rsid w:val="007D7E88"/>
    <w:rsid w:val="007E05C0"/>
    <w:rsid w:val="007E1603"/>
    <w:rsid w:val="007E2BD4"/>
    <w:rsid w:val="007E3726"/>
    <w:rsid w:val="007E60E7"/>
    <w:rsid w:val="007E6E4A"/>
    <w:rsid w:val="007E7232"/>
    <w:rsid w:val="007E7943"/>
    <w:rsid w:val="007F2A7C"/>
    <w:rsid w:val="007F333D"/>
    <w:rsid w:val="007F349F"/>
    <w:rsid w:val="007F487F"/>
    <w:rsid w:val="007F4FFA"/>
    <w:rsid w:val="007F51B4"/>
    <w:rsid w:val="007F5246"/>
    <w:rsid w:val="007F55FA"/>
    <w:rsid w:val="007F6313"/>
    <w:rsid w:val="007F687C"/>
    <w:rsid w:val="007F751A"/>
    <w:rsid w:val="00800477"/>
    <w:rsid w:val="008010A7"/>
    <w:rsid w:val="00802222"/>
    <w:rsid w:val="00802230"/>
    <w:rsid w:val="00802ED4"/>
    <w:rsid w:val="00806BBB"/>
    <w:rsid w:val="00807B40"/>
    <w:rsid w:val="00811C10"/>
    <w:rsid w:val="0081280B"/>
    <w:rsid w:val="008140FE"/>
    <w:rsid w:val="00815584"/>
    <w:rsid w:val="00815B20"/>
    <w:rsid w:val="00815CEA"/>
    <w:rsid w:val="008168F5"/>
    <w:rsid w:val="00817671"/>
    <w:rsid w:val="008225D5"/>
    <w:rsid w:val="00824B1F"/>
    <w:rsid w:val="00824FAF"/>
    <w:rsid w:val="008255EB"/>
    <w:rsid w:val="00826EE9"/>
    <w:rsid w:val="00826F6F"/>
    <w:rsid w:val="00827F39"/>
    <w:rsid w:val="00833741"/>
    <w:rsid w:val="0083587F"/>
    <w:rsid w:val="008379AC"/>
    <w:rsid w:val="0084007F"/>
    <w:rsid w:val="00842D3E"/>
    <w:rsid w:val="00843203"/>
    <w:rsid w:val="008439CA"/>
    <w:rsid w:val="00843B60"/>
    <w:rsid w:val="0084444E"/>
    <w:rsid w:val="0084533B"/>
    <w:rsid w:val="0085395E"/>
    <w:rsid w:val="00856474"/>
    <w:rsid w:val="00860976"/>
    <w:rsid w:val="00861811"/>
    <w:rsid w:val="00863409"/>
    <w:rsid w:val="008650FB"/>
    <w:rsid w:val="00866263"/>
    <w:rsid w:val="008663AF"/>
    <w:rsid w:val="00866D2F"/>
    <w:rsid w:val="00867377"/>
    <w:rsid w:val="00867896"/>
    <w:rsid w:val="008767B4"/>
    <w:rsid w:val="00877C3F"/>
    <w:rsid w:val="008825E9"/>
    <w:rsid w:val="00883409"/>
    <w:rsid w:val="0088558A"/>
    <w:rsid w:val="0088645C"/>
    <w:rsid w:val="0088672D"/>
    <w:rsid w:val="00890C97"/>
    <w:rsid w:val="00890D30"/>
    <w:rsid w:val="00892448"/>
    <w:rsid w:val="0089437F"/>
    <w:rsid w:val="008943EB"/>
    <w:rsid w:val="00894965"/>
    <w:rsid w:val="00897D53"/>
    <w:rsid w:val="008A0485"/>
    <w:rsid w:val="008A0797"/>
    <w:rsid w:val="008A13FC"/>
    <w:rsid w:val="008A28FB"/>
    <w:rsid w:val="008A53A8"/>
    <w:rsid w:val="008A53EA"/>
    <w:rsid w:val="008A55F0"/>
    <w:rsid w:val="008B181F"/>
    <w:rsid w:val="008C034F"/>
    <w:rsid w:val="008C1A0A"/>
    <w:rsid w:val="008C509F"/>
    <w:rsid w:val="008C58C2"/>
    <w:rsid w:val="008D1409"/>
    <w:rsid w:val="008D4182"/>
    <w:rsid w:val="008E18F3"/>
    <w:rsid w:val="008E1F18"/>
    <w:rsid w:val="008E30E4"/>
    <w:rsid w:val="008E3E64"/>
    <w:rsid w:val="008E406E"/>
    <w:rsid w:val="008E5633"/>
    <w:rsid w:val="008E5787"/>
    <w:rsid w:val="008E79E4"/>
    <w:rsid w:val="008F1B4E"/>
    <w:rsid w:val="008F2283"/>
    <w:rsid w:val="008F4526"/>
    <w:rsid w:val="008F55D2"/>
    <w:rsid w:val="008F6F0A"/>
    <w:rsid w:val="00902263"/>
    <w:rsid w:val="00903427"/>
    <w:rsid w:val="00904DAE"/>
    <w:rsid w:val="00907EF8"/>
    <w:rsid w:val="00913071"/>
    <w:rsid w:val="009140A5"/>
    <w:rsid w:val="00914EEE"/>
    <w:rsid w:val="0091624A"/>
    <w:rsid w:val="009200BE"/>
    <w:rsid w:val="00920B45"/>
    <w:rsid w:val="009215B3"/>
    <w:rsid w:val="009234D8"/>
    <w:rsid w:val="00924486"/>
    <w:rsid w:val="009254DC"/>
    <w:rsid w:val="009255D2"/>
    <w:rsid w:val="009278F3"/>
    <w:rsid w:val="00927C14"/>
    <w:rsid w:val="00930A18"/>
    <w:rsid w:val="00930CD8"/>
    <w:rsid w:val="00931A23"/>
    <w:rsid w:val="00934677"/>
    <w:rsid w:val="00937978"/>
    <w:rsid w:val="009403F5"/>
    <w:rsid w:val="009411A3"/>
    <w:rsid w:val="00941226"/>
    <w:rsid w:val="009418D8"/>
    <w:rsid w:val="00941BC7"/>
    <w:rsid w:val="00945393"/>
    <w:rsid w:val="00950CFA"/>
    <w:rsid w:val="00951740"/>
    <w:rsid w:val="009569AD"/>
    <w:rsid w:val="00957862"/>
    <w:rsid w:val="0096227F"/>
    <w:rsid w:val="00963175"/>
    <w:rsid w:val="00963BE0"/>
    <w:rsid w:val="00964D6D"/>
    <w:rsid w:val="009651A6"/>
    <w:rsid w:val="009663C5"/>
    <w:rsid w:val="00966D73"/>
    <w:rsid w:val="00971E5C"/>
    <w:rsid w:val="0097345F"/>
    <w:rsid w:val="009734C2"/>
    <w:rsid w:val="00973D06"/>
    <w:rsid w:val="009758AB"/>
    <w:rsid w:val="00976BEE"/>
    <w:rsid w:val="00980875"/>
    <w:rsid w:val="009831F1"/>
    <w:rsid w:val="00984577"/>
    <w:rsid w:val="00985403"/>
    <w:rsid w:val="009869EF"/>
    <w:rsid w:val="00986C81"/>
    <w:rsid w:val="0098763F"/>
    <w:rsid w:val="0099053E"/>
    <w:rsid w:val="00990B1A"/>
    <w:rsid w:val="00991A01"/>
    <w:rsid w:val="00992178"/>
    <w:rsid w:val="0099523C"/>
    <w:rsid w:val="00997B12"/>
    <w:rsid w:val="009A125A"/>
    <w:rsid w:val="009A2ADE"/>
    <w:rsid w:val="009A5B81"/>
    <w:rsid w:val="009A6563"/>
    <w:rsid w:val="009A6E7F"/>
    <w:rsid w:val="009B1C93"/>
    <w:rsid w:val="009B2317"/>
    <w:rsid w:val="009B7F86"/>
    <w:rsid w:val="009C03B6"/>
    <w:rsid w:val="009C544D"/>
    <w:rsid w:val="009C5EA7"/>
    <w:rsid w:val="009C6599"/>
    <w:rsid w:val="009C7478"/>
    <w:rsid w:val="009C77DB"/>
    <w:rsid w:val="009D1440"/>
    <w:rsid w:val="009D2A8E"/>
    <w:rsid w:val="009D30AA"/>
    <w:rsid w:val="009D38A9"/>
    <w:rsid w:val="009D3969"/>
    <w:rsid w:val="009D4EDC"/>
    <w:rsid w:val="009D6224"/>
    <w:rsid w:val="009E1287"/>
    <w:rsid w:val="009E2414"/>
    <w:rsid w:val="009E2E36"/>
    <w:rsid w:val="009E37B9"/>
    <w:rsid w:val="009E37EB"/>
    <w:rsid w:val="009E3898"/>
    <w:rsid w:val="009E3E2A"/>
    <w:rsid w:val="009E4AD4"/>
    <w:rsid w:val="009E7655"/>
    <w:rsid w:val="009F1FB9"/>
    <w:rsid w:val="009F4111"/>
    <w:rsid w:val="009F60EF"/>
    <w:rsid w:val="00A006AB"/>
    <w:rsid w:val="00A00DDA"/>
    <w:rsid w:val="00A018DC"/>
    <w:rsid w:val="00A035FE"/>
    <w:rsid w:val="00A038A4"/>
    <w:rsid w:val="00A03BFB"/>
    <w:rsid w:val="00A040C0"/>
    <w:rsid w:val="00A0539B"/>
    <w:rsid w:val="00A057C8"/>
    <w:rsid w:val="00A0692F"/>
    <w:rsid w:val="00A1011B"/>
    <w:rsid w:val="00A10A1A"/>
    <w:rsid w:val="00A11550"/>
    <w:rsid w:val="00A14BE6"/>
    <w:rsid w:val="00A16065"/>
    <w:rsid w:val="00A17B2D"/>
    <w:rsid w:val="00A202D8"/>
    <w:rsid w:val="00A24458"/>
    <w:rsid w:val="00A25792"/>
    <w:rsid w:val="00A261A9"/>
    <w:rsid w:val="00A27C87"/>
    <w:rsid w:val="00A31383"/>
    <w:rsid w:val="00A31551"/>
    <w:rsid w:val="00A360AF"/>
    <w:rsid w:val="00A37F41"/>
    <w:rsid w:val="00A41772"/>
    <w:rsid w:val="00A41B07"/>
    <w:rsid w:val="00A461CB"/>
    <w:rsid w:val="00A50E05"/>
    <w:rsid w:val="00A515EF"/>
    <w:rsid w:val="00A51A1C"/>
    <w:rsid w:val="00A52636"/>
    <w:rsid w:val="00A53546"/>
    <w:rsid w:val="00A60776"/>
    <w:rsid w:val="00A61039"/>
    <w:rsid w:val="00A63BD4"/>
    <w:rsid w:val="00A660E1"/>
    <w:rsid w:val="00A669CA"/>
    <w:rsid w:val="00A71086"/>
    <w:rsid w:val="00A7147D"/>
    <w:rsid w:val="00A71A38"/>
    <w:rsid w:val="00A74E3B"/>
    <w:rsid w:val="00A74EF4"/>
    <w:rsid w:val="00A767E0"/>
    <w:rsid w:val="00A859D3"/>
    <w:rsid w:val="00A85FA5"/>
    <w:rsid w:val="00A86FC1"/>
    <w:rsid w:val="00A8704F"/>
    <w:rsid w:val="00A871F6"/>
    <w:rsid w:val="00A9057D"/>
    <w:rsid w:val="00A96FF6"/>
    <w:rsid w:val="00AA03F0"/>
    <w:rsid w:val="00AA12A3"/>
    <w:rsid w:val="00AA1B51"/>
    <w:rsid w:val="00AA4989"/>
    <w:rsid w:val="00AA514A"/>
    <w:rsid w:val="00AA73C7"/>
    <w:rsid w:val="00AA7751"/>
    <w:rsid w:val="00AB2C68"/>
    <w:rsid w:val="00AB5E35"/>
    <w:rsid w:val="00AC1CE1"/>
    <w:rsid w:val="00AC3442"/>
    <w:rsid w:val="00AC76D6"/>
    <w:rsid w:val="00AD177C"/>
    <w:rsid w:val="00AD1B9B"/>
    <w:rsid w:val="00AD5B9B"/>
    <w:rsid w:val="00AD7036"/>
    <w:rsid w:val="00AE260F"/>
    <w:rsid w:val="00AF192A"/>
    <w:rsid w:val="00AF2E7F"/>
    <w:rsid w:val="00AF30BE"/>
    <w:rsid w:val="00AF3400"/>
    <w:rsid w:val="00AF6037"/>
    <w:rsid w:val="00AF6EA2"/>
    <w:rsid w:val="00B0047B"/>
    <w:rsid w:val="00B03DE3"/>
    <w:rsid w:val="00B107CE"/>
    <w:rsid w:val="00B10904"/>
    <w:rsid w:val="00B10DE6"/>
    <w:rsid w:val="00B117EE"/>
    <w:rsid w:val="00B12913"/>
    <w:rsid w:val="00B129B9"/>
    <w:rsid w:val="00B143C5"/>
    <w:rsid w:val="00B15923"/>
    <w:rsid w:val="00B15AA2"/>
    <w:rsid w:val="00B1675F"/>
    <w:rsid w:val="00B2148D"/>
    <w:rsid w:val="00B232CD"/>
    <w:rsid w:val="00B27531"/>
    <w:rsid w:val="00B300B0"/>
    <w:rsid w:val="00B33DA0"/>
    <w:rsid w:val="00B350CF"/>
    <w:rsid w:val="00B40CEA"/>
    <w:rsid w:val="00B43394"/>
    <w:rsid w:val="00B44941"/>
    <w:rsid w:val="00B4515B"/>
    <w:rsid w:val="00B45D6E"/>
    <w:rsid w:val="00B467D5"/>
    <w:rsid w:val="00B50DA5"/>
    <w:rsid w:val="00B54827"/>
    <w:rsid w:val="00B618FD"/>
    <w:rsid w:val="00B628C6"/>
    <w:rsid w:val="00B64222"/>
    <w:rsid w:val="00B676F7"/>
    <w:rsid w:val="00B67DBD"/>
    <w:rsid w:val="00B72008"/>
    <w:rsid w:val="00B72C21"/>
    <w:rsid w:val="00B72C81"/>
    <w:rsid w:val="00B74A12"/>
    <w:rsid w:val="00B7740C"/>
    <w:rsid w:val="00B7798C"/>
    <w:rsid w:val="00B77EDB"/>
    <w:rsid w:val="00B811B5"/>
    <w:rsid w:val="00B84055"/>
    <w:rsid w:val="00B84EFD"/>
    <w:rsid w:val="00B867A1"/>
    <w:rsid w:val="00B91765"/>
    <w:rsid w:val="00B9319B"/>
    <w:rsid w:val="00B94418"/>
    <w:rsid w:val="00B95DBA"/>
    <w:rsid w:val="00B96B5F"/>
    <w:rsid w:val="00B96FC8"/>
    <w:rsid w:val="00B97D97"/>
    <w:rsid w:val="00BA0205"/>
    <w:rsid w:val="00BA532B"/>
    <w:rsid w:val="00BA5B69"/>
    <w:rsid w:val="00BB1B09"/>
    <w:rsid w:val="00BB3CAF"/>
    <w:rsid w:val="00BC04C8"/>
    <w:rsid w:val="00BC161E"/>
    <w:rsid w:val="00BC1E3F"/>
    <w:rsid w:val="00BC4C09"/>
    <w:rsid w:val="00BC4CE7"/>
    <w:rsid w:val="00BC513F"/>
    <w:rsid w:val="00BC6B0F"/>
    <w:rsid w:val="00BD27B1"/>
    <w:rsid w:val="00BD329B"/>
    <w:rsid w:val="00BD468C"/>
    <w:rsid w:val="00BD643E"/>
    <w:rsid w:val="00BE1E2E"/>
    <w:rsid w:val="00BE3115"/>
    <w:rsid w:val="00BE5522"/>
    <w:rsid w:val="00BE60EE"/>
    <w:rsid w:val="00BF0EB6"/>
    <w:rsid w:val="00BF46C9"/>
    <w:rsid w:val="00BF5499"/>
    <w:rsid w:val="00BF624F"/>
    <w:rsid w:val="00BF654D"/>
    <w:rsid w:val="00BF67DE"/>
    <w:rsid w:val="00BF6FE5"/>
    <w:rsid w:val="00BF791D"/>
    <w:rsid w:val="00C077C1"/>
    <w:rsid w:val="00C1125E"/>
    <w:rsid w:val="00C12313"/>
    <w:rsid w:val="00C14BC0"/>
    <w:rsid w:val="00C15497"/>
    <w:rsid w:val="00C1627B"/>
    <w:rsid w:val="00C1779A"/>
    <w:rsid w:val="00C22560"/>
    <w:rsid w:val="00C30671"/>
    <w:rsid w:val="00C3423A"/>
    <w:rsid w:val="00C367CC"/>
    <w:rsid w:val="00C36E0D"/>
    <w:rsid w:val="00C40D79"/>
    <w:rsid w:val="00C43741"/>
    <w:rsid w:val="00C46A66"/>
    <w:rsid w:val="00C479DA"/>
    <w:rsid w:val="00C54CE1"/>
    <w:rsid w:val="00C7017C"/>
    <w:rsid w:val="00C76D78"/>
    <w:rsid w:val="00C80745"/>
    <w:rsid w:val="00C81149"/>
    <w:rsid w:val="00C813DA"/>
    <w:rsid w:val="00C815B3"/>
    <w:rsid w:val="00C85107"/>
    <w:rsid w:val="00C86A4E"/>
    <w:rsid w:val="00C87155"/>
    <w:rsid w:val="00C90DC8"/>
    <w:rsid w:val="00C94F8F"/>
    <w:rsid w:val="00C95237"/>
    <w:rsid w:val="00C95B0F"/>
    <w:rsid w:val="00CA21E2"/>
    <w:rsid w:val="00CA58F8"/>
    <w:rsid w:val="00CA6416"/>
    <w:rsid w:val="00CA6A4C"/>
    <w:rsid w:val="00CA6DE9"/>
    <w:rsid w:val="00CB0F5C"/>
    <w:rsid w:val="00CB1403"/>
    <w:rsid w:val="00CB1C85"/>
    <w:rsid w:val="00CB3253"/>
    <w:rsid w:val="00CB5D23"/>
    <w:rsid w:val="00CC16E0"/>
    <w:rsid w:val="00CC2511"/>
    <w:rsid w:val="00CC3F80"/>
    <w:rsid w:val="00CC5148"/>
    <w:rsid w:val="00CC5262"/>
    <w:rsid w:val="00CC7133"/>
    <w:rsid w:val="00CC7138"/>
    <w:rsid w:val="00CD1597"/>
    <w:rsid w:val="00CD1A37"/>
    <w:rsid w:val="00CD1A6B"/>
    <w:rsid w:val="00CD2D15"/>
    <w:rsid w:val="00CD3DC5"/>
    <w:rsid w:val="00CD63D6"/>
    <w:rsid w:val="00CD7078"/>
    <w:rsid w:val="00CD7EDE"/>
    <w:rsid w:val="00CE0E09"/>
    <w:rsid w:val="00CE15C8"/>
    <w:rsid w:val="00CE30FF"/>
    <w:rsid w:val="00CE643A"/>
    <w:rsid w:val="00CE6D18"/>
    <w:rsid w:val="00CE768A"/>
    <w:rsid w:val="00CF0E68"/>
    <w:rsid w:val="00CF21C9"/>
    <w:rsid w:val="00CF28B4"/>
    <w:rsid w:val="00CF6860"/>
    <w:rsid w:val="00CF748F"/>
    <w:rsid w:val="00CF7A1D"/>
    <w:rsid w:val="00D03F30"/>
    <w:rsid w:val="00D074FA"/>
    <w:rsid w:val="00D11832"/>
    <w:rsid w:val="00D1420F"/>
    <w:rsid w:val="00D16039"/>
    <w:rsid w:val="00D206C5"/>
    <w:rsid w:val="00D20BE5"/>
    <w:rsid w:val="00D2131D"/>
    <w:rsid w:val="00D22EFB"/>
    <w:rsid w:val="00D24EE4"/>
    <w:rsid w:val="00D310BC"/>
    <w:rsid w:val="00D32463"/>
    <w:rsid w:val="00D34365"/>
    <w:rsid w:val="00D34FE6"/>
    <w:rsid w:val="00D350D3"/>
    <w:rsid w:val="00D35C52"/>
    <w:rsid w:val="00D362CF"/>
    <w:rsid w:val="00D37461"/>
    <w:rsid w:val="00D37680"/>
    <w:rsid w:val="00D41236"/>
    <w:rsid w:val="00D429A2"/>
    <w:rsid w:val="00D4489C"/>
    <w:rsid w:val="00D4685B"/>
    <w:rsid w:val="00D46D42"/>
    <w:rsid w:val="00D50550"/>
    <w:rsid w:val="00D506C5"/>
    <w:rsid w:val="00D53DE4"/>
    <w:rsid w:val="00D5552D"/>
    <w:rsid w:val="00D562EB"/>
    <w:rsid w:val="00D57CA0"/>
    <w:rsid w:val="00D60030"/>
    <w:rsid w:val="00D60B85"/>
    <w:rsid w:val="00D63F8F"/>
    <w:rsid w:val="00D64793"/>
    <w:rsid w:val="00D665C4"/>
    <w:rsid w:val="00D666BD"/>
    <w:rsid w:val="00D71E82"/>
    <w:rsid w:val="00D723A4"/>
    <w:rsid w:val="00D72B8A"/>
    <w:rsid w:val="00D748A4"/>
    <w:rsid w:val="00D7565F"/>
    <w:rsid w:val="00D75D61"/>
    <w:rsid w:val="00D763B3"/>
    <w:rsid w:val="00D76986"/>
    <w:rsid w:val="00D775D9"/>
    <w:rsid w:val="00D81F2E"/>
    <w:rsid w:val="00D827B0"/>
    <w:rsid w:val="00D833D8"/>
    <w:rsid w:val="00D84F4C"/>
    <w:rsid w:val="00D90468"/>
    <w:rsid w:val="00D922A1"/>
    <w:rsid w:val="00D92662"/>
    <w:rsid w:val="00D926B5"/>
    <w:rsid w:val="00D93DBF"/>
    <w:rsid w:val="00D94D29"/>
    <w:rsid w:val="00D955AD"/>
    <w:rsid w:val="00D966B3"/>
    <w:rsid w:val="00D97F75"/>
    <w:rsid w:val="00DA411E"/>
    <w:rsid w:val="00DB3804"/>
    <w:rsid w:val="00DB4DE3"/>
    <w:rsid w:val="00DB5F5D"/>
    <w:rsid w:val="00DC05C7"/>
    <w:rsid w:val="00DC0AD3"/>
    <w:rsid w:val="00DC15A6"/>
    <w:rsid w:val="00DC30E0"/>
    <w:rsid w:val="00DC76BE"/>
    <w:rsid w:val="00DD29CB"/>
    <w:rsid w:val="00DD5655"/>
    <w:rsid w:val="00DD70B3"/>
    <w:rsid w:val="00DE29ED"/>
    <w:rsid w:val="00DE33BF"/>
    <w:rsid w:val="00DE4A49"/>
    <w:rsid w:val="00DE59C9"/>
    <w:rsid w:val="00DE600F"/>
    <w:rsid w:val="00DF370E"/>
    <w:rsid w:val="00DF3BD5"/>
    <w:rsid w:val="00DF4121"/>
    <w:rsid w:val="00DF4D2F"/>
    <w:rsid w:val="00DF7CF1"/>
    <w:rsid w:val="00E00B03"/>
    <w:rsid w:val="00E01F1F"/>
    <w:rsid w:val="00E04A6A"/>
    <w:rsid w:val="00E0545F"/>
    <w:rsid w:val="00E10AE0"/>
    <w:rsid w:val="00E11876"/>
    <w:rsid w:val="00E13819"/>
    <w:rsid w:val="00E138EB"/>
    <w:rsid w:val="00E16FAB"/>
    <w:rsid w:val="00E20814"/>
    <w:rsid w:val="00E20FAB"/>
    <w:rsid w:val="00E219AF"/>
    <w:rsid w:val="00E2579C"/>
    <w:rsid w:val="00E25CA5"/>
    <w:rsid w:val="00E27A78"/>
    <w:rsid w:val="00E300CD"/>
    <w:rsid w:val="00E30356"/>
    <w:rsid w:val="00E307BE"/>
    <w:rsid w:val="00E32084"/>
    <w:rsid w:val="00E353B1"/>
    <w:rsid w:val="00E37AAD"/>
    <w:rsid w:val="00E40B23"/>
    <w:rsid w:val="00E43088"/>
    <w:rsid w:val="00E45F69"/>
    <w:rsid w:val="00E51DB6"/>
    <w:rsid w:val="00E520CD"/>
    <w:rsid w:val="00E52F8F"/>
    <w:rsid w:val="00E55E49"/>
    <w:rsid w:val="00E62A0B"/>
    <w:rsid w:val="00E62C92"/>
    <w:rsid w:val="00E63434"/>
    <w:rsid w:val="00E70CD5"/>
    <w:rsid w:val="00E71F51"/>
    <w:rsid w:val="00E7245F"/>
    <w:rsid w:val="00E73415"/>
    <w:rsid w:val="00E751CD"/>
    <w:rsid w:val="00E75A09"/>
    <w:rsid w:val="00E769B5"/>
    <w:rsid w:val="00E76F45"/>
    <w:rsid w:val="00E811D3"/>
    <w:rsid w:val="00E8269F"/>
    <w:rsid w:val="00E83BEB"/>
    <w:rsid w:val="00E874B1"/>
    <w:rsid w:val="00E92498"/>
    <w:rsid w:val="00E926C4"/>
    <w:rsid w:val="00E926E7"/>
    <w:rsid w:val="00E94E83"/>
    <w:rsid w:val="00E96553"/>
    <w:rsid w:val="00E97424"/>
    <w:rsid w:val="00E979AC"/>
    <w:rsid w:val="00E97F62"/>
    <w:rsid w:val="00E97F90"/>
    <w:rsid w:val="00EA2597"/>
    <w:rsid w:val="00EA48C2"/>
    <w:rsid w:val="00EA48D7"/>
    <w:rsid w:val="00EA6303"/>
    <w:rsid w:val="00EB20DF"/>
    <w:rsid w:val="00EB4136"/>
    <w:rsid w:val="00EB4BA4"/>
    <w:rsid w:val="00EC16E9"/>
    <w:rsid w:val="00EC2753"/>
    <w:rsid w:val="00EC4D33"/>
    <w:rsid w:val="00EC5FF4"/>
    <w:rsid w:val="00ED1B24"/>
    <w:rsid w:val="00ED4E30"/>
    <w:rsid w:val="00ED4EDC"/>
    <w:rsid w:val="00ED64CA"/>
    <w:rsid w:val="00ED754E"/>
    <w:rsid w:val="00EE1B9E"/>
    <w:rsid w:val="00EE2896"/>
    <w:rsid w:val="00EE4878"/>
    <w:rsid w:val="00EE7E4F"/>
    <w:rsid w:val="00EF194D"/>
    <w:rsid w:val="00EF37FB"/>
    <w:rsid w:val="00EF3AF2"/>
    <w:rsid w:val="00EF3FEB"/>
    <w:rsid w:val="00EF55F4"/>
    <w:rsid w:val="00EF6499"/>
    <w:rsid w:val="00F037AF"/>
    <w:rsid w:val="00F05B2D"/>
    <w:rsid w:val="00F0773C"/>
    <w:rsid w:val="00F07E83"/>
    <w:rsid w:val="00F10B9E"/>
    <w:rsid w:val="00F114B3"/>
    <w:rsid w:val="00F147E3"/>
    <w:rsid w:val="00F14F99"/>
    <w:rsid w:val="00F160DA"/>
    <w:rsid w:val="00F16C56"/>
    <w:rsid w:val="00F177A8"/>
    <w:rsid w:val="00F21A9B"/>
    <w:rsid w:val="00F2226B"/>
    <w:rsid w:val="00F23233"/>
    <w:rsid w:val="00F23800"/>
    <w:rsid w:val="00F2624E"/>
    <w:rsid w:val="00F265AC"/>
    <w:rsid w:val="00F30004"/>
    <w:rsid w:val="00F31082"/>
    <w:rsid w:val="00F32A9B"/>
    <w:rsid w:val="00F32D65"/>
    <w:rsid w:val="00F35D64"/>
    <w:rsid w:val="00F36205"/>
    <w:rsid w:val="00F41BC8"/>
    <w:rsid w:val="00F41F96"/>
    <w:rsid w:val="00F4356E"/>
    <w:rsid w:val="00F445E8"/>
    <w:rsid w:val="00F45E62"/>
    <w:rsid w:val="00F5246A"/>
    <w:rsid w:val="00F541F2"/>
    <w:rsid w:val="00F557BB"/>
    <w:rsid w:val="00F60611"/>
    <w:rsid w:val="00F608FB"/>
    <w:rsid w:val="00F6247F"/>
    <w:rsid w:val="00F63F92"/>
    <w:rsid w:val="00F65A5B"/>
    <w:rsid w:val="00F67206"/>
    <w:rsid w:val="00F705C5"/>
    <w:rsid w:val="00F709AC"/>
    <w:rsid w:val="00F7170E"/>
    <w:rsid w:val="00F721FF"/>
    <w:rsid w:val="00F72DEF"/>
    <w:rsid w:val="00F74E8F"/>
    <w:rsid w:val="00F823A8"/>
    <w:rsid w:val="00F8276F"/>
    <w:rsid w:val="00F83F04"/>
    <w:rsid w:val="00F84C17"/>
    <w:rsid w:val="00F86DC2"/>
    <w:rsid w:val="00F908CC"/>
    <w:rsid w:val="00F9343D"/>
    <w:rsid w:val="00F94E1B"/>
    <w:rsid w:val="00F95C31"/>
    <w:rsid w:val="00F95E80"/>
    <w:rsid w:val="00FA0F82"/>
    <w:rsid w:val="00FA1390"/>
    <w:rsid w:val="00FA188D"/>
    <w:rsid w:val="00FA6F3F"/>
    <w:rsid w:val="00FB376A"/>
    <w:rsid w:val="00FB3AB0"/>
    <w:rsid w:val="00FB4D9B"/>
    <w:rsid w:val="00FB511B"/>
    <w:rsid w:val="00FB7372"/>
    <w:rsid w:val="00FB76CF"/>
    <w:rsid w:val="00FC2185"/>
    <w:rsid w:val="00FC2ACF"/>
    <w:rsid w:val="00FC3114"/>
    <w:rsid w:val="00FC5217"/>
    <w:rsid w:val="00FC553B"/>
    <w:rsid w:val="00FC5779"/>
    <w:rsid w:val="00FC7A00"/>
    <w:rsid w:val="00FD197F"/>
    <w:rsid w:val="00FD24F4"/>
    <w:rsid w:val="00FD2EA3"/>
    <w:rsid w:val="00FD3E5A"/>
    <w:rsid w:val="00FD6577"/>
    <w:rsid w:val="00FE001D"/>
    <w:rsid w:val="00FE0B2A"/>
    <w:rsid w:val="00FE0B80"/>
    <w:rsid w:val="00FE235A"/>
    <w:rsid w:val="00FE5E7E"/>
    <w:rsid w:val="00FE5FB8"/>
    <w:rsid w:val="00FE6667"/>
    <w:rsid w:val="00FF20B7"/>
    <w:rsid w:val="00FF34C8"/>
    <w:rsid w:val="00FF6E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C4"/>
    <w:pPr>
      <w:widowControl w:val="0"/>
    </w:pPr>
    <w:rPr>
      <w:kern w:val="2"/>
      <w:sz w:val="24"/>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7DC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C7DC4"/>
    <w:rPr>
      <w:rFonts w:ascii="Calibri" w:eastAsia="PMingLiU" w:hAnsi="Calibri" w:cs="Times New Roman"/>
      <w:sz w:val="20"/>
      <w:szCs w:val="20"/>
    </w:rPr>
  </w:style>
  <w:style w:type="paragraph" w:styleId="Header">
    <w:name w:val="header"/>
    <w:basedOn w:val="Normal"/>
    <w:link w:val="HeaderChar"/>
    <w:uiPriority w:val="99"/>
    <w:semiHidden/>
    <w:unhideWhenUsed/>
    <w:rsid w:val="00CC526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CC5262"/>
    <w:rPr>
      <w:kern w:val="2"/>
    </w:rPr>
  </w:style>
  <w:style w:type="character" w:styleId="Hyperlink">
    <w:name w:val="Hyperlink"/>
    <w:basedOn w:val="DefaultParagraphFont"/>
    <w:uiPriority w:val="99"/>
    <w:unhideWhenUsed/>
    <w:rsid w:val="009403F5"/>
    <w:rPr>
      <w:color w:val="0000FF"/>
      <w:u w:val="single"/>
    </w:rPr>
  </w:style>
  <w:style w:type="character" w:styleId="CommentReference">
    <w:name w:val="annotation reference"/>
    <w:basedOn w:val="DefaultParagraphFont"/>
    <w:uiPriority w:val="99"/>
    <w:semiHidden/>
    <w:unhideWhenUsed/>
    <w:rsid w:val="002071B6"/>
    <w:rPr>
      <w:sz w:val="16"/>
      <w:szCs w:val="16"/>
    </w:rPr>
  </w:style>
  <w:style w:type="paragraph" w:styleId="CommentText">
    <w:name w:val="annotation text"/>
    <w:basedOn w:val="Normal"/>
    <w:link w:val="CommentTextChar"/>
    <w:uiPriority w:val="99"/>
    <w:semiHidden/>
    <w:unhideWhenUsed/>
    <w:rsid w:val="002071B6"/>
    <w:rPr>
      <w:sz w:val="20"/>
      <w:szCs w:val="20"/>
    </w:rPr>
  </w:style>
  <w:style w:type="character" w:customStyle="1" w:styleId="CommentTextChar">
    <w:name w:val="Comment Text Char"/>
    <w:basedOn w:val="DefaultParagraphFont"/>
    <w:link w:val="CommentText"/>
    <w:uiPriority w:val="99"/>
    <w:semiHidden/>
    <w:rsid w:val="002071B6"/>
    <w:rPr>
      <w:kern w:val="2"/>
      <w:lang w:val="en-US" w:eastAsia="zh-TW"/>
    </w:rPr>
  </w:style>
  <w:style w:type="paragraph" w:styleId="CommentSubject">
    <w:name w:val="annotation subject"/>
    <w:basedOn w:val="CommentText"/>
    <w:next w:val="CommentText"/>
    <w:link w:val="CommentSubjectChar"/>
    <w:uiPriority w:val="99"/>
    <w:semiHidden/>
    <w:unhideWhenUsed/>
    <w:rsid w:val="002071B6"/>
    <w:rPr>
      <w:b/>
      <w:bCs/>
    </w:rPr>
  </w:style>
  <w:style w:type="character" w:customStyle="1" w:styleId="CommentSubjectChar">
    <w:name w:val="Comment Subject Char"/>
    <w:basedOn w:val="CommentTextChar"/>
    <w:link w:val="CommentSubject"/>
    <w:uiPriority w:val="99"/>
    <w:semiHidden/>
    <w:rsid w:val="002071B6"/>
    <w:rPr>
      <w:b/>
      <w:bCs/>
    </w:rPr>
  </w:style>
  <w:style w:type="paragraph" w:styleId="BalloonText">
    <w:name w:val="Balloon Text"/>
    <w:basedOn w:val="Normal"/>
    <w:link w:val="BalloonTextChar"/>
    <w:uiPriority w:val="99"/>
    <w:semiHidden/>
    <w:unhideWhenUsed/>
    <w:rsid w:val="002071B6"/>
    <w:rPr>
      <w:rFonts w:ascii="Tahoma" w:hAnsi="Tahoma" w:cs="Tahoma"/>
      <w:sz w:val="16"/>
      <w:szCs w:val="16"/>
    </w:rPr>
  </w:style>
  <w:style w:type="character" w:customStyle="1" w:styleId="BalloonTextChar">
    <w:name w:val="Balloon Text Char"/>
    <w:basedOn w:val="DefaultParagraphFont"/>
    <w:link w:val="BalloonText"/>
    <w:uiPriority w:val="99"/>
    <w:semiHidden/>
    <w:rsid w:val="002071B6"/>
    <w:rPr>
      <w:rFonts w:ascii="Tahoma" w:hAnsi="Tahoma" w:cs="Tahoma"/>
      <w:kern w:val="2"/>
      <w:sz w:val="16"/>
      <w:szCs w:val="16"/>
      <w:lang w:val="en-US" w:eastAsia="zh-TW"/>
    </w:rPr>
  </w:style>
</w:styles>
</file>

<file path=word/webSettings.xml><?xml version="1.0" encoding="utf-8"?>
<w:webSettings xmlns:r="http://schemas.openxmlformats.org/officeDocument/2006/relationships" xmlns:w="http://schemas.openxmlformats.org/wordprocessingml/2006/main">
  <w:divs>
    <w:div w:id="15498755">
      <w:bodyDiv w:val="1"/>
      <w:marLeft w:val="0"/>
      <w:marRight w:val="0"/>
      <w:marTop w:val="0"/>
      <w:marBottom w:val="0"/>
      <w:divBdr>
        <w:top w:val="none" w:sz="0" w:space="0" w:color="auto"/>
        <w:left w:val="none" w:sz="0" w:space="0" w:color="auto"/>
        <w:bottom w:val="none" w:sz="0" w:space="0" w:color="auto"/>
        <w:right w:val="none" w:sz="0" w:space="0" w:color="auto"/>
      </w:divBdr>
    </w:div>
    <w:div w:id="126436642">
      <w:bodyDiv w:val="1"/>
      <w:marLeft w:val="0"/>
      <w:marRight w:val="0"/>
      <w:marTop w:val="0"/>
      <w:marBottom w:val="0"/>
      <w:divBdr>
        <w:top w:val="none" w:sz="0" w:space="0" w:color="auto"/>
        <w:left w:val="none" w:sz="0" w:space="0" w:color="auto"/>
        <w:bottom w:val="none" w:sz="0" w:space="0" w:color="auto"/>
        <w:right w:val="none" w:sz="0" w:space="0" w:color="auto"/>
      </w:divBdr>
    </w:div>
    <w:div w:id="422386486">
      <w:bodyDiv w:val="1"/>
      <w:marLeft w:val="0"/>
      <w:marRight w:val="0"/>
      <w:marTop w:val="0"/>
      <w:marBottom w:val="0"/>
      <w:divBdr>
        <w:top w:val="none" w:sz="0" w:space="0" w:color="auto"/>
        <w:left w:val="none" w:sz="0" w:space="0" w:color="auto"/>
        <w:bottom w:val="none" w:sz="0" w:space="0" w:color="auto"/>
        <w:right w:val="none" w:sz="0" w:space="0" w:color="auto"/>
      </w:divBdr>
    </w:div>
    <w:div w:id="774012367">
      <w:bodyDiv w:val="1"/>
      <w:marLeft w:val="0"/>
      <w:marRight w:val="0"/>
      <w:marTop w:val="0"/>
      <w:marBottom w:val="0"/>
      <w:divBdr>
        <w:top w:val="none" w:sz="0" w:space="0" w:color="auto"/>
        <w:left w:val="none" w:sz="0" w:space="0" w:color="auto"/>
        <w:bottom w:val="none" w:sz="0" w:space="0" w:color="auto"/>
        <w:right w:val="none" w:sz="0" w:space="0" w:color="auto"/>
      </w:divBdr>
    </w:div>
    <w:div w:id="884875068">
      <w:bodyDiv w:val="1"/>
      <w:marLeft w:val="0"/>
      <w:marRight w:val="0"/>
      <w:marTop w:val="0"/>
      <w:marBottom w:val="0"/>
      <w:divBdr>
        <w:top w:val="none" w:sz="0" w:space="0" w:color="auto"/>
        <w:left w:val="none" w:sz="0" w:space="0" w:color="auto"/>
        <w:bottom w:val="none" w:sz="0" w:space="0" w:color="auto"/>
        <w:right w:val="none" w:sz="0" w:space="0" w:color="auto"/>
      </w:divBdr>
    </w:div>
    <w:div w:id="914700256">
      <w:bodyDiv w:val="1"/>
      <w:marLeft w:val="0"/>
      <w:marRight w:val="0"/>
      <w:marTop w:val="0"/>
      <w:marBottom w:val="0"/>
      <w:divBdr>
        <w:top w:val="none" w:sz="0" w:space="0" w:color="auto"/>
        <w:left w:val="none" w:sz="0" w:space="0" w:color="auto"/>
        <w:bottom w:val="none" w:sz="0" w:space="0" w:color="auto"/>
        <w:right w:val="none" w:sz="0" w:space="0" w:color="auto"/>
      </w:divBdr>
    </w:div>
    <w:div w:id="953051438">
      <w:bodyDiv w:val="1"/>
      <w:marLeft w:val="0"/>
      <w:marRight w:val="0"/>
      <w:marTop w:val="0"/>
      <w:marBottom w:val="0"/>
      <w:divBdr>
        <w:top w:val="none" w:sz="0" w:space="0" w:color="auto"/>
        <w:left w:val="none" w:sz="0" w:space="0" w:color="auto"/>
        <w:bottom w:val="none" w:sz="0" w:space="0" w:color="auto"/>
        <w:right w:val="none" w:sz="0" w:space="0" w:color="auto"/>
      </w:divBdr>
    </w:div>
    <w:div w:id="1027682124">
      <w:bodyDiv w:val="1"/>
      <w:marLeft w:val="0"/>
      <w:marRight w:val="0"/>
      <w:marTop w:val="0"/>
      <w:marBottom w:val="0"/>
      <w:divBdr>
        <w:top w:val="none" w:sz="0" w:space="0" w:color="auto"/>
        <w:left w:val="none" w:sz="0" w:space="0" w:color="auto"/>
        <w:bottom w:val="none" w:sz="0" w:space="0" w:color="auto"/>
        <w:right w:val="none" w:sz="0" w:space="0" w:color="auto"/>
      </w:divBdr>
    </w:div>
    <w:div w:id="1068579985">
      <w:bodyDiv w:val="1"/>
      <w:marLeft w:val="0"/>
      <w:marRight w:val="0"/>
      <w:marTop w:val="0"/>
      <w:marBottom w:val="0"/>
      <w:divBdr>
        <w:top w:val="none" w:sz="0" w:space="0" w:color="auto"/>
        <w:left w:val="none" w:sz="0" w:space="0" w:color="auto"/>
        <w:bottom w:val="none" w:sz="0" w:space="0" w:color="auto"/>
        <w:right w:val="none" w:sz="0" w:space="0" w:color="auto"/>
      </w:divBdr>
    </w:div>
    <w:div w:id="1161460051">
      <w:bodyDiv w:val="1"/>
      <w:marLeft w:val="0"/>
      <w:marRight w:val="0"/>
      <w:marTop w:val="0"/>
      <w:marBottom w:val="0"/>
      <w:divBdr>
        <w:top w:val="none" w:sz="0" w:space="0" w:color="auto"/>
        <w:left w:val="none" w:sz="0" w:space="0" w:color="auto"/>
        <w:bottom w:val="none" w:sz="0" w:space="0" w:color="auto"/>
        <w:right w:val="none" w:sz="0" w:space="0" w:color="auto"/>
      </w:divBdr>
    </w:div>
    <w:div w:id="1263608717">
      <w:bodyDiv w:val="1"/>
      <w:marLeft w:val="0"/>
      <w:marRight w:val="0"/>
      <w:marTop w:val="0"/>
      <w:marBottom w:val="0"/>
      <w:divBdr>
        <w:top w:val="none" w:sz="0" w:space="0" w:color="auto"/>
        <w:left w:val="none" w:sz="0" w:space="0" w:color="auto"/>
        <w:bottom w:val="none" w:sz="0" w:space="0" w:color="auto"/>
        <w:right w:val="none" w:sz="0" w:space="0" w:color="auto"/>
      </w:divBdr>
    </w:div>
    <w:div w:id="1312906160">
      <w:bodyDiv w:val="1"/>
      <w:marLeft w:val="0"/>
      <w:marRight w:val="0"/>
      <w:marTop w:val="0"/>
      <w:marBottom w:val="0"/>
      <w:divBdr>
        <w:top w:val="none" w:sz="0" w:space="0" w:color="auto"/>
        <w:left w:val="none" w:sz="0" w:space="0" w:color="auto"/>
        <w:bottom w:val="none" w:sz="0" w:space="0" w:color="auto"/>
        <w:right w:val="none" w:sz="0" w:space="0" w:color="auto"/>
      </w:divBdr>
    </w:div>
    <w:div w:id="1379083939">
      <w:bodyDiv w:val="1"/>
      <w:marLeft w:val="0"/>
      <w:marRight w:val="0"/>
      <w:marTop w:val="0"/>
      <w:marBottom w:val="0"/>
      <w:divBdr>
        <w:top w:val="none" w:sz="0" w:space="0" w:color="auto"/>
        <w:left w:val="none" w:sz="0" w:space="0" w:color="auto"/>
        <w:bottom w:val="none" w:sz="0" w:space="0" w:color="auto"/>
        <w:right w:val="none" w:sz="0" w:space="0" w:color="auto"/>
      </w:divBdr>
    </w:div>
    <w:div w:id="1613900850">
      <w:bodyDiv w:val="1"/>
      <w:marLeft w:val="0"/>
      <w:marRight w:val="0"/>
      <w:marTop w:val="0"/>
      <w:marBottom w:val="0"/>
      <w:divBdr>
        <w:top w:val="none" w:sz="0" w:space="0" w:color="auto"/>
        <w:left w:val="none" w:sz="0" w:space="0" w:color="auto"/>
        <w:bottom w:val="none" w:sz="0" w:space="0" w:color="auto"/>
        <w:right w:val="none" w:sz="0" w:space="0" w:color="auto"/>
      </w:divBdr>
    </w:div>
    <w:div w:id="1645354231">
      <w:bodyDiv w:val="1"/>
      <w:marLeft w:val="0"/>
      <w:marRight w:val="0"/>
      <w:marTop w:val="0"/>
      <w:marBottom w:val="0"/>
      <w:divBdr>
        <w:top w:val="none" w:sz="0" w:space="0" w:color="auto"/>
        <w:left w:val="none" w:sz="0" w:space="0" w:color="auto"/>
        <w:bottom w:val="none" w:sz="0" w:space="0" w:color="auto"/>
        <w:right w:val="none" w:sz="0" w:space="0" w:color="auto"/>
      </w:divBdr>
    </w:div>
    <w:div w:id="1977296706">
      <w:bodyDiv w:val="1"/>
      <w:marLeft w:val="0"/>
      <w:marRight w:val="0"/>
      <w:marTop w:val="0"/>
      <w:marBottom w:val="0"/>
      <w:divBdr>
        <w:top w:val="none" w:sz="0" w:space="0" w:color="auto"/>
        <w:left w:val="none" w:sz="0" w:space="0" w:color="auto"/>
        <w:bottom w:val="none" w:sz="0" w:space="0" w:color="auto"/>
        <w:right w:val="none" w:sz="0" w:space="0" w:color="auto"/>
      </w:divBdr>
    </w:div>
    <w:div w:id="2060326532">
      <w:bodyDiv w:val="1"/>
      <w:marLeft w:val="0"/>
      <w:marRight w:val="0"/>
      <w:marTop w:val="0"/>
      <w:marBottom w:val="0"/>
      <w:divBdr>
        <w:top w:val="none" w:sz="0" w:space="0" w:color="auto"/>
        <w:left w:val="none" w:sz="0" w:space="0" w:color="auto"/>
        <w:bottom w:val="none" w:sz="0" w:space="0" w:color="auto"/>
        <w:right w:val="none" w:sz="0" w:space="0" w:color="auto"/>
      </w:divBdr>
    </w:div>
    <w:div w:id="2060936589">
      <w:bodyDiv w:val="1"/>
      <w:marLeft w:val="0"/>
      <w:marRight w:val="0"/>
      <w:marTop w:val="0"/>
      <w:marBottom w:val="0"/>
      <w:divBdr>
        <w:top w:val="none" w:sz="0" w:space="0" w:color="auto"/>
        <w:left w:val="none" w:sz="0" w:space="0" w:color="auto"/>
        <w:bottom w:val="none" w:sz="0" w:space="0" w:color="auto"/>
        <w:right w:val="none" w:sz="0" w:space="0" w:color="auto"/>
      </w:divBdr>
    </w:div>
    <w:div w:id="21322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3D4F-1BC0-4818-8CEA-12C78B90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WKWYH</dc:creator>
  <cp:lastModifiedBy>Ildi</cp:lastModifiedBy>
  <cp:revision>2</cp:revision>
  <dcterms:created xsi:type="dcterms:W3CDTF">2016-05-27T14:48:00Z</dcterms:created>
  <dcterms:modified xsi:type="dcterms:W3CDTF">2016-05-27T14:48:00Z</dcterms:modified>
</cp:coreProperties>
</file>