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684B" w:rsidRPr="007803C6" w:rsidRDefault="00C0684B" w:rsidP="00C0684B">
      <w:pPr>
        <w:pStyle w:val="ANMmaintext"/>
        <w:rPr>
          <w:i/>
          <w:iCs/>
          <w:color w:val="auto"/>
          <w:lang w:val="pt-PT"/>
        </w:rPr>
      </w:pPr>
      <w:r w:rsidRPr="007803C6">
        <w:rPr>
          <w:i/>
          <w:iCs/>
          <w:color w:val="auto"/>
          <w:lang w:val="pt-PT"/>
        </w:rPr>
        <w:t>Animal Journal</w:t>
      </w:r>
    </w:p>
    <w:p w:rsidR="00C0684B" w:rsidRPr="007803C6" w:rsidRDefault="00C0684B" w:rsidP="00C0684B">
      <w:pPr>
        <w:pStyle w:val="ANMmaintext"/>
        <w:rPr>
          <w:i/>
          <w:iCs/>
          <w:color w:val="auto"/>
          <w:lang w:val="pt-PT"/>
        </w:rPr>
      </w:pPr>
    </w:p>
    <w:p w:rsidR="007C4257" w:rsidRPr="007803C6" w:rsidRDefault="007C4257" w:rsidP="007C4257">
      <w:pPr>
        <w:pStyle w:val="ANMauthorname"/>
        <w:rPr>
          <w:rFonts w:cs="Arial"/>
          <w:b/>
          <w:bCs/>
          <w:color w:val="auto"/>
        </w:rPr>
      </w:pPr>
      <w:proofErr w:type="spellStart"/>
      <w:r w:rsidRPr="007803C6">
        <w:rPr>
          <w:rFonts w:cs="Arial"/>
          <w:b/>
          <w:bCs/>
          <w:i/>
          <w:iCs/>
          <w:color w:val="auto"/>
        </w:rPr>
        <w:t>Lippia</w:t>
      </w:r>
      <w:proofErr w:type="spellEnd"/>
      <w:r w:rsidRPr="007803C6">
        <w:rPr>
          <w:rFonts w:cs="Arial"/>
          <w:b/>
          <w:bCs/>
          <w:i/>
          <w:iCs/>
          <w:color w:val="auto"/>
        </w:rPr>
        <w:t xml:space="preserve"> </w:t>
      </w:r>
      <w:proofErr w:type="spellStart"/>
      <w:r w:rsidRPr="007803C6">
        <w:rPr>
          <w:rFonts w:cs="Arial"/>
          <w:b/>
          <w:bCs/>
          <w:i/>
          <w:iCs/>
          <w:color w:val="auto"/>
        </w:rPr>
        <w:t>gracilis</w:t>
      </w:r>
      <w:proofErr w:type="spellEnd"/>
      <w:r w:rsidRPr="007803C6">
        <w:rPr>
          <w:rFonts w:cs="Arial"/>
          <w:b/>
          <w:bCs/>
          <w:i/>
          <w:iCs/>
          <w:color w:val="auto"/>
        </w:rPr>
        <w:t xml:space="preserve"> </w:t>
      </w:r>
      <w:proofErr w:type="spellStart"/>
      <w:r w:rsidRPr="007803C6">
        <w:rPr>
          <w:rFonts w:cs="Arial"/>
          <w:b/>
          <w:bCs/>
          <w:color w:val="auto"/>
        </w:rPr>
        <w:t>Schauer</w:t>
      </w:r>
      <w:proofErr w:type="spellEnd"/>
      <w:r w:rsidRPr="007803C6">
        <w:rPr>
          <w:rFonts w:cs="Arial"/>
          <w:b/>
          <w:bCs/>
          <w:color w:val="auto"/>
        </w:rPr>
        <w:t xml:space="preserve"> essential oil as a growth promoter for Japanese quail</w:t>
      </w:r>
    </w:p>
    <w:p w:rsidR="00C94EE0" w:rsidRPr="007803C6" w:rsidRDefault="00C94EE0" w:rsidP="00C94EE0">
      <w:pPr>
        <w:pStyle w:val="ANMmaintext"/>
        <w:jc w:val="both"/>
        <w:rPr>
          <w:rFonts w:cs="Arial"/>
          <w:color w:val="auto"/>
          <w:lang w:val="pt-PT"/>
        </w:rPr>
      </w:pPr>
      <w:r w:rsidRPr="007803C6">
        <w:rPr>
          <w:rFonts w:cs="Arial"/>
          <w:color w:val="auto"/>
          <w:lang w:val="pt-PT"/>
        </w:rPr>
        <w:t>G.F. Rocha, A.P. Del Vesco, T.P. Santana, T.S. Santos, A.S. Cerqueira, V.</w:t>
      </w:r>
      <w:r w:rsidR="004F55D2" w:rsidRPr="007803C6">
        <w:rPr>
          <w:rFonts w:cs="Arial"/>
          <w:color w:val="auto"/>
          <w:lang w:val="pt-PT"/>
        </w:rPr>
        <w:t xml:space="preserve"> </w:t>
      </w:r>
      <w:r w:rsidRPr="007803C6">
        <w:rPr>
          <w:rFonts w:cs="Arial"/>
          <w:color w:val="auto"/>
          <w:lang w:val="pt-PT"/>
        </w:rPr>
        <w:t>Zancanela,</w:t>
      </w:r>
      <w:r w:rsidR="004F55D2" w:rsidRPr="007803C6">
        <w:rPr>
          <w:rFonts w:cs="Arial"/>
          <w:color w:val="auto"/>
          <w:lang w:val="pt-PT"/>
        </w:rPr>
        <w:t xml:space="preserve"> </w:t>
      </w:r>
      <w:r w:rsidRPr="007803C6">
        <w:rPr>
          <w:rFonts w:cs="Arial"/>
          <w:color w:val="auto"/>
          <w:lang w:val="pt-PT"/>
        </w:rPr>
        <w:t>R.P.M. Fernandes,</w:t>
      </w:r>
      <w:r w:rsidR="004F55D2" w:rsidRPr="007803C6">
        <w:rPr>
          <w:rFonts w:cs="Arial"/>
          <w:color w:val="auto"/>
          <w:lang w:val="pt-PT"/>
        </w:rPr>
        <w:t xml:space="preserve"> </w:t>
      </w:r>
      <w:r w:rsidRPr="007803C6">
        <w:rPr>
          <w:rFonts w:cs="Arial"/>
          <w:color w:val="auto"/>
          <w:lang w:val="pt-PT"/>
        </w:rPr>
        <w:t>G.M. Oliveira Jr.</w:t>
      </w:r>
    </w:p>
    <w:p w:rsidR="007424C8" w:rsidRDefault="007424C8">
      <w:pPr>
        <w:pStyle w:val="ANMmaintext"/>
        <w:rPr>
          <w:i/>
          <w:iCs/>
          <w:color w:val="auto"/>
          <w:lang w:val="pt-PT"/>
        </w:rPr>
      </w:pPr>
    </w:p>
    <w:p w:rsidR="007424C8" w:rsidRPr="007424C8" w:rsidRDefault="007424C8">
      <w:pPr>
        <w:pStyle w:val="ANMmaintext"/>
        <w:rPr>
          <w:b/>
          <w:i/>
          <w:iCs/>
          <w:color w:val="auto"/>
          <w:lang w:val="pt-PT"/>
        </w:rPr>
      </w:pPr>
      <w:r w:rsidRPr="007424C8">
        <w:rPr>
          <w:b/>
          <w:i/>
          <w:iCs/>
          <w:color w:val="auto"/>
          <w:lang w:val="pt-PT"/>
        </w:rPr>
        <w:t>Supplementary Material S1</w:t>
      </w:r>
    </w:p>
    <w:p w:rsidR="007424C8" w:rsidRPr="007803C6" w:rsidRDefault="007424C8">
      <w:pPr>
        <w:pStyle w:val="ANMmaintext"/>
        <w:rPr>
          <w:i/>
          <w:iCs/>
          <w:color w:val="auto"/>
          <w:lang w:val="pt-PT"/>
        </w:rPr>
      </w:pPr>
      <w:bookmarkStart w:id="0" w:name="_GoBack"/>
      <w:bookmarkEnd w:id="0"/>
    </w:p>
    <w:p w:rsidR="00A86A47" w:rsidRPr="007803C6" w:rsidRDefault="00A86A47" w:rsidP="00A86A47">
      <w:pPr>
        <w:pStyle w:val="ANMmaintext"/>
        <w:rPr>
          <w:i/>
          <w:iCs/>
          <w:color w:val="auto"/>
        </w:rPr>
      </w:pPr>
      <w:r w:rsidRPr="007803C6">
        <w:rPr>
          <w:i/>
          <w:iCs/>
          <w:color w:val="auto"/>
        </w:rPr>
        <w:t>Extraction of the essential oil</w:t>
      </w:r>
    </w:p>
    <w:p w:rsidR="00A86A47" w:rsidRPr="007803C6" w:rsidRDefault="00A86A47" w:rsidP="00A86A47">
      <w:pPr>
        <w:pStyle w:val="ANMmaintext"/>
        <w:jc w:val="both"/>
        <w:rPr>
          <w:color w:val="auto"/>
        </w:rPr>
      </w:pPr>
      <w:r w:rsidRPr="007803C6">
        <w:rPr>
          <w:color w:val="auto"/>
        </w:rPr>
        <w:t xml:space="preserve">To extract the essential oil, shoots of </w:t>
      </w:r>
      <w:proofErr w:type="spellStart"/>
      <w:r w:rsidRPr="007803C6">
        <w:rPr>
          <w:i/>
          <w:iCs/>
          <w:color w:val="auto"/>
        </w:rPr>
        <w:t>Lippia</w:t>
      </w:r>
      <w:proofErr w:type="spellEnd"/>
      <w:r w:rsidRPr="007803C6">
        <w:rPr>
          <w:i/>
          <w:iCs/>
          <w:color w:val="auto"/>
        </w:rPr>
        <w:t xml:space="preserve"> </w:t>
      </w:r>
      <w:proofErr w:type="spellStart"/>
      <w:r w:rsidRPr="007803C6">
        <w:rPr>
          <w:i/>
          <w:iCs/>
          <w:color w:val="auto"/>
        </w:rPr>
        <w:t>gracillis</w:t>
      </w:r>
      <w:proofErr w:type="spellEnd"/>
      <w:r w:rsidRPr="007803C6">
        <w:rPr>
          <w:i/>
          <w:iCs/>
          <w:color w:val="auto"/>
        </w:rPr>
        <w:t xml:space="preserve"> </w:t>
      </w:r>
      <w:proofErr w:type="spellStart"/>
      <w:r w:rsidRPr="007803C6">
        <w:rPr>
          <w:color w:val="auto"/>
        </w:rPr>
        <w:t>Schauer</w:t>
      </w:r>
      <w:proofErr w:type="spellEnd"/>
      <w:r w:rsidRPr="007803C6">
        <w:rPr>
          <w:color w:val="auto"/>
        </w:rPr>
        <w:t xml:space="preserve"> varieties 107 and 108 </w:t>
      </w:r>
      <w:proofErr w:type="gramStart"/>
      <w:r w:rsidRPr="007803C6">
        <w:rPr>
          <w:color w:val="auto"/>
        </w:rPr>
        <w:t xml:space="preserve">were harvested in the morning at </w:t>
      </w:r>
      <w:r w:rsidR="0036692F" w:rsidRPr="007803C6">
        <w:rPr>
          <w:color w:val="auto"/>
        </w:rPr>
        <w:t>Campus Rural (</w:t>
      </w:r>
      <w:r w:rsidRPr="007803C6">
        <w:rPr>
          <w:color w:val="auto"/>
        </w:rPr>
        <w:t>CRU</w:t>
      </w:r>
      <w:r w:rsidR="0036692F" w:rsidRPr="007803C6">
        <w:rPr>
          <w:color w:val="auto"/>
        </w:rPr>
        <w:t>) at Federal University of Sergipe (</w:t>
      </w:r>
      <w:r w:rsidRPr="007803C6">
        <w:rPr>
          <w:color w:val="auto"/>
        </w:rPr>
        <w:t>UFS</w:t>
      </w:r>
      <w:r w:rsidR="0036692F" w:rsidRPr="007803C6">
        <w:rPr>
          <w:color w:val="auto"/>
        </w:rPr>
        <w:t>)</w:t>
      </w:r>
      <w:r w:rsidRPr="007803C6">
        <w:rPr>
          <w:color w:val="auto"/>
        </w:rPr>
        <w:t>, packed in plastic bags, and taken to the laboratory for processing</w:t>
      </w:r>
      <w:proofErr w:type="gramEnd"/>
      <w:r w:rsidRPr="007803C6">
        <w:rPr>
          <w:color w:val="auto"/>
        </w:rPr>
        <w:t xml:space="preserve">. Subsequently, the leaves </w:t>
      </w:r>
      <w:proofErr w:type="gramStart"/>
      <w:r w:rsidRPr="007803C6">
        <w:rPr>
          <w:color w:val="auto"/>
        </w:rPr>
        <w:t>were separated from the stems and dried for five consecutive days in a forced-air oven at 55 ºC.</w:t>
      </w:r>
      <w:proofErr w:type="gramEnd"/>
      <w:r w:rsidRPr="007803C6">
        <w:rPr>
          <w:color w:val="auto"/>
        </w:rPr>
        <w:t xml:space="preserve"> After this step, 75 to 80 g of pre-dried leaf material were weighed and placed in a round-bottom flask to which 2 L distilled water </w:t>
      </w:r>
      <w:proofErr w:type="gramStart"/>
      <w:r w:rsidRPr="007803C6">
        <w:rPr>
          <w:color w:val="auto"/>
        </w:rPr>
        <w:t>was added</w:t>
      </w:r>
      <w:proofErr w:type="gramEnd"/>
      <w:r w:rsidRPr="007803C6">
        <w:rPr>
          <w:color w:val="auto"/>
        </w:rPr>
        <w:t xml:space="preserve"> for the oil extraction. The oil </w:t>
      </w:r>
      <w:proofErr w:type="gramStart"/>
      <w:r w:rsidRPr="007803C6">
        <w:rPr>
          <w:color w:val="auto"/>
        </w:rPr>
        <w:t>was extracted</w:t>
      </w:r>
      <w:proofErr w:type="gramEnd"/>
      <w:r w:rsidRPr="007803C6">
        <w:rPr>
          <w:color w:val="auto"/>
        </w:rPr>
        <w:t xml:space="preserve"> by the </w:t>
      </w:r>
      <w:proofErr w:type="spellStart"/>
      <w:r w:rsidRPr="007803C6">
        <w:rPr>
          <w:color w:val="auto"/>
        </w:rPr>
        <w:t>hydrodistillation</w:t>
      </w:r>
      <w:proofErr w:type="spellEnd"/>
      <w:r w:rsidRPr="007803C6">
        <w:rPr>
          <w:color w:val="auto"/>
        </w:rPr>
        <w:t xml:space="preserve"> method, using a Clevenger apparatus (Santos </w:t>
      </w:r>
      <w:r w:rsidRPr="007803C6">
        <w:rPr>
          <w:i/>
          <w:color w:val="auto"/>
        </w:rPr>
        <w:t>et al</w:t>
      </w:r>
      <w:r w:rsidRPr="007803C6">
        <w:rPr>
          <w:color w:val="auto"/>
        </w:rPr>
        <w:t xml:space="preserve">., 2004). The essential oil </w:t>
      </w:r>
      <w:proofErr w:type="gramStart"/>
      <w:r w:rsidRPr="007803C6">
        <w:rPr>
          <w:color w:val="auto"/>
        </w:rPr>
        <w:t>was then collected and packed in an amber glass jar to protect it from light and humidity</w:t>
      </w:r>
      <w:proofErr w:type="gramEnd"/>
      <w:r w:rsidRPr="007803C6">
        <w:rPr>
          <w:color w:val="auto"/>
        </w:rPr>
        <w:t xml:space="preserve">. Next, the jar was stored in a refrigerator at an approximate temperature of -4 ºC (Teixeira </w:t>
      </w:r>
      <w:r w:rsidRPr="007803C6">
        <w:rPr>
          <w:i/>
          <w:color w:val="auto"/>
        </w:rPr>
        <w:t>et al</w:t>
      </w:r>
      <w:r w:rsidRPr="007803C6">
        <w:rPr>
          <w:color w:val="auto"/>
        </w:rPr>
        <w:t xml:space="preserve">., 2014). </w:t>
      </w:r>
    </w:p>
    <w:p w:rsidR="00A86A47" w:rsidRPr="007803C6" w:rsidRDefault="00A86A47" w:rsidP="00A86A47">
      <w:pPr>
        <w:pStyle w:val="ANMmaintext"/>
        <w:ind w:firstLine="708"/>
        <w:jc w:val="both"/>
        <w:rPr>
          <w:rFonts w:cs="Arial"/>
          <w:color w:val="auto"/>
        </w:rPr>
      </w:pPr>
      <w:r w:rsidRPr="007803C6">
        <w:rPr>
          <w:color w:val="auto"/>
        </w:rPr>
        <w:t xml:space="preserve">The oil yield was 3% and presented </w:t>
      </w:r>
      <w:proofErr w:type="spellStart"/>
      <w:r w:rsidRPr="007803C6">
        <w:rPr>
          <w:rFonts w:cs="Arial"/>
          <w:color w:val="auto"/>
        </w:rPr>
        <w:t>myrcene</w:t>
      </w:r>
      <w:proofErr w:type="spellEnd"/>
      <w:r w:rsidRPr="007803C6">
        <w:rPr>
          <w:rFonts w:cs="Arial"/>
          <w:color w:val="auto"/>
        </w:rPr>
        <w:t xml:space="preserve"> (2.49</w:t>
      </w:r>
      <w:r w:rsidR="004F55D2" w:rsidRPr="007803C6">
        <w:rPr>
          <w:rFonts w:cs="Arial"/>
          <w:color w:val="auto"/>
        </w:rPr>
        <w:t>%</w:t>
      </w:r>
      <w:r w:rsidRPr="007803C6">
        <w:rPr>
          <w:rFonts w:cs="Arial"/>
          <w:color w:val="auto"/>
        </w:rPr>
        <w:t>), p-cymene (12.26</w:t>
      </w:r>
      <w:r w:rsidR="004F55D2" w:rsidRPr="007803C6">
        <w:rPr>
          <w:rFonts w:cs="Arial"/>
          <w:color w:val="auto"/>
        </w:rPr>
        <w:t>%</w:t>
      </w:r>
      <w:r w:rsidRPr="007803C6">
        <w:rPr>
          <w:rFonts w:cs="Arial"/>
          <w:color w:val="auto"/>
        </w:rPr>
        <w:t>), 1.8-cineole (1.41</w:t>
      </w:r>
      <w:r w:rsidR="004F55D2" w:rsidRPr="007803C6">
        <w:rPr>
          <w:rFonts w:cs="Arial"/>
          <w:color w:val="auto"/>
        </w:rPr>
        <w:t>%</w:t>
      </w:r>
      <w:r w:rsidRPr="007803C6">
        <w:rPr>
          <w:rFonts w:cs="Arial"/>
          <w:color w:val="auto"/>
        </w:rPr>
        <w:t xml:space="preserve">), </w:t>
      </w:r>
      <w:r w:rsidRPr="007803C6">
        <w:rPr>
          <w:rFonts w:cs="Arial"/>
          <w:color w:val="auto"/>
          <w:lang w:val="pt-BR"/>
        </w:rPr>
        <w:t>ϒ</w:t>
      </w:r>
      <w:r w:rsidRPr="007803C6">
        <w:rPr>
          <w:rFonts w:cs="Arial"/>
          <w:color w:val="auto"/>
        </w:rPr>
        <w:t>-</w:t>
      </w:r>
      <w:proofErr w:type="spellStart"/>
      <w:r w:rsidRPr="007803C6">
        <w:rPr>
          <w:rFonts w:cs="Arial"/>
          <w:color w:val="auto"/>
        </w:rPr>
        <w:t>terpinene</w:t>
      </w:r>
      <w:proofErr w:type="spellEnd"/>
      <w:r w:rsidRPr="007803C6">
        <w:rPr>
          <w:rFonts w:cs="Arial"/>
          <w:color w:val="auto"/>
        </w:rPr>
        <w:t xml:space="preserve"> (13.56</w:t>
      </w:r>
      <w:r w:rsidR="004F55D2" w:rsidRPr="007803C6">
        <w:rPr>
          <w:rFonts w:cs="Arial"/>
          <w:color w:val="auto"/>
        </w:rPr>
        <w:t>%</w:t>
      </w:r>
      <w:r w:rsidRPr="007803C6">
        <w:rPr>
          <w:rFonts w:cs="Arial"/>
          <w:color w:val="auto"/>
        </w:rPr>
        <w:t xml:space="preserve">), </w:t>
      </w:r>
      <w:proofErr w:type="spellStart"/>
      <w:r w:rsidRPr="007803C6">
        <w:rPr>
          <w:rFonts w:cs="Arial"/>
          <w:color w:val="auto"/>
        </w:rPr>
        <w:t>thymol</w:t>
      </w:r>
      <w:proofErr w:type="spellEnd"/>
      <w:r w:rsidRPr="007803C6">
        <w:rPr>
          <w:rFonts w:cs="Arial"/>
          <w:color w:val="auto"/>
        </w:rPr>
        <w:t xml:space="preserve"> methyl ether (5.20</w:t>
      </w:r>
      <w:r w:rsidR="004F55D2" w:rsidRPr="007803C6">
        <w:rPr>
          <w:rFonts w:cs="Arial"/>
          <w:color w:val="auto"/>
        </w:rPr>
        <w:t>%</w:t>
      </w:r>
      <w:r w:rsidRPr="007803C6">
        <w:rPr>
          <w:rFonts w:cs="Arial"/>
          <w:color w:val="auto"/>
        </w:rPr>
        <w:t xml:space="preserve">), </w:t>
      </w:r>
      <w:proofErr w:type="spellStart"/>
      <w:r w:rsidRPr="007803C6">
        <w:rPr>
          <w:rFonts w:cs="Arial"/>
          <w:color w:val="auto"/>
        </w:rPr>
        <w:t>thymol</w:t>
      </w:r>
      <w:proofErr w:type="spellEnd"/>
      <w:r w:rsidRPr="007803C6">
        <w:rPr>
          <w:rFonts w:cs="Arial"/>
          <w:color w:val="auto"/>
        </w:rPr>
        <w:t xml:space="preserve"> (3.28</w:t>
      </w:r>
      <w:r w:rsidR="004F55D2" w:rsidRPr="007803C6">
        <w:rPr>
          <w:rFonts w:cs="Arial"/>
          <w:color w:val="auto"/>
        </w:rPr>
        <w:t>%</w:t>
      </w:r>
      <w:r w:rsidRPr="007803C6">
        <w:rPr>
          <w:rFonts w:cs="Arial"/>
          <w:color w:val="auto"/>
        </w:rPr>
        <w:t xml:space="preserve">), </w:t>
      </w:r>
      <w:proofErr w:type="spellStart"/>
      <w:r w:rsidRPr="007803C6">
        <w:rPr>
          <w:rFonts w:cs="Arial"/>
          <w:color w:val="auto"/>
        </w:rPr>
        <w:t>carvacrol</w:t>
      </w:r>
      <w:proofErr w:type="spellEnd"/>
      <w:r w:rsidRPr="007803C6">
        <w:rPr>
          <w:rFonts w:cs="Arial"/>
          <w:color w:val="auto"/>
        </w:rPr>
        <w:t xml:space="preserve"> (38.88</w:t>
      </w:r>
      <w:r w:rsidR="004F55D2" w:rsidRPr="007803C6">
        <w:rPr>
          <w:rFonts w:cs="Arial"/>
          <w:color w:val="auto"/>
        </w:rPr>
        <w:t>%</w:t>
      </w:r>
      <w:r w:rsidRPr="007803C6">
        <w:rPr>
          <w:rFonts w:cs="Arial"/>
          <w:color w:val="auto"/>
        </w:rPr>
        <w:t xml:space="preserve">) and </w:t>
      </w:r>
      <w:r w:rsidRPr="007803C6">
        <w:rPr>
          <w:rFonts w:cs="Arial"/>
          <w:color w:val="auto"/>
          <w:lang w:val="pt-BR"/>
        </w:rPr>
        <w:t>β</w:t>
      </w:r>
      <w:r w:rsidRPr="007803C6">
        <w:rPr>
          <w:rFonts w:cs="Arial"/>
          <w:color w:val="auto"/>
        </w:rPr>
        <w:t>-</w:t>
      </w:r>
      <w:proofErr w:type="spellStart"/>
      <w:r w:rsidRPr="007803C6">
        <w:rPr>
          <w:rFonts w:cs="Arial"/>
          <w:color w:val="auto"/>
        </w:rPr>
        <w:t>caryophyllene</w:t>
      </w:r>
      <w:proofErr w:type="spellEnd"/>
      <w:r w:rsidRPr="007803C6">
        <w:rPr>
          <w:rFonts w:cs="Arial"/>
          <w:color w:val="auto"/>
        </w:rPr>
        <w:t xml:space="preserve"> (5.05</w:t>
      </w:r>
      <w:r w:rsidR="004F55D2" w:rsidRPr="007803C6">
        <w:rPr>
          <w:rFonts w:cs="Arial"/>
          <w:color w:val="auto"/>
        </w:rPr>
        <w:t>%</w:t>
      </w:r>
      <w:r w:rsidRPr="007803C6">
        <w:rPr>
          <w:rFonts w:cs="Arial"/>
          <w:color w:val="auto"/>
        </w:rPr>
        <w:t xml:space="preserve">) (Santos </w:t>
      </w:r>
      <w:r w:rsidRPr="007803C6">
        <w:rPr>
          <w:rFonts w:cs="Arial"/>
          <w:i/>
          <w:color w:val="auto"/>
        </w:rPr>
        <w:t>et al.</w:t>
      </w:r>
      <w:proofErr w:type="gramStart"/>
      <w:r w:rsidRPr="007803C6">
        <w:rPr>
          <w:rFonts w:cs="Arial"/>
          <w:i/>
          <w:color w:val="auto"/>
        </w:rPr>
        <w:t>,</w:t>
      </w:r>
      <w:r w:rsidRPr="007803C6">
        <w:rPr>
          <w:rFonts w:cs="Arial"/>
          <w:color w:val="auto"/>
        </w:rPr>
        <w:t>2016</w:t>
      </w:r>
      <w:proofErr w:type="gramEnd"/>
      <w:r w:rsidRPr="007803C6">
        <w:rPr>
          <w:rFonts w:cs="Arial"/>
          <w:color w:val="auto"/>
        </w:rPr>
        <w:t>).</w:t>
      </w:r>
      <w:r w:rsidRPr="007803C6">
        <w:rPr>
          <w:rFonts w:cs="Arial"/>
          <w:color w:val="auto"/>
        </w:rPr>
        <w:tab/>
      </w:r>
    </w:p>
    <w:p w:rsidR="00A86A47" w:rsidRPr="007803C6" w:rsidRDefault="00A86A47" w:rsidP="00A86A47">
      <w:pPr>
        <w:pStyle w:val="ANMmaintext"/>
        <w:rPr>
          <w:i/>
          <w:iCs/>
          <w:color w:val="auto"/>
        </w:rPr>
      </w:pPr>
      <w:r w:rsidRPr="007803C6">
        <w:rPr>
          <w:i/>
          <w:iCs/>
          <w:color w:val="auto"/>
        </w:rPr>
        <w:t>Intestinal microbiology analysis</w:t>
      </w:r>
    </w:p>
    <w:p w:rsidR="00A86A47" w:rsidRPr="007803C6" w:rsidRDefault="00A86A47" w:rsidP="00A86A47">
      <w:pPr>
        <w:pStyle w:val="ANMmaintext"/>
        <w:jc w:val="both"/>
        <w:rPr>
          <w:color w:val="auto"/>
        </w:rPr>
      </w:pPr>
      <w:r w:rsidRPr="007803C6">
        <w:rPr>
          <w:color w:val="auto"/>
        </w:rPr>
        <w:lastRenderedPageBreak/>
        <w:t xml:space="preserve">The harvested material was weighed and placed in a Falcon tube containing buffered saline solution (5.61 g </w:t>
      </w:r>
      <w:proofErr w:type="spellStart"/>
      <w:r w:rsidRPr="007803C6">
        <w:rPr>
          <w:color w:val="auto"/>
        </w:rPr>
        <w:t>NaCl</w:t>
      </w:r>
      <w:proofErr w:type="spellEnd"/>
      <w:r w:rsidRPr="007803C6">
        <w:rPr>
          <w:color w:val="auto"/>
        </w:rPr>
        <w:t>, 1 g KH</w:t>
      </w:r>
      <w:r w:rsidRPr="007803C6">
        <w:rPr>
          <w:color w:val="auto"/>
          <w:vertAlign w:val="subscript"/>
        </w:rPr>
        <w:t>2</w:t>
      </w:r>
      <w:r w:rsidRPr="007803C6">
        <w:rPr>
          <w:color w:val="auto"/>
        </w:rPr>
        <w:t>PO</w:t>
      </w:r>
      <w:r w:rsidRPr="007803C6">
        <w:rPr>
          <w:color w:val="auto"/>
          <w:vertAlign w:val="subscript"/>
        </w:rPr>
        <w:t>4</w:t>
      </w:r>
      <w:r w:rsidRPr="007803C6">
        <w:rPr>
          <w:color w:val="auto"/>
        </w:rPr>
        <w:t>, 2 g Na</w:t>
      </w:r>
      <w:r w:rsidRPr="007803C6">
        <w:rPr>
          <w:color w:val="auto"/>
          <w:vertAlign w:val="subscript"/>
        </w:rPr>
        <w:t>2</w:t>
      </w:r>
      <w:r w:rsidRPr="007803C6">
        <w:rPr>
          <w:color w:val="auto"/>
        </w:rPr>
        <w:t>PO</w:t>
      </w:r>
      <w:r w:rsidRPr="007803C6">
        <w:rPr>
          <w:color w:val="auto"/>
          <w:vertAlign w:val="subscript"/>
        </w:rPr>
        <w:t>4</w:t>
      </w:r>
      <w:r w:rsidRPr="007803C6">
        <w:rPr>
          <w:color w:val="auto"/>
        </w:rPr>
        <w:t xml:space="preserve">, and 0.11 g </w:t>
      </w:r>
      <w:proofErr w:type="spellStart"/>
      <w:r w:rsidRPr="007803C6">
        <w:rPr>
          <w:color w:val="auto"/>
        </w:rPr>
        <w:t>KCl</w:t>
      </w:r>
      <w:proofErr w:type="spellEnd"/>
      <w:r w:rsidRPr="007803C6">
        <w:rPr>
          <w:color w:val="auto"/>
        </w:rPr>
        <w:t xml:space="preserve"> in 1000 ml distilled water) and 10% glycerol (used as </w:t>
      </w:r>
      <w:proofErr w:type="spellStart"/>
      <w:r w:rsidRPr="007803C6">
        <w:rPr>
          <w:color w:val="auto"/>
        </w:rPr>
        <w:t>cryoprotectant</w:t>
      </w:r>
      <w:proofErr w:type="spellEnd"/>
      <w:r w:rsidRPr="007803C6">
        <w:rPr>
          <w:color w:val="auto"/>
        </w:rPr>
        <w:t xml:space="preserve">), which was then frozen at -4 ºC. </w:t>
      </w:r>
      <w:r w:rsidR="008D68ED" w:rsidRPr="007803C6">
        <w:rPr>
          <w:color w:val="auto"/>
        </w:rPr>
        <w:t>Escherichia coli (</w:t>
      </w:r>
      <w:r w:rsidRPr="007803C6">
        <w:rPr>
          <w:color w:val="auto"/>
        </w:rPr>
        <w:t>EC</w:t>
      </w:r>
      <w:r w:rsidR="008D68ED" w:rsidRPr="007803C6">
        <w:rPr>
          <w:color w:val="auto"/>
        </w:rPr>
        <w:t>)</w:t>
      </w:r>
      <w:r w:rsidRPr="007803C6">
        <w:rPr>
          <w:color w:val="auto"/>
        </w:rPr>
        <w:t xml:space="preserve"> Broth </w:t>
      </w:r>
      <w:proofErr w:type="gramStart"/>
      <w:r w:rsidRPr="007803C6">
        <w:rPr>
          <w:color w:val="auto"/>
        </w:rPr>
        <w:t>was used</w:t>
      </w:r>
      <w:proofErr w:type="gramEnd"/>
      <w:r w:rsidRPr="007803C6">
        <w:rPr>
          <w:color w:val="auto"/>
        </w:rPr>
        <w:t xml:space="preserve"> for the culture of </w:t>
      </w:r>
      <w:r w:rsidRPr="007803C6">
        <w:rPr>
          <w:i/>
          <w:iCs/>
          <w:color w:val="auto"/>
        </w:rPr>
        <w:t>E. coli</w:t>
      </w:r>
      <w:r w:rsidRPr="007803C6">
        <w:rPr>
          <w:color w:val="auto"/>
        </w:rPr>
        <w:t xml:space="preserve">; mannitol salt agar for </w:t>
      </w:r>
      <w:r w:rsidRPr="007803C6">
        <w:rPr>
          <w:i/>
          <w:iCs/>
          <w:color w:val="auto"/>
        </w:rPr>
        <w:t xml:space="preserve">Staphylococcus </w:t>
      </w:r>
      <w:proofErr w:type="spellStart"/>
      <w:r w:rsidRPr="007803C6">
        <w:rPr>
          <w:color w:val="auto"/>
        </w:rPr>
        <w:t>spp</w:t>
      </w:r>
      <w:proofErr w:type="spellEnd"/>
      <w:r w:rsidRPr="007803C6">
        <w:rPr>
          <w:color w:val="auto"/>
        </w:rPr>
        <w:t xml:space="preserve">; Rappaport </w:t>
      </w:r>
      <w:proofErr w:type="spellStart"/>
      <w:r w:rsidRPr="007803C6">
        <w:rPr>
          <w:color w:val="auto"/>
        </w:rPr>
        <w:t>Vassiliadis</w:t>
      </w:r>
      <w:proofErr w:type="spellEnd"/>
      <w:r w:rsidRPr="007803C6">
        <w:rPr>
          <w:color w:val="auto"/>
        </w:rPr>
        <w:t xml:space="preserve"> broth for </w:t>
      </w:r>
      <w:r w:rsidRPr="007803C6">
        <w:rPr>
          <w:i/>
          <w:iCs/>
          <w:color w:val="auto"/>
        </w:rPr>
        <w:t xml:space="preserve">Salmonella </w:t>
      </w:r>
      <w:proofErr w:type="spellStart"/>
      <w:r w:rsidRPr="007803C6">
        <w:rPr>
          <w:color w:val="auto"/>
        </w:rPr>
        <w:t>spp</w:t>
      </w:r>
      <w:proofErr w:type="spellEnd"/>
      <w:r w:rsidRPr="007803C6">
        <w:rPr>
          <w:color w:val="auto"/>
        </w:rPr>
        <w:t xml:space="preserve">; and BHI (Brain Heart Infusion) broth with addition of 2% dextrose for </w:t>
      </w:r>
      <w:r w:rsidRPr="007803C6">
        <w:rPr>
          <w:i/>
          <w:iCs/>
          <w:color w:val="auto"/>
        </w:rPr>
        <w:t xml:space="preserve">Lactobacillus </w:t>
      </w:r>
      <w:r w:rsidRPr="007803C6">
        <w:rPr>
          <w:color w:val="auto"/>
        </w:rPr>
        <w:t xml:space="preserve">spp. The broths also received 2.5% base agar. All media </w:t>
      </w:r>
      <w:proofErr w:type="gramStart"/>
      <w:r w:rsidRPr="007803C6">
        <w:rPr>
          <w:color w:val="auto"/>
        </w:rPr>
        <w:t>were produced following the recommendations of the manufacturers and sterilized in an autoclave at 121 ºC for 15 min</w:t>
      </w:r>
      <w:proofErr w:type="gramEnd"/>
      <w:r w:rsidRPr="007803C6">
        <w:rPr>
          <w:color w:val="auto"/>
        </w:rPr>
        <w:t>. The media were prepared, placed in petri dishes, and oven-dried for 24 h.</w:t>
      </w:r>
    </w:p>
    <w:p w:rsidR="00A86A47" w:rsidRPr="007803C6" w:rsidRDefault="00A86A47" w:rsidP="00A86A47">
      <w:pPr>
        <w:pStyle w:val="ANMmaintext"/>
        <w:ind w:firstLine="567"/>
        <w:jc w:val="both"/>
        <w:rPr>
          <w:color w:val="auto"/>
        </w:rPr>
      </w:pPr>
      <w:r w:rsidRPr="007803C6">
        <w:rPr>
          <w:color w:val="auto"/>
        </w:rPr>
        <w:t>For the analyses of all microorganisms, the samples were thawed at room temperature and serial dilutions (10</w:t>
      </w:r>
      <w:r w:rsidRPr="007803C6">
        <w:rPr>
          <w:color w:val="auto"/>
          <w:vertAlign w:val="superscript"/>
        </w:rPr>
        <w:t>–1</w:t>
      </w:r>
      <w:r w:rsidRPr="007803C6">
        <w:rPr>
          <w:color w:val="auto"/>
        </w:rPr>
        <w:t>, 10</w:t>
      </w:r>
      <w:r w:rsidRPr="007803C6">
        <w:rPr>
          <w:color w:val="auto"/>
          <w:vertAlign w:val="superscript"/>
        </w:rPr>
        <w:t>–3</w:t>
      </w:r>
      <w:r w:rsidRPr="007803C6">
        <w:rPr>
          <w:color w:val="auto"/>
        </w:rPr>
        <w:t>, 10</w:t>
      </w:r>
      <w:r w:rsidRPr="007803C6">
        <w:rPr>
          <w:color w:val="auto"/>
          <w:vertAlign w:val="superscript"/>
        </w:rPr>
        <w:t>–5</w:t>
      </w:r>
      <w:r w:rsidRPr="007803C6">
        <w:rPr>
          <w:color w:val="auto"/>
        </w:rPr>
        <w:t xml:space="preserve">, </w:t>
      </w:r>
      <w:proofErr w:type="gramStart"/>
      <w:r w:rsidRPr="007803C6">
        <w:rPr>
          <w:color w:val="auto"/>
        </w:rPr>
        <w:t>10</w:t>
      </w:r>
      <w:proofErr w:type="gramEnd"/>
      <w:r w:rsidRPr="007803C6">
        <w:rPr>
          <w:color w:val="auto"/>
          <w:vertAlign w:val="superscript"/>
        </w:rPr>
        <w:t>–7</w:t>
      </w:r>
      <w:r w:rsidRPr="007803C6">
        <w:rPr>
          <w:color w:val="auto"/>
        </w:rPr>
        <w:t xml:space="preserve">) were carried out using buffered saline solution. One milliliter of each dilution </w:t>
      </w:r>
      <w:proofErr w:type="gramStart"/>
      <w:r w:rsidRPr="007803C6">
        <w:rPr>
          <w:color w:val="auto"/>
        </w:rPr>
        <w:t>was seeded</w:t>
      </w:r>
      <w:proofErr w:type="gramEnd"/>
      <w:r w:rsidRPr="007803C6">
        <w:rPr>
          <w:color w:val="auto"/>
        </w:rPr>
        <w:t xml:space="preserve"> in duplicate Petri dishes to observe the growth of colonies. The inoculant </w:t>
      </w:r>
      <w:proofErr w:type="gramStart"/>
      <w:r w:rsidRPr="007803C6">
        <w:rPr>
          <w:color w:val="auto"/>
        </w:rPr>
        <w:t>was spread</w:t>
      </w:r>
      <w:proofErr w:type="gramEnd"/>
      <w:r w:rsidRPr="007803C6">
        <w:rPr>
          <w:color w:val="auto"/>
        </w:rPr>
        <w:t xml:space="preserve"> using </w:t>
      </w:r>
      <w:proofErr w:type="spellStart"/>
      <w:r w:rsidRPr="007803C6">
        <w:rPr>
          <w:color w:val="auto"/>
        </w:rPr>
        <w:t>Drigalski’s</w:t>
      </w:r>
      <w:proofErr w:type="spellEnd"/>
      <w:r w:rsidRPr="007803C6">
        <w:rPr>
          <w:color w:val="auto"/>
        </w:rPr>
        <w:t xml:space="preserve"> handle and dishes were incubated in an oven at 37 ºC for 24 h. </w:t>
      </w:r>
    </w:p>
    <w:p w:rsidR="00A86A47" w:rsidRPr="007803C6" w:rsidRDefault="00A86A47" w:rsidP="00A86A47">
      <w:pPr>
        <w:pStyle w:val="ANMmaintext"/>
        <w:ind w:firstLine="567"/>
        <w:jc w:val="both"/>
        <w:rPr>
          <w:color w:val="auto"/>
        </w:rPr>
      </w:pPr>
      <w:r w:rsidRPr="007803C6">
        <w:rPr>
          <w:color w:val="auto"/>
        </w:rPr>
        <w:t xml:space="preserve">After the data of each replicate </w:t>
      </w:r>
      <w:proofErr w:type="gramStart"/>
      <w:r w:rsidRPr="007803C6">
        <w:rPr>
          <w:color w:val="auto"/>
        </w:rPr>
        <w:t>were obtained</w:t>
      </w:r>
      <w:proofErr w:type="gramEnd"/>
      <w:r w:rsidRPr="007803C6">
        <w:rPr>
          <w:color w:val="auto"/>
        </w:rPr>
        <w:t>, the average number of colony-forming units (Log CFU/g) per treatment was calculated and turned into Log</w:t>
      </w:r>
      <w:r w:rsidRPr="007803C6">
        <w:rPr>
          <w:color w:val="auto"/>
          <w:vertAlign w:val="superscript"/>
        </w:rPr>
        <w:t>10</w:t>
      </w:r>
      <w:r w:rsidRPr="007803C6">
        <w:rPr>
          <w:color w:val="auto"/>
        </w:rPr>
        <w:t xml:space="preserve">. </w:t>
      </w:r>
    </w:p>
    <w:p w:rsidR="00A86A47" w:rsidRPr="007803C6" w:rsidRDefault="00A86A47" w:rsidP="00A86A47">
      <w:pPr>
        <w:pStyle w:val="ANMmaintext"/>
        <w:ind w:firstLine="567"/>
        <w:jc w:val="center"/>
        <w:rPr>
          <w:color w:val="auto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color w:val="auto"/>
            </w:rPr>
            <m:t xml:space="preserve">Log </m:t>
          </m:r>
          <m:r>
            <w:rPr>
              <w:rFonts w:ascii="Cambria Math" w:hAnsi="Cambria Math"/>
              <w:color w:val="auto"/>
            </w:rPr>
            <m:t>CFU/g=Numberofcolony-formingunits*Diluition</m:t>
          </m:r>
        </m:oMath>
      </m:oMathPara>
    </w:p>
    <w:p w:rsidR="00A86A47" w:rsidRPr="007803C6" w:rsidRDefault="00A86A47" w:rsidP="00A86A47">
      <w:pPr>
        <w:pStyle w:val="ANMmaintext"/>
        <w:rPr>
          <w:i/>
          <w:iCs/>
          <w:color w:val="auto"/>
        </w:rPr>
      </w:pPr>
      <w:r w:rsidRPr="007803C6">
        <w:rPr>
          <w:i/>
          <w:iCs/>
          <w:color w:val="auto"/>
        </w:rPr>
        <w:t>Gene expression analyses</w:t>
      </w:r>
    </w:p>
    <w:p w:rsidR="00A86A47" w:rsidRPr="007803C6" w:rsidRDefault="00A86A47" w:rsidP="00A86A47">
      <w:pPr>
        <w:pStyle w:val="ANMmaintext"/>
        <w:jc w:val="both"/>
        <w:rPr>
          <w:color w:val="auto"/>
        </w:rPr>
      </w:pPr>
      <w:r w:rsidRPr="007803C6">
        <w:rPr>
          <w:color w:val="auto"/>
        </w:rPr>
        <w:t xml:space="preserve">RNA </w:t>
      </w:r>
      <w:proofErr w:type="gramStart"/>
      <w:r w:rsidRPr="007803C6">
        <w:rPr>
          <w:color w:val="auto"/>
        </w:rPr>
        <w:t>was extracted</w:t>
      </w:r>
      <w:proofErr w:type="gramEnd"/>
      <w:r w:rsidRPr="007803C6">
        <w:rPr>
          <w:color w:val="auto"/>
        </w:rPr>
        <w:t xml:space="preserve"> using the </w:t>
      </w:r>
      <w:proofErr w:type="spellStart"/>
      <w:r w:rsidRPr="007803C6">
        <w:rPr>
          <w:color w:val="auto"/>
        </w:rPr>
        <w:t>Trizol</w:t>
      </w:r>
      <w:proofErr w:type="spellEnd"/>
      <w:r w:rsidRPr="007803C6">
        <w:rPr>
          <w:color w:val="auto"/>
          <w:vertAlign w:val="superscript"/>
        </w:rPr>
        <w:t>®</w:t>
      </w:r>
      <w:r w:rsidRPr="007803C6">
        <w:rPr>
          <w:color w:val="auto"/>
        </w:rPr>
        <w:t xml:space="preserve"> reagent (Invitrogen, Carlsbad CA, USA) according to the manufacturer instructions, in the proportion of 1.0 ml for every 100 mg of tissue. The tissue was ground with a </w:t>
      </w:r>
      <w:proofErr w:type="spellStart"/>
      <w:r w:rsidRPr="007803C6">
        <w:rPr>
          <w:color w:val="auto"/>
        </w:rPr>
        <w:t>Polytron</w:t>
      </w:r>
      <w:proofErr w:type="spellEnd"/>
      <w:r w:rsidRPr="007803C6">
        <w:rPr>
          <w:color w:val="auto"/>
        </w:rPr>
        <w:t xml:space="preserve"> electric homogenizer (tissue + </w:t>
      </w:r>
      <w:proofErr w:type="spellStart"/>
      <w:r w:rsidRPr="007803C6">
        <w:rPr>
          <w:color w:val="auto"/>
        </w:rPr>
        <w:t>Trizol</w:t>
      </w:r>
      <w:proofErr w:type="spellEnd"/>
      <w:r w:rsidRPr="007803C6">
        <w:rPr>
          <w:color w:val="auto"/>
        </w:rPr>
        <w:t xml:space="preserve">) until its complete dissociation. Next, 200 </w:t>
      </w:r>
      <w:r w:rsidRPr="007803C6">
        <w:rPr>
          <w:i/>
          <w:iCs/>
          <w:color w:val="auto"/>
          <w:lang w:val="es-ES_tradnl"/>
        </w:rPr>
        <w:t>μ</w:t>
      </w:r>
      <w:r w:rsidRPr="007803C6">
        <w:rPr>
          <w:color w:val="auto"/>
        </w:rPr>
        <w:t>l chloroform were added to the samples, which were manually homogenized for 1 min. Samples were then centrifuged for 15 min at 12</w:t>
      </w:r>
      <w:r w:rsidR="00076DBF" w:rsidRPr="007803C6">
        <w:rPr>
          <w:color w:val="auto"/>
        </w:rPr>
        <w:t xml:space="preserve"> </w:t>
      </w:r>
      <w:r w:rsidRPr="007803C6">
        <w:rPr>
          <w:color w:val="auto"/>
        </w:rPr>
        <w:t xml:space="preserve">000 g, at 4 ºC. The aqueous phase was collected and </w:t>
      </w:r>
      <w:r w:rsidRPr="007803C6">
        <w:rPr>
          <w:color w:val="auto"/>
        </w:rPr>
        <w:lastRenderedPageBreak/>
        <w:t xml:space="preserve">transferred to a sterile tube, followed by addition of </w:t>
      </w:r>
      <w:proofErr w:type="gramStart"/>
      <w:r w:rsidRPr="007803C6">
        <w:rPr>
          <w:color w:val="auto"/>
        </w:rPr>
        <w:t xml:space="preserve">500 </w:t>
      </w:r>
      <w:r w:rsidRPr="007803C6">
        <w:rPr>
          <w:i/>
          <w:iCs/>
          <w:color w:val="auto"/>
          <w:lang w:val="es-ES_tradnl"/>
        </w:rPr>
        <w:t>μ</w:t>
      </w:r>
      <w:r w:rsidRPr="007803C6">
        <w:rPr>
          <w:color w:val="auto"/>
        </w:rPr>
        <w:t>l</w:t>
      </w:r>
      <w:proofErr w:type="gramEnd"/>
      <w:r w:rsidRPr="007803C6">
        <w:rPr>
          <w:color w:val="auto"/>
        </w:rPr>
        <w:t xml:space="preserve"> isopropanol per tube. Tubes </w:t>
      </w:r>
      <w:proofErr w:type="gramStart"/>
      <w:r w:rsidRPr="007803C6">
        <w:rPr>
          <w:color w:val="auto"/>
        </w:rPr>
        <w:t>were then reserved</w:t>
      </w:r>
      <w:proofErr w:type="gramEnd"/>
      <w:r w:rsidRPr="007803C6">
        <w:rPr>
          <w:color w:val="auto"/>
        </w:rPr>
        <w:t xml:space="preserve"> at room temperature (25 ºC) for 10 min.</w:t>
      </w:r>
    </w:p>
    <w:p w:rsidR="00A86A47" w:rsidRPr="007803C6" w:rsidRDefault="00A86A47" w:rsidP="00A86A47">
      <w:pPr>
        <w:pStyle w:val="ANMmaintext"/>
        <w:ind w:firstLine="567"/>
        <w:jc w:val="both"/>
        <w:rPr>
          <w:color w:val="auto"/>
        </w:rPr>
      </w:pPr>
      <w:r w:rsidRPr="007803C6">
        <w:rPr>
          <w:color w:val="auto"/>
        </w:rPr>
        <w:t>Subsequently, samples were centrifuged for 10 min at 12</w:t>
      </w:r>
      <w:r w:rsidR="00076DBF" w:rsidRPr="007803C6">
        <w:rPr>
          <w:color w:val="auto"/>
        </w:rPr>
        <w:t xml:space="preserve"> </w:t>
      </w:r>
      <w:r w:rsidRPr="007803C6">
        <w:rPr>
          <w:color w:val="auto"/>
        </w:rPr>
        <w:t xml:space="preserve">000 g, at </w:t>
      </w:r>
      <w:proofErr w:type="gramStart"/>
      <w:r w:rsidRPr="007803C6">
        <w:rPr>
          <w:color w:val="auto"/>
        </w:rPr>
        <w:t>4</w:t>
      </w:r>
      <w:proofErr w:type="gramEnd"/>
      <w:r w:rsidRPr="007803C6">
        <w:rPr>
          <w:color w:val="auto"/>
        </w:rPr>
        <w:t xml:space="preserve"> ºC. The supernatant </w:t>
      </w:r>
      <w:proofErr w:type="gramStart"/>
      <w:r w:rsidRPr="007803C6">
        <w:rPr>
          <w:color w:val="auto"/>
        </w:rPr>
        <w:t>was discarded</w:t>
      </w:r>
      <w:proofErr w:type="gramEnd"/>
      <w:r w:rsidRPr="007803C6">
        <w:rPr>
          <w:color w:val="auto"/>
        </w:rPr>
        <w:t xml:space="preserve"> and the precipitate was washed with 1.0 ml 17% ethanol. The material was centrifuged once again at </w:t>
      </w:r>
      <w:proofErr w:type="gramStart"/>
      <w:r w:rsidRPr="007803C6">
        <w:rPr>
          <w:color w:val="auto"/>
        </w:rPr>
        <w:t>7</w:t>
      </w:r>
      <w:proofErr w:type="gramEnd"/>
      <w:r w:rsidR="00076DBF" w:rsidRPr="007803C6">
        <w:rPr>
          <w:color w:val="auto"/>
        </w:rPr>
        <w:t xml:space="preserve"> </w:t>
      </w:r>
      <w:r w:rsidRPr="007803C6">
        <w:rPr>
          <w:color w:val="auto"/>
        </w:rPr>
        <w:t xml:space="preserve">500 g for 5 min at 4 ºC and, immediately after centrifugation, the supernatant was discarded. Lastly, the pellet </w:t>
      </w:r>
      <w:proofErr w:type="gramStart"/>
      <w:r w:rsidRPr="007803C6">
        <w:rPr>
          <w:color w:val="auto"/>
        </w:rPr>
        <w:t xml:space="preserve">was dried for 15 min and then </w:t>
      </w:r>
      <w:proofErr w:type="spellStart"/>
      <w:r w:rsidRPr="007803C6">
        <w:rPr>
          <w:color w:val="auto"/>
        </w:rPr>
        <w:t>resuspended</w:t>
      </w:r>
      <w:proofErr w:type="spellEnd"/>
      <w:r w:rsidRPr="007803C6">
        <w:rPr>
          <w:color w:val="auto"/>
        </w:rPr>
        <w:t xml:space="preserve"> in RNase-free ultrapure water</w:t>
      </w:r>
      <w:proofErr w:type="gramEnd"/>
      <w:r w:rsidRPr="007803C6">
        <w:rPr>
          <w:color w:val="auto"/>
        </w:rPr>
        <w:t xml:space="preserve">. The total RNA concentration </w:t>
      </w:r>
      <w:proofErr w:type="gramStart"/>
      <w:r w:rsidRPr="007803C6">
        <w:rPr>
          <w:color w:val="auto"/>
        </w:rPr>
        <w:t>was measured</w:t>
      </w:r>
      <w:proofErr w:type="gramEnd"/>
      <w:r w:rsidRPr="007803C6">
        <w:rPr>
          <w:color w:val="auto"/>
        </w:rPr>
        <w:t xml:space="preserve"> using a spectrophotometer under the wavelength of 260 nm. </w:t>
      </w:r>
      <w:proofErr w:type="spellStart"/>
      <w:r w:rsidRPr="007803C6">
        <w:rPr>
          <w:color w:val="auto"/>
        </w:rPr>
        <w:t>GoScript</w:t>
      </w:r>
      <w:proofErr w:type="spellEnd"/>
      <w:r w:rsidRPr="007803C6">
        <w:rPr>
          <w:color w:val="auto"/>
        </w:rPr>
        <w:t>™ Reverse Transcription System (</w:t>
      </w:r>
      <w:proofErr w:type="spellStart"/>
      <w:r w:rsidRPr="007803C6">
        <w:rPr>
          <w:color w:val="auto"/>
        </w:rPr>
        <w:t>Promega</w:t>
      </w:r>
      <w:proofErr w:type="spellEnd"/>
      <w:r w:rsidRPr="007803C6">
        <w:rPr>
          <w:color w:val="auto"/>
        </w:rPr>
        <w:t xml:space="preserve"> Corporation, USA) </w:t>
      </w:r>
      <w:proofErr w:type="gramStart"/>
      <w:r w:rsidRPr="007803C6">
        <w:rPr>
          <w:color w:val="auto"/>
        </w:rPr>
        <w:t>was used</w:t>
      </w:r>
      <w:proofErr w:type="gramEnd"/>
      <w:r w:rsidRPr="007803C6">
        <w:rPr>
          <w:color w:val="auto"/>
        </w:rPr>
        <w:t xml:space="preserve"> to produce cDNA, following the manufacturer instructions. Four microliters of total RNA treated with </w:t>
      </w:r>
      <w:proofErr w:type="spellStart"/>
      <w:r w:rsidRPr="007803C6">
        <w:rPr>
          <w:color w:val="auto"/>
        </w:rPr>
        <w:t>DNAse</w:t>
      </w:r>
      <w:proofErr w:type="spellEnd"/>
      <w:r w:rsidRPr="007803C6">
        <w:rPr>
          <w:color w:val="auto"/>
        </w:rPr>
        <w:t xml:space="preserve"> and 1 </w:t>
      </w:r>
      <w:r w:rsidRPr="007803C6">
        <w:rPr>
          <w:i/>
          <w:iCs/>
          <w:color w:val="auto"/>
          <w:lang w:val="es-ES_tradnl"/>
        </w:rPr>
        <w:t>μ</w:t>
      </w:r>
      <w:r w:rsidRPr="007803C6">
        <w:rPr>
          <w:color w:val="auto"/>
        </w:rPr>
        <w:t xml:space="preserve">l </w:t>
      </w:r>
      <w:proofErr w:type="gramStart"/>
      <w:r w:rsidRPr="007803C6">
        <w:rPr>
          <w:color w:val="auto"/>
        </w:rPr>
        <w:t>Oligo(</w:t>
      </w:r>
      <w:proofErr w:type="spellStart"/>
      <w:proofErr w:type="gramEnd"/>
      <w:r w:rsidRPr="007803C6">
        <w:rPr>
          <w:color w:val="auto"/>
        </w:rPr>
        <w:t>dT</w:t>
      </w:r>
      <w:proofErr w:type="spellEnd"/>
      <w:r w:rsidRPr="007803C6">
        <w:rPr>
          <w:color w:val="auto"/>
        </w:rPr>
        <w:t xml:space="preserve">)15 Primer were added to a sterile RNA-free tube. The reaction was incubated in Thermal Cyclers (Bio-Rad Corporation, Brazil) for 5 min at 65 ºC and then for 2 min at 4 ºC. Next, 2 </w:t>
      </w:r>
      <w:r w:rsidRPr="007803C6">
        <w:rPr>
          <w:i/>
          <w:iCs/>
          <w:color w:val="auto"/>
        </w:rPr>
        <w:t>µ</w:t>
      </w:r>
      <w:r w:rsidRPr="007803C6">
        <w:rPr>
          <w:color w:val="auto"/>
        </w:rPr>
        <w:t xml:space="preserve">l </w:t>
      </w:r>
      <w:proofErr w:type="spellStart"/>
      <w:r w:rsidRPr="007803C6">
        <w:rPr>
          <w:color w:val="auto"/>
        </w:rPr>
        <w:t>GoScript</w:t>
      </w:r>
      <w:proofErr w:type="spellEnd"/>
      <w:r w:rsidRPr="007803C6">
        <w:rPr>
          <w:color w:val="auto"/>
        </w:rPr>
        <w:t xml:space="preserve">™ 5X Reaction Buffer, 1.4 </w:t>
      </w:r>
      <w:r w:rsidRPr="007803C6">
        <w:rPr>
          <w:i/>
          <w:iCs/>
          <w:color w:val="auto"/>
        </w:rPr>
        <w:t>µ</w:t>
      </w:r>
      <w:r w:rsidRPr="007803C6">
        <w:rPr>
          <w:color w:val="auto"/>
        </w:rPr>
        <w:t>l MgCl</w:t>
      </w:r>
      <w:r w:rsidRPr="007803C6">
        <w:rPr>
          <w:color w:val="auto"/>
          <w:vertAlign w:val="subscript"/>
        </w:rPr>
        <w:t>2</w:t>
      </w:r>
      <w:r w:rsidRPr="007803C6">
        <w:rPr>
          <w:color w:val="auto"/>
        </w:rPr>
        <w:t xml:space="preserve"> (25 </w:t>
      </w:r>
      <w:proofErr w:type="spellStart"/>
      <w:r w:rsidRPr="007803C6">
        <w:rPr>
          <w:color w:val="auto"/>
        </w:rPr>
        <w:t>mM</w:t>
      </w:r>
      <w:proofErr w:type="spellEnd"/>
      <w:r w:rsidRPr="007803C6">
        <w:rPr>
          <w:color w:val="auto"/>
        </w:rPr>
        <w:t xml:space="preserve">), 1 </w:t>
      </w:r>
      <w:r w:rsidRPr="007803C6">
        <w:rPr>
          <w:i/>
          <w:iCs/>
          <w:color w:val="auto"/>
          <w:lang w:val="es-ES_tradnl"/>
        </w:rPr>
        <w:t>μ</w:t>
      </w:r>
      <w:r w:rsidRPr="007803C6">
        <w:rPr>
          <w:color w:val="auto"/>
        </w:rPr>
        <w:t xml:space="preserve">l PCR Nucleotide Mix, 1 </w:t>
      </w:r>
      <w:r w:rsidRPr="007803C6">
        <w:rPr>
          <w:i/>
          <w:iCs/>
          <w:color w:val="auto"/>
        </w:rPr>
        <w:t>µ</w:t>
      </w:r>
      <w:r w:rsidRPr="007803C6">
        <w:rPr>
          <w:color w:val="auto"/>
        </w:rPr>
        <w:t xml:space="preserve">l </w:t>
      </w:r>
      <w:proofErr w:type="spellStart"/>
      <w:r w:rsidRPr="007803C6">
        <w:rPr>
          <w:color w:val="auto"/>
        </w:rPr>
        <w:t>GoScript</w:t>
      </w:r>
      <w:proofErr w:type="spellEnd"/>
      <w:r w:rsidRPr="007803C6">
        <w:rPr>
          <w:color w:val="auto"/>
        </w:rPr>
        <w:t xml:space="preserve">™ Reverse Transcriptase, and 5.6 </w:t>
      </w:r>
      <w:r w:rsidRPr="007803C6">
        <w:rPr>
          <w:i/>
          <w:iCs/>
          <w:color w:val="auto"/>
        </w:rPr>
        <w:t>µ</w:t>
      </w:r>
      <w:r w:rsidRPr="007803C6">
        <w:rPr>
          <w:color w:val="auto"/>
        </w:rPr>
        <w:t>l Nuclease-</w:t>
      </w:r>
      <w:proofErr w:type="spellStart"/>
      <w:r w:rsidRPr="007803C6">
        <w:rPr>
          <w:color w:val="auto"/>
        </w:rPr>
        <w:t>FreeWater</w:t>
      </w:r>
      <w:proofErr w:type="spellEnd"/>
      <w:r w:rsidRPr="007803C6">
        <w:rPr>
          <w:color w:val="auto"/>
        </w:rPr>
        <w:t xml:space="preserve"> </w:t>
      </w:r>
      <w:proofErr w:type="gramStart"/>
      <w:r w:rsidRPr="007803C6">
        <w:rPr>
          <w:color w:val="auto"/>
        </w:rPr>
        <w:t>were added</w:t>
      </w:r>
      <w:proofErr w:type="gramEnd"/>
      <w:r w:rsidRPr="007803C6">
        <w:rPr>
          <w:color w:val="auto"/>
        </w:rPr>
        <w:t xml:space="preserve">. The solution </w:t>
      </w:r>
      <w:proofErr w:type="gramStart"/>
      <w:r w:rsidRPr="007803C6">
        <w:rPr>
          <w:color w:val="auto"/>
        </w:rPr>
        <w:t>was incubated</w:t>
      </w:r>
      <w:proofErr w:type="gramEnd"/>
      <w:r w:rsidRPr="007803C6">
        <w:rPr>
          <w:color w:val="auto"/>
        </w:rPr>
        <w:t xml:space="preserve"> in Thermal Cyclers (Bio-Rad Corporation, Brazil) for 30 min at 37 ºC, then 5 min at 95 ºC, and, lastly, 10 min at 4 ºC.</w:t>
      </w:r>
    </w:p>
    <w:p w:rsidR="00A86A47" w:rsidRPr="007803C6" w:rsidRDefault="00A86A47" w:rsidP="00A86A47">
      <w:pPr>
        <w:pStyle w:val="ANMmaintext"/>
        <w:ind w:firstLine="720"/>
        <w:jc w:val="both"/>
        <w:rPr>
          <w:color w:val="auto"/>
        </w:rPr>
      </w:pPr>
      <w:r w:rsidRPr="007803C6">
        <w:rPr>
          <w:color w:val="auto"/>
        </w:rPr>
        <w:t>For the real-time PCR reactions, the fluorescent dye SYBR GREEN (SYBR</w:t>
      </w:r>
      <w:r w:rsidRPr="007803C6">
        <w:rPr>
          <w:color w:val="auto"/>
          <w:vertAlign w:val="superscript"/>
        </w:rPr>
        <w:t>®</w:t>
      </w:r>
      <w:r w:rsidRPr="007803C6">
        <w:rPr>
          <w:color w:val="auto"/>
        </w:rPr>
        <w:t xml:space="preserve"> GREEN PCR Master Mix, Applied </w:t>
      </w:r>
      <w:proofErr w:type="spellStart"/>
      <w:r w:rsidRPr="007803C6">
        <w:rPr>
          <w:color w:val="auto"/>
        </w:rPr>
        <w:t>Biosystems</w:t>
      </w:r>
      <w:proofErr w:type="spellEnd"/>
      <w:r w:rsidRPr="007803C6">
        <w:rPr>
          <w:color w:val="auto"/>
        </w:rPr>
        <w:t xml:space="preserve">, </w:t>
      </w:r>
      <w:proofErr w:type="gramStart"/>
      <w:r w:rsidRPr="007803C6">
        <w:rPr>
          <w:color w:val="auto"/>
        </w:rPr>
        <w:t>USA</w:t>
      </w:r>
      <w:proofErr w:type="gramEnd"/>
      <w:r w:rsidRPr="007803C6">
        <w:rPr>
          <w:color w:val="auto"/>
        </w:rPr>
        <w:t xml:space="preserve">) was used. Real-time PCR analyses </w:t>
      </w:r>
      <w:proofErr w:type="gramStart"/>
      <w:r w:rsidRPr="007803C6">
        <w:rPr>
          <w:color w:val="auto"/>
        </w:rPr>
        <w:t>were carried out</w:t>
      </w:r>
      <w:proofErr w:type="gramEnd"/>
      <w:r w:rsidRPr="007803C6">
        <w:rPr>
          <w:color w:val="auto"/>
        </w:rPr>
        <w:t xml:space="preserve"> in a CFX96™ IVD Real-Time PCR apparatus (Bio-Rad Laboratories, USA). The amplification reaction consisted of </w:t>
      </w:r>
      <w:proofErr w:type="gramStart"/>
      <w:r w:rsidRPr="007803C6">
        <w:rPr>
          <w:color w:val="auto"/>
        </w:rPr>
        <w:t>5</w:t>
      </w:r>
      <w:proofErr w:type="gramEnd"/>
      <w:r w:rsidRPr="007803C6">
        <w:rPr>
          <w:color w:val="auto"/>
        </w:rPr>
        <w:t xml:space="preserve"> </w:t>
      </w:r>
      <w:r w:rsidRPr="007803C6">
        <w:rPr>
          <w:i/>
          <w:iCs/>
          <w:color w:val="auto"/>
        </w:rPr>
        <w:t>µ</w:t>
      </w:r>
      <w:r w:rsidRPr="007803C6">
        <w:rPr>
          <w:color w:val="auto"/>
        </w:rPr>
        <w:t xml:space="preserve">l diluted cDNA, 0.5 </w:t>
      </w:r>
      <w:r w:rsidRPr="007803C6">
        <w:rPr>
          <w:i/>
          <w:iCs/>
          <w:color w:val="auto"/>
        </w:rPr>
        <w:t>µ</w:t>
      </w:r>
      <w:r w:rsidRPr="007803C6">
        <w:rPr>
          <w:color w:val="auto"/>
        </w:rPr>
        <w:t xml:space="preserve">l of each primer (forward and reverse) at 10 </w:t>
      </w:r>
      <w:r w:rsidRPr="007803C6">
        <w:rPr>
          <w:i/>
          <w:iCs/>
          <w:color w:val="auto"/>
        </w:rPr>
        <w:t>µ</w:t>
      </w:r>
      <w:r w:rsidRPr="007803C6">
        <w:rPr>
          <w:color w:val="auto"/>
        </w:rPr>
        <w:t xml:space="preserve">M, 12.5 </w:t>
      </w:r>
      <w:r w:rsidRPr="007803C6">
        <w:rPr>
          <w:i/>
          <w:iCs/>
          <w:color w:val="auto"/>
        </w:rPr>
        <w:t>µ</w:t>
      </w:r>
      <w:r w:rsidRPr="007803C6">
        <w:rPr>
          <w:color w:val="auto"/>
        </w:rPr>
        <w:t>l SYBR</w:t>
      </w:r>
      <w:r w:rsidRPr="007803C6">
        <w:rPr>
          <w:color w:val="auto"/>
          <w:vertAlign w:val="superscript"/>
        </w:rPr>
        <w:t>®</w:t>
      </w:r>
      <w:r w:rsidRPr="007803C6">
        <w:rPr>
          <w:color w:val="auto"/>
        </w:rPr>
        <w:t xml:space="preserve"> GREEN PCR Master Mix, and water up to a total volume of 25 </w:t>
      </w:r>
      <w:r w:rsidRPr="007803C6">
        <w:rPr>
          <w:i/>
          <w:iCs/>
          <w:color w:val="auto"/>
        </w:rPr>
        <w:t>µ</w:t>
      </w:r>
      <w:r w:rsidRPr="007803C6">
        <w:rPr>
          <w:color w:val="auto"/>
        </w:rPr>
        <w:t>l. To measure each gene reaction efficiency, a series of 25-</w:t>
      </w:r>
      <w:r w:rsidRPr="007803C6">
        <w:rPr>
          <w:i/>
          <w:iCs/>
          <w:color w:val="auto"/>
        </w:rPr>
        <w:t>µ</w:t>
      </w:r>
      <w:r w:rsidRPr="007803C6">
        <w:rPr>
          <w:color w:val="auto"/>
        </w:rPr>
        <w:t xml:space="preserve">l dilutions were performed similarly to the previous one, always using </w:t>
      </w:r>
      <w:proofErr w:type="gramStart"/>
      <w:r w:rsidRPr="007803C6">
        <w:rPr>
          <w:color w:val="auto"/>
        </w:rPr>
        <w:t>5</w:t>
      </w:r>
      <w:proofErr w:type="gramEnd"/>
      <w:r w:rsidRPr="007803C6">
        <w:rPr>
          <w:color w:val="auto"/>
        </w:rPr>
        <w:t xml:space="preserve"> </w:t>
      </w:r>
      <w:r w:rsidRPr="007803C6">
        <w:rPr>
          <w:i/>
          <w:iCs/>
          <w:color w:val="auto"/>
        </w:rPr>
        <w:t>µ</w:t>
      </w:r>
      <w:r w:rsidRPr="007803C6">
        <w:rPr>
          <w:color w:val="auto"/>
        </w:rPr>
        <w:t xml:space="preserve">l of cDNA pool derived from a serial dilution (80, 40, 20, and 10 ng). </w:t>
      </w:r>
      <w:r w:rsidRPr="007803C6">
        <w:rPr>
          <w:color w:val="auto"/>
        </w:rPr>
        <w:lastRenderedPageBreak/>
        <w:t>The primers used in the amplification reactions of sodium-glucose transporter 1 (</w:t>
      </w:r>
      <w:r w:rsidRPr="007803C6">
        <w:rPr>
          <w:i/>
          <w:iCs/>
          <w:color w:val="auto"/>
        </w:rPr>
        <w:t>SGLT1</w:t>
      </w:r>
      <w:r w:rsidRPr="007803C6">
        <w:rPr>
          <w:color w:val="auto"/>
        </w:rPr>
        <w:t>), glucose transporter 2 (</w:t>
      </w:r>
      <w:r w:rsidRPr="007803C6">
        <w:rPr>
          <w:i/>
          <w:color w:val="auto"/>
        </w:rPr>
        <w:t>GLUT2</w:t>
      </w:r>
      <w:r w:rsidRPr="007803C6">
        <w:rPr>
          <w:color w:val="auto"/>
        </w:rPr>
        <w:t>), glutathione peroxidase (</w:t>
      </w:r>
      <w:r w:rsidRPr="007803C6">
        <w:rPr>
          <w:i/>
          <w:iCs/>
          <w:color w:val="auto"/>
        </w:rPr>
        <w:t>GPX</w:t>
      </w:r>
      <w:r w:rsidRPr="007803C6">
        <w:rPr>
          <w:i/>
          <w:color w:val="auto"/>
        </w:rPr>
        <w:t>)</w:t>
      </w:r>
      <w:r w:rsidRPr="007803C6">
        <w:rPr>
          <w:color w:val="auto"/>
        </w:rPr>
        <w:t>, and catalase (</w:t>
      </w:r>
      <w:r w:rsidRPr="007803C6">
        <w:rPr>
          <w:i/>
          <w:iCs/>
          <w:color w:val="auto"/>
        </w:rPr>
        <w:t>CAT</w:t>
      </w:r>
      <w:r w:rsidRPr="007803C6">
        <w:rPr>
          <w:color w:val="auto"/>
        </w:rPr>
        <w:t xml:space="preserve">) were designed according to the sequences of their respective genes and deposited on the website www.ncbi.nlm.nih.gov (access codes NM_205064.1, NM_001163245.1, XM_015863594.1, and NM_204267.1) (Supplementary Table S1). The </w:t>
      </w:r>
      <w:r w:rsidRPr="007803C6">
        <w:rPr>
          <w:i/>
          <w:iCs/>
          <w:color w:val="auto"/>
        </w:rPr>
        <w:t xml:space="preserve">ß-actin </w:t>
      </w:r>
      <w:r w:rsidRPr="007803C6">
        <w:rPr>
          <w:color w:val="auto"/>
        </w:rPr>
        <w:t xml:space="preserve">gene (access codeL08165) </w:t>
      </w:r>
      <w:proofErr w:type="gramStart"/>
      <w:r w:rsidRPr="007803C6">
        <w:rPr>
          <w:color w:val="auto"/>
        </w:rPr>
        <w:t>was used</w:t>
      </w:r>
      <w:proofErr w:type="gramEnd"/>
      <w:r w:rsidRPr="007803C6">
        <w:rPr>
          <w:color w:val="auto"/>
        </w:rPr>
        <w:t xml:space="preserve"> as an endogenous reference gene. All analyses </w:t>
      </w:r>
      <w:proofErr w:type="gramStart"/>
      <w:r w:rsidRPr="007803C6">
        <w:rPr>
          <w:color w:val="auto"/>
        </w:rPr>
        <w:t>were performed</w:t>
      </w:r>
      <w:proofErr w:type="gramEnd"/>
      <w:r w:rsidRPr="007803C6">
        <w:rPr>
          <w:color w:val="auto"/>
        </w:rPr>
        <w:t xml:space="preserve"> in a volume of 25 </w:t>
      </w:r>
      <w:r w:rsidRPr="007803C6">
        <w:rPr>
          <w:i/>
          <w:iCs/>
          <w:color w:val="auto"/>
        </w:rPr>
        <w:t>µ</w:t>
      </w:r>
      <w:r w:rsidRPr="007803C6">
        <w:rPr>
          <w:color w:val="auto"/>
        </w:rPr>
        <w:t>l and in duplicates.</w:t>
      </w:r>
    </w:p>
    <w:p w:rsidR="00316549" w:rsidRPr="007803C6" w:rsidRDefault="00316549">
      <w:pPr>
        <w:rPr>
          <w:rFonts w:ascii="Arial" w:hAnsi="Arial" w:cs="Arial Unicode MS"/>
          <w:b/>
          <w:bCs/>
          <w:iCs/>
          <w:u w:color="000000"/>
          <w:lang w:eastAsia="pt-BR"/>
        </w:rPr>
      </w:pPr>
      <w:r w:rsidRPr="007803C6">
        <w:rPr>
          <w:b/>
          <w:bCs/>
          <w:i/>
        </w:rPr>
        <w:br w:type="page"/>
      </w:r>
    </w:p>
    <w:p w:rsidR="003B545D" w:rsidRPr="007803C6" w:rsidRDefault="00BC250C">
      <w:pPr>
        <w:pStyle w:val="ANMTabtitle"/>
        <w:rPr>
          <w:color w:val="auto"/>
        </w:rPr>
      </w:pPr>
      <w:r w:rsidRPr="007803C6">
        <w:rPr>
          <w:b/>
          <w:bCs/>
          <w:i w:val="0"/>
          <w:color w:val="auto"/>
        </w:rPr>
        <w:lastRenderedPageBreak/>
        <w:t>Supplementary Table S1</w:t>
      </w:r>
      <w:r w:rsidRPr="007803C6">
        <w:rPr>
          <w:b/>
          <w:bCs/>
          <w:i w:val="0"/>
          <w:iCs w:val="0"/>
          <w:color w:val="auto"/>
        </w:rPr>
        <w:t>-</w:t>
      </w:r>
      <w:r w:rsidRPr="007803C6">
        <w:rPr>
          <w:color w:val="auto"/>
        </w:rPr>
        <w:t xml:space="preserve">Primers for </w:t>
      </w:r>
      <w:proofErr w:type="spellStart"/>
      <w:r w:rsidRPr="007803C6">
        <w:rPr>
          <w:color w:val="auto"/>
        </w:rPr>
        <w:t>qRT</w:t>
      </w:r>
      <w:proofErr w:type="spellEnd"/>
      <w:r w:rsidRPr="007803C6">
        <w:rPr>
          <w:color w:val="auto"/>
        </w:rPr>
        <w:t>-PCR</w:t>
      </w:r>
      <w:r w:rsidR="0036692F" w:rsidRPr="007803C6">
        <w:rPr>
          <w:rFonts w:cs="Arial"/>
          <w:b/>
          <w:bCs/>
          <w:color w:val="auto"/>
        </w:rPr>
        <w:t xml:space="preserve"> </w:t>
      </w:r>
      <w:r w:rsidR="0036692F" w:rsidRPr="007803C6">
        <w:rPr>
          <w:rFonts w:cs="Arial"/>
          <w:i w:val="0"/>
          <w:color w:val="auto"/>
        </w:rPr>
        <w:t>used in the amplification reactions</w:t>
      </w:r>
      <w:r w:rsidR="0036692F" w:rsidRPr="007803C6">
        <w:rPr>
          <w:rFonts w:cs="Arial"/>
          <w:bCs/>
          <w:i w:val="0"/>
          <w:color w:val="auto"/>
        </w:rPr>
        <w:t xml:space="preserve"> in the intestinal tissue of Japanese quail</w:t>
      </w:r>
    </w:p>
    <w:tbl>
      <w:tblPr>
        <w:tblStyle w:val="TableNormal"/>
        <w:tblW w:w="87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30"/>
        <w:gridCol w:w="1962"/>
        <w:gridCol w:w="1256"/>
        <w:gridCol w:w="4291"/>
      </w:tblGrid>
      <w:tr w:rsidR="007803C6" w:rsidRPr="007803C6">
        <w:trPr>
          <w:trHeight w:val="253"/>
        </w:trPr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 xml:space="preserve">Gene 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Amplicon [</w:t>
            </w:r>
            <w:proofErr w:type="spellStart"/>
            <w:r w:rsidRPr="007803C6">
              <w:rPr>
                <w:color w:val="auto"/>
                <w:sz w:val="22"/>
                <w:szCs w:val="22"/>
                <w:lang w:val="en-US"/>
              </w:rPr>
              <w:t>Bp</w:t>
            </w:r>
            <w:proofErr w:type="spellEnd"/>
            <w:r w:rsidRPr="007803C6">
              <w:rPr>
                <w:color w:val="auto"/>
                <w:sz w:val="22"/>
                <w:szCs w:val="22"/>
                <w:lang w:val="en-US"/>
              </w:rPr>
              <w:t>]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AT [°C]</w:t>
            </w:r>
          </w:p>
        </w:tc>
        <w:tc>
          <w:tcPr>
            <w:tcW w:w="42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 xml:space="preserve"> Primer sequence (5’-3’) ¹</w:t>
            </w:r>
          </w:p>
        </w:tc>
      </w:tr>
      <w:tr w:rsidR="007803C6" w:rsidRPr="007803C6">
        <w:trPr>
          <w:trHeight w:val="243"/>
        </w:trPr>
        <w:tc>
          <w:tcPr>
            <w:tcW w:w="123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45D" w:rsidRPr="007803C6" w:rsidRDefault="00BC250C">
            <w:pPr>
              <w:pStyle w:val="Corpo"/>
              <w:spacing w:line="360" w:lineRule="auto"/>
              <w:rPr>
                <w:i/>
                <w:color w:val="auto"/>
              </w:rPr>
            </w:pPr>
            <w:r w:rsidRPr="007803C6">
              <w:rPr>
                <w:i/>
                <w:color w:val="auto"/>
                <w:sz w:val="22"/>
                <w:szCs w:val="22"/>
                <w:lang w:val="en-US"/>
              </w:rPr>
              <w:t>SGLT1</w:t>
            </w:r>
            <w:r w:rsidRPr="007803C6">
              <w:rPr>
                <w:i/>
                <w:color w:val="auto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96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160</w:t>
            </w:r>
          </w:p>
        </w:tc>
        <w:tc>
          <w:tcPr>
            <w:tcW w:w="125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60</w:t>
            </w:r>
          </w:p>
        </w:tc>
        <w:tc>
          <w:tcPr>
            <w:tcW w:w="42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 xml:space="preserve">GCCATGGCCAGGGCTTA </w:t>
            </w:r>
          </w:p>
        </w:tc>
      </w:tr>
      <w:tr w:rsidR="007803C6" w:rsidRPr="007803C6">
        <w:trPr>
          <w:trHeight w:val="243"/>
        </w:trPr>
        <w:tc>
          <w:tcPr>
            <w:tcW w:w="1230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545D" w:rsidRPr="007803C6" w:rsidRDefault="003B545D">
            <w:pPr>
              <w:rPr>
                <w:i/>
              </w:rPr>
            </w:pPr>
          </w:p>
        </w:tc>
        <w:tc>
          <w:tcPr>
            <w:tcW w:w="196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545D" w:rsidRPr="007803C6" w:rsidRDefault="003B545D"/>
        </w:tc>
        <w:tc>
          <w:tcPr>
            <w:tcW w:w="125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545D" w:rsidRPr="007803C6" w:rsidRDefault="003B545D"/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CAATAACCTGATCTGTGCACCAGTA</w:t>
            </w:r>
          </w:p>
        </w:tc>
      </w:tr>
      <w:tr w:rsidR="007803C6" w:rsidRPr="007803C6">
        <w:trPr>
          <w:trHeight w:val="243"/>
        </w:trPr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45D" w:rsidRPr="007803C6" w:rsidRDefault="00BC250C">
            <w:pPr>
              <w:pStyle w:val="Corpo"/>
              <w:spacing w:line="360" w:lineRule="auto"/>
              <w:rPr>
                <w:i/>
                <w:color w:val="auto"/>
              </w:rPr>
            </w:pPr>
            <w:r w:rsidRPr="007803C6">
              <w:rPr>
                <w:i/>
                <w:color w:val="auto"/>
                <w:sz w:val="22"/>
                <w:szCs w:val="22"/>
                <w:lang w:val="en-US"/>
              </w:rPr>
              <w:t>GLUT2</w:t>
            </w:r>
            <w:r w:rsidR="008D68ED" w:rsidRPr="007803C6">
              <w:rPr>
                <w:i/>
                <w:color w:val="auto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1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180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60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 xml:space="preserve">CGCAGAAGGTGATAGAAGC </w:t>
            </w:r>
          </w:p>
        </w:tc>
      </w:tr>
      <w:tr w:rsidR="007803C6" w:rsidRPr="007803C6">
        <w:trPr>
          <w:trHeight w:val="243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45D" w:rsidRPr="007803C6" w:rsidRDefault="003B545D">
            <w:pPr>
              <w:rPr>
                <w:i/>
              </w:rPr>
            </w:pPr>
          </w:p>
        </w:tc>
        <w:tc>
          <w:tcPr>
            <w:tcW w:w="19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45D" w:rsidRPr="007803C6" w:rsidRDefault="003B545D"/>
        </w:tc>
        <w:tc>
          <w:tcPr>
            <w:tcW w:w="12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45D" w:rsidRPr="007803C6" w:rsidRDefault="003B545D"/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ACACAGTGGGGTCCTCAAAG</w:t>
            </w:r>
          </w:p>
        </w:tc>
      </w:tr>
      <w:tr w:rsidR="007803C6" w:rsidRPr="007803C6">
        <w:trPr>
          <w:trHeight w:val="243"/>
        </w:trPr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45D" w:rsidRPr="007803C6" w:rsidRDefault="00BC250C">
            <w:pPr>
              <w:pStyle w:val="Corpo"/>
              <w:spacing w:line="360" w:lineRule="auto"/>
              <w:rPr>
                <w:i/>
                <w:color w:val="auto"/>
              </w:rPr>
            </w:pPr>
            <w:r w:rsidRPr="007803C6">
              <w:rPr>
                <w:i/>
                <w:color w:val="auto"/>
                <w:sz w:val="22"/>
                <w:szCs w:val="22"/>
                <w:lang w:val="en-US"/>
              </w:rPr>
              <w:t>GPX7</w:t>
            </w:r>
            <w:r w:rsidR="008D68ED" w:rsidRPr="007803C6">
              <w:rPr>
                <w:i/>
                <w:color w:val="auto"/>
                <w:sz w:val="22"/>
                <w:szCs w:val="22"/>
                <w:vertAlign w:val="superscript"/>
                <w:lang w:val="en-US"/>
              </w:rPr>
              <w:t>4</w:t>
            </w:r>
          </w:p>
        </w:tc>
        <w:tc>
          <w:tcPr>
            <w:tcW w:w="1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140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60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TTGTAAACATCAGGGGCAAA</w:t>
            </w:r>
          </w:p>
        </w:tc>
      </w:tr>
      <w:tr w:rsidR="007803C6" w:rsidRPr="007803C6">
        <w:trPr>
          <w:trHeight w:val="243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45D" w:rsidRPr="007803C6" w:rsidRDefault="003B545D">
            <w:pPr>
              <w:rPr>
                <w:i/>
              </w:rPr>
            </w:pPr>
          </w:p>
        </w:tc>
        <w:tc>
          <w:tcPr>
            <w:tcW w:w="19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45D" w:rsidRPr="007803C6" w:rsidRDefault="003B545D"/>
        </w:tc>
        <w:tc>
          <w:tcPr>
            <w:tcW w:w="12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45D" w:rsidRPr="007803C6" w:rsidRDefault="003B545D"/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TGGGCCAAGATCTTTCTGTAA</w:t>
            </w:r>
          </w:p>
        </w:tc>
      </w:tr>
      <w:tr w:rsidR="007803C6" w:rsidRPr="007803C6">
        <w:trPr>
          <w:trHeight w:val="243"/>
        </w:trPr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45D" w:rsidRPr="007803C6" w:rsidRDefault="00BC250C">
            <w:pPr>
              <w:pStyle w:val="Corpo"/>
              <w:spacing w:line="360" w:lineRule="auto"/>
              <w:rPr>
                <w:i/>
                <w:color w:val="auto"/>
              </w:rPr>
            </w:pPr>
            <w:r w:rsidRPr="007803C6">
              <w:rPr>
                <w:i/>
                <w:color w:val="auto"/>
                <w:sz w:val="22"/>
                <w:szCs w:val="22"/>
                <w:lang w:val="en-US"/>
              </w:rPr>
              <w:t>CAT</w:t>
            </w:r>
            <w:r w:rsidR="008D68ED" w:rsidRPr="007803C6">
              <w:rPr>
                <w:i/>
                <w:color w:val="auto"/>
                <w:sz w:val="22"/>
                <w:szCs w:val="22"/>
                <w:vertAlign w:val="superscript"/>
                <w:lang w:val="en-US"/>
              </w:rPr>
              <w:t>5</w:t>
            </w:r>
          </w:p>
        </w:tc>
        <w:tc>
          <w:tcPr>
            <w:tcW w:w="1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76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60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TTGGGTTGGCTCGTTGAGG</w:t>
            </w:r>
          </w:p>
        </w:tc>
      </w:tr>
      <w:tr w:rsidR="007803C6" w:rsidRPr="007803C6">
        <w:trPr>
          <w:trHeight w:val="243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45D" w:rsidRPr="007803C6" w:rsidRDefault="003B545D"/>
        </w:tc>
        <w:tc>
          <w:tcPr>
            <w:tcW w:w="19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45D" w:rsidRPr="007803C6" w:rsidRDefault="003B545D"/>
        </w:tc>
        <w:tc>
          <w:tcPr>
            <w:tcW w:w="12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45D" w:rsidRPr="007803C6" w:rsidRDefault="003B545D"/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CGGAGCTACAGAAGCACGAT</w:t>
            </w:r>
          </w:p>
        </w:tc>
      </w:tr>
      <w:tr w:rsidR="007803C6" w:rsidRPr="007803C6">
        <w:trPr>
          <w:trHeight w:val="243"/>
        </w:trPr>
        <w:tc>
          <w:tcPr>
            <w:tcW w:w="12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45D" w:rsidRPr="007803C6" w:rsidRDefault="00BC250C" w:rsidP="004C3E15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i/>
                <w:iCs/>
                <w:color w:val="auto"/>
                <w:sz w:val="22"/>
                <w:szCs w:val="22"/>
                <w:lang w:val="en-US"/>
              </w:rPr>
              <w:t>β-</w:t>
            </w:r>
            <w:proofErr w:type="spellStart"/>
            <w:r w:rsidRPr="007803C6">
              <w:rPr>
                <w:i/>
                <w:iCs/>
                <w:color w:val="auto"/>
                <w:sz w:val="22"/>
                <w:szCs w:val="22"/>
                <w:lang w:val="en-US"/>
              </w:rPr>
              <w:t>actin</w:t>
            </w:r>
            <w:r w:rsidR="004C3E15" w:rsidRPr="007803C6">
              <w:rPr>
                <w:i/>
                <w:iCs/>
                <w:color w:val="auto"/>
                <w:sz w:val="22"/>
                <w:szCs w:val="22"/>
                <w:lang w:val="en-US"/>
              </w:rPr>
              <w:t>e</w:t>
            </w:r>
            <w:proofErr w:type="spellEnd"/>
          </w:p>
        </w:tc>
        <w:tc>
          <w:tcPr>
            <w:tcW w:w="19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136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60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ACCCCAAAGCCAACAGA</w:t>
            </w:r>
          </w:p>
        </w:tc>
      </w:tr>
      <w:tr w:rsidR="007803C6" w:rsidRPr="007803C6">
        <w:trPr>
          <w:trHeight w:val="238"/>
        </w:trPr>
        <w:tc>
          <w:tcPr>
            <w:tcW w:w="12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B545D" w:rsidRPr="007803C6" w:rsidRDefault="003B545D"/>
        </w:tc>
        <w:tc>
          <w:tcPr>
            <w:tcW w:w="19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B545D" w:rsidRPr="007803C6" w:rsidRDefault="003B545D"/>
        </w:tc>
        <w:tc>
          <w:tcPr>
            <w:tcW w:w="12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B545D" w:rsidRPr="007803C6" w:rsidRDefault="003B545D"/>
        </w:tc>
        <w:tc>
          <w:tcPr>
            <w:tcW w:w="4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B545D" w:rsidRPr="007803C6" w:rsidRDefault="00BC250C">
            <w:pPr>
              <w:pStyle w:val="Corpo"/>
              <w:spacing w:line="360" w:lineRule="auto"/>
              <w:rPr>
                <w:color w:val="auto"/>
              </w:rPr>
            </w:pPr>
            <w:r w:rsidRPr="007803C6">
              <w:rPr>
                <w:color w:val="auto"/>
                <w:sz w:val="22"/>
                <w:szCs w:val="22"/>
                <w:lang w:val="en-US"/>
              </w:rPr>
              <w:t>CCAGAGTCCATCACAATACC</w:t>
            </w:r>
          </w:p>
        </w:tc>
      </w:tr>
    </w:tbl>
    <w:p w:rsidR="003B545D" w:rsidRPr="007803C6" w:rsidRDefault="00BC250C" w:rsidP="00C94EE0">
      <w:pPr>
        <w:pStyle w:val="ANMmaintext"/>
        <w:spacing w:line="360" w:lineRule="auto"/>
        <w:jc w:val="both"/>
        <w:rPr>
          <w:color w:val="auto"/>
          <w:sz w:val="20"/>
          <w:szCs w:val="20"/>
        </w:rPr>
      </w:pPr>
      <w:r w:rsidRPr="007803C6">
        <w:rPr>
          <w:color w:val="auto"/>
          <w:sz w:val="20"/>
          <w:szCs w:val="20"/>
          <w:vertAlign w:val="superscript"/>
        </w:rPr>
        <w:t>1</w:t>
      </w:r>
      <w:r w:rsidRPr="007803C6">
        <w:rPr>
          <w:color w:val="auto"/>
          <w:sz w:val="20"/>
          <w:szCs w:val="20"/>
        </w:rPr>
        <w:t xml:space="preserve">Bp, base pair; AT, annealing temperature; </w:t>
      </w:r>
      <w:r w:rsidRPr="007803C6">
        <w:rPr>
          <w:color w:val="auto"/>
          <w:sz w:val="20"/>
          <w:szCs w:val="20"/>
          <w:vertAlign w:val="superscript"/>
        </w:rPr>
        <w:t>2</w:t>
      </w:r>
      <w:r w:rsidRPr="007803C6">
        <w:rPr>
          <w:i/>
          <w:color w:val="auto"/>
          <w:sz w:val="20"/>
          <w:szCs w:val="20"/>
        </w:rPr>
        <w:t>SGLT1</w:t>
      </w:r>
      <w:r w:rsidRPr="007803C6">
        <w:rPr>
          <w:color w:val="auto"/>
          <w:sz w:val="20"/>
          <w:szCs w:val="20"/>
        </w:rPr>
        <w:t xml:space="preserve">, sodium-glucose cotransporter 1; </w:t>
      </w:r>
      <w:r w:rsidR="008D68ED" w:rsidRPr="007803C6">
        <w:rPr>
          <w:color w:val="auto"/>
          <w:sz w:val="22"/>
          <w:szCs w:val="22"/>
          <w:vertAlign w:val="superscript"/>
        </w:rPr>
        <w:t>3</w:t>
      </w:r>
      <w:r w:rsidRPr="007803C6">
        <w:rPr>
          <w:i/>
          <w:color w:val="auto"/>
          <w:sz w:val="20"/>
          <w:szCs w:val="20"/>
        </w:rPr>
        <w:t>GLUT2</w:t>
      </w:r>
      <w:r w:rsidRPr="007803C6">
        <w:rPr>
          <w:color w:val="auto"/>
          <w:sz w:val="20"/>
          <w:szCs w:val="20"/>
        </w:rPr>
        <w:t xml:space="preserve">, glucose transporter 2; </w:t>
      </w:r>
      <w:r w:rsidR="008D68ED" w:rsidRPr="007803C6">
        <w:rPr>
          <w:color w:val="auto"/>
          <w:sz w:val="22"/>
          <w:szCs w:val="22"/>
          <w:vertAlign w:val="superscript"/>
        </w:rPr>
        <w:t>4</w:t>
      </w:r>
      <w:r w:rsidRPr="007803C6">
        <w:rPr>
          <w:i/>
          <w:color w:val="auto"/>
          <w:sz w:val="20"/>
          <w:szCs w:val="20"/>
        </w:rPr>
        <w:t>GPX7</w:t>
      </w:r>
      <w:r w:rsidRPr="007803C6">
        <w:rPr>
          <w:color w:val="auto"/>
          <w:sz w:val="20"/>
          <w:szCs w:val="20"/>
        </w:rPr>
        <w:t xml:space="preserve">, glutathione peroxidase 7; </w:t>
      </w:r>
      <w:r w:rsidR="008D68ED" w:rsidRPr="007803C6">
        <w:rPr>
          <w:color w:val="auto"/>
          <w:sz w:val="22"/>
          <w:szCs w:val="22"/>
          <w:vertAlign w:val="superscript"/>
        </w:rPr>
        <w:t>5</w:t>
      </w:r>
      <w:r w:rsidRPr="007803C6">
        <w:rPr>
          <w:i/>
          <w:color w:val="auto"/>
          <w:sz w:val="20"/>
          <w:szCs w:val="20"/>
        </w:rPr>
        <w:t>CAT</w:t>
      </w:r>
      <w:r w:rsidRPr="007803C6">
        <w:rPr>
          <w:color w:val="auto"/>
          <w:sz w:val="20"/>
          <w:szCs w:val="20"/>
        </w:rPr>
        <w:t>, catalase.</w:t>
      </w:r>
    </w:p>
    <w:p w:rsidR="003B545D" w:rsidRPr="007803C6" w:rsidRDefault="003B545D">
      <w:pPr>
        <w:pStyle w:val="ANMmaintext"/>
        <w:spacing w:line="240" w:lineRule="auto"/>
        <w:jc w:val="both"/>
        <w:rPr>
          <w:color w:val="auto"/>
          <w:sz w:val="20"/>
          <w:szCs w:val="20"/>
        </w:rPr>
      </w:pPr>
    </w:p>
    <w:p w:rsidR="003B545D" w:rsidRPr="007803C6" w:rsidRDefault="00BC250C">
      <w:pPr>
        <w:pStyle w:val="Corpo"/>
        <w:rPr>
          <w:color w:val="auto"/>
        </w:rPr>
      </w:pPr>
      <w:r w:rsidRPr="007803C6">
        <w:rPr>
          <w:rFonts w:ascii="Arial Unicode MS" w:eastAsia="Arial Unicode MS" w:hAnsi="Arial Unicode MS" w:cs="Arial Unicode MS"/>
          <w:color w:val="auto"/>
          <w:sz w:val="22"/>
          <w:szCs w:val="22"/>
          <w:lang w:val="pt-PT"/>
        </w:rPr>
        <w:br w:type="page"/>
      </w:r>
    </w:p>
    <w:p w:rsidR="008074B5" w:rsidRPr="007803C6" w:rsidRDefault="008074B5">
      <w:pPr>
        <w:pStyle w:val="Corpo"/>
        <w:spacing w:line="480" w:lineRule="auto"/>
        <w:jc w:val="both"/>
        <w:rPr>
          <w:color w:val="auto"/>
          <w:sz w:val="22"/>
          <w:szCs w:val="22"/>
          <w:lang w:val="pt-PT"/>
        </w:rPr>
      </w:pPr>
      <w:r w:rsidRPr="007803C6">
        <w:rPr>
          <w:color w:val="auto"/>
          <w:sz w:val="22"/>
          <w:szCs w:val="22"/>
          <w:lang w:val="pt-PT"/>
        </w:rPr>
        <w:lastRenderedPageBreak/>
        <w:t>Reference</w:t>
      </w:r>
    </w:p>
    <w:p w:rsidR="006B6FD2" w:rsidRPr="007803C6" w:rsidRDefault="006B6FD2" w:rsidP="006B6FD2">
      <w:pPr>
        <w:pStyle w:val="ANMmaintext"/>
        <w:ind w:left="567" w:hanging="567"/>
        <w:rPr>
          <w:color w:val="auto"/>
          <w:sz w:val="22"/>
          <w:szCs w:val="22"/>
          <w:lang w:val="pt-PT"/>
        </w:rPr>
      </w:pPr>
      <w:r w:rsidRPr="007803C6">
        <w:rPr>
          <w:color w:val="auto"/>
          <w:sz w:val="22"/>
          <w:szCs w:val="22"/>
          <w:lang w:val="pt-PT"/>
        </w:rPr>
        <w:t>Santos AS, Alv</w:t>
      </w:r>
      <w:r w:rsidR="001B75E8" w:rsidRPr="007803C6">
        <w:rPr>
          <w:color w:val="auto"/>
          <w:sz w:val="22"/>
          <w:szCs w:val="22"/>
          <w:lang w:val="pt-PT"/>
        </w:rPr>
        <w:t>es SM, Figueiredo FJC and Rocha-</w:t>
      </w:r>
      <w:r w:rsidRPr="007803C6">
        <w:rPr>
          <w:color w:val="auto"/>
          <w:sz w:val="22"/>
          <w:szCs w:val="22"/>
          <w:lang w:val="pt-PT"/>
        </w:rPr>
        <w:t>Neto OG 2004. Descrição de Sistema e de Métodos de Extração de Óleos Essenciais e Determinação de Umidade de Biomassa em Laboratório.  Comunicado Técnico 99</w:t>
      </w:r>
      <w:r w:rsidR="001B75E8" w:rsidRPr="007803C6">
        <w:rPr>
          <w:color w:val="auto"/>
          <w:sz w:val="22"/>
          <w:szCs w:val="22"/>
          <w:lang w:val="pt-PT"/>
        </w:rPr>
        <w:t>, 1-6</w:t>
      </w:r>
      <w:r w:rsidRPr="007803C6">
        <w:rPr>
          <w:color w:val="auto"/>
          <w:sz w:val="22"/>
          <w:szCs w:val="22"/>
          <w:lang w:val="pt-PT"/>
        </w:rPr>
        <w:t>, Embrapa</w:t>
      </w:r>
      <w:r w:rsidR="001B75E8" w:rsidRPr="007803C6">
        <w:rPr>
          <w:color w:val="auto"/>
          <w:sz w:val="22"/>
          <w:szCs w:val="22"/>
          <w:lang w:val="pt-PT"/>
        </w:rPr>
        <w:t>, Belém, Pará, Brazil</w:t>
      </w:r>
      <w:r w:rsidRPr="007803C6">
        <w:rPr>
          <w:color w:val="auto"/>
          <w:sz w:val="22"/>
          <w:szCs w:val="22"/>
          <w:lang w:val="pt-PT"/>
        </w:rPr>
        <w:t xml:space="preserve">. </w:t>
      </w:r>
      <w:r w:rsidR="001B75E8" w:rsidRPr="007803C6">
        <w:rPr>
          <w:color w:val="auto"/>
          <w:sz w:val="22"/>
          <w:szCs w:val="22"/>
          <w:lang w:val="pt-PT"/>
        </w:rPr>
        <w:t xml:space="preserve">Retrieved on 14 June 2016 from </w:t>
      </w:r>
      <w:r w:rsidR="00494C83" w:rsidRPr="007803C6">
        <w:fldChar w:fldCharType="begin"/>
      </w:r>
      <w:r w:rsidR="00494C83" w:rsidRPr="007803C6">
        <w:rPr>
          <w:color w:val="auto"/>
          <w:lang w:val="pt-PT"/>
        </w:rPr>
        <w:instrText xml:space="preserve"> HYPERLINK "https://www.infoteca.cnptia.embrapa.br/bitstream/doc/402448/1/com.tec.99.pdf" </w:instrText>
      </w:r>
      <w:r w:rsidR="00494C83" w:rsidRPr="007803C6">
        <w:fldChar w:fldCharType="separate"/>
      </w:r>
      <w:r w:rsidR="001B75E8" w:rsidRPr="007803C6">
        <w:rPr>
          <w:rStyle w:val="Lienhypertexte"/>
          <w:color w:val="auto"/>
          <w:sz w:val="22"/>
          <w:szCs w:val="22"/>
          <w:u w:val="none"/>
          <w:lang w:val="pt-PT"/>
        </w:rPr>
        <w:t>https://www.infoteca.cnptia.embrapa.br/bitstream/doc/402448/1/com.tec.99.pdf</w:t>
      </w:r>
      <w:r w:rsidR="00494C83" w:rsidRPr="007803C6">
        <w:rPr>
          <w:rStyle w:val="Lienhypertexte"/>
          <w:color w:val="auto"/>
          <w:sz w:val="22"/>
          <w:szCs w:val="22"/>
          <w:u w:val="none"/>
        </w:rPr>
        <w:fldChar w:fldCharType="end"/>
      </w:r>
    </w:p>
    <w:p w:rsidR="006B6FD2" w:rsidRPr="007803C6" w:rsidRDefault="006B6FD2" w:rsidP="006B6FD2">
      <w:pPr>
        <w:pStyle w:val="ANMmaintext"/>
        <w:ind w:left="567" w:hanging="567"/>
        <w:rPr>
          <w:rFonts w:cs="Arial"/>
          <w:color w:val="auto"/>
          <w:sz w:val="22"/>
          <w:szCs w:val="22"/>
        </w:rPr>
      </w:pPr>
      <w:r w:rsidRPr="007803C6">
        <w:rPr>
          <w:rFonts w:cs="Arial"/>
          <w:color w:val="auto"/>
          <w:sz w:val="22"/>
          <w:szCs w:val="22"/>
          <w:lang w:val="pt-BR"/>
        </w:rPr>
        <w:t>Santos CP, Pinto JAO, Santos CA, Cruz EMO, Arrigoni-Blank MF, Andrade TM, Santos DA, Alves PB and</w:t>
      </w:r>
      <w:r w:rsidR="00A67B4B" w:rsidRPr="007803C6">
        <w:rPr>
          <w:rFonts w:cs="Arial"/>
          <w:color w:val="auto"/>
          <w:sz w:val="22"/>
          <w:szCs w:val="22"/>
          <w:lang w:val="pt-BR"/>
        </w:rPr>
        <w:t xml:space="preserve"> </w:t>
      </w:r>
      <w:r w:rsidRPr="007803C6">
        <w:rPr>
          <w:rFonts w:cs="Arial"/>
          <w:color w:val="auto"/>
          <w:sz w:val="22"/>
          <w:szCs w:val="22"/>
          <w:lang w:val="pt-BR"/>
        </w:rPr>
        <w:t xml:space="preserve">Blank AF 2016. </w:t>
      </w:r>
      <w:r w:rsidRPr="007803C6">
        <w:rPr>
          <w:rFonts w:cs="Arial"/>
          <w:color w:val="auto"/>
          <w:sz w:val="22"/>
          <w:szCs w:val="22"/>
        </w:rPr>
        <w:t xml:space="preserve">Harvest time and geographical origin affect the essential oil of </w:t>
      </w:r>
      <w:proofErr w:type="spellStart"/>
      <w:r w:rsidRPr="00AC7024">
        <w:rPr>
          <w:rFonts w:cs="Arial"/>
          <w:i/>
          <w:color w:val="auto"/>
          <w:sz w:val="22"/>
          <w:szCs w:val="22"/>
        </w:rPr>
        <w:t>Lippia</w:t>
      </w:r>
      <w:proofErr w:type="spellEnd"/>
      <w:r w:rsidR="00A67B4B" w:rsidRPr="00AC7024">
        <w:rPr>
          <w:rFonts w:cs="Arial"/>
          <w:i/>
          <w:color w:val="auto"/>
          <w:sz w:val="22"/>
          <w:szCs w:val="22"/>
        </w:rPr>
        <w:t xml:space="preserve"> </w:t>
      </w:r>
      <w:proofErr w:type="spellStart"/>
      <w:r w:rsidRPr="00AC7024">
        <w:rPr>
          <w:rFonts w:cs="Arial"/>
          <w:i/>
          <w:color w:val="auto"/>
          <w:sz w:val="22"/>
          <w:szCs w:val="22"/>
        </w:rPr>
        <w:t>gracilis</w:t>
      </w:r>
      <w:proofErr w:type="spellEnd"/>
      <w:r w:rsidR="00A67B4B" w:rsidRPr="007803C6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7803C6">
        <w:rPr>
          <w:rFonts w:cs="Arial"/>
          <w:color w:val="auto"/>
          <w:sz w:val="22"/>
          <w:szCs w:val="22"/>
        </w:rPr>
        <w:t>Schauer</w:t>
      </w:r>
      <w:proofErr w:type="spellEnd"/>
      <w:r w:rsidRPr="007803C6">
        <w:rPr>
          <w:rFonts w:cs="Arial"/>
          <w:color w:val="auto"/>
          <w:sz w:val="22"/>
          <w:szCs w:val="22"/>
        </w:rPr>
        <w:t>. Industrial Crops and Products 79, 205–210.</w:t>
      </w:r>
    </w:p>
    <w:p w:rsidR="006B6FD2" w:rsidRPr="007803C6" w:rsidRDefault="006B6FD2" w:rsidP="006B6FD2">
      <w:pPr>
        <w:pStyle w:val="ANMmaintext"/>
        <w:ind w:left="567" w:hanging="567"/>
        <w:rPr>
          <w:rFonts w:cs="Arial"/>
          <w:color w:val="auto"/>
        </w:rPr>
      </w:pPr>
    </w:p>
    <w:p w:rsidR="006B6FD2" w:rsidRPr="007803C6" w:rsidRDefault="006B6FD2" w:rsidP="00B566E1">
      <w:pPr>
        <w:pStyle w:val="Corpo"/>
        <w:spacing w:line="480" w:lineRule="auto"/>
        <w:jc w:val="both"/>
        <w:rPr>
          <w:color w:val="auto"/>
          <w:sz w:val="22"/>
          <w:szCs w:val="22"/>
          <w:lang w:val="pt-PT"/>
        </w:rPr>
      </w:pPr>
    </w:p>
    <w:p w:rsidR="00B566E1" w:rsidRPr="007803C6" w:rsidRDefault="00B566E1">
      <w:pPr>
        <w:pStyle w:val="Corpo"/>
        <w:spacing w:line="480" w:lineRule="auto"/>
        <w:jc w:val="both"/>
        <w:rPr>
          <w:color w:val="auto"/>
        </w:rPr>
      </w:pPr>
    </w:p>
    <w:sectPr w:rsidR="00B566E1" w:rsidRPr="007803C6" w:rsidSect="00D938AD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75" w:rsidRDefault="00B66C75">
      <w:r>
        <w:separator/>
      </w:r>
    </w:p>
  </w:endnote>
  <w:endnote w:type="continuationSeparator" w:id="0">
    <w:p w:rsidR="00B66C75" w:rsidRDefault="00B6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45D" w:rsidRDefault="003B545D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75" w:rsidRDefault="00B66C75">
      <w:r>
        <w:separator/>
      </w:r>
    </w:p>
  </w:footnote>
  <w:footnote w:type="continuationSeparator" w:id="0">
    <w:p w:rsidR="00B66C75" w:rsidRDefault="00B6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45D" w:rsidRDefault="003B545D">
    <w:pPr>
      <w:pStyle w:val="CabealhoeRodap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7EFD"/>
    <w:multiLevelType w:val="hybridMultilevel"/>
    <w:tmpl w:val="ABBA83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jQ3MLAwNzczMDWzMDdT0lEKTi0uzszPAykwrgUA6lDaEywAAAA="/>
  </w:docVars>
  <w:rsids>
    <w:rsidRoot w:val="003B545D"/>
    <w:rsid w:val="00076DBF"/>
    <w:rsid w:val="00176BA6"/>
    <w:rsid w:val="001A3E66"/>
    <w:rsid w:val="001B75E8"/>
    <w:rsid w:val="002B3B35"/>
    <w:rsid w:val="0031586A"/>
    <w:rsid w:val="00316549"/>
    <w:rsid w:val="003200B1"/>
    <w:rsid w:val="00355E87"/>
    <w:rsid w:val="0036692F"/>
    <w:rsid w:val="00377B2C"/>
    <w:rsid w:val="003A39A8"/>
    <w:rsid w:val="003B545D"/>
    <w:rsid w:val="003E1EFB"/>
    <w:rsid w:val="00494C83"/>
    <w:rsid w:val="004A205D"/>
    <w:rsid w:val="004A40F3"/>
    <w:rsid w:val="004C3E15"/>
    <w:rsid w:val="004F55D2"/>
    <w:rsid w:val="005038B5"/>
    <w:rsid w:val="006542EC"/>
    <w:rsid w:val="0065796D"/>
    <w:rsid w:val="006842E9"/>
    <w:rsid w:val="006A741B"/>
    <w:rsid w:val="006B6FD2"/>
    <w:rsid w:val="006C4695"/>
    <w:rsid w:val="00716B9B"/>
    <w:rsid w:val="007271FA"/>
    <w:rsid w:val="007424C8"/>
    <w:rsid w:val="007803C6"/>
    <w:rsid w:val="007937C2"/>
    <w:rsid w:val="007C4257"/>
    <w:rsid w:val="008074B5"/>
    <w:rsid w:val="008D68ED"/>
    <w:rsid w:val="00933CE0"/>
    <w:rsid w:val="00A27482"/>
    <w:rsid w:val="00A67B4B"/>
    <w:rsid w:val="00A86A47"/>
    <w:rsid w:val="00AC7024"/>
    <w:rsid w:val="00AD0EE9"/>
    <w:rsid w:val="00AD4589"/>
    <w:rsid w:val="00B566E1"/>
    <w:rsid w:val="00B66C75"/>
    <w:rsid w:val="00BC250C"/>
    <w:rsid w:val="00C028DC"/>
    <w:rsid w:val="00C0684B"/>
    <w:rsid w:val="00C31D26"/>
    <w:rsid w:val="00C9294D"/>
    <w:rsid w:val="00C934B8"/>
    <w:rsid w:val="00C94EE0"/>
    <w:rsid w:val="00D306BF"/>
    <w:rsid w:val="00D938AD"/>
    <w:rsid w:val="00DC663E"/>
    <w:rsid w:val="00DD0B55"/>
    <w:rsid w:val="00E11408"/>
    <w:rsid w:val="00E62C0E"/>
    <w:rsid w:val="00EB72F5"/>
    <w:rsid w:val="00ED414B"/>
    <w:rsid w:val="00F11915"/>
    <w:rsid w:val="00F11B0B"/>
    <w:rsid w:val="00F464FC"/>
    <w:rsid w:val="00F7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C1C2"/>
  <w15:docId w15:val="{4D41FB53-F66C-4644-BBF9-12B74DA7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38AD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938AD"/>
    <w:rPr>
      <w:u w:val="single"/>
    </w:rPr>
  </w:style>
  <w:style w:type="table" w:customStyle="1" w:styleId="TableNormal">
    <w:name w:val="Table Normal"/>
    <w:rsid w:val="00D938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D938A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NMmaintext">
    <w:name w:val="ANM main text"/>
    <w:link w:val="ANMmaintextCarCar"/>
    <w:uiPriority w:val="99"/>
    <w:qFormat/>
    <w:rsid w:val="00D938AD"/>
    <w:pPr>
      <w:spacing w:line="480" w:lineRule="auto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Corpo">
    <w:name w:val="Corpo"/>
    <w:rsid w:val="00D938AD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ANMTabtitle">
    <w:name w:val="ANM Tab title"/>
    <w:next w:val="ANMmaintext"/>
    <w:rsid w:val="00D938AD"/>
    <w:pPr>
      <w:spacing w:line="480" w:lineRule="auto"/>
    </w:pPr>
    <w:rPr>
      <w:rFonts w:ascii="Arial" w:hAnsi="Arial" w:cs="Arial Unicode MS"/>
      <w:i/>
      <w:iCs/>
      <w:color w:val="000000"/>
      <w:sz w:val="24"/>
      <w:szCs w:val="24"/>
      <w:u w:color="00000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74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4B5"/>
    <w:rPr>
      <w:rFonts w:ascii="Tahoma" w:hAnsi="Tahoma" w:cs="Tahoma"/>
      <w:sz w:val="16"/>
      <w:szCs w:val="16"/>
      <w:lang w:val="en-US" w:eastAsia="en-US"/>
    </w:rPr>
  </w:style>
  <w:style w:type="paragraph" w:customStyle="1" w:styleId="ANMauthorname">
    <w:name w:val="ANM author name"/>
    <w:rsid w:val="00C94EE0"/>
    <w:pPr>
      <w:spacing w:line="480" w:lineRule="auto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ANMmaintextCarCar">
    <w:name w:val="ANM main text Car Car"/>
    <w:link w:val="ANMmaintext"/>
    <w:uiPriority w:val="99"/>
    <w:locked/>
    <w:rsid w:val="00C94EE0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apple-converted-space">
    <w:name w:val="apple-converted-space"/>
    <w:basedOn w:val="Policepardfaut"/>
    <w:rsid w:val="00B566E1"/>
  </w:style>
  <w:style w:type="character" w:styleId="Marquedecommentaire">
    <w:name w:val="annotation reference"/>
    <w:basedOn w:val="Policepardfaut"/>
    <w:uiPriority w:val="99"/>
    <w:semiHidden/>
    <w:unhideWhenUsed/>
    <w:rsid w:val="003200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00B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00B1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00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00B1"/>
    <w:rPr>
      <w:b/>
      <w:bCs/>
      <w:lang w:val="en-US" w:eastAsia="en-US"/>
    </w:rPr>
  </w:style>
  <w:style w:type="paragraph" w:styleId="Paragraphedeliste">
    <w:name w:val="List Paragraph"/>
    <w:basedOn w:val="Normal"/>
    <w:uiPriority w:val="99"/>
    <w:qFormat/>
    <w:rsid w:val="00ED41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sz w:val="20"/>
      <w:szCs w:val="20"/>
      <w:bdr w:val="none" w:sz="0" w:space="0" w:color="auto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4EAD-371E-4F0F-8A3F-3A3F1824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</dc:creator>
  <cp:lastModifiedBy>ANM</cp:lastModifiedBy>
  <cp:revision>5</cp:revision>
  <dcterms:created xsi:type="dcterms:W3CDTF">2020-03-26T12:55:00Z</dcterms:created>
  <dcterms:modified xsi:type="dcterms:W3CDTF">2020-03-26T13:06:00Z</dcterms:modified>
</cp:coreProperties>
</file>