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4149" w14:textId="7A297896" w:rsidR="002B0D55" w:rsidRPr="00584E70" w:rsidRDefault="00F96D9F" w:rsidP="00362C88">
      <w:pPr>
        <w:spacing w:line="480" w:lineRule="auto"/>
        <w:jc w:val="center"/>
        <w:rPr>
          <w:rFonts w:ascii="Arial" w:hAnsi="Arial" w:cs="Arial"/>
          <w:b/>
          <w:sz w:val="36"/>
          <w:szCs w:val="36"/>
        </w:rPr>
      </w:pPr>
      <w:r w:rsidRPr="00584E70">
        <w:rPr>
          <w:rFonts w:ascii="Arial" w:hAnsi="Arial" w:cs="Arial"/>
          <w:b/>
          <w:sz w:val="36"/>
          <w:szCs w:val="36"/>
        </w:rPr>
        <w:t>Supplementary</w:t>
      </w:r>
      <w:r w:rsidR="004412CF" w:rsidRPr="00584E70">
        <w:rPr>
          <w:rFonts w:ascii="Arial" w:hAnsi="Arial" w:cs="Arial"/>
          <w:b/>
          <w:sz w:val="36"/>
          <w:szCs w:val="36"/>
        </w:rPr>
        <w:t xml:space="preserve"> Material</w:t>
      </w:r>
    </w:p>
    <w:p w14:paraId="7EDAE7BA" w14:textId="77777777" w:rsidR="00F96D9F" w:rsidRPr="006D34E8" w:rsidRDefault="00F96D9F" w:rsidP="00362C88">
      <w:pPr>
        <w:spacing w:line="480" w:lineRule="auto"/>
        <w:jc w:val="center"/>
        <w:rPr>
          <w:rFonts w:ascii="Times New Roman" w:hAnsi="Times New Roman" w:cs="Times New Roman"/>
          <w:b/>
          <w:sz w:val="36"/>
          <w:szCs w:val="36"/>
        </w:rPr>
      </w:pPr>
    </w:p>
    <w:p w14:paraId="12EB2249" w14:textId="77777777" w:rsidR="00584E70" w:rsidRPr="008F149F" w:rsidRDefault="00584E70" w:rsidP="00584E70">
      <w:pPr>
        <w:spacing w:line="480" w:lineRule="auto"/>
        <w:rPr>
          <w:rFonts w:ascii="Arial" w:hAnsi="Arial" w:cs="Arial"/>
          <w:b/>
          <w:sz w:val="28"/>
          <w:szCs w:val="28"/>
        </w:rPr>
      </w:pPr>
      <w:r w:rsidRPr="008F149F">
        <w:rPr>
          <w:rFonts w:ascii="Arial" w:hAnsi="Arial" w:cs="Arial"/>
          <w:b/>
          <w:sz w:val="28"/>
          <w:szCs w:val="28"/>
        </w:rPr>
        <w:t>Taxonomic and functional assessment reveals the effect of Angus breed genetics on rumen microbial signatures</w:t>
      </w:r>
    </w:p>
    <w:p w14:paraId="618EFDD8" w14:textId="77777777" w:rsidR="00584E70" w:rsidRPr="008F149F" w:rsidRDefault="00584E70" w:rsidP="00584E70">
      <w:pPr>
        <w:pStyle w:val="ANMauthorname"/>
        <w:rPr>
          <w:rFonts w:cs="Arial"/>
          <w:lang w:val="en-US"/>
        </w:rPr>
      </w:pPr>
    </w:p>
    <w:p w14:paraId="45AD3191" w14:textId="77777777" w:rsidR="00584E70" w:rsidRPr="008F149F" w:rsidRDefault="00584E70" w:rsidP="00584E70">
      <w:pPr>
        <w:pStyle w:val="NormalWeb"/>
        <w:spacing w:line="480" w:lineRule="auto"/>
        <w:rPr>
          <w:rFonts w:ascii="Arial" w:hAnsi="Arial" w:cs="Arial"/>
        </w:rPr>
      </w:pPr>
      <w:r w:rsidRPr="008F149F">
        <w:rPr>
          <w:rFonts w:ascii="Arial" w:eastAsia="Calibri" w:hAnsi="Arial" w:cs="Arial"/>
        </w:rPr>
        <w:t>Andre L. A. Neves</w:t>
      </w:r>
      <w:r w:rsidRPr="008F149F">
        <w:rPr>
          <w:rFonts w:ascii="Arial" w:eastAsia="Calibri" w:hAnsi="Arial" w:cs="Arial"/>
          <w:vertAlign w:val="superscript"/>
        </w:rPr>
        <w:t>1</w:t>
      </w:r>
      <w:r w:rsidRPr="008F149F">
        <w:rPr>
          <w:rFonts w:ascii="Arial" w:eastAsia="Calibri" w:hAnsi="Arial" w:cs="Arial"/>
        </w:rPr>
        <w:t>, Yanhong Chen</w:t>
      </w:r>
      <w:r w:rsidRPr="008F149F">
        <w:rPr>
          <w:rFonts w:ascii="Arial" w:eastAsia="Calibri" w:hAnsi="Arial" w:cs="Arial"/>
          <w:vertAlign w:val="superscript"/>
        </w:rPr>
        <w:t>1</w:t>
      </w:r>
      <w:r w:rsidRPr="008F149F">
        <w:rPr>
          <w:rFonts w:ascii="Arial" w:eastAsia="Calibri" w:hAnsi="Arial" w:cs="Arial"/>
        </w:rPr>
        <w:t xml:space="preserve">, Kim-Anh </w:t>
      </w:r>
      <w:r w:rsidRPr="008F149F">
        <w:rPr>
          <w:rFonts w:ascii="Arial" w:hAnsi="Arial" w:cs="Arial"/>
          <w:color w:val="000000" w:themeColor="text1"/>
        </w:rPr>
        <w:t>Lê Cao</w:t>
      </w:r>
      <w:r w:rsidRPr="008F149F">
        <w:rPr>
          <w:rFonts w:ascii="Arial" w:hAnsi="Arial" w:cs="Arial"/>
          <w:color w:val="000000" w:themeColor="text1"/>
          <w:vertAlign w:val="superscript"/>
        </w:rPr>
        <w:t>2</w:t>
      </w:r>
      <w:r w:rsidRPr="008F149F">
        <w:rPr>
          <w:rFonts w:ascii="Arial" w:hAnsi="Arial" w:cs="Arial"/>
          <w:color w:val="000000" w:themeColor="text1"/>
        </w:rPr>
        <w:t>, Siddhartha Mandal</w:t>
      </w:r>
      <w:r w:rsidRPr="008F149F">
        <w:rPr>
          <w:rFonts w:ascii="Arial" w:hAnsi="Arial" w:cs="Arial"/>
          <w:color w:val="000000" w:themeColor="text1"/>
          <w:vertAlign w:val="superscript"/>
        </w:rPr>
        <w:t>3</w:t>
      </w:r>
      <w:r w:rsidRPr="008F149F">
        <w:rPr>
          <w:rFonts w:ascii="Arial" w:eastAsia="Calibri" w:hAnsi="Arial" w:cs="Arial"/>
        </w:rPr>
        <w:t>, Thomas J. Sharpton</w:t>
      </w:r>
      <w:r w:rsidRPr="008F149F">
        <w:rPr>
          <w:rFonts w:ascii="Arial" w:eastAsia="Calibri" w:hAnsi="Arial" w:cs="Arial"/>
          <w:vertAlign w:val="superscript"/>
        </w:rPr>
        <w:t>4</w:t>
      </w:r>
      <w:r w:rsidRPr="008F149F">
        <w:rPr>
          <w:rFonts w:ascii="Arial" w:eastAsia="Calibri" w:hAnsi="Arial" w:cs="Arial"/>
        </w:rPr>
        <w:t>, Tim McAllister</w:t>
      </w:r>
      <w:r w:rsidRPr="008F149F">
        <w:rPr>
          <w:rFonts w:ascii="Arial" w:eastAsia="Calibri" w:hAnsi="Arial" w:cs="Arial"/>
          <w:vertAlign w:val="superscript"/>
        </w:rPr>
        <w:t>5</w:t>
      </w:r>
      <w:r w:rsidRPr="008F149F">
        <w:rPr>
          <w:rFonts w:ascii="Arial" w:eastAsia="Calibri" w:hAnsi="Arial" w:cs="Arial"/>
        </w:rPr>
        <w:t xml:space="preserve"> and Le Luo Guan</w:t>
      </w:r>
      <w:r w:rsidRPr="008F149F">
        <w:rPr>
          <w:rFonts w:ascii="Arial" w:eastAsia="Calibri" w:hAnsi="Arial" w:cs="Arial"/>
          <w:vertAlign w:val="superscript"/>
        </w:rPr>
        <w:t>1</w:t>
      </w:r>
      <w:r w:rsidRPr="008F149F">
        <w:rPr>
          <w:rFonts w:ascii="Arial" w:hAnsi="Arial" w:cs="Arial"/>
          <w:vertAlign w:val="superscript"/>
        </w:rPr>
        <w:t>†</w:t>
      </w:r>
    </w:p>
    <w:p w14:paraId="3AFBC92D" w14:textId="77777777" w:rsidR="00584E70" w:rsidRPr="008F149F" w:rsidRDefault="00584E70" w:rsidP="00584E70">
      <w:pPr>
        <w:pStyle w:val="Paragraphedeliste"/>
        <w:spacing w:line="480" w:lineRule="auto"/>
        <w:ind w:left="0"/>
        <w:rPr>
          <w:rFonts w:ascii="Arial" w:eastAsia="Calibri" w:hAnsi="Arial" w:cs="Arial"/>
          <w:vertAlign w:val="superscript"/>
        </w:rPr>
      </w:pPr>
    </w:p>
    <w:p w14:paraId="39340233" w14:textId="77777777" w:rsidR="007D7B4F" w:rsidRPr="008F149F" w:rsidRDefault="007D7B4F" w:rsidP="007D7B4F">
      <w:pPr>
        <w:pStyle w:val="Paragraphedeliste"/>
        <w:spacing w:line="480" w:lineRule="auto"/>
        <w:ind w:left="0"/>
        <w:rPr>
          <w:rFonts w:ascii="Arial" w:eastAsia="Calibri" w:hAnsi="Arial" w:cs="Arial"/>
        </w:rPr>
      </w:pPr>
      <w:r w:rsidRPr="008F149F">
        <w:rPr>
          <w:rFonts w:ascii="Arial" w:eastAsia="Calibri" w:hAnsi="Arial" w:cs="Arial"/>
          <w:vertAlign w:val="superscript"/>
        </w:rPr>
        <w:t>1</w:t>
      </w:r>
      <w:r w:rsidRPr="008F149F">
        <w:rPr>
          <w:rFonts w:ascii="Arial" w:eastAsia="Calibri" w:hAnsi="Arial" w:cs="Arial"/>
        </w:rPr>
        <w:t xml:space="preserve">Department of Agricultural, Food and Nutritional Science, University of Alberta, Edmonton, T6G2P5, Alberta, Canada </w:t>
      </w:r>
    </w:p>
    <w:p w14:paraId="1B453599" w14:textId="77777777" w:rsidR="007D7B4F" w:rsidRPr="008F149F" w:rsidRDefault="007D7B4F" w:rsidP="007D7B4F">
      <w:pPr>
        <w:pStyle w:val="Paragraphedeliste"/>
        <w:spacing w:line="480" w:lineRule="auto"/>
        <w:ind w:left="0"/>
        <w:rPr>
          <w:rFonts w:ascii="Arial" w:eastAsia="Calibri" w:hAnsi="Arial" w:cs="Arial"/>
        </w:rPr>
      </w:pPr>
      <w:r w:rsidRPr="008F149F">
        <w:rPr>
          <w:rFonts w:ascii="Arial" w:eastAsia="Calibri" w:hAnsi="Arial" w:cs="Arial"/>
          <w:vertAlign w:val="superscript"/>
        </w:rPr>
        <w:t>2</w:t>
      </w:r>
      <w:r w:rsidRPr="008F149F">
        <w:rPr>
          <w:rFonts w:ascii="Arial" w:eastAsia="Calibri" w:hAnsi="Arial" w:cs="Arial"/>
        </w:rPr>
        <w:t xml:space="preserve">Melbourne Integrative Genomics and School of Mathematics and Statistics, University of Melbourne, Victoria, VIC3010, Australia </w:t>
      </w:r>
    </w:p>
    <w:p w14:paraId="4925E49B" w14:textId="77777777" w:rsidR="007D7B4F" w:rsidRPr="008F149F" w:rsidRDefault="007D7B4F" w:rsidP="007D7B4F">
      <w:pPr>
        <w:pStyle w:val="Paragraphedeliste"/>
        <w:spacing w:line="480" w:lineRule="auto"/>
        <w:ind w:left="0"/>
        <w:rPr>
          <w:rFonts w:ascii="Arial" w:eastAsia="Calibri" w:hAnsi="Arial" w:cs="Arial"/>
        </w:rPr>
      </w:pPr>
      <w:r w:rsidRPr="008F149F">
        <w:rPr>
          <w:rFonts w:ascii="Arial" w:eastAsia="Calibri" w:hAnsi="Arial" w:cs="Arial"/>
          <w:vertAlign w:val="superscript"/>
        </w:rPr>
        <w:t>3</w:t>
      </w:r>
      <w:r w:rsidRPr="008F149F">
        <w:rPr>
          <w:rFonts w:ascii="Arial" w:eastAsia="Calibri" w:hAnsi="Arial" w:cs="Arial"/>
        </w:rPr>
        <w:t>Public Health Foundation of India, Gurgaon,122002, India</w:t>
      </w:r>
    </w:p>
    <w:p w14:paraId="4DBFE6B9" w14:textId="77777777" w:rsidR="007D7B4F" w:rsidRPr="008F149F" w:rsidRDefault="007D7B4F" w:rsidP="007D7B4F">
      <w:pPr>
        <w:pStyle w:val="Paragraphedeliste"/>
        <w:spacing w:line="480" w:lineRule="auto"/>
        <w:ind w:left="0"/>
        <w:rPr>
          <w:rFonts w:ascii="Arial" w:eastAsia="Calibri" w:hAnsi="Arial" w:cs="Arial"/>
        </w:rPr>
      </w:pPr>
      <w:r w:rsidRPr="008F149F">
        <w:rPr>
          <w:rFonts w:ascii="Arial" w:eastAsia="Calibri" w:hAnsi="Arial" w:cs="Arial"/>
          <w:vertAlign w:val="superscript"/>
        </w:rPr>
        <w:t>4</w:t>
      </w:r>
      <w:r w:rsidRPr="008F149F">
        <w:rPr>
          <w:rFonts w:ascii="Arial" w:eastAsia="Calibri" w:hAnsi="Arial" w:cs="Arial"/>
        </w:rPr>
        <w:t>Departments of Microbiology and Statistics, Oregon State University, Corvallis, OR97331,</w:t>
      </w:r>
      <w:r>
        <w:rPr>
          <w:rFonts w:ascii="Arial" w:eastAsia="Calibri" w:hAnsi="Arial" w:cs="Arial"/>
        </w:rPr>
        <w:t xml:space="preserve"> Oregon,</w:t>
      </w:r>
      <w:r w:rsidRPr="008F149F">
        <w:rPr>
          <w:rFonts w:ascii="Arial" w:eastAsia="Calibri" w:hAnsi="Arial" w:cs="Arial"/>
        </w:rPr>
        <w:t xml:space="preserve"> United States of America </w:t>
      </w:r>
    </w:p>
    <w:p w14:paraId="56032DEF" w14:textId="77777777" w:rsidR="007D7B4F" w:rsidRPr="008F149F" w:rsidRDefault="007D7B4F" w:rsidP="007D7B4F">
      <w:pPr>
        <w:pStyle w:val="Paragraphedeliste"/>
        <w:spacing w:line="480" w:lineRule="auto"/>
        <w:ind w:left="0"/>
        <w:rPr>
          <w:rFonts w:ascii="Arial" w:hAnsi="Arial" w:cs="Arial"/>
        </w:rPr>
      </w:pPr>
      <w:r w:rsidRPr="008F149F">
        <w:rPr>
          <w:rFonts w:ascii="Arial" w:hAnsi="Arial" w:cs="Arial"/>
          <w:vertAlign w:val="superscript"/>
        </w:rPr>
        <w:t>5</w:t>
      </w:r>
      <w:r w:rsidRPr="008F149F">
        <w:rPr>
          <w:rFonts w:ascii="Arial" w:hAnsi="Arial" w:cs="Arial"/>
        </w:rPr>
        <w:t>Lethbridge Research Center, Agriculture and Agri-Fo</w:t>
      </w:r>
      <w:r>
        <w:rPr>
          <w:rFonts w:ascii="Arial" w:hAnsi="Arial" w:cs="Arial"/>
        </w:rPr>
        <w:t xml:space="preserve">od Canada, Lethbridge, </w:t>
      </w:r>
      <w:r w:rsidRPr="008F149F">
        <w:rPr>
          <w:rFonts w:ascii="Arial" w:hAnsi="Arial" w:cs="Arial"/>
        </w:rPr>
        <w:t>T1J4P4</w:t>
      </w:r>
      <w:r>
        <w:rPr>
          <w:rFonts w:ascii="Arial" w:hAnsi="Arial" w:cs="Arial"/>
        </w:rPr>
        <w:t>, Alberta</w:t>
      </w:r>
      <w:r w:rsidRPr="008F149F">
        <w:rPr>
          <w:rFonts w:ascii="Arial" w:hAnsi="Arial" w:cs="Arial"/>
        </w:rPr>
        <w:t>, Canada</w:t>
      </w:r>
    </w:p>
    <w:p w14:paraId="363971B1" w14:textId="77777777" w:rsidR="00584E70" w:rsidRPr="008F149F" w:rsidRDefault="00584E70" w:rsidP="00584E70">
      <w:pPr>
        <w:pStyle w:val="ANMauthorname"/>
        <w:rPr>
          <w:rFonts w:cs="Arial"/>
          <w:lang w:val="en-US"/>
        </w:rPr>
      </w:pPr>
    </w:p>
    <w:p w14:paraId="54CB6ECA" w14:textId="77777777" w:rsidR="00584E70" w:rsidRPr="008F149F" w:rsidRDefault="00584E70" w:rsidP="00584E70">
      <w:pPr>
        <w:pStyle w:val="ANMauthorname"/>
        <w:rPr>
          <w:rFonts w:cs="Arial"/>
          <w:lang w:val="en-US"/>
        </w:rPr>
      </w:pPr>
      <w:r w:rsidRPr="008F149F">
        <w:rPr>
          <w:rFonts w:cs="Arial"/>
          <w:vertAlign w:val="superscript"/>
        </w:rPr>
        <w:t>†</w:t>
      </w:r>
      <w:r w:rsidRPr="008F149F">
        <w:rPr>
          <w:rFonts w:cs="Arial"/>
          <w:lang w:val="en-US"/>
        </w:rPr>
        <w:t xml:space="preserve">Corresponding author: Leluo Guan. E-mail: </w:t>
      </w:r>
      <w:hyperlink r:id="rId6" w:history="1">
        <w:r w:rsidRPr="008F149F">
          <w:rPr>
            <w:rStyle w:val="Lienhypertexte"/>
            <w:rFonts w:cs="Arial"/>
            <w:lang w:val="en-US"/>
          </w:rPr>
          <w:t>lguan@ualberta.ca</w:t>
        </w:r>
      </w:hyperlink>
      <w:r w:rsidRPr="008F149F">
        <w:rPr>
          <w:rFonts w:cs="Arial"/>
          <w:lang w:val="en-US"/>
        </w:rPr>
        <w:t xml:space="preserve"> </w:t>
      </w:r>
    </w:p>
    <w:p w14:paraId="3509EBBC" w14:textId="77777777" w:rsidR="00584E70" w:rsidRPr="008F149F" w:rsidRDefault="00584E70" w:rsidP="00584E70">
      <w:pPr>
        <w:pStyle w:val="ANMmaintext"/>
        <w:rPr>
          <w:rFonts w:cs="Arial"/>
          <w:lang w:val="en-US"/>
        </w:rPr>
      </w:pPr>
    </w:p>
    <w:p w14:paraId="58A561C3" w14:textId="77777777" w:rsidR="00584E70" w:rsidRPr="008F149F" w:rsidRDefault="00584E70" w:rsidP="00584E70">
      <w:pPr>
        <w:pStyle w:val="ANMmaintext"/>
        <w:rPr>
          <w:rFonts w:cs="Arial"/>
          <w:lang w:val="en-US"/>
        </w:rPr>
      </w:pPr>
      <w:r w:rsidRPr="008F149F">
        <w:rPr>
          <w:rFonts w:cs="Arial"/>
          <w:lang w:val="en-US"/>
        </w:rPr>
        <w:t xml:space="preserve">Short title: </w:t>
      </w:r>
      <w:r w:rsidRPr="008F149F">
        <w:rPr>
          <w:rFonts w:cs="Arial"/>
        </w:rPr>
        <w:t>Active Rumen Microbes and Microbial Functions in Beef Cattle</w:t>
      </w:r>
    </w:p>
    <w:p w14:paraId="5BA46734" w14:textId="77777777" w:rsidR="00584E70" w:rsidRPr="008F149F" w:rsidRDefault="00584E70" w:rsidP="00584E70">
      <w:pPr>
        <w:pStyle w:val="ANMmaintext"/>
        <w:rPr>
          <w:rFonts w:cs="Arial"/>
          <w:lang w:val="en-US"/>
        </w:rPr>
      </w:pPr>
    </w:p>
    <w:p w14:paraId="34428D70" w14:textId="2A2F269D" w:rsidR="00CD17F5" w:rsidRDefault="00605BD6" w:rsidP="00584E70">
      <w:pPr>
        <w:spacing w:line="480" w:lineRule="auto"/>
        <w:rPr>
          <w:rFonts w:ascii="Arial" w:hAnsi="Arial" w:cs="Arial"/>
          <w:b/>
        </w:rPr>
      </w:pPr>
      <w:r>
        <w:br w:type="page"/>
      </w:r>
      <w:r w:rsidR="00CD17F5" w:rsidRPr="00584E70">
        <w:rPr>
          <w:rFonts w:ascii="Arial" w:hAnsi="Arial" w:cs="Arial"/>
          <w:b/>
        </w:rPr>
        <w:lastRenderedPageBreak/>
        <w:t>Supplementary Tables</w:t>
      </w:r>
    </w:p>
    <w:p w14:paraId="769CC287" w14:textId="77777777" w:rsidR="005212CA" w:rsidRPr="00584E70" w:rsidRDefault="005212CA" w:rsidP="00584E70">
      <w:pPr>
        <w:spacing w:line="480" w:lineRule="auto"/>
        <w:rPr>
          <w:rFonts w:ascii="Arial" w:eastAsia="Times New Roman" w:hAnsi="Arial" w:cs="Arial"/>
          <w:color w:val="000000"/>
        </w:rPr>
      </w:pPr>
    </w:p>
    <w:p w14:paraId="5CE6CE5A" w14:textId="62FD633E" w:rsidR="005212CA" w:rsidRPr="00555F4D" w:rsidRDefault="00555F4D" w:rsidP="005212CA">
      <w:pPr>
        <w:spacing w:line="480" w:lineRule="auto"/>
        <w:jc w:val="both"/>
        <w:rPr>
          <w:rFonts w:ascii="Arial" w:hAnsi="Arial" w:cs="Arial"/>
        </w:rPr>
      </w:pPr>
      <w:r w:rsidRPr="00555F4D">
        <w:rPr>
          <w:rFonts w:ascii="Arial" w:hAnsi="Arial" w:cs="Arial"/>
        </w:rPr>
        <w:t xml:space="preserve">Supplementary </w:t>
      </w:r>
      <w:r w:rsidR="005212CA" w:rsidRPr="00555F4D">
        <w:rPr>
          <w:rFonts w:ascii="Arial" w:hAnsi="Arial" w:cs="Arial"/>
        </w:rPr>
        <w:t>Table S1. Chemical composition of the experimental diet</w:t>
      </w:r>
      <w:r w:rsidR="005212CA" w:rsidRPr="00555F4D">
        <w:rPr>
          <w:rFonts w:ascii="Arial" w:hAnsi="Arial" w:cs="Arial"/>
          <w:vertAlign w:val="superscript"/>
        </w:rPr>
        <w:t>1</w:t>
      </w:r>
    </w:p>
    <w:tbl>
      <w:tblPr>
        <w:tblW w:w="9399" w:type="dxa"/>
        <w:tblInd w:w="105" w:type="dxa"/>
        <w:tblCellMar>
          <w:left w:w="0" w:type="dxa"/>
          <w:right w:w="0" w:type="dxa"/>
        </w:tblCellMar>
        <w:tblLook w:val="04A0" w:firstRow="1" w:lastRow="0" w:firstColumn="1" w:lastColumn="0" w:noHBand="0" w:noVBand="1"/>
      </w:tblPr>
      <w:tblGrid>
        <w:gridCol w:w="7538"/>
        <w:gridCol w:w="1861"/>
      </w:tblGrid>
      <w:tr w:rsidR="005212CA" w:rsidRPr="00891518" w14:paraId="6CBEF757" w14:textId="77777777" w:rsidTr="005012C3">
        <w:trPr>
          <w:trHeight w:val="373"/>
        </w:trPr>
        <w:tc>
          <w:tcPr>
            <w:tcW w:w="7538" w:type="dxa"/>
            <w:tcBorders>
              <w:top w:val="single" w:sz="8" w:space="0" w:color="000000"/>
              <w:left w:val="nil"/>
              <w:bottom w:val="single" w:sz="8" w:space="0" w:color="000000"/>
              <w:right w:val="nil"/>
            </w:tcBorders>
            <w:shd w:val="clear" w:color="auto" w:fill="auto"/>
            <w:tcMar>
              <w:top w:w="15" w:type="dxa"/>
              <w:left w:w="105" w:type="dxa"/>
              <w:bottom w:w="0" w:type="dxa"/>
              <w:right w:w="105" w:type="dxa"/>
            </w:tcMar>
            <w:vAlign w:val="bottom"/>
            <w:hideMark/>
          </w:tcPr>
          <w:p w14:paraId="1D873FCB"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Item</w:t>
            </w:r>
          </w:p>
        </w:tc>
        <w:tc>
          <w:tcPr>
            <w:tcW w:w="1861" w:type="dxa"/>
            <w:tcBorders>
              <w:top w:val="single" w:sz="8" w:space="0" w:color="000000"/>
              <w:left w:val="nil"/>
              <w:bottom w:val="single" w:sz="8" w:space="0" w:color="000000"/>
              <w:right w:val="nil"/>
            </w:tcBorders>
            <w:shd w:val="clear" w:color="auto" w:fill="auto"/>
            <w:tcMar>
              <w:top w:w="15" w:type="dxa"/>
              <w:left w:w="105" w:type="dxa"/>
              <w:bottom w:w="0" w:type="dxa"/>
              <w:right w:w="105" w:type="dxa"/>
            </w:tcMar>
            <w:vAlign w:val="bottom"/>
            <w:hideMark/>
          </w:tcPr>
          <w:p w14:paraId="68A71434"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Forage</w:t>
            </w:r>
          </w:p>
        </w:tc>
      </w:tr>
      <w:tr w:rsidR="005212CA" w:rsidRPr="00891518" w14:paraId="34FED6BD" w14:textId="77777777" w:rsidTr="005012C3">
        <w:trPr>
          <w:trHeight w:val="552"/>
        </w:trPr>
        <w:tc>
          <w:tcPr>
            <w:tcW w:w="7538" w:type="dxa"/>
            <w:tcBorders>
              <w:top w:val="single" w:sz="8" w:space="0" w:color="000000"/>
              <w:left w:val="nil"/>
              <w:bottom w:val="nil"/>
              <w:right w:val="nil"/>
            </w:tcBorders>
            <w:shd w:val="clear" w:color="auto" w:fill="auto"/>
            <w:tcMar>
              <w:top w:w="15" w:type="dxa"/>
              <w:left w:w="105" w:type="dxa"/>
              <w:bottom w:w="0" w:type="dxa"/>
              <w:right w:w="105" w:type="dxa"/>
            </w:tcMar>
            <w:vAlign w:val="bottom"/>
            <w:hideMark/>
          </w:tcPr>
          <w:p w14:paraId="7523A662" w14:textId="77777777" w:rsidR="005212CA" w:rsidRPr="00891518" w:rsidRDefault="005212CA" w:rsidP="005012C3">
            <w:pPr>
              <w:spacing w:line="360" w:lineRule="auto"/>
              <w:ind w:right="-1"/>
              <w:jc w:val="both"/>
              <w:rPr>
                <w:rFonts w:ascii="Arial" w:hAnsi="Arial" w:cs="Arial"/>
              </w:rPr>
            </w:pPr>
            <w:r w:rsidRPr="00891518">
              <w:rPr>
                <w:rFonts w:ascii="Arial" w:hAnsi="Arial" w:cs="Arial"/>
                <w:b/>
                <w:bCs/>
              </w:rPr>
              <w:t>Ingredient composition, %, as-fed basis</w:t>
            </w:r>
          </w:p>
        </w:tc>
        <w:tc>
          <w:tcPr>
            <w:tcW w:w="1861" w:type="dxa"/>
            <w:tcBorders>
              <w:top w:val="single" w:sz="8" w:space="0" w:color="000000"/>
              <w:left w:val="nil"/>
              <w:bottom w:val="nil"/>
              <w:right w:val="nil"/>
            </w:tcBorders>
            <w:shd w:val="clear" w:color="auto" w:fill="auto"/>
            <w:tcMar>
              <w:top w:w="15" w:type="dxa"/>
              <w:left w:w="105" w:type="dxa"/>
              <w:bottom w:w="0" w:type="dxa"/>
              <w:right w:w="105" w:type="dxa"/>
            </w:tcMar>
            <w:hideMark/>
          </w:tcPr>
          <w:p w14:paraId="73B2FF73"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w:t>
            </w:r>
          </w:p>
        </w:tc>
      </w:tr>
      <w:tr w:rsidR="005212CA" w:rsidRPr="00891518" w14:paraId="0DB8A218"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2F80E328"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Alfalfa Hay</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7E974ED8"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1</w:t>
            </w:r>
            <w:r>
              <w:rPr>
                <w:rFonts w:ascii="Arial" w:hAnsi="Arial" w:cs="Arial"/>
              </w:rPr>
              <w:t>8.0</w:t>
            </w:r>
          </w:p>
        </w:tc>
      </w:tr>
      <w:tr w:rsidR="005212CA" w:rsidRPr="00891518" w14:paraId="1E0BDAB7"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7F2F1C4D"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Corn Silage</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4D5DAEE8"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81.</w:t>
            </w:r>
            <w:r>
              <w:rPr>
                <w:rFonts w:ascii="Arial" w:hAnsi="Arial" w:cs="Arial"/>
              </w:rPr>
              <w:t>5</w:t>
            </w:r>
          </w:p>
        </w:tc>
      </w:tr>
      <w:tr w:rsidR="005212CA" w:rsidRPr="00891518" w14:paraId="15E92A0D"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47D26F8D"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Limestone</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6F0E6297"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0.3</w:t>
            </w:r>
          </w:p>
        </w:tc>
      </w:tr>
      <w:tr w:rsidR="005212CA" w:rsidRPr="00891518" w14:paraId="6E90FCDD"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2CFEFD7B"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Mineral</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4D4F1978"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0.1</w:t>
            </w:r>
          </w:p>
        </w:tc>
      </w:tr>
      <w:tr w:rsidR="005212CA" w:rsidRPr="00891518" w14:paraId="4EFA99A6"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4B41962E"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Salt</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2E2B5221"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0.1</w:t>
            </w:r>
          </w:p>
        </w:tc>
      </w:tr>
      <w:tr w:rsidR="005212CA" w:rsidRPr="00891518" w14:paraId="3C0FC315"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7EE55117" w14:textId="77777777" w:rsidR="005212CA" w:rsidRPr="00891518" w:rsidRDefault="005212CA" w:rsidP="005012C3">
            <w:pPr>
              <w:spacing w:line="360" w:lineRule="auto"/>
              <w:ind w:right="-1"/>
              <w:jc w:val="both"/>
              <w:rPr>
                <w:rFonts w:ascii="Arial" w:hAnsi="Arial" w:cs="Arial"/>
              </w:rPr>
            </w:pPr>
            <w:r w:rsidRPr="00891518">
              <w:rPr>
                <w:rFonts w:ascii="Arial" w:hAnsi="Arial" w:cs="Arial"/>
                <w:b/>
                <w:bCs/>
              </w:rPr>
              <w:t>Chemical composition, DM basis</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3E64CCC0"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w:t>
            </w:r>
          </w:p>
        </w:tc>
      </w:tr>
      <w:tr w:rsidR="005212CA" w:rsidRPr="00891518" w14:paraId="484E31D3"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43BBD498"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Dry Matter,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17D7AE80"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50.7</w:t>
            </w:r>
          </w:p>
        </w:tc>
      </w:tr>
      <w:tr w:rsidR="005212CA" w:rsidRPr="00891518" w14:paraId="2F551997"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7ADA56DF"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Acid Detergent Fiber,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2543A672"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21.78</w:t>
            </w:r>
          </w:p>
        </w:tc>
      </w:tr>
      <w:tr w:rsidR="005212CA" w:rsidRPr="00891518" w14:paraId="4160156E"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6EC375D7"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Neutral Detergent Fiber,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5B8CBDF4"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40.89</w:t>
            </w:r>
          </w:p>
        </w:tc>
      </w:tr>
      <w:tr w:rsidR="005212CA" w:rsidRPr="00891518" w14:paraId="5466DA46"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1E22E3FF"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Total Digestible Nutrients,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3B91689B"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73.51</w:t>
            </w:r>
          </w:p>
        </w:tc>
      </w:tr>
      <w:tr w:rsidR="005212CA" w:rsidRPr="00891518" w14:paraId="410B6346"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08D092B7"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Starch,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44991D71"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21.6</w:t>
            </w:r>
          </w:p>
        </w:tc>
      </w:tr>
      <w:tr w:rsidR="005212CA" w:rsidRPr="00891518" w14:paraId="1F74A42C"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6CEC4B7E"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w:t>
            </w:r>
            <w:proofErr w:type="spellStart"/>
            <w:r w:rsidRPr="00891518">
              <w:rPr>
                <w:rFonts w:ascii="Arial" w:hAnsi="Arial" w:cs="Arial"/>
              </w:rPr>
              <w:t>Metabolizable</w:t>
            </w:r>
            <w:proofErr w:type="spellEnd"/>
            <w:r w:rsidRPr="00891518">
              <w:rPr>
                <w:rFonts w:ascii="Arial" w:hAnsi="Arial" w:cs="Arial"/>
              </w:rPr>
              <w:t xml:space="preserve"> Energy, MJ kg</w:t>
            </w:r>
            <w:r w:rsidRPr="00891518">
              <w:rPr>
                <w:rFonts w:ascii="Arial" w:hAnsi="Arial" w:cs="Arial"/>
                <w:vertAlign w:val="superscript"/>
              </w:rPr>
              <w:t>-1</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40192386"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11.10</w:t>
            </w:r>
          </w:p>
        </w:tc>
      </w:tr>
      <w:tr w:rsidR="005212CA" w:rsidRPr="00891518" w14:paraId="0205BB8D"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58CAF351"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Crude Protein,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7CE54144"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13.1</w:t>
            </w:r>
          </w:p>
        </w:tc>
      </w:tr>
      <w:tr w:rsidR="005212CA" w:rsidRPr="00891518" w14:paraId="33E3AA3D"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30F8CECA"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Calcium, %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5421E88F"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0.89</w:t>
            </w:r>
          </w:p>
        </w:tc>
      </w:tr>
      <w:tr w:rsidR="005212CA" w:rsidRPr="00891518" w14:paraId="29AD7220"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4006BC67"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Phosphorus,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5D7697E1"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0.45</w:t>
            </w:r>
          </w:p>
        </w:tc>
      </w:tr>
      <w:tr w:rsidR="005212CA" w:rsidRPr="00891518" w14:paraId="056F2993" w14:textId="77777777" w:rsidTr="005012C3">
        <w:trPr>
          <w:trHeight w:val="373"/>
        </w:trPr>
        <w:tc>
          <w:tcPr>
            <w:tcW w:w="7538" w:type="dxa"/>
            <w:tcBorders>
              <w:top w:val="nil"/>
              <w:left w:val="nil"/>
              <w:bottom w:val="nil"/>
              <w:right w:val="nil"/>
            </w:tcBorders>
            <w:shd w:val="clear" w:color="auto" w:fill="auto"/>
            <w:tcMar>
              <w:top w:w="15" w:type="dxa"/>
              <w:left w:w="105" w:type="dxa"/>
              <w:bottom w:w="0" w:type="dxa"/>
              <w:right w:w="105" w:type="dxa"/>
            </w:tcMar>
            <w:vAlign w:val="bottom"/>
            <w:hideMark/>
          </w:tcPr>
          <w:p w14:paraId="7DFFF1DD"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Magnesium, %</w:t>
            </w:r>
          </w:p>
        </w:tc>
        <w:tc>
          <w:tcPr>
            <w:tcW w:w="1861" w:type="dxa"/>
            <w:tcBorders>
              <w:top w:val="nil"/>
              <w:left w:val="nil"/>
              <w:bottom w:val="nil"/>
              <w:right w:val="nil"/>
            </w:tcBorders>
            <w:shd w:val="clear" w:color="auto" w:fill="auto"/>
            <w:tcMar>
              <w:top w:w="15" w:type="dxa"/>
              <w:left w:w="105" w:type="dxa"/>
              <w:bottom w:w="0" w:type="dxa"/>
              <w:right w:w="105" w:type="dxa"/>
            </w:tcMar>
            <w:vAlign w:val="bottom"/>
            <w:hideMark/>
          </w:tcPr>
          <w:p w14:paraId="5EEEACFC"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0.42</w:t>
            </w:r>
          </w:p>
        </w:tc>
      </w:tr>
      <w:tr w:rsidR="005212CA" w:rsidRPr="00891518" w14:paraId="162ABE56" w14:textId="77777777" w:rsidTr="005012C3">
        <w:trPr>
          <w:trHeight w:val="66"/>
        </w:trPr>
        <w:tc>
          <w:tcPr>
            <w:tcW w:w="7538" w:type="dxa"/>
            <w:tcBorders>
              <w:top w:val="nil"/>
              <w:left w:val="nil"/>
              <w:bottom w:val="single" w:sz="8" w:space="0" w:color="000000"/>
              <w:right w:val="nil"/>
            </w:tcBorders>
            <w:shd w:val="clear" w:color="auto" w:fill="auto"/>
            <w:tcMar>
              <w:top w:w="15" w:type="dxa"/>
              <w:left w:w="105" w:type="dxa"/>
              <w:bottom w:w="0" w:type="dxa"/>
              <w:right w:w="105" w:type="dxa"/>
            </w:tcMar>
            <w:vAlign w:val="bottom"/>
            <w:hideMark/>
          </w:tcPr>
          <w:p w14:paraId="149AA0B5"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 xml:space="preserve">     Potassium, %</w:t>
            </w:r>
          </w:p>
        </w:tc>
        <w:tc>
          <w:tcPr>
            <w:tcW w:w="1861" w:type="dxa"/>
            <w:tcBorders>
              <w:top w:val="nil"/>
              <w:left w:val="nil"/>
              <w:bottom w:val="single" w:sz="8" w:space="0" w:color="000000"/>
              <w:right w:val="nil"/>
            </w:tcBorders>
            <w:shd w:val="clear" w:color="auto" w:fill="auto"/>
            <w:tcMar>
              <w:top w:w="15" w:type="dxa"/>
              <w:left w:w="105" w:type="dxa"/>
              <w:bottom w:w="0" w:type="dxa"/>
              <w:right w:w="105" w:type="dxa"/>
            </w:tcMar>
            <w:vAlign w:val="bottom"/>
            <w:hideMark/>
          </w:tcPr>
          <w:p w14:paraId="0B13EAFE" w14:textId="77777777" w:rsidR="005212CA" w:rsidRPr="00891518" w:rsidRDefault="005212CA" w:rsidP="005012C3">
            <w:pPr>
              <w:spacing w:line="360" w:lineRule="auto"/>
              <w:ind w:right="-1"/>
              <w:jc w:val="both"/>
              <w:rPr>
                <w:rFonts w:ascii="Arial" w:hAnsi="Arial" w:cs="Arial"/>
              </w:rPr>
            </w:pPr>
            <w:r w:rsidRPr="00891518">
              <w:rPr>
                <w:rFonts w:ascii="Arial" w:hAnsi="Arial" w:cs="Arial"/>
              </w:rPr>
              <w:t>2.16</w:t>
            </w:r>
          </w:p>
        </w:tc>
      </w:tr>
    </w:tbl>
    <w:p w14:paraId="00D4953B" w14:textId="77777777" w:rsidR="005212CA" w:rsidRDefault="005212CA" w:rsidP="005212CA">
      <w:pPr>
        <w:spacing w:line="480" w:lineRule="auto"/>
        <w:jc w:val="both"/>
        <w:rPr>
          <w:rFonts w:ascii="Arial" w:hAnsi="Arial" w:cs="Arial"/>
          <w:vertAlign w:val="superscript"/>
        </w:rPr>
      </w:pPr>
    </w:p>
    <w:p w14:paraId="766D9D72" w14:textId="77777777" w:rsidR="005212CA" w:rsidRPr="00D63DE1" w:rsidRDefault="005212CA" w:rsidP="005212CA">
      <w:pPr>
        <w:spacing w:line="480" w:lineRule="auto"/>
        <w:jc w:val="both"/>
        <w:rPr>
          <w:rFonts w:ascii="Arial" w:hAnsi="Arial" w:cs="Arial"/>
        </w:rPr>
      </w:pPr>
      <w:r w:rsidRPr="00D63DE1">
        <w:rPr>
          <w:rFonts w:ascii="Arial" w:hAnsi="Arial" w:cs="Arial"/>
          <w:vertAlign w:val="superscript"/>
        </w:rPr>
        <w:t>1</w:t>
      </w:r>
      <w:r w:rsidRPr="00D63DE1">
        <w:rPr>
          <w:rFonts w:ascii="Arial" w:hAnsi="Arial" w:cs="Arial"/>
        </w:rPr>
        <w:t>The chemical analysis</w:t>
      </w:r>
      <w:r>
        <w:rPr>
          <w:rFonts w:ascii="Arial" w:hAnsi="Arial" w:cs="Arial"/>
        </w:rPr>
        <w:t xml:space="preserve"> of the feed</w:t>
      </w:r>
      <w:r w:rsidRPr="00D63DE1">
        <w:rPr>
          <w:rFonts w:ascii="Arial" w:hAnsi="Arial" w:cs="Arial"/>
        </w:rPr>
        <w:t xml:space="preserve"> </w:t>
      </w:r>
      <w:proofErr w:type="gramStart"/>
      <w:r w:rsidRPr="00D63DE1">
        <w:rPr>
          <w:rFonts w:ascii="Arial" w:hAnsi="Arial" w:cs="Arial"/>
        </w:rPr>
        <w:t>was conducted</w:t>
      </w:r>
      <w:proofErr w:type="gramEnd"/>
      <w:r w:rsidRPr="00D63DE1">
        <w:rPr>
          <w:rFonts w:ascii="Arial" w:hAnsi="Arial" w:cs="Arial"/>
        </w:rPr>
        <w:t xml:space="preserve"> in the Department of Animal Science &amp; National Centre for Livestock and the Environment (NCLE), University of Manitoba, Winnipeg, MB, Canada</w:t>
      </w:r>
      <w:r>
        <w:rPr>
          <w:rFonts w:ascii="Arial" w:hAnsi="Arial" w:cs="Arial"/>
        </w:rPr>
        <w:t>.</w:t>
      </w:r>
    </w:p>
    <w:p w14:paraId="53C58E09" w14:textId="77777777" w:rsidR="005212CA" w:rsidRDefault="005212CA">
      <w:pPr>
        <w:rPr>
          <w:rFonts w:ascii="Arial" w:eastAsia="Times New Roman" w:hAnsi="Arial" w:cs="Arial"/>
          <w:color w:val="000000" w:themeColor="text1"/>
        </w:rPr>
      </w:pPr>
      <w:r>
        <w:rPr>
          <w:rFonts w:ascii="Arial" w:eastAsia="Times New Roman" w:hAnsi="Arial" w:cs="Arial"/>
          <w:color w:val="000000" w:themeColor="text1"/>
        </w:rPr>
        <w:br w:type="page"/>
      </w:r>
    </w:p>
    <w:p w14:paraId="1898DB6C" w14:textId="453FB93A" w:rsidR="005212CA" w:rsidRDefault="005212CA" w:rsidP="00584E70">
      <w:pPr>
        <w:spacing w:line="480" w:lineRule="auto"/>
        <w:rPr>
          <w:rFonts w:ascii="Arial" w:eastAsia="Times New Roman" w:hAnsi="Arial" w:cs="Arial"/>
          <w:color w:val="000000" w:themeColor="text1"/>
        </w:rPr>
      </w:pPr>
      <w:r w:rsidRPr="00584E70">
        <w:rPr>
          <w:rFonts w:ascii="Arial" w:hAnsi="Arial" w:cs="Arial"/>
          <w:b/>
        </w:rPr>
        <w:lastRenderedPageBreak/>
        <w:t>Supplementary Tables</w:t>
      </w:r>
      <w:r>
        <w:rPr>
          <w:rFonts w:ascii="Arial" w:hAnsi="Arial" w:cs="Arial"/>
          <w:b/>
        </w:rPr>
        <w:t xml:space="preserve"> S2, S3 and S4</w:t>
      </w:r>
      <w:r w:rsidRPr="00584E70">
        <w:rPr>
          <w:rFonts w:ascii="Arial" w:eastAsia="Times New Roman" w:hAnsi="Arial" w:cs="Arial"/>
          <w:color w:val="000000" w:themeColor="text1"/>
        </w:rPr>
        <w:t xml:space="preserve"> </w:t>
      </w:r>
    </w:p>
    <w:p w14:paraId="7838D41B" w14:textId="5437D0E0" w:rsidR="00CD17F5" w:rsidRPr="00584E70" w:rsidRDefault="00CD17F5" w:rsidP="00584E70">
      <w:pPr>
        <w:spacing w:line="480" w:lineRule="auto"/>
        <w:rPr>
          <w:rFonts w:ascii="Arial" w:hAnsi="Arial" w:cs="Arial"/>
          <w:color w:val="000000" w:themeColor="text1"/>
        </w:rPr>
      </w:pPr>
      <w:r w:rsidRPr="00584E70">
        <w:rPr>
          <w:rFonts w:ascii="Arial" w:eastAsia="Times New Roman" w:hAnsi="Arial" w:cs="Arial"/>
          <w:color w:val="000000" w:themeColor="text1"/>
        </w:rPr>
        <w:t>Here we present a</w:t>
      </w:r>
      <w:r w:rsidRPr="00584E70">
        <w:rPr>
          <w:rFonts w:ascii="Arial" w:hAnsi="Arial" w:cs="Arial"/>
          <w:color w:val="000000" w:themeColor="text1"/>
        </w:rPr>
        <w:t xml:space="preserve"> complete list of bacteria classified by Kraken (Supplementary Table </w:t>
      </w:r>
      <w:r w:rsidR="00C52A5D">
        <w:rPr>
          <w:rFonts w:ascii="Arial" w:hAnsi="Arial" w:cs="Arial"/>
          <w:color w:val="000000" w:themeColor="text1"/>
        </w:rPr>
        <w:t>S</w:t>
      </w:r>
      <w:r w:rsidR="005212CA">
        <w:rPr>
          <w:rFonts w:ascii="Arial" w:hAnsi="Arial" w:cs="Arial"/>
          <w:color w:val="000000" w:themeColor="text1"/>
        </w:rPr>
        <w:t>2</w:t>
      </w:r>
      <w:r w:rsidRPr="00584E70">
        <w:rPr>
          <w:rFonts w:ascii="Arial" w:hAnsi="Arial" w:cs="Arial"/>
          <w:color w:val="000000" w:themeColor="text1"/>
        </w:rPr>
        <w:t xml:space="preserve">) and microbial gene families detected by </w:t>
      </w:r>
      <w:proofErr w:type="spellStart"/>
      <w:r w:rsidRPr="00584E70">
        <w:rPr>
          <w:rFonts w:ascii="Arial" w:hAnsi="Arial" w:cs="Arial"/>
          <w:color w:val="000000" w:themeColor="text1"/>
        </w:rPr>
        <w:t>ShotMAP</w:t>
      </w:r>
      <w:proofErr w:type="spellEnd"/>
      <w:r w:rsidRPr="00584E70">
        <w:rPr>
          <w:rFonts w:ascii="Arial" w:hAnsi="Arial" w:cs="Arial"/>
          <w:color w:val="000000" w:themeColor="text1"/>
        </w:rPr>
        <w:t xml:space="preserve"> (Supp</w:t>
      </w:r>
      <w:r w:rsidR="001E1C90" w:rsidRPr="00584E70">
        <w:rPr>
          <w:rFonts w:ascii="Arial" w:hAnsi="Arial" w:cs="Arial"/>
          <w:color w:val="000000" w:themeColor="text1"/>
        </w:rPr>
        <w:t xml:space="preserve">lementary Table </w:t>
      </w:r>
      <w:r w:rsidR="00C52A5D">
        <w:rPr>
          <w:rFonts w:ascii="Arial" w:hAnsi="Arial" w:cs="Arial"/>
          <w:color w:val="000000" w:themeColor="text1"/>
        </w:rPr>
        <w:t>S</w:t>
      </w:r>
      <w:r w:rsidR="005212CA">
        <w:rPr>
          <w:rFonts w:ascii="Arial" w:hAnsi="Arial" w:cs="Arial"/>
          <w:color w:val="000000" w:themeColor="text1"/>
        </w:rPr>
        <w:t>3</w:t>
      </w:r>
      <w:r w:rsidR="001E1C90" w:rsidRPr="00584E70">
        <w:rPr>
          <w:rFonts w:ascii="Arial" w:hAnsi="Arial" w:cs="Arial"/>
          <w:color w:val="000000" w:themeColor="text1"/>
        </w:rPr>
        <w:t>) in all bulls. We also present</w:t>
      </w:r>
      <w:r w:rsidRPr="00584E70">
        <w:rPr>
          <w:rFonts w:ascii="Arial" w:hAnsi="Arial" w:cs="Arial"/>
          <w:color w:val="000000" w:themeColor="text1"/>
        </w:rPr>
        <w:t xml:space="preserve"> </w:t>
      </w:r>
      <w:r w:rsidRPr="00584E70">
        <w:rPr>
          <w:rFonts w:ascii="Arial" w:hAnsi="Arial" w:cs="Arial"/>
          <w:color w:val="2F2E31"/>
        </w:rPr>
        <w:t xml:space="preserve">a direct comparison of bacteria and gene families characterizing </w:t>
      </w:r>
      <w:r w:rsidR="001E1C90" w:rsidRPr="00584E70">
        <w:rPr>
          <w:rFonts w:ascii="Arial" w:hAnsi="Arial" w:cs="Arial"/>
          <w:color w:val="2F2E31"/>
        </w:rPr>
        <w:t xml:space="preserve">the rumen microbiome of </w:t>
      </w:r>
      <w:r w:rsidRPr="00584E70">
        <w:rPr>
          <w:rFonts w:ascii="Arial" w:hAnsi="Arial" w:cs="Arial"/>
          <w:color w:val="2F2E31"/>
        </w:rPr>
        <w:t xml:space="preserve">Black and Red Angus cattle according to the sPLS-DA results </w:t>
      </w:r>
      <w:r w:rsidRPr="00584E70">
        <w:rPr>
          <w:rFonts w:ascii="Arial" w:hAnsi="Arial" w:cs="Arial"/>
          <w:color w:val="000000" w:themeColor="text1"/>
        </w:rPr>
        <w:t xml:space="preserve">(Supplementary Table </w:t>
      </w:r>
      <w:r w:rsidR="00C52A5D">
        <w:rPr>
          <w:rFonts w:ascii="Arial" w:hAnsi="Arial" w:cs="Arial"/>
          <w:color w:val="000000" w:themeColor="text1"/>
        </w:rPr>
        <w:t>S</w:t>
      </w:r>
      <w:r w:rsidR="005212CA">
        <w:rPr>
          <w:rFonts w:ascii="Arial" w:hAnsi="Arial" w:cs="Arial"/>
          <w:color w:val="000000" w:themeColor="text1"/>
        </w:rPr>
        <w:t>4</w:t>
      </w:r>
      <w:r w:rsidRPr="00584E70">
        <w:rPr>
          <w:rFonts w:ascii="Arial" w:hAnsi="Arial" w:cs="Arial"/>
          <w:color w:val="000000" w:themeColor="text1"/>
        </w:rPr>
        <w:t xml:space="preserve">). </w:t>
      </w:r>
    </w:p>
    <w:p w14:paraId="372E0885" w14:textId="28098688" w:rsidR="00CD17F5" w:rsidRPr="00584E70" w:rsidRDefault="00CD17F5" w:rsidP="00584E70">
      <w:pPr>
        <w:spacing w:line="480" w:lineRule="auto"/>
        <w:ind w:firstLine="720"/>
        <w:rPr>
          <w:rFonts w:ascii="Arial" w:eastAsia="Times New Roman" w:hAnsi="Arial" w:cs="Arial"/>
          <w:color w:val="000000" w:themeColor="text1"/>
        </w:rPr>
      </w:pPr>
      <w:r w:rsidRPr="00584E70">
        <w:rPr>
          <w:rFonts w:ascii="Arial" w:hAnsi="Arial" w:cs="Arial"/>
          <w:color w:val="000000" w:themeColor="text1"/>
        </w:rPr>
        <w:t xml:space="preserve">In Supplementary Tables </w:t>
      </w:r>
      <w:r w:rsidR="00C52A5D">
        <w:rPr>
          <w:rFonts w:ascii="Arial" w:hAnsi="Arial" w:cs="Arial"/>
          <w:color w:val="000000" w:themeColor="text1"/>
        </w:rPr>
        <w:t>S</w:t>
      </w:r>
      <w:r w:rsidR="005212CA">
        <w:rPr>
          <w:rFonts w:ascii="Arial" w:hAnsi="Arial" w:cs="Arial"/>
          <w:color w:val="000000" w:themeColor="text1"/>
        </w:rPr>
        <w:t>2</w:t>
      </w:r>
      <w:r w:rsidRPr="00584E70">
        <w:rPr>
          <w:rFonts w:ascii="Arial" w:hAnsi="Arial" w:cs="Arial"/>
          <w:color w:val="000000" w:themeColor="text1"/>
        </w:rPr>
        <w:t xml:space="preserve"> and </w:t>
      </w:r>
      <w:r w:rsidR="00C52A5D">
        <w:rPr>
          <w:rFonts w:ascii="Arial" w:hAnsi="Arial" w:cs="Arial"/>
          <w:color w:val="000000" w:themeColor="text1"/>
        </w:rPr>
        <w:t>S</w:t>
      </w:r>
      <w:r w:rsidR="005212CA">
        <w:rPr>
          <w:rFonts w:ascii="Arial" w:hAnsi="Arial" w:cs="Arial"/>
          <w:color w:val="000000" w:themeColor="text1"/>
        </w:rPr>
        <w:t>3</w:t>
      </w:r>
      <w:r w:rsidRPr="00584E70">
        <w:rPr>
          <w:rFonts w:ascii="Arial" w:hAnsi="Arial" w:cs="Arial"/>
          <w:color w:val="000000" w:themeColor="text1"/>
        </w:rPr>
        <w:t xml:space="preserve">, the results (presented in descending order based on the relative abundance) </w:t>
      </w:r>
      <w:proofErr w:type="gramStart"/>
      <w:r w:rsidRPr="00584E70">
        <w:rPr>
          <w:rFonts w:ascii="Arial" w:hAnsi="Arial" w:cs="Arial"/>
          <w:color w:val="000000" w:themeColor="text1"/>
        </w:rPr>
        <w:t>are shown</w:t>
      </w:r>
      <w:proofErr w:type="gramEnd"/>
      <w:r w:rsidRPr="00584E70">
        <w:rPr>
          <w:rFonts w:ascii="Arial" w:hAnsi="Arial" w:cs="Arial"/>
          <w:color w:val="000000" w:themeColor="text1"/>
        </w:rPr>
        <w:t xml:space="preserve"> in each dataset as follows: a) Taxa and microbial functions are in Column 1; and b) IDs of rumen samples collected from Black and Red Angus are shown from Column 2 to Column 25.</w:t>
      </w:r>
    </w:p>
    <w:p w14:paraId="7C09A1C4" w14:textId="5122E34E" w:rsidR="00CD17F5" w:rsidRPr="00584E70" w:rsidRDefault="00CD17F5" w:rsidP="00584E70">
      <w:pPr>
        <w:spacing w:line="480" w:lineRule="auto"/>
        <w:ind w:firstLine="720"/>
        <w:rPr>
          <w:rFonts w:ascii="Arial" w:eastAsia="Times New Roman" w:hAnsi="Arial" w:cs="Arial"/>
          <w:color w:val="000000" w:themeColor="text1"/>
        </w:rPr>
      </w:pPr>
      <w:r w:rsidRPr="00584E70">
        <w:rPr>
          <w:rFonts w:ascii="Arial" w:hAnsi="Arial" w:cs="Arial"/>
          <w:color w:val="000000" w:themeColor="text1"/>
        </w:rPr>
        <w:t xml:space="preserve">In Supplementary Table </w:t>
      </w:r>
      <w:r w:rsidR="00C52A5D">
        <w:rPr>
          <w:rFonts w:ascii="Arial" w:hAnsi="Arial" w:cs="Arial"/>
          <w:color w:val="000000" w:themeColor="text1"/>
        </w:rPr>
        <w:t>S</w:t>
      </w:r>
      <w:r w:rsidR="005212CA">
        <w:rPr>
          <w:rFonts w:ascii="Arial" w:hAnsi="Arial" w:cs="Arial"/>
          <w:color w:val="000000" w:themeColor="text1"/>
        </w:rPr>
        <w:t>4</w:t>
      </w:r>
      <w:r w:rsidRPr="00584E70">
        <w:rPr>
          <w:rFonts w:ascii="Arial" w:hAnsi="Arial" w:cs="Arial"/>
          <w:color w:val="000000" w:themeColor="text1"/>
        </w:rPr>
        <w:t>, the results (based on the counts) are shown for each bacterial species (Components 1 and 2) and microbial gene family (Component 1) selected by the sPLS-DA multivariate regression models to discriminate and characterize the</w:t>
      </w:r>
      <w:r w:rsidR="001E1C90" w:rsidRPr="00584E70">
        <w:rPr>
          <w:rFonts w:ascii="Arial" w:hAnsi="Arial" w:cs="Arial"/>
          <w:color w:val="000000" w:themeColor="text1"/>
        </w:rPr>
        <w:t xml:space="preserve"> rumen microbiota of Black and Red Angus cattle</w:t>
      </w:r>
      <w:r w:rsidRPr="00584E70">
        <w:rPr>
          <w:rFonts w:ascii="Arial" w:hAnsi="Arial" w:cs="Arial"/>
          <w:color w:val="000000" w:themeColor="text1"/>
        </w:rPr>
        <w:t>.</w:t>
      </w:r>
    </w:p>
    <w:p w14:paraId="188FD909" w14:textId="77777777" w:rsidR="00CD17F5" w:rsidRPr="00584E70" w:rsidRDefault="00CD17F5" w:rsidP="00584E70">
      <w:pPr>
        <w:spacing w:line="480" w:lineRule="auto"/>
        <w:rPr>
          <w:rFonts w:ascii="Arial" w:eastAsia="Times New Roman" w:hAnsi="Arial" w:cs="Arial"/>
          <w:color w:val="000000" w:themeColor="text1"/>
          <w:u w:val="single"/>
        </w:rPr>
      </w:pPr>
    </w:p>
    <w:p w14:paraId="6185F96C" w14:textId="77777777" w:rsidR="00CD17F5" w:rsidRPr="00584E70" w:rsidRDefault="00CD17F5" w:rsidP="00584E70">
      <w:pPr>
        <w:spacing w:line="480" w:lineRule="auto"/>
        <w:rPr>
          <w:rFonts w:ascii="Arial" w:eastAsia="Times New Roman" w:hAnsi="Arial" w:cs="Arial"/>
          <w:color w:val="000000" w:themeColor="text1"/>
          <w:u w:val="single"/>
        </w:rPr>
      </w:pPr>
    </w:p>
    <w:p w14:paraId="6BBE8530" w14:textId="77777777" w:rsidR="00CD17F5" w:rsidRPr="00584E70" w:rsidRDefault="00CD17F5" w:rsidP="00584E70">
      <w:pPr>
        <w:spacing w:line="480" w:lineRule="auto"/>
        <w:rPr>
          <w:rFonts w:ascii="Arial" w:eastAsia="Times New Roman" w:hAnsi="Arial" w:cs="Arial"/>
          <w:color w:val="000000" w:themeColor="text1"/>
          <w:u w:val="single"/>
        </w:rPr>
      </w:pPr>
      <w:r w:rsidRPr="00584E70">
        <w:rPr>
          <w:rFonts w:ascii="Arial" w:eastAsia="Times New Roman" w:hAnsi="Arial" w:cs="Arial"/>
          <w:color w:val="000000" w:themeColor="text1"/>
          <w:u w:val="single"/>
        </w:rPr>
        <w:t>Files:</w:t>
      </w:r>
    </w:p>
    <w:p w14:paraId="0708844B" w14:textId="77777777" w:rsidR="00CD17F5" w:rsidRPr="00584E70" w:rsidRDefault="00CD17F5" w:rsidP="00584E70">
      <w:pPr>
        <w:spacing w:line="480" w:lineRule="auto"/>
        <w:rPr>
          <w:rFonts w:ascii="Arial" w:eastAsia="Times New Roman" w:hAnsi="Arial" w:cs="Arial"/>
          <w:color w:val="000000" w:themeColor="text1"/>
        </w:rPr>
      </w:pPr>
    </w:p>
    <w:p w14:paraId="6CC7DC7A" w14:textId="6E014426" w:rsidR="00CD17F5" w:rsidRPr="00584E70" w:rsidRDefault="00CD17F5" w:rsidP="00584E70">
      <w:pPr>
        <w:spacing w:line="480" w:lineRule="auto"/>
        <w:rPr>
          <w:rFonts w:ascii="Arial" w:eastAsia="Times New Roman" w:hAnsi="Arial" w:cs="Arial"/>
          <w:color w:val="000000" w:themeColor="text1"/>
        </w:rPr>
      </w:pPr>
      <w:r w:rsidRPr="00584E70">
        <w:rPr>
          <w:rFonts w:ascii="Arial" w:eastAsia="Times New Roman" w:hAnsi="Arial" w:cs="Arial"/>
          <w:color w:val="000000" w:themeColor="text1"/>
        </w:rPr>
        <w:t xml:space="preserve">Supplementary Table </w:t>
      </w:r>
      <w:r w:rsidR="00C52A5D">
        <w:rPr>
          <w:rFonts w:ascii="Arial" w:eastAsia="Times New Roman" w:hAnsi="Arial" w:cs="Arial"/>
          <w:color w:val="000000" w:themeColor="text1"/>
        </w:rPr>
        <w:t>S</w:t>
      </w:r>
      <w:r w:rsidR="005212CA">
        <w:rPr>
          <w:rFonts w:ascii="Arial" w:eastAsia="Times New Roman" w:hAnsi="Arial" w:cs="Arial"/>
          <w:color w:val="000000" w:themeColor="text1"/>
        </w:rPr>
        <w:t>2</w:t>
      </w:r>
      <w:r w:rsidRPr="00584E70">
        <w:rPr>
          <w:rFonts w:ascii="Arial" w:eastAsia="Times New Roman" w:hAnsi="Arial" w:cs="Arial"/>
          <w:color w:val="000000" w:themeColor="text1"/>
        </w:rPr>
        <w:t>_Bacteria.xlsx</w:t>
      </w:r>
    </w:p>
    <w:p w14:paraId="4A622D1B" w14:textId="41B569A1" w:rsidR="00CD17F5" w:rsidRPr="00584E70" w:rsidRDefault="00CD17F5" w:rsidP="00584E70">
      <w:pPr>
        <w:spacing w:line="480" w:lineRule="auto"/>
        <w:rPr>
          <w:rFonts w:ascii="Arial" w:eastAsia="Times New Roman" w:hAnsi="Arial" w:cs="Arial"/>
          <w:color w:val="000000" w:themeColor="text1"/>
        </w:rPr>
      </w:pPr>
      <w:r w:rsidRPr="00584E70">
        <w:rPr>
          <w:rFonts w:ascii="Arial" w:eastAsia="Times New Roman" w:hAnsi="Arial" w:cs="Arial"/>
          <w:color w:val="000000" w:themeColor="text1"/>
        </w:rPr>
        <w:t xml:space="preserve">Supplementary Table </w:t>
      </w:r>
      <w:r w:rsidR="00C52A5D">
        <w:rPr>
          <w:rFonts w:ascii="Arial" w:eastAsia="Times New Roman" w:hAnsi="Arial" w:cs="Arial"/>
          <w:color w:val="000000" w:themeColor="text1"/>
        </w:rPr>
        <w:t>S</w:t>
      </w:r>
      <w:r w:rsidR="005212CA">
        <w:rPr>
          <w:rFonts w:ascii="Arial" w:eastAsia="Times New Roman" w:hAnsi="Arial" w:cs="Arial"/>
          <w:color w:val="000000" w:themeColor="text1"/>
        </w:rPr>
        <w:t>3</w:t>
      </w:r>
      <w:r w:rsidRPr="00584E70">
        <w:rPr>
          <w:rFonts w:ascii="Arial" w:eastAsia="Times New Roman" w:hAnsi="Arial" w:cs="Arial"/>
          <w:color w:val="000000" w:themeColor="text1"/>
        </w:rPr>
        <w:t xml:space="preserve">_GeneFamilies.xlsx </w:t>
      </w:r>
    </w:p>
    <w:p w14:paraId="5F9FCB30" w14:textId="507C17FD" w:rsidR="00362C88" w:rsidRPr="00584E70" w:rsidRDefault="00CD17F5" w:rsidP="00584E70">
      <w:pPr>
        <w:spacing w:line="480" w:lineRule="auto"/>
        <w:rPr>
          <w:rFonts w:ascii="Arial" w:eastAsia="Times New Roman" w:hAnsi="Arial" w:cs="Arial"/>
          <w:color w:val="000000" w:themeColor="text1"/>
        </w:rPr>
      </w:pPr>
      <w:r w:rsidRPr="00584E70">
        <w:rPr>
          <w:rFonts w:ascii="Arial" w:eastAsia="Times New Roman" w:hAnsi="Arial" w:cs="Arial"/>
          <w:color w:val="000000" w:themeColor="text1"/>
        </w:rPr>
        <w:t xml:space="preserve">Supplementary Table </w:t>
      </w:r>
      <w:r w:rsidR="00C52A5D">
        <w:rPr>
          <w:rFonts w:ascii="Arial" w:eastAsia="Times New Roman" w:hAnsi="Arial" w:cs="Arial"/>
          <w:color w:val="000000" w:themeColor="text1"/>
        </w:rPr>
        <w:t>S</w:t>
      </w:r>
      <w:r w:rsidR="005212CA">
        <w:rPr>
          <w:rFonts w:ascii="Arial" w:eastAsia="Times New Roman" w:hAnsi="Arial" w:cs="Arial"/>
          <w:color w:val="000000" w:themeColor="text1"/>
        </w:rPr>
        <w:t>4</w:t>
      </w:r>
      <w:r w:rsidRPr="00584E70">
        <w:rPr>
          <w:rFonts w:ascii="Arial" w:eastAsia="Times New Roman" w:hAnsi="Arial" w:cs="Arial"/>
          <w:color w:val="000000" w:themeColor="text1"/>
        </w:rPr>
        <w:t>_sPLS_DA.xlsx</w:t>
      </w:r>
      <w:r w:rsidR="00605BD6" w:rsidRPr="00584E70">
        <w:rPr>
          <w:rFonts w:ascii="Arial" w:hAnsi="Arial" w:cs="Arial"/>
        </w:rPr>
        <w:br w:type="page"/>
      </w:r>
    </w:p>
    <w:p w14:paraId="41231CCC" w14:textId="7A8F9832" w:rsidR="007C3519" w:rsidRPr="00584E70" w:rsidRDefault="007C3519" w:rsidP="00584E70">
      <w:pPr>
        <w:pStyle w:val="Titre1"/>
        <w:numPr>
          <w:ilvl w:val="0"/>
          <w:numId w:val="0"/>
        </w:numPr>
        <w:spacing w:line="480" w:lineRule="auto"/>
        <w:rPr>
          <w:rFonts w:ascii="Arial" w:hAnsi="Arial" w:cs="Arial"/>
        </w:rPr>
      </w:pPr>
      <w:r w:rsidRPr="00584E70">
        <w:rPr>
          <w:rFonts w:ascii="Arial" w:hAnsi="Arial" w:cs="Arial"/>
        </w:rPr>
        <w:lastRenderedPageBreak/>
        <w:t>Supplementary Figures</w:t>
      </w:r>
    </w:p>
    <w:p w14:paraId="7B14A6EE" w14:textId="77777777" w:rsidR="007C3519" w:rsidRPr="00584E70" w:rsidRDefault="007C3519" w:rsidP="00584E70">
      <w:pPr>
        <w:spacing w:line="480" w:lineRule="auto"/>
        <w:rPr>
          <w:rFonts w:ascii="Arial" w:hAnsi="Arial" w:cs="Arial"/>
        </w:rPr>
      </w:pPr>
    </w:p>
    <w:p w14:paraId="717DFBF2" w14:textId="095D455D" w:rsidR="007C3519" w:rsidRPr="00584E70" w:rsidRDefault="004C175F" w:rsidP="00584E70">
      <w:pPr>
        <w:spacing w:line="480" w:lineRule="auto"/>
        <w:rPr>
          <w:rFonts w:ascii="Arial" w:hAnsi="Arial" w:cs="Arial"/>
        </w:rPr>
      </w:pPr>
      <w:r w:rsidRPr="00584E70">
        <w:rPr>
          <w:rFonts w:ascii="Arial" w:hAnsi="Arial" w:cs="Arial"/>
          <w:noProof/>
          <w:lang w:val="en-GB" w:eastAsia="en-GB"/>
        </w:rPr>
        <w:drawing>
          <wp:inline distT="0" distB="0" distL="0" distR="0" wp14:anchorId="5A3AB47C" wp14:editId="5FF04093">
            <wp:extent cx="5943600" cy="456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64380"/>
                    </a:xfrm>
                    <a:prstGeom prst="rect">
                      <a:avLst/>
                    </a:prstGeom>
                  </pic:spPr>
                </pic:pic>
              </a:graphicData>
            </a:graphic>
          </wp:inline>
        </w:drawing>
      </w:r>
    </w:p>
    <w:p w14:paraId="093773A5" w14:textId="092247A8" w:rsidR="007C3519" w:rsidRPr="00584E70" w:rsidRDefault="007C3519" w:rsidP="00584E70">
      <w:pPr>
        <w:spacing w:line="480" w:lineRule="auto"/>
        <w:rPr>
          <w:rFonts w:ascii="Arial" w:hAnsi="Arial" w:cs="Arial"/>
        </w:rPr>
      </w:pPr>
    </w:p>
    <w:p w14:paraId="45E0EBBA" w14:textId="46AEB808" w:rsidR="004C175F" w:rsidRPr="00584E70" w:rsidRDefault="00C52A5D" w:rsidP="00584E70">
      <w:pPr>
        <w:spacing w:line="480" w:lineRule="auto"/>
        <w:rPr>
          <w:rFonts w:ascii="Arial" w:eastAsia="Times New Roman" w:hAnsi="Arial" w:cs="Arial"/>
        </w:rPr>
      </w:pPr>
      <w:r w:rsidRPr="00C52A5D">
        <w:rPr>
          <w:rFonts w:ascii="Arial" w:hAnsi="Arial" w:cs="Arial"/>
          <w:b/>
        </w:rPr>
        <w:t>Figure S1</w:t>
      </w:r>
      <w:r w:rsidR="00711F62">
        <w:rPr>
          <w:rFonts w:ascii="Arial" w:hAnsi="Arial" w:cs="Arial"/>
          <w:b/>
        </w:rPr>
        <w:t>.</w:t>
      </w:r>
      <w:r w:rsidR="006D34E8" w:rsidRPr="00584E70">
        <w:rPr>
          <w:rFonts w:ascii="Arial" w:hAnsi="Arial" w:cs="Arial"/>
        </w:rPr>
        <w:t xml:space="preserve"> Classification performance per component for three predictions distances</w:t>
      </w:r>
      <w:r w:rsidR="00470058" w:rsidRPr="00584E70">
        <w:rPr>
          <w:rFonts w:ascii="Arial" w:hAnsi="Arial" w:cs="Arial"/>
        </w:rPr>
        <w:t xml:space="preserve"> using repeated stratified cross-validation (10</w:t>
      </w:r>
      <w:r w:rsidR="00470058" w:rsidRPr="00584E70">
        <w:rPr>
          <w:rFonts w:ascii="Arial" w:eastAsia="Times New Roman" w:hAnsi="Arial" w:cs="Arial"/>
          <w:color w:val="000000" w:themeColor="text1"/>
        </w:rPr>
        <w:t xml:space="preserve"> </w:t>
      </w:r>
      <w:r w:rsidR="00470058" w:rsidRPr="00584E70">
        <w:rPr>
          <w:rFonts w:ascii="Arial" w:eastAsia="Times New Roman" w:hAnsi="Arial" w:cs="Arial"/>
          <w:color w:val="333333"/>
        </w:rPr>
        <w:t>× 5-fold Cross Validation).</w:t>
      </w:r>
      <w:r w:rsidR="004D6F32" w:rsidRPr="00584E70">
        <w:rPr>
          <w:rFonts w:ascii="Arial" w:eastAsia="Times New Roman" w:hAnsi="Arial" w:cs="Arial"/>
          <w:color w:val="333333"/>
        </w:rPr>
        <w:t xml:space="preserve"> In this study, the </w:t>
      </w:r>
      <w:r w:rsidR="004D6F32" w:rsidRPr="00584E70">
        <w:rPr>
          <w:rFonts w:ascii="Arial" w:eastAsia="Times New Roman" w:hAnsi="Arial" w:cs="Arial"/>
          <w:color w:val="000000" w:themeColor="text1"/>
        </w:rPr>
        <w:t>distance metric</w:t>
      </w:r>
      <w:r w:rsidR="004C175F" w:rsidRPr="00584E70">
        <w:rPr>
          <w:rFonts w:ascii="Arial" w:eastAsia="Times New Roman" w:hAnsi="Arial" w:cs="Arial"/>
          <w:color w:val="000000" w:themeColor="text1"/>
        </w:rPr>
        <w:t>s</w:t>
      </w:r>
      <w:r w:rsidR="004D6F32" w:rsidRPr="00584E70">
        <w:rPr>
          <w:rFonts w:ascii="Arial" w:eastAsia="Times New Roman" w:hAnsi="Arial" w:cs="Arial"/>
          <w:color w:val="000000" w:themeColor="text1"/>
        </w:rPr>
        <w:t xml:space="preserve"> used for </w:t>
      </w:r>
      <w:r w:rsidR="004D6F32" w:rsidRPr="00584E70">
        <w:rPr>
          <w:rFonts w:ascii="Arial" w:hAnsi="Arial" w:cs="Arial"/>
          <w:color w:val="000000" w:themeColor="text1"/>
        </w:rPr>
        <w:t>sPLS-DA</w:t>
      </w:r>
      <w:r w:rsidR="00F82C09">
        <w:rPr>
          <w:rFonts w:ascii="Arial" w:hAnsi="Arial" w:cs="Arial"/>
          <w:color w:val="000000" w:themeColor="text1"/>
        </w:rPr>
        <w:t xml:space="preserve"> (CLR transformed data)</w:t>
      </w:r>
      <w:r w:rsidR="004D6F32" w:rsidRPr="00584E70">
        <w:rPr>
          <w:rFonts w:ascii="Arial" w:eastAsia="Times New Roman" w:hAnsi="Arial" w:cs="Arial"/>
          <w:color w:val="000000" w:themeColor="text1"/>
        </w:rPr>
        <w:t> to estimate the classification error rate</w:t>
      </w:r>
      <w:r w:rsidR="004C175F" w:rsidRPr="00584E70">
        <w:rPr>
          <w:rFonts w:ascii="Arial" w:eastAsia="Times New Roman" w:hAnsi="Arial" w:cs="Arial"/>
          <w:color w:val="000000" w:themeColor="text1"/>
        </w:rPr>
        <w:t xml:space="preserve"> for the bacteria</w:t>
      </w:r>
      <w:r w:rsidR="00362C88" w:rsidRPr="00584E70">
        <w:rPr>
          <w:rFonts w:ascii="Arial" w:eastAsia="Times New Roman" w:hAnsi="Arial" w:cs="Arial"/>
          <w:color w:val="000000" w:themeColor="text1"/>
        </w:rPr>
        <w:t>l</w:t>
      </w:r>
      <w:r w:rsidR="004C175F" w:rsidRPr="00584E70">
        <w:rPr>
          <w:rFonts w:ascii="Arial" w:eastAsia="Times New Roman" w:hAnsi="Arial" w:cs="Arial"/>
          <w:color w:val="000000" w:themeColor="text1"/>
        </w:rPr>
        <w:t xml:space="preserve"> dataset</w:t>
      </w:r>
      <w:r w:rsidR="004D6F32" w:rsidRPr="00584E70">
        <w:rPr>
          <w:rFonts w:ascii="Arial" w:eastAsia="Times New Roman" w:hAnsi="Arial" w:cs="Arial"/>
          <w:color w:val="000000" w:themeColor="text1"/>
        </w:rPr>
        <w:t xml:space="preserve"> was the “centroids.dist</w:t>
      </w:r>
      <w:r w:rsidR="004C175F" w:rsidRPr="00584E70">
        <w:rPr>
          <w:rFonts w:ascii="Arial" w:eastAsia="Times New Roman" w:hAnsi="Arial" w:cs="Arial"/>
          <w:color w:val="000000" w:themeColor="text1"/>
        </w:rPr>
        <w:t>”</w:t>
      </w:r>
      <w:r w:rsidR="004D6F32" w:rsidRPr="00584E70">
        <w:rPr>
          <w:rFonts w:ascii="Arial" w:eastAsia="Times New Roman" w:hAnsi="Arial" w:cs="Arial"/>
          <w:color w:val="000000" w:themeColor="text1"/>
        </w:rPr>
        <w:t>.</w:t>
      </w:r>
      <w:r w:rsidR="00605BD6" w:rsidRPr="00584E70">
        <w:rPr>
          <w:rFonts w:ascii="Arial" w:eastAsia="Times New Roman" w:hAnsi="Arial" w:cs="Arial"/>
        </w:rPr>
        <w:br w:type="page"/>
      </w:r>
    </w:p>
    <w:p w14:paraId="60C0273E" w14:textId="7050B9C7" w:rsidR="004C175F" w:rsidRPr="00584E70" w:rsidRDefault="007C5EF7" w:rsidP="00584E70">
      <w:pPr>
        <w:spacing w:line="480" w:lineRule="auto"/>
        <w:rPr>
          <w:rFonts w:ascii="Arial" w:hAnsi="Arial" w:cs="Arial"/>
        </w:rPr>
      </w:pPr>
      <w:r w:rsidRPr="00584E70">
        <w:rPr>
          <w:rFonts w:ascii="Arial" w:hAnsi="Arial" w:cs="Arial"/>
          <w:noProof/>
          <w:lang w:val="en-GB" w:eastAsia="en-GB"/>
        </w:rPr>
        <w:lastRenderedPageBreak/>
        <w:drawing>
          <wp:inline distT="0" distB="0" distL="0" distR="0" wp14:anchorId="63F3FE5A" wp14:editId="5B9833A4">
            <wp:extent cx="5943600" cy="386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63975"/>
                    </a:xfrm>
                    <a:prstGeom prst="rect">
                      <a:avLst/>
                    </a:prstGeom>
                  </pic:spPr>
                </pic:pic>
              </a:graphicData>
            </a:graphic>
          </wp:inline>
        </w:drawing>
      </w:r>
    </w:p>
    <w:p w14:paraId="7901FE4E" w14:textId="77777777" w:rsidR="007C5EF7" w:rsidRPr="00584E70" w:rsidRDefault="007C5EF7" w:rsidP="00584E70">
      <w:pPr>
        <w:spacing w:line="480" w:lineRule="auto"/>
        <w:rPr>
          <w:rFonts w:ascii="Arial" w:hAnsi="Arial" w:cs="Arial"/>
        </w:rPr>
      </w:pPr>
    </w:p>
    <w:p w14:paraId="5C85ED78" w14:textId="016CDA0C" w:rsidR="007C5EF7" w:rsidRDefault="00362C88" w:rsidP="00584E70">
      <w:pPr>
        <w:spacing w:line="480" w:lineRule="auto"/>
        <w:rPr>
          <w:rFonts w:ascii="Arial" w:eastAsia="Times New Roman" w:hAnsi="Arial" w:cs="Arial"/>
          <w:color w:val="000000" w:themeColor="text1"/>
        </w:rPr>
      </w:pPr>
      <w:r w:rsidRPr="00C52A5D">
        <w:rPr>
          <w:rFonts w:ascii="Arial" w:hAnsi="Arial" w:cs="Arial"/>
          <w:b/>
        </w:rPr>
        <w:t>Figure S2</w:t>
      </w:r>
      <w:r w:rsidR="00711F62">
        <w:rPr>
          <w:rFonts w:ascii="Arial" w:hAnsi="Arial" w:cs="Arial"/>
          <w:b/>
        </w:rPr>
        <w:t>.</w:t>
      </w:r>
      <w:r w:rsidR="007C5EF7" w:rsidRPr="00584E70">
        <w:rPr>
          <w:rFonts w:ascii="Arial" w:hAnsi="Arial" w:cs="Arial"/>
        </w:rPr>
        <w:t xml:space="preserve"> Classification performance per component for two predictions distances using repeated stratified cross-validation (10</w:t>
      </w:r>
      <w:r w:rsidR="007C5EF7" w:rsidRPr="00584E70">
        <w:rPr>
          <w:rFonts w:ascii="Arial" w:eastAsia="Times New Roman" w:hAnsi="Arial" w:cs="Arial"/>
          <w:color w:val="000000" w:themeColor="text1"/>
        </w:rPr>
        <w:t xml:space="preserve"> </w:t>
      </w:r>
      <w:r w:rsidR="007C5EF7" w:rsidRPr="00584E70">
        <w:rPr>
          <w:rFonts w:ascii="Arial" w:eastAsia="Times New Roman" w:hAnsi="Arial" w:cs="Arial"/>
          <w:color w:val="333333"/>
        </w:rPr>
        <w:t xml:space="preserve">× 5-fold Cross Validation). In this study, the </w:t>
      </w:r>
      <w:r w:rsidR="007C5EF7" w:rsidRPr="00584E70">
        <w:rPr>
          <w:rFonts w:ascii="Arial" w:eastAsia="Times New Roman" w:hAnsi="Arial" w:cs="Arial"/>
          <w:color w:val="000000" w:themeColor="text1"/>
        </w:rPr>
        <w:t>distance metrics used for </w:t>
      </w:r>
      <w:r w:rsidR="007C5EF7" w:rsidRPr="00584E70">
        <w:rPr>
          <w:rFonts w:ascii="Arial" w:hAnsi="Arial" w:cs="Arial"/>
          <w:color w:val="000000" w:themeColor="text1"/>
        </w:rPr>
        <w:t>sPLS-DA</w:t>
      </w:r>
      <w:r w:rsidR="00F82C09">
        <w:rPr>
          <w:rFonts w:ascii="Arial" w:hAnsi="Arial" w:cs="Arial"/>
          <w:color w:val="000000" w:themeColor="text1"/>
        </w:rPr>
        <w:t xml:space="preserve"> (CLR transformed data)</w:t>
      </w:r>
      <w:r w:rsidR="007C5EF7" w:rsidRPr="00584E70">
        <w:rPr>
          <w:rFonts w:ascii="Arial" w:eastAsia="Times New Roman" w:hAnsi="Arial" w:cs="Arial"/>
          <w:color w:val="000000" w:themeColor="text1"/>
        </w:rPr>
        <w:t> to estimate the classification error rate for the microbial functions dataset was the “centroids.dist”.</w:t>
      </w:r>
    </w:p>
    <w:p w14:paraId="57347D54" w14:textId="77777777" w:rsidR="00F82C09" w:rsidRDefault="00F82C09" w:rsidP="00584E70">
      <w:pPr>
        <w:spacing w:line="480" w:lineRule="auto"/>
        <w:rPr>
          <w:rFonts w:ascii="Arial" w:eastAsia="Times New Roman" w:hAnsi="Arial" w:cs="Arial"/>
          <w:color w:val="000000" w:themeColor="text1"/>
        </w:rPr>
      </w:pPr>
    </w:p>
    <w:p w14:paraId="0B2A197F" w14:textId="77777777" w:rsidR="00F82C09" w:rsidRDefault="00F82C09" w:rsidP="00584E70">
      <w:pPr>
        <w:spacing w:line="480" w:lineRule="auto"/>
        <w:rPr>
          <w:rFonts w:ascii="Arial" w:eastAsia="Times New Roman" w:hAnsi="Arial" w:cs="Arial"/>
          <w:color w:val="000000" w:themeColor="text1"/>
        </w:rPr>
      </w:pPr>
    </w:p>
    <w:p w14:paraId="739247C9" w14:textId="77777777" w:rsidR="00F82C09" w:rsidRDefault="00F82C09" w:rsidP="00584E70">
      <w:pPr>
        <w:spacing w:line="480" w:lineRule="auto"/>
        <w:rPr>
          <w:rFonts w:ascii="Arial" w:eastAsia="Times New Roman" w:hAnsi="Arial" w:cs="Arial"/>
          <w:color w:val="000000" w:themeColor="text1"/>
        </w:rPr>
      </w:pPr>
    </w:p>
    <w:p w14:paraId="7966BCC3" w14:textId="77777777" w:rsidR="00F82C09" w:rsidRDefault="00F82C09" w:rsidP="00584E70">
      <w:pPr>
        <w:spacing w:line="480" w:lineRule="auto"/>
        <w:rPr>
          <w:rFonts w:ascii="Arial" w:eastAsia="Times New Roman" w:hAnsi="Arial" w:cs="Arial"/>
          <w:color w:val="000000" w:themeColor="text1"/>
        </w:rPr>
      </w:pPr>
    </w:p>
    <w:p w14:paraId="2A42E1D5" w14:textId="77777777" w:rsidR="00F82C09" w:rsidRDefault="00F82C09" w:rsidP="00584E70">
      <w:pPr>
        <w:spacing w:line="480" w:lineRule="auto"/>
        <w:rPr>
          <w:rFonts w:ascii="Arial" w:eastAsia="Times New Roman" w:hAnsi="Arial" w:cs="Arial"/>
          <w:color w:val="000000" w:themeColor="text1"/>
        </w:rPr>
      </w:pPr>
    </w:p>
    <w:p w14:paraId="0B2E69E5" w14:textId="77777777" w:rsidR="00F82C09" w:rsidRDefault="00F82C09" w:rsidP="00584E70">
      <w:pPr>
        <w:spacing w:line="480" w:lineRule="auto"/>
        <w:rPr>
          <w:rFonts w:ascii="Arial" w:eastAsia="Times New Roman" w:hAnsi="Arial" w:cs="Arial"/>
          <w:color w:val="000000" w:themeColor="text1"/>
        </w:rPr>
      </w:pPr>
    </w:p>
    <w:p w14:paraId="0BBD5334" w14:textId="77777777" w:rsidR="00F82C09" w:rsidRDefault="00F82C09" w:rsidP="00584E70">
      <w:pPr>
        <w:spacing w:line="480" w:lineRule="auto"/>
        <w:rPr>
          <w:rFonts w:ascii="Arial" w:eastAsia="Times New Roman" w:hAnsi="Arial" w:cs="Arial"/>
          <w:color w:val="000000" w:themeColor="text1"/>
        </w:rPr>
      </w:pPr>
    </w:p>
    <w:p w14:paraId="310587A0" w14:textId="6C4F9392" w:rsidR="00F82C09" w:rsidRDefault="00F82C09" w:rsidP="00584E70">
      <w:pPr>
        <w:spacing w:line="480" w:lineRule="auto"/>
        <w:rPr>
          <w:rFonts w:ascii="Arial" w:eastAsia="Times New Roman" w:hAnsi="Arial" w:cs="Arial"/>
          <w:color w:val="000000" w:themeColor="text1"/>
        </w:rPr>
      </w:pPr>
      <w:r w:rsidRPr="007F1EC9">
        <w:rPr>
          <w:rFonts w:ascii="Arial" w:eastAsia="Times New Roman" w:hAnsi="Arial" w:cs="Arial"/>
          <w:noProof/>
          <w:color w:val="000000" w:themeColor="text1"/>
          <w:lang w:val="en-GB" w:eastAsia="en-GB"/>
        </w:rPr>
        <w:lastRenderedPageBreak/>
        <w:drawing>
          <wp:inline distT="0" distB="0" distL="0" distR="0" wp14:anchorId="43DD4A31" wp14:editId="366F6B1D">
            <wp:extent cx="5943600" cy="3881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1120"/>
                    </a:xfrm>
                    <a:prstGeom prst="rect">
                      <a:avLst/>
                    </a:prstGeom>
                  </pic:spPr>
                </pic:pic>
              </a:graphicData>
            </a:graphic>
          </wp:inline>
        </w:drawing>
      </w:r>
    </w:p>
    <w:p w14:paraId="29D79212" w14:textId="77777777" w:rsidR="00F82C09" w:rsidRDefault="00F82C09" w:rsidP="00584E70">
      <w:pPr>
        <w:spacing w:line="480" w:lineRule="auto"/>
        <w:rPr>
          <w:rFonts w:ascii="Arial" w:eastAsia="Times New Roman" w:hAnsi="Arial" w:cs="Arial"/>
          <w:color w:val="000000" w:themeColor="text1"/>
        </w:rPr>
      </w:pPr>
    </w:p>
    <w:p w14:paraId="4C272652" w14:textId="6714DDDC" w:rsidR="00F82C09" w:rsidRPr="00584E70" w:rsidRDefault="00F82C09" w:rsidP="00F82C09">
      <w:pPr>
        <w:spacing w:line="480" w:lineRule="auto"/>
        <w:rPr>
          <w:rFonts w:ascii="Arial" w:eastAsia="Times New Roman" w:hAnsi="Arial" w:cs="Arial"/>
        </w:rPr>
      </w:pPr>
      <w:r>
        <w:rPr>
          <w:rFonts w:ascii="Arial" w:hAnsi="Arial" w:cs="Arial"/>
          <w:b/>
        </w:rPr>
        <w:t>Figure S3.</w:t>
      </w:r>
      <w:r w:rsidRPr="00584E70">
        <w:rPr>
          <w:rFonts w:ascii="Arial" w:hAnsi="Arial" w:cs="Arial"/>
        </w:rPr>
        <w:t xml:space="preserve"> Classification performance per component for two predictions distances using repeated stratified cross-validation (10</w:t>
      </w:r>
      <w:r w:rsidRPr="00584E70">
        <w:rPr>
          <w:rFonts w:ascii="Arial" w:eastAsia="Times New Roman" w:hAnsi="Arial" w:cs="Arial"/>
          <w:color w:val="000000" w:themeColor="text1"/>
        </w:rPr>
        <w:t xml:space="preserve"> </w:t>
      </w:r>
      <w:r w:rsidRPr="00584E70">
        <w:rPr>
          <w:rFonts w:ascii="Arial" w:eastAsia="Times New Roman" w:hAnsi="Arial" w:cs="Arial"/>
          <w:color w:val="333333"/>
        </w:rPr>
        <w:t>× 5-fold Cro</w:t>
      </w:r>
      <w:r w:rsidR="00555AD2">
        <w:rPr>
          <w:rFonts w:ascii="Arial" w:eastAsia="Times New Roman" w:hAnsi="Arial" w:cs="Arial"/>
          <w:color w:val="333333"/>
        </w:rPr>
        <w:t>ss Validation). T</w:t>
      </w:r>
      <w:r w:rsidRPr="00584E70">
        <w:rPr>
          <w:rFonts w:ascii="Arial" w:eastAsia="Times New Roman" w:hAnsi="Arial" w:cs="Arial"/>
          <w:color w:val="333333"/>
        </w:rPr>
        <w:t xml:space="preserve">he </w:t>
      </w:r>
      <w:r w:rsidRPr="00584E70">
        <w:rPr>
          <w:rFonts w:ascii="Arial" w:eastAsia="Times New Roman" w:hAnsi="Arial" w:cs="Arial"/>
          <w:color w:val="000000" w:themeColor="text1"/>
        </w:rPr>
        <w:t>distance metrics used for </w:t>
      </w:r>
      <w:r w:rsidRPr="00584E70">
        <w:rPr>
          <w:rFonts w:ascii="Arial" w:hAnsi="Arial" w:cs="Arial"/>
          <w:color w:val="000000" w:themeColor="text1"/>
        </w:rPr>
        <w:t>sPLS-DA</w:t>
      </w:r>
      <w:r>
        <w:rPr>
          <w:rFonts w:ascii="Arial" w:hAnsi="Arial" w:cs="Arial"/>
          <w:color w:val="000000" w:themeColor="text1"/>
        </w:rPr>
        <w:t xml:space="preserve"> (Relative Abundance data)</w:t>
      </w:r>
      <w:r w:rsidRPr="00584E70">
        <w:rPr>
          <w:rFonts w:ascii="Arial" w:eastAsia="Times New Roman" w:hAnsi="Arial" w:cs="Arial"/>
          <w:color w:val="000000" w:themeColor="text1"/>
        </w:rPr>
        <w:t xml:space="preserve"> to estimate the classification error rate for </w:t>
      </w:r>
      <w:r w:rsidR="00234687">
        <w:rPr>
          <w:rFonts w:ascii="Arial" w:eastAsia="Times New Roman" w:hAnsi="Arial" w:cs="Arial"/>
          <w:color w:val="000000" w:themeColor="text1"/>
        </w:rPr>
        <w:t xml:space="preserve">the </w:t>
      </w:r>
      <w:r w:rsidR="00555AD2">
        <w:rPr>
          <w:rFonts w:ascii="Arial" w:eastAsia="Times New Roman" w:hAnsi="Arial" w:cs="Arial"/>
          <w:color w:val="000000" w:themeColor="text1"/>
        </w:rPr>
        <w:t>bacterial</w:t>
      </w:r>
      <w:r w:rsidRPr="00584E70">
        <w:rPr>
          <w:rFonts w:ascii="Arial" w:eastAsia="Times New Roman" w:hAnsi="Arial" w:cs="Arial"/>
          <w:color w:val="000000" w:themeColor="text1"/>
        </w:rPr>
        <w:t xml:space="preserve"> </w:t>
      </w:r>
      <w:r w:rsidR="00234687">
        <w:rPr>
          <w:rFonts w:ascii="Arial" w:eastAsia="Times New Roman" w:hAnsi="Arial" w:cs="Arial"/>
          <w:color w:val="000000" w:themeColor="text1"/>
        </w:rPr>
        <w:t>dataset</w:t>
      </w:r>
      <w:r w:rsidR="00555AD2">
        <w:rPr>
          <w:rFonts w:ascii="Arial" w:eastAsia="Times New Roman" w:hAnsi="Arial" w:cs="Arial"/>
          <w:color w:val="000000" w:themeColor="text1"/>
        </w:rPr>
        <w:t xml:space="preserve"> </w:t>
      </w:r>
      <w:r w:rsidRPr="00584E70">
        <w:rPr>
          <w:rFonts w:ascii="Arial" w:eastAsia="Times New Roman" w:hAnsi="Arial" w:cs="Arial"/>
          <w:color w:val="000000" w:themeColor="text1"/>
        </w:rPr>
        <w:t>was the “centroids.dist”.</w:t>
      </w:r>
    </w:p>
    <w:p w14:paraId="1F9D805D" w14:textId="77777777" w:rsidR="00F82C09" w:rsidRPr="00584E70" w:rsidRDefault="00F82C09" w:rsidP="00584E70">
      <w:pPr>
        <w:spacing w:line="480" w:lineRule="auto"/>
        <w:rPr>
          <w:rFonts w:ascii="Arial" w:eastAsia="Times New Roman" w:hAnsi="Arial" w:cs="Arial"/>
        </w:rPr>
      </w:pPr>
    </w:p>
    <w:p w14:paraId="63B3E714" w14:textId="77777777" w:rsidR="004C175F" w:rsidRDefault="004C175F" w:rsidP="00584E70">
      <w:pPr>
        <w:spacing w:line="480" w:lineRule="auto"/>
        <w:rPr>
          <w:rFonts w:ascii="Arial" w:hAnsi="Arial" w:cs="Arial"/>
        </w:rPr>
      </w:pPr>
    </w:p>
    <w:p w14:paraId="589B07F3" w14:textId="77777777" w:rsidR="00F82C09" w:rsidRDefault="00F82C09" w:rsidP="00584E70">
      <w:pPr>
        <w:spacing w:line="480" w:lineRule="auto"/>
        <w:rPr>
          <w:rFonts w:ascii="Arial" w:hAnsi="Arial" w:cs="Arial"/>
        </w:rPr>
      </w:pPr>
    </w:p>
    <w:p w14:paraId="069BFF6E" w14:textId="77777777" w:rsidR="00F82C09" w:rsidRDefault="00F82C09" w:rsidP="00584E70">
      <w:pPr>
        <w:spacing w:line="480" w:lineRule="auto"/>
        <w:rPr>
          <w:rFonts w:ascii="Arial" w:hAnsi="Arial" w:cs="Arial"/>
        </w:rPr>
      </w:pPr>
    </w:p>
    <w:p w14:paraId="06A5700D" w14:textId="77777777" w:rsidR="00F82C09" w:rsidRDefault="00F82C09" w:rsidP="00584E70">
      <w:pPr>
        <w:spacing w:line="480" w:lineRule="auto"/>
        <w:rPr>
          <w:rFonts w:ascii="Arial" w:hAnsi="Arial" w:cs="Arial"/>
        </w:rPr>
      </w:pPr>
    </w:p>
    <w:p w14:paraId="10CFAC7E" w14:textId="77777777" w:rsidR="00F82C09" w:rsidRDefault="00F82C09" w:rsidP="00584E70">
      <w:pPr>
        <w:spacing w:line="480" w:lineRule="auto"/>
        <w:rPr>
          <w:rFonts w:ascii="Arial" w:hAnsi="Arial" w:cs="Arial"/>
        </w:rPr>
      </w:pPr>
    </w:p>
    <w:p w14:paraId="60664D93" w14:textId="77777777" w:rsidR="00F82C09" w:rsidRDefault="00F82C09" w:rsidP="00584E70">
      <w:pPr>
        <w:spacing w:line="480" w:lineRule="auto"/>
        <w:rPr>
          <w:rFonts w:ascii="Arial" w:hAnsi="Arial" w:cs="Arial"/>
        </w:rPr>
      </w:pPr>
    </w:p>
    <w:p w14:paraId="5B088E14" w14:textId="6236026C" w:rsidR="00F82C09" w:rsidRDefault="00F82C09" w:rsidP="00584E70">
      <w:pPr>
        <w:spacing w:line="480" w:lineRule="auto"/>
        <w:rPr>
          <w:rFonts w:ascii="Arial" w:hAnsi="Arial" w:cs="Arial"/>
        </w:rPr>
      </w:pPr>
      <w:r w:rsidRPr="007F1EC9">
        <w:rPr>
          <w:rFonts w:ascii="Arial" w:hAnsi="Arial" w:cs="Arial"/>
          <w:noProof/>
          <w:lang w:val="en-GB" w:eastAsia="en-GB"/>
        </w:rPr>
        <w:lastRenderedPageBreak/>
        <w:drawing>
          <wp:inline distT="0" distB="0" distL="0" distR="0" wp14:anchorId="4D07CC97" wp14:editId="20D20E13">
            <wp:extent cx="5943600" cy="4568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68190"/>
                    </a:xfrm>
                    <a:prstGeom prst="rect">
                      <a:avLst/>
                    </a:prstGeom>
                  </pic:spPr>
                </pic:pic>
              </a:graphicData>
            </a:graphic>
          </wp:inline>
        </w:drawing>
      </w:r>
    </w:p>
    <w:p w14:paraId="531359CB" w14:textId="147C44C9" w:rsidR="00F82C09" w:rsidRDefault="00F82C09" w:rsidP="00584E70">
      <w:pPr>
        <w:spacing w:line="480" w:lineRule="auto"/>
        <w:rPr>
          <w:rFonts w:ascii="Arial" w:hAnsi="Arial" w:cs="Arial"/>
          <w:color w:val="000000" w:themeColor="text1"/>
        </w:rPr>
      </w:pPr>
      <w:r w:rsidRPr="00F82C09">
        <w:rPr>
          <w:rFonts w:ascii="Arial" w:hAnsi="Arial" w:cs="Arial"/>
          <w:b/>
        </w:rPr>
        <w:t>Figure S4</w:t>
      </w:r>
      <w:r>
        <w:rPr>
          <w:rFonts w:ascii="Arial" w:hAnsi="Arial" w:cs="Arial"/>
          <w:b/>
        </w:rPr>
        <w:t xml:space="preserve">. </w:t>
      </w:r>
      <w:r w:rsidRPr="00F82C09">
        <w:rPr>
          <w:rFonts w:ascii="Arial" w:hAnsi="Arial" w:cs="Arial"/>
          <w:color w:val="000000" w:themeColor="text1"/>
        </w:rPr>
        <w:t>Contribution</w:t>
      </w:r>
      <w:r>
        <w:rPr>
          <w:rFonts w:ascii="Arial" w:hAnsi="Arial" w:cs="Arial"/>
          <w:color w:val="000000" w:themeColor="text1"/>
        </w:rPr>
        <w:t xml:space="preserve"> plot</w:t>
      </w:r>
      <w:r w:rsidRPr="00F82C09">
        <w:rPr>
          <w:rFonts w:ascii="Arial" w:hAnsi="Arial" w:cs="Arial"/>
          <w:color w:val="000000" w:themeColor="text1"/>
        </w:rPr>
        <w:t xml:space="preserve"> of each species selected on the first component (Relative Abundance data). Length of the bar represents the importance of each species to the component (from bottom to top). Colors indicate the breed (Black vs. Red Angus) in which the species is most abundant.</w:t>
      </w:r>
    </w:p>
    <w:p w14:paraId="25A3A665" w14:textId="77777777" w:rsidR="00187C9A" w:rsidRDefault="00187C9A" w:rsidP="00584E70">
      <w:pPr>
        <w:spacing w:line="480" w:lineRule="auto"/>
        <w:rPr>
          <w:rFonts w:ascii="Arial" w:hAnsi="Arial" w:cs="Arial"/>
          <w:color w:val="000000" w:themeColor="text1"/>
        </w:rPr>
      </w:pPr>
    </w:p>
    <w:p w14:paraId="0E2C0A0C" w14:textId="77777777" w:rsidR="00187C9A" w:rsidRDefault="00187C9A" w:rsidP="00584E70">
      <w:pPr>
        <w:spacing w:line="480" w:lineRule="auto"/>
        <w:rPr>
          <w:rFonts w:ascii="Arial" w:hAnsi="Arial" w:cs="Arial"/>
          <w:color w:val="000000" w:themeColor="text1"/>
        </w:rPr>
      </w:pPr>
    </w:p>
    <w:p w14:paraId="4D72190A" w14:textId="77777777" w:rsidR="00187C9A" w:rsidRDefault="00187C9A" w:rsidP="00584E70">
      <w:pPr>
        <w:spacing w:line="480" w:lineRule="auto"/>
        <w:rPr>
          <w:rFonts w:ascii="Arial" w:hAnsi="Arial" w:cs="Arial"/>
          <w:color w:val="000000" w:themeColor="text1"/>
        </w:rPr>
      </w:pPr>
    </w:p>
    <w:p w14:paraId="53C3F14B" w14:textId="77777777" w:rsidR="00187C9A" w:rsidRDefault="00187C9A" w:rsidP="00584E70">
      <w:pPr>
        <w:spacing w:line="480" w:lineRule="auto"/>
        <w:rPr>
          <w:rFonts w:ascii="Arial" w:hAnsi="Arial" w:cs="Arial"/>
          <w:color w:val="000000" w:themeColor="text1"/>
        </w:rPr>
      </w:pPr>
    </w:p>
    <w:p w14:paraId="0E599F48" w14:textId="77777777" w:rsidR="00187C9A" w:rsidRDefault="00187C9A" w:rsidP="00584E70">
      <w:pPr>
        <w:spacing w:line="480" w:lineRule="auto"/>
        <w:rPr>
          <w:rFonts w:ascii="Arial" w:hAnsi="Arial" w:cs="Arial"/>
          <w:color w:val="000000" w:themeColor="text1"/>
        </w:rPr>
      </w:pPr>
    </w:p>
    <w:p w14:paraId="795759C0" w14:textId="77777777" w:rsidR="00187C9A" w:rsidRDefault="00187C9A" w:rsidP="00584E70">
      <w:pPr>
        <w:spacing w:line="480" w:lineRule="auto"/>
        <w:rPr>
          <w:rFonts w:ascii="Arial" w:hAnsi="Arial" w:cs="Arial"/>
          <w:color w:val="000000" w:themeColor="text1"/>
        </w:rPr>
      </w:pPr>
    </w:p>
    <w:p w14:paraId="766EEDC8" w14:textId="1EDEE632" w:rsidR="00187C9A" w:rsidRDefault="008E608A" w:rsidP="008E608A">
      <w:pPr>
        <w:spacing w:line="480" w:lineRule="auto"/>
        <w:jc w:val="both"/>
        <w:rPr>
          <w:rFonts w:ascii="Arial" w:hAnsi="Arial" w:cs="Arial"/>
          <w:b/>
        </w:rPr>
      </w:pPr>
      <w:r w:rsidRPr="007F1EC9">
        <w:rPr>
          <w:rFonts w:ascii="Arial" w:hAnsi="Arial" w:cs="Arial"/>
          <w:b/>
          <w:noProof/>
          <w:lang w:val="en-GB" w:eastAsia="en-GB"/>
        </w:rPr>
        <w:lastRenderedPageBreak/>
        <w:drawing>
          <wp:inline distT="0" distB="0" distL="0" distR="0" wp14:anchorId="6831DD76" wp14:editId="299B9474">
            <wp:extent cx="5943600" cy="3321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21685"/>
                    </a:xfrm>
                    <a:prstGeom prst="rect">
                      <a:avLst/>
                    </a:prstGeom>
                  </pic:spPr>
                </pic:pic>
              </a:graphicData>
            </a:graphic>
          </wp:inline>
        </w:drawing>
      </w:r>
    </w:p>
    <w:p w14:paraId="598E56D2" w14:textId="77777777" w:rsidR="00187C9A" w:rsidRDefault="00187C9A" w:rsidP="008E608A">
      <w:pPr>
        <w:spacing w:line="480" w:lineRule="auto"/>
        <w:jc w:val="both"/>
        <w:rPr>
          <w:rFonts w:ascii="Arial" w:hAnsi="Arial" w:cs="Arial"/>
          <w:b/>
        </w:rPr>
      </w:pPr>
    </w:p>
    <w:p w14:paraId="2603CCE9" w14:textId="22096E5F" w:rsidR="00187C9A" w:rsidRDefault="00187C9A" w:rsidP="008E608A">
      <w:pPr>
        <w:spacing w:line="480" w:lineRule="auto"/>
        <w:jc w:val="both"/>
        <w:rPr>
          <w:rFonts w:ascii="Arial" w:hAnsi="Arial" w:cs="Arial"/>
          <w:u w:val="single"/>
        </w:rPr>
      </w:pPr>
      <w:r>
        <w:rPr>
          <w:rFonts w:ascii="Arial" w:hAnsi="Arial" w:cs="Arial"/>
          <w:b/>
        </w:rPr>
        <w:t xml:space="preserve">Figure S5. </w:t>
      </w:r>
      <w:r>
        <w:rPr>
          <w:rFonts w:ascii="Arial" w:hAnsi="Arial" w:cs="Arial"/>
        </w:rPr>
        <w:t>Power analysis for between-effect tests to detect FCR</w:t>
      </w:r>
      <w:r w:rsidR="0022285E">
        <w:rPr>
          <w:rFonts w:ascii="Arial" w:hAnsi="Arial" w:cs="Arial"/>
        </w:rPr>
        <w:t xml:space="preserve"> differences between</w:t>
      </w:r>
      <w:r>
        <w:rPr>
          <w:rFonts w:ascii="Arial" w:hAnsi="Arial" w:cs="Arial"/>
        </w:rPr>
        <w:t xml:space="preserve"> </w:t>
      </w:r>
      <w:r w:rsidR="008E608A">
        <w:rPr>
          <w:rFonts w:ascii="Arial" w:hAnsi="Arial" w:cs="Arial"/>
          <w:color w:val="000000" w:themeColor="text1"/>
        </w:rPr>
        <w:t>Black and Red Angus</w:t>
      </w:r>
      <w:r>
        <w:rPr>
          <w:rFonts w:ascii="Arial" w:hAnsi="Arial" w:cs="Arial"/>
          <w:color w:val="000000" w:themeColor="text1"/>
        </w:rPr>
        <w:t xml:space="preserve">. The figure shows that </w:t>
      </w:r>
      <w:r>
        <w:rPr>
          <w:rFonts w:ascii="Arial" w:hAnsi="Arial" w:cs="Arial"/>
        </w:rPr>
        <w:t xml:space="preserve">the </w:t>
      </w:r>
      <w:r w:rsidR="008E608A">
        <w:rPr>
          <w:rFonts w:ascii="Arial" w:hAnsi="Arial" w:cs="Arial"/>
        </w:rPr>
        <w:t>minimal</w:t>
      </w:r>
      <w:r>
        <w:rPr>
          <w:rFonts w:ascii="Arial" w:hAnsi="Arial" w:cs="Arial"/>
        </w:rPr>
        <w:t xml:space="preserve"> </w:t>
      </w:r>
      <w:r w:rsidRPr="009D6433">
        <w:rPr>
          <w:rFonts w:ascii="Arial" w:hAnsi="Arial" w:cs="Arial"/>
          <w:u w:val="single"/>
        </w:rPr>
        <w:t>sample size</w:t>
      </w:r>
      <w:r>
        <w:rPr>
          <w:rFonts w:ascii="Arial" w:hAnsi="Arial" w:cs="Arial"/>
        </w:rPr>
        <w:t xml:space="preserve"> to detect a </w:t>
      </w:r>
      <w:r w:rsidRPr="00C15DCC">
        <w:rPr>
          <w:rFonts w:ascii="Arial" w:hAnsi="Arial" w:cs="Arial"/>
          <w:u w:val="single"/>
        </w:rPr>
        <w:t>FCR effect size</w:t>
      </w:r>
      <w:r>
        <w:rPr>
          <w:rFonts w:ascii="Arial" w:hAnsi="Arial" w:cs="Arial"/>
        </w:rPr>
        <w:t xml:space="preserve"> of 1.5, with a </w:t>
      </w:r>
      <w:r w:rsidRPr="009D6433">
        <w:rPr>
          <w:rFonts w:ascii="Arial" w:hAnsi="Arial" w:cs="Arial"/>
          <w:u w:val="single"/>
        </w:rPr>
        <w:t>power</w:t>
      </w:r>
      <w:r>
        <w:rPr>
          <w:rFonts w:ascii="Arial" w:hAnsi="Arial" w:cs="Arial"/>
        </w:rPr>
        <w:t xml:space="preserve"> of 0.9 and</w:t>
      </w:r>
      <w:r w:rsidRPr="00C15DCC">
        <w:rPr>
          <w:rFonts w:ascii="Arial" w:hAnsi="Arial" w:cs="Arial"/>
        </w:rPr>
        <w:t xml:space="preserve"> </w:t>
      </w:r>
      <w:r>
        <w:rPr>
          <w:rFonts w:ascii="Arial" w:hAnsi="Arial" w:cs="Arial"/>
          <w:u w:val="single"/>
        </w:rPr>
        <w:t>p-</w:t>
      </w:r>
      <w:r w:rsidRPr="00C15DCC">
        <w:rPr>
          <w:rFonts w:ascii="Arial" w:hAnsi="Arial" w:cs="Arial"/>
          <w:u w:val="single"/>
        </w:rPr>
        <w:t>value</w:t>
      </w:r>
      <w:r w:rsidRPr="00C15DCC">
        <w:rPr>
          <w:rFonts w:ascii="Arial" w:hAnsi="Arial" w:cs="Arial"/>
        </w:rPr>
        <w:t xml:space="preserve"> &lt;0.5 </w:t>
      </w:r>
      <w:r>
        <w:rPr>
          <w:rFonts w:ascii="Arial" w:hAnsi="Arial" w:cs="Arial"/>
        </w:rPr>
        <w:t xml:space="preserve">in samples collected from Black and Red Angus over four-time points is of </w:t>
      </w:r>
      <w:r w:rsidRPr="009D6433">
        <w:rPr>
          <w:rFonts w:ascii="Arial" w:hAnsi="Arial" w:cs="Arial"/>
          <w:u w:val="single"/>
        </w:rPr>
        <w:t>9</w:t>
      </w:r>
      <w:r w:rsidRPr="00C15DCC">
        <w:rPr>
          <w:rFonts w:ascii="Arial" w:hAnsi="Arial" w:cs="Arial"/>
        </w:rPr>
        <w:t xml:space="preserve"> </w:t>
      </w:r>
      <w:r w:rsidR="00546E41">
        <w:rPr>
          <w:rFonts w:ascii="Arial" w:hAnsi="Arial" w:cs="Arial"/>
        </w:rPr>
        <w:t>animals per breed</w:t>
      </w:r>
      <w:r>
        <w:rPr>
          <w:rFonts w:ascii="Arial" w:hAnsi="Arial" w:cs="Arial"/>
          <w:u w:val="single"/>
        </w:rPr>
        <w:t>.</w:t>
      </w:r>
    </w:p>
    <w:p w14:paraId="38396767" w14:textId="77777777" w:rsidR="00891518" w:rsidRDefault="00891518" w:rsidP="008E608A">
      <w:pPr>
        <w:spacing w:line="480" w:lineRule="auto"/>
        <w:jc w:val="both"/>
        <w:rPr>
          <w:rFonts w:ascii="Arial" w:hAnsi="Arial" w:cs="Arial"/>
          <w:u w:val="single"/>
        </w:rPr>
      </w:pPr>
    </w:p>
    <w:p w14:paraId="7628DC2B" w14:textId="77777777" w:rsidR="00891518" w:rsidRDefault="00891518" w:rsidP="008E608A">
      <w:pPr>
        <w:spacing w:line="480" w:lineRule="auto"/>
        <w:jc w:val="both"/>
        <w:rPr>
          <w:rFonts w:ascii="Arial" w:hAnsi="Arial" w:cs="Arial"/>
          <w:u w:val="single"/>
        </w:rPr>
      </w:pPr>
    </w:p>
    <w:p w14:paraId="5367AECD" w14:textId="77777777" w:rsidR="00891518" w:rsidRDefault="00891518" w:rsidP="008E608A">
      <w:pPr>
        <w:spacing w:line="480" w:lineRule="auto"/>
        <w:jc w:val="both"/>
        <w:rPr>
          <w:rFonts w:ascii="Arial" w:hAnsi="Arial" w:cs="Arial"/>
          <w:u w:val="single"/>
        </w:rPr>
      </w:pPr>
    </w:p>
    <w:p w14:paraId="67485C67" w14:textId="77777777" w:rsidR="00891518" w:rsidRDefault="00891518" w:rsidP="008E608A">
      <w:pPr>
        <w:spacing w:line="480" w:lineRule="auto"/>
        <w:jc w:val="both"/>
        <w:rPr>
          <w:rFonts w:ascii="Arial" w:hAnsi="Arial" w:cs="Arial"/>
          <w:u w:val="single"/>
        </w:rPr>
      </w:pPr>
    </w:p>
    <w:p w14:paraId="7C9CEC99" w14:textId="77777777" w:rsidR="00891518" w:rsidRDefault="00891518" w:rsidP="008E608A">
      <w:pPr>
        <w:spacing w:line="480" w:lineRule="auto"/>
        <w:jc w:val="both"/>
        <w:rPr>
          <w:rFonts w:ascii="Arial" w:hAnsi="Arial" w:cs="Arial"/>
          <w:u w:val="single"/>
        </w:rPr>
      </w:pPr>
    </w:p>
    <w:p w14:paraId="631B2951" w14:textId="77777777" w:rsidR="00891518" w:rsidRDefault="00891518" w:rsidP="008E608A">
      <w:pPr>
        <w:spacing w:line="480" w:lineRule="auto"/>
        <w:jc w:val="both"/>
        <w:rPr>
          <w:rFonts w:ascii="Arial" w:hAnsi="Arial" w:cs="Arial"/>
          <w:u w:val="single"/>
        </w:rPr>
      </w:pPr>
    </w:p>
    <w:p w14:paraId="4BA87648" w14:textId="77777777" w:rsidR="00891518" w:rsidRDefault="00891518" w:rsidP="008E608A">
      <w:pPr>
        <w:spacing w:line="480" w:lineRule="auto"/>
        <w:jc w:val="both"/>
        <w:rPr>
          <w:rFonts w:ascii="Arial" w:hAnsi="Arial" w:cs="Arial"/>
          <w:u w:val="single"/>
        </w:rPr>
      </w:pPr>
    </w:p>
    <w:p w14:paraId="54099ED3" w14:textId="77777777" w:rsidR="00891518" w:rsidRDefault="00891518" w:rsidP="008E608A">
      <w:pPr>
        <w:spacing w:line="480" w:lineRule="auto"/>
        <w:jc w:val="both"/>
        <w:rPr>
          <w:rFonts w:ascii="Arial" w:hAnsi="Arial" w:cs="Arial"/>
          <w:u w:val="single"/>
        </w:rPr>
      </w:pPr>
      <w:bookmarkStart w:id="0" w:name="_GoBack"/>
      <w:bookmarkEnd w:id="0"/>
    </w:p>
    <w:sectPr w:rsidR="00891518" w:rsidSect="00A05B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LIwM7U0NzO3MDFS0lEKTi0uzszPAykwrAUA0M+U1iwAAAA="/>
  </w:docVars>
  <w:rsids>
    <w:rsidRoot w:val="004412CF"/>
    <w:rsid w:val="000307FA"/>
    <w:rsid w:val="00055F74"/>
    <w:rsid w:val="0005704A"/>
    <w:rsid w:val="00085475"/>
    <w:rsid w:val="00093988"/>
    <w:rsid w:val="00135372"/>
    <w:rsid w:val="001633E3"/>
    <w:rsid w:val="001672E7"/>
    <w:rsid w:val="00187C9A"/>
    <w:rsid w:val="001E1C90"/>
    <w:rsid w:val="001F1946"/>
    <w:rsid w:val="0022285E"/>
    <w:rsid w:val="00234687"/>
    <w:rsid w:val="002C75EF"/>
    <w:rsid w:val="002F3A37"/>
    <w:rsid w:val="00362C88"/>
    <w:rsid w:val="00363E6E"/>
    <w:rsid w:val="0038078C"/>
    <w:rsid w:val="003B28EB"/>
    <w:rsid w:val="003C1973"/>
    <w:rsid w:val="003E79F8"/>
    <w:rsid w:val="00404759"/>
    <w:rsid w:val="004065A4"/>
    <w:rsid w:val="00422440"/>
    <w:rsid w:val="0043280A"/>
    <w:rsid w:val="004412CF"/>
    <w:rsid w:val="00442A3D"/>
    <w:rsid w:val="00470058"/>
    <w:rsid w:val="004B2BC9"/>
    <w:rsid w:val="004C175F"/>
    <w:rsid w:val="004D6F32"/>
    <w:rsid w:val="00500651"/>
    <w:rsid w:val="005212CA"/>
    <w:rsid w:val="00546E41"/>
    <w:rsid w:val="00555AD2"/>
    <w:rsid w:val="00555F4D"/>
    <w:rsid w:val="00584E70"/>
    <w:rsid w:val="005D3F15"/>
    <w:rsid w:val="00605BD6"/>
    <w:rsid w:val="00616277"/>
    <w:rsid w:val="00627E95"/>
    <w:rsid w:val="006318F2"/>
    <w:rsid w:val="006B288B"/>
    <w:rsid w:val="006B44F6"/>
    <w:rsid w:val="006C442A"/>
    <w:rsid w:val="006D34E8"/>
    <w:rsid w:val="00711F62"/>
    <w:rsid w:val="00715025"/>
    <w:rsid w:val="00761130"/>
    <w:rsid w:val="00794F68"/>
    <w:rsid w:val="007B4DA4"/>
    <w:rsid w:val="007C3519"/>
    <w:rsid w:val="007C5EF7"/>
    <w:rsid w:val="007D3FDE"/>
    <w:rsid w:val="007D432E"/>
    <w:rsid w:val="007D717D"/>
    <w:rsid w:val="007D7332"/>
    <w:rsid w:val="007D7B4F"/>
    <w:rsid w:val="007F1EC9"/>
    <w:rsid w:val="0083124E"/>
    <w:rsid w:val="00831687"/>
    <w:rsid w:val="00891518"/>
    <w:rsid w:val="008B3C9B"/>
    <w:rsid w:val="008E0847"/>
    <w:rsid w:val="008E608A"/>
    <w:rsid w:val="008F20B5"/>
    <w:rsid w:val="0091114D"/>
    <w:rsid w:val="00950AD3"/>
    <w:rsid w:val="00977BE1"/>
    <w:rsid w:val="009E3829"/>
    <w:rsid w:val="00A05B58"/>
    <w:rsid w:val="00A1733B"/>
    <w:rsid w:val="00A231C7"/>
    <w:rsid w:val="00A24923"/>
    <w:rsid w:val="00A5389A"/>
    <w:rsid w:val="00AA72CE"/>
    <w:rsid w:val="00B13CB0"/>
    <w:rsid w:val="00B15739"/>
    <w:rsid w:val="00B206F8"/>
    <w:rsid w:val="00B81D4C"/>
    <w:rsid w:val="00B93059"/>
    <w:rsid w:val="00BF0DF0"/>
    <w:rsid w:val="00C10DEB"/>
    <w:rsid w:val="00C51BE4"/>
    <w:rsid w:val="00C52A5D"/>
    <w:rsid w:val="00CD17F5"/>
    <w:rsid w:val="00CF1360"/>
    <w:rsid w:val="00CF26CE"/>
    <w:rsid w:val="00CF5B12"/>
    <w:rsid w:val="00D00711"/>
    <w:rsid w:val="00D100B2"/>
    <w:rsid w:val="00D43BAC"/>
    <w:rsid w:val="00D60E20"/>
    <w:rsid w:val="00D63DE1"/>
    <w:rsid w:val="00D804D3"/>
    <w:rsid w:val="00DB605D"/>
    <w:rsid w:val="00DC76BB"/>
    <w:rsid w:val="00DE0389"/>
    <w:rsid w:val="00E464BB"/>
    <w:rsid w:val="00E50CE6"/>
    <w:rsid w:val="00E9680A"/>
    <w:rsid w:val="00F505B5"/>
    <w:rsid w:val="00F82C09"/>
    <w:rsid w:val="00F96D9F"/>
    <w:rsid w:val="00FB1B9E"/>
    <w:rsid w:val="00FC2A2E"/>
    <w:rsid w:val="00FD717D"/>
    <w:rsid w:val="00FE2258"/>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0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2"/>
    <w:qFormat/>
    <w:rsid w:val="00F96D9F"/>
    <w:pPr>
      <w:numPr>
        <w:numId w:val="1"/>
      </w:numPr>
      <w:spacing w:before="240" w:after="240"/>
      <w:outlineLvl w:val="0"/>
    </w:pPr>
    <w:rPr>
      <w:rFonts w:eastAsia="Cambria"/>
      <w:b/>
      <w:szCs w:val="24"/>
    </w:rPr>
  </w:style>
  <w:style w:type="paragraph" w:styleId="Titre2">
    <w:name w:val="heading 2"/>
    <w:basedOn w:val="Titre1"/>
    <w:next w:val="Normal"/>
    <w:link w:val="Titre2Car"/>
    <w:uiPriority w:val="2"/>
    <w:qFormat/>
    <w:rsid w:val="00F96D9F"/>
    <w:pPr>
      <w:numPr>
        <w:ilvl w:val="1"/>
      </w:numPr>
      <w:spacing w:after="200"/>
      <w:outlineLvl w:val="1"/>
    </w:pPr>
  </w:style>
  <w:style w:type="paragraph" w:styleId="Titre3">
    <w:name w:val="heading 3"/>
    <w:basedOn w:val="Normal"/>
    <w:next w:val="Normal"/>
    <w:link w:val="Titre3Car"/>
    <w:uiPriority w:val="2"/>
    <w:qFormat/>
    <w:rsid w:val="00F96D9F"/>
    <w:pPr>
      <w:keepNext/>
      <w:keepLines/>
      <w:numPr>
        <w:ilvl w:val="2"/>
        <w:numId w:val="1"/>
      </w:numPr>
      <w:spacing w:before="40" w:after="120"/>
      <w:outlineLvl w:val="2"/>
    </w:pPr>
    <w:rPr>
      <w:rFonts w:ascii="Times New Roman" w:eastAsiaTheme="majorEastAsia" w:hAnsi="Times New Roman" w:cstheme="majorBidi"/>
      <w:b/>
    </w:rPr>
  </w:style>
  <w:style w:type="paragraph" w:styleId="Titre4">
    <w:name w:val="heading 4"/>
    <w:basedOn w:val="Titre3"/>
    <w:next w:val="Normal"/>
    <w:link w:val="Titre4Car"/>
    <w:uiPriority w:val="2"/>
    <w:qFormat/>
    <w:rsid w:val="00F96D9F"/>
    <w:pPr>
      <w:numPr>
        <w:ilvl w:val="3"/>
      </w:numPr>
      <w:outlineLvl w:val="3"/>
    </w:pPr>
    <w:rPr>
      <w:iCs/>
    </w:rPr>
  </w:style>
  <w:style w:type="paragraph" w:styleId="Titre5">
    <w:name w:val="heading 5"/>
    <w:basedOn w:val="Titre4"/>
    <w:next w:val="Normal"/>
    <w:link w:val="Titre5Car"/>
    <w:uiPriority w:val="2"/>
    <w:qFormat/>
    <w:rsid w:val="00F96D9F"/>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F505B5"/>
    <w:rPr>
      <w:rFonts w:ascii="Times New Roman" w:eastAsia="Times New Roman" w:hAnsi="Times New Roman" w:cs="Times New Roman"/>
    </w:rPr>
  </w:style>
  <w:style w:type="paragraph" w:styleId="Paragraphedeliste">
    <w:name w:val="List Paragraph"/>
    <w:basedOn w:val="Normal"/>
    <w:uiPriority w:val="34"/>
    <w:qFormat/>
    <w:rsid w:val="00F505B5"/>
    <w:pPr>
      <w:ind w:left="720"/>
    </w:pPr>
    <w:rPr>
      <w:rFonts w:ascii="Times New Roman" w:hAnsi="Times New Roman" w:cs="Times New Roman"/>
      <w:szCs w:val="20"/>
    </w:rPr>
  </w:style>
  <w:style w:type="character" w:customStyle="1" w:styleId="NormalWebCar">
    <w:name w:val="Normal (Web) Car"/>
    <w:link w:val="NormalWeb"/>
    <w:rsid w:val="00F505B5"/>
    <w:rPr>
      <w:rFonts w:ascii="Times New Roman" w:eastAsia="Times New Roman" w:hAnsi="Times New Roman" w:cs="Times New Roman"/>
    </w:rPr>
  </w:style>
  <w:style w:type="character" w:styleId="Lienhypertexte">
    <w:name w:val="Hyperlink"/>
    <w:basedOn w:val="Policepardfaut"/>
    <w:rsid w:val="00F96D9F"/>
    <w:rPr>
      <w:color w:val="0000FF"/>
      <w:u w:val="single"/>
    </w:rPr>
  </w:style>
  <w:style w:type="character" w:customStyle="1" w:styleId="Titre1Car">
    <w:name w:val="Titre 1 Car"/>
    <w:basedOn w:val="Policepardfaut"/>
    <w:link w:val="Titre1"/>
    <w:uiPriority w:val="2"/>
    <w:rsid w:val="00F96D9F"/>
    <w:rPr>
      <w:rFonts w:ascii="Times New Roman" w:eastAsia="Cambria" w:hAnsi="Times New Roman" w:cs="Times New Roman"/>
      <w:b/>
    </w:rPr>
  </w:style>
  <w:style w:type="character" w:customStyle="1" w:styleId="Titre2Car">
    <w:name w:val="Titre 2 Car"/>
    <w:basedOn w:val="Policepardfaut"/>
    <w:link w:val="Titre2"/>
    <w:uiPriority w:val="2"/>
    <w:rsid w:val="00F96D9F"/>
    <w:rPr>
      <w:rFonts w:ascii="Times New Roman" w:eastAsia="Cambria" w:hAnsi="Times New Roman" w:cs="Times New Roman"/>
      <w:b/>
    </w:rPr>
  </w:style>
  <w:style w:type="character" w:customStyle="1" w:styleId="Titre3Car">
    <w:name w:val="Titre 3 Car"/>
    <w:basedOn w:val="Policepardfaut"/>
    <w:link w:val="Titre3"/>
    <w:uiPriority w:val="2"/>
    <w:rsid w:val="00F96D9F"/>
    <w:rPr>
      <w:rFonts w:ascii="Times New Roman" w:eastAsiaTheme="majorEastAsia" w:hAnsi="Times New Roman" w:cstheme="majorBidi"/>
      <w:b/>
    </w:rPr>
  </w:style>
  <w:style w:type="character" w:customStyle="1" w:styleId="Titre4Car">
    <w:name w:val="Titre 4 Car"/>
    <w:basedOn w:val="Policepardfaut"/>
    <w:link w:val="Titre4"/>
    <w:uiPriority w:val="2"/>
    <w:rsid w:val="00F96D9F"/>
    <w:rPr>
      <w:rFonts w:ascii="Times New Roman" w:eastAsiaTheme="majorEastAsia" w:hAnsi="Times New Roman" w:cstheme="majorBidi"/>
      <w:b/>
      <w:iCs/>
    </w:rPr>
  </w:style>
  <w:style w:type="character" w:customStyle="1" w:styleId="Titre5Car">
    <w:name w:val="Titre 5 Car"/>
    <w:basedOn w:val="Policepardfaut"/>
    <w:link w:val="Titre5"/>
    <w:uiPriority w:val="2"/>
    <w:rsid w:val="00F96D9F"/>
    <w:rPr>
      <w:rFonts w:ascii="Times New Roman" w:eastAsiaTheme="majorEastAsia" w:hAnsi="Times New Roman" w:cstheme="majorBidi"/>
      <w:b/>
      <w:iCs/>
    </w:rPr>
  </w:style>
  <w:style w:type="numbering" w:customStyle="1" w:styleId="Headings">
    <w:name w:val="Headings"/>
    <w:uiPriority w:val="99"/>
    <w:rsid w:val="00F96D9F"/>
    <w:pPr>
      <w:numPr>
        <w:numId w:val="1"/>
      </w:numPr>
    </w:pPr>
  </w:style>
  <w:style w:type="character" w:styleId="Textedelespacerserv">
    <w:name w:val="Placeholder Text"/>
    <w:basedOn w:val="Policepardfaut"/>
    <w:uiPriority w:val="99"/>
    <w:semiHidden/>
    <w:rsid w:val="00470058"/>
    <w:rPr>
      <w:color w:val="808080"/>
    </w:rPr>
  </w:style>
  <w:style w:type="character" w:customStyle="1" w:styleId="apple-converted-space">
    <w:name w:val="apple-converted-space"/>
    <w:basedOn w:val="Policepardfaut"/>
    <w:rsid w:val="004D6F32"/>
  </w:style>
  <w:style w:type="character" w:styleId="CodeHTML">
    <w:name w:val="HTML Code"/>
    <w:basedOn w:val="Policepardfaut"/>
    <w:uiPriority w:val="99"/>
    <w:semiHidden/>
    <w:unhideWhenUsed/>
    <w:rsid w:val="004D6F32"/>
    <w:rPr>
      <w:rFonts w:ascii="Courier New" w:eastAsiaTheme="minorHAnsi" w:hAnsi="Courier New" w:cs="Courier New"/>
      <w:sz w:val="20"/>
      <w:szCs w:val="20"/>
    </w:rPr>
  </w:style>
  <w:style w:type="character" w:styleId="Numrodeligne">
    <w:name w:val="line number"/>
    <w:basedOn w:val="Policepardfaut"/>
    <w:uiPriority w:val="99"/>
    <w:semiHidden/>
    <w:unhideWhenUsed/>
    <w:rsid w:val="00362C88"/>
  </w:style>
  <w:style w:type="paragraph" w:customStyle="1" w:styleId="ANMauthorname">
    <w:name w:val="ANM author name"/>
    <w:uiPriority w:val="99"/>
    <w:qFormat/>
    <w:rsid w:val="00584E70"/>
    <w:pPr>
      <w:spacing w:line="480" w:lineRule="auto"/>
    </w:pPr>
    <w:rPr>
      <w:rFonts w:ascii="Arial" w:eastAsia="Times New Roman" w:hAnsi="Arial" w:cs="Times New Roman"/>
      <w:lang w:val="en-GB" w:eastAsia="fr-FR"/>
    </w:rPr>
  </w:style>
  <w:style w:type="paragraph" w:customStyle="1" w:styleId="ANMmaintext">
    <w:name w:val="ANM main text"/>
    <w:link w:val="ANMmaintextCarCar"/>
    <w:uiPriority w:val="99"/>
    <w:qFormat/>
    <w:rsid w:val="00584E70"/>
    <w:pPr>
      <w:spacing w:line="480" w:lineRule="auto"/>
    </w:pPr>
    <w:rPr>
      <w:rFonts w:ascii="Arial" w:eastAsia="Times New Roman" w:hAnsi="Arial" w:cs="Times New Roman"/>
      <w:lang w:val="en-GB" w:eastAsia="fr-FR"/>
    </w:rPr>
  </w:style>
  <w:style w:type="character" w:customStyle="1" w:styleId="ANMmaintextCarCar">
    <w:name w:val="ANM main text Car Car"/>
    <w:link w:val="ANMmaintext"/>
    <w:uiPriority w:val="99"/>
    <w:locked/>
    <w:rsid w:val="00584E70"/>
    <w:rPr>
      <w:rFonts w:ascii="Arial" w:eastAsia="Times New Roman" w:hAnsi="Arial" w:cs="Times New Roman"/>
      <w:lang w:val="en-GB" w:eastAsia="fr-FR"/>
    </w:rPr>
  </w:style>
  <w:style w:type="paragraph" w:styleId="Textedebulles">
    <w:name w:val="Balloon Text"/>
    <w:basedOn w:val="Normal"/>
    <w:link w:val="TextedebullesCar"/>
    <w:uiPriority w:val="99"/>
    <w:semiHidden/>
    <w:unhideWhenUsed/>
    <w:rsid w:val="00F82C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82C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5169">
      <w:bodyDiv w:val="1"/>
      <w:marLeft w:val="0"/>
      <w:marRight w:val="0"/>
      <w:marTop w:val="0"/>
      <w:marBottom w:val="0"/>
      <w:divBdr>
        <w:top w:val="none" w:sz="0" w:space="0" w:color="auto"/>
        <w:left w:val="none" w:sz="0" w:space="0" w:color="auto"/>
        <w:bottom w:val="none" w:sz="0" w:space="0" w:color="auto"/>
        <w:right w:val="none" w:sz="0" w:space="0" w:color="auto"/>
      </w:divBdr>
    </w:div>
    <w:div w:id="958874730">
      <w:bodyDiv w:val="1"/>
      <w:marLeft w:val="0"/>
      <w:marRight w:val="0"/>
      <w:marTop w:val="0"/>
      <w:marBottom w:val="0"/>
      <w:divBdr>
        <w:top w:val="none" w:sz="0" w:space="0" w:color="auto"/>
        <w:left w:val="none" w:sz="0" w:space="0" w:color="auto"/>
        <w:bottom w:val="none" w:sz="0" w:space="0" w:color="auto"/>
        <w:right w:val="none" w:sz="0" w:space="0" w:color="auto"/>
      </w:divBdr>
    </w:div>
    <w:div w:id="1324702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guan@ualberta.ca"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2CFB-82BC-45F7-BE09-67E20992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680</Words>
  <Characters>3881</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Supplementary Figures</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Neves</dc:creator>
  <cp:keywords/>
  <dc:description/>
  <cp:lastModifiedBy>ANM</cp:lastModifiedBy>
  <cp:revision>4</cp:revision>
  <dcterms:created xsi:type="dcterms:W3CDTF">2019-09-16T10:22:00Z</dcterms:created>
  <dcterms:modified xsi:type="dcterms:W3CDTF">2019-09-16T10:26:00Z</dcterms:modified>
</cp:coreProperties>
</file>