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0C" w:rsidRPr="00194ED3" w:rsidRDefault="004A150C" w:rsidP="00EB31E2">
      <w:pPr>
        <w:pStyle w:val="ANMauthorname"/>
        <w:rPr>
          <w:rFonts w:cs="Arial"/>
          <w:b/>
          <w:lang w:val="en-US"/>
        </w:rPr>
      </w:pPr>
      <w:r w:rsidRPr="00194ED3">
        <w:rPr>
          <w:rFonts w:cs="Arial"/>
          <w:b/>
          <w:lang w:val="en-US"/>
        </w:rPr>
        <w:t>A genome-wide association study for feed efficiency-related traits in a crossbred pig population</w:t>
      </w:r>
    </w:p>
    <w:p w:rsidR="00EB31E2" w:rsidRPr="00194ED3" w:rsidRDefault="00EB31E2" w:rsidP="00EB31E2">
      <w:pPr>
        <w:pStyle w:val="ANMauthorname"/>
        <w:rPr>
          <w:rFonts w:cs="Arial"/>
          <w:lang w:val="en-US"/>
        </w:rPr>
      </w:pPr>
      <w:r w:rsidRPr="00194ED3">
        <w:rPr>
          <w:rFonts w:cs="Arial"/>
          <w:lang w:val="en-US"/>
        </w:rPr>
        <w:t xml:space="preserve">É. F. Silva, M.S. Lopes, P.S. Lopes </w:t>
      </w:r>
      <w:r w:rsidRPr="000F64C2">
        <w:rPr>
          <w:rFonts w:cs="Arial"/>
          <w:noProof/>
          <w:lang w:val="en-US"/>
        </w:rPr>
        <w:t>and</w:t>
      </w:r>
      <w:r w:rsidRPr="00194ED3">
        <w:rPr>
          <w:rFonts w:cs="Arial"/>
          <w:lang w:val="en-US"/>
        </w:rPr>
        <w:t xml:space="preserve"> E. Gasparino</w:t>
      </w:r>
    </w:p>
    <w:p w:rsidR="00BF0DE8" w:rsidRPr="00194ED3" w:rsidRDefault="00CF55E8" w:rsidP="00CA4128">
      <w:pPr>
        <w:spacing w:after="0" w:line="480" w:lineRule="auto"/>
        <w:rPr>
          <w:rStyle w:val="ANMheading1Car"/>
          <w:rFonts w:eastAsia="Times New Roman" w:cs="Times New Roman"/>
        </w:rPr>
      </w:pPr>
      <w:r w:rsidRPr="00194ED3">
        <w:rPr>
          <w:rStyle w:val="ANMheading1Car"/>
          <w:rFonts w:eastAsia="Times New Roman" w:cs="Times New Roman"/>
        </w:rPr>
        <w:t>A</w:t>
      </w:r>
      <w:r w:rsidR="00C157FD" w:rsidRPr="00194ED3">
        <w:rPr>
          <w:rStyle w:val="ANMheading1Car"/>
          <w:rFonts w:eastAsia="Times New Roman" w:cs="Times New Roman"/>
        </w:rPr>
        <w:t>nimal</w:t>
      </w:r>
      <w:r w:rsidRPr="00194ED3">
        <w:rPr>
          <w:rStyle w:val="ANMheading1Car"/>
          <w:rFonts w:eastAsia="Times New Roman" w:cs="Times New Roman"/>
        </w:rPr>
        <w:t>: An International Journal of Animal Bioscience</w:t>
      </w:r>
    </w:p>
    <w:p w:rsidR="004A150C" w:rsidRPr="00194ED3" w:rsidRDefault="004A150C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  <w:r w:rsidRPr="00194ED3">
        <w:rPr>
          <w:rStyle w:val="ANMheading1Car"/>
          <w:rFonts w:eastAsia="Times New Roman" w:cs="Times New Roman"/>
        </w:rPr>
        <w:t>Supplementary material</w:t>
      </w: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  <w:bookmarkStart w:id="0" w:name="_GoBack"/>
      <w:bookmarkEnd w:id="0"/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BF0DE8" w:rsidRPr="00194ED3" w:rsidRDefault="00BF0DE8" w:rsidP="00CA4128">
      <w:pPr>
        <w:spacing w:after="0" w:line="480" w:lineRule="auto"/>
        <w:rPr>
          <w:rStyle w:val="ANMheading1Car"/>
          <w:rFonts w:eastAsia="Times New Roman" w:cs="Times New Roman"/>
        </w:rPr>
      </w:pPr>
    </w:p>
    <w:p w:rsidR="00711F8E" w:rsidRPr="00194ED3" w:rsidRDefault="00CA4128" w:rsidP="00CA4128">
      <w:pPr>
        <w:spacing w:after="0" w:line="480" w:lineRule="auto"/>
        <w:rPr>
          <w:rFonts w:ascii="Arial" w:eastAsia="Times New Roman" w:hAnsi="Arial" w:cs="Times New Roman"/>
          <w:i/>
          <w:sz w:val="24"/>
          <w:szCs w:val="24"/>
          <w:lang w:val="en-GB" w:eastAsia="fr-FR"/>
        </w:rPr>
      </w:pPr>
      <w:r w:rsidRPr="00194ED3">
        <w:rPr>
          <w:rStyle w:val="ANMheading1Car"/>
          <w:rFonts w:eastAsia="Times New Roman" w:cs="Times New Roman"/>
        </w:rPr>
        <w:lastRenderedPageBreak/>
        <w:t>Supplementary Table S1</w:t>
      </w:r>
      <w:r w:rsidRPr="00194ED3">
        <w:rPr>
          <w:rFonts w:ascii="Arial" w:hAnsi="Arial" w:cs="Arial"/>
          <w:b/>
          <w:lang w:val="en-US"/>
        </w:rPr>
        <w:t xml:space="preserve"> </w:t>
      </w:r>
      <w:r w:rsidR="00711F8E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Formulated diet composition and nutrient content for the diets at each phase of the trial, e.g. start, gro</w:t>
      </w:r>
      <w:r w:rsidR="004A150C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 xml:space="preserve">wer and finisher (as-fed basis), used during the test period in a crossbred pig (Sus </w:t>
      </w:r>
      <w:proofErr w:type="spellStart"/>
      <w:r w:rsidR="004A150C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scrofa</w:t>
      </w:r>
      <w:proofErr w:type="spellEnd"/>
      <w:r w:rsidR="004A150C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) population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20"/>
        <w:gridCol w:w="1673"/>
        <w:gridCol w:w="1803"/>
        <w:gridCol w:w="1930"/>
      </w:tblGrid>
      <w:tr w:rsidR="00310DB0" w:rsidRPr="00194ED3" w:rsidTr="00310DB0">
        <w:trPr>
          <w:trHeight w:val="265"/>
        </w:trPr>
        <w:tc>
          <w:tcPr>
            <w:tcW w:w="20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Item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B0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Starter </w:t>
            </w:r>
          </w:p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(days 0 to 25)</w:t>
            </w:r>
          </w:p>
        </w:tc>
        <w:tc>
          <w:tcPr>
            <w:tcW w:w="9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B0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Grower </w:t>
            </w:r>
          </w:p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(days 26 to 67)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10DB0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Finisher </w:t>
            </w:r>
          </w:p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(days 68 to 107)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iCs/>
                <w:color w:val="000000"/>
                <w:lang w:val="en-US"/>
              </w:rPr>
              <w:t>Ingredients, g/kg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Wheat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321.9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400.0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350.0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Soybean meal (48% CP)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100.0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21.5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Barley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200.0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100.0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150.0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Wheat </w:t>
            </w:r>
            <w:proofErr w:type="spellStart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middlings</w:t>
            </w:r>
            <w:proofErr w:type="spellEnd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125.0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Peas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120.0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29.4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Rapeseed meal (34% CP)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63.0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80.0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100.0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Sunflower meal (38% CP)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80.0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80.0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21.9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Molasses cane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30.0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Corn gluten feed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Palm kernel meal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Soybean oil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25.0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Poultry fat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27.5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29.4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Soybean hulls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14.3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89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A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minoacid</w:t>
            </w:r>
            <w:proofErr w:type="spellEnd"/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premix</w:t>
            </w:r>
            <w:r w:rsidRPr="00194ED3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 xml:space="preserve">1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12.5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10.2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6.7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Limestone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10.9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8.9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89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Lys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ine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+ Tr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yptophan premix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3.6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Lys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ine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  <w:proofErr w:type="spellStart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HCl</w:t>
            </w:r>
            <w:proofErr w:type="spellEnd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(L 79%)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3.8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4.3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3.3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Met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hionine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(DL 99%)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0.7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0.1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Thr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eonine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(L 98%)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0.9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Val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ine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10%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1.4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Monocalcium</w:t>
            </w:r>
            <w:proofErr w:type="spellEnd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phosphate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5.3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Palm oil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17.3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16.0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proofErr w:type="spellStart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Phytase</w:t>
            </w:r>
            <w:proofErr w:type="spellEnd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premix</w:t>
            </w:r>
            <w:r w:rsidRPr="00194ED3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2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1.9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Vitamin-trace mineral premix 1</w:t>
            </w:r>
            <w:r w:rsidRPr="00194ED3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3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Salt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2.1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1.8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2.1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Sodium bicarbonate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Vitamin-trace mineral premix 2</w:t>
            </w:r>
            <w:r w:rsidRPr="00194ED3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4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Vitamin premix</w:t>
            </w:r>
            <w:r w:rsidRPr="00194ED3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5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Analyzed content, g/kg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Moisture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120.0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119.0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115.0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Ash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51.7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47.0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42.2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893A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CP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186.8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163.0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144.0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Crude fat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55.0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66.0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60.0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Starch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366.0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304.0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338.0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Calculated composition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lang w:val="en-US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0D5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N</w:t>
            </w:r>
            <w:r w:rsidR="000D5701" w:rsidRPr="00194ED3">
              <w:rPr>
                <w:rFonts w:ascii="Arial" w:eastAsia="Times New Roman" w:hAnsi="Arial" w:cs="Arial"/>
                <w:color w:val="000000"/>
                <w:lang w:val="en-US"/>
              </w:rPr>
              <w:t>et energy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,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MJ/kg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9.9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9.5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9.5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NSP, g/kg</w:t>
            </w:r>
            <w:r w:rsidRPr="00194ED3">
              <w:rPr>
                <w:rFonts w:ascii="Arial" w:eastAsia="Times New Roman" w:hAnsi="Arial" w:cs="Arial"/>
                <w:color w:val="000000"/>
                <w:vertAlign w:val="superscript"/>
                <w:lang w:val="en-US"/>
              </w:rPr>
              <w:t>6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171.9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245.2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243.6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SID Lys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ine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, g/kg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11.1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9.1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6.8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0D57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 SID </w:t>
            </w:r>
            <w:proofErr w:type="spellStart"/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Lys</w:t>
            </w:r>
            <w:r w:rsidR="00893AF3" w:rsidRPr="00194ED3">
              <w:rPr>
                <w:rFonts w:ascii="Arial" w:eastAsia="Times New Roman" w:hAnsi="Arial" w:cs="Arial"/>
                <w:color w:val="000000"/>
                <w:lang w:val="en-US"/>
              </w:rPr>
              <w:t>ine</w:t>
            </w: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:N</w:t>
            </w:r>
            <w:r w:rsidR="000D5701" w:rsidRPr="00194ED3">
              <w:rPr>
                <w:rFonts w:ascii="Arial" w:eastAsia="Times New Roman" w:hAnsi="Arial" w:cs="Arial"/>
                <w:color w:val="000000"/>
                <w:lang w:val="en-US"/>
              </w:rPr>
              <w:t>et</w:t>
            </w:r>
            <w:proofErr w:type="spellEnd"/>
            <w:r w:rsidR="000D5701" w:rsidRPr="00194ED3">
              <w:rPr>
                <w:rFonts w:ascii="Arial" w:eastAsia="Times New Roman" w:hAnsi="Arial" w:cs="Arial"/>
                <w:color w:val="000000"/>
                <w:lang w:val="en-US"/>
              </w:rPr>
              <w:t xml:space="preserve"> energy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0.7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94ED3">
              <w:rPr>
                <w:rFonts w:ascii="Arial" w:eastAsia="Times New Roman" w:hAnsi="Arial" w:cs="Arial"/>
                <w:color w:val="000000"/>
              </w:rPr>
              <w:t xml:space="preserve">  SID Met</w:t>
            </w:r>
            <w:r w:rsidR="00893AF3" w:rsidRPr="00194ED3">
              <w:rPr>
                <w:rFonts w:ascii="Arial" w:eastAsia="Times New Roman" w:hAnsi="Arial" w:cs="Arial"/>
                <w:color w:val="000000"/>
              </w:rPr>
              <w:t>hionine</w:t>
            </w:r>
            <w:r w:rsidRPr="00194ED3">
              <w:rPr>
                <w:rFonts w:ascii="Arial" w:eastAsia="Times New Roman" w:hAnsi="Arial" w:cs="Arial"/>
                <w:color w:val="000000"/>
              </w:rPr>
              <w:t xml:space="preserve"> + Cys</w:t>
            </w:r>
            <w:r w:rsidR="004B559E" w:rsidRPr="00194ED3">
              <w:rPr>
                <w:rFonts w:ascii="Arial" w:eastAsia="Times New Roman" w:hAnsi="Arial" w:cs="Arial"/>
                <w:color w:val="000000"/>
              </w:rPr>
              <w:t>teine</w:t>
            </w:r>
            <w:r w:rsidRPr="00194ED3">
              <w:rPr>
                <w:rFonts w:ascii="Arial" w:eastAsia="Times New Roman" w:hAnsi="Arial" w:cs="Arial"/>
                <w:color w:val="000000"/>
              </w:rPr>
              <w:t xml:space="preserve">, g/kg 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6.6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5.6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4.6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</w:rPr>
              <w:t xml:space="preserve">  SID Thr</w:t>
            </w:r>
            <w:r w:rsidR="004B559E" w:rsidRPr="00194ED3">
              <w:rPr>
                <w:rFonts w:ascii="Arial" w:eastAsia="Times New Roman" w:hAnsi="Arial" w:cs="Arial"/>
                <w:color w:val="000000"/>
              </w:rPr>
              <w:t>eonine</w:t>
            </w:r>
            <w:r w:rsidRPr="00194ED3">
              <w:rPr>
                <w:rFonts w:ascii="Arial" w:eastAsia="Times New Roman" w:hAnsi="Arial" w:cs="Arial"/>
                <w:color w:val="000000"/>
              </w:rPr>
              <w:t>,g/kg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7.1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6.0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4.7</w:t>
            </w:r>
          </w:p>
        </w:tc>
      </w:tr>
      <w:tr w:rsidR="00310DB0" w:rsidRPr="00194ED3" w:rsidTr="00310DB0">
        <w:trPr>
          <w:trHeight w:val="265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4B55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</w:rPr>
              <w:t xml:space="preserve">  Dig</w:t>
            </w:r>
            <w:r w:rsidR="00893AF3" w:rsidRPr="00194ED3">
              <w:rPr>
                <w:rFonts w:ascii="Arial" w:eastAsia="Times New Roman" w:hAnsi="Arial" w:cs="Arial"/>
                <w:color w:val="000000"/>
              </w:rPr>
              <w:t>estible</w:t>
            </w:r>
            <w:r w:rsidRPr="00194ED3">
              <w:rPr>
                <w:rFonts w:ascii="Arial" w:eastAsia="Times New Roman" w:hAnsi="Arial" w:cs="Arial"/>
                <w:color w:val="000000"/>
              </w:rPr>
              <w:t xml:space="preserve"> P, g/kg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3.0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1.9</w:t>
            </w:r>
          </w:p>
        </w:tc>
        <w:tc>
          <w:tcPr>
            <w:tcW w:w="10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1.5</w:t>
            </w:r>
          </w:p>
        </w:tc>
      </w:tr>
      <w:tr w:rsidR="00310DB0" w:rsidRPr="00194ED3" w:rsidTr="00310DB0">
        <w:trPr>
          <w:trHeight w:val="70"/>
        </w:trPr>
        <w:tc>
          <w:tcPr>
            <w:tcW w:w="20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1F8E" w:rsidRPr="00194ED3" w:rsidRDefault="00711F8E" w:rsidP="00310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</w:rPr>
              <w:t xml:space="preserve">  Ca, g/kg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6.9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5.5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F8E" w:rsidRPr="00194ED3" w:rsidRDefault="00711F8E" w:rsidP="00310D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US"/>
              </w:rPr>
              <w:t>3.8</w:t>
            </w:r>
          </w:p>
        </w:tc>
      </w:tr>
    </w:tbl>
    <w:p w:rsidR="00893AF3" w:rsidRPr="00194ED3" w:rsidRDefault="00893AF3" w:rsidP="00530326">
      <w:pPr>
        <w:pStyle w:val="ANMTabFootnote"/>
        <w:spacing w:line="240" w:lineRule="auto"/>
      </w:pPr>
      <w:r w:rsidRPr="00194ED3">
        <w:t xml:space="preserve">CP = Crude protein; </w:t>
      </w:r>
      <w:r w:rsidR="000D5701" w:rsidRPr="00194ED3">
        <w:t xml:space="preserve">NSP = Non-starch polysaccharide; </w:t>
      </w:r>
      <w:r w:rsidR="004B559E" w:rsidRPr="00194ED3">
        <w:t xml:space="preserve">SID = Standard </w:t>
      </w:r>
      <w:proofErr w:type="spellStart"/>
      <w:r w:rsidR="004B559E" w:rsidRPr="00194ED3">
        <w:t>ileal</w:t>
      </w:r>
      <w:proofErr w:type="spellEnd"/>
      <w:r w:rsidR="004B559E" w:rsidRPr="00194ED3">
        <w:t xml:space="preserve"> digestibility. </w:t>
      </w:r>
    </w:p>
    <w:p w:rsidR="00711F8E" w:rsidRPr="00194ED3" w:rsidRDefault="00711F8E" w:rsidP="00530326">
      <w:pPr>
        <w:pStyle w:val="ANMTabFootnote"/>
        <w:spacing w:line="240" w:lineRule="auto"/>
      </w:pPr>
      <w:r w:rsidRPr="00194ED3">
        <w:rPr>
          <w:rFonts w:cs="Arial"/>
          <w:color w:val="000000"/>
          <w:sz w:val="22"/>
          <w:szCs w:val="22"/>
          <w:vertAlign w:val="superscript"/>
          <w:lang w:val="en-US" w:eastAsia="en-US"/>
        </w:rPr>
        <w:lastRenderedPageBreak/>
        <w:t>1</w:t>
      </w:r>
      <w:r w:rsidR="004B559E" w:rsidRPr="00194ED3">
        <w:t xml:space="preserve"> Provided l</w:t>
      </w:r>
      <w:r w:rsidRPr="00194ED3">
        <w:t>ys</w:t>
      </w:r>
      <w:r w:rsidR="004B559E" w:rsidRPr="00194ED3">
        <w:t>ine</w:t>
      </w:r>
      <w:r w:rsidRPr="00194ED3">
        <w:t xml:space="preserve">, </w:t>
      </w:r>
      <w:r w:rsidR="004B559E" w:rsidRPr="00194ED3">
        <w:t xml:space="preserve">methionine, threonine, tryptophan and valine </w:t>
      </w:r>
      <w:r w:rsidRPr="00194ED3">
        <w:t xml:space="preserve">to equalize the dietary contents. </w:t>
      </w:r>
    </w:p>
    <w:p w:rsidR="00711F8E" w:rsidRPr="00194ED3" w:rsidRDefault="008A10C6" w:rsidP="00530326">
      <w:pPr>
        <w:pStyle w:val="ANMTabFootnote"/>
        <w:spacing w:line="240" w:lineRule="auto"/>
      </w:pPr>
      <w:r w:rsidRPr="00194ED3">
        <w:rPr>
          <w:rFonts w:cs="Arial"/>
          <w:color w:val="000000"/>
          <w:sz w:val="22"/>
          <w:szCs w:val="22"/>
          <w:vertAlign w:val="superscript"/>
          <w:lang w:val="en-US" w:eastAsia="en-US"/>
        </w:rPr>
        <w:t>2</w:t>
      </w:r>
      <w:r w:rsidR="00711F8E" w:rsidRPr="00194ED3">
        <w:t xml:space="preserve"> Provided </w:t>
      </w:r>
      <w:proofErr w:type="gramStart"/>
      <w:r w:rsidR="00711F8E" w:rsidRPr="00194ED3">
        <w:t xml:space="preserve">500 </w:t>
      </w:r>
      <w:proofErr w:type="spellStart"/>
      <w:r w:rsidR="00711F8E" w:rsidRPr="00194ED3">
        <w:t>phytase</w:t>
      </w:r>
      <w:proofErr w:type="spellEnd"/>
      <w:proofErr w:type="gramEnd"/>
      <w:r w:rsidR="00711F8E" w:rsidRPr="00194ED3">
        <w:t xml:space="preserve"> unit </w:t>
      </w:r>
      <w:proofErr w:type="spellStart"/>
      <w:r w:rsidR="00711F8E" w:rsidRPr="00194ED3">
        <w:t>phytase</w:t>
      </w:r>
      <w:proofErr w:type="spellEnd"/>
      <w:r w:rsidR="00711F8E" w:rsidRPr="00194ED3">
        <w:t xml:space="preserve">/kg. </w:t>
      </w:r>
    </w:p>
    <w:p w:rsidR="00711F8E" w:rsidRPr="00194ED3" w:rsidRDefault="00711F8E" w:rsidP="00530326">
      <w:pPr>
        <w:pStyle w:val="ANMTabFootnote"/>
        <w:spacing w:line="240" w:lineRule="auto"/>
      </w:pPr>
      <w:proofErr w:type="gramStart"/>
      <w:r w:rsidRPr="00194ED3">
        <w:rPr>
          <w:rFonts w:cs="Arial"/>
          <w:color w:val="000000"/>
          <w:sz w:val="22"/>
          <w:szCs w:val="22"/>
          <w:vertAlign w:val="superscript"/>
          <w:lang w:val="en-US" w:eastAsia="en-US"/>
        </w:rPr>
        <w:t xml:space="preserve">3 </w:t>
      </w:r>
      <w:r w:rsidRPr="00194ED3">
        <w:t xml:space="preserve">Supplied per kilogram of premix: 0.4 g of Ca, 15 mg of Cu (copper sulfate), 80 mg of Fe (ferrous sulfate), 24 mg of </w:t>
      </w:r>
      <w:proofErr w:type="spellStart"/>
      <w:r w:rsidRPr="00194ED3">
        <w:t>Mn</w:t>
      </w:r>
      <w:proofErr w:type="spellEnd"/>
      <w:r w:rsidRPr="00194ED3">
        <w:t xml:space="preserve"> (</w:t>
      </w:r>
      <w:proofErr w:type="spellStart"/>
      <w:r w:rsidRPr="00194ED3">
        <w:t>manganous</w:t>
      </w:r>
      <w:proofErr w:type="spellEnd"/>
      <w:r w:rsidRPr="00194ED3">
        <w:t xml:space="preserve"> oxide), 62 mg of Zn (zinc oxide), 0.04 mg of Co (cobalt oxide), 0.4 mg of I (potassium iodide), 0.</w:t>
      </w:r>
      <w:r w:rsidR="009D7EF6" w:rsidRPr="00194ED3">
        <w:t xml:space="preserve">2 mg of Se (sodium selenite), 7 </w:t>
      </w:r>
      <w:r w:rsidRPr="00194ED3">
        <w:t>500 IU of vitamin A, 1</w:t>
      </w:r>
      <w:r w:rsidR="009D7EF6" w:rsidRPr="00194ED3">
        <w:t xml:space="preserve"> </w:t>
      </w:r>
      <w:r w:rsidRPr="00194ED3">
        <w:t xml:space="preserve">500 IU of vitamin D3 , 25 IU of vitamin E, 4 mg of vitamin B2 , 6 mg of </w:t>
      </w:r>
      <w:proofErr w:type="spellStart"/>
      <w:r w:rsidRPr="00194ED3">
        <w:t>pantothenate</w:t>
      </w:r>
      <w:proofErr w:type="spellEnd"/>
      <w:r w:rsidRPr="00194ED3">
        <w:t>, 30 mg of niacin, 0.02 mg of vitamin B12 and 0.752 mg of vitamin K3 (</w:t>
      </w:r>
      <w:proofErr w:type="spellStart"/>
      <w:r w:rsidRPr="00194ED3">
        <w:t>Mervit</w:t>
      </w:r>
      <w:proofErr w:type="spellEnd"/>
      <w:r w:rsidRPr="00194ED3">
        <w:t xml:space="preserve"> START M220; </w:t>
      </w:r>
      <w:proofErr w:type="spellStart"/>
      <w:r w:rsidRPr="00194ED3">
        <w:t>NuScience</w:t>
      </w:r>
      <w:proofErr w:type="spellEnd"/>
      <w:r w:rsidRPr="00194ED3">
        <w:t>, Utrecht, the Netherlands).</w:t>
      </w:r>
      <w:proofErr w:type="gramEnd"/>
      <w:r w:rsidRPr="00194ED3">
        <w:t xml:space="preserve"> </w:t>
      </w:r>
    </w:p>
    <w:p w:rsidR="00711F8E" w:rsidRPr="00194ED3" w:rsidRDefault="00711F8E" w:rsidP="00530326">
      <w:pPr>
        <w:pStyle w:val="ANMTabFootnote"/>
        <w:spacing w:line="240" w:lineRule="auto"/>
      </w:pPr>
      <w:proofErr w:type="gramStart"/>
      <w:r w:rsidRPr="00194ED3">
        <w:rPr>
          <w:rFonts w:cs="Arial"/>
          <w:color w:val="000000"/>
          <w:sz w:val="22"/>
          <w:szCs w:val="22"/>
          <w:vertAlign w:val="superscript"/>
          <w:lang w:val="en-US" w:eastAsia="en-US"/>
        </w:rPr>
        <w:t xml:space="preserve">4 </w:t>
      </w:r>
      <w:r w:rsidRPr="00194ED3">
        <w:t xml:space="preserve">Supplied per kilogram of feed: 12 mg of Fe (ferrous sulfate), 10 mg of </w:t>
      </w:r>
      <w:proofErr w:type="spellStart"/>
      <w:r w:rsidRPr="00194ED3">
        <w:t>Mn</w:t>
      </w:r>
      <w:proofErr w:type="spellEnd"/>
      <w:r w:rsidRPr="00194ED3">
        <w:t xml:space="preserve"> (</w:t>
      </w:r>
      <w:proofErr w:type="spellStart"/>
      <w:r w:rsidRPr="00194ED3">
        <w:t>manganous</w:t>
      </w:r>
      <w:proofErr w:type="spellEnd"/>
      <w:r w:rsidRPr="00194ED3">
        <w:t xml:space="preserve"> oxide), 0.04 mg of Co cobalt oxide), 0.12 g of Ca, 0.0501 g of P, 0.04 mg of I (potassium iodide), 1</w:t>
      </w:r>
      <w:r w:rsidR="00F12255" w:rsidRPr="00194ED3">
        <w:t xml:space="preserve"> </w:t>
      </w:r>
      <w:r w:rsidRPr="00194ED3">
        <w:t xml:space="preserve">000 IU of vitamin A, 100 IU of vitamin D3 , 5 IU of vitamin E, 0.4 mg of vitamin B1, 0.8 mg of vitamin B2, 2 mg of pantothenic acid, 4 mg of </w:t>
      </w:r>
      <w:r w:rsidRPr="000F64C2">
        <w:rPr>
          <w:noProof/>
        </w:rPr>
        <w:t>niacin</w:t>
      </w:r>
      <w:r w:rsidRPr="00194ED3">
        <w:t xml:space="preserve">, 0.4 mg of vitamin B6 , 0.2 mg of folate, 0.003 mg of vitamin B12, 10 mg of vitamin C, 0.01 mg of </w:t>
      </w:r>
      <w:r w:rsidR="000F64C2" w:rsidRPr="000F64C2">
        <w:rPr>
          <w:noProof/>
        </w:rPr>
        <w:t>biotin</w:t>
      </w:r>
      <w:r w:rsidRPr="00194ED3">
        <w:t>, 0.2 mg of vitamin K3 and 40 mg of choline (</w:t>
      </w:r>
      <w:proofErr w:type="spellStart"/>
      <w:r w:rsidRPr="00194ED3">
        <w:t>Mervit</w:t>
      </w:r>
      <w:proofErr w:type="spellEnd"/>
      <w:r w:rsidRPr="00194ED3">
        <w:t xml:space="preserve"> </w:t>
      </w:r>
      <w:proofErr w:type="spellStart"/>
      <w:r w:rsidRPr="00194ED3">
        <w:t>Sporavit</w:t>
      </w:r>
      <w:proofErr w:type="spellEnd"/>
      <w:r w:rsidRPr="00194ED3">
        <w:t xml:space="preserve">; </w:t>
      </w:r>
      <w:proofErr w:type="spellStart"/>
      <w:r w:rsidRPr="00194ED3">
        <w:t>PreMervo</w:t>
      </w:r>
      <w:proofErr w:type="spellEnd"/>
      <w:r w:rsidRPr="00194ED3">
        <w:t>).</w:t>
      </w:r>
      <w:proofErr w:type="gramEnd"/>
      <w:r w:rsidRPr="00194ED3">
        <w:t xml:space="preserve"> </w:t>
      </w:r>
    </w:p>
    <w:p w:rsidR="00711F8E" w:rsidRPr="00194ED3" w:rsidRDefault="00711F8E" w:rsidP="00530326">
      <w:pPr>
        <w:pStyle w:val="ANMTabFootnote"/>
        <w:spacing w:line="240" w:lineRule="auto"/>
      </w:pPr>
      <w:r w:rsidRPr="00194ED3">
        <w:rPr>
          <w:rFonts w:cs="Arial"/>
          <w:color w:val="000000"/>
          <w:sz w:val="22"/>
          <w:szCs w:val="22"/>
          <w:vertAlign w:val="superscript"/>
          <w:lang w:val="en-US" w:eastAsia="en-US"/>
        </w:rPr>
        <w:t xml:space="preserve">5 </w:t>
      </w:r>
      <w:r w:rsidRPr="00194ED3">
        <w:t>Supplied per kilogram of feed: 2</w:t>
      </w:r>
      <w:r w:rsidR="009D7EF6" w:rsidRPr="00194ED3">
        <w:t xml:space="preserve"> </w:t>
      </w:r>
      <w:r w:rsidRPr="00194ED3">
        <w:t>500 IU of vitamin A, 500 IU of vitamin D3 and 5 IU of vitamin E (</w:t>
      </w:r>
      <w:proofErr w:type="spellStart"/>
      <w:r w:rsidRPr="00194ED3">
        <w:t>Mervit</w:t>
      </w:r>
      <w:proofErr w:type="spellEnd"/>
      <w:r w:rsidRPr="00194ED3">
        <w:t xml:space="preserve"> AD3E; </w:t>
      </w:r>
      <w:proofErr w:type="spellStart"/>
      <w:r w:rsidRPr="00194ED3">
        <w:t>PreMervo</w:t>
      </w:r>
      <w:proofErr w:type="spellEnd"/>
      <w:r w:rsidRPr="00194ED3">
        <w:t xml:space="preserve">, Utrecht, the Netherlands). </w:t>
      </w:r>
    </w:p>
    <w:p w:rsidR="00D92F03" w:rsidRPr="00194ED3" w:rsidRDefault="00711F8E" w:rsidP="00530326">
      <w:pPr>
        <w:pStyle w:val="ANMTabFootnote"/>
        <w:spacing w:line="240" w:lineRule="auto"/>
        <w:sectPr w:rsidR="00D92F03" w:rsidRPr="00194ED3" w:rsidSect="00711F8E">
          <w:pgSz w:w="11906" w:h="16838"/>
          <w:pgMar w:top="1361" w:right="1440" w:bottom="1361" w:left="1440" w:header="709" w:footer="709" w:gutter="0"/>
          <w:cols w:space="708"/>
          <w:docGrid w:linePitch="360"/>
        </w:sectPr>
      </w:pPr>
      <w:proofErr w:type="gramStart"/>
      <w:r w:rsidRPr="00194ED3">
        <w:rPr>
          <w:rFonts w:cs="Arial"/>
          <w:color w:val="000000"/>
          <w:sz w:val="22"/>
          <w:szCs w:val="22"/>
          <w:vertAlign w:val="superscript"/>
          <w:lang w:val="en-US" w:eastAsia="en-US"/>
        </w:rPr>
        <w:t>6</w:t>
      </w:r>
      <w:proofErr w:type="gramEnd"/>
      <w:r w:rsidRPr="00194ED3">
        <w:t xml:space="preserve"> NSP (g/kg) = 1</w:t>
      </w:r>
      <w:r w:rsidR="00471B21" w:rsidRPr="00194ED3">
        <w:t xml:space="preserve"> </w:t>
      </w:r>
      <w:r w:rsidRPr="00194ED3">
        <w:t xml:space="preserve">000 − ash </w:t>
      </w:r>
      <w:r w:rsidR="009D7EF6" w:rsidRPr="00194ED3">
        <w:t>–</w:t>
      </w:r>
      <w:r w:rsidRPr="00194ED3">
        <w:t xml:space="preserve"> </w:t>
      </w:r>
      <w:r w:rsidR="009D7EF6" w:rsidRPr="00194ED3">
        <w:t xml:space="preserve">crude protein </w:t>
      </w:r>
      <w:r w:rsidRPr="00194ED3">
        <w:t>− crude fat − starch − sugar * 0.97 </w:t>
      </w:r>
      <w:r w:rsidR="008A10C6" w:rsidRPr="00194ED3">
        <w:t>–</w:t>
      </w:r>
      <w:r w:rsidRPr="00194ED3">
        <w:t xml:space="preserve"> moisture</w:t>
      </w:r>
      <w:r w:rsidR="008A10C6" w:rsidRPr="00194ED3">
        <w:t>.</w:t>
      </w:r>
    </w:p>
    <w:p w:rsidR="00711F8E" w:rsidRPr="00194ED3" w:rsidRDefault="00D92F03" w:rsidP="00A97B92">
      <w:pPr>
        <w:spacing w:after="0" w:line="480" w:lineRule="auto"/>
        <w:rPr>
          <w:rFonts w:ascii="Arial" w:eastAsia="Times New Roman" w:hAnsi="Arial" w:cs="Times New Roman"/>
          <w:i/>
          <w:sz w:val="24"/>
          <w:szCs w:val="24"/>
          <w:lang w:val="en-GB" w:eastAsia="fr-FR"/>
        </w:rPr>
      </w:pPr>
      <w:r w:rsidRPr="00194ED3">
        <w:rPr>
          <w:rStyle w:val="ANMheading1Car"/>
          <w:rFonts w:eastAsia="Times New Roman" w:cs="Times New Roman"/>
        </w:rPr>
        <w:lastRenderedPageBreak/>
        <w:t xml:space="preserve">Supplementary Table S2 </w:t>
      </w:r>
      <w:r w:rsidR="000F5B40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 xml:space="preserve">Characterization of the single nucleotide polymorphisms (SNPs) with </w:t>
      </w:r>
      <w:r w:rsidR="000F5B40" w:rsidRPr="000F64C2">
        <w:rPr>
          <w:rFonts w:ascii="Arial" w:eastAsia="Times New Roman" w:hAnsi="Arial" w:cs="Times New Roman"/>
          <w:i/>
          <w:noProof/>
          <w:sz w:val="24"/>
          <w:szCs w:val="24"/>
          <w:lang w:val="en-GB" w:eastAsia="fr-FR"/>
        </w:rPr>
        <w:t>significant</w:t>
      </w:r>
      <w:r w:rsidR="000F5B40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 xml:space="preserve"> effect on </w:t>
      </w:r>
      <w:r w:rsidR="000F5B40" w:rsidRPr="000F64C2">
        <w:rPr>
          <w:rFonts w:ascii="Arial" w:eastAsia="Times New Roman" w:hAnsi="Arial" w:cs="Times New Roman"/>
          <w:i/>
          <w:noProof/>
          <w:sz w:val="24"/>
          <w:szCs w:val="24"/>
          <w:lang w:val="en-GB" w:eastAsia="fr-FR"/>
        </w:rPr>
        <w:t>average</w:t>
      </w:r>
      <w:r w:rsidR="000F5B40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 xml:space="preserve"> daily gain (ADG) and average daily feed intake (ADFI) during the test period in a crossbred pig (Sus </w:t>
      </w:r>
      <w:proofErr w:type="spellStart"/>
      <w:r w:rsidR="000F5B40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scrofa</w:t>
      </w:r>
      <w:proofErr w:type="spellEnd"/>
      <w:r w:rsidR="000F5B40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) population using a genomic relat</w:t>
      </w:r>
      <w:r w:rsidR="00A97B92" w:rsidRPr="00194ED3">
        <w:rPr>
          <w:rFonts w:ascii="Arial" w:eastAsia="Times New Roman" w:hAnsi="Arial" w:cs="Times New Roman"/>
          <w:i/>
          <w:sz w:val="24"/>
          <w:szCs w:val="24"/>
          <w:lang w:val="en-GB" w:eastAsia="fr-FR"/>
        </w:rPr>
        <w:t>ionship matrix in GCTA software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51"/>
        <w:gridCol w:w="851"/>
        <w:gridCol w:w="2693"/>
        <w:gridCol w:w="1468"/>
        <w:gridCol w:w="1027"/>
        <w:gridCol w:w="1027"/>
        <w:gridCol w:w="1109"/>
      </w:tblGrid>
      <w:tr w:rsidR="000F5B40" w:rsidRPr="00194ED3" w:rsidTr="00CA7A6F">
        <w:trPr>
          <w:trHeight w:val="300"/>
        </w:trPr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GB"/>
              </w:rPr>
              <w:t>Trait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GB"/>
              </w:rPr>
              <w:t>SSC</w:t>
            </w:r>
          </w:p>
        </w:tc>
        <w:tc>
          <w:tcPr>
            <w:tcW w:w="149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GB"/>
              </w:rPr>
              <w:t>SNPs</w:t>
            </w:r>
          </w:p>
        </w:tc>
        <w:tc>
          <w:tcPr>
            <w:tcW w:w="813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GB"/>
              </w:rPr>
              <w:t>Position (Mb)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GB"/>
              </w:rPr>
              <w:t>Effect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GB"/>
              </w:rPr>
              <w:t>SE</w:t>
            </w:r>
            <w:r w:rsidR="003D7913" w:rsidRPr="00194ED3">
              <w:rPr>
                <w:rFonts w:ascii="Arial" w:eastAsia="Times New Roman" w:hAnsi="Arial" w:cs="Arial"/>
                <w:color w:val="000000"/>
                <w:lang w:val="en-GB"/>
              </w:rPr>
              <w:t>M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  <w:lang w:val="en-GB"/>
              </w:rPr>
              <w:t>-log10</w:t>
            </w:r>
          </w:p>
        </w:tc>
      </w:tr>
      <w:tr w:rsidR="000F5B40" w:rsidRPr="00194ED3" w:rsidTr="00CA7A6F">
        <w:trPr>
          <w:trHeight w:val="315"/>
        </w:trPr>
        <w:tc>
          <w:tcPr>
            <w:tcW w:w="4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47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1492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813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569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194ED3">
              <w:rPr>
                <w:rFonts w:ascii="Arial" w:eastAsia="Times New Roman" w:hAnsi="Arial" w:cs="Arial"/>
                <w:color w:val="000000"/>
              </w:rPr>
              <w:t>(P-value)</w:t>
            </w:r>
          </w:p>
        </w:tc>
      </w:tr>
      <w:tr w:rsidR="000F5B40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ADG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ALGA0006599</w:t>
            </w:r>
            <w:r w:rsidR="00A97B92" w:rsidRPr="00194ED3">
              <w:rPr>
                <w:szCs w:val="24"/>
              </w:rPr>
              <w:t>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177.01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-18.57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3.39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7.35</w:t>
            </w:r>
          </w:p>
        </w:tc>
      </w:tr>
      <w:tr w:rsidR="000F5B40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40" w:rsidRPr="00194ED3" w:rsidRDefault="000F5B40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WU_10.2_1_177201808</w:t>
            </w:r>
            <w:r w:rsidR="00A97B92" w:rsidRPr="00194ED3">
              <w:rPr>
                <w:szCs w:val="24"/>
              </w:rPr>
              <w:t>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177.20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18.13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3.54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5B40" w:rsidRPr="00194ED3" w:rsidRDefault="000F5B40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6.53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ALGA0006623¹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178.02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18.89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3.58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6.87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WU_10.2_1_180054118¹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180.05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-15.50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6.12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WU_10.2_1_180284104¹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180.28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-17.21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3.35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6.55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ADG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12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WU_10.2_12_2865907¹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2.87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-15.23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6.01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ALGA0064359¹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2.88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-15.07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5.90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WU_10.2_12_2922849¹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2.92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-16.46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6.84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WU_10.2_12_3079587¹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3.08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-15.07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5.90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ALGA0118028¹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5.92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WU_10.2_12_3118577¹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5.92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WU_10.2_12_3139862¹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3.14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-15.37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5.92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WU_10.2_12_3211882¹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3.21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-15.06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3.11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5.90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WU_10.2_12_3221756¹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3.22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-15.06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3.11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5.90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ASGA0089013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3.31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-14.96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3.09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5.90</w:t>
            </w:r>
          </w:p>
        </w:tc>
      </w:tr>
      <w:tr w:rsidR="00A97B92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ADFI</w:t>
            </w: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</w:t>
            </w: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ALGA0006599¹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177.01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-47.47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8.45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B92" w:rsidRPr="00194ED3" w:rsidRDefault="00A97B92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7.71</w:t>
            </w:r>
          </w:p>
        </w:tc>
      </w:tr>
      <w:tr w:rsidR="00F11F57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WU_10.2_1_177201808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177.20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44.81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8.83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6.41</w:t>
            </w:r>
          </w:p>
        </w:tc>
      </w:tr>
      <w:tr w:rsidR="00F11F57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ALGA0006623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178.02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45.99</w:t>
            </w:r>
          </w:p>
        </w:tc>
        <w:tc>
          <w:tcPr>
            <w:tcW w:w="5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8.96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6.55</w:t>
            </w:r>
          </w:p>
        </w:tc>
      </w:tr>
      <w:tr w:rsidR="00F11F57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MARC0013872¹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179.33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-50.71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8.95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7.84</w:t>
            </w:r>
          </w:p>
        </w:tc>
      </w:tr>
      <w:tr w:rsidR="00F11F57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H3GA0003149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179.78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-40.55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7.94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6.49</w:t>
            </w:r>
          </w:p>
        </w:tc>
      </w:tr>
      <w:tr w:rsidR="00F11F57" w:rsidRPr="00194ED3" w:rsidTr="00CA7A6F">
        <w:trPr>
          <w:trHeight w:val="300"/>
        </w:trPr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WU_10.2_1_180284104¹</w:t>
            </w:r>
          </w:p>
        </w:tc>
        <w:tc>
          <w:tcPr>
            <w:tcW w:w="81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180.28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-47.19</w:t>
            </w:r>
          </w:p>
        </w:tc>
        <w:tc>
          <w:tcPr>
            <w:tcW w:w="56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8.30</w:t>
            </w:r>
          </w:p>
        </w:tc>
        <w:tc>
          <w:tcPr>
            <w:tcW w:w="614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7.88</w:t>
            </w:r>
          </w:p>
        </w:tc>
      </w:tr>
      <w:tr w:rsidR="00F11F57" w:rsidRPr="00194ED3" w:rsidTr="00CA7A6F">
        <w:trPr>
          <w:trHeight w:val="300"/>
        </w:trPr>
        <w:tc>
          <w:tcPr>
            <w:tcW w:w="4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</w:p>
        </w:tc>
        <w:tc>
          <w:tcPr>
            <w:tcW w:w="1492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rPr>
                <w:szCs w:val="24"/>
              </w:rPr>
            </w:pPr>
            <w:r w:rsidRPr="00194ED3">
              <w:rPr>
                <w:szCs w:val="24"/>
              </w:rPr>
              <w:t>WU_10.2_1_180358223¹</w:t>
            </w:r>
          </w:p>
        </w:tc>
        <w:tc>
          <w:tcPr>
            <w:tcW w:w="813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180.36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-38.00</w:t>
            </w:r>
          </w:p>
        </w:tc>
        <w:tc>
          <w:tcPr>
            <w:tcW w:w="5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7.27</w:t>
            </w:r>
          </w:p>
        </w:tc>
        <w:tc>
          <w:tcPr>
            <w:tcW w:w="61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11F57" w:rsidRPr="00194ED3" w:rsidRDefault="00F11F57" w:rsidP="00CA7A6F">
            <w:pPr>
              <w:pStyle w:val="ANMTabrowheading"/>
              <w:jc w:val="center"/>
              <w:rPr>
                <w:szCs w:val="24"/>
              </w:rPr>
            </w:pPr>
            <w:r w:rsidRPr="00194ED3">
              <w:rPr>
                <w:szCs w:val="24"/>
              </w:rPr>
              <w:t>6.76</w:t>
            </w:r>
          </w:p>
        </w:tc>
      </w:tr>
    </w:tbl>
    <w:p w:rsidR="000F5B40" w:rsidRPr="00194ED3" w:rsidRDefault="000F5B40" w:rsidP="008A10C6">
      <w:pPr>
        <w:pStyle w:val="ANMTabFootnote"/>
      </w:pPr>
      <w:r w:rsidRPr="00194ED3">
        <w:t xml:space="preserve">SSC = </w:t>
      </w:r>
      <w:r w:rsidRPr="00194ED3">
        <w:rPr>
          <w:i/>
        </w:rPr>
        <w:t xml:space="preserve">Sus </w:t>
      </w:r>
      <w:proofErr w:type="spellStart"/>
      <w:r w:rsidRPr="00194ED3">
        <w:rPr>
          <w:i/>
        </w:rPr>
        <w:t>scrofa</w:t>
      </w:r>
      <w:proofErr w:type="spellEnd"/>
      <w:r w:rsidRPr="00194ED3">
        <w:t xml:space="preserve"> chromosome; Position = position in Mega basis (Mb); Effect = allele substitution effect; SE</w:t>
      </w:r>
      <w:r w:rsidR="003D7913" w:rsidRPr="00194ED3">
        <w:t>M</w:t>
      </w:r>
      <w:r w:rsidRPr="00194ED3">
        <w:t>: standard error</w:t>
      </w:r>
      <w:r w:rsidR="003D7913" w:rsidRPr="00194ED3">
        <w:t xml:space="preserve"> of mean</w:t>
      </w:r>
      <w:r w:rsidRPr="00194ED3">
        <w:t>.</w:t>
      </w:r>
    </w:p>
    <w:p w:rsidR="000F5B40" w:rsidRPr="00194ED3" w:rsidRDefault="00A97B92" w:rsidP="008A10C6">
      <w:pPr>
        <w:pStyle w:val="ANMTabFootnote"/>
      </w:pPr>
      <w:r w:rsidRPr="00194ED3">
        <w:t xml:space="preserve">¹ </w:t>
      </w:r>
      <w:r w:rsidR="000F5B40" w:rsidRPr="00194ED3">
        <w:t xml:space="preserve">SNPs </w:t>
      </w:r>
      <w:r w:rsidRPr="00194ED3">
        <w:t xml:space="preserve">that </w:t>
      </w:r>
      <w:r w:rsidR="000F5B40" w:rsidRPr="000F64C2">
        <w:rPr>
          <w:noProof/>
        </w:rPr>
        <w:t>w</w:t>
      </w:r>
      <w:r w:rsidR="000F64C2">
        <w:rPr>
          <w:noProof/>
        </w:rPr>
        <w:t>ere</w:t>
      </w:r>
      <w:r w:rsidR="000F5B40" w:rsidRPr="00194ED3">
        <w:t xml:space="preserve"> also significant in the pedigree-based single-SNP </w:t>
      </w:r>
      <w:r w:rsidR="00C157FD" w:rsidRPr="00194ED3">
        <w:rPr>
          <w:rFonts w:cs="Arial"/>
          <w:lang w:val="en-US"/>
        </w:rPr>
        <w:t>genome-wide association stud</w:t>
      </w:r>
      <w:r w:rsidR="00091B3D" w:rsidRPr="00194ED3">
        <w:rPr>
          <w:rFonts w:cs="Arial"/>
          <w:lang w:val="en-US"/>
        </w:rPr>
        <w:t>y</w:t>
      </w:r>
      <w:r w:rsidR="00C157FD" w:rsidRPr="00194ED3">
        <w:t xml:space="preserve"> </w:t>
      </w:r>
      <w:r w:rsidR="000F5B40" w:rsidRPr="00194ED3">
        <w:t xml:space="preserve">in </w:t>
      </w:r>
      <w:proofErr w:type="spellStart"/>
      <w:r w:rsidR="000F5B40" w:rsidRPr="00194ED3">
        <w:t>ASReml</w:t>
      </w:r>
      <w:proofErr w:type="spellEnd"/>
      <w:r w:rsidR="000F5B40" w:rsidRPr="00194ED3">
        <w:t xml:space="preserve"> software.</w:t>
      </w:r>
    </w:p>
    <w:p w:rsidR="000F5B40" w:rsidRPr="00194ED3" w:rsidRDefault="000F5B40" w:rsidP="00711F8E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</w:p>
    <w:p w:rsidR="00EB31E2" w:rsidRPr="00194ED3" w:rsidRDefault="00EB31E2" w:rsidP="00711F8E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</w:p>
    <w:p w:rsidR="00EB31E2" w:rsidRPr="00194ED3" w:rsidRDefault="00EB31E2" w:rsidP="00711F8E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</w:p>
    <w:p w:rsidR="00EB31E2" w:rsidRPr="00194ED3" w:rsidRDefault="00EB31E2" w:rsidP="00711F8E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</w:p>
    <w:p w:rsidR="00EB31E2" w:rsidRPr="00194ED3" w:rsidRDefault="00EB31E2" w:rsidP="00711F8E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</w:p>
    <w:p w:rsidR="00EB31E2" w:rsidRPr="00194ED3" w:rsidRDefault="00EB31E2" w:rsidP="00711F8E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</w:p>
    <w:p w:rsidR="00EB31E2" w:rsidRPr="00194ED3" w:rsidRDefault="00673ABA" w:rsidP="00711F8E">
      <w:pPr>
        <w:spacing w:after="0" w:line="276" w:lineRule="auto"/>
        <w:ind w:left="142" w:hanging="142"/>
        <w:jc w:val="both"/>
        <w:rPr>
          <w:rFonts w:ascii="Arial" w:hAnsi="Arial" w:cs="Arial"/>
          <w:sz w:val="20"/>
          <w:szCs w:val="20"/>
          <w:lang w:val="en-US"/>
        </w:rPr>
      </w:pPr>
      <w:r w:rsidRPr="00194ED3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>
            <wp:extent cx="5715000" cy="6038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1E2" w:rsidRPr="003646A7" w:rsidRDefault="003646A7" w:rsidP="008C23B1">
      <w:pPr>
        <w:pStyle w:val="ANMmaintext"/>
        <w:rPr>
          <w:rFonts w:cs="Arial"/>
          <w:sz w:val="20"/>
          <w:szCs w:val="20"/>
        </w:rPr>
      </w:pPr>
      <w:proofErr w:type="gramStart"/>
      <w:r w:rsidRPr="00194ED3">
        <w:rPr>
          <w:rStyle w:val="ANMheading1Car"/>
        </w:rPr>
        <w:t xml:space="preserve">Supplementary Figure S1 </w:t>
      </w:r>
      <w:r w:rsidRPr="00194ED3">
        <w:t>Genome-wide association study for feed efficiency-related traits during the test period in a crossbred pig (</w:t>
      </w:r>
      <w:r w:rsidRPr="00194ED3">
        <w:rPr>
          <w:i/>
        </w:rPr>
        <w:t xml:space="preserve">Sus </w:t>
      </w:r>
      <w:proofErr w:type="spellStart"/>
      <w:r w:rsidRPr="00194ED3">
        <w:rPr>
          <w:i/>
        </w:rPr>
        <w:t>scrofa</w:t>
      </w:r>
      <w:proofErr w:type="spellEnd"/>
      <w:r w:rsidRPr="00194ED3">
        <w:t>) population using a genomic relationship matrix in GCTA software, represented by –log</w:t>
      </w:r>
      <w:r w:rsidRPr="00194ED3">
        <w:rPr>
          <w:vertAlign w:val="subscript"/>
        </w:rPr>
        <w:t>10</w:t>
      </w:r>
      <w:r w:rsidRPr="00194ED3">
        <w:t xml:space="preserve"> (P-values) </w:t>
      </w:r>
      <w:r w:rsidRPr="00194ED3">
        <w:rPr>
          <w:rFonts w:cs="Arial"/>
          <w:lang w:val="en-US"/>
        </w:rPr>
        <w:t>single nucleotide  polymorphisms</w:t>
      </w:r>
      <w:r w:rsidRPr="00194ED3">
        <w:t xml:space="preserve"> (SNPs) association with the traits average daily gain (ADG), average daily feed intake (ADFI) and feed conversion ratio (FCR) (axis y), on physical SNPs position on 18 autosomal chromosomes (axis x).</w:t>
      </w:r>
      <w:proofErr w:type="gramEnd"/>
      <w:r w:rsidRPr="00194ED3">
        <w:t xml:space="preserve"> </w:t>
      </w:r>
      <w:r w:rsidRPr="00194ED3">
        <w:rPr>
          <w:lang w:val="en-US"/>
        </w:rPr>
        <w:t xml:space="preserve">Little squares (□) represents the SNPs associated with </w:t>
      </w:r>
      <w:r w:rsidRPr="000F64C2">
        <w:rPr>
          <w:noProof/>
          <w:lang w:val="en-US"/>
        </w:rPr>
        <w:t>respective</w:t>
      </w:r>
      <w:r w:rsidRPr="00194ED3">
        <w:rPr>
          <w:lang w:val="en-US"/>
        </w:rPr>
        <w:t xml:space="preserve"> trait</w:t>
      </w:r>
      <w:r w:rsidR="00C157FD" w:rsidRPr="00194ED3">
        <w:rPr>
          <w:lang w:val="en-US"/>
        </w:rPr>
        <w:t>, considering a false discovery rate</w:t>
      </w:r>
      <w:r w:rsidRPr="00194ED3">
        <w:rPr>
          <w:lang w:val="en-US"/>
        </w:rPr>
        <w:t xml:space="preserve"> (FDR</w:t>
      </w:r>
      <w:r w:rsidR="00C157FD" w:rsidRPr="00194ED3">
        <w:rPr>
          <w:lang w:val="en-US"/>
        </w:rPr>
        <w:t>)</w:t>
      </w:r>
      <w:r w:rsidRPr="00194ED3">
        <w:rPr>
          <w:lang w:val="en-US"/>
        </w:rPr>
        <w:t xml:space="preserve"> ≤ 0.005.</w:t>
      </w:r>
    </w:p>
    <w:sectPr w:rsidR="00EB31E2" w:rsidRPr="003646A7" w:rsidSect="00711F8E">
      <w:pgSz w:w="11906" w:h="16838"/>
      <w:pgMar w:top="1361" w:right="1440" w:bottom="136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MzG3sDSyMDYxNzVR0lEKTi0uzszPAykwrAUAqgQFPCwAAAA="/>
  </w:docVars>
  <w:rsids>
    <w:rsidRoot w:val="00711F8E"/>
    <w:rsid w:val="00091B3D"/>
    <w:rsid w:val="000D5701"/>
    <w:rsid w:val="000F5B40"/>
    <w:rsid w:val="000F64C2"/>
    <w:rsid w:val="00141ACD"/>
    <w:rsid w:val="00194ED3"/>
    <w:rsid w:val="001A05AD"/>
    <w:rsid w:val="001F6D14"/>
    <w:rsid w:val="002A26E0"/>
    <w:rsid w:val="00310DB0"/>
    <w:rsid w:val="003646A7"/>
    <w:rsid w:val="003D7913"/>
    <w:rsid w:val="003E69A2"/>
    <w:rsid w:val="004632F1"/>
    <w:rsid w:val="00471B21"/>
    <w:rsid w:val="004A150C"/>
    <w:rsid w:val="004B559E"/>
    <w:rsid w:val="00530326"/>
    <w:rsid w:val="00597DF2"/>
    <w:rsid w:val="005C1F9C"/>
    <w:rsid w:val="006056FD"/>
    <w:rsid w:val="00613E6D"/>
    <w:rsid w:val="00673ABA"/>
    <w:rsid w:val="00711F8E"/>
    <w:rsid w:val="007E7649"/>
    <w:rsid w:val="00842BB1"/>
    <w:rsid w:val="008674E6"/>
    <w:rsid w:val="00871FAC"/>
    <w:rsid w:val="00893AF3"/>
    <w:rsid w:val="008A10C6"/>
    <w:rsid w:val="008C23B1"/>
    <w:rsid w:val="009D7EF6"/>
    <w:rsid w:val="009F1FE7"/>
    <w:rsid w:val="00A04C54"/>
    <w:rsid w:val="00A53645"/>
    <w:rsid w:val="00A93939"/>
    <w:rsid w:val="00A97B92"/>
    <w:rsid w:val="00BE7D34"/>
    <w:rsid w:val="00BF0DE8"/>
    <w:rsid w:val="00C01D5C"/>
    <w:rsid w:val="00C157FD"/>
    <w:rsid w:val="00C463FB"/>
    <w:rsid w:val="00CA4128"/>
    <w:rsid w:val="00CA7A6F"/>
    <w:rsid w:val="00CF55E8"/>
    <w:rsid w:val="00D30999"/>
    <w:rsid w:val="00D52A83"/>
    <w:rsid w:val="00D92F03"/>
    <w:rsid w:val="00DF6AE9"/>
    <w:rsid w:val="00E50F1B"/>
    <w:rsid w:val="00EB31E2"/>
    <w:rsid w:val="00F11F57"/>
    <w:rsid w:val="00F12255"/>
    <w:rsid w:val="00F85105"/>
    <w:rsid w:val="00FA427D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39C53"/>
  <w15:chartTrackingRefBased/>
  <w15:docId w15:val="{DF25EBB9-DE9A-4CCE-8626-1E21BFDAA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Mheading1Car">
    <w:name w:val="ANM heading 1 Car"/>
    <w:link w:val="ANMheading1"/>
    <w:uiPriority w:val="99"/>
    <w:locked/>
    <w:rsid w:val="00CA4128"/>
    <w:rPr>
      <w:rFonts w:ascii="Arial" w:hAnsi="Arial"/>
      <w:b/>
      <w:sz w:val="24"/>
      <w:szCs w:val="24"/>
      <w:lang w:val="en-GB"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CA4128"/>
    <w:pPr>
      <w:spacing w:after="0" w:line="480" w:lineRule="auto"/>
    </w:pPr>
    <w:rPr>
      <w:rFonts w:ascii="Arial" w:hAnsi="Arial"/>
      <w:b/>
      <w:sz w:val="24"/>
      <w:szCs w:val="24"/>
      <w:lang w:val="en-GB" w:eastAsia="fr-FR"/>
    </w:rPr>
  </w:style>
  <w:style w:type="paragraph" w:customStyle="1" w:styleId="ANMTabFootnote">
    <w:name w:val="ANM Tab Footnote"/>
    <w:rsid w:val="000F5B40"/>
    <w:pPr>
      <w:spacing w:after="0" w:line="360" w:lineRule="auto"/>
    </w:pPr>
    <w:rPr>
      <w:rFonts w:ascii="Arial" w:eastAsia="Times New Roman" w:hAnsi="Arial" w:cs="Times New Roman"/>
      <w:sz w:val="20"/>
      <w:szCs w:val="24"/>
      <w:lang w:val="en-GB" w:eastAsia="fr-FR"/>
    </w:rPr>
  </w:style>
  <w:style w:type="paragraph" w:customStyle="1" w:styleId="ANMTabrowheading">
    <w:name w:val="ANM Tab row heading"/>
    <w:rsid w:val="00CA7A6F"/>
    <w:pPr>
      <w:spacing w:after="0" w:line="360" w:lineRule="auto"/>
    </w:pPr>
    <w:rPr>
      <w:rFonts w:ascii="Arial" w:eastAsia="Times New Roman" w:hAnsi="Arial" w:cs="Times New Roman"/>
      <w:lang w:val="en-GB" w:eastAsia="fr-FR"/>
    </w:rPr>
  </w:style>
  <w:style w:type="paragraph" w:customStyle="1" w:styleId="ANMapapertitle">
    <w:name w:val="ANM a paper title"/>
    <w:next w:val="ANMauthorname"/>
    <w:link w:val="ANMapapertitleCar"/>
    <w:uiPriority w:val="99"/>
    <w:qFormat/>
    <w:rsid w:val="00EB31E2"/>
    <w:pPr>
      <w:spacing w:after="0" w:line="480" w:lineRule="auto"/>
    </w:pPr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authorname">
    <w:name w:val="ANM author name"/>
    <w:uiPriority w:val="99"/>
    <w:qFormat/>
    <w:rsid w:val="00EB31E2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apapertitleCar">
    <w:name w:val="ANM a paper title Car"/>
    <w:link w:val="ANMapapertitle"/>
    <w:uiPriority w:val="99"/>
    <w:locked/>
    <w:rsid w:val="00EB31E2"/>
    <w:rPr>
      <w:rFonts w:ascii="Arial" w:eastAsia="Times New Roman" w:hAnsi="Arial" w:cs="Times New Roman"/>
      <w:b/>
      <w:sz w:val="24"/>
      <w:szCs w:val="24"/>
      <w:lang w:val="en-GB" w:eastAsia="fr-FR"/>
    </w:rPr>
  </w:style>
  <w:style w:type="paragraph" w:customStyle="1" w:styleId="ANMsuperscript">
    <w:name w:val="ANM superscript"/>
    <w:next w:val="Normal"/>
    <w:link w:val="ANMsuperscriptCar"/>
    <w:uiPriority w:val="99"/>
    <w:qFormat/>
    <w:rsid w:val="00EB31E2"/>
    <w:pPr>
      <w:spacing w:after="0" w:line="480" w:lineRule="auto"/>
    </w:pPr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character" w:customStyle="1" w:styleId="ANMsuperscriptCar">
    <w:name w:val="ANM superscript Car"/>
    <w:link w:val="ANMsuperscript"/>
    <w:uiPriority w:val="99"/>
    <w:locked/>
    <w:rsid w:val="00EB31E2"/>
    <w:rPr>
      <w:rFonts w:ascii="Arial" w:eastAsia="Times New Roman" w:hAnsi="Arial" w:cs="Times New Roman"/>
      <w:sz w:val="24"/>
      <w:szCs w:val="24"/>
      <w:vertAlign w:val="superscript"/>
      <w:lang w:val="en-GB" w:eastAsia="fr-FR"/>
    </w:rPr>
  </w:style>
  <w:style w:type="paragraph" w:customStyle="1" w:styleId="ANMmaintext">
    <w:name w:val="ANM main text"/>
    <w:link w:val="ANMmaintextCarCar"/>
    <w:uiPriority w:val="99"/>
    <w:qFormat/>
    <w:rsid w:val="003646A7"/>
    <w:pPr>
      <w:spacing w:after="0" w:line="480" w:lineRule="auto"/>
    </w:pPr>
    <w:rPr>
      <w:rFonts w:ascii="Arial" w:eastAsia="Times New Roman" w:hAnsi="Arial" w:cs="Times New Roman"/>
      <w:sz w:val="24"/>
      <w:szCs w:val="24"/>
      <w:lang w:val="en-GB" w:eastAsia="fr-FR"/>
    </w:rPr>
  </w:style>
  <w:style w:type="character" w:customStyle="1" w:styleId="ANMmaintextCarCar">
    <w:name w:val="ANM main text Car Car"/>
    <w:link w:val="ANMmaintext"/>
    <w:uiPriority w:val="99"/>
    <w:locked/>
    <w:rsid w:val="003646A7"/>
    <w:rPr>
      <w:rFonts w:ascii="Arial" w:eastAsia="Times New Roman" w:hAnsi="Arial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7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837</Words>
  <Characters>4775</Characters>
  <Application>Microsoft Office Word</Application>
  <DocSecurity>0</DocSecurity>
  <Lines>39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TOPIGS</Company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Lopes</dc:creator>
  <cp:keywords/>
  <dc:description/>
  <cp:lastModifiedBy>ANM</cp:lastModifiedBy>
  <cp:revision>4</cp:revision>
  <dcterms:created xsi:type="dcterms:W3CDTF">2019-03-26T09:06:00Z</dcterms:created>
  <dcterms:modified xsi:type="dcterms:W3CDTF">2019-03-26T09:13:00Z</dcterms:modified>
</cp:coreProperties>
</file>