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AE9AA0" w14:textId="77777777" w:rsidR="0013030C" w:rsidRDefault="0013030C" w:rsidP="00C1487F">
      <w:pPr>
        <w:spacing w:line="240" w:lineRule="auto"/>
        <w:rPr>
          <w:rFonts w:ascii="Arial" w:hAnsi="Arial" w:cs="Arial"/>
          <w:b/>
          <w:sz w:val="24"/>
          <w:szCs w:val="24"/>
          <w:lang w:val="en-US"/>
        </w:rPr>
      </w:pPr>
      <w:r w:rsidRPr="00057355">
        <w:rPr>
          <w:rFonts w:ascii="Arial" w:hAnsi="Arial" w:cs="Arial"/>
          <w:b/>
          <w:sz w:val="24"/>
          <w:szCs w:val="24"/>
          <w:lang w:val="en-US"/>
        </w:rPr>
        <w:t>Pig cognitive bias affects the co</w:t>
      </w:r>
      <w:r>
        <w:rPr>
          <w:rFonts w:ascii="Arial" w:hAnsi="Arial" w:cs="Arial"/>
          <w:b/>
          <w:sz w:val="24"/>
          <w:szCs w:val="24"/>
          <w:lang w:val="en-US"/>
        </w:rPr>
        <w:t xml:space="preserve">nversion of muscle into meat by </w:t>
      </w:r>
      <w:r w:rsidRPr="00057355">
        <w:rPr>
          <w:rFonts w:ascii="Arial" w:hAnsi="Arial" w:cs="Arial"/>
          <w:b/>
          <w:sz w:val="24"/>
          <w:szCs w:val="24"/>
          <w:lang w:val="en-US"/>
        </w:rPr>
        <w:t>antioxidant and autophagy mechanisms</w:t>
      </w:r>
    </w:p>
    <w:p w14:paraId="2A6EB196" w14:textId="77777777" w:rsidR="00135C92" w:rsidRPr="00057355" w:rsidRDefault="00135C92" w:rsidP="00135C92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739F8993" w14:textId="77777777" w:rsidR="0013030C" w:rsidRDefault="0013030C" w:rsidP="00135C92">
      <w:pPr>
        <w:widowControl w:val="0"/>
        <w:tabs>
          <w:tab w:val="left" w:pos="8364"/>
        </w:tabs>
        <w:autoSpaceDE w:val="0"/>
        <w:autoSpaceDN w:val="0"/>
        <w:adjustRightInd w:val="0"/>
        <w:spacing w:after="240" w:line="240" w:lineRule="auto"/>
        <w:ind w:right="283"/>
        <w:jc w:val="both"/>
        <w:rPr>
          <w:rFonts w:ascii="Arial" w:eastAsiaTheme="minorEastAsia" w:hAnsi="Arial" w:cs="Arial"/>
          <w:sz w:val="24"/>
          <w:szCs w:val="24"/>
          <w:lang w:eastAsia="es-ES"/>
        </w:rPr>
      </w:pPr>
      <w:r w:rsidRPr="007476AD">
        <w:rPr>
          <w:rFonts w:ascii="Arial" w:eastAsiaTheme="minorEastAsia" w:hAnsi="Arial" w:cs="Arial"/>
          <w:sz w:val="24"/>
          <w:szCs w:val="24"/>
          <w:lang w:eastAsia="es-ES"/>
        </w:rPr>
        <w:t>Y. Potes, M. Oliván, A. Rubio-González, B. de Luxán-Delgado,</w:t>
      </w:r>
      <w:r w:rsidRPr="007476AD">
        <w:rPr>
          <w:rFonts w:ascii="Arial" w:eastAsiaTheme="minorEastAsia" w:hAnsi="Arial" w:cs="Arial"/>
          <w:sz w:val="24"/>
          <w:szCs w:val="24"/>
          <w:vertAlign w:val="superscript"/>
          <w:lang w:eastAsia="es-ES"/>
        </w:rPr>
        <w:t xml:space="preserve"> </w:t>
      </w:r>
      <w:r>
        <w:rPr>
          <w:rFonts w:ascii="Arial" w:eastAsiaTheme="minorEastAsia" w:hAnsi="Arial" w:cs="Arial"/>
          <w:sz w:val="24"/>
          <w:szCs w:val="24"/>
          <w:lang w:eastAsia="es-ES"/>
        </w:rPr>
        <w:t xml:space="preserve">F. </w:t>
      </w:r>
      <w:r w:rsidRPr="007476AD">
        <w:rPr>
          <w:rFonts w:ascii="Arial" w:eastAsiaTheme="minorEastAsia" w:hAnsi="Arial" w:cs="Arial"/>
          <w:sz w:val="24"/>
          <w:szCs w:val="24"/>
          <w:lang w:eastAsia="es-ES"/>
        </w:rPr>
        <w:t>Díaz,</w:t>
      </w:r>
      <w:r>
        <w:rPr>
          <w:rFonts w:ascii="Arial" w:eastAsiaTheme="minorEastAsia" w:hAnsi="Arial" w:cs="Arial"/>
          <w:sz w:val="24"/>
          <w:szCs w:val="24"/>
          <w:lang w:eastAsia="es-ES"/>
        </w:rPr>
        <w:t xml:space="preserve"> V</w:t>
      </w:r>
      <w:r w:rsidRPr="007476AD">
        <w:rPr>
          <w:rFonts w:ascii="Arial" w:eastAsiaTheme="minorEastAsia" w:hAnsi="Arial" w:cs="Arial"/>
          <w:sz w:val="24"/>
          <w:szCs w:val="24"/>
          <w:lang w:eastAsia="es-ES"/>
        </w:rPr>
        <w:t xml:space="preserve">. Sierra, L. </w:t>
      </w:r>
      <w:r w:rsidRPr="007476AD">
        <w:rPr>
          <w:rFonts w:ascii="Arial" w:eastAsiaTheme="minorEastAsia" w:hAnsi="Arial" w:cs="Arial"/>
          <w:bCs/>
          <w:sz w:val="24"/>
          <w:szCs w:val="24"/>
          <w:lang w:eastAsia="es-ES"/>
        </w:rPr>
        <w:t>Arroyo, R. Peña, A. Bassols, J. González, R.</w:t>
      </w:r>
      <w:r>
        <w:rPr>
          <w:rFonts w:ascii="Arial" w:eastAsiaTheme="minorEastAsia" w:hAnsi="Arial" w:cs="Arial"/>
          <w:bCs/>
          <w:sz w:val="24"/>
          <w:szCs w:val="24"/>
          <w:lang w:eastAsia="es-ES"/>
        </w:rPr>
        <w:t xml:space="preserve"> </w:t>
      </w:r>
      <w:r w:rsidRPr="007476AD">
        <w:rPr>
          <w:rFonts w:ascii="Arial" w:eastAsiaTheme="minorEastAsia" w:hAnsi="Arial" w:cs="Arial"/>
          <w:bCs/>
          <w:sz w:val="24"/>
          <w:szCs w:val="24"/>
          <w:lang w:eastAsia="es-ES"/>
        </w:rPr>
        <w:t>Carreras,</w:t>
      </w:r>
      <w:r w:rsidRPr="007476AD">
        <w:rPr>
          <w:rFonts w:ascii="Arial" w:eastAsia="Baoli SC Regular" w:hAnsi="Arial" w:cs="Arial"/>
          <w:sz w:val="24"/>
          <w:szCs w:val="24"/>
          <w:vertAlign w:val="superscript"/>
          <w:lang w:eastAsia="es-ES"/>
        </w:rPr>
        <w:t xml:space="preserve"> </w:t>
      </w:r>
      <w:r w:rsidRPr="007476AD">
        <w:rPr>
          <w:rFonts w:ascii="Arial" w:eastAsiaTheme="minorEastAsia" w:hAnsi="Arial" w:cs="Arial"/>
          <w:bCs/>
          <w:sz w:val="24"/>
          <w:szCs w:val="24"/>
          <w:lang w:eastAsia="es-ES"/>
        </w:rPr>
        <w:t>A. Velarde, M. Muñoz-Torres,</w:t>
      </w:r>
      <w:r w:rsidRPr="007476AD">
        <w:rPr>
          <w:rFonts w:ascii="Arial" w:eastAsiaTheme="minorEastAsia" w:hAnsi="Arial" w:cs="Arial"/>
          <w:sz w:val="24"/>
          <w:szCs w:val="24"/>
          <w:lang w:eastAsia="es-ES"/>
        </w:rPr>
        <w:t xml:space="preserve"> A. Coto-Montes</w:t>
      </w:r>
    </w:p>
    <w:p w14:paraId="5880A529" w14:textId="2BCB26FD" w:rsidR="00EC3A1F" w:rsidRDefault="00E907FE" w:rsidP="00135C92">
      <w:pPr>
        <w:widowControl w:val="0"/>
        <w:tabs>
          <w:tab w:val="left" w:pos="8364"/>
        </w:tabs>
        <w:autoSpaceDE w:val="0"/>
        <w:autoSpaceDN w:val="0"/>
        <w:adjustRightInd w:val="0"/>
        <w:spacing w:after="240" w:line="240" w:lineRule="auto"/>
        <w:ind w:right="283"/>
        <w:jc w:val="both"/>
        <w:rPr>
          <w:rFonts w:ascii="Arial" w:eastAsiaTheme="minorEastAsia" w:hAnsi="Arial" w:cs="Arial"/>
          <w:sz w:val="24"/>
          <w:szCs w:val="24"/>
          <w:vertAlign w:val="superscript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11AC9618" wp14:editId="2BA393A0">
            <wp:simplePos x="0" y="0"/>
            <wp:positionH relativeFrom="column">
              <wp:posOffset>-685800</wp:posOffset>
            </wp:positionH>
            <wp:positionV relativeFrom="paragraph">
              <wp:posOffset>27940</wp:posOffset>
            </wp:positionV>
            <wp:extent cx="7199630" cy="539686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A0576" w14:textId="5713C075" w:rsidR="00E907FE" w:rsidRDefault="00E907FE" w:rsidP="00135C92">
      <w:pPr>
        <w:widowControl w:val="0"/>
        <w:tabs>
          <w:tab w:val="left" w:pos="8364"/>
        </w:tabs>
        <w:autoSpaceDE w:val="0"/>
        <w:autoSpaceDN w:val="0"/>
        <w:adjustRightInd w:val="0"/>
        <w:spacing w:after="240" w:line="240" w:lineRule="auto"/>
        <w:ind w:right="283"/>
        <w:jc w:val="both"/>
        <w:rPr>
          <w:rFonts w:ascii="Arial" w:eastAsiaTheme="minorEastAsia" w:hAnsi="Arial" w:cs="Arial"/>
          <w:sz w:val="24"/>
          <w:szCs w:val="24"/>
          <w:vertAlign w:val="superscript"/>
          <w:lang w:eastAsia="es-ES"/>
        </w:rPr>
      </w:pPr>
    </w:p>
    <w:p w14:paraId="127041BB" w14:textId="77777777" w:rsidR="00E907FE" w:rsidRDefault="00E907FE" w:rsidP="00135C92">
      <w:pPr>
        <w:widowControl w:val="0"/>
        <w:tabs>
          <w:tab w:val="left" w:pos="8364"/>
        </w:tabs>
        <w:autoSpaceDE w:val="0"/>
        <w:autoSpaceDN w:val="0"/>
        <w:adjustRightInd w:val="0"/>
        <w:spacing w:after="240" w:line="240" w:lineRule="auto"/>
        <w:ind w:right="283"/>
        <w:jc w:val="both"/>
        <w:rPr>
          <w:rFonts w:ascii="Arial" w:eastAsiaTheme="minorEastAsia" w:hAnsi="Arial" w:cs="Arial"/>
          <w:sz w:val="24"/>
          <w:szCs w:val="24"/>
          <w:vertAlign w:val="superscript"/>
          <w:lang w:eastAsia="es-ES"/>
        </w:rPr>
      </w:pPr>
    </w:p>
    <w:p w14:paraId="77966FCF" w14:textId="3FB1114A" w:rsidR="00E907FE" w:rsidRDefault="00E907FE" w:rsidP="00135C92">
      <w:pPr>
        <w:widowControl w:val="0"/>
        <w:tabs>
          <w:tab w:val="left" w:pos="8364"/>
        </w:tabs>
        <w:autoSpaceDE w:val="0"/>
        <w:autoSpaceDN w:val="0"/>
        <w:adjustRightInd w:val="0"/>
        <w:spacing w:after="240" w:line="240" w:lineRule="auto"/>
        <w:ind w:right="283"/>
        <w:jc w:val="both"/>
        <w:rPr>
          <w:rFonts w:ascii="Arial" w:eastAsiaTheme="minorEastAsia" w:hAnsi="Arial" w:cs="Arial"/>
          <w:sz w:val="24"/>
          <w:szCs w:val="24"/>
          <w:vertAlign w:val="superscript"/>
          <w:lang w:eastAsia="es-ES"/>
        </w:rPr>
      </w:pPr>
    </w:p>
    <w:p w14:paraId="614C3FF9" w14:textId="77777777" w:rsidR="00E907FE" w:rsidRDefault="00E907FE" w:rsidP="00135C92">
      <w:pPr>
        <w:widowControl w:val="0"/>
        <w:tabs>
          <w:tab w:val="left" w:pos="8364"/>
        </w:tabs>
        <w:autoSpaceDE w:val="0"/>
        <w:autoSpaceDN w:val="0"/>
        <w:adjustRightInd w:val="0"/>
        <w:spacing w:after="240" w:line="240" w:lineRule="auto"/>
        <w:ind w:right="283"/>
        <w:jc w:val="both"/>
        <w:rPr>
          <w:rFonts w:ascii="Arial" w:eastAsiaTheme="minorEastAsia" w:hAnsi="Arial" w:cs="Arial"/>
          <w:sz w:val="24"/>
          <w:szCs w:val="24"/>
          <w:vertAlign w:val="superscript"/>
          <w:lang w:eastAsia="es-ES"/>
        </w:rPr>
      </w:pPr>
    </w:p>
    <w:p w14:paraId="453F2353" w14:textId="77777777" w:rsidR="00E907FE" w:rsidRDefault="00E907FE" w:rsidP="00135C92">
      <w:pPr>
        <w:widowControl w:val="0"/>
        <w:tabs>
          <w:tab w:val="left" w:pos="8364"/>
        </w:tabs>
        <w:autoSpaceDE w:val="0"/>
        <w:autoSpaceDN w:val="0"/>
        <w:adjustRightInd w:val="0"/>
        <w:spacing w:after="240" w:line="240" w:lineRule="auto"/>
        <w:ind w:right="283"/>
        <w:jc w:val="both"/>
        <w:rPr>
          <w:rFonts w:ascii="Arial" w:eastAsiaTheme="minorEastAsia" w:hAnsi="Arial" w:cs="Arial"/>
          <w:sz w:val="24"/>
          <w:szCs w:val="24"/>
          <w:vertAlign w:val="superscript"/>
          <w:lang w:eastAsia="es-ES"/>
        </w:rPr>
      </w:pPr>
    </w:p>
    <w:p w14:paraId="223B0843" w14:textId="77777777" w:rsidR="00E907FE" w:rsidRDefault="00E907FE" w:rsidP="00135C92">
      <w:pPr>
        <w:widowControl w:val="0"/>
        <w:tabs>
          <w:tab w:val="left" w:pos="8364"/>
        </w:tabs>
        <w:autoSpaceDE w:val="0"/>
        <w:autoSpaceDN w:val="0"/>
        <w:adjustRightInd w:val="0"/>
        <w:spacing w:after="240" w:line="240" w:lineRule="auto"/>
        <w:ind w:right="283"/>
        <w:jc w:val="both"/>
        <w:rPr>
          <w:rFonts w:ascii="Arial" w:eastAsiaTheme="minorEastAsia" w:hAnsi="Arial" w:cs="Arial"/>
          <w:sz w:val="24"/>
          <w:szCs w:val="24"/>
          <w:vertAlign w:val="superscript"/>
          <w:lang w:eastAsia="es-ES"/>
        </w:rPr>
      </w:pPr>
    </w:p>
    <w:p w14:paraId="4DB8B566" w14:textId="1FCABF20" w:rsidR="00E907FE" w:rsidRDefault="00E907FE" w:rsidP="00135C92">
      <w:pPr>
        <w:widowControl w:val="0"/>
        <w:tabs>
          <w:tab w:val="left" w:pos="8364"/>
        </w:tabs>
        <w:autoSpaceDE w:val="0"/>
        <w:autoSpaceDN w:val="0"/>
        <w:adjustRightInd w:val="0"/>
        <w:spacing w:after="240" w:line="240" w:lineRule="auto"/>
        <w:ind w:right="283"/>
        <w:jc w:val="both"/>
        <w:rPr>
          <w:rFonts w:ascii="Arial" w:eastAsiaTheme="minorEastAsia" w:hAnsi="Arial" w:cs="Arial"/>
          <w:sz w:val="24"/>
          <w:szCs w:val="24"/>
          <w:vertAlign w:val="superscript"/>
          <w:lang w:eastAsia="es-ES"/>
        </w:rPr>
      </w:pPr>
    </w:p>
    <w:p w14:paraId="4213F9B3" w14:textId="77777777" w:rsidR="00E907FE" w:rsidRDefault="00E907FE" w:rsidP="00135C92">
      <w:pPr>
        <w:widowControl w:val="0"/>
        <w:tabs>
          <w:tab w:val="left" w:pos="8364"/>
        </w:tabs>
        <w:autoSpaceDE w:val="0"/>
        <w:autoSpaceDN w:val="0"/>
        <w:adjustRightInd w:val="0"/>
        <w:spacing w:after="240" w:line="240" w:lineRule="auto"/>
        <w:ind w:right="283"/>
        <w:jc w:val="both"/>
        <w:rPr>
          <w:rFonts w:ascii="Arial" w:eastAsiaTheme="minorEastAsia" w:hAnsi="Arial" w:cs="Arial"/>
          <w:sz w:val="24"/>
          <w:szCs w:val="24"/>
          <w:vertAlign w:val="superscript"/>
          <w:lang w:eastAsia="es-ES"/>
        </w:rPr>
      </w:pPr>
    </w:p>
    <w:p w14:paraId="135F143C" w14:textId="77777777" w:rsidR="00E907FE" w:rsidRPr="007476AD" w:rsidRDefault="00E907FE" w:rsidP="00135C92">
      <w:pPr>
        <w:widowControl w:val="0"/>
        <w:tabs>
          <w:tab w:val="left" w:pos="8364"/>
        </w:tabs>
        <w:autoSpaceDE w:val="0"/>
        <w:autoSpaceDN w:val="0"/>
        <w:adjustRightInd w:val="0"/>
        <w:spacing w:after="240" w:line="240" w:lineRule="auto"/>
        <w:ind w:right="283"/>
        <w:jc w:val="both"/>
        <w:rPr>
          <w:rFonts w:ascii="Arial" w:eastAsiaTheme="minorEastAsia" w:hAnsi="Arial" w:cs="Arial"/>
          <w:sz w:val="24"/>
          <w:szCs w:val="24"/>
          <w:vertAlign w:val="superscript"/>
          <w:lang w:eastAsia="es-ES"/>
        </w:rPr>
      </w:pPr>
    </w:p>
    <w:p w14:paraId="4A6DD48C" w14:textId="0A146F52" w:rsidR="00FE18C9" w:rsidRDefault="00FE18C9"/>
    <w:p w14:paraId="7DC39BEA" w14:textId="37C405AD" w:rsidR="00B61100" w:rsidRDefault="00B61100"/>
    <w:p w14:paraId="727FDA58" w14:textId="74A36F53" w:rsidR="0013030C" w:rsidRDefault="0013030C"/>
    <w:p w14:paraId="3D632130" w14:textId="77777777" w:rsidR="00E907FE" w:rsidRDefault="00E907FE" w:rsidP="00135C92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1EFD13E5" w14:textId="77777777" w:rsidR="00E907FE" w:rsidRDefault="00E907FE" w:rsidP="00135C92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6DF0E96B" w14:textId="77777777" w:rsidR="00E907FE" w:rsidRDefault="00E907FE" w:rsidP="00135C92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4E3794AC" w14:textId="77777777" w:rsidR="00E907FE" w:rsidRDefault="00E907FE" w:rsidP="00135C92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45CBF203" w14:textId="69DA26A7" w:rsidR="0013030C" w:rsidRPr="00241574" w:rsidRDefault="0013030C" w:rsidP="00135C9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15504">
        <w:rPr>
          <w:rFonts w:ascii="Arial" w:hAnsi="Arial" w:cs="Arial"/>
          <w:b/>
          <w:sz w:val="24"/>
          <w:szCs w:val="24"/>
          <w:lang w:val="en-US"/>
        </w:rPr>
        <w:t>Supplementary Figure S1</w:t>
      </w:r>
      <w:r w:rsidRPr="00215504">
        <w:rPr>
          <w:rFonts w:ascii="Arial" w:hAnsi="Arial" w:cs="Arial"/>
          <w:sz w:val="24"/>
          <w:szCs w:val="24"/>
          <w:lang w:val="en-US"/>
        </w:rPr>
        <w:t xml:space="preserve"> </w:t>
      </w:r>
      <w:r w:rsidR="00241574" w:rsidRPr="00241574">
        <w:rPr>
          <w:rFonts w:ascii="Arial" w:hAnsi="Arial" w:cs="Arial"/>
          <w:sz w:val="24"/>
          <w:szCs w:val="24"/>
          <w:lang w:val="en-US"/>
        </w:rPr>
        <w:t xml:space="preserve">Western blot analysis of Beclin-1 expression in the muscle tissue of positive (PB) and negative (NB) pigs for cognitive bias at different postmortem time (0, 4, 8 and 24 h), a) membrane incubated with primary antibody anti-Beclin-1 and the corresponding horseradish peroxidase-conjugated secondary antibody, b) the same membrane after </w:t>
      </w:r>
      <w:r w:rsidR="00256800" w:rsidRPr="00241574">
        <w:rPr>
          <w:rFonts w:ascii="Arial" w:hAnsi="Arial" w:cs="Arial"/>
          <w:sz w:val="24"/>
          <w:szCs w:val="24"/>
          <w:lang w:val="en-US"/>
        </w:rPr>
        <w:t>washing</w:t>
      </w:r>
      <w:r w:rsidR="00241574" w:rsidRPr="00241574">
        <w:rPr>
          <w:rFonts w:ascii="Arial" w:hAnsi="Arial" w:cs="Arial"/>
          <w:sz w:val="24"/>
          <w:szCs w:val="24"/>
          <w:lang w:val="en-US"/>
        </w:rPr>
        <w:t xml:space="preserve"> and incubated with primary antibody anti-GAPDH (used for normalization) and the corresponding horseradish peroxidase-conjugated secondary antibody.</w:t>
      </w:r>
    </w:p>
    <w:p w14:paraId="1049836A" w14:textId="77777777" w:rsidR="00C1487F" w:rsidRPr="00241574" w:rsidRDefault="00C1487F" w:rsidP="00135C9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6F43318D" w14:textId="77777777" w:rsidR="00C1487F" w:rsidRPr="00241574" w:rsidRDefault="00C1487F" w:rsidP="00135C9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FD0E954" w14:textId="3CF195D1" w:rsidR="00C1487F" w:rsidRDefault="00CA49AB" w:rsidP="00135C9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A49AB">
        <w:rPr>
          <w:rFonts w:ascii="Arial" w:hAnsi="Arial" w:cs="Arial"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3300B273" wp14:editId="3AFE85F2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7199630" cy="5396865"/>
            <wp:effectExtent l="0" t="0" r="0" b="0"/>
            <wp:wrapTight wrapText="bothSides">
              <wp:wrapPolygon edited="0">
                <wp:start x="0" y="0"/>
                <wp:lineTo x="0" y="21450"/>
                <wp:lineTo x="21490" y="21450"/>
                <wp:lineTo x="21490" y="0"/>
                <wp:lineTo x="0" y="0"/>
              </wp:wrapPolygon>
            </wp:wrapTight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56A7B" w14:textId="77777777" w:rsidR="00CA49AB" w:rsidRPr="00241574" w:rsidRDefault="00CA49AB" w:rsidP="00CA49AB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bookmarkStart w:id="0" w:name="_GoBack"/>
      <w:bookmarkEnd w:id="0"/>
      <w:r w:rsidRPr="00215504">
        <w:rPr>
          <w:rFonts w:ascii="Arial" w:hAnsi="Arial" w:cs="Arial"/>
          <w:b/>
          <w:sz w:val="24"/>
          <w:szCs w:val="24"/>
          <w:lang w:val="en-US"/>
        </w:rPr>
        <w:t>Supplementary Figure S</w:t>
      </w:r>
      <w:r>
        <w:rPr>
          <w:rFonts w:ascii="Arial" w:hAnsi="Arial" w:cs="Arial"/>
          <w:b/>
          <w:sz w:val="24"/>
          <w:szCs w:val="24"/>
          <w:lang w:val="en-US"/>
        </w:rPr>
        <w:t>2</w:t>
      </w:r>
      <w:r w:rsidRPr="00215504">
        <w:rPr>
          <w:rFonts w:ascii="Arial" w:hAnsi="Arial" w:cs="Arial"/>
          <w:sz w:val="24"/>
          <w:szCs w:val="24"/>
          <w:lang w:val="en-US"/>
        </w:rPr>
        <w:t xml:space="preserve"> </w:t>
      </w:r>
      <w:r w:rsidRPr="00241574">
        <w:rPr>
          <w:rFonts w:ascii="Arial" w:hAnsi="Arial" w:cs="Arial"/>
          <w:sz w:val="24"/>
          <w:szCs w:val="24"/>
          <w:lang w:val="en-US"/>
        </w:rPr>
        <w:t xml:space="preserve">Western blot analysis of </w:t>
      </w:r>
      <w:r>
        <w:rPr>
          <w:rFonts w:ascii="Arial" w:hAnsi="Arial" w:cs="Arial"/>
          <w:sz w:val="24"/>
          <w:szCs w:val="24"/>
          <w:lang w:val="en-US"/>
        </w:rPr>
        <w:t>LC3-I and LC3-II</w:t>
      </w:r>
      <w:r w:rsidRPr="00241574">
        <w:rPr>
          <w:rFonts w:ascii="Arial" w:hAnsi="Arial" w:cs="Arial"/>
          <w:sz w:val="24"/>
          <w:szCs w:val="24"/>
          <w:lang w:val="en-US"/>
        </w:rPr>
        <w:t xml:space="preserve"> expression in the muscle tissue of positive (PB) and negative (NB) pigs for cognitive bias at different postmortem time (0, 4, 8 and 24 h), a) membrane incubated with primary antibody anti-</w:t>
      </w:r>
      <w:r>
        <w:rPr>
          <w:rFonts w:ascii="Arial" w:hAnsi="Arial" w:cs="Arial"/>
          <w:sz w:val="24"/>
          <w:szCs w:val="24"/>
          <w:lang w:val="en-US"/>
        </w:rPr>
        <w:t>LC3</w:t>
      </w:r>
      <w:r w:rsidRPr="00241574">
        <w:rPr>
          <w:rFonts w:ascii="Arial" w:hAnsi="Arial" w:cs="Arial"/>
          <w:sz w:val="24"/>
          <w:szCs w:val="24"/>
          <w:lang w:val="en-US"/>
        </w:rPr>
        <w:t xml:space="preserve"> and the corresponding horseradish peroxidase-conjugated secondary antibody, b) the same membrane after washing and incubated with primary antibody anti-GAPDH (used for normalization) and the corresponding horseradish peroxidase-conjugated secondary antibody.</w:t>
      </w:r>
    </w:p>
    <w:p w14:paraId="2A87F8D7" w14:textId="009EB6D5" w:rsidR="00C1487F" w:rsidRDefault="00C1487F" w:rsidP="00135C9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1E8BC0A" w14:textId="7268E3A1" w:rsidR="00386362" w:rsidRDefault="00386362" w:rsidP="00135C9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3C10338F" w14:textId="1FA9A12A" w:rsidR="001E5AE4" w:rsidRDefault="001E5AE4" w:rsidP="0013030C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364EC6A9" w14:textId="4ED10C1B" w:rsidR="0013030C" w:rsidRDefault="0013030C">
      <w:pPr>
        <w:spacing w:after="0" w:line="240" w:lineRule="auto"/>
        <w:jc w:val="both"/>
        <w:rPr>
          <w:color w:val="FF0000"/>
        </w:rPr>
      </w:pPr>
    </w:p>
    <w:p w14:paraId="7AF248B6" w14:textId="767A56E1" w:rsidR="00B61100" w:rsidRDefault="00B61100">
      <w:pPr>
        <w:spacing w:after="0" w:line="240" w:lineRule="auto"/>
        <w:jc w:val="both"/>
        <w:rPr>
          <w:color w:val="FF0000"/>
        </w:rPr>
      </w:pPr>
    </w:p>
    <w:p w14:paraId="3BDC604F" w14:textId="372516DF" w:rsidR="00B61100" w:rsidRDefault="00B61100">
      <w:pPr>
        <w:spacing w:after="0" w:line="240" w:lineRule="auto"/>
        <w:jc w:val="both"/>
        <w:rPr>
          <w:color w:val="FF0000"/>
        </w:rPr>
      </w:pPr>
    </w:p>
    <w:p w14:paraId="204B16FF" w14:textId="4CFF544F" w:rsidR="00D746C0" w:rsidRDefault="00D746C0">
      <w:pPr>
        <w:spacing w:after="0" w:line="240" w:lineRule="auto"/>
        <w:jc w:val="both"/>
        <w:rPr>
          <w:color w:val="FF0000"/>
        </w:rPr>
      </w:pPr>
    </w:p>
    <w:p w14:paraId="7BBDFF1D" w14:textId="77777777" w:rsidR="00D746C0" w:rsidRDefault="00D746C0">
      <w:pPr>
        <w:spacing w:after="0" w:line="240" w:lineRule="auto"/>
        <w:jc w:val="both"/>
        <w:rPr>
          <w:color w:val="FF0000"/>
        </w:rPr>
      </w:pPr>
    </w:p>
    <w:p w14:paraId="42F0EA81" w14:textId="77777777" w:rsidR="00D746C0" w:rsidRDefault="00D746C0">
      <w:pPr>
        <w:spacing w:after="0" w:line="240" w:lineRule="auto"/>
        <w:jc w:val="both"/>
        <w:rPr>
          <w:color w:val="FF0000"/>
        </w:rPr>
      </w:pPr>
    </w:p>
    <w:p w14:paraId="2F613127" w14:textId="02D4C859" w:rsidR="00D746C0" w:rsidRDefault="00D746C0">
      <w:pPr>
        <w:spacing w:after="0" w:line="240" w:lineRule="auto"/>
        <w:jc w:val="both"/>
        <w:rPr>
          <w:color w:val="FF0000"/>
        </w:rPr>
      </w:pPr>
    </w:p>
    <w:p w14:paraId="3EA77A49" w14:textId="77777777" w:rsidR="00D746C0" w:rsidRDefault="00D746C0">
      <w:pPr>
        <w:spacing w:after="0" w:line="240" w:lineRule="auto"/>
        <w:jc w:val="both"/>
        <w:rPr>
          <w:color w:val="FF0000"/>
        </w:rPr>
      </w:pPr>
    </w:p>
    <w:p w14:paraId="3A0B298C" w14:textId="77777777" w:rsidR="00D746C0" w:rsidRDefault="00D746C0">
      <w:pPr>
        <w:spacing w:after="0" w:line="240" w:lineRule="auto"/>
        <w:jc w:val="both"/>
        <w:rPr>
          <w:color w:val="FF0000"/>
        </w:rPr>
      </w:pPr>
    </w:p>
    <w:p w14:paraId="5945B055" w14:textId="27DB47B1" w:rsidR="00D746C0" w:rsidRDefault="00D746C0">
      <w:pPr>
        <w:spacing w:after="0" w:line="240" w:lineRule="auto"/>
        <w:jc w:val="both"/>
        <w:rPr>
          <w:color w:val="FF0000"/>
        </w:rPr>
      </w:pPr>
    </w:p>
    <w:p w14:paraId="618A89DD" w14:textId="19C17AF2" w:rsidR="00D746C0" w:rsidRDefault="00D746C0">
      <w:pPr>
        <w:spacing w:after="0" w:line="240" w:lineRule="auto"/>
        <w:jc w:val="both"/>
        <w:rPr>
          <w:color w:val="FF0000"/>
        </w:rPr>
      </w:pPr>
    </w:p>
    <w:p w14:paraId="1AD7CD16" w14:textId="77777777" w:rsidR="00D746C0" w:rsidRDefault="00D746C0">
      <w:pPr>
        <w:spacing w:after="0" w:line="240" w:lineRule="auto"/>
        <w:jc w:val="both"/>
        <w:rPr>
          <w:color w:val="FF0000"/>
        </w:rPr>
      </w:pPr>
    </w:p>
    <w:p w14:paraId="63E38AC0" w14:textId="77777777" w:rsidR="00D746C0" w:rsidRDefault="00D746C0">
      <w:pPr>
        <w:spacing w:after="0" w:line="240" w:lineRule="auto"/>
        <w:jc w:val="both"/>
        <w:rPr>
          <w:color w:val="FF0000"/>
        </w:rPr>
      </w:pPr>
    </w:p>
    <w:p w14:paraId="2FB5DF1F" w14:textId="77777777" w:rsidR="00E907FE" w:rsidRDefault="00E907FE">
      <w:pPr>
        <w:spacing w:after="0" w:line="240" w:lineRule="auto"/>
        <w:jc w:val="both"/>
        <w:rPr>
          <w:color w:val="FF0000"/>
        </w:rPr>
      </w:pPr>
    </w:p>
    <w:p w14:paraId="6F3D774F" w14:textId="77777777" w:rsidR="00E907FE" w:rsidRDefault="00E907FE">
      <w:pPr>
        <w:spacing w:after="0" w:line="240" w:lineRule="auto"/>
        <w:jc w:val="both"/>
        <w:rPr>
          <w:color w:val="FF0000"/>
        </w:rPr>
      </w:pPr>
    </w:p>
    <w:p w14:paraId="1482DD4A" w14:textId="77777777" w:rsidR="00B61100" w:rsidRDefault="00B61100">
      <w:pPr>
        <w:spacing w:after="0" w:line="240" w:lineRule="auto"/>
        <w:jc w:val="both"/>
        <w:rPr>
          <w:color w:val="FF0000"/>
        </w:rPr>
      </w:pPr>
    </w:p>
    <w:p w14:paraId="23D10B91" w14:textId="602B0A7E" w:rsidR="004042C6" w:rsidRPr="004042C6" w:rsidRDefault="004042C6" w:rsidP="004042C6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sectPr w:rsidR="004042C6" w:rsidRPr="004042C6" w:rsidSect="00FE18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3030C"/>
    <w:rsid w:val="0001705D"/>
    <w:rsid w:val="00052445"/>
    <w:rsid w:val="00086F46"/>
    <w:rsid w:val="0013030C"/>
    <w:rsid w:val="00135C92"/>
    <w:rsid w:val="001E5AE4"/>
    <w:rsid w:val="00241574"/>
    <w:rsid w:val="00256800"/>
    <w:rsid w:val="00386362"/>
    <w:rsid w:val="004042C6"/>
    <w:rsid w:val="00520B4C"/>
    <w:rsid w:val="00636A7C"/>
    <w:rsid w:val="008F572B"/>
    <w:rsid w:val="00B61100"/>
    <w:rsid w:val="00C1487F"/>
    <w:rsid w:val="00CA49AB"/>
    <w:rsid w:val="00D746C0"/>
    <w:rsid w:val="00E500F3"/>
    <w:rsid w:val="00E907FE"/>
    <w:rsid w:val="00EC3A1F"/>
    <w:rsid w:val="00FE18C9"/>
    <w:rsid w:val="00FE2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509FE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30C"/>
    <w:pPr>
      <w:spacing w:after="200" w:line="276" w:lineRule="auto"/>
      <w:jc w:val="left"/>
    </w:pPr>
    <w:rPr>
      <w:rFonts w:asciiTheme="minorHAnsi" w:hAnsiTheme="minorHAnsi" w:cstheme="min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611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110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209</Words>
  <Characters>1152</Characters>
  <Application>Microsoft Macintosh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 Carmen Olivan</dc:creator>
  <cp:lastModifiedBy>Yaiza Potes Ochoa</cp:lastModifiedBy>
  <cp:revision>14</cp:revision>
  <dcterms:created xsi:type="dcterms:W3CDTF">2017-01-25T12:31:00Z</dcterms:created>
  <dcterms:modified xsi:type="dcterms:W3CDTF">2017-02-03T14:41:00Z</dcterms:modified>
</cp:coreProperties>
</file>