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D3" w:rsidRPr="008F35A0" w:rsidRDefault="001356D3" w:rsidP="001356D3">
      <w:pPr>
        <w:spacing w:after="0" w:line="240" w:lineRule="auto"/>
        <w:jc w:val="both"/>
        <w:rPr>
          <w:rFonts w:ascii="AdvFrutiger-BC" w:hAnsi="AdvFrutiger-BC" w:cs="AdvFrutiger-BC"/>
          <w:b/>
          <w:sz w:val="28"/>
          <w:szCs w:val="28"/>
        </w:rPr>
      </w:pPr>
      <w:r w:rsidRPr="00A143B9">
        <w:rPr>
          <w:rFonts w:ascii="AdvFrutiger-BC" w:hAnsi="AdvFrutiger-BC" w:cs="AdvFrutiger-BC"/>
          <w:b/>
          <w:sz w:val="28"/>
          <w:szCs w:val="28"/>
        </w:rPr>
        <w:t xml:space="preserve">Genome-wide population structure and evolutionary history of the </w:t>
      </w:r>
      <w:proofErr w:type="spellStart"/>
      <w:r w:rsidRPr="00A143B9">
        <w:rPr>
          <w:rFonts w:ascii="AdvFrutiger-BC" w:hAnsi="AdvFrutiger-BC" w:cs="AdvFrutiger-BC"/>
          <w:b/>
          <w:sz w:val="28"/>
          <w:szCs w:val="28"/>
        </w:rPr>
        <w:t>Frizarta</w:t>
      </w:r>
      <w:proofErr w:type="spellEnd"/>
      <w:r w:rsidRPr="00A143B9">
        <w:rPr>
          <w:rFonts w:ascii="AdvFrutiger-BC" w:hAnsi="AdvFrutiger-BC" w:cs="AdvFrutiger-BC"/>
          <w:b/>
          <w:sz w:val="28"/>
          <w:szCs w:val="28"/>
        </w:rPr>
        <w:t xml:space="preserve"> dairy sheep</w:t>
      </w:r>
      <w:r w:rsidRPr="008F35A0">
        <w:rPr>
          <w:rFonts w:ascii="AdvFrutiger-BC" w:hAnsi="AdvFrutiger-BC" w:cs="AdvFrutiger-BC"/>
          <w:b/>
          <w:sz w:val="28"/>
          <w:szCs w:val="28"/>
        </w:rPr>
        <w:t xml:space="preserve"> </w:t>
      </w:r>
    </w:p>
    <w:p w:rsidR="001356D3" w:rsidRPr="008F35A0" w:rsidRDefault="001356D3" w:rsidP="001356D3">
      <w:pPr>
        <w:spacing w:after="0" w:line="240" w:lineRule="auto"/>
        <w:jc w:val="both"/>
        <w:rPr>
          <w:rFonts w:ascii="AdvFrutiger-BC" w:hAnsi="AdvFrutiger-BC" w:cs="Arial"/>
        </w:rPr>
      </w:pPr>
      <w:r w:rsidRPr="008F35A0">
        <w:rPr>
          <w:rFonts w:ascii="AdvFrutiger-BC" w:hAnsi="AdvFrutiger-BC" w:cs="Arial"/>
        </w:rPr>
        <w:t>A. Kominakis</w:t>
      </w:r>
      <w:r w:rsidRPr="008F35A0">
        <w:rPr>
          <w:rFonts w:ascii="AdvFrutiger-BC" w:hAnsi="AdvFrutiger-BC" w:cs="Arial"/>
          <w:vertAlign w:val="superscript"/>
        </w:rPr>
        <w:t>1</w:t>
      </w:r>
      <w:r w:rsidRPr="008F35A0">
        <w:rPr>
          <w:rFonts w:ascii="AdvFrutiger-BC" w:hAnsi="AdvFrutiger-BC" w:cs="Arial"/>
        </w:rPr>
        <w:t>, A.L. Hager-Theodorides</w:t>
      </w:r>
      <w:r w:rsidRPr="008F35A0">
        <w:rPr>
          <w:rFonts w:ascii="AdvFrutiger-BC" w:hAnsi="AdvFrutiger-BC" w:cs="Arial"/>
          <w:vertAlign w:val="superscript"/>
        </w:rPr>
        <w:t>1</w:t>
      </w:r>
      <w:r w:rsidRPr="008F35A0">
        <w:rPr>
          <w:rFonts w:ascii="AdvFrutiger-BC" w:hAnsi="AdvFrutiger-BC" w:cs="Arial"/>
        </w:rPr>
        <w:t>, A. Saridaki</w:t>
      </w:r>
      <w:r w:rsidRPr="008F35A0">
        <w:rPr>
          <w:rFonts w:ascii="AdvFrutiger-BC" w:hAnsi="AdvFrutiger-BC" w:cs="Arial"/>
          <w:vertAlign w:val="superscript"/>
        </w:rPr>
        <w:t>2</w:t>
      </w:r>
      <w:r w:rsidRPr="008F35A0">
        <w:rPr>
          <w:rFonts w:ascii="AdvFrutiger-BC" w:hAnsi="AdvFrutiger-BC" w:cs="Arial"/>
        </w:rPr>
        <w:t>, G. Antonakos</w:t>
      </w:r>
      <w:r w:rsidRPr="008F35A0">
        <w:rPr>
          <w:rFonts w:ascii="AdvFrutiger-BC" w:hAnsi="AdvFrutiger-BC" w:cs="Arial"/>
          <w:vertAlign w:val="superscript"/>
        </w:rPr>
        <w:t>3</w:t>
      </w:r>
      <w:r w:rsidRPr="008F35A0">
        <w:rPr>
          <w:rFonts w:ascii="AdvFrutiger-BC" w:hAnsi="AdvFrutiger-BC" w:cs="Arial"/>
        </w:rPr>
        <w:t xml:space="preserve"> and G. Tsiamis</w:t>
      </w:r>
      <w:r w:rsidRPr="008F35A0">
        <w:rPr>
          <w:rFonts w:ascii="AdvFrutiger-BC" w:hAnsi="AdvFrutiger-BC" w:cs="Arial"/>
          <w:vertAlign w:val="superscript"/>
        </w:rPr>
        <w:t>2</w:t>
      </w:r>
    </w:p>
    <w:p w:rsidR="001356D3" w:rsidRDefault="001356D3" w:rsidP="001356D3">
      <w:pPr>
        <w:spacing w:after="0" w:line="240" w:lineRule="auto"/>
        <w:jc w:val="both"/>
        <w:rPr>
          <w:rFonts w:ascii="AdvFrutiger-BC" w:hAnsi="AdvFrutiger-BC" w:cs="Arial"/>
          <w:i/>
          <w:sz w:val="18"/>
          <w:szCs w:val="18"/>
        </w:rPr>
      </w:pPr>
      <w:r w:rsidRPr="008F35A0">
        <w:rPr>
          <w:rFonts w:ascii="AdvFrutiger-BC" w:hAnsi="AdvFrutiger-BC" w:cs="Arial"/>
          <w:i/>
          <w:sz w:val="18"/>
          <w:szCs w:val="18"/>
          <w:vertAlign w:val="superscript"/>
        </w:rPr>
        <w:t xml:space="preserve">1 </w:t>
      </w:r>
      <w:r w:rsidRPr="008F35A0">
        <w:rPr>
          <w:rFonts w:ascii="AdvFrutiger-BC" w:hAnsi="AdvFrutiger-BC" w:cs="Arial"/>
          <w:i/>
          <w:sz w:val="18"/>
          <w:szCs w:val="18"/>
        </w:rPr>
        <w:t xml:space="preserve">Department of Animal Science and Aquaculture, Agricultural University of Athens,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Iera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Odos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 75, 11855, At</w:t>
      </w:r>
      <w:r>
        <w:rPr>
          <w:rFonts w:ascii="AdvFrutiger-BC" w:hAnsi="AdvFrutiger-BC" w:cs="Arial"/>
          <w:i/>
          <w:sz w:val="18"/>
          <w:szCs w:val="18"/>
        </w:rPr>
        <w:t xml:space="preserve">hens, Greece; </w:t>
      </w:r>
      <w:r w:rsidRPr="008F35A0">
        <w:rPr>
          <w:rFonts w:ascii="AdvFrutiger-BC" w:hAnsi="AdvFrutiger-BC" w:cs="Arial"/>
          <w:i/>
          <w:sz w:val="18"/>
          <w:szCs w:val="18"/>
          <w:vertAlign w:val="superscript"/>
        </w:rPr>
        <w:t>2</w:t>
      </w:r>
      <w:r w:rsidRPr="008F35A0">
        <w:rPr>
          <w:rFonts w:ascii="AdvFrutiger-BC" w:hAnsi="AdvFrutiger-BC" w:cs="Arial"/>
          <w:i/>
          <w:sz w:val="18"/>
          <w:szCs w:val="18"/>
        </w:rPr>
        <w:t xml:space="preserve"> Department of Environmental and Natural Resources Management, University of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Patras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,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Seferi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 2, 30100,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Agrinio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>, Greece</w:t>
      </w:r>
      <w:r>
        <w:rPr>
          <w:rFonts w:ascii="AdvFrutiger-BC" w:hAnsi="AdvFrutiger-BC" w:cs="Arial"/>
          <w:i/>
          <w:sz w:val="18"/>
          <w:szCs w:val="18"/>
        </w:rPr>
        <w:t xml:space="preserve">; </w:t>
      </w:r>
      <w:r w:rsidRPr="008F35A0">
        <w:rPr>
          <w:rFonts w:ascii="AdvFrutiger-BC" w:hAnsi="AdvFrutiger-BC" w:cs="Arial"/>
          <w:i/>
          <w:sz w:val="18"/>
          <w:szCs w:val="18"/>
          <w:vertAlign w:val="superscript"/>
        </w:rPr>
        <w:t xml:space="preserve">3 </w:t>
      </w:r>
      <w:r w:rsidRPr="008F35A0">
        <w:rPr>
          <w:rFonts w:ascii="AdvFrutiger-BC" w:hAnsi="AdvFrutiger-BC" w:cs="Arial"/>
          <w:i/>
          <w:sz w:val="18"/>
          <w:szCs w:val="18"/>
        </w:rPr>
        <w:t xml:space="preserve">Agricultural and Livestock Union of Western Greece, 13rd Km N.R.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Agrinio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 xml:space="preserve">-Ioannina, 30100, </w:t>
      </w:r>
      <w:proofErr w:type="spellStart"/>
      <w:r w:rsidRPr="008F35A0">
        <w:rPr>
          <w:rFonts w:ascii="AdvFrutiger-BC" w:hAnsi="AdvFrutiger-BC" w:cs="Arial"/>
          <w:i/>
          <w:sz w:val="18"/>
          <w:szCs w:val="18"/>
        </w:rPr>
        <w:t>Lepenou</w:t>
      </w:r>
      <w:proofErr w:type="spellEnd"/>
      <w:r w:rsidRPr="008F35A0">
        <w:rPr>
          <w:rFonts w:ascii="AdvFrutiger-BC" w:hAnsi="AdvFrutiger-BC" w:cs="Arial"/>
          <w:i/>
          <w:sz w:val="18"/>
          <w:szCs w:val="18"/>
        </w:rPr>
        <w:t>, Greece</w:t>
      </w:r>
    </w:p>
    <w:p w:rsidR="00165FAA" w:rsidRDefault="00165FAA" w:rsidP="001356D3">
      <w:pPr>
        <w:spacing w:after="0" w:line="240" w:lineRule="auto"/>
        <w:jc w:val="both"/>
        <w:rPr>
          <w:rFonts w:ascii="AdvFrutiger-BC" w:hAnsi="AdvFrutiger-BC" w:cs="Arial"/>
          <w:i/>
          <w:sz w:val="18"/>
          <w:szCs w:val="18"/>
        </w:rPr>
      </w:pPr>
    </w:p>
    <w:p w:rsidR="00165FAA" w:rsidRPr="008F35A0" w:rsidRDefault="00165FAA" w:rsidP="001356D3">
      <w:pPr>
        <w:spacing w:after="0" w:line="240" w:lineRule="auto"/>
        <w:jc w:val="both"/>
        <w:rPr>
          <w:rFonts w:ascii="AdvFrutiger-BC" w:hAnsi="AdvFrutiger-BC" w:cs="AdvFrutiger-BC"/>
          <w:sz w:val="18"/>
          <w:szCs w:val="18"/>
        </w:rPr>
      </w:pPr>
      <w:bookmarkStart w:id="0" w:name="_GoBack"/>
      <w:bookmarkEnd w:id="0"/>
    </w:p>
    <w:p w:rsidR="001356D3" w:rsidRDefault="001356D3" w:rsidP="001356D3">
      <w:pPr>
        <w:spacing w:after="0" w:line="480" w:lineRule="auto"/>
        <w:jc w:val="both"/>
      </w:pPr>
      <w:r w:rsidRPr="00AE3120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5DE15CFD" wp14:editId="29B92B8E">
            <wp:simplePos x="0" y="0"/>
            <wp:positionH relativeFrom="column">
              <wp:posOffset>4103461</wp:posOffset>
            </wp:positionH>
            <wp:positionV relativeFrom="paragraph">
              <wp:posOffset>175260</wp:posOffset>
            </wp:positionV>
            <wp:extent cx="4081780" cy="3188970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6D3">
        <w:rPr>
          <w:noProof/>
        </w:rPr>
        <w:drawing>
          <wp:anchor distT="0" distB="0" distL="114300" distR="114300" simplePos="0" relativeHeight="251660288" behindDoc="0" locked="0" layoutInCell="1" allowOverlap="1" wp14:anchorId="3FC8B1AA" wp14:editId="1154A0C0">
            <wp:simplePos x="0" y="0"/>
            <wp:positionH relativeFrom="column">
              <wp:posOffset>-33655</wp:posOffset>
            </wp:positionH>
            <wp:positionV relativeFrom="paragraph">
              <wp:posOffset>134439</wp:posOffset>
            </wp:positionV>
            <wp:extent cx="3787775" cy="3505200"/>
            <wp:effectExtent l="0" t="0" r="3175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E29" w:rsidRDefault="006B5E29"/>
    <w:p w:rsidR="001356D3" w:rsidRDefault="001356D3" w:rsidP="001356D3">
      <w:pPr>
        <w:spacing w:after="0" w:line="480" w:lineRule="auto"/>
        <w:jc w:val="both"/>
        <w:rPr>
          <w:rFonts w:ascii="Arial" w:hAnsi="Arial" w:cs="Arial"/>
          <w:b/>
          <w:sz w:val="24"/>
          <w:szCs w:val="18"/>
          <w:lang w:eastAsia="el-GR"/>
        </w:rPr>
      </w:pPr>
    </w:p>
    <w:p w:rsidR="001356D3" w:rsidRDefault="001356D3" w:rsidP="001356D3">
      <w:pPr>
        <w:spacing w:after="0" w:line="480" w:lineRule="auto"/>
        <w:jc w:val="both"/>
        <w:rPr>
          <w:rFonts w:ascii="Arial" w:hAnsi="Arial" w:cs="Arial"/>
          <w:b/>
          <w:sz w:val="24"/>
          <w:szCs w:val="18"/>
          <w:lang w:eastAsia="el-GR"/>
        </w:rPr>
      </w:pPr>
    </w:p>
    <w:p w:rsidR="001356D3" w:rsidRDefault="001356D3" w:rsidP="001356D3">
      <w:pPr>
        <w:spacing w:after="0" w:line="480" w:lineRule="auto"/>
        <w:jc w:val="both"/>
        <w:rPr>
          <w:rFonts w:ascii="Arial" w:hAnsi="Arial" w:cs="Arial"/>
          <w:b/>
          <w:sz w:val="24"/>
          <w:szCs w:val="18"/>
          <w:lang w:eastAsia="el-GR"/>
        </w:rPr>
      </w:pPr>
    </w:p>
    <w:p w:rsidR="001356D3" w:rsidRDefault="001356D3" w:rsidP="001356D3">
      <w:pPr>
        <w:spacing w:after="0" w:line="480" w:lineRule="auto"/>
        <w:jc w:val="both"/>
        <w:rPr>
          <w:rFonts w:ascii="Arial" w:hAnsi="Arial" w:cs="Arial"/>
          <w:b/>
          <w:sz w:val="24"/>
          <w:szCs w:val="18"/>
          <w:lang w:eastAsia="el-GR"/>
        </w:rPr>
      </w:pPr>
    </w:p>
    <w:p w:rsidR="001356D3" w:rsidRDefault="001356D3" w:rsidP="001356D3">
      <w:pPr>
        <w:spacing w:after="0" w:line="480" w:lineRule="auto"/>
        <w:jc w:val="both"/>
        <w:rPr>
          <w:rFonts w:ascii="Arial" w:hAnsi="Arial" w:cs="Arial"/>
          <w:b/>
          <w:sz w:val="24"/>
          <w:szCs w:val="18"/>
          <w:lang w:eastAsia="el-GR"/>
        </w:rPr>
      </w:pPr>
    </w:p>
    <w:p w:rsidR="001356D3" w:rsidRDefault="001356D3" w:rsidP="001356D3">
      <w:pPr>
        <w:spacing w:after="0" w:line="480" w:lineRule="auto"/>
        <w:jc w:val="both"/>
        <w:rPr>
          <w:rFonts w:ascii="Arial" w:hAnsi="Arial" w:cs="Arial"/>
          <w:b/>
          <w:sz w:val="24"/>
          <w:szCs w:val="18"/>
          <w:lang w:eastAsia="el-GR"/>
        </w:rPr>
      </w:pPr>
    </w:p>
    <w:p w:rsidR="001356D3" w:rsidRDefault="001356D3" w:rsidP="001356D3">
      <w:pPr>
        <w:spacing w:after="0" w:line="480" w:lineRule="auto"/>
        <w:jc w:val="both"/>
        <w:rPr>
          <w:rFonts w:ascii="Arial" w:hAnsi="Arial" w:cs="Arial"/>
          <w:b/>
          <w:sz w:val="24"/>
          <w:szCs w:val="18"/>
          <w:lang w:eastAsia="el-GR"/>
        </w:rPr>
      </w:pPr>
    </w:p>
    <w:p w:rsidR="001356D3" w:rsidRDefault="001356D3" w:rsidP="001356D3">
      <w:pPr>
        <w:spacing w:after="0" w:line="480" w:lineRule="auto"/>
        <w:jc w:val="both"/>
        <w:rPr>
          <w:rFonts w:ascii="Arial" w:hAnsi="Arial" w:cs="Arial"/>
          <w:b/>
          <w:sz w:val="24"/>
          <w:szCs w:val="18"/>
          <w:lang w:eastAsia="el-GR"/>
        </w:rPr>
      </w:pPr>
    </w:p>
    <w:p w:rsidR="001356D3" w:rsidRDefault="001356D3" w:rsidP="001356D3">
      <w:pPr>
        <w:spacing w:after="0" w:line="480" w:lineRule="auto"/>
        <w:jc w:val="both"/>
        <w:rPr>
          <w:rFonts w:ascii="Arial" w:hAnsi="Arial" w:cs="Arial"/>
          <w:b/>
          <w:sz w:val="24"/>
          <w:szCs w:val="18"/>
          <w:lang w:eastAsia="el-GR"/>
        </w:rPr>
      </w:pPr>
    </w:p>
    <w:p w:rsidR="001356D3" w:rsidRDefault="001356D3" w:rsidP="00165FAA">
      <w:pPr>
        <w:spacing w:after="0" w:line="240" w:lineRule="auto"/>
        <w:jc w:val="both"/>
      </w:pPr>
      <w:proofErr w:type="gramStart"/>
      <w:r>
        <w:rPr>
          <w:rFonts w:ascii="Arial" w:hAnsi="Arial" w:cs="Arial"/>
          <w:b/>
          <w:sz w:val="24"/>
          <w:szCs w:val="18"/>
          <w:lang w:eastAsia="el-GR"/>
        </w:rPr>
        <w:t xml:space="preserve">Supplementary </w:t>
      </w:r>
      <w:r w:rsidRPr="003C0DE8">
        <w:rPr>
          <w:rFonts w:ascii="Arial" w:hAnsi="Arial" w:cs="Arial"/>
          <w:b/>
          <w:sz w:val="24"/>
          <w:szCs w:val="18"/>
          <w:lang w:eastAsia="el-GR"/>
        </w:rPr>
        <w:t xml:space="preserve">Figure </w:t>
      </w:r>
      <w:r>
        <w:rPr>
          <w:rFonts w:ascii="Arial" w:hAnsi="Arial" w:cs="Arial"/>
          <w:b/>
          <w:sz w:val="24"/>
          <w:szCs w:val="18"/>
          <w:lang w:eastAsia="el-GR"/>
        </w:rPr>
        <w:t>S4</w:t>
      </w:r>
      <w:r w:rsidRPr="003C0DE8">
        <w:rPr>
          <w:rFonts w:ascii="Arial" w:hAnsi="Arial" w:cs="Arial"/>
          <w:sz w:val="24"/>
          <w:szCs w:val="18"/>
          <w:lang w:eastAsia="el-GR"/>
        </w:rPr>
        <w:t xml:space="preserve"> </w:t>
      </w:r>
      <w:r w:rsidRPr="003819C8">
        <w:rPr>
          <w:rFonts w:ascii="Arial" w:hAnsi="Arial" w:cs="Arial"/>
          <w:sz w:val="24"/>
          <w:szCs w:val="24"/>
        </w:rPr>
        <w:t xml:space="preserve">Two dimensional plot of MDS analysis on the </w:t>
      </w:r>
      <w:r w:rsidRPr="003819C8">
        <w:rPr>
          <w:rFonts w:ascii="Arial" w:hAnsi="Arial" w:cs="Arial"/>
          <w:i/>
          <w:sz w:val="24"/>
          <w:szCs w:val="24"/>
        </w:rPr>
        <w:t>F</w:t>
      </w:r>
      <w:r w:rsidRPr="003819C8">
        <w:rPr>
          <w:rFonts w:ascii="Arial" w:hAnsi="Arial" w:cs="Arial"/>
          <w:i/>
          <w:sz w:val="24"/>
          <w:szCs w:val="24"/>
          <w:vertAlign w:val="subscript"/>
        </w:rPr>
        <w:t>ST</w:t>
      </w:r>
      <w:r w:rsidRPr="003819C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3819C8">
        <w:rPr>
          <w:rFonts w:ascii="Arial" w:hAnsi="Arial" w:cs="Arial"/>
          <w:sz w:val="24"/>
          <w:szCs w:val="24"/>
        </w:rPr>
        <w:t>values (</w:t>
      </w:r>
      <w:r>
        <w:rPr>
          <w:rFonts w:ascii="Arial" w:hAnsi="Arial" w:cs="Arial"/>
          <w:sz w:val="24"/>
          <w:szCs w:val="24"/>
        </w:rPr>
        <w:t>left</w:t>
      </w:r>
      <w:r w:rsidRPr="003819C8">
        <w:rPr>
          <w:rFonts w:ascii="Arial" w:hAnsi="Arial" w:cs="Arial"/>
          <w:sz w:val="24"/>
          <w:szCs w:val="24"/>
        </w:rPr>
        <w:t xml:space="preserve">) and geographical </w:t>
      </w:r>
      <w:r>
        <w:rPr>
          <w:rFonts w:ascii="Arial" w:hAnsi="Arial" w:cs="Arial"/>
          <w:sz w:val="24"/>
          <w:szCs w:val="24"/>
        </w:rPr>
        <w:t xml:space="preserve">distance </w:t>
      </w:r>
      <w:r w:rsidRPr="003819C8">
        <w:rPr>
          <w:rFonts w:ascii="Arial" w:hAnsi="Arial" w:cs="Arial"/>
          <w:sz w:val="24"/>
          <w:szCs w:val="24"/>
        </w:rPr>
        <w:t>of herds (</w:t>
      </w:r>
      <w:r>
        <w:rPr>
          <w:rFonts w:ascii="Arial" w:hAnsi="Arial" w:cs="Arial"/>
          <w:sz w:val="24"/>
          <w:szCs w:val="24"/>
        </w:rPr>
        <w:t>right</w:t>
      </w:r>
      <w:r w:rsidRPr="003819C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sectPr w:rsidR="001356D3" w:rsidSect="001356D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dvFrutiger-B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D3"/>
    <w:rsid w:val="001356D3"/>
    <w:rsid w:val="00165FAA"/>
    <w:rsid w:val="006B5E29"/>
    <w:rsid w:val="009B25AE"/>
    <w:rsid w:val="00B068ED"/>
    <w:rsid w:val="00B3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ropbox\frizarta_LD\Herds_Distance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110236220472441"/>
          <c:y val="3.266477890980473E-2"/>
          <c:w val="0.75952218571103813"/>
          <c:h val="0.75240155912410589"/>
        </c:manualLayout>
      </c:layout>
      <c:scatterChart>
        <c:scatterStyle val="lineMarker"/>
        <c:varyColors val="0"/>
        <c:ser>
          <c:idx val="0"/>
          <c:order val="0"/>
          <c:tx>
            <c:strRef>
              <c:f>Fst_dist!$D$1</c:f>
              <c:strCache>
                <c:ptCount val="1"/>
                <c:pt idx="0">
                  <c:v>FST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</c:marker>
          <c:trendline>
            <c:spPr>
              <a:ln w="22225"/>
            </c:spPr>
            <c:trendlineType val="linear"/>
            <c:dispRSqr val="1"/>
            <c:dispEq val="1"/>
            <c:trendlineLbl>
              <c:layout>
                <c:manualLayout>
                  <c:x val="-0.1992311120761574"/>
                  <c:y val="-3.056785548865215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y = 0.0026x + 0.0408
R² = 0.0064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Fst_dist!$C$2:$C$22</c:f>
              <c:numCache>
                <c:formatCode>0.000</c:formatCode>
                <c:ptCount val="21"/>
                <c:pt idx="0">
                  <c:v>0.47712125471966244</c:v>
                </c:pt>
                <c:pt idx="1">
                  <c:v>0.69897000433601886</c:v>
                </c:pt>
                <c:pt idx="2">
                  <c:v>0.69897000433601886</c:v>
                </c:pt>
                <c:pt idx="3">
                  <c:v>0.77815125038364363</c:v>
                </c:pt>
                <c:pt idx="4">
                  <c:v>0.77815125038364363</c:v>
                </c:pt>
                <c:pt idx="5">
                  <c:v>1</c:v>
                </c:pt>
                <c:pt idx="6">
                  <c:v>1.0413926851582251</c:v>
                </c:pt>
                <c:pt idx="7">
                  <c:v>1.255272505103306</c:v>
                </c:pt>
                <c:pt idx="8">
                  <c:v>1.2787536009528289</c:v>
                </c:pt>
                <c:pt idx="9">
                  <c:v>1.3222192947339193</c:v>
                </c:pt>
                <c:pt idx="10">
                  <c:v>1.3617278360175928</c:v>
                </c:pt>
                <c:pt idx="11">
                  <c:v>1.4913616938342726</c:v>
                </c:pt>
                <c:pt idx="12">
                  <c:v>1.4913616938342726</c:v>
                </c:pt>
                <c:pt idx="13">
                  <c:v>1.5440680443502757</c:v>
                </c:pt>
                <c:pt idx="14">
                  <c:v>1.5440680443502757</c:v>
                </c:pt>
                <c:pt idx="15">
                  <c:v>1.568201724066995</c:v>
                </c:pt>
                <c:pt idx="16">
                  <c:v>1.568201724066995</c:v>
                </c:pt>
                <c:pt idx="17">
                  <c:v>1.6020599913279623</c:v>
                </c:pt>
                <c:pt idx="18">
                  <c:v>1.6020599913279623</c:v>
                </c:pt>
                <c:pt idx="19">
                  <c:v>1.6334684555795864</c:v>
                </c:pt>
                <c:pt idx="20">
                  <c:v>1.6334684555795864</c:v>
                </c:pt>
              </c:numCache>
            </c:numRef>
          </c:xVal>
          <c:yVal>
            <c:numRef>
              <c:f>Fst_dist!$D$2:$D$22</c:f>
              <c:numCache>
                <c:formatCode>0.000</c:formatCode>
                <c:ptCount val="21"/>
                <c:pt idx="0">
                  <c:v>4.6739999999999997E-2</c:v>
                </c:pt>
                <c:pt idx="1">
                  <c:v>4.8820000000000002E-2</c:v>
                </c:pt>
                <c:pt idx="2">
                  <c:v>6.3539999999999999E-2</c:v>
                </c:pt>
                <c:pt idx="3">
                  <c:v>2.7619999999999999E-2</c:v>
                </c:pt>
                <c:pt idx="4">
                  <c:v>4.7289999999999999E-2</c:v>
                </c:pt>
                <c:pt idx="5">
                  <c:v>2.8400000000000002E-2</c:v>
                </c:pt>
                <c:pt idx="6">
                  <c:v>3.0499999999999999E-2</c:v>
                </c:pt>
                <c:pt idx="7">
                  <c:v>4.2439999999999999E-2</c:v>
                </c:pt>
                <c:pt idx="8">
                  <c:v>5.4149999999999997E-2</c:v>
                </c:pt>
                <c:pt idx="9">
                  <c:v>3.5069999999999997E-2</c:v>
                </c:pt>
                <c:pt idx="10">
                  <c:v>2.4840000000000001E-2</c:v>
                </c:pt>
                <c:pt idx="11">
                  <c:v>3.8519999999999999E-2</c:v>
                </c:pt>
                <c:pt idx="12">
                  <c:v>4.7800000000000002E-2</c:v>
                </c:pt>
                <c:pt idx="13">
                  <c:v>3.082E-2</c:v>
                </c:pt>
                <c:pt idx="14">
                  <c:v>3.9780000000000003E-2</c:v>
                </c:pt>
                <c:pt idx="15">
                  <c:v>5.8130000000000001E-2</c:v>
                </c:pt>
                <c:pt idx="16">
                  <c:v>6.7610000000000003E-2</c:v>
                </c:pt>
                <c:pt idx="17">
                  <c:v>4.6969999999999998E-2</c:v>
                </c:pt>
                <c:pt idx="18">
                  <c:v>5.8939999999999999E-2</c:v>
                </c:pt>
                <c:pt idx="19">
                  <c:v>3.8920000000000003E-2</c:v>
                </c:pt>
                <c:pt idx="20">
                  <c:v>4.8090000000000001E-2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9298816"/>
        <c:axId val="239300608"/>
      </c:scatterChart>
      <c:valAx>
        <c:axId val="239298816"/>
        <c:scaling>
          <c:orientation val="minMax"/>
          <c:max val="1.7"/>
          <c:min val="0.5"/>
        </c:scaling>
        <c:delete val="0"/>
        <c:axPos val="b"/>
        <c:numFmt formatCode="0.0" sourceLinked="0"/>
        <c:majorTickMark val="out"/>
        <c:minorTickMark val="none"/>
        <c:tickLblPos val="nextTo"/>
        <c:spPr>
          <a:ln w="25400"/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39300608"/>
        <c:crossesAt val="0"/>
        <c:crossBetween val="midCat"/>
      </c:valAx>
      <c:valAx>
        <c:axId val="239300608"/>
        <c:scaling>
          <c:orientation val="minMax"/>
        </c:scaling>
        <c:delete val="0"/>
        <c:axPos val="l"/>
        <c:numFmt formatCode="0.00" sourceLinked="0"/>
        <c:majorTickMark val="out"/>
        <c:minorTickMark val="none"/>
        <c:tickLblPos val="nextTo"/>
        <c:spPr>
          <a:ln w="25400"/>
        </c:spPr>
        <c:crossAx val="239298816"/>
        <c:crossesAt val="0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903031831189294"/>
          <c:y val="4.4728873457746912E-2"/>
          <c:w val="0.70640738193840535"/>
          <c:h val="0.68719051057818969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EL01301910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Sheet1!$B$2</c:f>
              <c:numCache>
                <c:formatCode>General</c:formatCode>
                <c:ptCount val="1"/>
                <c:pt idx="0">
                  <c:v>0.84</c:v>
                </c:pt>
              </c:numCache>
            </c:numRef>
          </c:xVal>
          <c:yVal>
            <c:numRef>
              <c:f>Sheet1!$C$2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EL01315608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Sheet1!$B$3</c:f>
              <c:numCache>
                <c:formatCode>General</c:formatCode>
                <c:ptCount val="1"/>
                <c:pt idx="0">
                  <c:v>2.02</c:v>
                </c:pt>
              </c:numCache>
            </c:numRef>
          </c:xVal>
          <c:yVal>
            <c:numRef>
              <c:f>Sheet1!$C$3</c:f>
              <c:numCache>
                <c:formatCode>General</c:formatCode>
                <c:ptCount val="1"/>
                <c:pt idx="0">
                  <c:v>0.43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EL01315078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Sheet1!$B$4</c:f>
              <c:numCache>
                <c:formatCode>General</c:formatCode>
                <c:ptCount val="1"/>
                <c:pt idx="0">
                  <c:v>-0.42</c:v>
                </c:pt>
              </c:numCache>
            </c:numRef>
          </c:xVal>
          <c:yVal>
            <c:numRef>
              <c:f>Sheet1!$C$4</c:f>
              <c:numCache>
                <c:formatCode>General</c:formatCode>
                <c:ptCount val="1"/>
                <c:pt idx="0">
                  <c:v>-0.18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EL01308765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Sheet1!$B$5</c:f>
              <c:numCache>
                <c:formatCode>General</c:formatCode>
                <c:ptCount val="1"/>
                <c:pt idx="0">
                  <c:v>-0.51</c:v>
                </c:pt>
              </c:numCache>
            </c:numRef>
          </c:xVal>
          <c:yVal>
            <c:numRef>
              <c:f>Sheet1!$C$5</c:f>
              <c:numCache>
                <c:formatCode>General</c:formatCode>
                <c:ptCount val="1"/>
                <c:pt idx="0">
                  <c:v>0.16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EL01308638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Sheet1!$B$6</c:f>
              <c:numCache>
                <c:formatCode>General</c:formatCode>
                <c:ptCount val="1"/>
                <c:pt idx="0">
                  <c:v>-1.1100000000000001</c:v>
                </c:pt>
              </c:numCache>
            </c:numRef>
          </c:xVal>
          <c:yVal>
            <c:numRef>
              <c:f>Sheet1!$C$6</c:f>
              <c:numCache>
                <c:formatCode>General</c:formatCode>
                <c:ptCount val="1"/>
                <c:pt idx="0">
                  <c:v>1.76</c:v>
                </c:pt>
              </c:numCache>
            </c:numRef>
          </c:y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EL01311762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Sheet1!$B$7</c:f>
              <c:numCache>
                <c:formatCode>General</c:formatCode>
                <c:ptCount val="1"/>
                <c:pt idx="0">
                  <c:v>-0.09</c:v>
                </c:pt>
              </c:numCache>
            </c:numRef>
          </c:xVal>
          <c:yVal>
            <c:numRef>
              <c:f>Sheet1!$C$7</c:f>
              <c:numCache>
                <c:formatCode>General</c:formatCode>
                <c:ptCount val="1"/>
                <c:pt idx="0">
                  <c:v>-0.75</c:v>
                </c:pt>
              </c:numCache>
            </c:numRef>
          </c:yVal>
          <c:smooth val="0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EL01304823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Sheet1!$B$8</c:f>
              <c:numCache>
                <c:formatCode>General</c:formatCode>
                <c:ptCount val="1"/>
                <c:pt idx="0">
                  <c:v>-0.74</c:v>
                </c:pt>
              </c:numCache>
            </c:numRef>
          </c:xVal>
          <c:yVal>
            <c:numRef>
              <c:f>Sheet1!$C$8</c:f>
              <c:numCache>
                <c:formatCode>General</c:formatCode>
                <c:ptCount val="1"/>
                <c:pt idx="0">
                  <c:v>-1.73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8419968"/>
        <c:axId val="238421888"/>
      </c:scatterChart>
      <c:valAx>
        <c:axId val="238419968"/>
        <c:scaling>
          <c:orientation val="minMax"/>
          <c:min val="-2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1"/>
                  <a:t>Dim_1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15875">
            <a:solidFill>
              <a:schemeClr val="tx1"/>
            </a:solidFill>
          </a:ln>
        </c:spPr>
        <c:txPr>
          <a:bodyPr/>
          <a:lstStyle/>
          <a:p>
            <a:pPr>
              <a:defRPr sz="1200" baseline="0"/>
            </a:pPr>
            <a:endParaRPr lang="en-US"/>
          </a:p>
        </c:txPr>
        <c:crossAx val="238421888"/>
        <c:crossesAt val="-2"/>
        <c:crossBetween val="midCat"/>
      </c:valAx>
      <c:valAx>
        <c:axId val="238421888"/>
        <c:scaling>
          <c:orientation val="minMax"/>
          <c:max val="3"/>
          <c:min val="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Dim_2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200" baseline="0"/>
            </a:pPr>
            <a:endParaRPr lang="en-US"/>
          </a:p>
        </c:txPr>
        <c:crossAx val="238419968"/>
        <c:crossesAt val="-2"/>
        <c:crossBetween val="midCat"/>
      </c:valAx>
    </c:plotArea>
    <c:legend>
      <c:legendPos val="b"/>
      <c:layout>
        <c:manualLayout>
          <c:xMode val="edge"/>
          <c:yMode val="edge"/>
          <c:x val="5.4668734125327072E-2"/>
          <c:y val="0.86798509013401792"/>
          <c:w val="0.88464500113014266"/>
          <c:h val="0.12442565905375592"/>
        </c:manualLayout>
      </c:layout>
      <c:overlay val="0"/>
      <c:txPr>
        <a:bodyPr/>
        <a:lstStyle/>
        <a:p>
          <a:pPr>
            <a:defRPr sz="1200" baseline="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0.3331</cdr:y>
    </cdr:from>
    <cdr:to>
      <cdr:x>0.1182</cdr:x>
      <cdr:y>0.41004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1205673"/>
          <a:ext cx="482600" cy="2784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F</a:t>
          </a:r>
          <a:r>
            <a:rPr lang="en-US" sz="1400" baseline="-25000">
              <a:latin typeface="Arial" panose="020B0604020202020204" pitchFamily="34" charset="0"/>
              <a:cs typeface="Arial" panose="020B0604020202020204" pitchFamily="34" charset="0"/>
            </a:rPr>
            <a:t>ST</a:t>
          </a:r>
        </a:p>
      </cdr:txBody>
    </cdr:sp>
  </cdr:relSizeAnchor>
  <cdr:relSizeAnchor xmlns:cdr="http://schemas.openxmlformats.org/drawingml/2006/chartDrawing">
    <cdr:from>
      <cdr:x>0.43147</cdr:x>
      <cdr:y>0.86446</cdr:y>
    </cdr:from>
    <cdr:to>
      <cdr:x>0.80093</cdr:x>
      <cdr:y>0.93796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761732" y="3128919"/>
          <a:ext cx="1508518" cy="2660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distance (log, km)</a:t>
          </a:r>
        </a:p>
      </cdr:txBody>
    </cdr:sp>
  </cdr:relSizeAnchor>
</c:userShape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Αριάδνη</dc:creator>
  <cp:lastModifiedBy>Αριάδνη</cp:lastModifiedBy>
  <cp:revision>2</cp:revision>
  <dcterms:created xsi:type="dcterms:W3CDTF">2016-11-25T11:28:00Z</dcterms:created>
  <dcterms:modified xsi:type="dcterms:W3CDTF">2016-11-25T14:07:00Z</dcterms:modified>
</cp:coreProperties>
</file>