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B2" w:rsidRPr="0081424C" w:rsidRDefault="00563AB2" w:rsidP="00563AB2">
      <w:pPr>
        <w:pStyle w:val="ANMTabtitle"/>
        <w:outlineLvl w:val="0"/>
        <w:rPr>
          <w:rFonts w:eastAsia="Cambria"/>
        </w:rPr>
      </w:pPr>
      <w:r w:rsidRPr="0081424C">
        <w:rPr>
          <w:rStyle w:val="ANMheading1Car"/>
          <w:i w:val="0"/>
        </w:rPr>
        <w:t>Supplementary Table S1</w:t>
      </w:r>
      <w:r w:rsidRPr="0081424C">
        <w:t xml:space="preserve"> </w:t>
      </w:r>
      <w:r w:rsidRPr="0081424C">
        <w:rPr>
          <w:rFonts w:eastAsia="Cambria"/>
        </w:rPr>
        <w:t xml:space="preserve">Ingredient and </w:t>
      </w:r>
      <w:r w:rsidR="00AD7B6B" w:rsidRPr="0081424C">
        <w:rPr>
          <w:rFonts w:eastAsia="Cambria"/>
        </w:rPr>
        <w:t>analysed</w:t>
      </w:r>
      <w:r w:rsidRPr="0081424C">
        <w:rPr>
          <w:rFonts w:eastAsia="Cambria"/>
        </w:rPr>
        <w:t xml:space="preserve"> chemical composition</w:t>
      </w:r>
      <w:r w:rsidRPr="0081424C">
        <w:rPr>
          <w:rFonts w:eastAsia="Cambria"/>
          <w:spacing w:val="-11"/>
        </w:rPr>
        <w:t xml:space="preserve"> </w:t>
      </w:r>
      <w:r w:rsidRPr="0081424C">
        <w:rPr>
          <w:rFonts w:eastAsia="Cambria"/>
          <w:spacing w:val="-1"/>
        </w:rPr>
        <w:t>o</w:t>
      </w:r>
      <w:r w:rsidRPr="0081424C">
        <w:rPr>
          <w:rFonts w:eastAsia="Cambria"/>
        </w:rPr>
        <w:t>f</w:t>
      </w:r>
      <w:r w:rsidRPr="0081424C">
        <w:rPr>
          <w:rFonts w:eastAsia="Cambria"/>
          <w:spacing w:val="-1"/>
        </w:rPr>
        <w:t xml:space="preserve"> the </w:t>
      </w:r>
      <w:r w:rsidRPr="0081424C">
        <w:rPr>
          <w:rFonts w:eastAsia="Cambria"/>
          <w:spacing w:val="-5"/>
        </w:rPr>
        <w:t>e</w:t>
      </w:r>
      <w:r w:rsidRPr="0081424C">
        <w:rPr>
          <w:rFonts w:eastAsia="Cambria"/>
          <w:spacing w:val="1"/>
        </w:rPr>
        <w:t>xp</w:t>
      </w:r>
      <w:r w:rsidRPr="0081424C">
        <w:rPr>
          <w:rFonts w:eastAsia="Cambria"/>
        </w:rPr>
        <w:t>e</w:t>
      </w:r>
      <w:r w:rsidRPr="0081424C">
        <w:rPr>
          <w:rFonts w:eastAsia="Cambria"/>
          <w:spacing w:val="-1"/>
        </w:rPr>
        <w:t>r</w:t>
      </w:r>
      <w:r w:rsidRPr="0081424C">
        <w:rPr>
          <w:rFonts w:eastAsia="Cambria"/>
          <w:spacing w:val="2"/>
        </w:rPr>
        <w:t>i</w:t>
      </w:r>
      <w:r w:rsidRPr="0081424C">
        <w:rPr>
          <w:rFonts w:eastAsia="Cambria"/>
        </w:rPr>
        <w:t>me</w:t>
      </w:r>
      <w:r w:rsidRPr="0081424C">
        <w:rPr>
          <w:rFonts w:eastAsia="Cambria"/>
          <w:spacing w:val="2"/>
        </w:rPr>
        <w:t>n</w:t>
      </w:r>
      <w:r w:rsidRPr="0081424C">
        <w:rPr>
          <w:rFonts w:eastAsia="Cambria"/>
          <w:spacing w:val="-1"/>
        </w:rPr>
        <w:t>ta</w:t>
      </w:r>
      <w:r w:rsidRPr="0081424C">
        <w:rPr>
          <w:rFonts w:eastAsia="Cambria"/>
        </w:rPr>
        <w:t>l</w:t>
      </w:r>
      <w:r w:rsidRPr="0081424C">
        <w:rPr>
          <w:rFonts w:eastAsia="Cambria"/>
          <w:spacing w:val="-6"/>
        </w:rPr>
        <w:t xml:space="preserve"> </w:t>
      </w:r>
      <w:r w:rsidRPr="0081424C">
        <w:rPr>
          <w:rFonts w:eastAsia="Cambria"/>
          <w:spacing w:val="-1"/>
        </w:rPr>
        <w:t>d</w:t>
      </w:r>
      <w:r w:rsidRPr="0081424C">
        <w:rPr>
          <w:rFonts w:eastAsia="Cambria"/>
          <w:spacing w:val="2"/>
        </w:rPr>
        <w:t>i</w:t>
      </w:r>
      <w:r w:rsidRPr="0081424C">
        <w:rPr>
          <w:rFonts w:eastAsia="Cambria"/>
        </w:rPr>
        <w:t>e</w:t>
      </w:r>
      <w:r w:rsidRPr="0081424C">
        <w:rPr>
          <w:rFonts w:eastAsia="Cambria"/>
          <w:spacing w:val="-1"/>
        </w:rPr>
        <w:t>t</w:t>
      </w:r>
      <w:r w:rsidRPr="0081424C">
        <w:rPr>
          <w:rFonts w:eastAsia="Cambria"/>
        </w:rPr>
        <w:t>s (DM basis)</w:t>
      </w:r>
    </w:p>
    <w:tbl>
      <w:tblPr>
        <w:tblStyle w:val="Grilledutableau"/>
        <w:tblW w:w="5000" w:type="pct"/>
        <w:tblLook w:val="04A0"/>
      </w:tblPr>
      <w:tblGrid>
        <w:gridCol w:w="3531"/>
        <w:gridCol w:w="1326"/>
        <w:gridCol w:w="1477"/>
        <w:gridCol w:w="1475"/>
        <w:gridCol w:w="1479"/>
      </w:tblGrid>
      <w:tr w:rsidR="00563AB2" w:rsidRPr="0081424C" w:rsidTr="00596AD0">
        <w:tc>
          <w:tcPr>
            <w:tcW w:w="1901" w:type="pct"/>
            <w:tcBorders>
              <w:top w:val="double" w:sz="6" w:space="0" w:color="auto"/>
              <w:left w:val="nil"/>
              <w:bottom w:val="nil"/>
              <w:right w:val="nil"/>
            </w:tcBorders>
            <w:vAlign w:val="bottom"/>
          </w:tcPr>
          <w:p w:rsidR="00563AB2" w:rsidRPr="0081424C" w:rsidRDefault="00563AB2" w:rsidP="00563AB2">
            <w:pPr>
              <w:spacing w:line="360" w:lineRule="auto"/>
              <w:ind w:firstLine="0"/>
              <w:rPr>
                <w:rFonts w:cs="Arial"/>
                <w:sz w:val="22"/>
                <w:szCs w:val="22"/>
                <w:lang w:val="en-GB"/>
              </w:rPr>
            </w:pPr>
          </w:p>
        </w:tc>
        <w:tc>
          <w:tcPr>
            <w:tcW w:w="3099" w:type="pct"/>
            <w:gridSpan w:val="4"/>
            <w:tcBorders>
              <w:top w:val="double" w:sz="6" w:space="0" w:color="auto"/>
              <w:left w:val="nil"/>
              <w:bottom w:val="single" w:sz="4" w:space="0" w:color="auto"/>
              <w:right w:val="nil"/>
            </w:tcBorders>
          </w:tcPr>
          <w:p w:rsidR="00563AB2" w:rsidRPr="0081424C" w:rsidRDefault="00563AB2" w:rsidP="00563AB2">
            <w:pPr>
              <w:spacing w:line="360" w:lineRule="auto"/>
              <w:ind w:firstLine="0"/>
              <w:jc w:val="center"/>
              <w:rPr>
                <w:rFonts w:cs="Arial"/>
                <w:sz w:val="22"/>
                <w:szCs w:val="22"/>
                <w:lang w:val="en-GB"/>
              </w:rPr>
            </w:pPr>
            <w:r w:rsidRPr="0081424C">
              <w:rPr>
                <w:rFonts w:cs="Arial"/>
                <w:sz w:val="22"/>
                <w:szCs w:val="22"/>
                <w:lang w:val="en-GB"/>
              </w:rPr>
              <w:t>Diet</w:t>
            </w:r>
          </w:p>
        </w:tc>
      </w:tr>
      <w:tr w:rsidR="006E488C" w:rsidRPr="0081424C" w:rsidTr="00341CF1">
        <w:tc>
          <w:tcPr>
            <w:tcW w:w="1901" w:type="pct"/>
            <w:tcBorders>
              <w:top w:val="nil"/>
              <w:left w:val="nil"/>
              <w:bottom w:val="single" w:sz="4" w:space="0" w:color="auto"/>
              <w:right w:val="nil"/>
            </w:tcBorders>
            <w:vAlign w:val="bottom"/>
          </w:tcPr>
          <w:p w:rsidR="006E488C" w:rsidRPr="0081424C" w:rsidRDefault="006E488C" w:rsidP="00563AB2">
            <w:pPr>
              <w:spacing w:line="360" w:lineRule="auto"/>
              <w:ind w:firstLine="0"/>
              <w:rPr>
                <w:rFonts w:cs="Arial"/>
                <w:sz w:val="22"/>
                <w:szCs w:val="22"/>
                <w:lang w:val="en-GB"/>
              </w:rPr>
            </w:pPr>
            <w:bookmarkStart w:id="0" w:name="_GoBack"/>
            <w:bookmarkEnd w:id="0"/>
          </w:p>
        </w:tc>
        <w:tc>
          <w:tcPr>
            <w:tcW w:w="714" w:type="pct"/>
            <w:tcBorders>
              <w:top w:val="nil"/>
              <w:left w:val="nil"/>
              <w:bottom w:val="single" w:sz="4" w:space="0" w:color="auto"/>
              <w:right w:val="nil"/>
            </w:tcBorders>
          </w:tcPr>
          <w:p w:rsidR="006E488C" w:rsidRPr="0081424C" w:rsidRDefault="006E488C" w:rsidP="007C1E29">
            <w:pPr>
              <w:spacing w:line="360" w:lineRule="auto"/>
              <w:ind w:firstLine="0"/>
              <w:jc w:val="center"/>
              <w:rPr>
                <w:rFonts w:cs="Arial"/>
                <w:sz w:val="22"/>
                <w:szCs w:val="22"/>
                <w:lang w:val="en-GB"/>
              </w:rPr>
            </w:pPr>
            <w:r w:rsidRPr="0081424C">
              <w:rPr>
                <w:rFonts w:cs="Arial"/>
                <w:sz w:val="22"/>
                <w:szCs w:val="22"/>
                <w:lang w:val="en-GB"/>
              </w:rPr>
              <w:t>ALG−RS−</w:t>
            </w:r>
          </w:p>
        </w:tc>
        <w:tc>
          <w:tcPr>
            <w:tcW w:w="795" w:type="pct"/>
            <w:tcBorders>
              <w:top w:val="nil"/>
              <w:left w:val="nil"/>
              <w:bottom w:val="single" w:sz="4" w:space="0" w:color="auto"/>
              <w:right w:val="nil"/>
            </w:tcBorders>
          </w:tcPr>
          <w:p w:rsidR="006E488C" w:rsidRPr="0081424C" w:rsidRDefault="006E488C" w:rsidP="007C1E29">
            <w:pPr>
              <w:spacing w:line="360" w:lineRule="auto"/>
              <w:ind w:firstLine="0"/>
              <w:jc w:val="center"/>
              <w:rPr>
                <w:rFonts w:cs="Arial"/>
                <w:sz w:val="22"/>
                <w:szCs w:val="22"/>
                <w:lang w:val="en-GB"/>
              </w:rPr>
            </w:pPr>
            <w:r w:rsidRPr="0081424C">
              <w:rPr>
                <w:rFonts w:cs="Arial"/>
                <w:sz w:val="22"/>
                <w:szCs w:val="22"/>
                <w:lang w:val="en-GB"/>
              </w:rPr>
              <w:t>ALG+RS−</w:t>
            </w:r>
          </w:p>
        </w:tc>
        <w:tc>
          <w:tcPr>
            <w:tcW w:w="794" w:type="pct"/>
            <w:tcBorders>
              <w:top w:val="nil"/>
              <w:left w:val="nil"/>
              <w:bottom w:val="single" w:sz="4" w:space="0" w:color="auto"/>
              <w:right w:val="nil"/>
            </w:tcBorders>
          </w:tcPr>
          <w:p w:rsidR="006E488C" w:rsidRPr="0081424C" w:rsidRDefault="006E488C" w:rsidP="007C1E29">
            <w:pPr>
              <w:spacing w:line="360" w:lineRule="auto"/>
              <w:ind w:firstLine="0"/>
              <w:jc w:val="center"/>
              <w:rPr>
                <w:rFonts w:cs="Arial"/>
                <w:sz w:val="22"/>
                <w:szCs w:val="22"/>
                <w:lang w:val="en-GB"/>
              </w:rPr>
            </w:pPr>
            <w:r w:rsidRPr="0081424C">
              <w:rPr>
                <w:rFonts w:cs="Arial"/>
                <w:sz w:val="22"/>
                <w:szCs w:val="22"/>
                <w:lang w:val="en-GB"/>
              </w:rPr>
              <w:t>ALG−RS+</w:t>
            </w:r>
          </w:p>
        </w:tc>
        <w:tc>
          <w:tcPr>
            <w:tcW w:w="796" w:type="pct"/>
            <w:tcBorders>
              <w:top w:val="nil"/>
              <w:left w:val="nil"/>
              <w:bottom w:val="single" w:sz="4" w:space="0" w:color="auto"/>
              <w:right w:val="nil"/>
            </w:tcBorders>
          </w:tcPr>
          <w:p w:rsidR="006E488C" w:rsidRPr="0081424C" w:rsidRDefault="006E488C" w:rsidP="007C1E29">
            <w:pPr>
              <w:spacing w:line="360" w:lineRule="auto"/>
              <w:ind w:firstLine="0"/>
              <w:jc w:val="center"/>
              <w:rPr>
                <w:rFonts w:cs="Arial"/>
                <w:sz w:val="22"/>
                <w:szCs w:val="22"/>
                <w:lang w:val="en-GB"/>
              </w:rPr>
            </w:pPr>
            <w:r w:rsidRPr="0081424C">
              <w:rPr>
                <w:rFonts w:cs="Arial"/>
                <w:sz w:val="22"/>
                <w:szCs w:val="22"/>
                <w:lang w:val="en-GB"/>
              </w:rPr>
              <w:t>ALG+RS+</w:t>
            </w:r>
          </w:p>
        </w:tc>
      </w:tr>
      <w:tr w:rsidR="006E488C" w:rsidRPr="0081424C" w:rsidTr="006E488C">
        <w:tc>
          <w:tcPr>
            <w:tcW w:w="1901" w:type="pct"/>
            <w:tcBorders>
              <w:top w:val="single" w:sz="4" w:space="0" w:color="auto"/>
              <w:left w:val="nil"/>
              <w:bottom w:val="nil"/>
              <w:right w:val="nil"/>
            </w:tcBorders>
          </w:tcPr>
          <w:p w:rsidR="006E488C" w:rsidRPr="0081424C" w:rsidRDefault="006E488C" w:rsidP="00563AB2">
            <w:pPr>
              <w:spacing w:line="360" w:lineRule="auto"/>
              <w:ind w:firstLine="0"/>
              <w:jc w:val="left"/>
              <w:rPr>
                <w:rFonts w:eastAsia="Cambria" w:cs="Arial"/>
                <w:sz w:val="22"/>
                <w:szCs w:val="22"/>
                <w:lang w:val="en-GB"/>
              </w:rPr>
            </w:pPr>
            <w:r w:rsidRPr="0081424C">
              <w:rPr>
                <w:rFonts w:cs="Arial"/>
                <w:sz w:val="22"/>
                <w:szCs w:val="22"/>
                <w:lang w:val="en-GB"/>
              </w:rPr>
              <w:t>Ingredient composition (%)</w:t>
            </w:r>
          </w:p>
        </w:tc>
        <w:tc>
          <w:tcPr>
            <w:tcW w:w="714" w:type="pct"/>
            <w:tcBorders>
              <w:top w:val="single" w:sz="4" w:space="0" w:color="auto"/>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p>
        </w:tc>
        <w:tc>
          <w:tcPr>
            <w:tcW w:w="795" w:type="pct"/>
            <w:tcBorders>
              <w:top w:val="single" w:sz="4" w:space="0" w:color="auto"/>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p>
        </w:tc>
        <w:tc>
          <w:tcPr>
            <w:tcW w:w="794" w:type="pct"/>
            <w:tcBorders>
              <w:top w:val="single" w:sz="4" w:space="0" w:color="auto"/>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p>
        </w:tc>
        <w:tc>
          <w:tcPr>
            <w:tcW w:w="796" w:type="pct"/>
            <w:tcBorders>
              <w:top w:val="single" w:sz="4" w:space="0" w:color="auto"/>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P</w:t>
            </w:r>
            <w:r w:rsidRPr="0081424C">
              <w:rPr>
                <w:rFonts w:eastAsia="Cambria" w:cs="Arial"/>
                <w:spacing w:val="-1"/>
                <w:sz w:val="22"/>
                <w:szCs w:val="22"/>
                <w:lang w:val="en-GB"/>
              </w:rPr>
              <w:t>re</w:t>
            </w:r>
            <w:r w:rsidRPr="0081424C">
              <w:rPr>
                <w:rFonts w:eastAsia="Cambria" w:cs="Arial"/>
                <w:sz w:val="22"/>
                <w:szCs w:val="22"/>
                <w:lang w:val="en-GB"/>
              </w:rPr>
              <w:t>g</w:t>
            </w:r>
            <w:r w:rsidRPr="0081424C">
              <w:rPr>
                <w:rFonts w:eastAsia="Cambria" w:cs="Arial"/>
                <w:spacing w:val="-1"/>
                <w:sz w:val="22"/>
                <w:szCs w:val="22"/>
                <w:lang w:val="en-GB"/>
              </w:rPr>
              <w:t>e</w:t>
            </w:r>
            <w:r w:rsidRPr="0081424C">
              <w:rPr>
                <w:rFonts w:eastAsia="Cambria" w:cs="Arial"/>
                <w:spacing w:val="3"/>
                <w:sz w:val="22"/>
                <w:szCs w:val="22"/>
                <w:lang w:val="en-GB"/>
              </w:rPr>
              <w:t>l</w:t>
            </w:r>
            <w:r w:rsidRPr="0081424C">
              <w:rPr>
                <w:rFonts w:eastAsia="Cambria" w:cs="Arial"/>
                <w:spacing w:val="-1"/>
                <w:sz w:val="22"/>
                <w:szCs w:val="22"/>
                <w:lang w:val="en-GB"/>
              </w:rPr>
              <w:t>a</w:t>
            </w:r>
            <w:r w:rsidRPr="0081424C">
              <w:rPr>
                <w:rFonts w:eastAsia="Cambria" w:cs="Arial"/>
                <w:sz w:val="22"/>
                <w:szCs w:val="22"/>
                <w:lang w:val="en-GB"/>
              </w:rPr>
              <w:t>t</w:t>
            </w:r>
            <w:r w:rsidRPr="0081424C">
              <w:rPr>
                <w:rFonts w:eastAsia="Cambria" w:cs="Arial"/>
                <w:spacing w:val="2"/>
                <w:sz w:val="22"/>
                <w:szCs w:val="22"/>
                <w:lang w:val="en-GB"/>
              </w:rPr>
              <w:t>i</w:t>
            </w:r>
            <w:r w:rsidRPr="0081424C">
              <w:rPr>
                <w:rFonts w:eastAsia="Cambria" w:cs="Arial"/>
                <w:spacing w:val="-1"/>
                <w:sz w:val="22"/>
                <w:szCs w:val="22"/>
                <w:lang w:val="en-GB"/>
              </w:rPr>
              <w:t>n</w:t>
            </w:r>
            <w:r w:rsidRPr="0081424C">
              <w:rPr>
                <w:rFonts w:eastAsia="Cambria" w:cs="Arial"/>
                <w:sz w:val="22"/>
                <w:szCs w:val="22"/>
                <w:lang w:val="en-GB"/>
              </w:rPr>
              <w:t>i</w:t>
            </w:r>
            <w:r w:rsidRPr="0081424C">
              <w:rPr>
                <w:rFonts w:eastAsia="Cambria" w:cs="Arial"/>
                <w:spacing w:val="1"/>
                <w:sz w:val="22"/>
                <w:szCs w:val="22"/>
                <w:lang w:val="en-GB"/>
              </w:rPr>
              <w:t>z</w:t>
            </w:r>
            <w:r w:rsidRPr="0081424C">
              <w:rPr>
                <w:rFonts w:eastAsia="Cambria" w:cs="Arial"/>
                <w:spacing w:val="-1"/>
                <w:sz w:val="22"/>
                <w:szCs w:val="22"/>
                <w:lang w:val="en-GB"/>
              </w:rPr>
              <w:t>e</w:t>
            </w:r>
            <w:r w:rsidRPr="0081424C">
              <w:rPr>
                <w:rFonts w:eastAsia="Cambria" w:cs="Arial"/>
                <w:sz w:val="22"/>
                <w:szCs w:val="22"/>
                <w:lang w:val="en-GB"/>
              </w:rPr>
              <w:t>d</w:t>
            </w:r>
            <w:r w:rsidRPr="0081424C">
              <w:rPr>
                <w:rFonts w:eastAsia="Cambria" w:cs="Arial"/>
                <w:spacing w:val="-12"/>
                <w:sz w:val="22"/>
                <w:szCs w:val="22"/>
                <w:lang w:val="en-GB"/>
              </w:rPr>
              <w:t xml:space="preserve"> </w:t>
            </w:r>
            <w:r w:rsidRPr="0081424C">
              <w:rPr>
                <w:rFonts w:eastAsia="Cambria" w:cs="Arial"/>
                <w:sz w:val="22"/>
                <w:szCs w:val="22"/>
                <w:lang w:val="en-GB"/>
              </w:rPr>
              <w:t>pot</w:t>
            </w:r>
            <w:r w:rsidRPr="0081424C">
              <w:rPr>
                <w:rFonts w:eastAsia="Cambria" w:cs="Arial"/>
                <w:spacing w:val="3"/>
                <w:sz w:val="22"/>
                <w:szCs w:val="22"/>
                <w:lang w:val="en-GB"/>
              </w:rPr>
              <w:t>a</w:t>
            </w:r>
            <w:r w:rsidRPr="0081424C">
              <w:rPr>
                <w:rFonts w:eastAsia="Cambria" w:cs="Arial"/>
                <w:spacing w:val="-5"/>
                <w:sz w:val="22"/>
                <w:szCs w:val="22"/>
                <w:lang w:val="en-GB"/>
              </w:rPr>
              <w:t>t</w:t>
            </w:r>
            <w:r w:rsidRPr="0081424C">
              <w:rPr>
                <w:rFonts w:eastAsia="Cambria" w:cs="Arial"/>
                <w:sz w:val="22"/>
                <w:szCs w:val="22"/>
                <w:lang w:val="en-GB"/>
              </w:rPr>
              <w:t>o</w:t>
            </w:r>
            <w:r w:rsidRPr="0081424C">
              <w:rPr>
                <w:rFonts w:eastAsia="Cambria" w:cs="Arial"/>
                <w:spacing w:val="-2"/>
                <w:sz w:val="22"/>
                <w:szCs w:val="22"/>
                <w:lang w:val="en-GB"/>
              </w:rPr>
              <w:t xml:space="preserve"> </w:t>
            </w:r>
            <w:r w:rsidRPr="0081424C">
              <w:rPr>
                <w:rFonts w:eastAsia="Cambria" w:cs="Arial"/>
                <w:spacing w:val="1"/>
                <w:sz w:val="22"/>
                <w:szCs w:val="22"/>
                <w:lang w:val="en-GB"/>
              </w:rPr>
              <w:t>s</w:t>
            </w:r>
            <w:r w:rsidRPr="0081424C">
              <w:rPr>
                <w:rFonts w:eastAsia="Cambria" w:cs="Arial"/>
                <w:sz w:val="22"/>
                <w:szCs w:val="22"/>
                <w:lang w:val="en-GB"/>
              </w:rPr>
              <w:t>t</w:t>
            </w:r>
            <w:r w:rsidRPr="0081424C">
              <w:rPr>
                <w:rFonts w:eastAsia="Cambria" w:cs="Arial"/>
                <w:spacing w:val="1"/>
                <w:sz w:val="22"/>
                <w:szCs w:val="22"/>
                <w:lang w:val="en-GB"/>
              </w:rPr>
              <w:t>a</w:t>
            </w:r>
            <w:r w:rsidRPr="0081424C">
              <w:rPr>
                <w:rFonts w:eastAsia="Cambria" w:cs="Arial"/>
                <w:spacing w:val="-3"/>
                <w:sz w:val="22"/>
                <w:szCs w:val="22"/>
                <w:lang w:val="en-GB"/>
              </w:rPr>
              <w:t>r</w:t>
            </w:r>
            <w:r w:rsidRPr="0081424C">
              <w:rPr>
                <w:rFonts w:eastAsia="Cambria" w:cs="Arial"/>
                <w:spacing w:val="1"/>
                <w:sz w:val="22"/>
                <w:szCs w:val="22"/>
                <w:lang w:val="en-GB"/>
              </w:rPr>
              <w:t>c</w:t>
            </w:r>
            <w:r w:rsidRPr="0081424C">
              <w:rPr>
                <w:rFonts w:eastAsia="Cambria" w:cs="Arial"/>
                <w:sz w:val="22"/>
                <w:szCs w:val="22"/>
                <w:lang w:val="en-GB"/>
              </w:rPr>
              <w:t>h</w:t>
            </w:r>
            <w:r w:rsidRPr="0081424C">
              <w:rPr>
                <w:rFonts w:eastAsia="Cambria" w:cs="Arial"/>
                <w:spacing w:val="-4"/>
                <w:sz w:val="22"/>
                <w:szCs w:val="22"/>
                <w:vertAlign w:val="superscript"/>
                <w:lang w:val="en-GB"/>
              </w:rPr>
              <w:t>1</w:t>
            </w:r>
          </w:p>
        </w:tc>
        <w:tc>
          <w:tcPr>
            <w:tcW w:w="71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40.00</w:t>
            </w:r>
          </w:p>
        </w:tc>
        <w:tc>
          <w:tcPr>
            <w:tcW w:w="795"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34.95</w:t>
            </w:r>
          </w:p>
        </w:tc>
        <w:tc>
          <w:tcPr>
            <w:tcW w:w="79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5.10</w:t>
            </w:r>
          </w:p>
        </w:tc>
        <w:tc>
          <w:tcPr>
            <w:tcW w:w="796"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cs="Arial"/>
                <w:sz w:val="22"/>
                <w:szCs w:val="22"/>
                <w:lang w:val="en-GB"/>
              </w:rPr>
              <w:t>−</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pacing w:val="-1"/>
                <w:sz w:val="22"/>
                <w:szCs w:val="22"/>
                <w:lang w:val="en-GB"/>
              </w:rPr>
              <w:t>Re</w:t>
            </w:r>
            <w:r w:rsidRPr="0081424C">
              <w:rPr>
                <w:rFonts w:eastAsia="Cambria" w:cs="Arial"/>
                <w:sz w:val="22"/>
                <w:szCs w:val="22"/>
                <w:lang w:val="en-GB"/>
              </w:rPr>
              <w:t>t</w:t>
            </w:r>
            <w:r w:rsidRPr="0081424C">
              <w:rPr>
                <w:rFonts w:eastAsia="Cambria" w:cs="Arial"/>
                <w:spacing w:val="-1"/>
                <w:sz w:val="22"/>
                <w:szCs w:val="22"/>
                <w:lang w:val="en-GB"/>
              </w:rPr>
              <w:t>r</w:t>
            </w:r>
            <w:r w:rsidRPr="0081424C">
              <w:rPr>
                <w:rFonts w:eastAsia="Cambria" w:cs="Arial"/>
                <w:spacing w:val="-2"/>
                <w:sz w:val="22"/>
                <w:szCs w:val="22"/>
                <w:lang w:val="en-GB"/>
              </w:rPr>
              <w:t>o</w:t>
            </w:r>
            <w:r w:rsidRPr="0081424C">
              <w:rPr>
                <w:rFonts w:eastAsia="Cambria" w:cs="Arial"/>
                <w:spacing w:val="2"/>
                <w:sz w:val="22"/>
                <w:szCs w:val="22"/>
                <w:lang w:val="en-GB"/>
              </w:rPr>
              <w:t>g</w:t>
            </w:r>
            <w:r w:rsidRPr="0081424C">
              <w:rPr>
                <w:rFonts w:eastAsia="Cambria" w:cs="Arial"/>
                <w:spacing w:val="-3"/>
                <w:sz w:val="22"/>
                <w:szCs w:val="22"/>
                <w:lang w:val="en-GB"/>
              </w:rPr>
              <w:t>r</w:t>
            </w:r>
            <w:r w:rsidRPr="0081424C">
              <w:rPr>
                <w:rFonts w:eastAsia="Cambria" w:cs="Arial"/>
                <w:spacing w:val="-1"/>
                <w:sz w:val="22"/>
                <w:szCs w:val="22"/>
                <w:lang w:val="en-GB"/>
              </w:rPr>
              <w:t>a</w:t>
            </w:r>
            <w:r w:rsidRPr="0081424C">
              <w:rPr>
                <w:rFonts w:eastAsia="Cambria" w:cs="Arial"/>
                <w:spacing w:val="2"/>
                <w:sz w:val="22"/>
                <w:szCs w:val="22"/>
                <w:lang w:val="en-GB"/>
              </w:rPr>
              <w:t>d</w:t>
            </w:r>
            <w:r w:rsidRPr="0081424C">
              <w:rPr>
                <w:rFonts w:eastAsia="Cambria" w:cs="Arial"/>
                <w:spacing w:val="-1"/>
                <w:sz w:val="22"/>
                <w:szCs w:val="22"/>
                <w:lang w:val="en-GB"/>
              </w:rPr>
              <w:t>e</w:t>
            </w:r>
            <w:r w:rsidRPr="0081424C">
              <w:rPr>
                <w:rFonts w:eastAsia="Cambria" w:cs="Arial"/>
                <w:sz w:val="22"/>
                <w:szCs w:val="22"/>
                <w:lang w:val="en-GB"/>
              </w:rPr>
              <w:t>d</w:t>
            </w:r>
            <w:r w:rsidRPr="0081424C">
              <w:rPr>
                <w:rFonts w:eastAsia="Cambria" w:cs="Arial"/>
                <w:spacing w:val="-10"/>
                <w:sz w:val="22"/>
                <w:szCs w:val="22"/>
                <w:lang w:val="en-GB"/>
              </w:rPr>
              <w:t xml:space="preserve"> </w:t>
            </w:r>
            <w:r w:rsidRPr="0081424C">
              <w:rPr>
                <w:rFonts w:eastAsia="Cambria" w:cs="Arial"/>
                <w:sz w:val="22"/>
                <w:szCs w:val="22"/>
                <w:lang w:val="en-GB"/>
              </w:rPr>
              <w:t>t</w:t>
            </w:r>
            <w:r w:rsidRPr="0081424C">
              <w:rPr>
                <w:rFonts w:eastAsia="Cambria" w:cs="Arial"/>
                <w:spacing w:val="1"/>
                <w:sz w:val="22"/>
                <w:szCs w:val="22"/>
                <w:lang w:val="en-GB"/>
              </w:rPr>
              <w:t>a</w:t>
            </w:r>
            <w:r w:rsidRPr="0081424C">
              <w:rPr>
                <w:rFonts w:eastAsia="Cambria" w:cs="Arial"/>
                <w:sz w:val="22"/>
                <w:szCs w:val="22"/>
                <w:lang w:val="en-GB"/>
              </w:rPr>
              <w:t>pio</w:t>
            </w:r>
            <w:r w:rsidRPr="0081424C">
              <w:rPr>
                <w:rFonts w:eastAsia="Cambria" w:cs="Arial"/>
                <w:spacing w:val="1"/>
                <w:sz w:val="22"/>
                <w:szCs w:val="22"/>
                <w:lang w:val="en-GB"/>
              </w:rPr>
              <w:t>c</w:t>
            </w:r>
            <w:r w:rsidRPr="0081424C">
              <w:rPr>
                <w:rFonts w:eastAsia="Cambria" w:cs="Arial"/>
                <w:sz w:val="22"/>
                <w:szCs w:val="22"/>
                <w:lang w:val="en-GB"/>
              </w:rPr>
              <w:t>a</w:t>
            </w:r>
            <w:r w:rsidRPr="0081424C">
              <w:rPr>
                <w:rFonts w:eastAsia="Cambria" w:cs="Arial"/>
                <w:spacing w:val="-6"/>
                <w:sz w:val="22"/>
                <w:szCs w:val="22"/>
                <w:lang w:val="en-GB"/>
              </w:rPr>
              <w:t xml:space="preserve"> </w:t>
            </w:r>
            <w:r w:rsidRPr="0081424C">
              <w:rPr>
                <w:rFonts w:eastAsia="Cambria" w:cs="Arial"/>
                <w:spacing w:val="1"/>
                <w:sz w:val="22"/>
                <w:szCs w:val="22"/>
                <w:lang w:val="en-GB"/>
              </w:rPr>
              <w:t>s</w:t>
            </w:r>
            <w:r w:rsidRPr="0081424C">
              <w:rPr>
                <w:rFonts w:eastAsia="Cambria" w:cs="Arial"/>
                <w:sz w:val="22"/>
                <w:szCs w:val="22"/>
                <w:lang w:val="en-GB"/>
              </w:rPr>
              <w:t>t</w:t>
            </w:r>
            <w:r w:rsidRPr="0081424C">
              <w:rPr>
                <w:rFonts w:eastAsia="Cambria" w:cs="Arial"/>
                <w:spacing w:val="1"/>
                <w:sz w:val="22"/>
                <w:szCs w:val="22"/>
                <w:lang w:val="en-GB"/>
              </w:rPr>
              <w:t>a</w:t>
            </w:r>
            <w:r w:rsidRPr="0081424C">
              <w:rPr>
                <w:rFonts w:eastAsia="Cambria" w:cs="Arial"/>
                <w:spacing w:val="-3"/>
                <w:sz w:val="22"/>
                <w:szCs w:val="22"/>
                <w:lang w:val="en-GB"/>
              </w:rPr>
              <w:t>r</w:t>
            </w:r>
            <w:r w:rsidRPr="0081424C">
              <w:rPr>
                <w:rFonts w:eastAsia="Cambria" w:cs="Arial"/>
                <w:spacing w:val="1"/>
                <w:sz w:val="22"/>
                <w:szCs w:val="22"/>
                <w:lang w:val="en-GB"/>
              </w:rPr>
              <w:t>c</w:t>
            </w:r>
            <w:r w:rsidRPr="0081424C">
              <w:rPr>
                <w:rFonts w:eastAsia="Cambria" w:cs="Arial"/>
                <w:sz w:val="22"/>
                <w:szCs w:val="22"/>
                <w:lang w:val="en-GB"/>
              </w:rPr>
              <w:t>h</w:t>
            </w:r>
            <w:r w:rsidRPr="0081424C">
              <w:rPr>
                <w:rFonts w:eastAsia="Cambria" w:cs="Arial"/>
                <w:spacing w:val="-5"/>
                <w:sz w:val="22"/>
                <w:szCs w:val="22"/>
                <w:vertAlign w:val="superscript"/>
                <w:lang w:val="en-GB"/>
              </w:rPr>
              <w:t>2</w:t>
            </w:r>
          </w:p>
        </w:tc>
        <w:tc>
          <w:tcPr>
            <w:tcW w:w="71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cs="Arial"/>
                <w:sz w:val="22"/>
                <w:szCs w:val="22"/>
                <w:lang w:val="en-GB"/>
              </w:rPr>
              <w:t>−</w:t>
            </w:r>
          </w:p>
        </w:tc>
        <w:tc>
          <w:tcPr>
            <w:tcW w:w="795"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cs="Arial"/>
                <w:sz w:val="22"/>
                <w:szCs w:val="22"/>
                <w:lang w:val="en-GB"/>
              </w:rPr>
              <w:t>−</w:t>
            </w:r>
          </w:p>
        </w:tc>
        <w:tc>
          <w:tcPr>
            <w:tcW w:w="79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33.65</w:t>
            </w:r>
          </w:p>
        </w:tc>
        <w:tc>
          <w:tcPr>
            <w:tcW w:w="796"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33.60</w:t>
            </w:r>
          </w:p>
        </w:tc>
      </w:tr>
      <w:tr w:rsidR="006E488C" w:rsidRPr="0081424C" w:rsidTr="006E488C">
        <w:trPr>
          <w:trHeight w:val="244"/>
        </w:trPr>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Sodium algi</w:t>
            </w:r>
            <w:r w:rsidRPr="0081424C">
              <w:rPr>
                <w:rFonts w:eastAsia="Cambria" w:cs="Arial"/>
                <w:spacing w:val="-1"/>
                <w:sz w:val="22"/>
                <w:szCs w:val="22"/>
                <w:lang w:val="en-GB"/>
              </w:rPr>
              <w:t>n</w:t>
            </w:r>
            <w:r w:rsidRPr="0081424C">
              <w:rPr>
                <w:rFonts w:eastAsia="Cambria" w:cs="Arial"/>
                <w:sz w:val="22"/>
                <w:szCs w:val="22"/>
                <w:lang w:val="en-GB"/>
              </w:rPr>
              <w:t>ate</w:t>
            </w:r>
            <w:r w:rsidRPr="0081424C">
              <w:rPr>
                <w:rFonts w:eastAsia="Cambria" w:cs="Arial"/>
                <w:sz w:val="22"/>
                <w:szCs w:val="22"/>
                <w:vertAlign w:val="superscript"/>
                <w:lang w:val="en-GB"/>
              </w:rPr>
              <w:t>3</w:t>
            </w:r>
          </w:p>
        </w:tc>
        <w:tc>
          <w:tcPr>
            <w:tcW w:w="71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cs="Arial"/>
                <w:sz w:val="22"/>
                <w:szCs w:val="22"/>
                <w:lang w:val="en-GB"/>
              </w:rPr>
              <w:t>−</w:t>
            </w:r>
          </w:p>
        </w:tc>
        <w:tc>
          <w:tcPr>
            <w:tcW w:w="795"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5.14</w:t>
            </w:r>
          </w:p>
        </w:tc>
        <w:tc>
          <w:tcPr>
            <w:tcW w:w="794"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cs="Arial"/>
                <w:sz w:val="22"/>
                <w:szCs w:val="22"/>
                <w:lang w:val="en-GB"/>
              </w:rPr>
              <w:t>−</w:t>
            </w:r>
          </w:p>
        </w:tc>
        <w:tc>
          <w:tcPr>
            <w:tcW w:w="796" w:type="pct"/>
            <w:tcBorders>
              <w:top w:val="nil"/>
              <w:left w:val="nil"/>
              <w:bottom w:val="nil"/>
              <w:right w:val="nil"/>
            </w:tcBorders>
            <w:vAlign w:val="center"/>
          </w:tcPr>
          <w:p w:rsidR="006E488C" w:rsidRPr="0081424C" w:rsidRDefault="006E488C" w:rsidP="00563AB2">
            <w:pPr>
              <w:spacing w:line="360" w:lineRule="auto"/>
              <w:ind w:firstLine="0"/>
              <w:jc w:val="center"/>
              <w:rPr>
                <w:rFonts w:eastAsia="Cambria" w:cs="Arial"/>
                <w:sz w:val="22"/>
                <w:szCs w:val="22"/>
                <w:lang w:val="en-GB"/>
              </w:rPr>
            </w:pPr>
            <w:r w:rsidRPr="0081424C">
              <w:rPr>
                <w:rFonts w:eastAsia="Cambria" w:cs="Arial"/>
                <w:sz w:val="22"/>
                <w:szCs w:val="22"/>
                <w:lang w:val="en-GB"/>
              </w:rPr>
              <w:t>5.24</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Soybean meal</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35.00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34.95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35.73</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35.67</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W</w:t>
            </w:r>
            <w:r w:rsidRPr="0081424C">
              <w:rPr>
                <w:rFonts w:eastAsia="Cambria" w:cs="Arial"/>
                <w:spacing w:val="3"/>
                <w:sz w:val="22"/>
                <w:szCs w:val="22"/>
                <w:lang w:val="en-GB"/>
              </w:rPr>
              <w:t>h</w:t>
            </w:r>
            <w:r w:rsidRPr="0081424C">
              <w:rPr>
                <w:rFonts w:eastAsia="Cambria" w:cs="Arial"/>
                <w:sz w:val="22"/>
                <w:szCs w:val="22"/>
                <w:lang w:val="en-GB"/>
              </w:rPr>
              <w:t>e</w:t>
            </w:r>
            <w:r w:rsidRPr="0081424C">
              <w:rPr>
                <w:rFonts w:eastAsia="Cambria" w:cs="Arial"/>
                <w:spacing w:val="1"/>
                <w:sz w:val="22"/>
                <w:szCs w:val="22"/>
                <w:lang w:val="en-GB"/>
              </w:rPr>
              <w:t>a</w:t>
            </w:r>
            <w:r w:rsidRPr="0081424C">
              <w:rPr>
                <w:rFonts w:eastAsia="Cambria" w:cs="Arial"/>
                <w:sz w:val="22"/>
                <w:szCs w:val="22"/>
                <w:lang w:val="en-GB"/>
              </w:rPr>
              <w:t>t</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7.95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7.94</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8.11</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8.10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pacing w:val="-1"/>
                <w:sz w:val="22"/>
                <w:szCs w:val="22"/>
                <w:lang w:val="en-GB"/>
              </w:rPr>
              <w:t>W</w:t>
            </w:r>
            <w:r w:rsidRPr="0081424C">
              <w:rPr>
                <w:rFonts w:eastAsia="Cambria" w:cs="Arial"/>
                <w:spacing w:val="3"/>
                <w:sz w:val="22"/>
                <w:szCs w:val="22"/>
                <w:lang w:val="en-GB"/>
              </w:rPr>
              <w:t>h</w:t>
            </w:r>
            <w:r w:rsidRPr="0081424C">
              <w:rPr>
                <w:rFonts w:eastAsia="Cambria" w:cs="Arial"/>
                <w:spacing w:val="-1"/>
                <w:sz w:val="22"/>
                <w:szCs w:val="22"/>
                <w:lang w:val="en-GB"/>
              </w:rPr>
              <w:t>e</w:t>
            </w:r>
            <w:r w:rsidRPr="0081424C">
              <w:rPr>
                <w:rFonts w:eastAsia="Cambria" w:cs="Arial"/>
                <w:spacing w:val="1"/>
                <w:sz w:val="22"/>
                <w:szCs w:val="22"/>
                <w:lang w:val="en-GB"/>
              </w:rPr>
              <w:t>a</w:t>
            </w:r>
            <w:r w:rsidRPr="0081424C">
              <w:rPr>
                <w:rFonts w:eastAsia="Cambria" w:cs="Arial"/>
                <w:sz w:val="22"/>
                <w:szCs w:val="22"/>
                <w:lang w:val="en-GB"/>
              </w:rPr>
              <w:t>t</w:t>
            </w:r>
            <w:r w:rsidRPr="0081424C">
              <w:rPr>
                <w:rFonts w:eastAsia="Cambria" w:cs="Arial"/>
                <w:spacing w:val="-5"/>
                <w:sz w:val="22"/>
                <w:szCs w:val="22"/>
                <w:lang w:val="en-GB"/>
              </w:rPr>
              <w:t xml:space="preserve"> </w:t>
            </w:r>
            <w:r w:rsidRPr="0081424C">
              <w:rPr>
                <w:rFonts w:eastAsia="Cambria" w:cs="Arial"/>
                <w:sz w:val="22"/>
                <w:szCs w:val="22"/>
                <w:lang w:val="en-GB"/>
              </w:rPr>
              <w:t>midd</w:t>
            </w:r>
            <w:r w:rsidRPr="0081424C">
              <w:rPr>
                <w:rFonts w:eastAsia="Cambria" w:cs="Arial"/>
                <w:spacing w:val="1"/>
                <w:sz w:val="22"/>
                <w:szCs w:val="22"/>
                <w:lang w:val="en-GB"/>
              </w:rPr>
              <w:t>l</w:t>
            </w:r>
            <w:r w:rsidRPr="0081424C">
              <w:rPr>
                <w:rFonts w:eastAsia="Cambria" w:cs="Arial"/>
                <w:spacing w:val="2"/>
                <w:sz w:val="22"/>
                <w:szCs w:val="22"/>
                <w:lang w:val="en-GB"/>
              </w:rPr>
              <w:t>i</w:t>
            </w:r>
            <w:r w:rsidRPr="0081424C">
              <w:rPr>
                <w:rFonts w:eastAsia="Cambria" w:cs="Arial"/>
                <w:spacing w:val="-1"/>
                <w:sz w:val="22"/>
                <w:szCs w:val="22"/>
                <w:lang w:val="en-GB"/>
              </w:rPr>
              <w:t>n</w:t>
            </w:r>
            <w:r w:rsidRPr="0081424C">
              <w:rPr>
                <w:rFonts w:eastAsia="Cambria" w:cs="Arial"/>
                <w:sz w:val="22"/>
                <w:szCs w:val="22"/>
                <w:lang w:val="en-GB"/>
              </w:rPr>
              <w:t>gs</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5.30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5.29</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5.41</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5.40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pacing w:val="1"/>
                <w:sz w:val="22"/>
                <w:szCs w:val="22"/>
                <w:lang w:val="en-GB"/>
              </w:rPr>
              <w:t>A</w:t>
            </w:r>
            <w:r w:rsidRPr="0081424C">
              <w:rPr>
                <w:rFonts w:eastAsia="Cambria" w:cs="Arial"/>
                <w:spacing w:val="-1"/>
                <w:sz w:val="22"/>
                <w:szCs w:val="22"/>
                <w:lang w:val="en-GB"/>
              </w:rPr>
              <w:t>n</w:t>
            </w:r>
            <w:r w:rsidRPr="0081424C">
              <w:rPr>
                <w:rFonts w:eastAsia="Cambria" w:cs="Arial"/>
                <w:sz w:val="22"/>
                <w:szCs w:val="22"/>
                <w:lang w:val="en-GB"/>
              </w:rPr>
              <w:t>i</w:t>
            </w:r>
            <w:r w:rsidRPr="0081424C">
              <w:rPr>
                <w:rFonts w:eastAsia="Cambria" w:cs="Arial"/>
                <w:spacing w:val="2"/>
                <w:sz w:val="22"/>
                <w:szCs w:val="22"/>
                <w:lang w:val="en-GB"/>
              </w:rPr>
              <w:t>m</w:t>
            </w:r>
            <w:r w:rsidRPr="0081424C">
              <w:rPr>
                <w:rFonts w:eastAsia="Cambria" w:cs="Arial"/>
                <w:spacing w:val="-1"/>
                <w:sz w:val="22"/>
                <w:szCs w:val="22"/>
                <w:lang w:val="en-GB"/>
              </w:rPr>
              <w:t>a</w:t>
            </w:r>
            <w:r w:rsidRPr="0081424C">
              <w:rPr>
                <w:rFonts w:eastAsia="Cambria" w:cs="Arial"/>
                <w:sz w:val="22"/>
                <w:szCs w:val="22"/>
                <w:lang w:val="en-GB"/>
              </w:rPr>
              <w:t>l</w:t>
            </w:r>
            <w:r w:rsidRPr="0081424C">
              <w:rPr>
                <w:rFonts w:eastAsia="Cambria" w:cs="Arial"/>
                <w:spacing w:val="-4"/>
                <w:sz w:val="22"/>
                <w:szCs w:val="22"/>
                <w:lang w:val="en-GB"/>
              </w:rPr>
              <w:t xml:space="preserve"> </w:t>
            </w:r>
            <w:r w:rsidRPr="0081424C">
              <w:rPr>
                <w:rFonts w:eastAsia="Cambria" w:cs="Arial"/>
                <w:spacing w:val="-5"/>
                <w:sz w:val="22"/>
                <w:szCs w:val="22"/>
                <w:lang w:val="en-GB"/>
              </w:rPr>
              <w:t>f</w:t>
            </w:r>
            <w:r w:rsidRPr="0081424C">
              <w:rPr>
                <w:rFonts w:eastAsia="Cambria" w:cs="Arial"/>
                <w:spacing w:val="3"/>
                <w:sz w:val="22"/>
                <w:szCs w:val="22"/>
                <w:lang w:val="en-GB"/>
              </w:rPr>
              <w:t>a</w:t>
            </w:r>
            <w:r w:rsidRPr="0081424C">
              <w:rPr>
                <w:rFonts w:eastAsia="Cambria" w:cs="Arial"/>
                <w:sz w:val="22"/>
                <w:szCs w:val="22"/>
                <w:lang w:val="en-GB"/>
              </w:rPr>
              <w:t>t</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7.00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6.99</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7.15</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7.13</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Vitamin-mineral premix</w:t>
            </w:r>
            <w:r w:rsidRPr="0081424C">
              <w:rPr>
                <w:rFonts w:eastAsia="Cambria" w:cs="Arial"/>
                <w:sz w:val="22"/>
                <w:szCs w:val="22"/>
                <w:vertAlign w:val="superscript"/>
                <w:lang w:val="en-GB"/>
              </w:rPr>
              <w:t>4</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1.00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1.00</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1.02</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1.02</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Calcium carbonate</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1.25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1.25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1.28</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1.27</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Monocalcium phosphate</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1.30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1.30</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1.33</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1.32</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Salt</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0.35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0.35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0.36</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0.36</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L-</w:t>
            </w:r>
            <w:r w:rsidRPr="0081424C">
              <w:rPr>
                <w:rFonts w:eastAsia="Cambria" w:cs="Arial"/>
                <w:spacing w:val="-4"/>
                <w:sz w:val="22"/>
                <w:szCs w:val="22"/>
                <w:lang w:val="en-GB"/>
              </w:rPr>
              <w:t>L</w:t>
            </w:r>
            <w:r w:rsidRPr="0081424C">
              <w:rPr>
                <w:rFonts w:eastAsia="Cambria" w:cs="Arial"/>
                <w:spacing w:val="-2"/>
                <w:sz w:val="22"/>
                <w:szCs w:val="22"/>
                <w:lang w:val="en-GB"/>
              </w:rPr>
              <w:t>ys</w:t>
            </w:r>
            <w:r w:rsidRPr="0081424C">
              <w:rPr>
                <w:rFonts w:eastAsia="Cambria" w:cs="Arial"/>
                <w:spacing w:val="2"/>
                <w:sz w:val="22"/>
                <w:szCs w:val="22"/>
                <w:lang w:val="en-GB"/>
              </w:rPr>
              <w:t>i</w:t>
            </w:r>
            <w:r w:rsidRPr="0081424C">
              <w:rPr>
                <w:rFonts w:eastAsia="Cambria" w:cs="Arial"/>
                <w:spacing w:val="-1"/>
                <w:sz w:val="22"/>
                <w:szCs w:val="22"/>
                <w:lang w:val="en-GB"/>
              </w:rPr>
              <w:t>n</w:t>
            </w:r>
            <w:r w:rsidRPr="0081424C">
              <w:rPr>
                <w:rFonts w:eastAsia="Cambria" w:cs="Arial"/>
                <w:sz w:val="22"/>
                <w:szCs w:val="22"/>
                <w:lang w:val="en-GB"/>
              </w:rPr>
              <w:t>e</w:t>
            </w:r>
            <w:r w:rsidRPr="0081424C">
              <w:rPr>
                <w:rFonts w:cs="Arial"/>
                <w:sz w:val="22"/>
                <w:szCs w:val="22"/>
                <w:lang w:val="en-GB"/>
              </w:rPr>
              <w:t>·</w:t>
            </w:r>
            <w:r w:rsidRPr="0081424C">
              <w:rPr>
                <w:rFonts w:eastAsia="Cambria" w:cs="Arial"/>
                <w:sz w:val="22"/>
                <w:szCs w:val="22"/>
                <w:lang w:val="en-GB"/>
              </w:rPr>
              <w:t>HCl</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D</w:t>
            </w:r>
            <w:r w:rsidRPr="0081424C">
              <w:rPr>
                <w:rFonts w:eastAsia="Cambria" w:cs="Arial"/>
                <w:spacing w:val="1"/>
                <w:sz w:val="22"/>
                <w:szCs w:val="22"/>
                <w:lang w:val="en-GB"/>
              </w:rPr>
              <w:t>L-</w:t>
            </w:r>
            <w:r w:rsidRPr="0081424C">
              <w:rPr>
                <w:rFonts w:eastAsia="Cambria" w:cs="Arial"/>
                <w:sz w:val="22"/>
                <w:szCs w:val="22"/>
                <w:lang w:val="en-GB"/>
              </w:rPr>
              <w:t>M</w:t>
            </w:r>
            <w:r w:rsidRPr="0081424C">
              <w:rPr>
                <w:rFonts w:eastAsia="Cambria" w:cs="Arial"/>
                <w:spacing w:val="1"/>
                <w:sz w:val="22"/>
                <w:szCs w:val="22"/>
                <w:lang w:val="en-GB"/>
              </w:rPr>
              <w:t>e</w:t>
            </w:r>
            <w:r w:rsidRPr="0081424C">
              <w:rPr>
                <w:rFonts w:eastAsia="Cambria" w:cs="Arial"/>
                <w:sz w:val="22"/>
                <w:szCs w:val="22"/>
                <w:lang w:val="en-GB"/>
              </w:rPr>
              <w:t>t</w:t>
            </w:r>
            <w:r w:rsidRPr="0081424C">
              <w:rPr>
                <w:rFonts w:eastAsia="Cambria" w:cs="Arial"/>
                <w:spacing w:val="-2"/>
                <w:sz w:val="22"/>
                <w:szCs w:val="22"/>
                <w:lang w:val="en-GB"/>
              </w:rPr>
              <w:t>h</w:t>
            </w:r>
            <w:r w:rsidRPr="0081424C">
              <w:rPr>
                <w:rFonts w:eastAsia="Cambria" w:cs="Arial"/>
                <w:spacing w:val="2"/>
                <w:sz w:val="22"/>
                <w:szCs w:val="22"/>
                <w:lang w:val="en-GB"/>
              </w:rPr>
              <w:t>i</w:t>
            </w:r>
            <w:r w:rsidRPr="0081424C">
              <w:rPr>
                <w:rFonts w:eastAsia="Cambria" w:cs="Arial"/>
                <w:sz w:val="22"/>
                <w:szCs w:val="22"/>
                <w:lang w:val="en-GB"/>
              </w:rPr>
              <w:t>o</w:t>
            </w:r>
            <w:r w:rsidRPr="0081424C">
              <w:rPr>
                <w:rFonts w:eastAsia="Cambria" w:cs="Arial"/>
                <w:spacing w:val="2"/>
                <w:sz w:val="22"/>
                <w:szCs w:val="22"/>
                <w:lang w:val="en-GB"/>
              </w:rPr>
              <w:t>n</w:t>
            </w:r>
            <w:r w:rsidRPr="0081424C">
              <w:rPr>
                <w:rFonts w:eastAsia="Cambria" w:cs="Arial"/>
                <w:sz w:val="22"/>
                <w:szCs w:val="22"/>
                <w:lang w:val="en-GB"/>
              </w:rPr>
              <w:t>ine</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0.20</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0.20</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pacing w:val="1"/>
                <w:sz w:val="22"/>
                <w:szCs w:val="22"/>
                <w:lang w:val="en-GB"/>
              </w:rPr>
              <w:t>L-</w:t>
            </w:r>
            <w:r w:rsidRPr="0081424C">
              <w:rPr>
                <w:rFonts w:eastAsia="Cambria" w:cs="Arial"/>
                <w:sz w:val="22"/>
                <w:szCs w:val="22"/>
                <w:lang w:val="en-GB"/>
              </w:rPr>
              <w:t>Th</w:t>
            </w:r>
            <w:r w:rsidRPr="0081424C">
              <w:rPr>
                <w:rFonts w:eastAsia="Cambria" w:cs="Arial"/>
                <w:spacing w:val="-3"/>
                <w:sz w:val="22"/>
                <w:szCs w:val="22"/>
                <w:lang w:val="en-GB"/>
              </w:rPr>
              <w:t>r</w:t>
            </w:r>
            <w:r w:rsidRPr="0081424C">
              <w:rPr>
                <w:rFonts w:eastAsia="Cambria" w:cs="Arial"/>
                <w:spacing w:val="-1"/>
                <w:sz w:val="22"/>
                <w:szCs w:val="22"/>
                <w:lang w:val="en-GB"/>
              </w:rPr>
              <w:t>e</w:t>
            </w:r>
            <w:r w:rsidRPr="0081424C">
              <w:rPr>
                <w:rFonts w:eastAsia="Cambria" w:cs="Arial"/>
                <w:spacing w:val="2"/>
                <w:sz w:val="22"/>
                <w:szCs w:val="22"/>
                <w:lang w:val="en-GB"/>
              </w:rPr>
              <w:t>o</w:t>
            </w:r>
            <w:r w:rsidRPr="0081424C">
              <w:rPr>
                <w:rFonts w:eastAsia="Cambria" w:cs="Arial"/>
                <w:spacing w:val="-1"/>
                <w:sz w:val="22"/>
                <w:szCs w:val="22"/>
                <w:lang w:val="en-GB"/>
              </w:rPr>
              <w:t>n</w:t>
            </w:r>
            <w:r w:rsidRPr="0081424C">
              <w:rPr>
                <w:rFonts w:eastAsia="Cambria" w:cs="Arial"/>
                <w:sz w:val="22"/>
                <w:szCs w:val="22"/>
                <w:lang w:val="en-GB"/>
              </w:rPr>
              <w:t>ine</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0.10</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0.10</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0.10</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Titanium dioxide</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0.26</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0.25</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eastAsia="Cambria" w:cs="Arial"/>
                <w:sz w:val="22"/>
                <w:szCs w:val="22"/>
                <w:lang w:val="en-GB"/>
              </w:rPr>
            </w:pPr>
            <w:r w:rsidRPr="0081424C">
              <w:rPr>
                <w:rFonts w:eastAsia="Cambria" w:cs="Arial"/>
                <w:sz w:val="22"/>
                <w:szCs w:val="22"/>
                <w:lang w:val="en-GB"/>
              </w:rPr>
              <w:t>Fl</w:t>
            </w:r>
            <w:r w:rsidRPr="0081424C">
              <w:rPr>
                <w:rFonts w:eastAsia="Cambria" w:cs="Arial"/>
                <w:spacing w:val="-4"/>
                <w:sz w:val="22"/>
                <w:szCs w:val="22"/>
                <w:lang w:val="en-GB"/>
              </w:rPr>
              <w:t>av</w:t>
            </w:r>
            <w:r w:rsidRPr="0081424C">
              <w:rPr>
                <w:rFonts w:eastAsia="Cambria" w:cs="Arial"/>
                <w:sz w:val="22"/>
                <w:szCs w:val="22"/>
                <w:lang w:val="en-GB"/>
              </w:rPr>
              <w:t>ou</w:t>
            </w:r>
            <w:r w:rsidRPr="0081424C">
              <w:rPr>
                <w:rFonts w:eastAsia="Cambria" w:cs="Arial"/>
                <w:spacing w:val="3"/>
                <w:sz w:val="22"/>
                <w:szCs w:val="22"/>
                <w:lang w:val="en-GB"/>
              </w:rPr>
              <w:t>r</w:t>
            </w:r>
            <w:r w:rsidRPr="0081424C">
              <w:rPr>
                <w:rFonts w:eastAsia="Cambria" w:cs="Arial"/>
                <w:spacing w:val="3"/>
                <w:sz w:val="22"/>
                <w:szCs w:val="22"/>
                <w:vertAlign w:val="superscript"/>
                <w:lang w:val="en-GB"/>
              </w:rPr>
              <w:t>5</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0.15</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0"/>
              <w:jc w:val="left"/>
              <w:rPr>
                <w:rFonts w:cs="Arial"/>
                <w:sz w:val="22"/>
                <w:szCs w:val="22"/>
                <w:lang w:val="en-GB"/>
              </w:rPr>
            </w:pPr>
            <w:r w:rsidRPr="0081424C">
              <w:rPr>
                <w:rFonts w:cs="Arial"/>
                <w:sz w:val="22"/>
                <w:szCs w:val="22"/>
                <w:lang w:val="en-GB"/>
              </w:rPr>
              <w:t>Chemical composition (%)</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DM (% as is)</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90.04</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89.60</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90.84</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90.28</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Starch</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40.63</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36.29</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37.39</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32.99</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Sugar</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4.29</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4.17</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5.53</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5.56</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CP (N × 6.25)</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18.75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18.48</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19.14</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19.31</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Crude fat</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8.01</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8.05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7.74</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7.95</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Ash</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5.25</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6.05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5.42</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6.20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ADF</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3.13</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5.34</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3.11</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4.80</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ADL</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0.49</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0.55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0.49</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0.52</w:t>
            </w:r>
          </w:p>
        </w:tc>
      </w:tr>
      <w:tr w:rsidR="006E488C" w:rsidRPr="0081424C" w:rsidTr="006E488C">
        <w:trPr>
          <w:trHeight w:val="244"/>
        </w:trPr>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DF</w:t>
            </w:r>
            <w:r w:rsidRPr="0081424C">
              <w:rPr>
                <w:rFonts w:cs="Arial"/>
                <w:sz w:val="22"/>
                <w:szCs w:val="22"/>
                <w:vertAlign w:val="superscript"/>
                <w:lang w:val="en-GB"/>
              </w:rPr>
              <w:t>6</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13.12</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16.56</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15.62</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18.27</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142"/>
              <w:jc w:val="left"/>
              <w:rPr>
                <w:rFonts w:cs="Arial"/>
                <w:sz w:val="22"/>
                <w:szCs w:val="22"/>
                <w:lang w:val="en-GB"/>
              </w:rPr>
            </w:pPr>
            <w:r w:rsidRPr="0081424C">
              <w:rPr>
                <w:rFonts w:cs="Arial"/>
                <w:sz w:val="22"/>
                <w:szCs w:val="22"/>
                <w:lang w:val="en-GB"/>
              </w:rPr>
              <w:t>Titanium</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0.199</w:t>
            </w: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0.195</w:t>
            </w: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0.203</w:t>
            </w: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0.191</w:t>
            </w:r>
          </w:p>
        </w:tc>
      </w:tr>
      <w:tr w:rsidR="006E488C" w:rsidRPr="0081424C" w:rsidTr="006E488C">
        <w:tc>
          <w:tcPr>
            <w:tcW w:w="1901" w:type="pct"/>
            <w:tcBorders>
              <w:top w:val="nil"/>
              <w:left w:val="nil"/>
              <w:bottom w:val="nil"/>
              <w:right w:val="nil"/>
            </w:tcBorders>
          </w:tcPr>
          <w:p w:rsidR="006E488C" w:rsidRPr="0081424C" w:rsidRDefault="006E488C" w:rsidP="00563AB2">
            <w:pPr>
              <w:spacing w:line="360" w:lineRule="auto"/>
              <w:ind w:firstLine="0"/>
              <w:jc w:val="left"/>
              <w:rPr>
                <w:rFonts w:cs="Arial"/>
                <w:sz w:val="22"/>
                <w:szCs w:val="22"/>
                <w:lang w:val="en-GB"/>
              </w:rPr>
            </w:pPr>
            <w:r w:rsidRPr="0081424C">
              <w:rPr>
                <w:rFonts w:cs="Arial"/>
                <w:sz w:val="22"/>
                <w:szCs w:val="22"/>
                <w:lang w:val="en-GB"/>
              </w:rPr>
              <w:t>Energy content (MJ/kg)</w:t>
            </w:r>
          </w:p>
        </w:tc>
        <w:tc>
          <w:tcPr>
            <w:tcW w:w="71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5"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4"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c>
          <w:tcPr>
            <w:tcW w:w="796" w:type="pct"/>
            <w:tcBorders>
              <w:top w:val="nil"/>
              <w:left w:val="nil"/>
              <w:bottom w:val="nil"/>
              <w:right w:val="nil"/>
            </w:tcBorders>
          </w:tcPr>
          <w:p w:rsidR="006E488C" w:rsidRPr="0081424C" w:rsidRDefault="006E488C" w:rsidP="00563AB2">
            <w:pPr>
              <w:spacing w:line="360" w:lineRule="auto"/>
              <w:ind w:firstLine="0"/>
              <w:jc w:val="center"/>
              <w:rPr>
                <w:rFonts w:cs="Arial"/>
                <w:sz w:val="22"/>
                <w:szCs w:val="22"/>
                <w:lang w:val="en-GB"/>
              </w:rPr>
            </w:pPr>
          </w:p>
        </w:tc>
      </w:tr>
      <w:tr w:rsidR="006E488C" w:rsidRPr="0081424C" w:rsidTr="006E488C">
        <w:tc>
          <w:tcPr>
            <w:tcW w:w="1901" w:type="pct"/>
            <w:tcBorders>
              <w:top w:val="nil"/>
              <w:left w:val="nil"/>
              <w:bottom w:val="double" w:sz="4" w:space="0" w:color="auto"/>
              <w:right w:val="nil"/>
            </w:tcBorders>
          </w:tcPr>
          <w:p w:rsidR="006E488C" w:rsidRPr="0081424C" w:rsidRDefault="006E488C" w:rsidP="00563AB2">
            <w:pPr>
              <w:spacing w:line="360" w:lineRule="auto"/>
              <w:ind w:firstLine="0"/>
              <w:jc w:val="left"/>
              <w:rPr>
                <w:rFonts w:cs="Arial"/>
                <w:sz w:val="22"/>
                <w:szCs w:val="22"/>
                <w:lang w:val="en-GB"/>
              </w:rPr>
            </w:pPr>
            <w:r w:rsidRPr="0081424C">
              <w:rPr>
                <w:rFonts w:cs="Arial"/>
                <w:sz w:val="22"/>
                <w:szCs w:val="22"/>
                <w:lang w:val="en-GB"/>
              </w:rPr>
              <w:t>GE</w:t>
            </w:r>
          </w:p>
        </w:tc>
        <w:tc>
          <w:tcPr>
            <w:tcW w:w="714" w:type="pct"/>
            <w:tcBorders>
              <w:top w:val="nil"/>
              <w:left w:val="nil"/>
              <w:bottom w:val="double" w:sz="4" w:space="0" w:color="auto"/>
              <w:right w:val="nil"/>
            </w:tcBorders>
            <w:vAlign w:val="center"/>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17.5</w:t>
            </w:r>
          </w:p>
        </w:tc>
        <w:tc>
          <w:tcPr>
            <w:tcW w:w="795" w:type="pct"/>
            <w:tcBorders>
              <w:top w:val="nil"/>
              <w:left w:val="nil"/>
              <w:bottom w:val="double" w:sz="4" w:space="0" w:color="auto"/>
              <w:right w:val="nil"/>
            </w:tcBorders>
            <w:vAlign w:val="center"/>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17.1</w:t>
            </w:r>
          </w:p>
        </w:tc>
        <w:tc>
          <w:tcPr>
            <w:tcW w:w="794" w:type="pct"/>
            <w:tcBorders>
              <w:top w:val="nil"/>
              <w:left w:val="nil"/>
              <w:bottom w:val="double" w:sz="4" w:space="0" w:color="auto"/>
              <w:right w:val="nil"/>
            </w:tcBorders>
            <w:vAlign w:val="center"/>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17.6</w:t>
            </w:r>
          </w:p>
        </w:tc>
        <w:tc>
          <w:tcPr>
            <w:tcW w:w="796" w:type="pct"/>
            <w:tcBorders>
              <w:top w:val="nil"/>
              <w:left w:val="nil"/>
              <w:bottom w:val="double" w:sz="4" w:space="0" w:color="auto"/>
              <w:right w:val="nil"/>
            </w:tcBorders>
            <w:vAlign w:val="center"/>
          </w:tcPr>
          <w:p w:rsidR="006E488C" w:rsidRPr="0081424C" w:rsidRDefault="006E488C" w:rsidP="00563AB2">
            <w:pPr>
              <w:spacing w:line="360" w:lineRule="auto"/>
              <w:ind w:firstLine="0"/>
              <w:jc w:val="center"/>
              <w:rPr>
                <w:rFonts w:cs="Arial"/>
                <w:sz w:val="22"/>
                <w:szCs w:val="22"/>
                <w:lang w:val="en-GB"/>
              </w:rPr>
            </w:pPr>
            <w:r w:rsidRPr="0081424C">
              <w:rPr>
                <w:rFonts w:cs="Arial"/>
                <w:sz w:val="22"/>
                <w:szCs w:val="22"/>
                <w:lang w:val="en-GB"/>
              </w:rPr>
              <w:t>17.2</w:t>
            </w:r>
          </w:p>
        </w:tc>
      </w:tr>
    </w:tbl>
    <w:p w:rsidR="00563AB2" w:rsidRPr="0081424C" w:rsidRDefault="00563AB2" w:rsidP="00563AB2">
      <w:pPr>
        <w:pStyle w:val="ANMmaintext"/>
        <w:spacing w:line="360" w:lineRule="auto"/>
        <w:rPr>
          <w:sz w:val="20"/>
          <w:szCs w:val="20"/>
        </w:rPr>
      </w:pPr>
      <w:r w:rsidRPr="0081424C">
        <w:rPr>
          <w:sz w:val="20"/>
          <w:szCs w:val="20"/>
        </w:rPr>
        <w:lastRenderedPageBreak/>
        <w:t xml:space="preserve">DM = dry matter; ALG = alginate; RS = resistant starch; ALG−RS− = control diet in the absence of ALG and RS; ALG+RS− = ALG diet in the absence of RS; ALG−RS+ = RS diet in the absence of ALG; ALG+RS+ = ALG diet in the presence of RS; DF = dietary </w:t>
      </w:r>
      <w:r w:rsidR="00A03D43" w:rsidRPr="0081424C">
        <w:rPr>
          <w:sz w:val="20"/>
          <w:szCs w:val="20"/>
        </w:rPr>
        <w:t>fibre</w:t>
      </w:r>
      <w:r w:rsidRPr="0081424C">
        <w:rPr>
          <w:sz w:val="20"/>
          <w:szCs w:val="20"/>
        </w:rPr>
        <w:t>; GE = gross energy</w:t>
      </w:r>
      <w:r w:rsidR="001A4061" w:rsidRPr="0081424C">
        <w:rPr>
          <w:sz w:val="20"/>
          <w:szCs w:val="20"/>
        </w:rPr>
        <w:t xml:space="preserve">; </w:t>
      </w:r>
      <w:r w:rsidR="001A4061" w:rsidRPr="0081424C">
        <w:rPr>
          <w:sz w:val="20"/>
          <w:szCs w:val="22"/>
        </w:rPr>
        <w:t>MJ = megajoule</w:t>
      </w:r>
      <w:r w:rsidR="00541D86" w:rsidRPr="0081424C">
        <w:rPr>
          <w:sz w:val="20"/>
          <w:szCs w:val="22"/>
        </w:rPr>
        <w:t>s</w:t>
      </w:r>
      <w:r w:rsidRPr="0081424C">
        <w:rPr>
          <w:sz w:val="20"/>
          <w:szCs w:val="20"/>
        </w:rPr>
        <w:t>.</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1 </w:t>
      </w:r>
      <w:r w:rsidRPr="0081424C">
        <w:rPr>
          <w:sz w:val="20"/>
          <w:szCs w:val="20"/>
        </w:rPr>
        <w:t>Paselli</w:t>
      </w:r>
      <w:r w:rsidRPr="0081424C">
        <w:rPr>
          <w:sz w:val="20"/>
          <w:szCs w:val="20"/>
          <w:vertAlign w:val="superscript"/>
        </w:rPr>
        <w:t>TM</w:t>
      </w:r>
      <w:r w:rsidRPr="0081424C">
        <w:rPr>
          <w:sz w:val="20"/>
          <w:szCs w:val="20"/>
        </w:rPr>
        <w:t xml:space="preserve"> WA4, Avebe Food, Veendam, The Netherlands.</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2 </w:t>
      </w:r>
      <w:r w:rsidRPr="0081424C">
        <w:rPr>
          <w:sz w:val="20"/>
          <w:szCs w:val="20"/>
        </w:rPr>
        <w:t>C*Actistar 11700, Cargill, Amsterdam, The Netherlands.</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3 </w:t>
      </w:r>
      <w:r w:rsidRPr="0081424C">
        <w:rPr>
          <w:sz w:val="20"/>
          <w:szCs w:val="20"/>
        </w:rPr>
        <w:t>Pectacon M-5761, Acatris, Bunschoten, The Netherlands.</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4 </w:t>
      </w:r>
      <w:r w:rsidRPr="0081424C">
        <w:rPr>
          <w:sz w:val="20"/>
          <w:szCs w:val="20"/>
        </w:rPr>
        <w:t xml:space="preserve">Provided per kilogram of diet: retinol, 6,000 IU; cholecalciferol, 1200 IU; DL-α-tocopherol, 40 mg; menadione, 1.5 mg; thiamin, 1 mg; riboflavin, 3 mg; D-pantothenic acid, 10 mg; niacin, 20 mg; cyanocobalamin, 15 μg; folic acid, 0.2 mg; pyridoxine hydrochloride, 1 mg; choline chloride, 150 mg; Fe as ferrous </w:t>
      </w:r>
      <w:r w:rsidR="00A03D43" w:rsidRPr="0081424C">
        <w:rPr>
          <w:sz w:val="20"/>
          <w:szCs w:val="20"/>
        </w:rPr>
        <w:t>sulphate</w:t>
      </w:r>
      <w:r w:rsidRPr="0081424C">
        <w:rPr>
          <w:sz w:val="20"/>
          <w:szCs w:val="20"/>
        </w:rPr>
        <w:t xml:space="preserve">, 80 mg; Cu as copper </w:t>
      </w:r>
      <w:r w:rsidR="00A03D43" w:rsidRPr="0081424C">
        <w:rPr>
          <w:sz w:val="20"/>
          <w:szCs w:val="20"/>
        </w:rPr>
        <w:t>sulphate</w:t>
      </w:r>
      <w:r w:rsidRPr="0081424C">
        <w:rPr>
          <w:sz w:val="20"/>
          <w:szCs w:val="20"/>
        </w:rPr>
        <w:t xml:space="preserve">, 15 mg; Zn as zinc </w:t>
      </w:r>
      <w:r w:rsidR="00A03D43" w:rsidRPr="0081424C">
        <w:rPr>
          <w:sz w:val="20"/>
          <w:szCs w:val="20"/>
        </w:rPr>
        <w:t>sulphate</w:t>
      </w:r>
      <w:r w:rsidRPr="0081424C">
        <w:rPr>
          <w:sz w:val="20"/>
          <w:szCs w:val="20"/>
        </w:rPr>
        <w:t xml:space="preserve">, 50 mg; Mn as manganese oxide, 30 mg; Co as cobalt </w:t>
      </w:r>
      <w:r w:rsidR="00A03D43" w:rsidRPr="0081424C">
        <w:rPr>
          <w:sz w:val="20"/>
          <w:szCs w:val="20"/>
        </w:rPr>
        <w:t>sulphate</w:t>
      </w:r>
      <w:r w:rsidRPr="0081424C">
        <w:rPr>
          <w:sz w:val="20"/>
          <w:szCs w:val="20"/>
        </w:rPr>
        <w:t>, 0.2 mg; I as potassium iodide, 0.7 mg; Se as sodium selenite, 0.2 mg.</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5 </w:t>
      </w:r>
      <w:r w:rsidRPr="0081424C">
        <w:rPr>
          <w:sz w:val="20"/>
          <w:szCs w:val="20"/>
        </w:rPr>
        <w:t>Luctarom Advance Cherry Honey, Lucta S.A., Barcelona, Spain.</w:t>
      </w:r>
    </w:p>
    <w:p w:rsidR="00563AB2" w:rsidRPr="0081424C" w:rsidRDefault="00563AB2" w:rsidP="00563AB2">
      <w:pPr>
        <w:pStyle w:val="ANMmaintext"/>
        <w:spacing w:line="360" w:lineRule="auto"/>
        <w:rPr>
          <w:sz w:val="20"/>
          <w:szCs w:val="20"/>
        </w:rPr>
      </w:pPr>
      <w:r w:rsidRPr="0081424C">
        <w:rPr>
          <w:sz w:val="20"/>
          <w:szCs w:val="20"/>
          <w:vertAlign w:val="superscript"/>
        </w:rPr>
        <w:t xml:space="preserve">6 </w:t>
      </w:r>
      <w:r w:rsidRPr="0081424C">
        <w:rPr>
          <w:sz w:val="20"/>
          <w:szCs w:val="20"/>
        </w:rPr>
        <w:t xml:space="preserve">Content of dietary </w:t>
      </w:r>
      <w:r w:rsidR="00AD7B6B" w:rsidRPr="0081424C">
        <w:rPr>
          <w:sz w:val="20"/>
          <w:szCs w:val="20"/>
        </w:rPr>
        <w:t>fibre</w:t>
      </w:r>
      <w:r w:rsidRPr="0081424C">
        <w:rPr>
          <w:sz w:val="20"/>
          <w:szCs w:val="20"/>
        </w:rPr>
        <w:t xml:space="preserve"> (DF) calculated as DM − ash − CP − crude fat − starch − sugar content.</w:t>
      </w:r>
    </w:p>
    <w:p w:rsidR="00563AB2" w:rsidRPr="0081424C" w:rsidRDefault="00563AB2">
      <w:pPr>
        <w:spacing w:line="240" w:lineRule="auto"/>
        <w:ind w:firstLine="0"/>
        <w:jc w:val="left"/>
        <w:rPr>
          <w:lang w:val="en-GB" w:eastAsia="fr-FR"/>
        </w:rPr>
      </w:pPr>
      <w:r w:rsidRPr="0081424C">
        <w:rPr>
          <w:lang w:val="en-GB"/>
        </w:rPr>
        <w:br w:type="page"/>
      </w:r>
    </w:p>
    <w:p w:rsidR="004A13C7" w:rsidRPr="0081424C" w:rsidRDefault="004A13C7" w:rsidP="004A13C7">
      <w:pPr>
        <w:pStyle w:val="ANMheading1"/>
        <w:outlineLvl w:val="0"/>
      </w:pPr>
      <w:r w:rsidRPr="0081424C">
        <w:rPr>
          <w:rStyle w:val="ANMheading1Car"/>
          <w:b/>
        </w:rPr>
        <w:lastRenderedPageBreak/>
        <w:t>Supplementary Material S1</w:t>
      </w:r>
    </w:p>
    <w:p w:rsidR="004A13C7" w:rsidRPr="0081424C" w:rsidRDefault="004A13C7" w:rsidP="004A13C7">
      <w:pPr>
        <w:pStyle w:val="ANMheading2"/>
        <w:outlineLvl w:val="1"/>
      </w:pPr>
      <w:r w:rsidRPr="0081424C">
        <w:t>Chemical analyses</w:t>
      </w:r>
    </w:p>
    <w:p w:rsidR="004A13C7" w:rsidRPr="0081424C" w:rsidRDefault="004A13C7" w:rsidP="004A13C7">
      <w:pPr>
        <w:pStyle w:val="ANMmaintext"/>
      </w:pPr>
      <w:r w:rsidRPr="0081424C">
        <w:t xml:space="preserve">A diet sample was taken at the start of every batch for chemical analyses. For the analyses of dry matter (DM), ash, starch, sugar, </w:t>
      </w:r>
      <w:r w:rsidR="00A03D43" w:rsidRPr="0081424C">
        <w:t>crude protein (</w:t>
      </w:r>
      <w:r w:rsidRPr="0081424C">
        <w:t>CP</w:t>
      </w:r>
      <w:r w:rsidR="00A03D43" w:rsidRPr="0081424C">
        <w:t>)</w:t>
      </w:r>
      <w:r w:rsidRPr="0081424C">
        <w:t xml:space="preserve">, crude fat, </w:t>
      </w:r>
      <w:r w:rsidR="00A03D43" w:rsidRPr="0081424C">
        <w:t>acid detergent fibre (</w:t>
      </w:r>
      <w:r w:rsidRPr="0081424C">
        <w:t>ADF</w:t>
      </w:r>
      <w:r w:rsidR="00A03D43" w:rsidRPr="0081424C">
        <w:t>)</w:t>
      </w:r>
      <w:r w:rsidRPr="0081424C">
        <w:t xml:space="preserve">, </w:t>
      </w:r>
      <w:r w:rsidR="00A03D43" w:rsidRPr="0081424C">
        <w:t>acid detergent lignin (</w:t>
      </w:r>
      <w:r w:rsidRPr="0081424C">
        <w:t>ADL</w:t>
      </w:r>
      <w:r w:rsidR="00A03D43" w:rsidRPr="0081424C">
        <w:t>)</w:t>
      </w:r>
      <w:r w:rsidRPr="0081424C">
        <w:t xml:space="preserve">, gross energy (GE), and titanium, diets were ground to pass a 1 mm sieve. DM and ash contents were determined by drying to a constant weight at 103 °C (ISO, 1999b) and combustion at 550 °C (ISO, 2002), respectively. CP (N </w:t>
      </w:r>
      <w:r w:rsidRPr="0081424C">
        <w:rPr>
          <w:szCs w:val="22"/>
        </w:rPr>
        <w:t>×</w:t>
      </w:r>
      <w:r w:rsidRPr="0081424C">
        <w:t xml:space="preserve"> 6.25) was determined by the Kjeldahl-method (ISO, 2005) and crude fat by petroleum-ether extraction after acid hydrolysis (ISO, 1999a). Starch content was </w:t>
      </w:r>
      <w:r w:rsidR="00A03D43" w:rsidRPr="0081424C">
        <w:t>analysed</w:t>
      </w:r>
      <w:r w:rsidRPr="0081424C">
        <w:t xml:space="preserve"> enzymatically and additionally extracted with 40% ethanol to determine reducing sugars </w:t>
      </w:r>
      <w:r w:rsidR="006025F4" w:rsidRPr="0081424C">
        <w:fldChar w:fldCharType="begin"/>
      </w:r>
      <w:r w:rsidRPr="0081424C">
        <w:instrText xml:space="preserve"> ADDIN EN.CITE &lt;EndNote&gt;&lt;Cite&gt;&lt;Author&gt;Brunt&lt;/Author&gt;&lt;Year&gt;1993&lt;/Year&gt;&lt;RecNum&gt;279&lt;/RecNum&gt;&lt;DisplayText&gt;(Brunt, 1993)&lt;/DisplayText&gt;&lt;record&gt;&lt;rec-number&gt;279&lt;/rec-number&gt;&lt;foreign-keys&gt;&lt;key app="EN" db-id="dtwdreero95592esdv55va5ixvffx0eaasss"&gt;279&lt;/key&gt;&lt;/foreign-keys&gt;&lt;ref-type name="Report"&gt;27&lt;/ref-type&gt;&lt;contributors&gt;&lt;authors&gt;&lt;author&gt;Brunt, K&lt;/author&gt;&lt;/authors&gt;&lt;/contributors&gt;&lt;titles&gt;&lt;title&gt;Enzymatic determination of starch content in feed and feedstuffs&lt;/title&gt;&lt;/titles&gt;&lt;number&gt;Memo 93-302&lt;/number&gt;&lt;dates&gt;&lt;year&gt;1993&lt;/year&gt;&lt;/dates&gt;&lt;pub-location&gt;Groningen&lt;/pub-location&gt;&lt;publisher&gt;Stichting Nederlands Instituut voor Koolhydraat Onderzoek&lt;/publisher&gt;&lt;isbn&gt;Memo 93-302 (in Dutch)&lt;/isbn&gt;&lt;urls&gt;&lt;/urls&gt;&lt;/record&gt;&lt;/Cite&gt;&lt;/EndNote&gt;</w:instrText>
      </w:r>
      <w:r w:rsidR="006025F4" w:rsidRPr="0081424C">
        <w:fldChar w:fldCharType="separate"/>
      </w:r>
      <w:r w:rsidRPr="0081424C">
        <w:rPr>
          <w:noProof/>
        </w:rPr>
        <w:t>(</w:t>
      </w:r>
      <w:hyperlink w:anchor="_ENREF_1" w:tooltip="Brunt, 1993 #279" w:history="1">
        <w:r w:rsidR="00B6144C" w:rsidRPr="0081424C">
          <w:rPr>
            <w:noProof/>
          </w:rPr>
          <w:t>Brunt, 1993</w:t>
        </w:r>
      </w:hyperlink>
      <w:r w:rsidRPr="0081424C">
        <w:rPr>
          <w:noProof/>
        </w:rPr>
        <w:t>)</w:t>
      </w:r>
      <w:r w:rsidR="006025F4" w:rsidRPr="0081424C">
        <w:fldChar w:fldCharType="end"/>
      </w:r>
      <w:r w:rsidRPr="0081424C">
        <w:t xml:space="preserve">. ADF and ADL were </w:t>
      </w:r>
      <w:r w:rsidR="00A03D43" w:rsidRPr="0081424C">
        <w:t>analysed</w:t>
      </w:r>
      <w:r w:rsidRPr="0081424C">
        <w:t xml:space="preserve"> according to the Van Soest-method </w:t>
      </w:r>
      <w:r w:rsidR="006025F4" w:rsidRPr="0081424C">
        <w:fldChar w:fldCharType="begin"/>
      </w:r>
      <w:r w:rsidRPr="0081424C">
        <w:instrText xml:space="preserve"> ADDIN EN.CITE &lt;EndNote&gt;&lt;Cite&gt;&lt;Author&gt;Van Soest&lt;/Author&gt;&lt;Year&gt;1973&lt;/Year&gt;&lt;RecNum&gt;280&lt;/RecNum&gt;&lt;DisplayText&gt;(Van Soest, 1973)&lt;/DisplayText&gt;&lt;record&gt;&lt;rec-number&gt;280&lt;/rec-number&gt;&lt;foreign-keys&gt;&lt;key app="EN" db-id="dtwdreero95592esdv55va5ixvffx0eaasss"&gt;280&lt;/key&gt;&lt;/foreign-keys&gt;&lt;ref-type name="Journal Article"&gt;17&lt;/ref-type&gt;&lt;contributors&gt;&lt;authors&gt;&lt;author&gt;Van Soest, PJ&lt;/author&gt;&lt;/authors&gt;&lt;/contributors&gt;&lt;titles&gt;&lt;title&gt;Collaborative study of acid-detergent fibre and lignin&lt;/title&gt;&lt;secondary-title&gt;J. Assoc. Off. Anal. Chem. &lt;/secondary-title&gt;&lt;/titles&gt;&lt;periodical&gt;&lt;full-title&gt;J. Assoc. Off. Anal. Chem.&lt;/full-title&gt;&lt;/periodical&gt;&lt;pages&gt;781–784&lt;/pages&gt;&lt;volume&gt;56&lt;/volume&gt;&lt;dates&gt;&lt;year&gt;1973&lt;/year&gt;&lt;/dates&gt;&lt;urls&gt;&lt;/urls&gt;&lt;/record&gt;&lt;/Cite&gt;&lt;/EndNote&gt;</w:instrText>
      </w:r>
      <w:r w:rsidR="006025F4" w:rsidRPr="0081424C">
        <w:fldChar w:fldCharType="separate"/>
      </w:r>
      <w:r w:rsidRPr="0081424C">
        <w:rPr>
          <w:noProof/>
        </w:rPr>
        <w:t>(</w:t>
      </w:r>
      <w:hyperlink w:anchor="_ENREF_6" w:tooltip="Van Soest, 1973 #280" w:history="1">
        <w:r w:rsidR="00B6144C" w:rsidRPr="0081424C">
          <w:rPr>
            <w:noProof/>
          </w:rPr>
          <w:t>Van Soest, 1973</w:t>
        </w:r>
      </w:hyperlink>
      <w:r w:rsidRPr="0081424C">
        <w:rPr>
          <w:noProof/>
        </w:rPr>
        <w:t>)</w:t>
      </w:r>
      <w:r w:rsidR="006025F4" w:rsidRPr="0081424C">
        <w:fldChar w:fldCharType="end"/>
      </w:r>
      <w:r w:rsidRPr="0081424C">
        <w:t xml:space="preserve">. GE was determined using a bomb-calorimeter (Model IKA Calorimeter C7000, IKA Werke GmbH, Staufen, Germany) and titanium according to a standard method </w:t>
      </w:r>
      <w:r w:rsidR="006025F4" w:rsidRPr="0081424C">
        <w:fldChar w:fldCharType="begin">
          <w:fldData xml:space="preserve">PEVuZE5vdGU+PENpdGU+PEF1dGhvcj5NeWVyczwvQXV0aG9yPjxZZWFyPjIwMDQ8L1llYXI+PFJl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</w:fldData>
        </w:fldChar>
      </w:r>
      <w:r w:rsidR="00B6144C" w:rsidRPr="0081424C">
        <w:instrText xml:space="preserve"> ADDIN EN.CITE </w:instrText>
      </w:r>
      <w:r w:rsidR="006025F4" w:rsidRPr="0081424C">
        <w:fldChar w:fldCharType="begin">
          <w:fldData xml:space="preserve">PEVuZE5vdGU+PENpdGU+PEF1dGhvcj5NeWVyczwvQXV0aG9yPjxZZWFyPjIwMDQ8L1llYXI+PFJl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</w:fldData>
        </w:fldChar>
      </w:r>
      <w:r w:rsidR="00B6144C" w:rsidRPr="0081424C">
        <w:instrText xml:space="preserve"> ADDIN EN.CITE.DATA </w:instrText>
      </w:r>
      <w:r w:rsidR="006025F4" w:rsidRPr="0081424C">
        <w:fldChar w:fldCharType="end"/>
      </w:r>
      <w:r w:rsidR="006025F4" w:rsidRPr="0081424C">
        <w:fldChar w:fldCharType="separate"/>
      </w:r>
      <w:r w:rsidR="00B6144C" w:rsidRPr="0081424C">
        <w:rPr>
          <w:noProof/>
        </w:rPr>
        <w:t>(</w:t>
      </w:r>
      <w:hyperlink w:anchor="_ENREF_5" w:tooltip="Short, 1996 #204" w:history="1">
        <w:r w:rsidR="00B6144C" w:rsidRPr="0081424C">
          <w:rPr>
            <w:noProof/>
          </w:rPr>
          <w:t>Short</w:t>
        </w:r>
        <w:r w:rsidR="00B6144C" w:rsidRPr="0081424C">
          <w:rPr>
            <w:i/>
            <w:noProof/>
          </w:rPr>
          <w:t xml:space="preserve"> et al.</w:t>
        </w:r>
        <w:r w:rsidR="00B6144C" w:rsidRPr="0081424C">
          <w:rPr>
            <w:noProof/>
          </w:rPr>
          <w:t>, 1996</w:t>
        </w:r>
      </w:hyperlink>
      <w:r w:rsidR="00B6144C" w:rsidRPr="0081424C">
        <w:rPr>
          <w:noProof/>
        </w:rPr>
        <w:t xml:space="preserve">, </w:t>
      </w:r>
      <w:hyperlink w:anchor="_ENREF_3" w:tooltip="Myers, 2004 #205" w:history="1">
        <w:r w:rsidR="00B6144C" w:rsidRPr="0081424C">
          <w:rPr>
            <w:noProof/>
          </w:rPr>
          <w:t>Myers</w:t>
        </w:r>
        <w:r w:rsidR="00B6144C" w:rsidRPr="0081424C">
          <w:rPr>
            <w:i/>
            <w:noProof/>
          </w:rPr>
          <w:t xml:space="preserve"> et al.</w:t>
        </w:r>
        <w:r w:rsidR="00B6144C" w:rsidRPr="0081424C">
          <w:rPr>
            <w:noProof/>
          </w:rPr>
          <w:t>, 2004</w:t>
        </w:r>
      </w:hyperlink>
      <w:r w:rsidR="00B6144C" w:rsidRPr="0081424C">
        <w:rPr>
          <w:noProof/>
        </w:rPr>
        <w:t>)</w:t>
      </w:r>
      <w:r w:rsidR="006025F4" w:rsidRPr="0081424C">
        <w:fldChar w:fldCharType="end"/>
      </w:r>
      <w:r w:rsidRPr="0081424C">
        <w:t>. All analyses were carried out in duplicate.</w:t>
      </w:r>
    </w:p>
    <w:p w:rsidR="004A13C7" w:rsidRPr="0081424C" w:rsidRDefault="004A13C7" w:rsidP="004A13C7">
      <w:pPr>
        <w:pStyle w:val="ANMmaintext"/>
      </w:pPr>
      <w:r w:rsidRPr="0081424C">
        <w:t xml:space="preserve">Blood plasma was </w:t>
      </w:r>
      <w:r w:rsidR="00A03D43" w:rsidRPr="0081424C">
        <w:t>analysed</w:t>
      </w:r>
      <w:r w:rsidRPr="0081424C">
        <w:t xml:space="preserve"> for glucose, insulin, and leptin. Plasma glucose concentrations were determined using an enzymatic method (Gluco-quant Glucose/HK, Roche/Hitachi Modular P800 Autoanalyzer, Roche Diagnostics GmbH, Mannheim, Germany) based on hexokinase activity </w:t>
      </w:r>
      <w:r w:rsidR="006025F4" w:rsidRPr="0081424C">
        <w:fldChar w:fldCharType="begin"/>
      </w:r>
      <w:r w:rsidRPr="0081424C">
        <w:instrText xml:space="preserve"> ADDIN EN.CITE &lt;EndNote&gt;&lt;Cite&gt;&lt;Author&gt;Peterson&lt;/Author&gt;&lt;Year&gt;1968&lt;/Year&gt;&lt;RecNum&gt;289&lt;/RecNum&gt;&lt;DisplayText&gt;(Peterson and Young, 1968)&lt;/DisplayText&gt;&lt;record&gt;&lt;rec-number&gt;289&lt;/rec-number&gt;&lt;foreign-keys&gt;&lt;key app="EN" db-id="dtwdreero95592esdv55va5ixvffx0eaasss"&gt;289&lt;/key&gt;&lt;/foreign-keys&gt;&lt;ref-type name="Journal Article"&gt;17&lt;/ref-type&gt;&lt;contributors&gt;&lt;authors&gt;&lt;author&gt;Peterson, John I.&lt;/author&gt;&lt;author&gt;Young, Donald S.&lt;/author&gt;&lt;/authors&gt;&lt;/contributors&gt;&lt;titles&gt;&lt;title&gt;Evaluation of the hexokinase/glucose-6-phosphate dehydrogenase method of determination of glucose in urine&lt;/title&gt;&lt;secondary-title&gt;Analytical Biochemistry&lt;/secondary-title&gt;&lt;/titles&gt;&lt;periodical&gt;&lt;full-title&gt;Analytical Biochemistry&lt;/full-title&gt;&lt;/periodical&gt;&lt;pages&gt;301-316&lt;/pages&gt;&lt;volume&gt;23&lt;/volume&gt;&lt;number&gt;2&lt;/number&gt;&lt;dates&gt;&lt;year&gt;1968&lt;/year&gt;&lt;/dates&gt;&lt;isbn&gt;0003-2697&lt;/isbn&gt;&lt;urls&gt;&lt;related-urls&gt;&lt;url&gt;http://www.sciencedirect.com/science/article/pii/0003269768903618&lt;/url&gt;&lt;/related-urls&gt;&lt;/urls&gt;&lt;electronic-resource-num&gt;http://dx.doi.org/10.1016/0003-2697(68)90361-8&lt;/electronic-resource-num&gt;&lt;/record&gt;&lt;/Cite&gt;&lt;/EndNote&gt;</w:instrText>
      </w:r>
      <w:r w:rsidR="006025F4" w:rsidRPr="0081424C">
        <w:fldChar w:fldCharType="separate"/>
      </w:r>
      <w:r w:rsidRPr="0081424C">
        <w:rPr>
          <w:noProof/>
        </w:rPr>
        <w:t>(</w:t>
      </w:r>
      <w:hyperlink w:anchor="_ENREF_4" w:tooltip="Peterson, 1968 #289" w:history="1">
        <w:r w:rsidR="00B6144C" w:rsidRPr="0081424C">
          <w:rPr>
            <w:noProof/>
          </w:rPr>
          <w:t>Peterson and Young, 1968</w:t>
        </w:r>
      </w:hyperlink>
      <w:r w:rsidRPr="0081424C">
        <w:rPr>
          <w:noProof/>
        </w:rPr>
        <w:t>)</w:t>
      </w:r>
      <w:r w:rsidR="006025F4" w:rsidRPr="0081424C">
        <w:fldChar w:fldCharType="end"/>
      </w:r>
      <w:r w:rsidRPr="0081424C">
        <w:t>. For the glucose assay, the sensitivity was 0.11 mmol/L, and the intra- and interassay CV were 1.0 (</w:t>
      </w:r>
      <w:r w:rsidRPr="0081424C">
        <w:rPr>
          <w:i/>
        </w:rPr>
        <w:t>n</w:t>
      </w:r>
      <w:r w:rsidRPr="0081424C">
        <w:t xml:space="preserve"> = 63) and 1.7% (</w:t>
      </w:r>
      <w:r w:rsidRPr="0081424C">
        <w:rPr>
          <w:i/>
        </w:rPr>
        <w:t>n</w:t>
      </w:r>
      <w:r w:rsidRPr="0081424C">
        <w:t xml:space="preserve"> = 63), respectively. Plasma insulin concentrations were determined using a Porcine Insulin RIA kit (PI-12K, Millipore, St. Charles, MO). For the insulin assay, the sensitivity was 1.61 μU/mL, and intra- and interassay CV were 4.4 (</w:t>
      </w:r>
      <w:r w:rsidRPr="0081424C">
        <w:rPr>
          <w:i/>
        </w:rPr>
        <w:t>n</w:t>
      </w:r>
      <w:r w:rsidRPr="0081424C">
        <w:t xml:space="preserve"> = 199) and 13.1% (</w:t>
      </w:r>
      <w:r w:rsidRPr="0081424C">
        <w:rPr>
          <w:i/>
        </w:rPr>
        <w:t>n</w:t>
      </w:r>
      <w:r w:rsidRPr="0081424C">
        <w:t xml:space="preserve"> = 51), respectively. Plasma leptin concentrations were determined using a Multispecies Leptin RIA kit (KL-85K, Millipore, St. Charles, </w:t>
      </w:r>
      <w:r w:rsidRPr="0081424C">
        <w:lastRenderedPageBreak/>
        <w:t>MO). For the leptin assay, the sensitivity was 0.80 ng/mL, and intra- and interassay CV were 3.2 (</w:t>
      </w:r>
      <w:r w:rsidRPr="0081424C">
        <w:rPr>
          <w:i/>
        </w:rPr>
        <w:t>n</w:t>
      </w:r>
      <w:r w:rsidRPr="0081424C">
        <w:t xml:space="preserve"> = 16) and 7.8% (</w:t>
      </w:r>
      <w:r w:rsidRPr="0081424C">
        <w:rPr>
          <w:i/>
        </w:rPr>
        <w:t>n</w:t>
      </w:r>
      <w:r w:rsidRPr="0081424C">
        <w:t xml:space="preserve"> = 4), respectively.</w:t>
      </w:r>
    </w:p>
    <w:p w:rsidR="004A13C7" w:rsidRPr="0081424C" w:rsidRDefault="004A13C7" w:rsidP="004A13C7">
      <w:pPr>
        <w:pStyle w:val="ANMmaintext"/>
        <w:rPr>
          <w:rFonts w:eastAsia="Cambria"/>
        </w:rPr>
      </w:pPr>
    </w:p>
    <w:p w:rsidR="004A13C7" w:rsidRPr="0081424C" w:rsidRDefault="004A13C7" w:rsidP="004A13C7">
      <w:pPr>
        <w:spacing w:line="240" w:lineRule="auto"/>
        <w:ind w:firstLine="0"/>
        <w:jc w:val="left"/>
        <w:rPr>
          <w:lang w:val="en-GB" w:eastAsia="fr-FR"/>
        </w:rPr>
      </w:pPr>
      <w:r w:rsidRPr="0081424C">
        <w:rPr>
          <w:lang w:val="en-GB"/>
        </w:rPr>
        <w:br w:type="page"/>
      </w:r>
    </w:p>
    <w:p w:rsidR="00563AB2" w:rsidRPr="0081424C" w:rsidRDefault="00563AB2" w:rsidP="00563AB2">
      <w:pPr>
        <w:pStyle w:val="ANMheading1"/>
        <w:outlineLvl w:val="0"/>
      </w:pPr>
      <w:r w:rsidRPr="0081424C">
        <w:rPr>
          <w:rStyle w:val="ANMheading1Car"/>
          <w:b/>
        </w:rPr>
        <w:lastRenderedPageBreak/>
        <w:t>Supplementary Material S</w:t>
      </w:r>
      <w:r w:rsidR="004A13C7" w:rsidRPr="0081424C">
        <w:rPr>
          <w:rStyle w:val="ANMheading1Car"/>
          <w:b/>
        </w:rPr>
        <w:t>2</w:t>
      </w:r>
    </w:p>
    <w:p w:rsidR="00563AB2" w:rsidRPr="0081424C" w:rsidRDefault="00563AB2" w:rsidP="00563AB2">
      <w:pPr>
        <w:pStyle w:val="ANMheading2"/>
        <w:outlineLvl w:val="1"/>
      </w:pPr>
      <w:r w:rsidRPr="0081424C">
        <w:t>Feeding patterns</w:t>
      </w:r>
    </w:p>
    <w:p w:rsidR="00563AB2" w:rsidRPr="0081424C" w:rsidRDefault="00563AB2" w:rsidP="00563AB2">
      <w:pPr>
        <w:pStyle w:val="ANMmaintext"/>
      </w:pPr>
      <w:r w:rsidRPr="0081424C">
        <w:rPr>
          <w:rFonts w:cs="Arial"/>
        </w:rPr>
        <w:t>The electronic feeding station</w:t>
      </w:r>
      <w:r w:rsidRPr="0081424C">
        <w:t xml:space="preserve"> consisted of a feed dispenser, a feed trough connected to a load cell to measure the weight of the feed consumed, and a receiving device to identify radio signals from a transponder carried by the pigs. Each pig was fitted with an ear tag transponder with an unique electronic identification number, by which each visit to the feeding station, its duration, and the feed consumption per visit were recorded in the receiving equipment </w:t>
      </w:r>
      <w:r w:rsidR="006025F4" w:rsidRPr="0081424C">
        <w:fldChar w:fldCharType="begin"/>
      </w:r>
      <w:r w:rsidR="00B6144C" w:rsidRPr="0081424C">
        <w:instrText xml:space="preserve"> ADDIN EN.CITE &lt;EndNote&gt;&lt;Cite&gt;&lt;Author&gt;Hoy&lt;/Author&gt;&lt;Year&gt;2012&lt;/Year&gt;&lt;RecNum&gt;311&lt;/RecNum&gt;&lt;DisplayText&gt;(Hoy&lt;style face="italic"&gt; et al.&lt;/style&gt;, 2012)&lt;/DisplayText&gt;&lt;record&gt;&lt;rec-number&gt;311&lt;/rec-number&gt;&lt;foreign-keys&gt;&lt;key app="EN" db-id="dtwdreero95592esdv55va5ixvffx0eaasss"&gt;311&lt;/key&gt;&lt;/foreign-keys&gt;&lt;ref-type name="Journal Article"&gt;17&lt;/ref-type&gt;&lt;contributors&gt;&lt;authors&gt;&lt;author&gt;Hoy, S.&lt;/author&gt;&lt;author&gt;Schamun, S.&lt;/author&gt;&lt;author&gt;Weirich, C.&lt;/author&gt;&lt;/authors&gt;&lt;/contributors&gt;&lt;auth-address&gt;Department of Animal Breeding and Genetics, Justus Liebig University, Bismarckstr. 16, D-35390 Giessen, Germany&lt;/auth-address&gt;&lt;titles&gt;&lt;title&gt;Investigations on feed intake and social behaviour of fattening pigs fed at an electronic feeding station&lt;/title&gt;&lt;secondary-title&gt;Applied Animal Behaviour Science&lt;/secondary-title&gt;&lt;alt-title&gt;Appl. Anim. Behav. Sci.&lt;/alt-title&gt;&lt;/titles&gt;&lt;periodical&gt;&lt;full-title&gt;Applied Animal Behaviour Science&lt;/full-title&gt;&lt;/periodical&gt;&lt;pages&gt;58-64&lt;/pages&gt;&lt;volume&gt;139&lt;/volume&gt;&lt;number&gt;1-2&lt;/number&gt;&lt;keywords&gt;&lt;keyword&gt;Electronic feeding station&lt;/keyword&gt;&lt;keyword&gt;Fattening pig&lt;/keyword&gt;&lt;keyword&gt;Feed intake behaviour&lt;/keyword&gt;&lt;keyword&gt;Phenotyping&lt;/keyword&gt;&lt;keyword&gt;Social hierarchy&lt;/keyword&gt;&lt;keyword&gt;agonistic behavior&lt;/keyword&gt;&lt;keyword&gt;data set&lt;/keyword&gt;&lt;keyword&gt;feeding behavior&lt;/keyword&gt;&lt;keyword&gt;food intake&lt;/keyword&gt;&lt;keyword&gt;observational method&lt;/keyword&gt;&lt;keyword&gt;phenotype&lt;/keyword&gt;&lt;keyword&gt;pig&lt;/keyword&gt;&lt;keyword&gt;reproductive behavior&lt;/keyword&gt;&lt;keyword&gt;Animalia&lt;/keyword&gt;&lt;keyword&gt;Suidae&lt;/keyword&gt;&lt;/keywords&gt;&lt;dates&gt;&lt;year&gt;2012&lt;/year&gt;&lt;/dates&gt;&lt;isbn&gt;01681591 (ISSN)&lt;/isbn&gt;&lt;urls&gt;&lt;related-urls&gt;&lt;url&gt;http://www.scopus.com/inward/record.url?eid=2-s2.0-84861574778&amp;amp;partnerID=40&amp;amp;md5=13301105f2de4af2d563e35c4caee616&lt;/url&gt;&lt;/related-urls&gt;&lt;/urls&gt;&lt;electronic-resource-num&gt;10.1016/j.applanim.2012.03.010&lt;/electronic-resource-num&gt;&lt;remote-database-name&gt;Scopus&lt;/remote-database-name&gt;&lt;language&gt;English&lt;/language&gt;&lt;/record&gt;&lt;/Cite&gt;&lt;/EndNote&gt;</w:instrText>
      </w:r>
      <w:r w:rsidR="006025F4" w:rsidRPr="0081424C">
        <w:fldChar w:fldCharType="separate"/>
      </w:r>
      <w:r w:rsidR="00B6144C" w:rsidRPr="0081424C">
        <w:rPr>
          <w:noProof/>
        </w:rPr>
        <w:t>(</w:t>
      </w:r>
      <w:hyperlink w:anchor="_ENREF_2" w:tooltip="Hoy, 2012 #311" w:history="1">
        <w:r w:rsidR="00B6144C" w:rsidRPr="0081424C">
          <w:rPr>
            <w:noProof/>
          </w:rPr>
          <w:t>Hoy</w:t>
        </w:r>
        <w:r w:rsidR="00B6144C" w:rsidRPr="0081424C">
          <w:rPr>
            <w:i/>
            <w:noProof/>
          </w:rPr>
          <w:t xml:space="preserve"> et al.</w:t>
        </w:r>
        <w:r w:rsidR="00B6144C" w:rsidRPr="0081424C">
          <w:rPr>
            <w:noProof/>
          </w:rPr>
          <w:t>, 2012</w:t>
        </w:r>
      </w:hyperlink>
      <w:r w:rsidR="00B6144C" w:rsidRPr="0081424C">
        <w:rPr>
          <w:noProof/>
        </w:rPr>
        <w:t>)</w:t>
      </w:r>
      <w:r w:rsidR="006025F4" w:rsidRPr="0081424C">
        <w:fldChar w:fldCharType="end"/>
      </w:r>
      <w:r w:rsidRPr="0081424C">
        <w:t>. Access to the feeding station was restricted to 1 pig at a time, and a maximum of 1,800 g of feed was available for consumption per visit. After each feeding, the feeding station was closed and the feed trough was lifted to enable automatic weighing (with ± 3 g accuracy) of the amount of feed consumed. When less than 1,000 g of feed was left in the feed trough, it was automatically refilled to 1,800 g. After 30 s, which included the weighing and refilling, the next pig could access the feeding station. Pigs had 24-h access to the feeding station. All data was continuously stored in a data file with the pen number, the pig’s identification number, the date, the time of entry and exit per visit, and amount of feed consumed per visit. Data on feed intake characteristics for individual pigs were accumulated over the 12-week period of each batch, and were used to estimate mean values for feeding pattern variables per pig per day. All scales of the electronic feeding stations were calibrated at the start of each batch and thereafter only in case of malfunction, using a 2-kg test weight.</w:t>
      </w:r>
    </w:p>
    <w:p w:rsidR="005D4325" w:rsidRPr="0081424C" w:rsidRDefault="005D4325" w:rsidP="00563AB2">
      <w:pPr>
        <w:pStyle w:val="ANMmaintext"/>
      </w:pPr>
    </w:p>
    <w:p w:rsidR="005D4325" w:rsidRPr="0081424C" w:rsidRDefault="005D4325">
      <w:pPr>
        <w:spacing w:line="240" w:lineRule="auto"/>
        <w:ind w:firstLine="0"/>
        <w:jc w:val="left"/>
        <w:rPr>
          <w:rStyle w:val="ANMheading1Car"/>
          <w:lang w:val="en-GB"/>
        </w:rPr>
      </w:pPr>
      <w:r w:rsidRPr="0081424C">
        <w:rPr>
          <w:rStyle w:val="ANMheading1Car"/>
          <w:b w:val="0"/>
          <w:lang w:val="en-GB"/>
        </w:rPr>
        <w:br w:type="page"/>
      </w:r>
    </w:p>
    <w:p w:rsidR="00563AB2" w:rsidRPr="0081424C" w:rsidRDefault="00563AB2" w:rsidP="00563AB2">
      <w:pPr>
        <w:pStyle w:val="ANMheading1"/>
        <w:outlineLvl w:val="0"/>
      </w:pPr>
      <w:r w:rsidRPr="0081424C">
        <w:lastRenderedPageBreak/>
        <w:t>References</w:t>
      </w:r>
    </w:p>
    <w:p w:rsidR="005D4325" w:rsidRPr="0081424C" w:rsidRDefault="00B6144C" w:rsidP="00A32419">
      <w:pPr>
        <w:pStyle w:val="ANMReferences"/>
        <w:rPr>
          <w:noProof/>
          <w:lang w:val="nl-NL"/>
        </w:rPr>
      </w:pPr>
      <w:bookmarkStart w:id="1" w:name="_ENREF_10"/>
      <w:r w:rsidRPr="0081424C">
        <w:rPr>
          <w:noProof/>
        </w:rPr>
        <w:t>Brunt K</w:t>
      </w:r>
      <w:r w:rsidR="005D4325" w:rsidRPr="0081424C">
        <w:rPr>
          <w:noProof/>
        </w:rPr>
        <w:t xml:space="preserve"> 1993. Enzymatic determination of starch content in feed and feedstuffs. </w:t>
      </w:r>
      <w:r w:rsidR="005D4325" w:rsidRPr="0081424C">
        <w:rPr>
          <w:noProof/>
          <w:lang w:val="nl-NL"/>
        </w:rPr>
        <w:t>Memo 93-302 (in Dutch)</w:t>
      </w:r>
      <w:r w:rsidRPr="0081424C">
        <w:rPr>
          <w:noProof/>
          <w:lang w:val="nl-NL"/>
        </w:rPr>
        <w:t>. In</w:t>
      </w:r>
      <w:r w:rsidR="005D4325" w:rsidRPr="0081424C">
        <w:rPr>
          <w:noProof/>
          <w:lang w:val="nl-NL"/>
        </w:rPr>
        <w:t xml:space="preserve"> Stichting Nederlands Instituut voor Koolhydraat Onderzoek, Groningen</w:t>
      </w:r>
      <w:r w:rsidRPr="0081424C">
        <w:rPr>
          <w:noProof/>
          <w:lang w:val="nl-NL"/>
        </w:rPr>
        <w:t>, The Netherlands</w:t>
      </w:r>
      <w:r w:rsidR="005D4325" w:rsidRPr="0081424C">
        <w:rPr>
          <w:noProof/>
          <w:lang w:val="nl-NL"/>
        </w:rPr>
        <w:t>.</w:t>
      </w:r>
      <w:bookmarkEnd w:id="1"/>
    </w:p>
    <w:p w:rsidR="00563AB2" w:rsidRPr="0081424C" w:rsidRDefault="00A32419" w:rsidP="00A32419">
      <w:pPr>
        <w:pStyle w:val="ANMReferences"/>
        <w:rPr>
          <w:noProof/>
        </w:rPr>
      </w:pPr>
      <w:r w:rsidRPr="0081424C">
        <w:rPr>
          <w:noProof/>
        </w:rPr>
        <w:t>Hoy S, Schamun S and Weirich C 2012. Investigations on feed intake and social behaviour of fattening pigs fed at an electronic feeding station. Applied Animal Behaviour Science 139, 58-64.</w:t>
      </w:r>
    </w:p>
    <w:p w:rsidR="00563AB2" w:rsidRPr="0081424C" w:rsidRDefault="00563AB2" w:rsidP="00A32419">
      <w:pPr>
        <w:pStyle w:val="ANMReferences"/>
      </w:pPr>
      <w:r w:rsidRPr="0081424C">
        <w:t>ISO. 1999a. Animal feeding stuffs - Determination of fat content (ISO 6492). International Organization for Standardization, Geneva, Switzerland.</w:t>
      </w:r>
    </w:p>
    <w:p w:rsidR="00563AB2" w:rsidRPr="0081424C" w:rsidRDefault="00563AB2" w:rsidP="00A32419">
      <w:pPr>
        <w:pStyle w:val="ANMReferences"/>
      </w:pPr>
      <w:r w:rsidRPr="0081424C">
        <w:t>ISO. 1999b. Animal feeding stuffs - Determination of moisture and other volatile matter content (ISO 6496). International Organization for Standardization, Geneva, Switzerland.</w:t>
      </w:r>
    </w:p>
    <w:p w:rsidR="00563AB2" w:rsidRPr="0081424C" w:rsidRDefault="00563AB2" w:rsidP="00A32419">
      <w:pPr>
        <w:pStyle w:val="ANMReferences"/>
      </w:pPr>
      <w:r w:rsidRPr="0081424C">
        <w:t xml:space="preserve">ISO. 2002. Animal feeding stuffs - Determination of crude ash (ISO 5984). International Organization for Standardization, Geneva, Switzerland. </w:t>
      </w:r>
    </w:p>
    <w:p w:rsidR="00563AB2" w:rsidRPr="0081424C" w:rsidRDefault="00563AB2" w:rsidP="00A32419">
      <w:pPr>
        <w:pStyle w:val="ANMReferences"/>
      </w:pPr>
      <w:r w:rsidRPr="0081424C">
        <w:t>ISO. 2005. Animal feeding stuffs - Determination of nitrogen content and calculation of crude protein content - Part 1: Kjeldahl method (ISO 5983-1). International Organization for Standardization, Geneva, Switzerland</w:t>
      </w:r>
      <w:r w:rsidR="005D4325" w:rsidRPr="0081424C">
        <w:t>.</w:t>
      </w:r>
    </w:p>
    <w:p w:rsidR="005D4325" w:rsidRPr="0081424C" w:rsidRDefault="00A32419" w:rsidP="00A32419">
      <w:pPr>
        <w:pStyle w:val="ANMReferences"/>
        <w:rPr>
          <w:noProof/>
        </w:rPr>
      </w:pPr>
      <w:r w:rsidRPr="0081424C">
        <w:rPr>
          <w:noProof/>
        </w:rPr>
        <w:t>Myers WD, Ludden PA, Nayigihugu V and Hess BW 2004. Technical note: a procedure for the preparation and quantitative analysis of samples for titanium dioxide. Journal of Animal Science 82, 179-183.</w:t>
      </w:r>
    </w:p>
    <w:p w:rsidR="005D4325" w:rsidRPr="0081424C" w:rsidRDefault="00A32419" w:rsidP="00A32419">
      <w:pPr>
        <w:pStyle w:val="ANMReferences"/>
        <w:rPr>
          <w:noProof/>
        </w:rPr>
      </w:pPr>
      <w:r w:rsidRPr="0081424C">
        <w:rPr>
          <w:noProof/>
        </w:rPr>
        <w:t>Peterson JI and Young DS 1968. Evaluation of the hexokinase/glucose-6-phosphate dehydrogenase method of determination of glucose in urine. Analytical Biochemistry 23, 301-316.</w:t>
      </w:r>
    </w:p>
    <w:p w:rsidR="005D4325" w:rsidRPr="0081424C" w:rsidRDefault="00A32419" w:rsidP="00A32419">
      <w:pPr>
        <w:pStyle w:val="ANMReferences"/>
        <w:rPr>
          <w:noProof/>
        </w:rPr>
      </w:pPr>
      <w:r w:rsidRPr="0081424C">
        <w:rPr>
          <w:noProof/>
        </w:rPr>
        <w:t>Short FJ, Gorton P, Wiseman J and Boorman KN 1996. Determination of titanium dioxide added as an inert marker in chicken digestibility studies. Animal Feed Science and Technology 59, 215-221.</w:t>
      </w:r>
    </w:p>
    <w:p w:rsidR="00DC7237" w:rsidRPr="0081424C" w:rsidRDefault="00A32419" w:rsidP="00A32419">
      <w:pPr>
        <w:pStyle w:val="ANMReferences"/>
      </w:pPr>
      <w:bookmarkStart w:id="2" w:name="_ENREF_43"/>
      <w:r w:rsidRPr="0081424C">
        <w:rPr>
          <w:noProof/>
        </w:rPr>
        <w:t>Van Soest P</w:t>
      </w:r>
      <w:r w:rsidR="005D4325" w:rsidRPr="0081424C">
        <w:rPr>
          <w:noProof/>
        </w:rPr>
        <w:t xml:space="preserve"> 1973. Collaborative study of acid-detergent fibre and lignin. </w:t>
      </w:r>
      <w:r w:rsidRPr="0081424C">
        <w:rPr>
          <w:noProof/>
        </w:rPr>
        <w:t xml:space="preserve">Journal of AOAC International </w:t>
      </w:r>
      <w:r w:rsidR="005D4325" w:rsidRPr="0081424C">
        <w:rPr>
          <w:noProof/>
        </w:rPr>
        <w:t>56: 781–784.</w:t>
      </w:r>
      <w:bookmarkEnd w:id="2"/>
    </w:p>
    <w:sectPr w:rsidR="00DC7237" w:rsidRPr="0081424C" w:rsidSect="00563AB2">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EC" w:rsidRDefault="00F779EC" w:rsidP="00563AB2">
      <w:pPr>
        <w:spacing w:line="240" w:lineRule="auto"/>
      </w:pPr>
      <w:r>
        <w:separator/>
      </w:r>
    </w:p>
  </w:endnote>
  <w:endnote w:type="continuationSeparator" w:id="0">
    <w:p w:rsidR="00F779EC" w:rsidRDefault="00F779EC" w:rsidP="00563A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868552"/>
      <w:docPartObj>
        <w:docPartGallery w:val="Page Numbers (Bottom of Page)"/>
        <w:docPartUnique/>
      </w:docPartObj>
    </w:sdtPr>
    <w:sdtEndPr>
      <w:rPr>
        <w:noProof/>
      </w:rPr>
    </w:sdtEndPr>
    <w:sdtContent>
      <w:p w:rsidR="00563AB2" w:rsidRDefault="006025F4" w:rsidP="004A13C7">
        <w:pPr>
          <w:pStyle w:val="Pieddepage"/>
          <w:jc w:val="center"/>
        </w:pPr>
        <w:r>
          <w:fldChar w:fldCharType="begin"/>
        </w:r>
        <w:r w:rsidR="00563AB2">
          <w:instrText xml:space="preserve"> PAGE   \* MERGEFORMAT </w:instrText>
        </w:r>
        <w:r>
          <w:fldChar w:fldCharType="separate"/>
        </w:r>
        <w:r w:rsidR="0081424C">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EC" w:rsidRDefault="00F779EC" w:rsidP="00563AB2">
      <w:pPr>
        <w:spacing w:line="240" w:lineRule="auto"/>
      </w:pPr>
      <w:r>
        <w:separator/>
      </w:r>
    </w:p>
  </w:footnote>
  <w:footnote w:type="continuationSeparator" w:id="0">
    <w:p w:rsidR="00F779EC" w:rsidRDefault="00F779EC" w:rsidP="00563A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350069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CAC95D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7920B8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2309D8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hyphenationZone w:val="425"/>
  <w:characterSpacingControl w:val="doNotCompress"/>
  <w:footnotePr>
    <w:footnote w:id="-1"/>
    <w:footnote w:id="0"/>
  </w:footnotePr>
  <w:endnotePr>
    <w:endnote w:id="-1"/>
    <w:endnote w:id="0"/>
  </w:endnotePr>
  <w:compat/>
  <w:docVars>
    <w:docVar w:name="EN.Layout" w:val="&lt;ENLayout&gt;&lt;Style&gt;animal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wdreero95592esdv55va5ixvffx0eaasss&quot;&gt;manuscript1-recovery&lt;record-ids&gt;&lt;item&gt;204&lt;/item&gt;&lt;item&gt;205&lt;/item&gt;&lt;item&gt;279&lt;/item&gt;&lt;item&gt;280&lt;/item&gt;&lt;item&gt;289&lt;/item&gt;&lt;item&gt;311&lt;/item&gt;&lt;/record-ids&gt;&lt;/item&gt;&lt;/Libraries&gt;"/>
  </w:docVars>
  <w:rsids>
    <w:rsidRoot w:val="00563AB2"/>
    <w:rsid w:val="001A4061"/>
    <w:rsid w:val="00292443"/>
    <w:rsid w:val="00416D17"/>
    <w:rsid w:val="004A13C7"/>
    <w:rsid w:val="004B2D8B"/>
    <w:rsid w:val="00541D86"/>
    <w:rsid w:val="00563AB2"/>
    <w:rsid w:val="005D4325"/>
    <w:rsid w:val="006025F4"/>
    <w:rsid w:val="006E488C"/>
    <w:rsid w:val="0081424C"/>
    <w:rsid w:val="009C5942"/>
    <w:rsid w:val="00A03D43"/>
    <w:rsid w:val="00A32419"/>
    <w:rsid w:val="00AD7B6B"/>
    <w:rsid w:val="00B6144C"/>
    <w:rsid w:val="00CA5EBF"/>
    <w:rsid w:val="00DC7237"/>
    <w:rsid w:val="00F30F17"/>
    <w:rsid w:val="00F77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63AB2"/>
    <w:pPr>
      <w:spacing w:line="480" w:lineRule="auto"/>
      <w:ind w:firstLine="425"/>
      <w:jc w:val="both"/>
    </w:pPr>
    <w:rPr>
      <w:rFonts w:ascii="Arial" w:hAnsi="Arial"/>
      <w:sz w:val="24"/>
      <w:szCs w:val="24"/>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63AB2"/>
    <w:pPr>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Mheading1">
    <w:name w:val="ANM heading 1"/>
    <w:next w:val="ANMmaintext"/>
    <w:link w:val="ANMheading1Car"/>
    <w:uiPriority w:val="99"/>
    <w:qFormat/>
    <w:rsid w:val="00563AB2"/>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563AB2"/>
    <w:rPr>
      <w:rFonts w:ascii="Arial" w:hAnsi="Arial"/>
      <w:b/>
      <w:sz w:val="24"/>
      <w:szCs w:val="24"/>
      <w:lang w:eastAsia="fr-FR"/>
    </w:rPr>
  </w:style>
  <w:style w:type="paragraph" w:customStyle="1" w:styleId="ANMTabtitle">
    <w:name w:val="ANM Tab title"/>
    <w:next w:val="ANMmaintext"/>
    <w:qFormat/>
    <w:rsid w:val="00563AB2"/>
    <w:pPr>
      <w:spacing w:line="480" w:lineRule="auto"/>
    </w:pPr>
    <w:rPr>
      <w:rFonts w:ascii="Arial" w:hAnsi="Arial"/>
      <w:i/>
      <w:sz w:val="24"/>
      <w:szCs w:val="24"/>
      <w:lang w:eastAsia="fr-FR"/>
    </w:rPr>
  </w:style>
  <w:style w:type="character" w:styleId="Numrodeligne">
    <w:name w:val="line number"/>
    <w:basedOn w:val="Policepardfaut"/>
    <w:uiPriority w:val="99"/>
    <w:semiHidden/>
    <w:unhideWhenUsed/>
    <w:rsid w:val="00563AB2"/>
    <w:rPr>
      <w:rFonts w:ascii="Arial" w:hAnsi="Arial"/>
      <w:sz w:val="24"/>
    </w:rPr>
  </w:style>
  <w:style w:type="paragraph" w:customStyle="1" w:styleId="ANMapapertitle">
    <w:name w:val="ANM a paper title"/>
    <w:next w:val="ANMauthorname"/>
    <w:link w:val="ANMapapertitleCar"/>
    <w:uiPriority w:val="99"/>
    <w:qFormat/>
    <w:rsid w:val="00563AB2"/>
    <w:pPr>
      <w:spacing w:line="480" w:lineRule="auto"/>
    </w:pPr>
    <w:rPr>
      <w:rFonts w:ascii="Arial" w:hAnsi="Arial"/>
      <w:b/>
      <w:sz w:val="24"/>
      <w:szCs w:val="24"/>
      <w:lang w:eastAsia="fr-FR"/>
    </w:rPr>
  </w:style>
  <w:style w:type="character" w:customStyle="1" w:styleId="ANMapapertitleCar">
    <w:name w:val="ANM a paper title Car"/>
    <w:link w:val="ANMapapertitle"/>
    <w:uiPriority w:val="99"/>
    <w:locked/>
    <w:rsid w:val="00563AB2"/>
    <w:rPr>
      <w:rFonts w:ascii="Arial" w:hAnsi="Arial"/>
      <w:b/>
      <w:sz w:val="24"/>
      <w:szCs w:val="24"/>
      <w:lang w:eastAsia="fr-FR"/>
    </w:rPr>
  </w:style>
  <w:style w:type="paragraph" w:customStyle="1" w:styleId="ANMauthorname">
    <w:name w:val="ANM author name"/>
    <w:uiPriority w:val="99"/>
    <w:qFormat/>
    <w:rsid w:val="00563AB2"/>
    <w:pPr>
      <w:spacing w:line="480" w:lineRule="auto"/>
    </w:pPr>
    <w:rPr>
      <w:rFonts w:ascii="Arial" w:hAnsi="Arial"/>
      <w:sz w:val="24"/>
      <w:szCs w:val="24"/>
      <w:lang w:eastAsia="fr-FR"/>
    </w:rPr>
  </w:style>
  <w:style w:type="paragraph" w:customStyle="1" w:styleId="ANMmaintext">
    <w:name w:val="ANM main text"/>
    <w:link w:val="ANMmaintextCarCar"/>
    <w:uiPriority w:val="99"/>
    <w:qFormat/>
    <w:rsid w:val="00563AB2"/>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563AB2"/>
    <w:rPr>
      <w:rFonts w:ascii="Arial" w:hAnsi="Arial"/>
      <w:sz w:val="24"/>
      <w:szCs w:val="24"/>
      <w:lang w:eastAsia="fr-FR"/>
    </w:rPr>
  </w:style>
  <w:style w:type="paragraph" w:customStyle="1" w:styleId="ANMauthorsaddress">
    <w:name w:val="ANM authors address"/>
    <w:next w:val="ANMsuperscript"/>
    <w:link w:val="ANMauthorsaddressCarCar"/>
    <w:uiPriority w:val="99"/>
    <w:qFormat/>
    <w:rsid w:val="00563AB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563AB2"/>
    <w:rPr>
      <w:rFonts w:ascii="Arial" w:hAnsi="Arial"/>
      <w:i/>
      <w:sz w:val="24"/>
      <w:szCs w:val="24"/>
      <w:lang w:eastAsia="fr-FR"/>
    </w:rPr>
  </w:style>
  <w:style w:type="paragraph" w:customStyle="1" w:styleId="ANMheading2">
    <w:name w:val="ANM heading 2"/>
    <w:next w:val="ANMmaintext"/>
    <w:uiPriority w:val="99"/>
    <w:qFormat/>
    <w:rsid w:val="00563AB2"/>
    <w:pPr>
      <w:spacing w:line="480" w:lineRule="auto"/>
    </w:pPr>
    <w:rPr>
      <w:rFonts w:ascii="Arial" w:hAnsi="Arial"/>
      <w:i/>
      <w:sz w:val="24"/>
      <w:szCs w:val="24"/>
      <w:lang w:eastAsia="fr-FR"/>
    </w:rPr>
  </w:style>
  <w:style w:type="paragraph" w:customStyle="1" w:styleId="ANMsuperscript">
    <w:name w:val="ANM superscript"/>
    <w:next w:val="ANMmaintext"/>
    <w:link w:val="ANMsuperscriptCar"/>
    <w:uiPriority w:val="99"/>
    <w:qFormat/>
    <w:rsid w:val="00563AB2"/>
    <w:pPr>
      <w:spacing w:line="480" w:lineRule="auto"/>
    </w:pPr>
    <w:rPr>
      <w:rFonts w:ascii="Arial" w:hAnsi="Arial"/>
      <w:sz w:val="24"/>
      <w:szCs w:val="24"/>
      <w:vertAlign w:val="superscript"/>
      <w:lang w:eastAsia="fr-FR"/>
    </w:rPr>
  </w:style>
  <w:style w:type="character" w:customStyle="1" w:styleId="ANMsuperscriptCar">
    <w:name w:val="ANM superscript Car"/>
    <w:link w:val="ANMsuperscript"/>
    <w:uiPriority w:val="99"/>
    <w:locked/>
    <w:rsid w:val="00563AB2"/>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563AB2"/>
    <w:pPr>
      <w:spacing w:line="480" w:lineRule="auto"/>
    </w:pPr>
    <w:rPr>
      <w:rFonts w:ascii="Arial" w:hAnsi="Arial"/>
      <w:i/>
      <w:sz w:val="24"/>
      <w:szCs w:val="24"/>
      <w:lang w:eastAsia="fr-FR"/>
    </w:rPr>
  </w:style>
  <w:style w:type="character" w:customStyle="1" w:styleId="ANMheading3Car">
    <w:name w:val="ANM heading 3 Car"/>
    <w:link w:val="ANMheading3"/>
    <w:uiPriority w:val="99"/>
    <w:locked/>
    <w:rsid w:val="00563AB2"/>
    <w:rPr>
      <w:rFonts w:ascii="Arial" w:hAnsi="Arial"/>
      <w:i/>
      <w:sz w:val="24"/>
      <w:szCs w:val="24"/>
      <w:lang w:eastAsia="fr-FR"/>
    </w:rPr>
  </w:style>
  <w:style w:type="paragraph" w:customStyle="1" w:styleId="ANMReferences">
    <w:name w:val="ANM References"/>
    <w:basedOn w:val="ANMmaintext"/>
    <w:qFormat/>
    <w:rsid w:val="00563AB2"/>
    <w:pPr>
      <w:ind w:left="567" w:hanging="567"/>
    </w:pPr>
    <w:rPr>
      <w:sz w:val="22"/>
    </w:rPr>
  </w:style>
  <w:style w:type="character" w:styleId="Accentuation">
    <w:name w:val="Emphasis"/>
    <w:uiPriority w:val="20"/>
    <w:qFormat/>
    <w:rsid w:val="00563AB2"/>
    <w:rPr>
      <w:i/>
      <w:iCs/>
    </w:rPr>
  </w:style>
  <w:style w:type="paragraph" w:styleId="Sansinterligne">
    <w:name w:val="No Spacing"/>
    <w:uiPriority w:val="1"/>
    <w:qFormat/>
    <w:rsid w:val="00563AB2"/>
    <w:rPr>
      <w:rFonts w:ascii="Calibri" w:eastAsia="Calibri" w:hAnsi="Calibri"/>
      <w:sz w:val="22"/>
      <w:szCs w:val="22"/>
    </w:rPr>
  </w:style>
  <w:style w:type="paragraph" w:styleId="En-tte">
    <w:name w:val="header"/>
    <w:basedOn w:val="Normal"/>
    <w:link w:val="En-tteCar"/>
    <w:uiPriority w:val="99"/>
    <w:unhideWhenUsed/>
    <w:rsid w:val="00563AB2"/>
    <w:pPr>
      <w:tabs>
        <w:tab w:val="center" w:pos="4536"/>
        <w:tab w:val="right" w:pos="9072"/>
      </w:tabs>
      <w:spacing w:line="240" w:lineRule="auto"/>
    </w:pPr>
  </w:style>
  <w:style w:type="character" w:customStyle="1" w:styleId="En-tteCar">
    <w:name w:val="En-tête Car"/>
    <w:basedOn w:val="Policepardfaut"/>
    <w:link w:val="En-tte"/>
    <w:uiPriority w:val="99"/>
    <w:rsid w:val="00563AB2"/>
    <w:rPr>
      <w:rFonts w:ascii="Arial" w:hAnsi="Arial"/>
      <w:sz w:val="24"/>
      <w:szCs w:val="24"/>
      <w:lang w:val="en-US" w:eastAsia="en-GB"/>
    </w:rPr>
  </w:style>
  <w:style w:type="paragraph" w:styleId="Pieddepage">
    <w:name w:val="footer"/>
    <w:basedOn w:val="Normal"/>
    <w:link w:val="PieddepageCar"/>
    <w:uiPriority w:val="99"/>
    <w:unhideWhenUsed/>
    <w:rsid w:val="00563AB2"/>
    <w:pPr>
      <w:tabs>
        <w:tab w:val="center" w:pos="4536"/>
        <w:tab w:val="right" w:pos="9072"/>
      </w:tabs>
      <w:spacing w:line="240" w:lineRule="auto"/>
    </w:pPr>
  </w:style>
  <w:style w:type="character" w:customStyle="1" w:styleId="PieddepageCar">
    <w:name w:val="Pied de page Car"/>
    <w:basedOn w:val="Policepardfaut"/>
    <w:link w:val="Pieddepage"/>
    <w:uiPriority w:val="99"/>
    <w:rsid w:val="00563AB2"/>
    <w:rPr>
      <w:rFonts w:ascii="Arial" w:hAnsi="Arial"/>
      <w:sz w:val="24"/>
      <w:szCs w:val="24"/>
      <w:lang w:val="en-US" w:eastAsia="en-GB"/>
    </w:rPr>
  </w:style>
  <w:style w:type="character" w:styleId="Lienhypertexte">
    <w:name w:val="Hyperlink"/>
    <w:basedOn w:val="Policepardfaut"/>
    <w:uiPriority w:val="99"/>
    <w:unhideWhenUsed/>
    <w:rsid w:val="00B6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63AB2"/>
    <w:pPr>
      <w:spacing w:line="480" w:lineRule="auto"/>
      <w:ind w:firstLine="425"/>
      <w:jc w:val="both"/>
    </w:pPr>
    <w:rPr>
      <w:rFonts w:ascii="Arial" w:hAnsi="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AB2"/>
    <w:pPr>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Mheading1">
    <w:name w:val="ANM heading 1"/>
    <w:next w:val="ANMmaintext"/>
    <w:link w:val="ANMheading1Car"/>
    <w:uiPriority w:val="99"/>
    <w:qFormat/>
    <w:rsid w:val="00563AB2"/>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563AB2"/>
    <w:rPr>
      <w:rFonts w:ascii="Arial" w:hAnsi="Arial"/>
      <w:b/>
      <w:sz w:val="24"/>
      <w:szCs w:val="24"/>
      <w:lang w:eastAsia="fr-FR"/>
    </w:rPr>
  </w:style>
  <w:style w:type="paragraph" w:customStyle="1" w:styleId="ANMTabtitle">
    <w:name w:val="ANM Tab title"/>
    <w:next w:val="ANMmaintext"/>
    <w:qFormat/>
    <w:rsid w:val="00563AB2"/>
    <w:pPr>
      <w:spacing w:line="480" w:lineRule="auto"/>
    </w:pPr>
    <w:rPr>
      <w:rFonts w:ascii="Arial" w:hAnsi="Arial"/>
      <w:i/>
      <w:sz w:val="24"/>
      <w:szCs w:val="24"/>
      <w:lang w:eastAsia="fr-FR"/>
    </w:rPr>
  </w:style>
  <w:style w:type="character" w:styleId="LineNumber">
    <w:name w:val="line number"/>
    <w:basedOn w:val="DefaultParagraphFont"/>
    <w:uiPriority w:val="99"/>
    <w:semiHidden/>
    <w:unhideWhenUsed/>
    <w:rsid w:val="00563AB2"/>
    <w:rPr>
      <w:rFonts w:ascii="Arial" w:hAnsi="Arial"/>
      <w:sz w:val="24"/>
    </w:rPr>
  </w:style>
  <w:style w:type="paragraph" w:customStyle="1" w:styleId="ANMapapertitle">
    <w:name w:val="ANM a paper title"/>
    <w:next w:val="ANMauthorname"/>
    <w:link w:val="ANMapapertitleCar"/>
    <w:uiPriority w:val="99"/>
    <w:qFormat/>
    <w:rsid w:val="00563AB2"/>
    <w:pPr>
      <w:spacing w:line="480" w:lineRule="auto"/>
    </w:pPr>
    <w:rPr>
      <w:rFonts w:ascii="Arial" w:hAnsi="Arial"/>
      <w:b/>
      <w:sz w:val="24"/>
      <w:szCs w:val="24"/>
      <w:lang w:eastAsia="fr-FR"/>
    </w:rPr>
  </w:style>
  <w:style w:type="character" w:customStyle="1" w:styleId="ANMapapertitleCar">
    <w:name w:val="ANM a paper title Car"/>
    <w:link w:val="ANMapapertitle"/>
    <w:uiPriority w:val="99"/>
    <w:locked/>
    <w:rsid w:val="00563AB2"/>
    <w:rPr>
      <w:rFonts w:ascii="Arial" w:hAnsi="Arial"/>
      <w:b/>
      <w:sz w:val="24"/>
      <w:szCs w:val="24"/>
      <w:lang w:eastAsia="fr-FR"/>
    </w:rPr>
  </w:style>
  <w:style w:type="paragraph" w:customStyle="1" w:styleId="ANMauthorname">
    <w:name w:val="ANM author name"/>
    <w:uiPriority w:val="99"/>
    <w:qFormat/>
    <w:rsid w:val="00563AB2"/>
    <w:pPr>
      <w:spacing w:line="480" w:lineRule="auto"/>
    </w:pPr>
    <w:rPr>
      <w:rFonts w:ascii="Arial" w:hAnsi="Arial"/>
      <w:sz w:val="24"/>
      <w:szCs w:val="24"/>
      <w:lang w:eastAsia="fr-FR"/>
    </w:rPr>
  </w:style>
  <w:style w:type="paragraph" w:customStyle="1" w:styleId="ANMmaintext">
    <w:name w:val="ANM main text"/>
    <w:link w:val="ANMmaintextCarCar"/>
    <w:uiPriority w:val="99"/>
    <w:qFormat/>
    <w:rsid w:val="00563AB2"/>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563AB2"/>
    <w:rPr>
      <w:rFonts w:ascii="Arial" w:hAnsi="Arial"/>
      <w:sz w:val="24"/>
      <w:szCs w:val="24"/>
      <w:lang w:eastAsia="fr-FR"/>
    </w:rPr>
  </w:style>
  <w:style w:type="paragraph" w:customStyle="1" w:styleId="ANMauthorsaddress">
    <w:name w:val="ANM authors address"/>
    <w:next w:val="ANMsuperscript"/>
    <w:link w:val="ANMauthorsaddressCarCar"/>
    <w:uiPriority w:val="99"/>
    <w:qFormat/>
    <w:rsid w:val="00563AB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563AB2"/>
    <w:rPr>
      <w:rFonts w:ascii="Arial" w:hAnsi="Arial"/>
      <w:i/>
      <w:sz w:val="24"/>
      <w:szCs w:val="24"/>
      <w:lang w:eastAsia="fr-FR"/>
    </w:rPr>
  </w:style>
  <w:style w:type="paragraph" w:customStyle="1" w:styleId="ANMheading2">
    <w:name w:val="ANM heading 2"/>
    <w:next w:val="ANMmaintext"/>
    <w:uiPriority w:val="99"/>
    <w:qFormat/>
    <w:rsid w:val="00563AB2"/>
    <w:pPr>
      <w:spacing w:line="480" w:lineRule="auto"/>
    </w:pPr>
    <w:rPr>
      <w:rFonts w:ascii="Arial" w:hAnsi="Arial"/>
      <w:i/>
      <w:sz w:val="24"/>
      <w:szCs w:val="24"/>
      <w:lang w:eastAsia="fr-FR"/>
    </w:rPr>
  </w:style>
  <w:style w:type="paragraph" w:customStyle="1" w:styleId="ANMsuperscript">
    <w:name w:val="ANM superscript"/>
    <w:next w:val="ANMmaintext"/>
    <w:link w:val="ANMsuperscriptCar"/>
    <w:uiPriority w:val="99"/>
    <w:qFormat/>
    <w:rsid w:val="00563AB2"/>
    <w:pPr>
      <w:spacing w:line="480" w:lineRule="auto"/>
    </w:pPr>
    <w:rPr>
      <w:rFonts w:ascii="Arial" w:hAnsi="Arial"/>
      <w:sz w:val="24"/>
      <w:szCs w:val="24"/>
      <w:vertAlign w:val="superscript"/>
      <w:lang w:eastAsia="fr-FR"/>
    </w:rPr>
  </w:style>
  <w:style w:type="character" w:customStyle="1" w:styleId="ANMsuperscriptCar">
    <w:name w:val="ANM superscript Car"/>
    <w:link w:val="ANMsuperscript"/>
    <w:uiPriority w:val="99"/>
    <w:locked/>
    <w:rsid w:val="00563AB2"/>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563AB2"/>
    <w:pPr>
      <w:spacing w:line="480" w:lineRule="auto"/>
    </w:pPr>
    <w:rPr>
      <w:rFonts w:ascii="Arial" w:hAnsi="Arial"/>
      <w:i/>
      <w:sz w:val="24"/>
      <w:szCs w:val="24"/>
      <w:lang w:eastAsia="fr-FR"/>
    </w:rPr>
  </w:style>
  <w:style w:type="character" w:customStyle="1" w:styleId="ANMheading3Car">
    <w:name w:val="ANM heading 3 Car"/>
    <w:link w:val="ANMheading3"/>
    <w:uiPriority w:val="99"/>
    <w:locked/>
    <w:rsid w:val="00563AB2"/>
    <w:rPr>
      <w:rFonts w:ascii="Arial" w:hAnsi="Arial"/>
      <w:i/>
      <w:sz w:val="24"/>
      <w:szCs w:val="24"/>
      <w:lang w:eastAsia="fr-FR"/>
    </w:rPr>
  </w:style>
  <w:style w:type="paragraph" w:customStyle="1" w:styleId="ANMReferences">
    <w:name w:val="ANM References"/>
    <w:basedOn w:val="ANMmaintext"/>
    <w:qFormat/>
    <w:rsid w:val="00563AB2"/>
    <w:pPr>
      <w:ind w:left="567" w:hanging="567"/>
    </w:pPr>
    <w:rPr>
      <w:sz w:val="22"/>
    </w:rPr>
  </w:style>
  <w:style w:type="character" w:styleId="Emphasis">
    <w:name w:val="Emphasis"/>
    <w:uiPriority w:val="20"/>
    <w:qFormat/>
    <w:rsid w:val="00563AB2"/>
    <w:rPr>
      <w:i/>
      <w:iCs/>
    </w:rPr>
  </w:style>
  <w:style w:type="paragraph" w:styleId="NoSpacing">
    <w:name w:val="No Spacing"/>
    <w:uiPriority w:val="1"/>
    <w:qFormat/>
    <w:rsid w:val="00563AB2"/>
    <w:rPr>
      <w:rFonts w:ascii="Calibri" w:eastAsia="Calibri" w:hAnsi="Calibri"/>
      <w:sz w:val="22"/>
      <w:szCs w:val="22"/>
    </w:rPr>
  </w:style>
  <w:style w:type="paragraph" w:styleId="Header">
    <w:name w:val="header"/>
    <w:basedOn w:val="Normal"/>
    <w:link w:val="HeaderChar"/>
    <w:uiPriority w:val="99"/>
    <w:unhideWhenUsed/>
    <w:rsid w:val="00563AB2"/>
    <w:pPr>
      <w:tabs>
        <w:tab w:val="center" w:pos="4536"/>
        <w:tab w:val="right" w:pos="9072"/>
      </w:tabs>
      <w:spacing w:line="240" w:lineRule="auto"/>
    </w:pPr>
  </w:style>
  <w:style w:type="character" w:customStyle="1" w:styleId="HeaderChar">
    <w:name w:val="Header Char"/>
    <w:basedOn w:val="DefaultParagraphFont"/>
    <w:link w:val="Header"/>
    <w:uiPriority w:val="99"/>
    <w:rsid w:val="00563AB2"/>
    <w:rPr>
      <w:rFonts w:ascii="Arial" w:hAnsi="Arial"/>
      <w:sz w:val="24"/>
      <w:szCs w:val="24"/>
      <w:lang w:val="en-US" w:eastAsia="en-GB"/>
    </w:rPr>
  </w:style>
  <w:style w:type="paragraph" w:styleId="Footer">
    <w:name w:val="footer"/>
    <w:basedOn w:val="Normal"/>
    <w:link w:val="FooterChar"/>
    <w:uiPriority w:val="99"/>
    <w:unhideWhenUsed/>
    <w:rsid w:val="00563AB2"/>
    <w:pPr>
      <w:tabs>
        <w:tab w:val="center" w:pos="4536"/>
        <w:tab w:val="right" w:pos="9072"/>
      </w:tabs>
      <w:spacing w:line="240" w:lineRule="auto"/>
    </w:pPr>
  </w:style>
  <w:style w:type="character" w:customStyle="1" w:styleId="FooterChar">
    <w:name w:val="Footer Char"/>
    <w:basedOn w:val="DefaultParagraphFont"/>
    <w:link w:val="Footer"/>
    <w:uiPriority w:val="99"/>
    <w:rsid w:val="00563AB2"/>
    <w:rPr>
      <w:rFonts w:ascii="Arial" w:hAnsi="Arial"/>
      <w:sz w:val="24"/>
      <w:szCs w:val="24"/>
      <w:lang w:val="en-US" w:eastAsia="en-GB"/>
    </w:rPr>
  </w:style>
  <w:style w:type="character" w:styleId="Hyperlink">
    <w:name w:val="Hyperlink"/>
    <w:basedOn w:val="DefaultParagraphFont"/>
    <w:uiPriority w:val="99"/>
    <w:unhideWhenUsed/>
    <w:rsid w:val="00B61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Da Silva, Carol</dc:creator>
  <cp:lastModifiedBy>Nadine Miraux</cp:lastModifiedBy>
  <cp:revision>2</cp:revision>
  <dcterms:created xsi:type="dcterms:W3CDTF">2014-06-30T09:28:00Z</dcterms:created>
  <dcterms:modified xsi:type="dcterms:W3CDTF">2014-06-30T09:28:00Z</dcterms:modified>
</cp:coreProperties>
</file>