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B" w:rsidRPr="0072133B" w:rsidRDefault="0072133B" w:rsidP="001503B6">
      <w:pPr>
        <w:spacing w:before="240"/>
        <w:jc w:val="both"/>
        <w:rPr>
          <w:szCs w:val="24"/>
        </w:rPr>
      </w:pPr>
      <w:r>
        <w:rPr>
          <w:b/>
          <w:szCs w:val="24"/>
        </w:rPr>
        <w:t xml:space="preserve">Supplementary Table </w:t>
      </w:r>
      <w:r w:rsidR="007B011B">
        <w:rPr>
          <w:b/>
          <w:szCs w:val="24"/>
        </w:rPr>
        <w:t>S</w:t>
      </w:r>
      <w:r>
        <w:rPr>
          <w:b/>
          <w:szCs w:val="24"/>
        </w:rPr>
        <w:t xml:space="preserve">1. </w:t>
      </w:r>
      <w:r w:rsidRPr="0072133B">
        <w:rPr>
          <w:szCs w:val="24"/>
        </w:rPr>
        <w:t>Heritability estimates (standard error in parenthesis) for the different fertility traits</w:t>
      </w:r>
      <w:r w:rsidRPr="0072133B">
        <w:rPr>
          <w:szCs w:val="24"/>
          <w:vertAlign w:val="superscript"/>
        </w:rPr>
        <w:t>1</w:t>
      </w:r>
      <w:r w:rsidRPr="0072133B">
        <w:rPr>
          <w:szCs w:val="24"/>
        </w:rPr>
        <w:t xml:space="preserve"> in Holstein cows.</w:t>
      </w:r>
    </w:p>
    <w:tbl>
      <w:tblPr>
        <w:tblW w:w="14742" w:type="dxa"/>
        <w:tblInd w:w="108" w:type="dxa"/>
        <w:tblLook w:val="04A0"/>
      </w:tblPr>
      <w:tblGrid>
        <w:gridCol w:w="800"/>
        <w:gridCol w:w="11"/>
        <w:gridCol w:w="789"/>
        <w:gridCol w:w="111"/>
        <w:gridCol w:w="700"/>
        <w:gridCol w:w="200"/>
        <w:gridCol w:w="700"/>
        <w:gridCol w:w="200"/>
        <w:gridCol w:w="700"/>
        <w:gridCol w:w="200"/>
        <w:gridCol w:w="700"/>
        <w:gridCol w:w="200"/>
        <w:gridCol w:w="936"/>
        <w:gridCol w:w="58"/>
        <w:gridCol w:w="842"/>
        <w:gridCol w:w="58"/>
        <w:gridCol w:w="742"/>
        <w:gridCol w:w="158"/>
        <w:gridCol w:w="536"/>
        <w:gridCol w:w="400"/>
        <w:gridCol w:w="900"/>
        <w:gridCol w:w="206"/>
        <w:gridCol w:w="594"/>
        <w:gridCol w:w="759"/>
        <w:gridCol w:w="513"/>
        <w:gridCol w:w="993"/>
        <w:gridCol w:w="1801"/>
      </w:tblGrid>
      <w:tr w:rsidR="0072133B" w:rsidRPr="0072133B" w:rsidTr="0072133B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AFS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AFC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CFH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NS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P</w:t>
            </w:r>
            <w:r w:rsidRPr="0072133B">
              <w:rPr>
                <w:snapToGrid/>
                <w:sz w:val="20"/>
                <w:lang w:val="en-IE" w:eastAsia="en-IE"/>
              </w:rPr>
              <w:t>FS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Preg_period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CIV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CCI/DO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FtL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Insem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NR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SR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Parity</w:t>
            </w:r>
            <w:r w:rsidR="00A019D5" w:rsidRPr="00A019D5">
              <w:rPr>
                <w:snapToGrid/>
                <w:sz w:val="20"/>
                <w:vertAlign w:val="superscript"/>
                <w:lang w:val="en-IE" w:eastAsia="en-IE"/>
              </w:rPr>
              <w:t>2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Population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Reference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Abdallah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and McDaniel (2000)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Bastin et al. (2010)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0.05 (0.01)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Belgium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Bastin et al. (2012)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 (0.009)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(0.007)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 (0.005)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(0.007)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0.03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(0.006)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Berry et al. (2013)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 (0.006)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0.04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Berry et al. (2013)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 (0.007)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0.02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 (0.008)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Irish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Berry et al. (2002)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0.16 (0.044)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0.11 (0.033)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 (0.027)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(0.024)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0.05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(0.029)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Multiple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Berry et al. (2012)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0.05 (0.0025)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(0.0025)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(0.0025)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(0.0025)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(0.0025)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(0.0025)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89594F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Spain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Gonzalez-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Recio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and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Alenda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(2005)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0.19 (0.005)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Iran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Hadi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Faraji-Arough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 (2011)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(0.01)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(0.02)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0.06 (0.01)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Haile-Mariam et al. (2003)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0.024 (0.003)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0.042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Australia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Haile-Mariam et al. (2013)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0.134 (0.013)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0.029 (0.006)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0.03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0.029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(0.006)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Jamrozik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(2005)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0.099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0.069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(0.006)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&gt;1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Jamrozik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(2005)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0.025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0.016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0.016 (0.004)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0.024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0.023 (0.005)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0.012 (0.004)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Kadarmideen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(2003)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0.073 (0.006)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0.029 (0.0004)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Germany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Konig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(2008)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0.24 (0.02)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89594F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South Africa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Makgahlela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(2007)</w:t>
            </w:r>
          </w:p>
        </w:tc>
      </w:tr>
      <w:tr w:rsidR="0072133B" w:rsidRPr="0072133B" w:rsidTr="0072133B">
        <w:trPr>
          <w:trHeight w:val="25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0.05 (0.004)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(0.002)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0.04 </w:t>
            </w:r>
          </w:p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(0.003)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Sweden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33B" w:rsidRPr="0072133B" w:rsidRDefault="0072133B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Mucha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and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Strandberg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(2011)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lastRenderedPageBreak/>
              <w:t>CFH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NS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P</w:t>
            </w:r>
            <w:r w:rsidRPr="0072133B">
              <w:rPr>
                <w:snapToGrid/>
                <w:sz w:val="20"/>
                <w:lang w:val="en-IE" w:eastAsia="en-IE"/>
              </w:rPr>
              <w:t>FS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CIV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CCI/DO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FtL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Insem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NR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SR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Parity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Population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19D5" w:rsidRPr="0072133B" w:rsidRDefault="00A019D5" w:rsidP="00862E1E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Reference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0.04 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(0.006)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Ireland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Olori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(2002)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0.07 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(0.013)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0.06 (0.008)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Iran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Pozveh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(2009)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0.022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Pryce et al. (2000)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0.025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Pryce et al. (2002)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0.18 (0.03)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0.06 (0.02)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0.01 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Pryce et al. 2001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0.11 (0.05)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0.14 (0.08)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Royal et al. (2002)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 (0.001)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0.049 (0.003)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0.017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(0.003)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Canada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proofErr w:type="spellStart"/>
            <w:r w:rsidRPr="0072133B">
              <w:rPr>
                <w:snapToGrid/>
                <w:sz w:val="20"/>
                <w:lang w:val="en-IE" w:eastAsia="en-IE"/>
              </w:rPr>
              <w:t>Sewalem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(2010)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0.17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Denmark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Sun and Su (2010)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Denmark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Sun and Su (2010)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0.066 (0.003)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0.018 (0.001)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(0.004)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US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Van </w:t>
            </w:r>
            <w:proofErr w:type="spellStart"/>
            <w:r w:rsidRPr="0072133B">
              <w:rPr>
                <w:snapToGrid/>
                <w:sz w:val="20"/>
                <w:lang w:val="en-IE" w:eastAsia="en-IE"/>
              </w:rPr>
              <w:t>Raden</w:t>
            </w:r>
            <w:proofErr w:type="spellEnd"/>
            <w:r w:rsidRPr="0072133B">
              <w:rPr>
                <w:snapToGrid/>
                <w:sz w:val="20"/>
                <w:lang w:val="en-IE" w:eastAsia="en-IE"/>
              </w:rPr>
              <w:t xml:space="preserve"> et al. (2004)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0.07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0.034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0.016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0.036 (0.005)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The Netherlands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Veerkamp et al. (2001)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0.035 (0.001)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(0.002)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0.033 (0.001)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0.018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 xml:space="preserve"> (0.001)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Wall et al. (2003)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0.05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0.014</w:t>
            </w:r>
          </w:p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(0.003)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>
              <w:rPr>
                <w:snapToGrid/>
                <w:sz w:val="20"/>
                <w:lang w:val="en-IE" w:eastAsia="en-IE"/>
              </w:rPr>
              <w:t>M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UK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Wall et al., 2005</w:t>
            </w:r>
          </w:p>
        </w:tc>
      </w:tr>
      <w:tr w:rsidR="00A019D5" w:rsidRPr="0072133B" w:rsidTr="0072133B">
        <w:trPr>
          <w:gridAfter w:val="2"/>
          <w:wAfter w:w="2794" w:type="dxa"/>
          <w:trHeight w:val="255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(0.004)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1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Czech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Zink et al. (2011)</w:t>
            </w:r>
          </w:p>
        </w:tc>
      </w:tr>
      <w:tr w:rsidR="00A019D5" w:rsidRPr="0072133B" w:rsidTr="0072133B">
        <w:trPr>
          <w:gridAfter w:val="2"/>
          <w:wAfter w:w="2794" w:type="dxa"/>
          <w:trHeight w:val="270"/>
        </w:trPr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0.04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0.02 (0.01)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0.03 (0.01)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2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jc w:val="center"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Czech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9D5" w:rsidRPr="0072133B" w:rsidRDefault="00A019D5" w:rsidP="0072133B">
            <w:pPr>
              <w:widowControl/>
              <w:rPr>
                <w:snapToGrid/>
                <w:sz w:val="20"/>
                <w:lang w:val="en-IE" w:eastAsia="en-IE"/>
              </w:rPr>
            </w:pPr>
            <w:r w:rsidRPr="0072133B">
              <w:rPr>
                <w:snapToGrid/>
                <w:sz w:val="20"/>
                <w:lang w:val="en-IE" w:eastAsia="en-IE"/>
              </w:rPr>
              <w:t>Zink et al. (2011)</w:t>
            </w:r>
          </w:p>
        </w:tc>
      </w:tr>
    </w:tbl>
    <w:p w:rsidR="0072133B" w:rsidRPr="00A019D5" w:rsidRDefault="0072133B" w:rsidP="001503B6">
      <w:pPr>
        <w:spacing w:before="240"/>
        <w:jc w:val="both"/>
        <w:rPr>
          <w:b/>
          <w:sz w:val="20"/>
        </w:rPr>
      </w:pPr>
      <w:r w:rsidRPr="00A019D5">
        <w:rPr>
          <w:b/>
          <w:sz w:val="20"/>
          <w:vertAlign w:val="superscript"/>
        </w:rPr>
        <w:t>1</w:t>
      </w:r>
      <w:r w:rsidRPr="00A019D5">
        <w:rPr>
          <w:b/>
          <w:sz w:val="20"/>
        </w:rPr>
        <w:t>AFS= age at first service; AFC = age at first calving; CFH=interval from calving to first heat; CFS = interval from calving to first service; NS = number of services</w:t>
      </w:r>
      <w:r w:rsidR="00A019D5" w:rsidRPr="00A019D5">
        <w:rPr>
          <w:b/>
          <w:sz w:val="20"/>
        </w:rPr>
        <w:t>; P</w:t>
      </w:r>
      <w:r w:rsidRPr="00A019D5">
        <w:rPr>
          <w:b/>
          <w:sz w:val="20"/>
        </w:rPr>
        <w:t xml:space="preserve">FS = </w:t>
      </w:r>
      <w:r w:rsidR="00A019D5" w:rsidRPr="00A019D5">
        <w:rPr>
          <w:b/>
          <w:sz w:val="20"/>
        </w:rPr>
        <w:t xml:space="preserve">pregnant to first service; </w:t>
      </w:r>
      <w:proofErr w:type="spellStart"/>
      <w:r w:rsidR="00A019D5" w:rsidRPr="00A019D5">
        <w:rPr>
          <w:b/>
          <w:sz w:val="20"/>
        </w:rPr>
        <w:t>Preg_period</w:t>
      </w:r>
      <w:proofErr w:type="spellEnd"/>
      <w:r w:rsidR="00A019D5" w:rsidRPr="00A019D5">
        <w:rPr>
          <w:b/>
          <w:sz w:val="20"/>
        </w:rPr>
        <w:t xml:space="preserve"> = pregnant over a given time period, CIV = calving interval; CCI/DO = calving to conception interval/days open; </w:t>
      </w:r>
      <w:proofErr w:type="spellStart"/>
      <w:r w:rsidR="00A019D5" w:rsidRPr="00A019D5">
        <w:rPr>
          <w:b/>
          <w:sz w:val="20"/>
        </w:rPr>
        <w:t>FtL</w:t>
      </w:r>
      <w:proofErr w:type="spellEnd"/>
      <w:r w:rsidR="00A019D5" w:rsidRPr="00A019D5">
        <w:rPr>
          <w:b/>
          <w:sz w:val="20"/>
        </w:rPr>
        <w:t xml:space="preserve"> </w:t>
      </w:r>
      <w:proofErr w:type="spellStart"/>
      <w:r w:rsidR="00A019D5" w:rsidRPr="00A019D5">
        <w:rPr>
          <w:b/>
          <w:sz w:val="20"/>
        </w:rPr>
        <w:t>Insem</w:t>
      </w:r>
      <w:proofErr w:type="spellEnd"/>
      <w:r w:rsidR="00A019D5" w:rsidRPr="00A019D5">
        <w:rPr>
          <w:b/>
          <w:sz w:val="20"/>
        </w:rPr>
        <w:t xml:space="preserve"> = interval from first to last service; NR = non-return; SR = Submission rate</w:t>
      </w:r>
    </w:p>
    <w:p w:rsidR="0072133B" w:rsidRPr="00A019D5" w:rsidRDefault="00A019D5" w:rsidP="001503B6">
      <w:pPr>
        <w:spacing w:before="240"/>
        <w:jc w:val="both"/>
        <w:rPr>
          <w:sz w:val="20"/>
        </w:rPr>
      </w:pPr>
      <w:r w:rsidRPr="00A019D5">
        <w:rPr>
          <w:sz w:val="20"/>
          <w:vertAlign w:val="superscript"/>
        </w:rPr>
        <w:t>2</w:t>
      </w:r>
      <w:r w:rsidRPr="00A019D5">
        <w:rPr>
          <w:sz w:val="20"/>
        </w:rPr>
        <w:t>M= multiple parities</w:t>
      </w:r>
    </w:p>
    <w:p w:rsidR="0072133B" w:rsidRDefault="0072133B" w:rsidP="001503B6">
      <w:pPr>
        <w:spacing w:before="240"/>
        <w:jc w:val="both"/>
        <w:rPr>
          <w:b/>
          <w:szCs w:val="24"/>
        </w:rPr>
      </w:pPr>
    </w:p>
    <w:p w:rsidR="0089594F" w:rsidRDefault="0089594F" w:rsidP="001503B6">
      <w:pPr>
        <w:spacing w:before="240"/>
        <w:jc w:val="both"/>
        <w:rPr>
          <w:b/>
          <w:szCs w:val="24"/>
        </w:rPr>
        <w:sectPr w:rsidR="0089594F" w:rsidSect="0072133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B14E6" w:rsidRPr="008B14E6" w:rsidRDefault="0072133B" w:rsidP="001503B6">
      <w:pPr>
        <w:spacing w:before="240"/>
        <w:jc w:val="both"/>
        <w:rPr>
          <w:b/>
          <w:szCs w:val="24"/>
        </w:rPr>
      </w:pPr>
      <w:r>
        <w:rPr>
          <w:b/>
          <w:szCs w:val="24"/>
        </w:rPr>
        <w:lastRenderedPageBreak/>
        <w:t>References</w:t>
      </w:r>
      <w:r w:rsidR="008B14E6" w:rsidRPr="008B14E6">
        <w:rPr>
          <w:b/>
          <w:szCs w:val="24"/>
        </w:rPr>
        <w:t>.</w:t>
      </w:r>
    </w:p>
    <w:p w:rsidR="001A5577" w:rsidRPr="00A85774" w:rsidRDefault="00A85774" w:rsidP="001503B6">
      <w:pPr>
        <w:spacing w:before="240"/>
        <w:jc w:val="both"/>
        <w:rPr>
          <w:szCs w:val="24"/>
        </w:rPr>
      </w:pPr>
      <w:proofErr w:type="spellStart"/>
      <w:r>
        <w:rPr>
          <w:szCs w:val="24"/>
        </w:rPr>
        <w:t>Abdallah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</w:t>
      </w:r>
      <w:r w:rsidR="001A5577" w:rsidRPr="00A85774">
        <w:rPr>
          <w:szCs w:val="24"/>
        </w:rPr>
        <w:t>M</w:t>
      </w:r>
      <w:proofErr w:type="spellEnd"/>
      <w:r w:rsidR="001A5577" w:rsidRPr="00A85774">
        <w:rPr>
          <w:szCs w:val="24"/>
        </w:rPr>
        <w:t>, and McDaniel</w:t>
      </w:r>
      <w:r>
        <w:rPr>
          <w:szCs w:val="24"/>
        </w:rPr>
        <w:t xml:space="preserve"> BT</w:t>
      </w:r>
      <w:r w:rsidR="001A5577" w:rsidRPr="00A85774">
        <w:rPr>
          <w:szCs w:val="24"/>
        </w:rPr>
        <w:t>. 2000. Genetic parameters and trends of milk, fat, days open and body weight after calving in North Carolina Experimental Dairy Herds. J</w:t>
      </w:r>
      <w:r>
        <w:rPr>
          <w:szCs w:val="24"/>
        </w:rPr>
        <w:t>ournal of</w:t>
      </w:r>
      <w:r w:rsidR="001A5577" w:rsidRPr="00A85774">
        <w:rPr>
          <w:szCs w:val="24"/>
        </w:rPr>
        <w:t xml:space="preserve"> Dairy Sci</w:t>
      </w:r>
      <w:r>
        <w:rPr>
          <w:szCs w:val="24"/>
        </w:rPr>
        <w:t>ence</w:t>
      </w:r>
      <w:r w:rsidR="001A5577" w:rsidRPr="00A85774">
        <w:rPr>
          <w:szCs w:val="24"/>
        </w:rPr>
        <w:t>. 83</w:t>
      </w:r>
      <w:r>
        <w:rPr>
          <w:szCs w:val="24"/>
        </w:rPr>
        <w:t>,</w:t>
      </w:r>
      <w:r w:rsidR="001A5577" w:rsidRPr="00A85774">
        <w:rPr>
          <w:szCs w:val="24"/>
        </w:rPr>
        <w:t xml:space="preserve"> 1364-1370.</w:t>
      </w:r>
    </w:p>
    <w:p w:rsidR="001A5577" w:rsidRPr="00A85774" w:rsidRDefault="001A5577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Bastin</w:t>
      </w:r>
      <w:proofErr w:type="spellEnd"/>
      <w:r w:rsidR="00A85774">
        <w:rPr>
          <w:szCs w:val="24"/>
        </w:rPr>
        <w:t xml:space="preserve"> C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Loker</w:t>
      </w:r>
      <w:proofErr w:type="spellEnd"/>
      <w:r w:rsidR="00A81B3D">
        <w:rPr>
          <w:szCs w:val="24"/>
        </w:rPr>
        <w:t xml:space="preserve"> S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Gengler</w:t>
      </w:r>
      <w:proofErr w:type="spellEnd"/>
      <w:r w:rsidR="00A81B3D">
        <w:rPr>
          <w:szCs w:val="24"/>
        </w:rPr>
        <w:t xml:space="preserve"> N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Sewalem</w:t>
      </w:r>
      <w:proofErr w:type="spellEnd"/>
      <w:r w:rsidR="00A81B3D">
        <w:rPr>
          <w:szCs w:val="24"/>
        </w:rPr>
        <w:t xml:space="preserve"> A</w:t>
      </w:r>
      <w:r w:rsidRPr="00A85774">
        <w:rPr>
          <w:szCs w:val="24"/>
        </w:rPr>
        <w:t xml:space="preserve">, </w:t>
      </w:r>
      <w:r w:rsidR="00A81B3D">
        <w:rPr>
          <w:szCs w:val="24"/>
        </w:rPr>
        <w:t xml:space="preserve">and </w:t>
      </w:r>
      <w:proofErr w:type="spellStart"/>
      <w:r w:rsidRPr="00A85774">
        <w:rPr>
          <w:szCs w:val="24"/>
        </w:rPr>
        <w:t>Miglior</w:t>
      </w:r>
      <w:proofErr w:type="spellEnd"/>
      <w:r w:rsidR="00A81B3D">
        <w:rPr>
          <w:szCs w:val="24"/>
        </w:rPr>
        <w:t xml:space="preserve"> F</w:t>
      </w:r>
      <w:r w:rsidRPr="00A85774">
        <w:rPr>
          <w:szCs w:val="24"/>
        </w:rPr>
        <w:t xml:space="preserve">. 2010. Genetic relationships between body condition score and reproduction traits in Canadian Holstein and Ayrshire first-parity cows. </w:t>
      </w:r>
      <w:r w:rsidR="00A81B3D">
        <w:rPr>
          <w:szCs w:val="24"/>
        </w:rPr>
        <w:t>Journal of Dairy Science.</w:t>
      </w:r>
      <w:r w:rsidRPr="00A85774">
        <w:rPr>
          <w:szCs w:val="24"/>
        </w:rPr>
        <w:t xml:space="preserve"> 93, 2215-2228</w:t>
      </w:r>
    </w:p>
    <w:p w:rsidR="001A5577" w:rsidRPr="00A85774" w:rsidRDefault="001A5577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Bastin</w:t>
      </w:r>
      <w:r w:rsidR="00A81B3D">
        <w:rPr>
          <w:szCs w:val="24"/>
        </w:rPr>
        <w:t xml:space="preserve"> C</w:t>
      </w:r>
      <w:r w:rsidRPr="00A85774">
        <w:rPr>
          <w:szCs w:val="24"/>
        </w:rPr>
        <w:t>, Berry</w:t>
      </w:r>
      <w:r w:rsidR="00A81B3D">
        <w:rPr>
          <w:szCs w:val="24"/>
        </w:rPr>
        <w:t xml:space="preserve"> DP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Soyeurt</w:t>
      </w:r>
      <w:proofErr w:type="spellEnd"/>
      <w:r w:rsidR="00A81B3D">
        <w:rPr>
          <w:szCs w:val="24"/>
        </w:rPr>
        <w:t xml:space="preserve"> H</w:t>
      </w:r>
      <w:r w:rsidRPr="00A85774">
        <w:rPr>
          <w:szCs w:val="24"/>
        </w:rPr>
        <w:t xml:space="preserve">, </w:t>
      </w:r>
      <w:r w:rsidR="00A81B3D">
        <w:rPr>
          <w:szCs w:val="24"/>
        </w:rPr>
        <w:t xml:space="preserve">and </w:t>
      </w:r>
      <w:proofErr w:type="spellStart"/>
      <w:r w:rsidRPr="00A85774">
        <w:rPr>
          <w:szCs w:val="24"/>
        </w:rPr>
        <w:t>Gengler</w:t>
      </w:r>
      <w:proofErr w:type="spellEnd"/>
      <w:r w:rsidR="00A81B3D">
        <w:rPr>
          <w:szCs w:val="24"/>
        </w:rPr>
        <w:t xml:space="preserve"> N</w:t>
      </w:r>
      <w:r w:rsidRPr="00A85774">
        <w:rPr>
          <w:szCs w:val="24"/>
        </w:rPr>
        <w:t xml:space="preserve">. 2012. Genetic correlations of days open with production traits and contents in milk of major fatty acids predicted by mid-infrared spectrometry. </w:t>
      </w:r>
      <w:r w:rsidR="00A81B3D">
        <w:rPr>
          <w:szCs w:val="24"/>
        </w:rPr>
        <w:t>Journal of Dairy Science.</w:t>
      </w:r>
      <w:r w:rsidRPr="00A85774">
        <w:rPr>
          <w:szCs w:val="24"/>
        </w:rPr>
        <w:t xml:space="preserve"> 95, 6113-6121</w:t>
      </w:r>
    </w:p>
    <w:p w:rsidR="001A5577" w:rsidRPr="00A85774" w:rsidRDefault="00A81B3D" w:rsidP="001503B6">
      <w:pPr>
        <w:tabs>
          <w:tab w:val="left" w:pos="90"/>
        </w:tabs>
        <w:autoSpaceDE w:val="0"/>
        <w:autoSpaceDN w:val="0"/>
        <w:adjustRightInd w:val="0"/>
        <w:spacing w:before="240"/>
        <w:jc w:val="both"/>
        <w:rPr>
          <w:color w:val="000000"/>
          <w:szCs w:val="24"/>
        </w:rPr>
      </w:pPr>
      <w:r>
        <w:rPr>
          <w:color w:val="000000"/>
          <w:szCs w:val="24"/>
        </w:rPr>
        <w:t>Berry</w:t>
      </w:r>
      <w:r w:rsidR="001A5577" w:rsidRPr="00A85774">
        <w:rPr>
          <w:color w:val="000000"/>
          <w:szCs w:val="24"/>
        </w:rPr>
        <w:t xml:space="preserve"> DP</w:t>
      </w:r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Bastiaansen</w:t>
      </w:r>
      <w:proofErr w:type="spellEnd"/>
      <w:r w:rsidR="001A5577" w:rsidRPr="00A85774">
        <w:rPr>
          <w:color w:val="000000"/>
          <w:szCs w:val="24"/>
        </w:rPr>
        <w:t xml:space="preserve"> </w:t>
      </w:r>
      <w:proofErr w:type="spellStart"/>
      <w:r w:rsidR="001A5577" w:rsidRPr="00A85774">
        <w:rPr>
          <w:color w:val="000000"/>
          <w:szCs w:val="24"/>
        </w:rPr>
        <w:t>JWM</w:t>
      </w:r>
      <w:proofErr w:type="spellEnd"/>
      <w:r w:rsidR="001A5577" w:rsidRPr="00A85774">
        <w:rPr>
          <w:color w:val="000000"/>
          <w:szCs w:val="24"/>
        </w:rPr>
        <w:t xml:space="preserve">, </w:t>
      </w:r>
      <w:proofErr w:type="spellStart"/>
      <w:r w:rsidR="001A5577" w:rsidRPr="00A85774">
        <w:rPr>
          <w:color w:val="000000"/>
          <w:szCs w:val="24"/>
        </w:rPr>
        <w:t>Veerkamp</w:t>
      </w:r>
      <w:proofErr w:type="spellEnd"/>
      <w:r w:rsidR="001A5577" w:rsidRPr="00A85774">
        <w:rPr>
          <w:color w:val="000000"/>
          <w:szCs w:val="24"/>
        </w:rPr>
        <w:t xml:space="preserve"> </w:t>
      </w:r>
      <w:proofErr w:type="spellStart"/>
      <w:r w:rsidR="001A5577" w:rsidRPr="00A85774">
        <w:rPr>
          <w:color w:val="000000"/>
          <w:szCs w:val="24"/>
        </w:rPr>
        <w:t>R</w:t>
      </w:r>
      <w:r>
        <w:rPr>
          <w:color w:val="000000"/>
          <w:szCs w:val="24"/>
        </w:rPr>
        <w:t>F</w:t>
      </w:r>
      <w:proofErr w:type="spellEnd"/>
      <w:r w:rsidR="001A5577" w:rsidRPr="00A85774">
        <w:rPr>
          <w:color w:val="000000"/>
          <w:szCs w:val="24"/>
        </w:rPr>
        <w:t xml:space="preserve">, </w:t>
      </w:r>
      <w:proofErr w:type="spellStart"/>
      <w:r w:rsidR="001A5577" w:rsidRPr="00A85774">
        <w:rPr>
          <w:color w:val="000000"/>
          <w:szCs w:val="24"/>
        </w:rPr>
        <w:t>Wijga</w:t>
      </w:r>
      <w:proofErr w:type="spellEnd"/>
      <w:r w:rsidR="001A5577" w:rsidRPr="00A85774">
        <w:rPr>
          <w:color w:val="000000"/>
          <w:szCs w:val="24"/>
        </w:rPr>
        <w:t xml:space="preserve"> S, Wall E, Berglund B and </w:t>
      </w:r>
      <w:proofErr w:type="spellStart"/>
      <w:r w:rsidR="001A5577" w:rsidRPr="00A85774">
        <w:rPr>
          <w:color w:val="000000"/>
          <w:szCs w:val="24"/>
        </w:rPr>
        <w:t>Calus</w:t>
      </w:r>
      <w:proofErr w:type="spellEnd"/>
      <w:r w:rsidR="001A5577" w:rsidRPr="00A85774">
        <w:rPr>
          <w:color w:val="000000"/>
          <w:szCs w:val="24"/>
        </w:rPr>
        <w:t xml:space="preserve"> </w:t>
      </w:r>
      <w:proofErr w:type="spellStart"/>
      <w:r w:rsidR="001A5577" w:rsidRPr="00A85774">
        <w:rPr>
          <w:color w:val="000000"/>
          <w:szCs w:val="24"/>
        </w:rPr>
        <w:t>MPL</w:t>
      </w:r>
      <w:proofErr w:type="spellEnd"/>
      <w:r>
        <w:rPr>
          <w:color w:val="000000"/>
          <w:szCs w:val="24"/>
        </w:rPr>
        <w:t xml:space="preserve"> 2</w:t>
      </w:r>
      <w:r w:rsidR="001A5577" w:rsidRPr="00A85774">
        <w:rPr>
          <w:color w:val="000000"/>
          <w:szCs w:val="24"/>
        </w:rPr>
        <w:t>012. Genome-wide associations for fertility traits in Holstein-Friesian dairy cows using data from experimental research herds in fo</w:t>
      </w:r>
      <w:r w:rsidR="001503B6">
        <w:rPr>
          <w:color w:val="000000"/>
          <w:szCs w:val="24"/>
        </w:rPr>
        <w:t>ur European countries. Animal 6</w:t>
      </w:r>
      <w:r>
        <w:rPr>
          <w:color w:val="000000"/>
          <w:szCs w:val="24"/>
        </w:rPr>
        <w:t xml:space="preserve">, </w:t>
      </w:r>
      <w:r w:rsidR="001A5577" w:rsidRPr="00A85774">
        <w:rPr>
          <w:color w:val="000000"/>
          <w:szCs w:val="24"/>
        </w:rPr>
        <w:t xml:space="preserve">1206-1215  </w:t>
      </w:r>
    </w:p>
    <w:p w:rsidR="001A5577" w:rsidRPr="00A85774" w:rsidRDefault="001A5577" w:rsidP="001503B6">
      <w:pPr>
        <w:tabs>
          <w:tab w:val="left" w:pos="90"/>
        </w:tabs>
        <w:autoSpaceDE w:val="0"/>
        <w:autoSpaceDN w:val="0"/>
        <w:adjustRightInd w:val="0"/>
        <w:spacing w:before="240"/>
        <w:jc w:val="both"/>
        <w:rPr>
          <w:color w:val="000000"/>
          <w:szCs w:val="24"/>
        </w:rPr>
      </w:pPr>
      <w:r w:rsidRPr="00A85774">
        <w:rPr>
          <w:color w:val="000000"/>
          <w:szCs w:val="24"/>
        </w:rPr>
        <w:t xml:space="preserve">Berry DP, Buckley F, Dillon PG, Evans RD, </w:t>
      </w:r>
      <w:proofErr w:type="spellStart"/>
      <w:r w:rsidRPr="00A85774">
        <w:rPr>
          <w:color w:val="000000"/>
          <w:szCs w:val="24"/>
        </w:rPr>
        <w:t>Rath</w:t>
      </w:r>
      <w:proofErr w:type="spellEnd"/>
      <w:r w:rsidRPr="00A85774">
        <w:rPr>
          <w:color w:val="000000"/>
          <w:szCs w:val="24"/>
        </w:rPr>
        <w:t xml:space="preserve"> M and </w:t>
      </w:r>
      <w:proofErr w:type="spellStart"/>
      <w:r w:rsidRPr="00A85774">
        <w:rPr>
          <w:color w:val="000000"/>
          <w:szCs w:val="24"/>
        </w:rPr>
        <w:t>Veerkamp</w:t>
      </w:r>
      <w:proofErr w:type="spellEnd"/>
      <w:r w:rsidRPr="00A85774">
        <w:rPr>
          <w:color w:val="000000"/>
          <w:szCs w:val="24"/>
        </w:rPr>
        <w:t xml:space="preserve"> RF</w:t>
      </w:r>
      <w:r w:rsidR="00A81B3D">
        <w:rPr>
          <w:color w:val="000000"/>
          <w:szCs w:val="24"/>
        </w:rPr>
        <w:t>.</w:t>
      </w:r>
      <w:r w:rsidRPr="00A85774">
        <w:rPr>
          <w:color w:val="000000"/>
          <w:szCs w:val="24"/>
        </w:rPr>
        <w:t xml:space="preserve"> 2002. Genetic parameters o</w:t>
      </w:r>
      <w:r w:rsidR="00A81B3D">
        <w:rPr>
          <w:color w:val="000000"/>
          <w:szCs w:val="24"/>
        </w:rPr>
        <w:t>f</w:t>
      </w:r>
      <w:r w:rsidRPr="00A85774">
        <w:rPr>
          <w:color w:val="000000"/>
          <w:szCs w:val="24"/>
        </w:rPr>
        <w:t xml:space="preserve"> level and change score, body weight, milk yield and fertility in dairy cows. Journal of </w:t>
      </w:r>
      <w:r w:rsidR="00A81B3D">
        <w:rPr>
          <w:color w:val="000000"/>
          <w:szCs w:val="24"/>
        </w:rPr>
        <w:t xml:space="preserve">Dairy Science 85, </w:t>
      </w:r>
      <w:r w:rsidR="00A81B3D" w:rsidRPr="00A85774">
        <w:rPr>
          <w:color w:val="000000"/>
          <w:szCs w:val="24"/>
        </w:rPr>
        <w:t xml:space="preserve"> </w:t>
      </w:r>
      <w:r w:rsidRPr="00A85774">
        <w:rPr>
          <w:color w:val="000000"/>
          <w:szCs w:val="24"/>
        </w:rPr>
        <w:t xml:space="preserve">2030-2039  </w:t>
      </w:r>
    </w:p>
    <w:p w:rsidR="001A5577" w:rsidRPr="00A85774" w:rsidRDefault="001A5577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Berry</w:t>
      </w:r>
      <w:r w:rsidR="00A81B3D">
        <w:rPr>
          <w:szCs w:val="24"/>
        </w:rPr>
        <w:t xml:space="preserve"> DP</w:t>
      </w:r>
      <w:r w:rsidRPr="00A85774">
        <w:rPr>
          <w:szCs w:val="24"/>
        </w:rPr>
        <w:t>, Kearney</w:t>
      </w:r>
      <w:r w:rsidR="00A81B3D">
        <w:rPr>
          <w:szCs w:val="24"/>
        </w:rPr>
        <w:t xml:space="preserve"> </w:t>
      </w:r>
      <w:proofErr w:type="spellStart"/>
      <w:r w:rsidR="00A81B3D">
        <w:rPr>
          <w:szCs w:val="24"/>
        </w:rPr>
        <w:t>JF</w:t>
      </w:r>
      <w:proofErr w:type="spellEnd"/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Twomey</w:t>
      </w:r>
      <w:proofErr w:type="spellEnd"/>
      <w:r w:rsidRPr="00A85774">
        <w:rPr>
          <w:szCs w:val="24"/>
        </w:rPr>
        <w:t xml:space="preserve"> </w:t>
      </w:r>
      <w:r w:rsidR="00A81B3D">
        <w:rPr>
          <w:szCs w:val="24"/>
        </w:rPr>
        <w:t xml:space="preserve">K </w:t>
      </w:r>
      <w:r w:rsidRPr="00A85774">
        <w:rPr>
          <w:szCs w:val="24"/>
        </w:rPr>
        <w:t xml:space="preserve">and </w:t>
      </w:r>
      <w:r w:rsidR="00A81B3D">
        <w:rPr>
          <w:szCs w:val="24"/>
        </w:rPr>
        <w:t>E</w:t>
      </w:r>
      <w:r w:rsidRPr="00A85774">
        <w:rPr>
          <w:szCs w:val="24"/>
        </w:rPr>
        <w:t>vans</w:t>
      </w:r>
      <w:r w:rsidR="00A81B3D">
        <w:rPr>
          <w:szCs w:val="24"/>
        </w:rPr>
        <w:t xml:space="preserve"> RD</w:t>
      </w:r>
      <w:r w:rsidRPr="00A85774">
        <w:rPr>
          <w:szCs w:val="24"/>
        </w:rPr>
        <w:t>. 2013. Genetics of reproductive performance in seasonal calving dairy cattle production systems. Irish Journal of Agricultural and Food Research 52: 1–16</w:t>
      </w:r>
    </w:p>
    <w:p w:rsidR="001A5577" w:rsidRPr="00A85774" w:rsidRDefault="001A5577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González-Recio</w:t>
      </w:r>
      <w:proofErr w:type="spellEnd"/>
      <w:r w:rsidR="00A81B3D">
        <w:rPr>
          <w:szCs w:val="24"/>
        </w:rPr>
        <w:t xml:space="preserve"> O</w:t>
      </w:r>
      <w:r w:rsidRPr="00A85774">
        <w:rPr>
          <w:szCs w:val="24"/>
        </w:rPr>
        <w:t xml:space="preserve">, </w:t>
      </w:r>
      <w:r w:rsidR="00A81B3D">
        <w:rPr>
          <w:szCs w:val="24"/>
        </w:rPr>
        <w:t xml:space="preserve">and </w:t>
      </w:r>
      <w:proofErr w:type="spellStart"/>
      <w:r w:rsidRPr="00A85774">
        <w:rPr>
          <w:szCs w:val="24"/>
        </w:rPr>
        <w:t>Alenda</w:t>
      </w:r>
      <w:proofErr w:type="spellEnd"/>
      <w:r w:rsidR="00A81B3D">
        <w:rPr>
          <w:szCs w:val="24"/>
        </w:rPr>
        <w:t xml:space="preserve"> R</w:t>
      </w:r>
      <w:r w:rsidRPr="00A85774">
        <w:rPr>
          <w:szCs w:val="24"/>
        </w:rPr>
        <w:t xml:space="preserve">. 2005. Genetic </w:t>
      </w:r>
      <w:r w:rsidR="00A81B3D">
        <w:rPr>
          <w:szCs w:val="24"/>
        </w:rPr>
        <w:t>p</w:t>
      </w:r>
      <w:r w:rsidRPr="00A85774">
        <w:rPr>
          <w:szCs w:val="24"/>
        </w:rPr>
        <w:t xml:space="preserve">arameters for </w:t>
      </w:r>
      <w:r w:rsidR="00A81B3D">
        <w:rPr>
          <w:szCs w:val="24"/>
        </w:rPr>
        <w:t>f</w:t>
      </w:r>
      <w:r w:rsidRPr="00A85774">
        <w:rPr>
          <w:szCs w:val="24"/>
        </w:rPr>
        <w:t xml:space="preserve">emale </w:t>
      </w:r>
      <w:r w:rsidR="00A81B3D">
        <w:rPr>
          <w:szCs w:val="24"/>
        </w:rPr>
        <w:t>f</w:t>
      </w:r>
      <w:r w:rsidRPr="00A85774">
        <w:rPr>
          <w:szCs w:val="24"/>
        </w:rPr>
        <w:t xml:space="preserve">ertility </w:t>
      </w:r>
      <w:r w:rsidR="00A81B3D">
        <w:rPr>
          <w:szCs w:val="24"/>
        </w:rPr>
        <w:t>t</w:t>
      </w:r>
      <w:r w:rsidRPr="00A85774">
        <w:rPr>
          <w:szCs w:val="24"/>
        </w:rPr>
        <w:t xml:space="preserve">raits and a </w:t>
      </w:r>
      <w:r w:rsidR="00A81B3D">
        <w:rPr>
          <w:szCs w:val="24"/>
        </w:rPr>
        <w:t>f</w:t>
      </w:r>
      <w:r w:rsidRPr="00A85774">
        <w:rPr>
          <w:szCs w:val="24"/>
        </w:rPr>
        <w:t xml:space="preserve">ertility </w:t>
      </w:r>
      <w:r w:rsidR="00A81B3D">
        <w:rPr>
          <w:szCs w:val="24"/>
        </w:rPr>
        <w:t>i</w:t>
      </w:r>
      <w:r w:rsidRPr="00A85774">
        <w:rPr>
          <w:szCs w:val="24"/>
        </w:rPr>
        <w:t xml:space="preserve">ndex in Spanish </w:t>
      </w:r>
      <w:r w:rsidR="00A81B3D">
        <w:rPr>
          <w:szCs w:val="24"/>
        </w:rPr>
        <w:t>d</w:t>
      </w:r>
      <w:r w:rsidRPr="00A85774">
        <w:rPr>
          <w:szCs w:val="24"/>
        </w:rPr>
        <w:t xml:space="preserve">airy </w:t>
      </w:r>
      <w:r w:rsidR="00A81B3D">
        <w:rPr>
          <w:szCs w:val="24"/>
        </w:rPr>
        <w:t>c</w:t>
      </w:r>
      <w:r w:rsidRPr="00A85774">
        <w:rPr>
          <w:szCs w:val="24"/>
        </w:rPr>
        <w:t>attle</w:t>
      </w:r>
      <w:r w:rsidR="00A81B3D">
        <w:rPr>
          <w:szCs w:val="24"/>
        </w:rPr>
        <w:t>.</w:t>
      </w:r>
      <w:r w:rsidRPr="00A85774">
        <w:rPr>
          <w:szCs w:val="24"/>
        </w:rPr>
        <w:t xml:space="preserve"> Journal of Dairy Science</w:t>
      </w:r>
      <w:r w:rsidR="00A81B3D">
        <w:rPr>
          <w:szCs w:val="24"/>
        </w:rPr>
        <w:t>.</w:t>
      </w:r>
      <w:r w:rsidRPr="00A85774">
        <w:rPr>
          <w:szCs w:val="24"/>
        </w:rPr>
        <w:t xml:space="preserve"> 88, 3282-3289</w:t>
      </w:r>
    </w:p>
    <w:p w:rsidR="001A5577" w:rsidRPr="00A85774" w:rsidRDefault="001A5577" w:rsidP="001503B6">
      <w:pPr>
        <w:widowControl/>
        <w:autoSpaceDE w:val="0"/>
        <w:autoSpaceDN w:val="0"/>
        <w:adjustRightInd w:val="0"/>
        <w:spacing w:before="240"/>
        <w:jc w:val="both"/>
        <w:rPr>
          <w:rFonts w:eastAsiaTheme="minorHAnsi"/>
          <w:bCs/>
          <w:snapToGrid/>
          <w:szCs w:val="24"/>
          <w:lang w:val="en-IE"/>
        </w:rPr>
      </w:pPr>
      <w:proofErr w:type="spellStart"/>
      <w:r w:rsidRPr="00A85774">
        <w:rPr>
          <w:szCs w:val="24"/>
        </w:rPr>
        <w:t>Faraji-Arough</w:t>
      </w:r>
      <w:proofErr w:type="spellEnd"/>
      <w:r w:rsidR="001503B6">
        <w:rPr>
          <w:szCs w:val="24"/>
        </w:rPr>
        <w:t xml:space="preserve"> H</w:t>
      </w:r>
      <w:r w:rsidR="00A81B3D">
        <w:rPr>
          <w:szCs w:val="24"/>
        </w:rPr>
        <w:t xml:space="preserve">, </w:t>
      </w:r>
      <w:proofErr w:type="spellStart"/>
      <w:r w:rsidRPr="00A85774">
        <w:rPr>
          <w:szCs w:val="24"/>
        </w:rPr>
        <w:t>Asghar</w:t>
      </w:r>
      <w:proofErr w:type="spellEnd"/>
      <w:r w:rsidRPr="00A85774">
        <w:rPr>
          <w:szCs w:val="24"/>
        </w:rPr>
        <w:t xml:space="preserve"> </w:t>
      </w:r>
      <w:proofErr w:type="spellStart"/>
      <w:r w:rsidRPr="00A85774">
        <w:rPr>
          <w:szCs w:val="24"/>
        </w:rPr>
        <w:t>Aslaminejad</w:t>
      </w:r>
      <w:proofErr w:type="spellEnd"/>
      <w:r w:rsidR="00A81B3D">
        <w:rPr>
          <w:szCs w:val="24"/>
        </w:rPr>
        <w:t xml:space="preserve"> A</w:t>
      </w:r>
      <w:r w:rsidRPr="00A85774">
        <w:rPr>
          <w:szCs w:val="24"/>
        </w:rPr>
        <w:t>,</w:t>
      </w:r>
      <w:r w:rsidR="00A81B3D">
        <w:rPr>
          <w:szCs w:val="24"/>
        </w:rPr>
        <w:t xml:space="preserve"> and </w:t>
      </w:r>
      <w:proofErr w:type="spellStart"/>
      <w:r w:rsidRPr="00A85774">
        <w:rPr>
          <w:szCs w:val="24"/>
        </w:rPr>
        <w:t>Farhangfar</w:t>
      </w:r>
      <w:proofErr w:type="spellEnd"/>
      <w:r w:rsidR="00A81B3D">
        <w:rPr>
          <w:szCs w:val="24"/>
        </w:rPr>
        <w:t>, H</w:t>
      </w:r>
      <w:r w:rsidRPr="00A85774">
        <w:rPr>
          <w:szCs w:val="24"/>
        </w:rPr>
        <w:t xml:space="preserve">. 2011. 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Estimation of </w:t>
      </w:r>
      <w:r w:rsidR="00A81B3D">
        <w:rPr>
          <w:rFonts w:eastAsiaTheme="minorHAnsi"/>
          <w:bCs/>
          <w:snapToGrid/>
          <w:szCs w:val="24"/>
          <w:lang w:val="en-IE"/>
        </w:rPr>
        <w:t>g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enetic </w:t>
      </w:r>
      <w:r w:rsidR="00A81B3D">
        <w:rPr>
          <w:rFonts w:eastAsiaTheme="minorHAnsi"/>
          <w:bCs/>
          <w:snapToGrid/>
          <w:szCs w:val="24"/>
          <w:lang w:val="en-IE"/>
        </w:rPr>
        <w:t>p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arameters and </w:t>
      </w:r>
      <w:r w:rsidR="00A81B3D">
        <w:rPr>
          <w:rFonts w:eastAsiaTheme="minorHAnsi"/>
          <w:bCs/>
          <w:snapToGrid/>
          <w:szCs w:val="24"/>
          <w:lang w:val="en-IE"/>
        </w:rPr>
        <w:t>t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rends for </w:t>
      </w:r>
      <w:r w:rsidR="00A81B3D">
        <w:rPr>
          <w:rFonts w:eastAsiaTheme="minorHAnsi"/>
          <w:bCs/>
          <w:snapToGrid/>
          <w:szCs w:val="24"/>
          <w:lang w:val="en-IE"/>
        </w:rPr>
        <w:t>a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ge at </w:t>
      </w:r>
      <w:r w:rsidR="00A81B3D">
        <w:rPr>
          <w:rFonts w:eastAsiaTheme="minorHAnsi"/>
          <w:bCs/>
          <w:snapToGrid/>
          <w:szCs w:val="24"/>
          <w:lang w:val="en-IE"/>
        </w:rPr>
        <w:t>f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irst </w:t>
      </w:r>
      <w:r w:rsidR="00A81B3D">
        <w:rPr>
          <w:rFonts w:eastAsiaTheme="minorHAnsi"/>
          <w:bCs/>
          <w:snapToGrid/>
          <w:szCs w:val="24"/>
          <w:lang w:val="en-IE"/>
        </w:rPr>
        <w:t>c</w:t>
      </w:r>
      <w:r w:rsidRPr="00A85774">
        <w:rPr>
          <w:rFonts w:eastAsiaTheme="minorHAnsi"/>
          <w:bCs/>
          <w:snapToGrid/>
          <w:szCs w:val="24"/>
          <w:lang w:val="en-IE"/>
        </w:rPr>
        <w:t>alving and</w:t>
      </w:r>
      <w:r w:rsidR="00A81B3D">
        <w:rPr>
          <w:rFonts w:eastAsiaTheme="minorHAnsi"/>
          <w:bCs/>
          <w:snapToGrid/>
          <w:szCs w:val="24"/>
          <w:lang w:val="en-IE"/>
        </w:rPr>
        <w:t xml:space="preserve"> c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alving </w:t>
      </w:r>
      <w:r w:rsidR="00A81B3D">
        <w:rPr>
          <w:rFonts w:eastAsiaTheme="minorHAnsi"/>
          <w:bCs/>
          <w:snapToGrid/>
          <w:szCs w:val="24"/>
          <w:lang w:val="en-IE"/>
        </w:rPr>
        <w:t>i</w:t>
      </w:r>
      <w:r w:rsidRPr="00A85774">
        <w:rPr>
          <w:rFonts w:eastAsiaTheme="minorHAnsi"/>
          <w:bCs/>
          <w:snapToGrid/>
          <w:szCs w:val="24"/>
          <w:lang w:val="en-IE"/>
        </w:rPr>
        <w:t xml:space="preserve">nterval in Iranian Holstein </w:t>
      </w:r>
      <w:r w:rsidR="00A81B3D">
        <w:rPr>
          <w:rFonts w:eastAsiaTheme="minorHAnsi"/>
          <w:bCs/>
          <w:snapToGrid/>
          <w:szCs w:val="24"/>
          <w:lang w:val="en-IE"/>
        </w:rPr>
        <w:t>c</w:t>
      </w:r>
      <w:r w:rsidRPr="00A85774">
        <w:rPr>
          <w:rFonts w:eastAsiaTheme="minorHAnsi"/>
          <w:bCs/>
          <w:snapToGrid/>
          <w:szCs w:val="24"/>
          <w:lang w:val="en-IE"/>
        </w:rPr>
        <w:t>ows</w:t>
      </w:r>
      <w:r w:rsidR="004547E3" w:rsidRPr="00A85774">
        <w:rPr>
          <w:rFonts w:eastAsiaTheme="minorHAnsi"/>
          <w:bCs/>
          <w:snapToGrid/>
          <w:szCs w:val="24"/>
          <w:lang w:val="en-IE"/>
        </w:rPr>
        <w:t>. Journal of Research in Agricultural</w:t>
      </w:r>
      <w:r w:rsidR="00A81B3D">
        <w:rPr>
          <w:rFonts w:eastAsiaTheme="minorHAnsi"/>
          <w:bCs/>
          <w:snapToGrid/>
          <w:szCs w:val="24"/>
          <w:lang w:val="en-IE"/>
        </w:rPr>
        <w:t xml:space="preserve"> </w:t>
      </w:r>
      <w:r w:rsidR="004547E3" w:rsidRPr="00A85774">
        <w:rPr>
          <w:rFonts w:eastAsiaTheme="minorHAnsi"/>
          <w:bCs/>
          <w:snapToGrid/>
          <w:szCs w:val="24"/>
          <w:lang w:val="en-IE"/>
        </w:rPr>
        <w:t>Science 7, 79-87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Haile-Mariam M, Morton JM, and Goddard ME. 2003. Estimates of genetic parameters for fertility traits of Australian Holstein-Friesian cattle. Animal Science. 76</w:t>
      </w:r>
      <w:r w:rsidR="00A81B3D">
        <w:rPr>
          <w:szCs w:val="24"/>
        </w:rPr>
        <w:t>,</w:t>
      </w:r>
      <w:r w:rsidRPr="00A85774">
        <w:rPr>
          <w:szCs w:val="24"/>
        </w:rPr>
        <w:t xml:space="preserve"> 35-42.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Haile-Mariam</w:t>
      </w:r>
      <w:r w:rsidR="004E77ED">
        <w:rPr>
          <w:szCs w:val="24"/>
        </w:rPr>
        <w:t xml:space="preserve"> M</w:t>
      </w:r>
      <w:r w:rsidRPr="00A85774">
        <w:rPr>
          <w:szCs w:val="24"/>
        </w:rPr>
        <w:t>, Bowman</w:t>
      </w:r>
      <w:r w:rsidR="004E77ED">
        <w:rPr>
          <w:szCs w:val="24"/>
        </w:rPr>
        <w:t xml:space="preserve"> PJ</w:t>
      </w:r>
      <w:r w:rsidRPr="00A85774">
        <w:rPr>
          <w:szCs w:val="24"/>
        </w:rPr>
        <w:t xml:space="preserve">, </w:t>
      </w:r>
      <w:r w:rsidR="004E77ED">
        <w:rPr>
          <w:szCs w:val="24"/>
        </w:rPr>
        <w:t xml:space="preserve">and </w:t>
      </w:r>
      <w:r w:rsidRPr="00A85774">
        <w:rPr>
          <w:szCs w:val="24"/>
        </w:rPr>
        <w:t xml:space="preserve">Pryce </w:t>
      </w:r>
      <w:r w:rsidR="004E77ED">
        <w:rPr>
          <w:szCs w:val="24"/>
        </w:rPr>
        <w:t xml:space="preserve">JE. </w:t>
      </w:r>
      <w:r w:rsidRPr="00A85774">
        <w:rPr>
          <w:szCs w:val="24"/>
        </w:rPr>
        <w:t>2013. Genetic analyses of fertility and predictor traits in Holstein herds with low and high mean calving intervals and in Jersey herds</w:t>
      </w:r>
      <w:r w:rsidR="004E77ED">
        <w:rPr>
          <w:szCs w:val="24"/>
        </w:rPr>
        <w:t>.</w:t>
      </w:r>
      <w:r w:rsidRPr="00A85774">
        <w:rPr>
          <w:szCs w:val="24"/>
        </w:rPr>
        <w:t xml:space="preserve"> </w:t>
      </w:r>
      <w:r w:rsidR="004E77ED">
        <w:rPr>
          <w:szCs w:val="24"/>
        </w:rPr>
        <w:t>Journal of Dairy Science.</w:t>
      </w:r>
      <w:r w:rsidRPr="00A85774">
        <w:rPr>
          <w:szCs w:val="24"/>
        </w:rPr>
        <w:t xml:space="preserve"> 96, 655-667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Jamrozik</w:t>
      </w:r>
      <w:proofErr w:type="spellEnd"/>
      <w:r w:rsidR="004E77ED">
        <w:rPr>
          <w:szCs w:val="24"/>
        </w:rPr>
        <w:t xml:space="preserve"> J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Fatehi</w:t>
      </w:r>
      <w:proofErr w:type="spellEnd"/>
      <w:r w:rsidR="004E77ED">
        <w:rPr>
          <w:szCs w:val="24"/>
        </w:rPr>
        <w:t xml:space="preserve"> J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Kistemaker</w:t>
      </w:r>
      <w:proofErr w:type="spellEnd"/>
      <w:r w:rsidR="004E77ED">
        <w:rPr>
          <w:szCs w:val="24"/>
        </w:rPr>
        <w:t xml:space="preserve"> </w:t>
      </w:r>
      <w:proofErr w:type="spellStart"/>
      <w:r w:rsidR="004E77ED">
        <w:rPr>
          <w:szCs w:val="24"/>
        </w:rPr>
        <w:t>GJ</w:t>
      </w:r>
      <w:proofErr w:type="spellEnd"/>
      <w:r w:rsidRPr="00A85774">
        <w:rPr>
          <w:szCs w:val="24"/>
        </w:rPr>
        <w:t xml:space="preserve">, </w:t>
      </w:r>
      <w:r w:rsidR="004E77ED">
        <w:rPr>
          <w:szCs w:val="24"/>
        </w:rPr>
        <w:t xml:space="preserve">and </w:t>
      </w:r>
      <w:r w:rsidRPr="00A85774">
        <w:rPr>
          <w:szCs w:val="24"/>
        </w:rPr>
        <w:t>Schaeffer</w:t>
      </w:r>
      <w:r w:rsidR="004E77ED">
        <w:rPr>
          <w:szCs w:val="24"/>
        </w:rPr>
        <w:t xml:space="preserve"> LR</w:t>
      </w:r>
      <w:r w:rsidRPr="00A85774">
        <w:rPr>
          <w:szCs w:val="24"/>
        </w:rPr>
        <w:t xml:space="preserve">. 2005. Estimates of </w:t>
      </w:r>
      <w:r w:rsidR="004E77ED">
        <w:rPr>
          <w:szCs w:val="24"/>
        </w:rPr>
        <w:t>g</w:t>
      </w:r>
      <w:r w:rsidRPr="00A85774">
        <w:rPr>
          <w:szCs w:val="24"/>
        </w:rPr>
        <w:t xml:space="preserve">enetic </w:t>
      </w:r>
      <w:r w:rsidR="004E77ED">
        <w:rPr>
          <w:szCs w:val="24"/>
        </w:rPr>
        <w:t>p</w:t>
      </w:r>
      <w:r w:rsidRPr="00A85774">
        <w:rPr>
          <w:szCs w:val="24"/>
        </w:rPr>
        <w:t xml:space="preserve">arameters for Canadian Holstein </w:t>
      </w:r>
      <w:r w:rsidR="004E77ED">
        <w:rPr>
          <w:szCs w:val="24"/>
        </w:rPr>
        <w:t>f</w:t>
      </w:r>
      <w:r w:rsidRPr="00A85774">
        <w:rPr>
          <w:szCs w:val="24"/>
        </w:rPr>
        <w:t xml:space="preserve">emale </w:t>
      </w:r>
      <w:r w:rsidR="004E77ED">
        <w:rPr>
          <w:szCs w:val="24"/>
        </w:rPr>
        <w:t>r</w:t>
      </w:r>
      <w:r w:rsidRPr="00A85774">
        <w:rPr>
          <w:szCs w:val="24"/>
        </w:rPr>
        <w:t xml:space="preserve">eproduction </w:t>
      </w:r>
      <w:r w:rsidR="004E77ED">
        <w:rPr>
          <w:szCs w:val="24"/>
        </w:rPr>
        <w:t xml:space="preserve">traits. Journal of Dairy Science. </w:t>
      </w:r>
      <w:r w:rsidRPr="00A85774">
        <w:rPr>
          <w:szCs w:val="24"/>
        </w:rPr>
        <w:t>88</w:t>
      </w:r>
      <w:r w:rsidR="004E77ED">
        <w:rPr>
          <w:szCs w:val="24"/>
        </w:rPr>
        <w:t>,</w:t>
      </w:r>
      <w:r w:rsidRPr="00A85774">
        <w:rPr>
          <w:szCs w:val="24"/>
        </w:rPr>
        <w:t xml:space="preserve"> 2199-2208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Kadarmideen</w:t>
      </w:r>
      <w:proofErr w:type="spellEnd"/>
      <w:r w:rsidR="004E77ED">
        <w:rPr>
          <w:szCs w:val="24"/>
        </w:rPr>
        <w:t xml:space="preserve"> </w:t>
      </w:r>
      <w:proofErr w:type="spellStart"/>
      <w:r w:rsidR="004E77ED">
        <w:rPr>
          <w:szCs w:val="24"/>
        </w:rPr>
        <w:t>HN</w:t>
      </w:r>
      <w:proofErr w:type="spellEnd"/>
      <w:r w:rsidRPr="00A85774">
        <w:rPr>
          <w:szCs w:val="24"/>
        </w:rPr>
        <w:t>, Thompson</w:t>
      </w:r>
      <w:r w:rsidR="004E77ED">
        <w:rPr>
          <w:szCs w:val="24"/>
        </w:rPr>
        <w:t xml:space="preserve"> R</w:t>
      </w:r>
      <w:r w:rsidRPr="00A85774">
        <w:rPr>
          <w:szCs w:val="24"/>
        </w:rPr>
        <w:t>, Coffey</w:t>
      </w:r>
      <w:r w:rsidR="004E77ED">
        <w:rPr>
          <w:szCs w:val="24"/>
        </w:rPr>
        <w:t xml:space="preserve"> MP</w:t>
      </w:r>
      <w:r w:rsidRPr="00A85774">
        <w:rPr>
          <w:szCs w:val="24"/>
        </w:rPr>
        <w:t xml:space="preserve">, </w:t>
      </w:r>
      <w:r w:rsidR="004E77ED">
        <w:rPr>
          <w:szCs w:val="24"/>
        </w:rPr>
        <w:t xml:space="preserve">and </w:t>
      </w:r>
      <w:proofErr w:type="spellStart"/>
      <w:r w:rsidRPr="00A85774">
        <w:rPr>
          <w:szCs w:val="24"/>
        </w:rPr>
        <w:t>Kossaibati</w:t>
      </w:r>
      <w:proofErr w:type="spellEnd"/>
      <w:r w:rsidR="004E77ED">
        <w:rPr>
          <w:szCs w:val="24"/>
        </w:rPr>
        <w:t xml:space="preserve"> MA</w:t>
      </w:r>
      <w:r w:rsidRPr="00A85774">
        <w:rPr>
          <w:szCs w:val="24"/>
        </w:rPr>
        <w:t>. 2003. Genetic parameters and evaluations from single- and multiple-trait analysis of dairy cow fertility and milk production Livestock Producti</w:t>
      </w:r>
      <w:r w:rsidR="004E77ED">
        <w:rPr>
          <w:szCs w:val="24"/>
        </w:rPr>
        <w:t>on Science.</w:t>
      </w:r>
      <w:r w:rsidRPr="00A85774">
        <w:rPr>
          <w:szCs w:val="24"/>
        </w:rPr>
        <w:t xml:space="preserve"> 81, 183-195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König</w:t>
      </w:r>
      <w:proofErr w:type="spellEnd"/>
      <w:r w:rsidR="004E77ED">
        <w:rPr>
          <w:szCs w:val="24"/>
        </w:rPr>
        <w:t xml:space="preserve"> S</w:t>
      </w:r>
      <w:r w:rsidRPr="00A85774">
        <w:rPr>
          <w:szCs w:val="24"/>
        </w:rPr>
        <w:t>, Chang</w:t>
      </w:r>
      <w:r w:rsidR="004E77ED">
        <w:rPr>
          <w:szCs w:val="24"/>
        </w:rPr>
        <w:t xml:space="preserve"> </w:t>
      </w:r>
      <w:proofErr w:type="spellStart"/>
      <w:r w:rsidR="004E77ED">
        <w:rPr>
          <w:szCs w:val="24"/>
        </w:rPr>
        <w:t>YM</w:t>
      </w:r>
      <w:proofErr w:type="spellEnd"/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Borstel</w:t>
      </w:r>
      <w:proofErr w:type="spellEnd"/>
      <w:r w:rsidR="004E77ED">
        <w:rPr>
          <w:szCs w:val="24"/>
        </w:rPr>
        <w:t xml:space="preserve"> </w:t>
      </w:r>
      <w:proofErr w:type="spellStart"/>
      <w:r w:rsidR="004E77ED">
        <w:rPr>
          <w:szCs w:val="24"/>
        </w:rPr>
        <w:t>UUV</w:t>
      </w:r>
      <w:proofErr w:type="spellEnd"/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Gianola</w:t>
      </w:r>
      <w:proofErr w:type="spellEnd"/>
      <w:r w:rsidR="004E77ED">
        <w:rPr>
          <w:szCs w:val="24"/>
        </w:rPr>
        <w:t xml:space="preserve"> D</w:t>
      </w:r>
      <w:r w:rsidRPr="00A85774">
        <w:rPr>
          <w:szCs w:val="24"/>
        </w:rPr>
        <w:t xml:space="preserve">, </w:t>
      </w:r>
      <w:r w:rsidR="004E77ED">
        <w:rPr>
          <w:szCs w:val="24"/>
        </w:rPr>
        <w:t xml:space="preserve">and </w:t>
      </w:r>
      <w:proofErr w:type="spellStart"/>
      <w:r w:rsidRPr="00A85774">
        <w:rPr>
          <w:szCs w:val="24"/>
        </w:rPr>
        <w:t>Simianer</w:t>
      </w:r>
      <w:proofErr w:type="spellEnd"/>
      <w:r w:rsidR="004E77ED">
        <w:rPr>
          <w:szCs w:val="24"/>
        </w:rPr>
        <w:t xml:space="preserve"> H</w:t>
      </w:r>
      <w:r w:rsidRPr="00A85774">
        <w:rPr>
          <w:szCs w:val="24"/>
        </w:rPr>
        <w:t xml:space="preserve">. 2008. Genetic and </w:t>
      </w:r>
      <w:r w:rsidR="004E77ED">
        <w:rPr>
          <w:szCs w:val="24"/>
        </w:rPr>
        <w:t>p</w:t>
      </w:r>
      <w:r w:rsidRPr="00A85774">
        <w:rPr>
          <w:szCs w:val="24"/>
        </w:rPr>
        <w:t xml:space="preserve">henotypic </w:t>
      </w:r>
      <w:r w:rsidR="004E77ED">
        <w:rPr>
          <w:szCs w:val="24"/>
        </w:rPr>
        <w:t>r</w:t>
      </w:r>
      <w:r w:rsidRPr="00A85774">
        <w:rPr>
          <w:szCs w:val="24"/>
        </w:rPr>
        <w:t xml:space="preserve">elationships </w:t>
      </w:r>
      <w:r w:rsidR="004E77ED">
        <w:rPr>
          <w:szCs w:val="24"/>
        </w:rPr>
        <w:t>a</w:t>
      </w:r>
      <w:r w:rsidRPr="00A85774">
        <w:rPr>
          <w:szCs w:val="24"/>
        </w:rPr>
        <w:t xml:space="preserve">mong </w:t>
      </w:r>
      <w:r w:rsidR="004E77ED">
        <w:rPr>
          <w:szCs w:val="24"/>
        </w:rPr>
        <w:t>m</w:t>
      </w:r>
      <w:r w:rsidRPr="00A85774">
        <w:rPr>
          <w:szCs w:val="24"/>
        </w:rPr>
        <w:t xml:space="preserve">ilk </w:t>
      </w:r>
      <w:r w:rsidR="004E77ED">
        <w:rPr>
          <w:szCs w:val="24"/>
        </w:rPr>
        <w:t>u</w:t>
      </w:r>
      <w:r w:rsidRPr="00A85774">
        <w:rPr>
          <w:szCs w:val="24"/>
        </w:rPr>
        <w:t xml:space="preserve">rea </w:t>
      </w:r>
      <w:r w:rsidR="004E77ED">
        <w:rPr>
          <w:szCs w:val="24"/>
        </w:rPr>
        <w:t>n</w:t>
      </w:r>
      <w:r w:rsidRPr="00A85774">
        <w:rPr>
          <w:szCs w:val="24"/>
        </w:rPr>
        <w:t xml:space="preserve">itrogen, </w:t>
      </w:r>
      <w:r w:rsidR="004E77ED">
        <w:rPr>
          <w:szCs w:val="24"/>
        </w:rPr>
        <w:t>f</w:t>
      </w:r>
      <w:r w:rsidRPr="00A85774">
        <w:rPr>
          <w:szCs w:val="24"/>
        </w:rPr>
        <w:t xml:space="preserve">ertility, and </w:t>
      </w:r>
      <w:r w:rsidR="004E77ED">
        <w:rPr>
          <w:szCs w:val="24"/>
        </w:rPr>
        <w:t>m</w:t>
      </w:r>
      <w:r w:rsidRPr="00A85774">
        <w:rPr>
          <w:szCs w:val="24"/>
        </w:rPr>
        <w:t xml:space="preserve">ilk </w:t>
      </w:r>
      <w:r w:rsidR="004E77ED">
        <w:rPr>
          <w:szCs w:val="24"/>
        </w:rPr>
        <w:t>y</w:t>
      </w:r>
      <w:r w:rsidRPr="00A85774">
        <w:rPr>
          <w:szCs w:val="24"/>
        </w:rPr>
        <w:t xml:space="preserve">ield in Holstein </w:t>
      </w:r>
      <w:r w:rsidR="004E77ED">
        <w:rPr>
          <w:szCs w:val="24"/>
        </w:rPr>
        <w:t>c</w:t>
      </w:r>
      <w:r w:rsidRPr="00A85774">
        <w:rPr>
          <w:szCs w:val="24"/>
        </w:rPr>
        <w:t xml:space="preserve">ows </w:t>
      </w:r>
      <w:r w:rsidR="004E77ED">
        <w:rPr>
          <w:szCs w:val="24"/>
        </w:rPr>
        <w:t xml:space="preserve">Journal of Dairy Science. </w:t>
      </w:r>
      <w:r w:rsidRPr="00A85774">
        <w:rPr>
          <w:szCs w:val="24"/>
        </w:rPr>
        <w:t>91, 4372-4382</w:t>
      </w:r>
    </w:p>
    <w:p w:rsidR="004547E3" w:rsidRPr="00A85774" w:rsidRDefault="004547E3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lastRenderedPageBreak/>
        <w:t>Makgahlela</w:t>
      </w:r>
      <w:proofErr w:type="spellEnd"/>
      <w:r w:rsidR="004E77ED">
        <w:rPr>
          <w:szCs w:val="24"/>
        </w:rPr>
        <w:t xml:space="preserve"> ML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Banga</w:t>
      </w:r>
      <w:proofErr w:type="spellEnd"/>
      <w:r w:rsidR="004E77ED">
        <w:rPr>
          <w:szCs w:val="24"/>
        </w:rPr>
        <w:t xml:space="preserve"> CB</w:t>
      </w:r>
      <w:r w:rsidRPr="00A85774">
        <w:rPr>
          <w:szCs w:val="24"/>
        </w:rPr>
        <w:t>, Norris</w:t>
      </w:r>
      <w:r w:rsidR="004E77ED">
        <w:rPr>
          <w:szCs w:val="24"/>
        </w:rPr>
        <w:t xml:space="preserve"> D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Dzama</w:t>
      </w:r>
      <w:proofErr w:type="spellEnd"/>
      <w:r w:rsidR="004E77ED">
        <w:rPr>
          <w:szCs w:val="24"/>
        </w:rPr>
        <w:t xml:space="preserve"> K</w:t>
      </w:r>
      <w:r w:rsidRPr="00A85774">
        <w:rPr>
          <w:szCs w:val="24"/>
        </w:rPr>
        <w:t xml:space="preserve">, </w:t>
      </w:r>
      <w:r w:rsidR="004E77ED">
        <w:rPr>
          <w:szCs w:val="24"/>
        </w:rPr>
        <w:t xml:space="preserve">and </w:t>
      </w:r>
      <w:proofErr w:type="spellStart"/>
      <w:r w:rsidRPr="00A85774">
        <w:rPr>
          <w:szCs w:val="24"/>
        </w:rPr>
        <w:t>Ng’ambi</w:t>
      </w:r>
      <w:proofErr w:type="spellEnd"/>
      <w:r w:rsidR="004E77ED">
        <w:rPr>
          <w:szCs w:val="24"/>
        </w:rPr>
        <w:t xml:space="preserve"> JW</w:t>
      </w:r>
      <w:r w:rsidRPr="00A85774">
        <w:rPr>
          <w:szCs w:val="24"/>
        </w:rPr>
        <w:t>. 2007. Genetic correlations between female fertility and production traits in South African Holstein cattle. South African Journal of Animal Science 37</w:t>
      </w:r>
      <w:r w:rsidR="004E77ED">
        <w:rPr>
          <w:szCs w:val="24"/>
        </w:rPr>
        <w:t>, 180-188.</w:t>
      </w:r>
      <w:r w:rsidRPr="00A85774">
        <w:rPr>
          <w:szCs w:val="24"/>
        </w:rPr>
        <w:t xml:space="preserve"> </w:t>
      </w:r>
    </w:p>
    <w:p w:rsidR="0055382A" w:rsidRPr="00A85774" w:rsidRDefault="0055382A" w:rsidP="001503B6">
      <w:pPr>
        <w:spacing w:before="240"/>
        <w:jc w:val="both"/>
        <w:rPr>
          <w:color w:val="333333"/>
          <w:szCs w:val="24"/>
          <w:lang/>
        </w:rPr>
      </w:pPr>
      <w:proofErr w:type="spellStart"/>
      <w:r w:rsidRPr="00A85774">
        <w:rPr>
          <w:color w:val="333333"/>
          <w:szCs w:val="24"/>
          <w:lang/>
        </w:rPr>
        <w:t>Mucha</w:t>
      </w:r>
      <w:proofErr w:type="spellEnd"/>
      <w:r w:rsidRPr="00A85774">
        <w:rPr>
          <w:color w:val="333333"/>
          <w:szCs w:val="24"/>
          <w:lang/>
        </w:rPr>
        <w:t xml:space="preserve"> S</w:t>
      </w:r>
      <w:r w:rsidR="004E77ED">
        <w:rPr>
          <w:color w:val="333333"/>
          <w:szCs w:val="24"/>
          <w:lang/>
        </w:rPr>
        <w:t xml:space="preserve"> and</w:t>
      </w:r>
      <w:r w:rsidRPr="00A85774">
        <w:rPr>
          <w:color w:val="333333"/>
          <w:szCs w:val="24"/>
          <w:lang/>
        </w:rPr>
        <w:t xml:space="preserve"> </w:t>
      </w:r>
      <w:proofErr w:type="spellStart"/>
      <w:r w:rsidRPr="00A85774">
        <w:rPr>
          <w:color w:val="333333"/>
          <w:szCs w:val="24"/>
          <w:lang/>
        </w:rPr>
        <w:t>Strandberg</w:t>
      </w:r>
      <w:proofErr w:type="spellEnd"/>
      <w:r w:rsidRPr="00A85774">
        <w:rPr>
          <w:color w:val="333333"/>
          <w:szCs w:val="24"/>
          <w:lang/>
        </w:rPr>
        <w:t xml:space="preserve"> E. 2011 Genetic </w:t>
      </w:r>
      <w:r w:rsidR="00A07619">
        <w:rPr>
          <w:color w:val="333333"/>
          <w:szCs w:val="24"/>
          <w:lang/>
        </w:rPr>
        <w:t>a</w:t>
      </w:r>
      <w:r w:rsidRPr="00A85774">
        <w:rPr>
          <w:color w:val="333333"/>
          <w:szCs w:val="24"/>
          <w:lang/>
        </w:rPr>
        <w:t xml:space="preserve">nalysis of </w:t>
      </w:r>
      <w:r w:rsidR="00A07619">
        <w:rPr>
          <w:color w:val="333333"/>
          <w:szCs w:val="24"/>
          <w:lang/>
        </w:rPr>
        <w:t>m</w:t>
      </w:r>
      <w:r w:rsidRPr="00A85774">
        <w:rPr>
          <w:color w:val="333333"/>
          <w:szCs w:val="24"/>
          <w:lang/>
        </w:rPr>
        <w:t xml:space="preserve">ilk </w:t>
      </w:r>
      <w:r w:rsidR="00A07619">
        <w:rPr>
          <w:color w:val="333333"/>
          <w:szCs w:val="24"/>
          <w:lang/>
        </w:rPr>
        <w:t>u</w:t>
      </w:r>
      <w:r w:rsidRPr="00A85774">
        <w:rPr>
          <w:color w:val="333333"/>
          <w:szCs w:val="24"/>
          <w:lang/>
        </w:rPr>
        <w:t xml:space="preserve">rea </w:t>
      </w:r>
      <w:r w:rsidR="00A07619">
        <w:rPr>
          <w:color w:val="333333"/>
          <w:szCs w:val="24"/>
          <w:lang/>
        </w:rPr>
        <w:t>n</w:t>
      </w:r>
      <w:r w:rsidRPr="00A85774">
        <w:rPr>
          <w:color w:val="333333"/>
          <w:szCs w:val="24"/>
          <w:lang/>
        </w:rPr>
        <w:t xml:space="preserve">itrogen and </w:t>
      </w:r>
      <w:r w:rsidR="00A07619">
        <w:rPr>
          <w:color w:val="333333"/>
          <w:szCs w:val="24"/>
          <w:lang/>
        </w:rPr>
        <w:t>r</w:t>
      </w:r>
      <w:r w:rsidRPr="00A85774">
        <w:rPr>
          <w:color w:val="333333"/>
          <w:szCs w:val="24"/>
          <w:lang/>
        </w:rPr>
        <w:t xml:space="preserve">elationships with </w:t>
      </w:r>
      <w:r w:rsidR="00A07619">
        <w:rPr>
          <w:color w:val="333333"/>
          <w:szCs w:val="24"/>
          <w:lang/>
        </w:rPr>
        <w:t>y</w:t>
      </w:r>
      <w:r w:rsidRPr="00A85774">
        <w:rPr>
          <w:color w:val="333333"/>
          <w:szCs w:val="24"/>
          <w:lang/>
        </w:rPr>
        <w:t xml:space="preserve">ield and </w:t>
      </w:r>
      <w:r w:rsidR="00A07619">
        <w:rPr>
          <w:color w:val="333333"/>
          <w:szCs w:val="24"/>
          <w:lang/>
        </w:rPr>
        <w:t>f</w:t>
      </w:r>
      <w:r w:rsidRPr="00A85774">
        <w:rPr>
          <w:color w:val="333333"/>
          <w:szCs w:val="24"/>
          <w:lang/>
        </w:rPr>
        <w:t xml:space="preserve">ertility across </w:t>
      </w:r>
      <w:r w:rsidR="00A07619">
        <w:rPr>
          <w:color w:val="333333"/>
          <w:szCs w:val="24"/>
          <w:lang/>
        </w:rPr>
        <w:t>l</w:t>
      </w:r>
      <w:r w:rsidRPr="00A85774">
        <w:rPr>
          <w:color w:val="333333"/>
          <w:szCs w:val="24"/>
          <w:lang/>
        </w:rPr>
        <w:t>actation. Journal of Dairy Science 94</w:t>
      </w:r>
      <w:r w:rsidR="00A07619">
        <w:rPr>
          <w:color w:val="333333"/>
          <w:szCs w:val="24"/>
          <w:lang/>
        </w:rPr>
        <w:t xml:space="preserve">, </w:t>
      </w:r>
      <w:r w:rsidRPr="00A85774">
        <w:rPr>
          <w:color w:val="333333"/>
          <w:szCs w:val="24"/>
          <w:lang/>
        </w:rPr>
        <w:t>5665-5672</w:t>
      </w:r>
    </w:p>
    <w:p w:rsidR="0055382A" w:rsidRPr="00A85774" w:rsidRDefault="00A07619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Olori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Meuwissen</w:t>
      </w:r>
      <w:proofErr w:type="spellEnd"/>
      <w:r>
        <w:rPr>
          <w:szCs w:val="24"/>
        </w:rPr>
        <w:t xml:space="preserve"> THE</w:t>
      </w:r>
      <w:r w:rsidRPr="00A85774">
        <w:rPr>
          <w:szCs w:val="24"/>
        </w:rPr>
        <w:t xml:space="preserve">, </w:t>
      </w:r>
      <w:r>
        <w:rPr>
          <w:szCs w:val="24"/>
        </w:rPr>
        <w:t xml:space="preserve">and </w:t>
      </w:r>
      <w:r w:rsidRPr="00A85774">
        <w:rPr>
          <w:szCs w:val="24"/>
        </w:rPr>
        <w:t>Veerkamp</w:t>
      </w:r>
      <w:r>
        <w:rPr>
          <w:szCs w:val="24"/>
        </w:rPr>
        <w:t xml:space="preserve"> RF. 2002. </w:t>
      </w:r>
      <w:r w:rsidR="0055382A" w:rsidRPr="00A85774">
        <w:rPr>
          <w:szCs w:val="24"/>
        </w:rPr>
        <w:t xml:space="preserve">Calving </w:t>
      </w:r>
      <w:r>
        <w:rPr>
          <w:szCs w:val="24"/>
        </w:rPr>
        <w:t>i</w:t>
      </w:r>
      <w:r w:rsidR="0055382A" w:rsidRPr="00A85774">
        <w:rPr>
          <w:szCs w:val="24"/>
        </w:rPr>
        <w:t xml:space="preserve">nterval and </w:t>
      </w:r>
      <w:r>
        <w:rPr>
          <w:szCs w:val="24"/>
        </w:rPr>
        <w:t>s</w:t>
      </w:r>
      <w:r w:rsidR="0055382A" w:rsidRPr="00A85774">
        <w:rPr>
          <w:szCs w:val="24"/>
        </w:rPr>
        <w:t xml:space="preserve">urvival </w:t>
      </w:r>
      <w:r>
        <w:rPr>
          <w:szCs w:val="24"/>
        </w:rPr>
        <w:t>b</w:t>
      </w:r>
      <w:r w:rsidR="0055382A" w:rsidRPr="00A85774">
        <w:rPr>
          <w:szCs w:val="24"/>
        </w:rPr>
        <w:t xml:space="preserve">reeding </w:t>
      </w:r>
      <w:r>
        <w:rPr>
          <w:szCs w:val="24"/>
        </w:rPr>
        <w:t>v</w:t>
      </w:r>
      <w:r w:rsidR="0055382A" w:rsidRPr="00A85774">
        <w:rPr>
          <w:szCs w:val="24"/>
        </w:rPr>
        <w:t xml:space="preserve">alues as </w:t>
      </w:r>
      <w:r>
        <w:rPr>
          <w:szCs w:val="24"/>
        </w:rPr>
        <w:t>m</w:t>
      </w:r>
      <w:r w:rsidR="0055382A" w:rsidRPr="00A85774">
        <w:rPr>
          <w:szCs w:val="24"/>
        </w:rPr>
        <w:t xml:space="preserve">easure of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ow </w:t>
      </w:r>
      <w:r>
        <w:rPr>
          <w:szCs w:val="24"/>
        </w:rPr>
        <w:t>f</w:t>
      </w:r>
      <w:r w:rsidR="0055382A" w:rsidRPr="00A85774">
        <w:rPr>
          <w:szCs w:val="24"/>
        </w:rPr>
        <w:t xml:space="preserve">ertility in a </w:t>
      </w:r>
      <w:r>
        <w:rPr>
          <w:szCs w:val="24"/>
        </w:rPr>
        <w:t>p</w:t>
      </w:r>
      <w:r w:rsidR="0055382A" w:rsidRPr="00A85774">
        <w:rPr>
          <w:szCs w:val="24"/>
        </w:rPr>
        <w:t>asture-</w:t>
      </w:r>
      <w:r>
        <w:rPr>
          <w:szCs w:val="24"/>
        </w:rPr>
        <w:t>b</w:t>
      </w:r>
      <w:r w:rsidR="0055382A" w:rsidRPr="00A85774">
        <w:rPr>
          <w:szCs w:val="24"/>
        </w:rPr>
        <w:t xml:space="preserve">ased </w:t>
      </w:r>
      <w:r>
        <w:rPr>
          <w:szCs w:val="24"/>
        </w:rPr>
        <w:t>p</w:t>
      </w:r>
      <w:r w:rsidR="0055382A" w:rsidRPr="00A85774">
        <w:rPr>
          <w:szCs w:val="24"/>
        </w:rPr>
        <w:t xml:space="preserve">roduction </w:t>
      </w:r>
      <w:r>
        <w:rPr>
          <w:szCs w:val="24"/>
        </w:rPr>
        <w:t>s</w:t>
      </w:r>
      <w:r w:rsidR="0055382A" w:rsidRPr="00A85774">
        <w:rPr>
          <w:szCs w:val="24"/>
        </w:rPr>
        <w:t xml:space="preserve">ystem with </w:t>
      </w:r>
      <w:r>
        <w:rPr>
          <w:szCs w:val="24"/>
        </w:rPr>
        <w:t>s</w:t>
      </w:r>
      <w:r w:rsidR="0055382A" w:rsidRPr="00A85774">
        <w:rPr>
          <w:szCs w:val="24"/>
        </w:rPr>
        <w:t xml:space="preserve">easonal </w:t>
      </w:r>
      <w:r>
        <w:rPr>
          <w:szCs w:val="24"/>
        </w:rPr>
        <w:t>c</w:t>
      </w:r>
      <w:r w:rsidR="0055382A" w:rsidRPr="00A85774">
        <w:rPr>
          <w:szCs w:val="24"/>
        </w:rPr>
        <w:t>alving</w:t>
      </w:r>
      <w:r>
        <w:rPr>
          <w:szCs w:val="24"/>
        </w:rPr>
        <w:t xml:space="preserve">. </w:t>
      </w:r>
      <w:r w:rsidR="0055382A" w:rsidRPr="00A85774">
        <w:rPr>
          <w:szCs w:val="24"/>
        </w:rPr>
        <w:t>Journal of Dairy Science, 85, 689-696</w:t>
      </w:r>
    </w:p>
    <w:p w:rsidR="0055382A" w:rsidRPr="00A85774" w:rsidRDefault="00A07619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Pozveh</w:t>
      </w:r>
      <w:proofErr w:type="spellEnd"/>
      <w:r>
        <w:rPr>
          <w:szCs w:val="24"/>
        </w:rPr>
        <w:t xml:space="preserve"> ST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Shadparvar</w:t>
      </w:r>
      <w:proofErr w:type="spellEnd"/>
      <w:r>
        <w:rPr>
          <w:szCs w:val="24"/>
        </w:rPr>
        <w:t xml:space="preserve"> AA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Shahrbabak</w:t>
      </w:r>
      <w:proofErr w:type="spellEnd"/>
      <w:r>
        <w:rPr>
          <w:szCs w:val="24"/>
        </w:rPr>
        <w:t xml:space="preserve"> MM</w:t>
      </w:r>
      <w:r w:rsidRPr="00A85774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A85774">
        <w:rPr>
          <w:szCs w:val="24"/>
        </w:rPr>
        <w:t>Taromsari</w:t>
      </w:r>
      <w:proofErr w:type="spellEnd"/>
      <w:r>
        <w:rPr>
          <w:szCs w:val="24"/>
        </w:rPr>
        <w:t xml:space="preserve"> MD</w:t>
      </w:r>
      <w:r w:rsidR="00761ABC">
        <w:rPr>
          <w:szCs w:val="24"/>
        </w:rPr>
        <w:t xml:space="preserve">. 2009. </w:t>
      </w:r>
      <w:r w:rsidR="0055382A" w:rsidRPr="00A85774">
        <w:rPr>
          <w:szCs w:val="24"/>
        </w:rPr>
        <w:t>Genetic analysis of reproduction traits and their relationship with confo</w:t>
      </w:r>
      <w:r w:rsidR="001503B6">
        <w:rPr>
          <w:szCs w:val="24"/>
        </w:rPr>
        <w:t xml:space="preserve">rmation traits in Holstein cows </w:t>
      </w:r>
      <w:r w:rsidR="0055382A" w:rsidRPr="00A85774">
        <w:rPr>
          <w:szCs w:val="24"/>
        </w:rPr>
        <w:t>Livestock Science, 125, 84-87</w:t>
      </w:r>
    </w:p>
    <w:p w:rsidR="0055382A" w:rsidRPr="00A85774" w:rsidRDefault="00761ABC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Pryce</w:t>
      </w:r>
      <w:r>
        <w:rPr>
          <w:szCs w:val="24"/>
        </w:rPr>
        <w:t xml:space="preserve"> JE</w:t>
      </w:r>
      <w:r w:rsidRPr="00A85774">
        <w:rPr>
          <w:szCs w:val="24"/>
        </w:rPr>
        <w:t>, Coffey</w:t>
      </w:r>
      <w:r>
        <w:rPr>
          <w:szCs w:val="24"/>
        </w:rPr>
        <w:t xml:space="preserve"> MP and</w:t>
      </w:r>
      <w:r w:rsidRPr="00A85774">
        <w:rPr>
          <w:szCs w:val="24"/>
        </w:rPr>
        <w:t xml:space="preserve"> </w:t>
      </w:r>
      <w:proofErr w:type="spellStart"/>
      <w:r w:rsidRPr="00A85774">
        <w:rPr>
          <w:szCs w:val="24"/>
        </w:rPr>
        <w:t>Brotherstone</w:t>
      </w:r>
      <w:proofErr w:type="spellEnd"/>
      <w:r>
        <w:rPr>
          <w:szCs w:val="24"/>
        </w:rPr>
        <w:t xml:space="preserve"> S. 2000. </w:t>
      </w:r>
      <w:r w:rsidR="0055382A" w:rsidRPr="00A85774">
        <w:rPr>
          <w:szCs w:val="24"/>
        </w:rPr>
        <w:t xml:space="preserve">The </w:t>
      </w:r>
      <w:r>
        <w:rPr>
          <w:szCs w:val="24"/>
        </w:rPr>
        <w:t>g</w:t>
      </w:r>
      <w:r w:rsidR="0055382A" w:rsidRPr="00A85774">
        <w:rPr>
          <w:szCs w:val="24"/>
        </w:rPr>
        <w:t xml:space="preserve">enetic </w:t>
      </w:r>
      <w:r>
        <w:rPr>
          <w:szCs w:val="24"/>
        </w:rPr>
        <w:t>r</w:t>
      </w:r>
      <w:r w:rsidR="0055382A" w:rsidRPr="00A85774">
        <w:rPr>
          <w:szCs w:val="24"/>
        </w:rPr>
        <w:t xml:space="preserve">elationship between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alving </w:t>
      </w:r>
      <w:r>
        <w:rPr>
          <w:szCs w:val="24"/>
        </w:rPr>
        <w:t>i</w:t>
      </w:r>
      <w:r w:rsidR="0055382A" w:rsidRPr="00A85774">
        <w:rPr>
          <w:szCs w:val="24"/>
        </w:rPr>
        <w:t xml:space="preserve">nterval, </w:t>
      </w:r>
      <w:r>
        <w:rPr>
          <w:szCs w:val="24"/>
        </w:rPr>
        <w:t>b</w:t>
      </w:r>
      <w:r w:rsidR="0055382A" w:rsidRPr="00A85774">
        <w:rPr>
          <w:szCs w:val="24"/>
        </w:rPr>
        <w:t xml:space="preserve">ody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ondition </w:t>
      </w:r>
      <w:r>
        <w:rPr>
          <w:szCs w:val="24"/>
        </w:rPr>
        <w:t>s</w:t>
      </w:r>
      <w:r w:rsidR="0055382A" w:rsidRPr="00A85774">
        <w:rPr>
          <w:szCs w:val="24"/>
        </w:rPr>
        <w:t xml:space="preserve">core and </w:t>
      </w:r>
      <w:r>
        <w:rPr>
          <w:szCs w:val="24"/>
        </w:rPr>
        <w:t>l</w:t>
      </w:r>
      <w:r w:rsidR="0055382A" w:rsidRPr="00A85774">
        <w:rPr>
          <w:szCs w:val="24"/>
        </w:rPr>
        <w:t xml:space="preserve">inear </w:t>
      </w:r>
      <w:r>
        <w:rPr>
          <w:szCs w:val="24"/>
        </w:rPr>
        <w:t>t</w:t>
      </w:r>
      <w:r w:rsidR="0055382A" w:rsidRPr="00A85774">
        <w:rPr>
          <w:szCs w:val="24"/>
        </w:rPr>
        <w:t xml:space="preserve">ype and </w:t>
      </w:r>
      <w:r>
        <w:rPr>
          <w:szCs w:val="24"/>
        </w:rPr>
        <w:t>m</w:t>
      </w:r>
      <w:r w:rsidR="0055382A" w:rsidRPr="00A85774">
        <w:rPr>
          <w:szCs w:val="24"/>
        </w:rPr>
        <w:t xml:space="preserve">anagement </w:t>
      </w:r>
      <w:r>
        <w:rPr>
          <w:szCs w:val="24"/>
        </w:rPr>
        <w:t>t</w:t>
      </w:r>
      <w:r w:rsidR="0055382A" w:rsidRPr="00A85774">
        <w:rPr>
          <w:szCs w:val="24"/>
        </w:rPr>
        <w:t xml:space="preserve">raits in </w:t>
      </w:r>
      <w:r>
        <w:rPr>
          <w:szCs w:val="24"/>
        </w:rPr>
        <w:t xml:space="preserve">registered Holsteins. </w:t>
      </w:r>
      <w:r w:rsidR="0055382A" w:rsidRPr="00A85774">
        <w:rPr>
          <w:szCs w:val="24"/>
        </w:rPr>
        <w:t>Journal of Dairy Science, 83, 2664-2671</w:t>
      </w:r>
    </w:p>
    <w:p w:rsidR="0055382A" w:rsidRPr="00A85774" w:rsidRDefault="00761ABC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Pryce</w:t>
      </w:r>
      <w:r>
        <w:rPr>
          <w:szCs w:val="24"/>
        </w:rPr>
        <w:t xml:space="preserve"> JE</w:t>
      </w:r>
      <w:r w:rsidRPr="00A85774">
        <w:rPr>
          <w:szCs w:val="24"/>
        </w:rPr>
        <w:t>, Coffey</w:t>
      </w:r>
      <w:r>
        <w:rPr>
          <w:szCs w:val="24"/>
        </w:rPr>
        <w:t xml:space="preserve"> MP, </w:t>
      </w:r>
      <w:proofErr w:type="spellStart"/>
      <w:r w:rsidRPr="00A85774">
        <w:rPr>
          <w:szCs w:val="24"/>
        </w:rPr>
        <w:t>Brotherstone</w:t>
      </w:r>
      <w:proofErr w:type="spellEnd"/>
      <w:r>
        <w:rPr>
          <w:szCs w:val="24"/>
        </w:rPr>
        <w:t xml:space="preserve"> S</w:t>
      </w:r>
      <w:r w:rsidRPr="00A85774">
        <w:rPr>
          <w:szCs w:val="24"/>
        </w:rPr>
        <w:t xml:space="preserve"> </w:t>
      </w:r>
      <w:r>
        <w:rPr>
          <w:szCs w:val="24"/>
        </w:rPr>
        <w:t xml:space="preserve">and </w:t>
      </w:r>
      <w:proofErr w:type="spellStart"/>
      <w:r>
        <w:rPr>
          <w:szCs w:val="24"/>
        </w:rPr>
        <w:t>Woolliams</w:t>
      </w:r>
      <w:proofErr w:type="spellEnd"/>
      <w:r>
        <w:rPr>
          <w:szCs w:val="24"/>
        </w:rPr>
        <w:t xml:space="preserve"> JA. 2002. </w:t>
      </w:r>
      <w:r w:rsidR="0055382A" w:rsidRPr="00A85774">
        <w:rPr>
          <w:szCs w:val="24"/>
        </w:rPr>
        <w:t xml:space="preserve">Genetic </w:t>
      </w:r>
      <w:r>
        <w:rPr>
          <w:szCs w:val="24"/>
        </w:rPr>
        <w:t>r</w:t>
      </w:r>
      <w:r w:rsidR="0055382A" w:rsidRPr="00A85774">
        <w:rPr>
          <w:szCs w:val="24"/>
        </w:rPr>
        <w:t xml:space="preserve">elationships </w:t>
      </w:r>
      <w:r>
        <w:rPr>
          <w:szCs w:val="24"/>
        </w:rPr>
        <w:t>b</w:t>
      </w:r>
      <w:r w:rsidR="0055382A" w:rsidRPr="00A85774">
        <w:rPr>
          <w:szCs w:val="24"/>
        </w:rPr>
        <w:t xml:space="preserve">etween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alving </w:t>
      </w:r>
      <w:r>
        <w:rPr>
          <w:szCs w:val="24"/>
        </w:rPr>
        <w:t>i</w:t>
      </w:r>
      <w:r w:rsidR="0055382A" w:rsidRPr="00A85774">
        <w:rPr>
          <w:szCs w:val="24"/>
        </w:rPr>
        <w:t xml:space="preserve">nterval and </w:t>
      </w:r>
      <w:r>
        <w:rPr>
          <w:szCs w:val="24"/>
        </w:rPr>
        <w:t>b</w:t>
      </w:r>
      <w:r w:rsidR="0055382A" w:rsidRPr="00A85774">
        <w:rPr>
          <w:szCs w:val="24"/>
        </w:rPr>
        <w:t xml:space="preserve">ody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ondition </w:t>
      </w:r>
      <w:r>
        <w:rPr>
          <w:szCs w:val="24"/>
        </w:rPr>
        <w:t>s</w:t>
      </w:r>
      <w:r w:rsidR="0055382A" w:rsidRPr="00A85774">
        <w:rPr>
          <w:szCs w:val="24"/>
        </w:rPr>
        <w:t xml:space="preserve">core </w:t>
      </w:r>
      <w:r>
        <w:rPr>
          <w:szCs w:val="24"/>
        </w:rPr>
        <w:t>c</w:t>
      </w:r>
      <w:r w:rsidR="0055382A" w:rsidRPr="00A85774">
        <w:rPr>
          <w:szCs w:val="24"/>
        </w:rPr>
        <w:t xml:space="preserve">onditional on </w:t>
      </w:r>
      <w:r>
        <w:rPr>
          <w:szCs w:val="24"/>
        </w:rPr>
        <w:t>m</w:t>
      </w:r>
      <w:r w:rsidR="0055382A" w:rsidRPr="00A85774">
        <w:rPr>
          <w:szCs w:val="24"/>
        </w:rPr>
        <w:t xml:space="preserve">ilk </w:t>
      </w:r>
      <w:r>
        <w:rPr>
          <w:szCs w:val="24"/>
        </w:rPr>
        <w:t>y</w:t>
      </w:r>
      <w:r w:rsidR="0055382A" w:rsidRPr="00A85774">
        <w:rPr>
          <w:szCs w:val="24"/>
        </w:rPr>
        <w:t>ield</w:t>
      </w:r>
      <w:r>
        <w:rPr>
          <w:szCs w:val="24"/>
        </w:rPr>
        <w:t>.</w:t>
      </w:r>
      <w:r w:rsidR="0055382A" w:rsidRPr="00A85774">
        <w:rPr>
          <w:szCs w:val="24"/>
        </w:rPr>
        <w:t xml:space="preserve"> </w:t>
      </w:r>
      <w:r>
        <w:rPr>
          <w:szCs w:val="24"/>
        </w:rPr>
        <w:t>Journal of Dairy Science.</w:t>
      </w:r>
      <w:r w:rsidR="0055382A" w:rsidRPr="00A85774">
        <w:rPr>
          <w:szCs w:val="24"/>
        </w:rPr>
        <w:t xml:space="preserve"> 85, 1590-1595</w:t>
      </w:r>
    </w:p>
    <w:p w:rsidR="004547E3" w:rsidRPr="00A85774" w:rsidRDefault="0055382A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Pryce</w:t>
      </w:r>
      <w:r w:rsidR="002C69DF">
        <w:rPr>
          <w:szCs w:val="24"/>
        </w:rPr>
        <w:t xml:space="preserve"> JE</w:t>
      </w:r>
      <w:r w:rsidRPr="00A85774">
        <w:rPr>
          <w:szCs w:val="24"/>
        </w:rPr>
        <w:t>, Coffey</w:t>
      </w:r>
      <w:r w:rsidR="002C69DF">
        <w:rPr>
          <w:szCs w:val="24"/>
        </w:rPr>
        <w:t xml:space="preserve"> MP and</w:t>
      </w:r>
      <w:r w:rsidRPr="00A85774">
        <w:rPr>
          <w:szCs w:val="24"/>
        </w:rPr>
        <w:t xml:space="preserve"> </w:t>
      </w:r>
      <w:proofErr w:type="spellStart"/>
      <w:r w:rsidRPr="00A85774">
        <w:rPr>
          <w:szCs w:val="24"/>
        </w:rPr>
        <w:t>Simm</w:t>
      </w:r>
      <w:proofErr w:type="spellEnd"/>
      <w:r w:rsidR="002C69DF">
        <w:rPr>
          <w:szCs w:val="24"/>
        </w:rPr>
        <w:t xml:space="preserve"> G</w:t>
      </w:r>
      <w:r w:rsidRPr="00A85774">
        <w:rPr>
          <w:szCs w:val="24"/>
        </w:rPr>
        <w:t xml:space="preserve">. 2001. </w:t>
      </w:r>
      <w:r w:rsidR="004547E3" w:rsidRPr="00A85774">
        <w:rPr>
          <w:szCs w:val="24"/>
        </w:rPr>
        <w:t xml:space="preserve">The </w:t>
      </w:r>
      <w:r w:rsidR="002C69DF">
        <w:rPr>
          <w:szCs w:val="24"/>
        </w:rPr>
        <w:t>r</w:t>
      </w:r>
      <w:r w:rsidR="004547E3" w:rsidRPr="00A85774">
        <w:rPr>
          <w:szCs w:val="24"/>
        </w:rPr>
        <w:t xml:space="preserve">elationship </w:t>
      </w:r>
      <w:r w:rsidR="002C69DF">
        <w:rPr>
          <w:szCs w:val="24"/>
        </w:rPr>
        <w:t>b</w:t>
      </w:r>
      <w:r w:rsidR="004547E3" w:rsidRPr="00A85774">
        <w:rPr>
          <w:szCs w:val="24"/>
        </w:rPr>
        <w:t xml:space="preserve">etween </w:t>
      </w:r>
      <w:r w:rsidR="002C69DF">
        <w:rPr>
          <w:szCs w:val="24"/>
        </w:rPr>
        <w:t>b</w:t>
      </w:r>
      <w:r w:rsidR="004547E3" w:rsidRPr="00A85774">
        <w:rPr>
          <w:szCs w:val="24"/>
        </w:rPr>
        <w:t xml:space="preserve">ody </w:t>
      </w:r>
      <w:r w:rsidR="002C69DF">
        <w:rPr>
          <w:szCs w:val="24"/>
        </w:rPr>
        <w:t>c</w:t>
      </w:r>
      <w:r w:rsidR="004547E3" w:rsidRPr="00A85774">
        <w:rPr>
          <w:szCs w:val="24"/>
        </w:rPr>
        <w:t xml:space="preserve">ondition </w:t>
      </w:r>
      <w:r w:rsidR="002C69DF">
        <w:rPr>
          <w:szCs w:val="24"/>
        </w:rPr>
        <w:t>s</w:t>
      </w:r>
      <w:r w:rsidR="004547E3" w:rsidRPr="00A85774">
        <w:rPr>
          <w:szCs w:val="24"/>
        </w:rPr>
        <w:t xml:space="preserve">core and </w:t>
      </w:r>
      <w:r w:rsidR="002C69DF">
        <w:rPr>
          <w:szCs w:val="24"/>
        </w:rPr>
        <w:t>r</w:t>
      </w:r>
      <w:r w:rsidR="004547E3" w:rsidRPr="00A85774">
        <w:rPr>
          <w:szCs w:val="24"/>
        </w:rPr>
        <w:t xml:space="preserve">eproductive </w:t>
      </w:r>
      <w:r w:rsidR="002C69DF">
        <w:rPr>
          <w:szCs w:val="24"/>
        </w:rPr>
        <w:t>p</w:t>
      </w:r>
      <w:r w:rsidR="004547E3" w:rsidRPr="00A85774">
        <w:rPr>
          <w:szCs w:val="24"/>
        </w:rPr>
        <w:t>erformance</w:t>
      </w:r>
      <w:r w:rsidR="002C69DF">
        <w:rPr>
          <w:szCs w:val="24"/>
        </w:rPr>
        <w:t>.</w:t>
      </w:r>
      <w:r w:rsidR="004547E3" w:rsidRPr="00A85774">
        <w:rPr>
          <w:szCs w:val="24"/>
        </w:rPr>
        <w:t xml:space="preserve"> Journal of Dairy Science, 84, 1508-1515</w:t>
      </w:r>
    </w:p>
    <w:p w:rsidR="0055382A" w:rsidRPr="00A85774" w:rsidRDefault="002C69DF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Royal</w:t>
      </w:r>
      <w:r>
        <w:rPr>
          <w:szCs w:val="24"/>
        </w:rPr>
        <w:t xml:space="preserve"> MD</w:t>
      </w:r>
      <w:r w:rsidRPr="00A85774">
        <w:rPr>
          <w:szCs w:val="24"/>
        </w:rPr>
        <w:t>, Flint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APF</w:t>
      </w:r>
      <w:proofErr w:type="spellEnd"/>
      <w:r w:rsidRPr="00A85774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A85774">
        <w:rPr>
          <w:szCs w:val="24"/>
        </w:rPr>
        <w:t>Woolliams</w:t>
      </w:r>
      <w:proofErr w:type="spellEnd"/>
      <w:r>
        <w:rPr>
          <w:szCs w:val="24"/>
        </w:rPr>
        <w:t xml:space="preserve"> JA. 2002. </w:t>
      </w:r>
      <w:r w:rsidR="0055382A" w:rsidRPr="00A85774">
        <w:rPr>
          <w:szCs w:val="24"/>
        </w:rPr>
        <w:t xml:space="preserve">Genetic and </w:t>
      </w:r>
      <w:r>
        <w:rPr>
          <w:szCs w:val="24"/>
        </w:rPr>
        <w:t>p</w:t>
      </w:r>
      <w:r w:rsidR="0055382A" w:rsidRPr="00A85774">
        <w:rPr>
          <w:szCs w:val="24"/>
        </w:rPr>
        <w:t xml:space="preserve">henotypic </w:t>
      </w:r>
      <w:r>
        <w:rPr>
          <w:szCs w:val="24"/>
        </w:rPr>
        <w:t>r</w:t>
      </w:r>
      <w:r w:rsidR="0055382A" w:rsidRPr="00A85774">
        <w:rPr>
          <w:szCs w:val="24"/>
        </w:rPr>
        <w:t xml:space="preserve">elationships </w:t>
      </w:r>
      <w:r>
        <w:rPr>
          <w:szCs w:val="24"/>
        </w:rPr>
        <w:t>a</w:t>
      </w:r>
      <w:r w:rsidR="0055382A" w:rsidRPr="00A85774">
        <w:rPr>
          <w:szCs w:val="24"/>
        </w:rPr>
        <w:t xml:space="preserve">mong </w:t>
      </w:r>
      <w:r>
        <w:rPr>
          <w:szCs w:val="24"/>
        </w:rPr>
        <w:t>e</w:t>
      </w:r>
      <w:r w:rsidR="0055382A" w:rsidRPr="00A85774">
        <w:rPr>
          <w:szCs w:val="24"/>
        </w:rPr>
        <w:t xml:space="preserve">ndocrine and </w:t>
      </w:r>
      <w:r>
        <w:rPr>
          <w:szCs w:val="24"/>
        </w:rPr>
        <w:t>t</w:t>
      </w:r>
      <w:r w:rsidR="0055382A" w:rsidRPr="00A85774">
        <w:rPr>
          <w:szCs w:val="24"/>
        </w:rPr>
        <w:t xml:space="preserve">raditional </w:t>
      </w:r>
      <w:r>
        <w:rPr>
          <w:szCs w:val="24"/>
        </w:rPr>
        <w:t>f</w:t>
      </w:r>
      <w:r w:rsidR="0055382A" w:rsidRPr="00A85774">
        <w:rPr>
          <w:szCs w:val="24"/>
        </w:rPr>
        <w:t xml:space="preserve">ertility </w:t>
      </w:r>
      <w:r>
        <w:rPr>
          <w:szCs w:val="24"/>
        </w:rPr>
        <w:t>t</w:t>
      </w:r>
      <w:r w:rsidR="0055382A" w:rsidRPr="00A85774">
        <w:rPr>
          <w:szCs w:val="24"/>
        </w:rPr>
        <w:t xml:space="preserve">raits and </w:t>
      </w:r>
      <w:r>
        <w:rPr>
          <w:szCs w:val="24"/>
        </w:rPr>
        <w:t>p</w:t>
      </w:r>
      <w:r w:rsidR="0055382A" w:rsidRPr="00A85774">
        <w:rPr>
          <w:szCs w:val="24"/>
        </w:rPr>
        <w:t xml:space="preserve">roduction </w:t>
      </w:r>
      <w:r>
        <w:rPr>
          <w:szCs w:val="24"/>
        </w:rPr>
        <w:t>t</w:t>
      </w:r>
      <w:r w:rsidR="0055382A" w:rsidRPr="00A85774">
        <w:rPr>
          <w:szCs w:val="24"/>
        </w:rPr>
        <w:t xml:space="preserve">raits in Holstein-Friesian </w:t>
      </w:r>
      <w:r>
        <w:rPr>
          <w:szCs w:val="24"/>
        </w:rPr>
        <w:t>d</w:t>
      </w:r>
      <w:r w:rsidR="0055382A" w:rsidRPr="00A85774">
        <w:rPr>
          <w:szCs w:val="24"/>
        </w:rPr>
        <w:t xml:space="preserve">airy </w:t>
      </w:r>
      <w:r>
        <w:rPr>
          <w:szCs w:val="24"/>
        </w:rPr>
        <w:t>c</w:t>
      </w:r>
      <w:r w:rsidR="0055382A" w:rsidRPr="00A85774">
        <w:rPr>
          <w:szCs w:val="24"/>
        </w:rPr>
        <w:t>ows</w:t>
      </w:r>
      <w:r>
        <w:rPr>
          <w:szCs w:val="24"/>
        </w:rPr>
        <w:t>.</w:t>
      </w:r>
      <w:r w:rsidR="001503B6">
        <w:rPr>
          <w:szCs w:val="24"/>
        </w:rPr>
        <w:t xml:space="preserve"> </w:t>
      </w:r>
      <w:r>
        <w:rPr>
          <w:szCs w:val="24"/>
        </w:rPr>
        <w:t>Journal of Dairy Science.</w:t>
      </w:r>
      <w:r w:rsidR="0055382A" w:rsidRPr="00A85774">
        <w:rPr>
          <w:szCs w:val="24"/>
        </w:rPr>
        <w:t xml:space="preserve"> 85, 958-967</w:t>
      </w:r>
    </w:p>
    <w:p w:rsidR="0055382A" w:rsidRPr="00A85774" w:rsidRDefault="002C69DF" w:rsidP="001503B6">
      <w:pPr>
        <w:spacing w:before="240"/>
        <w:jc w:val="both"/>
        <w:rPr>
          <w:szCs w:val="24"/>
        </w:rPr>
      </w:pPr>
      <w:proofErr w:type="spellStart"/>
      <w:r w:rsidRPr="002C69DF">
        <w:rPr>
          <w:szCs w:val="24"/>
        </w:rPr>
        <w:t>Sewalem</w:t>
      </w:r>
      <w:proofErr w:type="spellEnd"/>
      <w:r>
        <w:rPr>
          <w:szCs w:val="24"/>
        </w:rPr>
        <w:t xml:space="preserve"> A</w:t>
      </w:r>
      <w:r w:rsidRPr="002C69DF">
        <w:rPr>
          <w:szCs w:val="24"/>
        </w:rPr>
        <w:t xml:space="preserve">, </w:t>
      </w:r>
      <w:proofErr w:type="spellStart"/>
      <w:r w:rsidRPr="002C69DF">
        <w:rPr>
          <w:szCs w:val="24"/>
        </w:rPr>
        <w:t>Kistemaker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GJ</w:t>
      </w:r>
      <w:proofErr w:type="spellEnd"/>
      <w:r w:rsidRPr="002C69DF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2C69DF">
        <w:rPr>
          <w:szCs w:val="24"/>
        </w:rPr>
        <w:t>Miglior</w:t>
      </w:r>
      <w:proofErr w:type="spellEnd"/>
      <w:r>
        <w:rPr>
          <w:szCs w:val="24"/>
        </w:rPr>
        <w:t xml:space="preserve"> F. 2010. </w:t>
      </w:r>
      <w:r w:rsidR="0055382A" w:rsidRPr="00A85774">
        <w:rPr>
          <w:szCs w:val="24"/>
        </w:rPr>
        <w:t>Relationship between female fertility and production traits in Canadian Holsteins</w:t>
      </w:r>
      <w:r>
        <w:rPr>
          <w:szCs w:val="24"/>
        </w:rPr>
        <w:t xml:space="preserve">. </w:t>
      </w:r>
      <w:r w:rsidR="0055382A" w:rsidRPr="00A85774">
        <w:rPr>
          <w:szCs w:val="24"/>
        </w:rPr>
        <w:t>Journal of Dairy Science, 93, 4427-4434</w:t>
      </w:r>
    </w:p>
    <w:p w:rsidR="0055382A" w:rsidRPr="00A85774" w:rsidRDefault="001503B6" w:rsidP="001503B6">
      <w:pPr>
        <w:spacing w:before="240"/>
        <w:jc w:val="both"/>
        <w:rPr>
          <w:szCs w:val="24"/>
        </w:rPr>
      </w:pPr>
      <w:r>
        <w:rPr>
          <w:szCs w:val="24"/>
        </w:rPr>
        <w:t>Sun</w:t>
      </w:r>
      <w:r w:rsidR="007B0B0B" w:rsidRPr="00A85774">
        <w:rPr>
          <w:szCs w:val="24"/>
        </w:rPr>
        <w:t xml:space="preserve"> G</w:t>
      </w:r>
      <w:r>
        <w:rPr>
          <w:szCs w:val="24"/>
        </w:rPr>
        <w:t xml:space="preserve">, and </w:t>
      </w:r>
      <w:r w:rsidR="007B0B0B" w:rsidRPr="00A85774">
        <w:rPr>
          <w:szCs w:val="24"/>
        </w:rPr>
        <w:t>Su</w:t>
      </w:r>
      <w:r>
        <w:rPr>
          <w:szCs w:val="24"/>
        </w:rPr>
        <w:t xml:space="preserve"> G</w:t>
      </w:r>
      <w:r w:rsidR="007B0B0B" w:rsidRPr="00A85774">
        <w:rPr>
          <w:szCs w:val="24"/>
        </w:rPr>
        <w:t xml:space="preserve">. 2010. </w:t>
      </w:r>
      <w:r w:rsidR="0055382A" w:rsidRPr="00A85774">
        <w:rPr>
          <w:szCs w:val="24"/>
        </w:rPr>
        <w:t>Comparison on models for genetic evaluation of non-return rate and success</w:t>
      </w:r>
      <w:r w:rsidR="007B0B0B">
        <w:rPr>
          <w:szCs w:val="24"/>
        </w:rPr>
        <w:t xml:space="preserve"> </w:t>
      </w:r>
      <w:r w:rsidR="0055382A" w:rsidRPr="00A85774">
        <w:rPr>
          <w:szCs w:val="24"/>
        </w:rPr>
        <w:t>in first insemination of the Danish Holstein cows</w:t>
      </w:r>
      <w:r w:rsidR="007B0B0B">
        <w:rPr>
          <w:szCs w:val="24"/>
        </w:rPr>
        <w:t xml:space="preserve">. Livestock Science 127, </w:t>
      </w:r>
      <w:r w:rsidR="0055382A" w:rsidRPr="00A85774">
        <w:rPr>
          <w:szCs w:val="24"/>
        </w:rPr>
        <w:t>205–210</w:t>
      </w:r>
    </w:p>
    <w:p w:rsidR="0024261C" w:rsidRPr="00A85774" w:rsidRDefault="007B0B0B" w:rsidP="001503B6">
      <w:pPr>
        <w:spacing w:before="240"/>
        <w:jc w:val="both"/>
        <w:rPr>
          <w:szCs w:val="24"/>
        </w:rPr>
      </w:pPr>
      <w:proofErr w:type="spellStart"/>
      <w:r w:rsidRPr="00A85774">
        <w:rPr>
          <w:szCs w:val="24"/>
        </w:rPr>
        <w:t>VanRaden</w:t>
      </w:r>
      <w:proofErr w:type="spellEnd"/>
      <w:r>
        <w:rPr>
          <w:szCs w:val="24"/>
        </w:rPr>
        <w:t xml:space="preserve"> PM</w:t>
      </w:r>
      <w:r w:rsidRPr="00A85774">
        <w:rPr>
          <w:szCs w:val="24"/>
        </w:rPr>
        <w:t>, Sanders</w:t>
      </w:r>
      <w:r>
        <w:rPr>
          <w:szCs w:val="24"/>
        </w:rPr>
        <w:t xml:space="preserve"> AH</w:t>
      </w:r>
      <w:r w:rsidRPr="00A85774">
        <w:rPr>
          <w:szCs w:val="24"/>
        </w:rPr>
        <w:t xml:space="preserve">, </w:t>
      </w:r>
      <w:proofErr w:type="spellStart"/>
      <w:r w:rsidRPr="00A85774">
        <w:rPr>
          <w:szCs w:val="24"/>
        </w:rPr>
        <w:t>Tooker</w:t>
      </w:r>
      <w:proofErr w:type="spellEnd"/>
      <w:r>
        <w:rPr>
          <w:szCs w:val="24"/>
        </w:rPr>
        <w:t xml:space="preserve"> ME</w:t>
      </w:r>
      <w:r w:rsidRPr="00A85774">
        <w:rPr>
          <w:szCs w:val="24"/>
        </w:rPr>
        <w:t>, Miller</w:t>
      </w:r>
      <w:r>
        <w:rPr>
          <w:szCs w:val="24"/>
        </w:rPr>
        <w:t xml:space="preserve"> RH</w:t>
      </w:r>
      <w:r w:rsidRPr="00A85774">
        <w:rPr>
          <w:szCs w:val="24"/>
        </w:rPr>
        <w:t>, Norman</w:t>
      </w:r>
      <w:r>
        <w:rPr>
          <w:szCs w:val="24"/>
        </w:rPr>
        <w:t xml:space="preserve"> HD</w:t>
      </w:r>
      <w:r w:rsidRPr="00A85774">
        <w:rPr>
          <w:szCs w:val="24"/>
        </w:rPr>
        <w:t>, Kuhn</w:t>
      </w:r>
      <w:r>
        <w:rPr>
          <w:szCs w:val="24"/>
        </w:rPr>
        <w:t xml:space="preserve"> MT</w:t>
      </w:r>
      <w:r w:rsidRPr="00A85774">
        <w:rPr>
          <w:szCs w:val="24"/>
        </w:rPr>
        <w:t xml:space="preserve">, </w:t>
      </w:r>
      <w:r>
        <w:rPr>
          <w:szCs w:val="24"/>
        </w:rPr>
        <w:t xml:space="preserve">and </w:t>
      </w:r>
      <w:proofErr w:type="spellStart"/>
      <w:r w:rsidRPr="00A85774">
        <w:rPr>
          <w:szCs w:val="24"/>
        </w:rPr>
        <w:t>Wiggans</w:t>
      </w:r>
      <w:proofErr w:type="spellEnd"/>
      <w:r>
        <w:rPr>
          <w:szCs w:val="24"/>
        </w:rPr>
        <w:t xml:space="preserve"> GR. 2004. </w:t>
      </w:r>
      <w:r w:rsidR="0024261C" w:rsidRPr="00A85774">
        <w:rPr>
          <w:szCs w:val="24"/>
        </w:rPr>
        <w:t xml:space="preserve">Development of a </w:t>
      </w:r>
      <w:r>
        <w:rPr>
          <w:szCs w:val="24"/>
        </w:rPr>
        <w:t>n</w:t>
      </w:r>
      <w:r w:rsidR="0024261C" w:rsidRPr="00A85774">
        <w:rPr>
          <w:szCs w:val="24"/>
        </w:rPr>
        <w:t xml:space="preserve">ational </w:t>
      </w:r>
      <w:r>
        <w:rPr>
          <w:szCs w:val="24"/>
        </w:rPr>
        <w:t>g</w:t>
      </w:r>
      <w:r w:rsidR="0024261C" w:rsidRPr="00A85774">
        <w:rPr>
          <w:szCs w:val="24"/>
        </w:rPr>
        <w:t xml:space="preserve">enetic </w:t>
      </w:r>
      <w:r>
        <w:rPr>
          <w:szCs w:val="24"/>
        </w:rPr>
        <w:t>e</w:t>
      </w:r>
      <w:r w:rsidR="0024261C" w:rsidRPr="00A85774">
        <w:rPr>
          <w:szCs w:val="24"/>
        </w:rPr>
        <w:t xml:space="preserve">valuation for </w:t>
      </w:r>
      <w:r>
        <w:rPr>
          <w:szCs w:val="24"/>
        </w:rPr>
        <w:t>c</w:t>
      </w:r>
      <w:r w:rsidR="0024261C" w:rsidRPr="00A85774">
        <w:rPr>
          <w:szCs w:val="24"/>
        </w:rPr>
        <w:t xml:space="preserve">ow </w:t>
      </w:r>
      <w:r>
        <w:rPr>
          <w:szCs w:val="24"/>
        </w:rPr>
        <w:t>f</w:t>
      </w:r>
      <w:r w:rsidR="0024261C" w:rsidRPr="00A85774">
        <w:rPr>
          <w:szCs w:val="24"/>
        </w:rPr>
        <w:t>ertility</w:t>
      </w:r>
      <w:r>
        <w:rPr>
          <w:szCs w:val="24"/>
        </w:rPr>
        <w:t xml:space="preserve">. </w:t>
      </w:r>
      <w:r w:rsidR="0024261C" w:rsidRPr="00A85774">
        <w:rPr>
          <w:szCs w:val="24"/>
        </w:rPr>
        <w:t>Journal of Dairy Science</w:t>
      </w:r>
      <w:r>
        <w:rPr>
          <w:szCs w:val="24"/>
        </w:rPr>
        <w:t xml:space="preserve">. </w:t>
      </w:r>
      <w:r w:rsidR="0024261C" w:rsidRPr="00A85774">
        <w:rPr>
          <w:szCs w:val="24"/>
        </w:rPr>
        <w:t xml:space="preserve"> 87, 2285-2292</w:t>
      </w:r>
    </w:p>
    <w:p w:rsidR="0055382A" w:rsidRPr="00A85774" w:rsidRDefault="0055382A" w:rsidP="001503B6">
      <w:pPr>
        <w:pStyle w:val="Corpsdetexte"/>
        <w:spacing w:before="240"/>
        <w:jc w:val="both"/>
        <w:rPr>
          <w:lang w:val="en-GB"/>
        </w:rPr>
      </w:pPr>
      <w:r w:rsidRPr="00A85774">
        <w:rPr>
          <w:lang w:val="nl-NL"/>
        </w:rPr>
        <w:t>Veerkamp RF</w:t>
      </w:r>
      <w:r w:rsidR="007B0B0B">
        <w:rPr>
          <w:lang w:val="nl-NL"/>
        </w:rPr>
        <w:t>, Koenen</w:t>
      </w:r>
      <w:r w:rsidRPr="00A85774">
        <w:rPr>
          <w:lang w:val="nl-NL"/>
        </w:rPr>
        <w:t xml:space="preserve"> EPC, and De Jong G. 2001. </w:t>
      </w:r>
      <w:r w:rsidRPr="00A85774">
        <w:t>Genetic correlations among body condition score, yield, and fertility in first-parity cows estimated by random regression models. Journal of Dairy Science</w:t>
      </w:r>
      <w:r w:rsidRPr="00A85774">
        <w:rPr>
          <w:lang w:val="en-GB"/>
        </w:rPr>
        <w:t xml:space="preserve"> 84</w:t>
      </w:r>
      <w:r w:rsidR="007B0B0B">
        <w:rPr>
          <w:lang w:val="en-GB"/>
        </w:rPr>
        <w:t>,</w:t>
      </w:r>
      <w:r w:rsidRPr="00A85774">
        <w:rPr>
          <w:lang w:val="en-GB"/>
        </w:rPr>
        <w:t xml:space="preserve"> 2327-2335.</w:t>
      </w:r>
    </w:p>
    <w:p w:rsidR="0055382A" w:rsidRPr="00A85774" w:rsidRDefault="0055382A" w:rsidP="001503B6">
      <w:pPr>
        <w:pStyle w:val="Corpsdetexte"/>
        <w:spacing w:before="240"/>
        <w:jc w:val="both"/>
        <w:rPr>
          <w:lang w:val="en-GB"/>
        </w:rPr>
      </w:pPr>
      <w:r w:rsidRPr="00A85774">
        <w:rPr>
          <w:lang w:val="en-GB"/>
        </w:rPr>
        <w:t xml:space="preserve">Wall E, </w:t>
      </w:r>
      <w:proofErr w:type="spellStart"/>
      <w:r w:rsidRPr="00A85774">
        <w:rPr>
          <w:lang w:val="en-GB"/>
        </w:rPr>
        <w:t>Brotherstone</w:t>
      </w:r>
      <w:proofErr w:type="spellEnd"/>
      <w:r w:rsidRPr="00A85774">
        <w:rPr>
          <w:lang w:val="en-GB"/>
        </w:rPr>
        <w:t xml:space="preserve"> S, </w:t>
      </w:r>
      <w:proofErr w:type="spellStart"/>
      <w:r w:rsidRPr="00A85774">
        <w:rPr>
          <w:lang w:val="en-GB"/>
        </w:rPr>
        <w:t>Woolliams</w:t>
      </w:r>
      <w:proofErr w:type="spellEnd"/>
      <w:r w:rsidRPr="00A85774">
        <w:rPr>
          <w:lang w:val="en-GB"/>
        </w:rPr>
        <w:t xml:space="preserve"> </w:t>
      </w:r>
      <w:proofErr w:type="spellStart"/>
      <w:r w:rsidRPr="00A85774">
        <w:rPr>
          <w:lang w:val="en-GB"/>
        </w:rPr>
        <w:t>J</w:t>
      </w:r>
      <w:r w:rsidR="007B0B0B">
        <w:rPr>
          <w:lang w:val="en-GB"/>
        </w:rPr>
        <w:t>A</w:t>
      </w:r>
      <w:proofErr w:type="spellEnd"/>
      <w:r w:rsidRPr="00A85774">
        <w:rPr>
          <w:lang w:val="en-GB"/>
        </w:rPr>
        <w:t xml:space="preserve">, </w:t>
      </w:r>
      <w:proofErr w:type="spellStart"/>
      <w:r w:rsidRPr="00A85774">
        <w:rPr>
          <w:lang w:val="en-GB"/>
        </w:rPr>
        <w:t>Banos</w:t>
      </w:r>
      <w:proofErr w:type="spellEnd"/>
      <w:r w:rsidRPr="00A85774">
        <w:rPr>
          <w:lang w:val="en-GB"/>
        </w:rPr>
        <w:t xml:space="preserve"> G, and Coffey MP 2003. Genetic evaluation of fertility using direct and correlated traits. </w:t>
      </w:r>
      <w:r w:rsidRPr="00A85774">
        <w:t>Journal of Dairy Science</w:t>
      </w:r>
      <w:r w:rsidRPr="00A85774">
        <w:rPr>
          <w:lang w:val="en-GB"/>
        </w:rPr>
        <w:t xml:space="preserve"> 86</w:t>
      </w:r>
      <w:r w:rsidR="007B0B0B">
        <w:rPr>
          <w:lang w:val="en-GB"/>
        </w:rPr>
        <w:t>,</w:t>
      </w:r>
      <w:r w:rsidRPr="00A85774">
        <w:rPr>
          <w:lang w:val="en-GB"/>
        </w:rPr>
        <w:t xml:space="preserve"> 4093-4102.</w:t>
      </w:r>
    </w:p>
    <w:p w:rsidR="0024261C" w:rsidRPr="00A85774" w:rsidRDefault="0024261C" w:rsidP="001503B6">
      <w:pPr>
        <w:pStyle w:val="Corpsdetexte"/>
        <w:spacing w:before="240"/>
        <w:jc w:val="both"/>
        <w:rPr>
          <w:lang w:val="en-GB"/>
        </w:rPr>
      </w:pPr>
      <w:r w:rsidRPr="00A85774">
        <w:rPr>
          <w:lang w:val="en-GB"/>
        </w:rPr>
        <w:t>Wall</w:t>
      </w:r>
      <w:r w:rsidR="007B0B0B">
        <w:rPr>
          <w:lang w:val="en-GB"/>
        </w:rPr>
        <w:t xml:space="preserve"> E</w:t>
      </w:r>
      <w:r w:rsidRPr="00A85774">
        <w:rPr>
          <w:lang w:val="en-GB"/>
        </w:rPr>
        <w:t>, White</w:t>
      </w:r>
      <w:r w:rsidR="007B0B0B">
        <w:rPr>
          <w:lang w:val="en-GB"/>
        </w:rPr>
        <w:t xml:space="preserve"> IMS</w:t>
      </w:r>
      <w:r w:rsidRPr="00A85774">
        <w:rPr>
          <w:lang w:val="en-GB"/>
        </w:rPr>
        <w:t>, Coffey</w:t>
      </w:r>
      <w:r w:rsidR="007B0B0B">
        <w:rPr>
          <w:lang w:val="en-GB"/>
        </w:rPr>
        <w:t xml:space="preserve"> MP</w:t>
      </w:r>
      <w:r w:rsidRPr="00A85774">
        <w:rPr>
          <w:lang w:val="en-GB"/>
        </w:rPr>
        <w:t xml:space="preserve">, </w:t>
      </w:r>
      <w:r w:rsidR="00EA4E96">
        <w:rPr>
          <w:lang w:val="en-GB"/>
        </w:rPr>
        <w:t xml:space="preserve">and </w:t>
      </w:r>
      <w:proofErr w:type="spellStart"/>
      <w:r w:rsidRPr="00A85774">
        <w:rPr>
          <w:lang w:val="en-GB"/>
        </w:rPr>
        <w:t>Brotherstone</w:t>
      </w:r>
      <w:proofErr w:type="spellEnd"/>
      <w:r w:rsidRPr="00A85774">
        <w:rPr>
          <w:lang w:val="en-GB"/>
        </w:rPr>
        <w:t xml:space="preserve"> </w:t>
      </w:r>
      <w:r w:rsidR="00EA4E96">
        <w:rPr>
          <w:lang w:val="en-GB"/>
        </w:rPr>
        <w:t xml:space="preserve">S. </w:t>
      </w:r>
      <w:r w:rsidRPr="00A85774">
        <w:rPr>
          <w:lang w:val="en-GB"/>
        </w:rPr>
        <w:t xml:space="preserve">2005. The </w:t>
      </w:r>
      <w:r w:rsidR="00EA4E96">
        <w:rPr>
          <w:lang w:val="en-GB"/>
        </w:rPr>
        <w:t>r</w:t>
      </w:r>
      <w:r w:rsidRPr="00A85774">
        <w:rPr>
          <w:lang w:val="en-GB"/>
        </w:rPr>
        <w:t xml:space="preserve">elationship </w:t>
      </w:r>
      <w:r w:rsidR="00EA4E96">
        <w:rPr>
          <w:lang w:val="en-GB"/>
        </w:rPr>
        <w:t>b</w:t>
      </w:r>
      <w:r w:rsidRPr="00A85774">
        <w:rPr>
          <w:lang w:val="en-GB"/>
        </w:rPr>
        <w:t xml:space="preserve">etween </w:t>
      </w:r>
      <w:r w:rsidR="00EA4E96">
        <w:rPr>
          <w:lang w:val="en-GB"/>
        </w:rPr>
        <w:t>f</w:t>
      </w:r>
      <w:r w:rsidRPr="00A85774">
        <w:rPr>
          <w:lang w:val="en-GB"/>
        </w:rPr>
        <w:t xml:space="preserve">ertility, </w:t>
      </w:r>
      <w:r w:rsidR="00EA4E96">
        <w:rPr>
          <w:lang w:val="en-GB"/>
        </w:rPr>
        <w:t>r</w:t>
      </w:r>
      <w:r w:rsidRPr="00A85774">
        <w:rPr>
          <w:lang w:val="en-GB"/>
        </w:rPr>
        <w:t xml:space="preserve">ump </w:t>
      </w:r>
      <w:r w:rsidR="00EA4E96">
        <w:rPr>
          <w:lang w:val="en-GB"/>
        </w:rPr>
        <w:t>a</w:t>
      </w:r>
      <w:r w:rsidRPr="00A85774">
        <w:rPr>
          <w:lang w:val="en-GB"/>
        </w:rPr>
        <w:t xml:space="preserve">ngle, and </w:t>
      </w:r>
      <w:r w:rsidR="00EA4E96">
        <w:rPr>
          <w:lang w:val="en-GB"/>
        </w:rPr>
        <w:t>s</w:t>
      </w:r>
      <w:r w:rsidRPr="00A85774">
        <w:rPr>
          <w:lang w:val="en-GB"/>
        </w:rPr>
        <w:t xml:space="preserve">elected </w:t>
      </w:r>
      <w:r w:rsidR="00EA4E96">
        <w:rPr>
          <w:lang w:val="en-GB"/>
        </w:rPr>
        <w:t>t</w:t>
      </w:r>
      <w:r w:rsidRPr="00A85774">
        <w:rPr>
          <w:lang w:val="en-GB"/>
        </w:rPr>
        <w:t xml:space="preserve">ype </w:t>
      </w:r>
      <w:r w:rsidR="00EA4E96">
        <w:rPr>
          <w:lang w:val="en-GB"/>
        </w:rPr>
        <w:t>i</w:t>
      </w:r>
      <w:r w:rsidRPr="00A85774">
        <w:rPr>
          <w:lang w:val="en-GB"/>
        </w:rPr>
        <w:t xml:space="preserve">nformation in Holstein-Friesian </w:t>
      </w:r>
      <w:r w:rsidR="00EA4E96">
        <w:rPr>
          <w:lang w:val="en-GB"/>
        </w:rPr>
        <w:t>c</w:t>
      </w:r>
      <w:r w:rsidRPr="00A85774">
        <w:rPr>
          <w:lang w:val="en-GB"/>
        </w:rPr>
        <w:t>ows</w:t>
      </w:r>
      <w:r w:rsidR="00EA4E96">
        <w:rPr>
          <w:lang w:val="en-GB"/>
        </w:rPr>
        <w:t>.</w:t>
      </w:r>
      <w:r w:rsidRPr="00A85774">
        <w:rPr>
          <w:lang w:val="en-GB"/>
        </w:rPr>
        <w:t xml:space="preserve"> </w:t>
      </w:r>
      <w:r w:rsidR="00EA4E96">
        <w:rPr>
          <w:lang w:val="en-GB"/>
        </w:rPr>
        <w:t>Journal of Dairy Science.</w:t>
      </w:r>
      <w:r w:rsidRPr="00A85774">
        <w:rPr>
          <w:lang w:val="en-GB"/>
        </w:rPr>
        <w:t xml:space="preserve"> 88, 1521-1528</w:t>
      </w:r>
    </w:p>
    <w:p w:rsidR="0024261C" w:rsidRDefault="00EA4E96" w:rsidP="001503B6">
      <w:pPr>
        <w:spacing w:before="240"/>
        <w:jc w:val="both"/>
        <w:rPr>
          <w:szCs w:val="24"/>
        </w:rPr>
      </w:pPr>
      <w:r w:rsidRPr="00A85774">
        <w:rPr>
          <w:szCs w:val="24"/>
        </w:rPr>
        <w:t>Zink</w:t>
      </w:r>
      <w:r>
        <w:rPr>
          <w:szCs w:val="24"/>
        </w:rPr>
        <w:t xml:space="preserve"> </w:t>
      </w:r>
      <w:r w:rsidRPr="00A85774">
        <w:rPr>
          <w:szCs w:val="24"/>
        </w:rPr>
        <w:t xml:space="preserve">V, </w:t>
      </w:r>
      <w:proofErr w:type="spellStart"/>
      <w:r w:rsidRPr="00A85774">
        <w:rPr>
          <w:szCs w:val="24"/>
        </w:rPr>
        <w:t>Štípková</w:t>
      </w:r>
      <w:proofErr w:type="spellEnd"/>
      <w:r>
        <w:rPr>
          <w:szCs w:val="24"/>
        </w:rPr>
        <w:t xml:space="preserve"> M</w:t>
      </w:r>
      <w:r w:rsidRPr="00A85774">
        <w:rPr>
          <w:szCs w:val="24"/>
        </w:rPr>
        <w:t xml:space="preserve">, </w:t>
      </w:r>
      <w:r>
        <w:rPr>
          <w:szCs w:val="24"/>
        </w:rPr>
        <w:t>and</w:t>
      </w:r>
      <w:r w:rsidRPr="00A85774">
        <w:rPr>
          <w:szCs w:val="24"/>
        </w:rPr>
        <w:t xml:space="preserve"> Lassen</w:t>
      </w:r>
      <w:r>
        <w:rPr>
          <w:szCs w:val="24"/>
        </w:rPr>
        <w:t xml:space="preserve"> J. 2011. </w:t>
      </w:r>
      <w:r w:rsidR="0024261C" w:rsidRPr="00A85774">
        <w:rPr>
          <w:szCs w:val="24"/>
        </w:rPr>
        <w:t xml:space="preserve">Genetic parameters for female fertility, locomotion, </w:t>
      </w:r>
      <w:r w:rsidR="001503B6">
        <w:rPr>
          <w:szCs w:val="24"/>
        </w:rPr>
        <w:lastRenderedPageBreak/>
        <w:t>b</w:t>
      </w:r>
      <w:r w:rsidR="0024261C" w:rsidRPr="00A85774">
        <w:rPr>
          <w:szCs w:val="24"/>
        </w:rPr>
        <w:t>ody condition score, and linear type traits in Czech Holstein c</w:t>
      </w:r>
      <w:r w:rsidR="001503B6">
        <w:rPr>
          <w:szCs w:val="24"/>
        </w:rPr>
        <w:t>attle J</w:t>
      </w:r>
      <w:r w:rsidR="0024261C" w:rsidRPr="00A85774">
        <w:rPr>
          <w:szCs w:val="24"/>
        </w:rPr>
        <w:t>ournal of Dairy Science</w:t>
      </w:r>
      <w:r>
        <w:rPr>
          <w:szCs w:val="24"/>
        </w:rPr>
        <w:t>.</w:t>
      </w:r>
      <w:r w:rsidR="0024261C" w:rsidRPr="00A85774">
        <w:rPr>
          <w:szCs w:val="24"/>
        </w:rPr>
        <w:t xml:space="preserve"> 94, 5176-5182</w:t>
      </w:r>
    </w:p>
    <w:p w:rsidR="008B14E6" w:rsidRDefault="008B14E6" w:rsidP="001503B6">
      <w:pPr>
        <w:spacing w:before="240"/>
        <w:jc w:val="both"/>
        <w:rPr>
          <w:szCs w:val="24"/>
        </w:rPr>
      </w:pPr>
      <w:bookmarkStart w:id="0" w:name="_GoBack"/>
      <w:bookmarkEnd w:id="0"/>
    </w:p>
    <w:sectPr w:rsidR="008B14E6" w:rsidSect="0089594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D65"/>
    <w:multiLevelType w:val="singleLevel"/>
    <w:tmpl w:val="E56A91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AB424FB"/>
    <w:multiLevelType w:val="hybridMultilevel"/>
    <w:tmpl w:val="C072635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1A5577"/>
    <w:rsid w:val="001503B6"/>
    <w:rsid w:val="001A5577"/>
    <w:rsid w:val="001E0203"/>
    <w:rsid w:val="0024261C"/>
    <w:rsid w:val="002C69DF"/>
    <w:rsid w:val="00343305"/>
    <w:rsid w:val="004547E3"/>
    <w:rsid w:val="00457386"/>
    <w:rsid w:val="004719E6"/>
    <w:rsid w:val="004E77ED"/>
    <w:rsid w:val="0055382A"/>
    <w:rsid w:val="0068481D"/>
    <w:rsid w:val="0072133B"/>
    <w:rsid w:val="00742C12"/>
    <w:rsid w:val="00761ABC"/>
    <w:rsid w:val="007B011B"/>
    <w:rsid w:val="007B0B0B"/>
    <w:rsid w:val="0089594F"/>
    <w:rsid w:val="008B14E6"/>
    <w:rsid w:val="0090400E"/>
    <w:rsid w:val="00A019D5"/>
    <w:rsid w:val="00A07619"/>
    <w:rsid w:val="00A631B4"/>
    <w:rsid w:val="00A81B3D"/>
    <w:rsid w:val="00A85774"/>
    <w:rsid w:val="00B7118C"/>
    <w:rsid w:val="00CF0359"/>
    <w:rsid w:val="00E6737B"/>
    <w:rsid w:val="00E749E0"/>
    <w:rsid w:val="00EA4E96"/>
    <w:rsid w:val="00ED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382A"/>
    <w:pPr>
      <w:widowControl/>
      <w:spacing w:after="120"/>
    </w:pPr>
    <w:rPr>
      <w:snapToGrid/>
      <w:szCs w:val="24"/>
    </w:rPr>
  </w:style>
  <w:style w:type="character" w:customStyle="1" w:styleId="CorpsdetexteCar">
    <w:name w:val="Corps de texte Car"/>
    <w:basedOn w:val="Policepardfaut"/>
    <w:link w:val="Corpsdetexte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631B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2A"/>
    <w:pPr>
      <w:ind w:left="720"/>
      <w:contextualSpacing/>
    </w:pPr>
  </w:style>
  <w:style w:type="paragraph" w:styleId="BodyText">
    <w:name w:val="Body Text"/>
    <w:basedOn w:val="Normal"/>
    <w:link w:val="BodyTextChar"/>
    <w:rsid w:val="0055382A"/>
    <w:pPr>
      <w:widowControl/>
      <w:spacing w:after="12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5538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1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1B4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707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63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335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9648">
                      <w:marLeft w:val="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27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7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5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1367">
                  <w:marLeft w:val="0"/>
                  <w:marRight w:val="0"/>
                  <w:marTop w:val="0"/>
                  <w:marBottom w:val="15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  <w:divsChild>
                    <w:div w:id="190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75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60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6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28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Donagh Berry</dc:creator>
  <cp:lastModifiedBy>Nadine Miraux</cp:lastModifiedBy>
  <cp:revision>2</cp:revision>
  <dcterms:created xsi:type="dcterms:W3CDTF">2014-03-10T09:00:00Z</dcterms:created>
  <dcterms:modified xsi:type="dcterms:W3CDTF">2014-03-10T09:00:00Z</dcterms:modified>
</cp:coreProperties>
</file>