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40CB9" w14:textId="4C075801" w:rsidR="00056956" w:rsidRPr="008C1175" w:rsidRDefault="0084704E" w:rsidP="008C1175">
      <w:pPr>
        <w:ind w:left="3600" w:firstLine="720"/>
        <w:rPr>
          <w:rFonts w:ascii="Times New Roman" w:hAnsi="Times New Roman"/>
          <w:b/>
        </w:rPr>
      </w:pPr>
      <w:bookmarkStart w:id="0" w:name="_GoBack"/>
      <w:bookmarkEnd w:id="0"/>
      <w:r w:rsidRPr="008C1175">
        <w:rPr>
          <w:rFonts w:ascii="Times New Roman" w:hAnsi="Times New Roman"/>
          <w:b/>
        </w:rPr>
        <w:t>Appendices</w:t>
      </w:r>
    </w:p>
    <w:p w14:paraId="1FF82B79" w14:textId="77777777" w:rsidR="0084704E" w:rsidRPr="008C1175" w:rsidRDefault="0084704E">
      <w:pPr>
        <w:rPr>
          <w:rFonts w:ascii="Times New Roman" w:hAnsi="Times New Roman"/>
        </w:rPr>
      </w:pPr>
    </w:p>
    <w:p w14:paraId="6A79EF7A" w14:textId="5271226C" w:rsidR="00056956" w:rsidRPr="008C1175" w:rsidRDefault="00056956">
      <w:pPr>
        <w:rPr>
          <w:rFonts w:ascii="Times New Roman" w:hAnsi="Times New Roman"/>
          <w:b/>
        </w:rPr>
      </w:pPr>
      <w:r w:rsidRPr="008C1175">
        <w:rPr>
          <w:rFonts w:ascii="Times New Roman" w:hAnsi="Times New Roman"/>
          <w:b/>
        </w:rPr>
        <w:t>Section 1: Description of Interviews</w:t>
      </w:r>
    </w:p>
    <w:p w14:paraId="48D2A749" w14:textId="77777777" w:rsidR="00A30566" w:rsidRPr="008C1175" w:rsidRDefault="00A30566">
      <w:pPr>
        <w:rPr>
          <w:rFonts w:ascii="Times New Roman" w:hAnsi="Times New Roman"/>
        </w:rPr>
      </w:pPr>
    </w:p>
    <w:p w14:paraId="315CB733" w14:textId="61E490DD" w:rsidR="004C60CE" w:rsidRPr="008C1175" w:rsidRDefault="00056956" w:rsidP="008C1175">
      <w:pPr>
        <w:widowControl w:val="0"/>
        <w:autoSpaceDE w:val="0"/>
        <w:autoSpaceDN w:val="0"/>
        <w:adjustRightInd w:val="0"/>
        <w:spacing w:after="240" w:line="320" w:lineRule="atLeast"/>
        <w:rPr>
          <w:rFonts w:ascii="Times New Roman" w:hAnsi="Times New Roman" w:cs="Times New Roman"/>
          <w:color w:val="000000"/>
          <w:szCs w:val="32"/>
        </w:rPr>
      </w:pPr>
      <w:r w:rsidRPr="008C1175">
        <w:rPr>
          <w:rFonts w:ascii="Times New Roman" w:hAnsi="Times New Roman"/>
        </w:rPr>
        <w:t>Interviews were conducted in July and august 2015 with staff and program directors at the Open Society Foundation, the Global Fund for Women and the Ford Foundation</w:t>
      </w:r>
      <w:r w:rsidRPr="008C1175">
        <w:rPr>
          <w:rFonts w:ascii="Times New Roman" w:hAnsi="Times New Roman" w:cs="Times New Roman"/>
          <w:color w:val="000000"/>
          <w:szCs w:val="32"/>
        </w:rPr>
        <w:t xml:space="preserve">, which differ in crucial dimensions but share a commitment to funding women’s programs around the world. </w:t>
      </w:r>
      <w:r w:rsidR="00FE0AFB" w:rsidRPr="008C1175">
        <w:rPr>
          <w:rFonts w:ascii="Times New Roman" w:hAnsi="Times New Roman" w:cs="Times New Roman"/>
          <w:color w:val="000000"/>
          <w:szCs w:val="32"/>
        </w:rPr>
        <w:t>Unfortunately, we were not able to arrange an interview with the Gates Foundation, wh</w:t>
      </w:r>
      <w:r w:rsidR="00A30566" w:rsidRPr="008C1175">
        <w:rPr>
          <w:rFonts w:ascii="Times New Roman" w:hAnsi="Times New Roman" w:cs="Times New Roman"/>
          <w:color w:val="000000"/>
          <w:szCs w:val="32"/>
        </w:rPr>
        <w:t>ich limits</w:t>
      </w:r>
      <w:r w:rsidR="00FE0AFB" w:rsidRPr="008C1175">
        <w:rPr>
          <w:rFonts w:ascii="Times New Roman" w:hAnsi="Times New Roman" w:cs="Times New Roman"/>
          <w:color w:val="000000"/>
          <w:szCs w:val="32"/>
        </w:rPr>
        <w:t xml:space="preserve"> our interview data</w:t>
      </w:r>
      <w:r w:rsidR="00A30566" w:rsidRPr="008C1175">
        <w:rPr>
          <w:rFonts w:ascii="Times New Roman" w:hAnsi="Times New Roman" w:cs="Times New Roman"/>
          <w:color w:val="000000"/>
          <w:szCs w:val="32"/>
        </w:rPr>
        <w:t>, a limit</w:t>
      </w:r>
      <w:r w:rsidR="00FE0AFB" w:rsidRPr="008C1175">
        <w:rPr>
          <w:rFonts w:ascii="Times New Roman" w:hAnsi="Times New Roman" w:cs="Times New Roman"/>
          <w:color w:val="000000"/>
          <w:szCs w:val="32"/>
        </w:rPr>
        <w:t xml:space="preserve"> we hope to remedy with our work moving forward.</w:t>
      </w:r>
    </w:p>
    <w:p w14:paraId="59425835" w14:textId="4CECEDC1" w:rsidR="00056956" w:rsidRPr="008C1175" w:rsidRDefault="00056956" w:rsidP="008C1175">
      <w:pPr>
        <w:widowControl w:val="0"/>
        <w:autoSpaceDE w:val="0"/>
        <w:autoSpaceDN w:val="0"/>
        <w:adjustRightInd w:val="0"/>
        <w:spacing w:after="240" w:line="320" w:lineRule="atLeast"/>
        <w:rPr>
          <w:rFonts w:ascii="Times New Roman" w:hAnsi="Times New Roman" w:cs="Times"/>
          <w:color w:val="000000"/>
        </w:rPr>
      </w:pPr>
      <w:r w:rsidRPr="008C1175">
        <w:rPr>
          <w:rFonts w:ascii="Times New Roman" w:hAnsi="Times New Roman" w:cs="Times New Roman"/>
          <w:color w:val="000000"/>
          <w:szCs w:val="32"/>
        </w:rPr>
        <w:t>Ford represents one of the oldest and largest US foundations, with an extensive portfolio of programs focused on women and gender equality beginning in the 1960s. For many years, Ford has been a top funder for programs targeting women and girls both inside and outside the United States. In 2012, for example, it provided almost $42 million in grants to women and girls outside the United States.</w:t>
      </w:r>
      <w:r w:rsidR="00D47B43" w:rsidRPr="008C1175">
        <w:rPr>
          <w:rFonts w:ascii="Times New Roman" w:hAnsi="Times New Roman" w:cs="Arial"/>
          <w:color w:val="0000FF"/>
          <w:szCs w:val="21"/>
        </w:rPr>
        <w:t xml:space="preserve"> </w:t>
      </w:r>
      <w:r w:rsidRPr="008C1175">
        <w:rPr>
          <w:rFonts w:ascii="Times New Roman" w:hAnsi="Times New Roman" w:cs="Times New Roman"/>
          <w:color w:val="000000"/>
          <w:szCs w:val="32"/>
        </w:rPr>
        <w:t>The Open Society Foundation (OSF) was established in 1979 and while women’s equality and empowerment were always an aspect of its programming, they were generally often approached as part of a larger strategy of support for civil society, human rights and democratic transitions. Although it only provided about $4.5 million to women and girls outside the United States in 2012, it is the world’s leader in funding for human rights, providing the most money and largest number of grants of any foundation. In 2011, the OSF funded more than 2,500 grants and spent more than $260 million</w:t>
      </w:r>
      <w:r w:rsidR="00FE0AFB" w:rsidRPr="008C1175">
        <w:rPr>
          <w:rFonts w:ascii="Times New Roman" w:hAnsi="Times New Roman" w:cs="Times New Roman"/>
          <w:color w:val="000000"/>
          <w:szCs w:val="32"/>
        </w:rPr>
        <w:t xml:space="preserve"> </w:t>
      </w:r>
      <w:r w:rsidR="00FE0AFB" w:rsidRPr="008C1175">
        <w:rPr>
          <w:rFonts w:ascii="Times New Roman" w:hAnsi="Times New Roman" w:cs="Times New Roman"/>
          <w:color w:val="000000"/>
          <w:szCs w:val="26"/>
        </w:rPr>
        <w:t>(</w:t>
      </w:r>
      <w:r w:rsidR="00D47B43" w:rsidRPr="008C1175">
        <w:rPr>
          <w:rFonts w:ascii="Times New Roman" w:hAnsi="Times New Roman" w:cs="Arial"/>
          <w:color w:val="0000FF"/>
          <w:szCs w:val="21"/>
        </w:rPr>
        <w:t>http://data.foundationcenter.org/#/fc1000/population_group:women_girls/international/top:foundations/bar:amount/2012</w:t>
      </w:r>
      <w:r w:rsidR="00D47B43" w:rsidRPr="008C1175">
        <w:rPr>
          <w:rFonts w:ascii="Times New Roman" w:hAnsi="Times New Roman" w:cs="Arial"/>
          <w:color w:val="535353"/>
          <w:szCs w:val="21"/>
        </w:rPr>
        <w:t xml:space="preserve">, </w:t>
      </w:r>
      <w:r w:rsidR="00D47B43" w:rsidRPr="008C1175">
        <w:rPr>
          <w:rFonts w:ascii="Times New Roman" w:hAnsi="Times New Roman" w:cs="Times New Roman"/>
          <w:color w:val="535353"/>
          <w:szCs w:val="26"/>
        </w:rPr>
        <w:t>accessed July 31, 2015</w:t>
      </w:r>
      <w:r w:rsidR="00FE0AFB" w:rsidRPr="008C1175">
        <w:rPr>
          <w:rFonts w:ascii="Times New Roman" w:hAnsi="Times New Roman" w:cs="Times New Roman"/>
          <w:color w:val="535353"/>
          <w:szCs w:val="26"/>
        </w:rPr>
        <w:t>)</w:t>
      </w:r>
      <w:r w:rsidR="00D47B43" w:rsidRPr="008C1175">
        <w:rPr>
          <w:rFonts w:ascii="Times New Roman" w:hAnsi="Times New Roman" w:cs="Times New Roman"/>
          <w:color w:val="535353"/>
          <w:szCs w:val="26"/>
        </w:rPr>
        <w:t xml:space="preserve">. </w:t>
      </w:r>
      <w:r w:rsidRPr="008C1175">
        <w:rPr>
          <w:rFonts w:ascii="Times New Roman" w:hAnsi="Times New Roman" w:cs="Times New Roman"/>
          <w:color w:val="000000"/>
          <w:szCs w:val="32"/>
        </w:rPr>
        <w:t>The Global Fund for Women was established by three women in 1987 for the sole purpose of funding women-led organizations globally and with a primary focus on conflict areas. In 2012, it provided almost $8 million in grants for women and girls.</w:t>
      </w:r>
      <w:r w:rsidR="00D47B43" w:rsidRPr="008C1175">
        <w:rPr>
          <w:rFonts w:ascii="Times New Roman" w:hAnsi="Times New Roman" w:cs="Times New Roman"/>
          <w:color w:val="000000"/>
          <w:szCs w:val="26"/>
        </w:rPr>
        <w:t xml:space="preserve"> </w:t>
      </w:r>
      <w:r w:rsidR="00FE0AFB" w:rsidRPr="008C1175">
        <w:rPr>
          <w:rFonts w:ascii="Times New Roman" w:hAnsi="Times New Roman" w:cs="Times New Roman"/>
          <w:color w:val="000000"/>
          <w:szCs w:val="26"/>
        </w:rPr>
        <w:t>(</w:t>
      </w:r>
      <w:r w:rsidR="00D47B43" w:rsidRPr="008C1175">
        <w:rPr>
          <w:rFonts w:ascii="Times New Roman" w:hAnsi="Times New Roman" w:cs="Times New Roman"/>
          <w:color w:val="000000"/>
          <w:szCs w:val="26"/>
        </w:rPr>
        <w:t xml:space="preserve">“Advancing Human Rights. Update on Global Foundation Grantmaking,” </w:t>
      </w:r>
      <w:r w:rsidR="00D47B43" w:rsidRPr="008C1175">
        <w:rPr>
          <w:rFonts w:ascii="Times New Roman" w:hAnsi="Times New Roman" w:cs="Times"/>
          <w:i/>
          <w:iCs/>
          <w:color w:val="000000"/>
          <w:szCs w:val="26"/>
        </w:rPr>
        <w:t xml:space="preserve">The Foundation Center 2014, 4-5. </w:t>
      </w:r>
      <w:r w:rsidR="00D47B43" w:rsidRPr="008C1175">
        <w:rPr>
          <w:rFonts w:ascii="Times New Roman" w:hAnsi="Times New Roman" w:cs="Times New Roman"/>
          <w:color w:val="000000"/>
          <w:position w:val="13"/>
          <w:szCs w:val="16"/>
        </w:rPr>
        <w:t xml:space="preserve"> </w:t>
      </w:r>
      <w:r w:rsidR="00D47B43" w:rsidRPr="008C1175">
        <w:rPr>
          <w:rFonts w:ascii="Times New Roman" w:hAnsi="Times New Roman" w:cs="Times New Roman"/>
          <w:color w:val="0000FF"/>
          <w:szCs w:val="26"/>
        </w:rPr>
        <w:t>http://www.give.org/charity-reviews/national/global-fund-for-women-in-san-francisco-ca-3283</w:t>
      </w:r>
      <w:r w:rsidR="00D47B43" w:rsidRPr="008C1175">
        <w:rPr>
          <w:rFonts w:ascii="Times New Roman" w:hAnsi="Times New Roman" w:cs="Times New Roman"/>
          <w:color w:val="000000"/>
          <w:szCs w:val="26"/>
        </w:rPr>
        <w:t>, accessed August 23, 2015</w:t>
      </w:r>
      <w:r w:rsidR="00FE0AFB" w:rsidRPr="008C1175">
        <w:rPr>
          <w:rFonts w:ascii="Times New Roman" w:hAnsi="Times New Roman" w:cs="Times New Roman"/>
          <w:color w:val="000000"/>
          <w:szCs w:val="26"/>
        </w:rPr>
        <w:t xml:space="preserve">).  </w:t>
      </w:r>
      <w:r w:rsidRPr="008C1175">
        <w:rPr>
          <w:rFonts w:ascii="Times New Roman" w:hAnsi="Times New Roman" w:cs="Times"/>
          <w:color w:val="000000"/>
          <w:position w:val="8"/>
          <w:szCs w:val="21"/>
        </w:rPr>
        <w:t xml:space="preserve"> </w:t>
      </w:r>
    </w:p>
    <w:p w14:paraId="0E87E0E6" w14:textId="6E59530A" w:rsidR="00FE0AFB" w:rsidRPr="008C1175" w:rsidRDefault="00FE0AFB" w:rsidP="008C1175">
      <w:pPr>
        <w:widowControl w:val="0"/>
        <w:autoSpaceDE w:val="0"/>
        <w:autoSpaceDN w:val="0"/>
        <w:adjustRightInd w:val="0"/>
        <w:spacing w:after="240" w:line="260" w:lineRule="atLeast"/>
        <w:rPr>
          <w:rFonts w:ascii="Times New Roman" w:hAnsi="Times New Roman" w:cs="Times"/>
          <w:color w:val="000000"/>
        </w:rPr>
      </w:pPr>
      <w:r w:rsidRPr="008C1175">
        <w:rPr>
          <w:rFonts w:ascii="Times New Roman" w:hAnsi="Times New Roman" w:cs="Times New Roman"/>
          <w:color w:val="000000"/>
          <w:szCs w:val="32"/>
        </w:rPr>
        <w:t>All three foundations have provide</w:t>
      </w:r>
      <w:r w:rsidR="00A30566" w:rsidRPr="008C1175">
        <w:rPr>
          <w:rFonts w:ascii="Times New Roman" w:hAnsi="Times New Roman" w:cs="Times New Roman"/>
          <w:color w:val="000000"/>
          <w:szCs w:val="32"/>
        </w:rPr>
        <w:t>d</w:t>
      </w:r>
      <w:r w:rsidRPr="008C1175">
        <w:rPr>
          <w:rFonts w:ascii="Times New Roman" w:hAnsi="Times New Roman" w:cs="Times New Roman"/>
          <w:color w:val="000000"/>
          <w:szCs w:val="32"/>
        </w:rPr>
        <w:t xml:space="preserve"> grants to women through a variety of programs and issue areas. This suggests a commitment to funding women as a comprehensive strategy in the social, economic and political realms</w:t>
      </w:r>
      <w:r w:rsidR="00EC2907" w:rsidRPr="008C1175">
        <w:rPr>
          <w:rFonts w:ascii="Times New Roman" w:hAnsi="Times New Roman" w:cs="Times New Roman"/>
          <w:color w:val="000000"/>
          <w:szCs w:val="32"/>
        </w:rPr>
        <w:t xml:space="preserve">, although </w:t>
      </w:r>
      <w:r w:rsidRPr="008C1175">
        <w:rPr>
          <w:rFonts w:ascii="Times New Roman" w:hAnsi="Times New Roman" w:cs="Times New Roman"/>
          <w:color w:val="000000"/>
          <w:szCs w:val="32"/>
        </w:rPr>
        <w:t>the three foundations have historically had different areas of emphases. While th</w:t>
      </w:r>
      <w:r w:rsidR="00A30566" w:rsidRPr="008C1175">
        <w:rPr>
          <w:rFonts w:ascii="Times New Roman" w:hAnsi="Times New Roman" w:cs="Times New Roman"/>
          <w:color w:val="000000"/>
          <w:szCs w:val="32"/>
        </w:rPr>
        <w:t xml:space="preserve">e Ford Foundation has </w:t>
      </w:r>
      <w:r w:rsidRPr="008C1175">
        <w:rPr>
          <w:rFonts w:ascii="Times New Roman" w:hAnsi="Times New Roman" w:cs="Times New Roman"/>
          <w:color w:val="000000"/>
          <w:szCs w:val="32"/>
        </w:rPr>
        <w:t>fund</w:t>
      </w:r>
      <w:r w:rsidR="00A30566" w:rsidRPr="008C1175">
        <w:rPr>
          <w:rFonts w:ascii="Times New Roman" w:hAnsi="Times New Roman" w:cs="Times New Roman"/>
          <w:color w:val="000000"/>
          <w:szCs w:val="32"/>
        </w:rPr>
        <w:t>ed</w:t>
      </w:r>
      <w:r w:rsidRPr="008C1175">
        <w:rPr>
          <w:rFonts w:ascii="Times New Roman" w:hAnsi="Times New Roman" w:cs="Times New Roman"/>
          <w:color w:val="000000"/>
          <w:szCs w:val="32"/>
        </w:rPr>
        <w:t xml:space="preserve"> more heavily in the social sector, with the majority of its grants falling in the education and health sectors, the Open S</w:t>
      </w:r>
      <w:r w:rsidR="00A30566" w:rsidRPr="008C1175">
        <w:rPr>
          <w:rFonts w:ascii="Times New Roman" w:hAnsi="Times New Roman" w:cs="Times New Roman"/>
          <w:color w:val="000000"/>
          <w:szCs w:val="32"/>
        </w:rPr>
        <w:t>ociety Foundations has</w:t>
      </w:r>
      <w:r w:rsidRPr="008C1175">
        <w:rPr>
          <w:rFonts w:ascii="Times New Roman" w:hAnsi="Times New Roman" w:cs="Times New Roman"/>
          <w:color w:val="000000"/>
          <w:szCs w:val="32"/>
        </w:rPr>
        <w:t xml:space="preserve"> focus</w:t>
      </w:r>
      <w:r w:rsidR="00A30566" w:rsidRPr="008C1175">
        <w:rPr>
          <w:rFonts w:ascii="Times New Roman" w:hAnsi="Times New Roman" w:cs="Times New Roman"/>
          <w:color w:val="000000"/>
          <w:szCs w:val="32"/>
        </w:rPr>
        <w:t>ed</w:t>
      </w:r>
      <w:r w:rsidRPr="008C1175">
        <w:rPr>
          <w:rFonts w:ascii="Times New Roman" w:hAnsi="Times New Roman" w:cs="Times New Roman"/>
          <w:color w:val="000000"/>
          <w:szCs w:val="32"/>
        </w:rPr>
        <w:t xml:space="preserve"> their funding on civic and political participation and women’s leadership, with a strong secondary focus on gender based violence. The Global Fund for Women has c</w:t>
      </w:r>
      <w:r w:rsidR="00A30566" w:rsidRPr="008C1175">
        <w:rPr>
          <w:rFonts w:ascii="Times New Roman" w:hAnsi="Times New Roman" w:cs="Times New Roman"/>
          <w:color w:val="000000"/>
          <w:szCs w:val="32"/>
        </w:rPr>
        <w:t>oncentrated its grants</w:t>
      </w:r>
      <w:r w:rsidRPr="008C1175">
        <w:rPr>
          <w:rFonts w:ascii="Times New Roman" w:hAnsi="Times New Roman" w:cs="Times New Roman"/>
          <w:color w:val="000000"/>
          <w:szCs w:val="32"/>
        </w:rPr>
        <w:t xml:space="preserve"> “</w:t>
      </w:r>
      <w:r w:rsidRPr="008C1175">
        <w:rPr>
          <w:rFonts w:ascii="Times New Roman" w:hAnsi="Times New Roman" w:cs="Times New Roman"/>
          <w:color w:val="132857"/>
          <w:szCs w:val="32"/>
        </w:rPr>
        <w:t>on supporting women’s groups working in hard to access places and working with marginalized populations and on underrepresented issues”(</w:t>
      </w:r>
      <w:r w:rsidRPr="008C1175">
        <w:rPr>
          <w:rFonts w:ascii="Times New Roman" w:hAnsi="Times New Roman" w:cs="Times New Roman"/>
          <w:color w:val="000000"/>
          <w:szCs w:val="26"/>
        </w:rPr>
        <w:t>Jill Irvine, correspondence with Jane Sloan, 28 August, 2015).</w:t>
      </w:r>
      <w:r w:rsidRPr="008C1175">
        <w:rPr>
          <w:rFonts w:ascii="Times New Roman" w:hAnsi="Times New Roman" w:cs="Times"/>
          <w:color w:val="000000"/>
          <w:position w:val="8"/>
          <w:szCs w:val="21"/>
        </w:rPr>
        <w:t xml:space="preserve"> </w:t>
      </w:r>
      <w:r w:rsidRPr="008C1175">
        <w:rPr>
          <w:rFonts w:ascii="Times New Roman" w:hAnsi="Times New Roman" w:cs="Times New Roman"/>
          <w:color w:val="000000"/>
          <w:szCs w:val="32"/>
        </w:rPr>
        <w:t xml:space="preserve">It has funded a broad array of issues including </w:t>
      </w:r>
      <w:r w:rsidRPr="008C1175">
        <w:rPr>
          <w:rFonts w:ascii="Times New Roman" w:hAnsi="Times New Roman" w:cs="Times New Roman"/>
          <w:color w:val="132857"/>
          <w:szCs w:val="32"/>
        </w:rPr>
        <w:t>sexual and reproductive health and rights; ending gender based violence, economic rights and environmental justice, peacebuilding and conflict transformation; women’s political participation and rights, access to education, and fostering social change philanthropy (primari</w:t>
      </w:r>
      <w:r w:rsidR="00A30566" w:rsidRPr="008C1175">
        <w:rPr>
          <w:rFonts w:ascii="Times New Roman" w:hAnsi="Times New Roman" w:cs="Times New Roman"/>
          <w:color w:val="132857"/>
          <w:szCs w:val="32"/>
        </w:rPr>
        <w:t>ly via supporting women’s funds</w:t>
      </w:r>
      <w:r w:rsidRPr="008C1175">
        <w:rPr>
          <w:rFonts w:ascii="Times New Roman" w:hAnsi="Times New Roman" w:cs="Times New Roman"/>
          <w:color w:val="000000"/>
          <w:szCs w:val="32"/>
        </w:rPr>
        <w:t xml:space="preserve">. </w:t>
      </w:r>
    </w:p>
    <w:p w14:paraId="73D38A5C" w14:textId="77777777" w:rsidR="00A30566" w:rsidRPr="008C1175" w:rsidRDefault="00056956" w:rsidP="008C1175">
      <w:pPr>
        <w:widowControl w:val="0"/>
        <w:autoSpaceDE w:val="0"/>
        <w:autoSpaceDN w:val="0"/>
        <w:adjustRightInd w:val="0"/>
        <w:spacing w:after="240" w:line="260" w:lineRule="atLeast"/>
        <w:rPr>
          <w:rFonts w:ascii="Times New Roman" w:hAnsi="Times New Roman" w:cs="Times New Roman"/>
          <w:color w:val="000000"/>
          <w:szCs w:val="32"/>
        </w:rPr>
      </w:pPr>
      <w:r w:rsidRPr="008C1175">
        <w:rPr>
          <w:rFonts w:ascii="Times New Roman" w:hAnsi="Times New Roman" w:cs="Times New Roman"/>
          <w:color w:val="000000"/>
          <w:szCs w:val="32"/>
        </w:rPr>
        <w:lastRenderedPageBreak/>
        <w:t>All three foundations where we conducted interviews are currently in the process of restructuring their women’s rights programs and refocusing their funding priorities. The Ford Foundation, under the leadership of program director Margaret Hempel, recently reorganized its women’s rights and empowerment programs, which were scattered across a number of units.</w:t>
      </w:r>
      <w:r w:rsidR="00FE0AFB" w:rsidRPr="008C1175">
        <w:rPr>
          <w:rFonts w:ascii="Times New Roman" w:hAnsi="Times New Roman" w:cs="Times New Roman"/>
          <w:color w:val="000000"/>
          <w:szCs w:val="26"/>
        </w:rPr>
        <w:t xml:space="preserve"> (For more on the Ford Foundation’s Program on Gender, Sexuality and Reproductive Justice, see http://www.fordfoundation.org/issues/sexuality-and-reproductive-health-and-rights/protecting-womens-rights.) </w:t>
      </w:r>
      <w:r w:rsidRPr="008C1175">
        <w:rPr>
          <w:rFonts w:ascii="Times New Roman" w:hAnsi="Times New Roman" w:cs="Times"/>
          <w:color w:val="000000"/>
          <w:position w:val="8"/>
          <w:szCs w:val="21"/>
        </w:rPr>
        <w:t xml:space="preserve"> </w:t>
      </w:r>
      <w:r w:rsidRPr="008C1175">
        <w:rPr>
          <w:rFonts w:ascii="Times New Roman" w:hAnsi="Times New Roman" w:cs="Times New Roman"/>
          <w:color w:val="000000"/>
          <w:szCs w:val="32"/>
        </w:rPr>
        <w:t xml:space="preserve">In 2014, the Program on Gender, Sexuality and Reproductive Justice was formed with the mandate to fund in six priority areas: protecting women’s rights; reducing HIV/AIDS discrimination and exclusion; supporting sexuality research; promoting reproductive rights and the right to sexual health; youth sexuality, reproductive health and rights; and advancing LGBT rights.  </w:t>
      </w:r>
    </w:p>
    <w:p w14:paraId="6EE6FC85" w14:textId="156FE2A3" w:rsidR="00FE0AFB" w:rsidRPr="008C1175" w:rsidRDefault="00056956" w:rsidP="008C1175">
      <w:pPr>
        <w:widowControl w:val="0"/>
        <w:autoSpaceDE w:val="0"/>
        <w:autoSpaceDN w:val="0"/>
        <w:adjustRightInd w:val="0"/>
        <w:spacing w:after="240" w:line="260" w:lineRule="atLeast"/>
        <w:rPr>
          <w:rFonts w:ascii="Times New Roman" w:hAnsi="Times New Roman" w:cs="Times"/>
          <w:color w:val="000000"/>
        </w:rPr>
      </w:pPr>
      <w:r w:rsidRPr="008C1175">
        <w:rPr>
          <w:rFonts w:ascii="Times New Roman" w:hAnsi="Times New Roman" w:cs="Times New Roman"/>
          <w:color w:val="000000"/>
          <w:szCs w:val="32"/>
        </w:rPr>
        <w:t xml:space="preserve">In contrast to the Ford Foundation, where the restructuring appears to have been propelled primarily by organizational concerns, recent developments at the OSF’s Women’s Rights Program were part of broader restructuring inspired by the Foundation’s new President, Christopher Stone in 2012. In 2013, a fundamental review of the International Women’s Rights Program was launched, which resulted in a streamlining of its six previous areas of funding (political participation; violence against women; economic empowerment; women’s rights movements; and sexual and reproductive rights) to three areas of emphasis: strengthening women’s rights organizations and movements; promoting sexual and reproductive rights; and economic justice. The renamed, Women’s Rights Program, shifted from a definite regional focus, working in conflict and post-conflict countries to a less defined regional focus based on “opportunity” and need. Recently appointed program director, Cynthia </w:t>
      </w:r>
      <w:proofErr w:type="spellStart"/>
      <w:r w:rsidRPr="008C1175">
        <w:rPr>
          <w:rFonts w:ascii="Times New Roman" w:hAnsi="Times New Roman" w:cs="Times New Roman"/>
          <w:color w:val="000000"/>
          <w:szCs w:val="32"/>
        </w:rPr>
        <w:t>Eyakuze</w:t>
      </w:r>
      <w:proofErr w:type="spellEnd"/>
      <w:r w:rsidRPr="008C1175">
        <w:rPr>
          <w:rFonts w:ascii="Times New Roman" w:hAnsi="Times New Roman" w:cs="Times New Roman"/>
          <w:color w:val="000000"/>
          <w:szCs w:val="32"/>
        </w:rPr>
        <w:t xml:space="preserve">, has spearheaded this reorganization in conversation with women’s rights activists in a variety of communities and staff within the OSF. </w:t>
      </w:r>
    </w:p>
    <w:p w14:paraId="204F9593" w14:textId="04801B2C" w:rsidR="00056956" w:rsidRPr="008C1175" w:rsidRDefault="00056956" w:rsidP="008C1175">
      <w:pPr>
        <w:widowControl w:val="0"/>
        <w:autoSpaceDE w:val="0"/>
        <w:autoSpaceDN w:val="0"/>
        <w:adjustRightInd w:val="0"/>
        <w:spacing w:after="240" w:line="320" w:lineRule="atLeast"/>
        <w:rPr>
          <w:rFonts w:ascii="Times New Roman" w:hAnsi="Times New Roman" w:cs="Times"/>
          <w:color w:val="000000"/>
        </w:rPr>
      </w:pPr>
      <w:r w:rsidRPr="008C1175">
        <w:rPr>
          <w:rFonts w:ascii="Times New Roman" w:hAnsi="Times New Roman" w:cs="Times New Roman"/>
          <w:color w:val="000000"/>
          <w:szCs w:val="32"/>
        </w:rPr>
        <w:t>The Global Fund for Women has faced a different set of challenges, which has prompted this public foundation to change its strategies and practices. For more than two decades, The Global Fund for Women used strategy of “let a hundred flowers bloom,” with no particular thematic focus. Rather, the sole funding criteria was to give to projects led by women that were focused on social change. In contrast to many other foundations or donors, The Global Fund often provided funds for general operating costs. The Global Fund’s 25</w:t>
      </w:r>
      <w:r w:rsidRPr="008C1175">
        <w:rPr>
          <w:rFonts w:ascii="Times New Roman" w:hAnsi="Times New Roman" w:cs="Times New Roman"/>
          <w:color w:val="000000"/>
          <w:position w:val="16"/>
          <w:szCs w:val="21"/>
        </w:rPr>
        <w:t xml:space="preserve"> </w:t>
      </w:r>
      <w:r w:rsidRPr="008C1175">
        <w:rPr>
          <w:rFonts w:ascii="Times New Roman" w:hAnsi="Times New Roman" w:cs="Times New Roman"/>
          <w:color w:val="000000"/>
          <w:szCs w:val="32"/>
        </w:rPr>
        <w:t xml:space="preserve">anniversary, and new leadership under President and CEO </w:t>
      </w:r>
      <w:proofErr w:type="spellStart"/>
      <w:r w:rsidRPr="008C1175">
        <w:rPr>
          <w:rFonts w:ascii="Times New Roman" w:hAnsi="Times New Roman" w:cs="Times New Roman"/>
          <w:color w:val="000000"/>
          <w:szCs w:val="32"/>
        </w:rPr>
        <w:t>Musimbi</w:t>
      </w:r>
      <w:proofErr w:type="spellEnd"/>
      <w:r w:rsidRPr="008C1175">
        <w:rPr>
          <w:rFonts w:ascii="Times New Roman" w:hAnsi="Times New Roman" w:cs="Times New Roman"/>
          <w:color w:val="000000"/>
          <w:szCs w:val="32"/>
        </w:rPr>
        <w:t xml:space="preserve"> </w:t>
      </w:r>
      <w:proofErr w:type="spellStart"/>
      <w:r w:rsidRPr="008C1175">
        <w:rPr>
          <w:rFonts w:ascii="Times New Roman" w:hAnsi="Times New Roman" w:cs="Times New Roman"/>
          <w:color w:val="000000"/>
          <w:szCs w:val="32"/>
        </w:rPr>
        <w:t>Kanyoro</w:t>
      </w:r>
      <w:proofErr w:type="spellEnd"/>
      <w:r w:rsidRPr="008C1175">
        <w:rPr>
          <w:rFonts w:ascii="Times New Roman" w:hAnsi="Times New Roman" w:cs="Times New Roman"/>
          <w:color w:val="000000"/>
          <w:szCs w:val="32"/>
        </w:rPr>
        <w:t xml:space="preserve">, provided the impetus for “deep reflection” about its achievements and its vision moving forward. Drawing upon a variety of sources, including a study produced by researchers at Stanford University, internal data provided by program directors, and consulting with its extensive Board of Advisors and others, the Global Fund produced a new strategic plan. The new plan identifies three areas of thematic focus moving forward: sexual and reproductive rights; economic and social rights; and gender based violence. The Global Fund continues to provide “core funding,” that covers general operating costs, as part of its continuing commitment to building and strengthening women’s movements. Nevertheless, it is shifting toward a strategy of funding fewer organizations at a greater level over a longer period of time, even as it continues to give a relatively large number of small grants to women’s organizations. Recognizing the need to report to their many individual, small donors the impact of their work, Global Fund hired staff to develop more rigorous methods of </w:t>
      </w:r>
      <w:r w:rsidRPr="008C1175">
        <w:rPr>
          <w:rFonts w:ascii="Times New Roman" w:hAnsi="Times New Roman" w:cs="Times New Roman"/>
          <w:color w:val="000000"/>
          <w:szCs w:val="32"/>
        </w:rPr>
        <w:lastRenderedPageBreak/>
        <w:t xml:space="preserve">evaluation and assessment. </w:t>
      </w:r>
    </w:p>
    <w:p w14:paraId="23B03EC4" w14:textId="070AEA7E" w:rsidR="00056956" w:rsidRPr="008C1175" w:rsidRDefault="00056956" w:rsidP="00056956">
      <w:pPr>
        <w:widowControl w:val="0"/>
        <w:autoSpaceDE w:val="0"/>
        <w:autoSpaceDN w:val="0"/>
        <w:adjustRightInd w:val="0"/>
        <w:spacing w:after="240" w:line="360" w:lineRule="atLeast"/>
        <w:rPr>
          <w:rFonts w:ascii="Times New Roman" w:eastAsia="MS Mincho" w:hAnsi="Times New Roman" w:cs="MS Mincho"/>
          <w:color w:val="000000"/>
          <w:szCs w:val="32"/>
        </w:rPr>
      </w:pPr>
      <w:r w:rsidRPr="008C1175">
        <w:rPr>
          <w:rFonts w:ascii="Times New Roman" w:hAnsi="Times New Roman" w:cs="Times New Roman"/>
          <w:color w:val="000000"/>
          <w:szCs w:val="32"/>
        </w:rPr>
        <w:t xml:space="preserve">In our semi-structured interviews, we asked questions to identify how women’s empowerment programs are envisioned and structured. How are women’s needs defined and gender constructed through the funding process? </w:t>
      </w:r>
      <w:r w:rsidR="00FE0AFB" w:rsidRPr="008C1175">
        <w:rPr>
          <w:rFonts w:ascii="Times New Roman" w:hAnsi="Times New Roman" w:cs="Times New Roman"/>
          <w:color w:val="000000"/>
          <w:szCs w:val="32"/>
        </w:rPr>
        <w:t xml:space="preserve">  How has this changed over time?  In what ways is it reflected in the organizational structures and culture of the foundation?  </w:t>
      </w:r>
      <w:r w:rsidRPr="008C1175">
        <w:rPr>
          <w:rFonts w:ascii="Times New Roman" w:hAnsi="Times New Roman" w:cs="Times New Roman"/>
          <w:color w:val="000000"/>
          <w:szCs w:val="32"/>
        </w:rPr>
        <w:t>We were particularly interested in understanding foundations’ “theory of change” and the different ways in which foundations have considered or responded to the criticisms that aid can undermine rather than strengthen women’s organizing and organizations. Thus, we asked about foundations’ strategies for assisting and empowering women</w:t>
      </w:r>
      <w:r w:rsidR="00EC2907" w:rsidRPr="008C1175">
        <w:rPr>
          <w:rFonts w:ascii="Times New Roman" w:hAnsi="Times New Roman" w:cs="Times New Roman"/>
          <w:color w:val="000000"/>
          <w:szCs w:val="32"/>
        </w:rPr>
        <w:t>’</w:t>
      </w:r>
      <w:r w:rsidRPr="008C1175">
        <w:rPr>
          <w:rFonts w:ascii="Times New Roman" w:hAnsi="Times New Roman" w:cs="Times New Roman"/>
          <w:color w:val="000000"/>
          <w:szCs w:val="32"/>
        </w:rPr>
        <w:t>s movements and political activism. To what extent are these foundations concerned with movement building for sustained change, including “intersectional” alliances and engagement with ot</w:t>
      </w:r>
      <w:r w:rsidR="00A30566" w:rsidRPr="008C1175">
        <w:rPr>
          <w:rFonts w:ascii="Times New Roman" w:hAnsi="Times New Roman" w:cs="Times New Roman"/>
          <w:color w:val="000000"/>
          <w:szCs w:val="32"/>
        </w:rPr>
        <w:t>her social movements and issues?</w:t>
      </w:r>
      <w:r w:rsidRPr="008C1175">
        <w:rPr>
          <w:rFonts w:ascii="Times New Roman" w:hAnsi="Times New Roman" w:cs="Times New Roman"/>
          <w:color w:val="000000"/>
          <w:szCs w:val="32"/>
        </w:rPr>
        <w:t xml:space="preserve">  How do they understand the processes of creating capaci</w:t>
      </w:r>
      <w:r w:rsidR="00D47B43" w:rsidRPr="008C1175">
        <w:rPr>
          <w:rFonts w:ascii="Times New Roman" w:hAnsi="Times New Roman" w:cs="Times New Roman"/>
          <w:color w:val="000000"/>
          <w:szCs w:val="32"/>
        </w:rPr>
        <w:t>ty, framing issues, and forming</w:t>
      </w:r>
      <w:r w:rsidRPr="008C1175">
        <w:rPr>
          <w:rFonts w:ascii="Times New Roman" w:hAnsi="Times New Roman" w:cs="Times New Roman"/>
          <w:color w:val="000000"/>
          <w:szCs w:val="32"/>
        </w:rPr>
        <w:t xml:space="preserve"> coalitions</w:t>
      </w:r>
      <w:r w:rsidR="00D47B43" w:rsidRPr="008C1175">
        <w:rPr>
          <w:rFonts w:ascii="Times New Roman" w:hAnsi="Times New Roman" w:cs="Times New Roman"/>
          <w:color w:val="000000"/>
          <w:szCs w:val="32"/>
        </w:rPr>
        <w:t>?  How do they direct funds to these ends?  What are the challenges they face in attempting to support women’s movements and women’s rights activism?</w:t>
      </w:r>
    </w:p>
    <w:p w14:paraId="6891BC29" w14:textId="77777777" w:rsidR="00056956" w:rsidRPr="008C1175" w:rsidRDefault="00056956" w:rsidP="008C1175">
      <w:pPr>
        <w:widowControl w:val="0"/>
        <w:autoSpaceDE w:val="0"/>
        <w:autoSpaceDN w:val="0"/>
        <w:adjustRightInd w:val="0"/>
        <w:spacing w:after="240" w:line="360" w:lineRule="atLeast"/>
        <w:rPr>
          <w:rFonts w:ascii="Times New Roman" w:hAnsi="Times New Roman" w:cs="Times"/>
          <w:color w:val="000000"/>
        </w:rPr>
      </w:pPr>
      <w:r w:rsidRPr="008C1175">
        <w:rPr>
          <w:rFonts w:ascii="Times New Roman" w:hAnsi="Times New Roman" w:cs="Times New Roman"/>
          <w:color w:val="000000"/>
          <w:szCs w:val="32"/>
        </w:rPr>
        <w:t xml:space="preserve">List of interviews: </w:t>
      </w:r>
    </w:p>
    <w:p w14:paraId="39EC4EB5" w14:textId="77777777" w:rsidR="00056956" w:rsidRPr="008C1175" w:rsidRDefault="00056956" w:rsidP="00056956">
      <w:pPr>
        <w:pStyle w:val="EndnoteText"/>
        <w:rPr>
          <w:rFonts w:ascii="Times New Roman" w:hAnsi="Times New Roman"/>
        </w:rPr>
      </w:pPr>
    </w:p>
    <w:p w14:paraId="3994391D" w14:textId="77777777" w:rsidR="00056956" w:rsidRPr="008C1175" w:rsidRDefault="00056956" w:rsidP="00056956">
      <w:pPr>
        <w:pStyle w:val="ListParagraph"/>
        <w:widowControl w:val="0"/>
        <w:numPr>
          <w:ilvl w:val="0"/>
          <w:numId w:val="3"/>
        </w:numPr>
        <w:autoSpaceDE w:val="0"/>
        <w:autoSpaceDN w:val="0"/>
        <w:adjustRightInd w:val="0"/>
        <w:spacing w:after="240" w:line="320" w:lineRule="atLeast"/>
        <w:rPr>
          <w:rFonts w:ascii="Times New Roman" w:hAnsi="Times New Roman" w:cs="Times New Roman"/>
          <w:szCs w:val="26"/>
        </w:rPr>
      </w:pPr>
      <w:r w:rsidRPr="008C1175">
        <w:rPr>
          <w:rFonts w:ascii="Times New Roman" w:hAnsi="Times New Roman" w:cs="Times New Roman"/>
          <w:szCs w:val="26"/>
        </w:rPr>
        <w:t xml:space="preserve">Cynthia </w:t>
      </w:r>
      <w:proofErr w:type="spellStart"/>
      <w:r w:rsidRPr="008C1175">
        <w:rPr>
          <w:rFonts w:ascii="Times New Roman" w:hAnsi="Times New Roman" w:cs="Times New Roman"/>
          <w:szCs w:val="26"/>
        </w:rPr>
        <w:t>Eyakuze</w:t>
      </w:r>
      <w:proofErr w:type="spellEnd"/>
      <w:r w:rsidRPr="008C1175">
        <w:rPr>
          <w:rFonts w:ascii="Times New Roman" w:hAnsi="Times New Roman" w:cs="Times New Roman"/>
          <w:szCs w:val="26"/>
        </w:rPr>
        <w:t xml:space="preserve">, Director, Women’s Rights Program, Open Society Foundations, July 30, 2015 </w:t>
      </w:r>
    </w:p>
    <w:p w14:paraId="065FF2B1" w14:textId="77777777" w:rsidR="00056956" w:rsidRPr="008C1175" w:rsidRDefault="00056956" w:rsidP="00056956">
      <w:pPr>
        <w:pStyle w:val="ListParagraph"/>
        <w:widowControl w:val="0"/>
        <w:numPr>
          <w:ilvl w:val="0"/>
          <w:numId w:val="3"/>
        </w:numPr>
        <w:autoSpaceDE w:val="0"/>
        <w:autoSpaceDN w:val="0"/>
        <w:adjustRightInd w:val="0"/>
        <w:spacing w:after="240" w:line="320" w:lineRule="atLeast"/>
        <w:rPr>
          <w:rFonts w:ascii="Times New Roman" w:hAnsi="Times New Roman" w:cs="Times New Roman"/>
          <w:szCs w:val="26"/>
        </w:rPr>
      </w:pPr>
      <w:r w:rsidRPr="008C1175">
        <w:rPr>
          <w:rFonts w:ascii="Times New Roman" w:hAnsi="Times New Roman" w:cs="Times New Roman"/>
          <w:szCs w:val="26"/>
        </w:rPr>
        <w:t xml:space="preserve">Margaret Hempel, Director, Program on Gender, Sexuality and Reproductive Justice, Ford Foundation, August 14, 2015, </w:t>
      </w:r>
    </w:p>
    <w:p w14:paraId="29EE2C05" w14:textId="77777777" w:rsidR="00056956" w:rsidRPr="008C1175" w:rsidRDefault="00056956" w:rsidP="00056956">
      <w:pPr>
        <w:pStyle w:val="ListParagraph"/>
        <w:widowControl w:val="0"/>
        <w:numPr>
          <w:ilvl w:val="0"/>
          <w:numId w:val="3"/>
        </w:numPr>
        <w:autoSpaceDE w:val="0"/>
        <w:autoSpaceDN w:val="0"/>
        <w:adjustRightInd w:val="0"/>
        <w:spacing w:after="240" w:line="320" w:lineRule="atLeast"/>
        <w:rPr>
          <w:rFonts w:ascii="Times New Roman" w:hAnsi="Times New Roman" w:cs="Times New Roman"/>
          <w:szCs w:val="26"/>
        </w:rPr>
      </w:pPr>
      <w:proofErr w:type="spellStart"/>
      <w:r w:rsidRPr="008C1175">
        <w:rPr>
          <w:rFonts w:ascii="Times New Roman" w:hAnsi="Times New Roman" w:cs="Times New Roman"/>
          <w:szCs w:val="26"/>
        </w:rPr>
        <w:t>Musimbi</w:t>
      </w:r>
      <w:proofErr w:type="spellEnd"/>
      <w:r w:rsidRPr="008C1175">
        <w:rPr>
          <w:rFonts w:ascii="Times New Roman" w:hAnsi="Times New Roman" w:cs="Times New Roman"/>
          <w:szCs w:val="26"/>
        </w:rPr>
        <w:t xml:space="preserve"> </w:t>
      </w:r>
      <w:proofErr w:type="spellStart"/>
      <w:r w:rsidRPr="008C1175">
        <w:rPr>
          <w:rFonts w:ascii="Times New Roman" w:hAnsi="Times New Roman" w:cs="Times New Roman"/>
          <w:szCs w:val="26"/>
        </w:rPr>
        <w:t>Kanyoro</w:t>
      </w:r>
      <w:proofErr w:type="spellEnd"/>
      <w:r w:rsidRPr="008C1175">
        <w:rPr>
          <w:rFonts w:ascii="Times New Roman" w:hAnsi="Times New Roman" w:cs="Times New Roman"/>
          <w:szCs w:val="26"/>
        </w:rPr>
        <w:t xml:space="preserve">, President and CEO, Global Fund for Women, August 27, 2015 </w:t>
      </w:r>
    </w:p>
    <w:p w14:paraId="311B8CBD" w14:textId="77777777" w:rsidR="00056956" w:rsidRPr="008C1175" w:rsidRDefault="00056956" w:rsidP="00056956">
      <w:pPr>
        <w:pStyle w:val="ListParagraph"/>
        <w:widowControl w:val="0"/>
        <w:numPr>
          <w:ilvl w:val="0"/>
          <w:numId w:val="3"/>
        </w:numPr>
        <w:autoSpaceDE w:val="0"/>
        <w:autoSpaceDN w:val="0"/>
        <w:adjustRightInd w:val="0"/>
        <w:spacing w:after="240" w:line="320" w:lineRule="atLeast"/>
        <w:rPr>
          <w:rFonts w:ascii="Times New Roman" w:hAnsi="Times New Roman" w:cs="Times New Roman"/>
          <w:szCs w:val="26"/>
        </w:rPr>
      </w:pPr>
      <w:r w:rsidRPr="008C1175">
        <w:rPr>
          <w:rFonts w:ascii="Times New Roman" w:hAnsi="Times New Roman" w:cs="Times New Roman"/>
          <w:szCs w:val="26"/>
        </w:rPr>
        <w:t xml:space="preserve">Jane Sloan, Director of Programs, Global Fund for Women, August 27, 2015 </w:t>
      </w:r>
    </w:p>
    <w:p w14:paraId="08F30F19" w14:textId="77777777" w:rsidR="00056956" w:rsidRPr="008C1175" w:rsidRDefault="00056956" w:rsidP="00056956">
      <w:pPr>
        <w:pStyle w:val="ListParagraph"/>
        <w:widowControl w:val="0"/>
        <w:numPr>
          <w:ilvl w:val="0"/>
          <w:numId w:val="3"/>
        </w:numPr>
        <w:autoSpaceDE w:val="0"/>
        <w:autoSpaceDN w:val="0"/>
        <w:adjustRightInd w:val="0"/>
        <w:spacing w:after="240" w:line="320" w:lineRule="atLeast"/>
        <w:rPr>
          <w:rFonts w:ascii="Times New Roman" w:hAnsi="Times New Roman" w:cs="Times"/>
        </w:rPr>
      </w:pPr>
      <w:r w:rsidRPr="008C1175">
        <w:rPr>
          <w:rFonts w:ascii="Times New Roman" w:hAnsi="Times New Roman" w:cs="Times New Roman"/>
          <w:szCs w:val="26"/>
        </w:rPr>
        <w:t xml:space="preserve">Pei-Yao Chen, Director of Learning, Evaluation and Impact, Global Fund for Women, August 3, 2015 </w:t>
      </w:r>
    </w:p>
    <w:p w14:paraId="3DB135FE" w14:textId="77777777" w:rsidR="00056956" w:rsidRPr="008C1175" w:rsidRDefault="00056956">
      <w:pPr>
        <w:rPr>
          <w:rFonts w:ascii="Times New Roman" w:hAnsi="Times New Roman"/>
        </w:rPr>
      </w:pPr>
    </w:p>
    <w:p w14:paraId="08A30945" w14:textId="77777777" w:rsidR="00056956" w:rsidRPr="008C1175" w:rsidRDefault="00056956">
      <w:pPr>
        <w:rPr>
          <w:rFonts w:ascii="Times New Roman" w:hAnsi="Times New Roman"/>
        </w:rPr>
      </w:pPr>
    </w:p>
    <w:p w14:paraId="0EA874F6" w14:textId="18964B46" w:rsidR="0084704E" w:rsidRPr="008C1175" w:rsidRDefault="0056337D">
      <w:pPr>
        <w:rPr>
          <w:rFonts w:ascii="Times New Roman" w:hAnsi="Times New Roman"/>
          <w:b/>
        </w:rPr>
      </w:pPr>
      <w:r w:rsidRPr="008C1175">
        <w:rPr>
          <w:rFonts w:ascii="Times New Roman" w:hAnsi="Times New Roman"/>
          <w:b/>
        </w:rPr>
        <w:t xml:space="preserve">Section </w:t>
      </w:r>
      <w:r w:rsidR="00056956" w:rsidRPr="008C1175">
        <w:rPr>
          <w:rFonts w:ascii="Times New Roman" w:hAnsi="Times New Roman"/>
          <w:b/>
        </w:rPr>
        <w:t>2</w:t>
      </w:r>
      <w:r w:rsidR="0084704E" w:rsidRPr="008C1175">
        <w:rPr>
          <w:rFonts w:ascii="Times New Roman" w:hAnsi="Times New Roman"/>
          <w:b/>
        </w:rPr>
        <w:t xml:space="preserve">: </w:t>
      </w:r>
      <w:r w:rsidR="002964F8" w:rsidRPr="008C1175">
        <w:rPr>
          <w:rFonts w:ascii="Times New Roman" w:hAnsi="Times New Roman"/>
          <w:b/>
        </w:rPr>
        <w:t>Description of Primary Dataset</w:t>
      </w:r>
    </w:p>
    <w:p w14:paraId="34E9BD7B" w14:textId="77777777" w:rsidR="002964F8" w:rsidRPr="008C1175" w:rsidRDefault="002964F8">
      <w:pPr>
        <w:rPr>
          <w:rFonts w:ascii="Times New Roman" w:hAnsi="Times New Roman"/>
        </w:rPr>
      </w:pPr>
    </w:p>
    <w:p w14:paraId="0616EC6E" w14:textId="4E65B549" w:rsidR="002964F8" w:rsidRPr="008C1175" w:rsidRDefault="00DF1847">
      <w:pPr>
        <w:rPr>
          <w:rFonts w:ascii="Times New Roman" w:hAnsi="Times New Roman"/>
        </w:rPr>
      </w:pPr>
      <w:r w:rsidRPr="008C1175">
        <w:rPr>
          <w:rFonts w:ascii="Times New Roman" w:hAnsi="Times New Roman"/>
        </w:rPr>
        <w:t>Empirical</w:t>
      </w:r>
      <w:r w:rsidR="00B21CBF" w:rsidRPr="008C1175">
        <w:rPr>
          <w:rFonts w:ascii="Times New Roman" w:hAnsi="Times New Roman"/>
        </w:rPr>
        <w:t xml:space="preserve"> work was done on</w:t>
      </w:r>
      <w:r w:rsidR="002015BB" w:rsidRPr="008C1175">
        <w:rPr>
          <w:rFonts w:ascii="Times New Roman" w:hAnsi="Times New Roman"/>
        </w:rPr>
        <w:t xml:space="preserve"> </w:t>
      </w:r>
      <w:r w:rsidR="00EA769A" w:rsidRPr="008C1175">
        <w:rPr>
          <w:rFonts w:ascii="Times New Roman" w:hAnsi="Times New Roman"/>
        </w:rPr>
        <w:t>two datasets acquired from T</w:t>
      </w:r>
      <w:r w:rsidR="00B21CBF" w:rsidRPr="008C1175">
        <w:rPr>
          <w:rFonts w:ascii="Times New Roman" w:hAnsi="Times New Roman"/>
        </w:rPr>
        <w:t xml:space="preserve">he Foundation Center. The first </w:t>
      </w:r>
      <w:r w:rsidR="00E362F5" w:rsidRPr="008C1175">
        <w:rPr>
          <w:rFonts w:ascii="Times New Roman" w:hAnsi="Times New Roman"/>
        </w:rPr>
        <w:t>ranges</w:t>
      </w:r>
      <w:r w:rsidR="00E937AE" w:rsidRPr="008C1175">
        <w:rPr>
          <w:rFonts w:ascii="Times New Roman" w:hAnsi="Times New Roman"/>
        </w:rPr>
        <w:t xml:space="preserve"> 1992-2001, the second</w:t>
      </w:r>
      <w:r w:rsidR="00B21CBF" w:rsidRPr="008C1175">
        <w:rPr>
          <w:rFonts w:ascii="Times New Roman" w:hAnsi="Times New Roman"/>
        </w:rPr>
        <w:t xml:space="preserve"> </w:t>
      </w:r>
      <w:r w:rsidR="00E362F5" w:rsidRPr="008C1175">
        <w:rPr>
          <w:rFonts w:ascii="Times New Roman" w:hAnsi="Times New Roman"/>
        </w:rPr>
        <w:t>ranges</w:t>
      </w:r>
      <w:r w:rsidR="00B21CBF" w:rsidRPr="008C1175">
        <w:rPr>
          <w:rFonts w:ascii="Times New Roman" w:hAnsi="Times New Roman"/>
        </w:rPr>
        <w:t xml:space="preserve"> 2002-2013</w:t>
      </w:r>
      <w:r w:rsidR="00DE02C7" w:rsidRPr="008C1175">
        <w:rPr>
          <w:rFonts w:ascii="Times New Roman" w:hAnsi="Times New Roman"/>
        </w:rPr>
        <w:t>. The</w:t>
      </w:r>
      <w:r w:rsidR="00DC561F" w:rsidRPr="008C1175">
        <w:rPr>
          <w:rFonts w:ascii="Times New Roman" w:hAnsi="Times New Roman"/>
        </w:rPr>
        <w:t xml:space="preserve"> </w:t>
      </w:r>
      <w:r w:rsidR="00DE02C7" w:rsidRPr="008C1175">
        <w:rPr>
          <w:rFonts w:ascii="Times New Roman" w:hAnsi="Times New Roman"/>
        </w:rPr>
        <w:t>two data sets vary only in the intern</w:t>
      </w:r>
      <w:r w:rsidR="00C044AD" w:rsidRPr="008C1175">
        <w:rPr>
          <w:rFonts w:ascii="Times New Roman" w:hAnsi="Times New Roman"/>
        </w:rPr>
        <w:t xml:space="preserve">al coding used for issue areas, </w:t>
      </w:r>
      <w:r w:rsidR="00DE02C7" w:rsidRPr="008C1175">
        <w:rPr>
          <w:rFonts w:ascii="Times New Roman" w:hAnsi="Times New Roman"/>
        </w:rPr>
        <w:t xml:space="preserve">strategies, and </w:t>
      </w:r>
      <w:r w:rsidR="00C044AD" w:rsidRPr="008C1175">
        <w:rPr>
          <w:rFonts w:ascii="Times New Roman" w:hAnsi="Times New Roman"/>
        </w:rPr>
        <w:t>similar</w:t>
      </w:r>
      <w:r w:rsidR="00DC561F" w:rsidRPr="008C1175">
        <w:rPr>
          <w:rFonts w:ascii="Times New Roman" w:hAnsi="Times New Roman"/>
        </w:rPr>
        <w:t xml:space="preserve"> details</w:t>
      </w:r>
      <w:r w:rsidR="00DE02C7" w:rsidRPr="008C1175">
        <w:rPr>
          <w:rFonts w:ascii="Times New Roman" w:hAnsi="Times New Roman"/>
        </w:rPr>
        <w:t xml:space="preserve">, but use identical inclusion criteria and data-gathering methodology. Both datasets contain all grants of </w:t>
      </w:r>
      <w:r w:rsidR="001D7638" w:rsidRPr="008C1175">
        <w:rPr>
          <w:rFonts w:ascii="Times New Roman" w:hAnsi="Times New Roman"/>
        </w:rPr>
        <w:t xml:space="preserve">at least </w:t>
      </w:r>
      <w:r w:rsidR="00DE02C7" w:rsidRPr="008C1175">
        <w:rPr>
          <w:rFonts w:ascii="Times New Roman" w:hAnsi="Times New Roman"/>
        </w:rPr>
        <w:t>10,000 Nominal USD made during the year b</w:t>
      </w:r>
      <w:r w:rsidR="004C5AE8" w:rsidRPr="008C1175">
        <w:rPr>
          <w:rFonts w:ascii="Times New Roman" w:hAnsi="Times New Roman"/>
        </w:rPr>
        <w:t xml:space="preserve">y any of the 1,000 largest U.S. </w:t>
      </w:r>
      <w:r w:rsidR="00DE02C7" w:rsidRPr="008C1175">
        <w:rPr>
          <w:rFonts w:ascii="Times New Roman" w:hAnsi="Times New Roman"/>
        </w:rPr>
        <w:t xml:space="preserve">based foundations. Data was collected by direct reporting from foundations, foundation websites, public reporting, and annual IRS information returns. More information on the overall dataset is available at </w:t>
      </w:r>
      <w:hyperlink r:id="rId5" w:history="1">
        <w:r w:rsidR="00DE02C7" w:rsidRPr="008C1175">
          <w:rPr>
            <w:rStyle w:val="Hyperlink"/>
            <w:rFonts w:ascii="Times New Roman" w:hAnsi="Times New Roman"/>
          </w:rPr>
          <w:t>http://data.foundationcenter.org/about.html</w:t>
        </w:r>
      </w:hyperlink>
      <w:r w:rsidR="00DE02C7" w:rsidRPr="008C1175">
        <w:rPr>
          <w:rFonts w:ascii="Times New Roman" w:hAnsi="Times New Roman"/>
        </w:rPr>
        <w:t>.</w:t>
      </w:r>
    </w:p>
    <w:p w14:paraId="79DB81E7" w14:textId="77777777" w:rsidR="00DE02C7" w:rsidRPr="008C1175" w:rsidRDefault="00DE02C7">
      <w:pPr>
        <w:rPr>
          <w:rFonts w:ascii="Times New Roman" w:hAnsi="Times New Roman"/>
        </w:rPr>
      </w:pPr>
    </w:p>
    <w:p w14:paraId="1679E912" w14:textId="3A4E496B" w:rsidR="00306AA4" w:rsidRPr="008C1175" w:rsidRDefault="00A27F73">
      <w:pPr>
        <w:rPr>
          <w:rFonts w:ascii="Times New Roman" w:hAnsi="Times New Roman"/>
        </w:rPr>
      </w:pPr>
      <w:r w:rsidRPr="008C1175">
        <w:rPr>
          <w:rFonts w:ascii="Times New Roman" w:hAnsi="Times New Roman"/>
        </w:rPr>
        <w:lastRenderedPageBreak/>
        <w:t xml:space="preserve">Because the dataset contains information only on foundation funding, we cannot rule out the impact of other sources of funding for women’s empowerment programs. As such the conclusions in this study apply to the ways in which Foundation funding does or does not provide for effective political action. Organizations may compensate for foundation funding through alternate income sources, but due to the massive scale of foundation funding, and the stated goals of foundations to be effective funders of women’s empowerment, identified shortfalls in patterns of foundation funding </w:t>
      </w:r>
      <w:r w:rsidR="00C34033" w:rsidRPr="008C1175">
        <w:rPr>
          <w:rFonts w:ascii="Times New Roman" w:hAnsi="Times New Roman"/>
        </w:rPr>
        <w:t>have serious implications for women’s empowerment.</w:t>
      </w:r>
    </w:p>
    <w:p w14:paraId="5DEF174D" w14:textId="77777777" w:rsidR="00306AA4" w:rsidRPr="008C1175" w:rsidRDefault="00306AA4">
      <w:pPr>
        <w:rPr>
          <w:rFonts w:ascii="Times New Roman" w:hAnsi="Times New Roman"/>
        </w:rPr>
      </w:pPr>
    </w:p>
    <w:p w14:paraId="060A9699" w14:textId="14BFD8FC" w:rsidR="00DE02C7" w:rsidRPr="008C1175" w:rsidRDefault="002015BB">
      <w:pPr>
        <w:rPr>
          <w:rFonts w:ascii="Times New Roman" w:hAnsi="Times New Roman"/>
        </w:rPr>
      </w:pPr>
      <w:r w:rsidRPr="008C1175">
        <w:rPr>
          <w:rFonts w:ascii="Times New Roman" w:hAnsi="Times New Roman"/>
        </w:rPr>
        <w:t>Within our study, we</w:t>
      </w:r>
      <w:r w:rsidR="00056956" w:rsidRPr="008C1175">
        <w:rPr>
          <w:rFonts w:ascii="Times New Roman" w:hAnsi="Times New Roman"/>
        </w:rPr>
        <w:t xml:space="preserve"> create a custom data set composed of</w:t>
      </w:r>
      <w:r w:rsidRPr="008C1175">
        <w:rPr>
          <w:rFonts w:ascii="Times New Roman" w:hAnsi="Times New Roman"/>
        </w:rPr>
        <w:t xml:space="preserve"> only those grants pertaining to women’s empowerment. </w:t>
      </w:r>
      <w:r w:rsidR="00EC6A16" w:rsidRPr="008C1175">
        <w:rPr>
          <w:rFonts w:ascii="Times New Roman" w:hAnsi="Times New Roman"/>
        </w:rPr>
        <w:t>Grants were selected if</w:t>
      </w:r>
    </w:p>
    <w:p w14:paraId="4F704561" w14:textId="1A4A18C0" w:rsidR="00EC6A16" w:rsidRPr="008C1175" w:rsidRDefault="000B7B88" w:rsidP="00EC6A16">
      <w:pPr>
        <w:pStyle w:val="ListParagraph"/>
        <w:numPr>
          <w:ilvl w:val="0"/>
          <w:numId w:val="2"/>
        </w:numPr>
        <w:rPr>
          <w:rFonts w:ascii="Times New Roman" w:hAnsi="Times New Roman"/>
        </w:rPr>
      </w:pPr>
      <w:r w:rsidRPr="008C1175">
        <w:rPr>
          <w:rFonts w:ascii="Times New Roman" w:hAnsi="Times New Roman"/>
        </w:rPr>
        <w:t>At least o</w:t>
      </w:r>
      <w:r w:rsidR="00EC6A16" w:rsidRPr="008C1175">
        <w:rPr>
          <w:rFonts w:ascii="Times New Roman" w:hAnsi="Times New Roman"/>
        </w:rPr>
        <w:t xml:space="preserve">ne of </w:t>
      </w:r>
      <w:r w:rsidR="00EA769A" w:rsidRPr="008C1175">
        <w:rPr>
          <w:rFonts w:ascii="Times New Roman" w:hAnsi="Times New Roman"/>
        </w:rPr>
        <w:t>the grant population codes was women or g</w:t>
      </w:r>
      <w:r w:rsidR="00EC6A16" w:rsidRPr="008C1175">
        <w:rPr>
          <w:rFonts w:ascii="Times New Roman" w:hAnsi="Times New Roman"/>
        </w:rPr>
        <w:t>irls</w:t>
      </w:r>
      <w:r w:rsidR="00591195" w:rsidRPr="008C1175">
        <w:rPr>
          <w:rFonts w:ascii="Times New Roman" w:hAnsi="Times New Roman"/>
        </w:rPr>
        <w:t xml:space="preserve"> or</w:t>
      </w:r>
    </w:p>
    <w:p w14:paraId="3FA5D35C" w14:textId="5FBE6CAE" w:rsidR="00EC6A16" w:rsidRPr="008C1175" w:rsidRDefault="00591195" w:rsidP="00EC6A16">
      <w:pPr>
        <w:pStyle w:val="ListParagraph"/>
        <w:numPr>
          <w:ilvl w:val="0"/>
          <w:numId w:val="2"/>
        </w:numPr>
        <w:rPr>
          <w:rFonts w:ascii="Times New Roman" w:hAnsi="Times New Roman"/>
        </w:rPr>
      </w:pPr>
      <w:r w:rsidRPr="008C1175">
        <w:rPr>
          <w:rFonts w:ascii="Times New Roman" w:hAnsi="Times New Roman"/>
        </w:rPr>
        <w:t>N</w:t>
      </w:r>
      <w:r w:rsidR="000B7B88" w:rsidRPr="008C1175">
        <w:rPr>
          <w:rFonts w:ascii="Times New Roman" w:hAnsi="Times New Roman"/>
        </w:rPr>
        <w:t>o grant population codes were specified and at least one of the recipient org</w:t>
      </w:r>
      <w:r w:rsidR="00EA769A" w:rsidRPr="008C1175">
        <w:rPr>
          <w:rFonts w:ascii="Times New Roman" w:hAnsi="Times New Roman"/>
        </w:rPr>
        <w:t>anization population codes was women or g</w:t>
      </w:r>
      <w:r w:rsidR="000B7B88" w:rsidRPr="008C1175">
        <w:rPr>
          <w:rFonts w:ascii="Times New Roman" w:hAnsi="Times New Roman"/>
        </w:rPr>
        <w:t>irls</w:t>
      </w:r>
    </w:p>
    <w:p w14:paraId="2B670EC8" w14:textId="77777777" w:rsidR="00EC6A16" w:rsidRPr="008C1175" w:rsidRDefault="00EC6A16">
      <w:pPr>
        <w:rPr>
          <w:rFonts w:ascii="Times New Roman" w:hAnsi="Times New Roman"/>
        </w:rPr>
      </w:pPr>
    </w:p>
    <w:p w14:paraId="2FAEB200" w14:textId="365ACCBE" w:rsidR="006D532E" w:rsidRPr="008C1175" w:rsidRDefault="006D532E">
      <w:pPr>
        <w:rPr>
          <w:rFonts w:ascii="Times New Roman" w:hAnsi="Times New Roman"/>
        </w:rPr>
      </w:pPr>
      <w:r w:rsidRPr="008C1175">
        <w:rPr>
          <w:rFonts w:ascii="Times New Roman" w:hAnsi="Times New Roman"/>
        </w:rPr>
        <w:t xml:space="preserve">This subsection of the data included 59,558 grants in the 1992-2001 data and 111,438 grants in the 2002-2013 data. Because of the switch in coding methods, we calculate trends in issue areas, strategy, and related areas only within the 2002-2013 data. However, we calculate trends in gross spending and spending by foundation across both data sets as methodology for these variables is consistent between the two sets. </w:t>
      </w:r>
    </w:p>
    <w:p w14:paraId="5BEF88C8" w14:textId="77777777" w:rsidR="006D532E" w:rsidRPr="008C1175" w:rsidRDefault="006D532E">
      <w:pPr>
        <w:rPr>
          <w:rFonts w:ascii="Times New Roman" w:hAnsi="Times New Roman"/>
        </w:rPr>
      </w:pPr>
    </w:p>
    <w:p w14:paraId="686354FA" w14:textId="0E4A3ADE" w:rsidR="00C34033" w:rsidRPr="008C1175" w:rsidRDefault="00A25161">
      <w:pPr>
        <w:rPr>
          <w:rFonts w:ascii="Times New Roman" w:hAnsi="Times New Roman"/>
        </w:rPr>
      </w:pPr>
      <w:r w:rsidRPr="008C1175">
        <w:rPr>
          <w:rFonts w:ascii="Times New Roman" w:hAnsi="Times New Roman"/>
        </w:rPr>
        <w:t xml:space="preserve">Unlike AWID’s data, the Foundation Center dataset contains organizations that are not explicit women’s organizations, but which receive grant funding for and contain programs directed at </w:t>
      </w:r>
      <w:r w:rsidR="001247B6" w:rsidRPr="008C1175">
        <w:rPr>
          <w:rFonts w:ascii="Times New Roman" w:hAnsi="Times New Roman"/>
        </w:rPr>
        <w:t xml:space="preserve">women and girls. </w:t>
      </w:r>
      <w:r w:rsidR="00EC7F72" w:rsidRPr="008C1175">
        <w:rPr>
          <w:rFonts w:ascii="Times New Roman" w:hAnsi="Times New Roman"/>
        </w:rPr>
        <w:t xml:space="preserve">Our primary concern is not to attempt a total tally of funding to women’s organizations, but rather a comprehensive dataset of foundation giving to women’s empowerment programs. </w:t>
      </w:r>
      <w:r w:rsidR="00775C60" w:rsidRPr="008C1175">
        <w:rPr>
          <w:rFonts w:ascii="Times New Roman" w:hAnsi="Times New Roman"/>
        </w:rPr>
        <w:t>As such there is imperfect overlap between the funding recipients in the Foundation Center data and the organizations interviewed by AWID. We draw primarily on AWID data for analyzing the goals and needs of women’s organizations, but use the Foundation Center data to examine the extent to which foundation funding patterns match stated goals.</w:t>
      </w:r>
      <w:r w:rsidR="00F47D9D" w:rsidRPr="008C1175">
        <w:rPr>
          <w:rFonts w:ascii="Times New Roman" w:hAnsi="Times New Roman"/>
        </w:rPr>
        <w:t xml:space="preserve"> As noted in the text, the overlap between the datasets is much more significant when examining funding for political purposes (see appendix 3)</w:t>
      </w:r>
      <w:r w:rsidR="001A4CF4" w:rsidRPr="008C1175">
        <w:rPr>
          <w:rFonts w:ascii="Times New Roman" w:hAnsi="Times New Roman"/>
        </w:rPr>
        <w:t xml:space="preserve">, and as such our analysis on </w:t>
      </w:r>
      <w:r w:rsidR="005E6B59" w:rsidRPr="008C1175">
        <w:rPr>
          <w:rFonts w:ascii="Times New Roman" w:hAnsi="Times New Roman"/>
        </w:rPr>
        <w:t xml:space="preserve">specific types of funding is limited to these recipient organizations. </w:t>
      </w:r>
      <w:r w:rsidR="00F47D9D" w:rsidRPr="008C1175">
        <w:rPr>
          <w:rFonts w:ascii="Times New Roman" w:hAnsi="Times New Roman"/>
        </w:rPr>
        <w:t xml:space="preserve"> </w:t>
      </w:r>
    </w:p>
    <w:p w14:paraId="15433202" w14:textId="77777777" w:rsidR="002964F8" w:rsidRPr="008C1175" w:rsidRDefault="002964F8">
      <w:pPr>
        <w:rPr>
          <w:rFonts w:ascii="Times New Roman" w:hAnsi="Times New Roman"/>
        </w:rPr>
      </w:pPr>
    </w:p>
    <w:p w14:paraId="5CA75832" w14:textId="44F89B76" w:rsidR="00AC275D" w:rsidRPr="008C1175" w:rsidRDefault="00F07BC0">
      <w:pPr>
        <w:rPr>
          <w:rFonts w:ascii="Times New Roman" w:hAnsi="Times New Roman"/>
        </w:rPr>
      </w:pPr>
      <w:r>
        <w:rPr>
          <w:rFonts w:ascii="Times New Roman" w:hAnsi="Times New Roman"/>
        </w:rPr>
        <w:t xml:space="preserve">Within the 2002-2013 </w:t>
      </w:r>
      <w:r w:rsidR="00AC275D" w:rsidRPr="008C1175">
        <w:rPr>
          <w:rFonts w:ascii="Times New Roman" w:hAnsi="Times New Roman"/>
        </w:rPr>
        <w:t xml:space="preserve">data, </w:t>
      </w:r>
      <w:r w:rsidR="005624C8" w:rsidRPr="008C1175">
        <w:rPr>
          <w:rFonts w:ascii="Times New Roman" w:hAnsi="Times New Roman"/>
        </w:rPr>
        <w:t>grants are assigned up to 10 issue areas, up to 10 populations, up to 10 s</w:t>
      </w:r>
      <w:r w:rsidR="008415A7" w:rsidRPr="008C1175">
        <w:rPr>
          <w:rFonts w:ascii="Times New Roman" w:hAnsi="Times New Roman"/>
        </w:rPr>
        <w:t>trategy codes, and one primary activity o</w:t>
      </w:r>
      <w:r w:rsidR="005624C8" w:rsidRPr="008C1175">
        <w:rPr>
          <w:rFonts w:ascii="Times New Roman" w:hAnsi="Times New Roman"/>
        </w:rPr>
        <w:t xml:space="preserve">verride code that denotes the primary subject of the grant. Recipient organizations are assigned an organization type, up to 10 issue areas, up to 10 populations, and up to 10 strategy codes. </w:t>
      </w:r>
      <w:r w:rsidR="00832ED0" w:rsidRPr="008C1175">
        <w:rPr>
          <w:rFonts w:ascii="Times New Roman" w:hAnsi="Times New Roman"/>
        </w:rPr>
        <w:t xml:space="preserve">The indicators detailed in sections 2-6 below use </w:t>
      </w:r>
      <w:r w:rsidR="000A30E1" w:rsidRPr="008C1175">
        <w:rPr>
          <w:rFonts w:ascii="Times New Roman" w:hAnsi="Times New Roman"/>
        </w:rPr>
        <w:t>a combination of all of these, while Figure 8 referencing the top fun</w:t>
      </w:r>
      <w:r w:rsidR="00EE314D" w:rsidRPr="008C1175">
        <w:rPr>
          <w:rFonts w:ascii="Times New Roman" w:hAnsi="Times New Roman"/>
        </w:rPr>
        <w:t>ded issues uses the activity o</w:t>
      </w:r>
      <w:r w:rsidR="000A30E1" w:rsidRPr="008C1175">
        <w:rPr>
          <w:rFonts w:ascii="Times New Roman" w:hAnsi="Times New Roman"/>
        </w:rPr>
        <w:t xml:space="preserve">verride code to indicate primary issue focus. </w:t>
      </w:r>
    </w:p>
    <w:p w14:paraId="6AD081BA" w14:textId="77777777" w:rsidR="008D7327" w:rsidRPr="008C1175" w:rsidRDefault="008D7327">
      <w:pPr>
        <w:rPr>
          <w:rFonts w:ascii="Times New Roman" w:hAnsi="Times New Roman"/>
        </w:rPr>
      </w:pPr>
    </w:p>
    <w:p w14:paraId="4DBEB32B" w14:textId="572199DB" w:rsidR="00A7219F" w:rsidRPr="008C1175" w:rsidRDefault="00996B3A">
      <w:pPr>
        <w:rPr>
          <w:rFonts w:ascii="Times New Roman" w:hAnsi="Times New Roman"/>
          <w:b/>
        </w:rPr>
      </w:pPr>
      <w:r w:rsidRPr="008C1175">
        <w:rPr>
          <w:rFonts w:ascii="Times New Roman" w:hAnsi="Times New Roman"/>
          <w:b/>
        </w:rPr>
        <w:t xml:space="preserve">Section </w:t>
      </w:r>
      <w:r w:rsidR="00E46D7D" w:rsidRPr="008C1175">
        <w:rPr>
          <w:rFonts w:ascii="Times New Roman" w:hAnsi="Times New Roman"/>
          <w:b/>
        </w:rPr>
        <w:t>3</w:t>
      </w:r>
      <w:r w:rsidRPr="008C1175">
        <w:rPr>
          <w:rFonts w:ascii="Times New Roman" w:hAnsi="Times New Roman"/>
          <w:b/>
        </w:rPr>
        <w:t xml:space="preserve">: </w:t>
      </w:r>
      <w:r w:rsidR="00A7219F" w:rsidRPr="008C1175">
        <w:rPr>
          <w:rFonts w:ascii="Times New Roman" w:hAnsi="Times New Roman"/>
          <w:b/>
        </w:rPr>
        <w:t>Political Binary Indicator</w:t>
      </w:r>
    </w:p>
    <w:p w14:paraId="303D4565" w14:textId="77777777" w:rsidR="000C6811" w:rsidRPr="008C1175" w:rsidRDefault="000C6811">
      <w:pPr>
        <w:rPr>
          <w:rFonts w:ascii="Times New Roman" w:hAnsi="Times New Roman"/>
          <w:b/>
        </w:rPr>
      </w:pPr>
    </w:p>
    <w:p w14:paraId="31304C8C" w14:textId="07BEA078" w:rsidR="002D29ED" w:rsidRPr="008C1175" w:rsidRDefault="000A6572" w:rsidP="002D29ED">
      <w:pPr>
        <w:rPr>
          <w:rFonts w:ascii="Times New Roman" w:hAnsi="Times New Roman"/>
        </w:rPr>
      </w:pPr>
      <w:r w:rsidRPr="008C1175">
        <w:rPr>
          <w:rFonts w:ascii="Times New Roman" w:hAnsi="Times New Roman"/>
        </w:rPr>
        <w:t xml:space="preserve">In order to better capture funding to traditional women’s empowerment organizations, we construct a subset of the </w:t>
      </w:r>
      <w:proofErr w:type="spellStart"/>
      <w:r w:rsidRPr="008C1175">
        <w:rPr>
          <w:rFonts w:ascii="Times New Roman" w:hAnsi="Times New Roman"/>
        </w:rPr>
        <w:t>Foudnation</w:t>
      </w:r>
      <w:proofErr w:type="spellEnd"/>
      <w:r w:rsidRPr="008C1175">
        <w:rPr>
          <w:rFonts w:ascii="Times New Roman" w:hAnsi="Times New Roman"/>
        </w:rPr>
        <w:t xml:space="preserve"> Center data containing only political funding. This subsection is used for all subsequent analysis of trends in specific forms of funding. </w:t>
      </w:r>
      <w:r w:rsidR="00306AA4" w:rsidRPr="008C1175">
        <w:rPr>
          <w:rFonts w:ascii="Times New Roman" w:hAnsi="Times New Roman"/>
        </w:rPr>
        <w:t xml:space="preserve">Due to the differences in coding methodology discussed above, the political binary indicator was only </w:t>
      </w:r>
      <w:r w:rsidR="00306AA4" w:rsidRPr="008C1175">
        <w:rPr>
          <w:rFonts w:ascii="Times New Roman" w:hAnsi="Times New Roman"/>
        </w:rPr>
        <w:lastRenderedPageBreak/>
        <w:t xml:space="preserve">constructed for 2002-2013 data, and all sections concerning political spending only examine this data. </w:t>
      </w:r>
      <w:r w:rsidR="00EA769A" w:rsidRPr="008C1175">
        <w:rPr>
          <w:rFonts w:ascii="Times New Roman" w:hAnsi="Times New Roman"/>
        </w:rPr>
        <w:t>A</w:t>
      </w:r>
      <w:r w:rsidR="002D29ED" w:rsidRPr="008C1175">
        <w:rPr>
          <w:rFonts w:ascii="Times New Roman" w:hAnsi="Times New Roman"/>
        </w:rPr>
        <w:t xml:space="preserve">ny grant that met any of the criteria </w:t>
      </w:r>
      <w:r w:rsidR="00EA769A" w:rsidRPr="008C1175">
        <w:rPr>
          <w:rFonts w:ascii="Times New Roman" w:hAnsi="Times New Roman"/>
        </w:rPr>
        <w:t xml:space="preserve">below </w:t>
      </w:r>
      <w:r w:rsidR="002D29ED" w:rsidRPr="008C1175">
        <w:rPr>
          <w:rFonts w:ascii="Times New Roman" w:hAnsi="Times New Roman"/>
        </w:rPr>
        <w:t>was included as political. Due to a lack of granularity in the data</w:t>
      </w:r>
      <w:r w:rsidR="00306AA4" w:rsidRPr="008C1175">
        <w:rPr>
          <w:rFonts w:ascii="Times New Roman" w:hAnsi="Times New Roman"/>
        </w:rPr>
        <w:t>,</w:t>
      </w:r>
      <w:r w:rsidR="002D29ED" w:rsidRPr="008C1175">
        <w:rPr>
          <w:rFonts w:ascii="Times New Roman" w:hAnsi="Times New Roman"/>
        </w:rPr>
        <w:t xml:space="preserve"> multi-part grants with </w:t>
      </w:r>
      <w:r w:rsidR="00306AA4" w:rsidRPr="008C1175">
        <w:rPr>
          <w:rFonts w:ascii="Times New Roman" w:hAnsi="Times New Roman"/>
        </w:rPr>
        <w:t xml:space="preserve">at least </w:t>
      </w:r>
      <w:r w:rsidR="002D29ED" w:rsidRPr="008C1175">
        <w:rPr>
          <w:rFonts w:ascii="Times New Roman" w:hAnsi="Times New Roman"/>
        </w:rPr>
        <w:t xml:space="preserve">one political dimension were counted as entirely political, potentially inflating totals for political giving. </w:t>
      </w:r>
    </w:p>
    <w:p w14:paraId="287F280D" w14:textId="77777777" w:rsidR="002D29ED" w:rsidRPr="008C1175" w:rsidRDefault="002D29ED">
      <w:pPr>
        <w:rPr>
          <w:rFonts w:ascii="Times New Roman" w:hAnsi="Times New Roman"/>
        </w:rPr>
      </w:pPr>
    </w:p>
    <w:p w14:paraId="399C07B0" w14:textId="6382D7D0" w:rsidR="000C6811" w:rsidRPr="008C1175" w:rsidRDefault="00A2222B">
      <w:pPr>
        <w:rPr>
          <w:rFonts w:ascii="Times New Roman" w:hAnsi="Times New Roman"/>
        </w:rPr>
      </w:pPr>
      <w:r w:rsidRPr="008C1175">
        <w:rPr>
          <w:rFonts w:ascii="Times New Roman" w:hAnsi="Times New Roman"/>
        </w:rPr>
        <w:t xml:space="preserve">We </w:t>
      </w:r>
      <w:r w:rsidR="00D84098" w:rsidRPr="008C1175">
        <w:rPr>
          <w:rFonts w:ascii="Times New Roman" w:hAnsi="Times New Roman"/>
        </w:rPr>
        <w:t>consider grant as political</w:t>
      </w:r>
      <w:r w:rsidR="00D80C4C" w:rsidRPr="008C1175">
        <w:rPr>
          <w:rFonts w:ascii="Times New Roman" w:hAnsi="Times New Roman"/>
        </w:rPr>
        <w:t xml:space="preserve"> if it contained at least one of the following:</w:t>
      </w:r>
    </w:p>
    <w:p w14:paraId="10FF4A7A" w14:textId="43351688" w:rsidR="00D80C4C" w:rsidRPr="008C1175" w:rsidRDefault="00D80C4C" w:rsidP="00D80C4C">
      <w:pPr>
        <w:pStyle w:val="ListParagraph"/>
        <w:numPr>
          <w:ilvl w:val="0"/>
          <w:numId w:val="1"/>
        </w:numPr>
        <w:rPr>
          <w:rFonts w:ascii="Times New Roman" w:hAnsi="Times New Roman"/>
        </w:rPr>
      </w:pPr>
      <w:r w:rsidRPr="008C1175">
        <w:rPr>
          <w:rFonts w:ascii="Times New Roman" w:hAnsi="Times New Roman"/>
        </w:rPr>
        <w:t xml:space="preserve">A political grant subject issue </w:t>
      </w:r>
    </w:p>
    <w:p w14:paraId="2E1E8961" w14:textId="64892AD9" w:rsidR="00D80C4C" w:rsidRPr="008C1175" w:rsidRDefault="00D80C4C" w:rsidP="00D80C4C">
      <w:pPr>
        <w:pStyle w:val="ListParagraph"/>
        <w:numPr>
          <w:ilvl w:val="0"/>
          <w:numId w:val="1"/>
        </w:numPr>
        <w:rPr>
          <w:rFonts w:ascii="Times New Roman" w:hAnsi="Times New Roman"/>
        </w:rPr>
      </w:pPr>
      <w:r w:rsidRPr="008C1175">
        <w:rPr>
          <w:rFonts w:ascii="Times New Roman" w:hAnsi="Times New Roman"/>
        </w:rPr>
        <w:t xml:space="preserve">A political grant strategy </w:t>
      </w:r>
    </w:p>
    <w:p w14:paraId="66AE3BA4" w14:textId="00F6D141" w:rsidR="00D80C4C" w:rsidRPr="008C1175" w:rsidRDefault="007D2431" w:rsidP="00D80C4C">
      <w:pPr>
        <w:pStyle w:val="ListParagraph"/>
        <w:numPr>
          <w:ilvl w:val="0"/>
          <w:numId w:val="1"/>
        </w:numPr>
        <w:rPr>
          <w:rFonts w:ascii="Times New Roman" w:hAnsi="Times New Roman"/>
        </w:rPr>
      </w:pPr>
      <w:r w:rsidRPr="008C1175">
        <w:rPr>
          <w:rFonts w:ascii="Times New Roman" w:hAnsi="Times New Roman"/>
        </w:rPr>
        <w:t xml:space="preserve">A political grant target population </w:t>
      </w:r>
    </w:p>
    <w:p w14:paraId="42A1B6E7" w14:textId="74F98041" w:rsidR="00010259" w:rsidRPr="008C1175" w:rsidRDefault="007D2431" w:rsidP="00D80C4C">
      <w:pPr>
        <w:pStyle w:val="ListParagraph"/>
        <w:numPr>
          <w:ilvl w:val="0"/>
          <w:numId w:val="1"/>
        </w:numPr>
        <w:rPr>
          <w:rFonts w:ascii="Times New Roman" w:hAnsi="Times New Roman"/>
        </w:rPr>
      </w:pPr>
      <w:r w:rsidRPr="008C1175">
        <w:rPr>
          <w:rFonts w:ascii="Times New Roman" w:hAnsi="Times New Roman"/>
        </w:rPr>
        <w:t>A political recipient organization subject issue area</w:t>
      </w:r>
    </w:p>
    <w:p w14:paraId="2EF7D6D5" w14:textId="666C5B2D" w:rsidR="007D2431" w:rsidRPr="008C1175" w:rsidRDefault="007D2431" w:rsidP="00D80C4C">
      <w:pPr>
        <w:pStyle w:val="ListParagraph"/>
        <w:numPr>
          <w:ilvl w:val="0"/>
          <w:numId w:val="1"/>
        </w:numPr>
        <w:rPr>
          <w:rFonts w:ascii="Times New Roman" w:hAnsi="Times New Roman"/>
        </w:rPr>
      </w:pPr>
      <w:r w:rsidRPr="008C1175">
        <w:rPr>
          <w:rFonts w:ascii="Times New Roman" w:hAnsi="Times New Roman"/>
        </w:rPr>
        <w:t>A political recipient organization strategy</w:t>
      </w:r>
    </w:p>
    <w:p w14:paraId="429E3920" w14:textId="240641C0" w:rsidR="007137E6" w:rsidRPr="008C1175" w:rsidRDefault="007137E6" w:rsidP="00D80C4C">
      <w:pPr>
        <w:pStyle w:val="ListParagraph"/>
        <w:numPr>
          <w:ilvl w:val="0"/>
          <w:numId w:val="1"/>
        </w:numPr>
        <w:rPr>
          <w:rFonts w:ascii="Times New Roman" w:hAnsi="Times New Roman"/>
        </w:rPr>
      </w:pPr>
      <w:r w:rsidRPr="008C1175">
        <w:rPr>
          <w:rFonts w:ascii="Times New Roman" w:hAnsi="Times New Roman"/>
        </w:rPr>
        <w:t>A political recipient organization target population</w:t>
      </w:r>
    </w:p>
    <w:p w14:paraId="6C670E21" w14:textId="4895EF64" w:rsidR="00A90304" w:rsidRPr="008C1175" w:rsidRDefault="00A90304" w:rsidP="00D80C4C">
      <w:pPr>
        <w:pStyle w:val="ListParagraph"/>
        <w:numPr>
          <w:ilvl w:val="0"/>
          <w:numId w:val="1"/>
        </w:numPr>
        <w:rPr>
          <w:rFonts w:ascii="Times New Roman" w:hAnsi="Times New Roman"/>
        </w:rPr>
      </w:pPr>
      <w:r w:rsidRPr="008C1175">
        <w:rPr>
          <w:rFonts w:ascii="Times New Roman" w:hAnsi="Times New Roman"/>
        </w:rPr>
        <w:t>A political recipient organization type</w:t>
      </w:r>
    </w:p>
    <w:p w14:paraId="6E52C52D" w14:textId="77777777" w:rsidR="00FC21AF" w:rsidRPr="008C1175" w:rsidRDefault="00FC21AF" w:rsidP="00FC21AF">
      <w:pPr>
        <w:rPr>
          <w:rFonts w:ascii="Times New Roman" w:hAnsi="Times New Roman"/>
        </w:rPr>
      </w:pPr>
    </w:p>
    <w:p w14:paraId="01665483" w14:textId="533D9376" w:rsidR="00FC21AF" w:rsidRPr="008C1175" w:rsidRDefault="00A403DF" w:rsidP="00FC21AF">
      <w:pPr>
        <w:rPr>
          <w:rFonts w:ascii="Times New Roman" w:hAnsi="Times New Roman"/>
        </w:rPr>
      </w:pPr>
      <w:r w:rsidRPr="008C1175">
        <w:rPr>
          <w:rFonts w:ascii="Times New Roman" w:hAnsi="Times New Roman"/>
        </w:rPr>
        <w:t xml:space="preserve">Because any of the above is enough to qualify a grant as political, </w:t>
      </w:r>
      <w:r w:rsidR="00D77563" w:rsidRPr="008C1175">
        <w:rPr>
          <w:rFonts w:ascii="Times New Roman" w:hAnsi="Times New Roman"/>
        </w:rPr>
        <w:t>activities that are not themselves coded as political but which are performed by political organizations are included, as are</w:t>
      </w:r>
      <w:r w:rsidR="00C841A9" w:rsidRPr="008C1175">
        <w:rPr>
          <w:rFonts w:ascii="Times New Roman" w:hAnsi="Times New Roman"/>
        </w:rPr>
        <w:t xml:space="preserve"> political actions performed by organizations which are not</w:t>
      </w:r>
      <w:r w:rsidR="00591195" w:rsidRPr="008C1175">
        <w:rPr>
          <w:rFonts w:ascii="Times New Roman" w:hAnsi="Times New Roman"/>
        </w:rPr>
        <w:t xml:space="preserve"> themselves coded as political.</w:t>
      </w:r>
    </w:p>
    <w:p w14:paraId="0276D642" w14:textId="77777777" w:rsidR="007137E6" w:rsidRPr="008C1175" w:rsidRDefault="007137E6" w:rsidP="007137E6">
      <w:pPr>
        <w:rPr>
          <w:rFonts w:ascii="Times New Roman" w:hAnsi="Times New Roman"/>
        </w:rPr>
      </w:pPr>
    </w:p>
    <w:p w14:paraId="183F3F69" w14:textId="4D70613B" w:rsidR="00E772EE" w:rsidRPr="008C1175" w:rsidRDefault="00DD3CCD" w:rsidP="007137E6">
      <w:pPr>
        <w:rPr>
          <w:rFonts w:ascii="Times New Roman" w:hAnsi="Times New Roman"/>
        </w:rPr>
      </w:pPr>
      <w:r w:rsidRPr="008C1175">
        <w:rPr>
          <w:rFonts w:ascii="Times New Roman" w:hAnsi="Times New Roman"/>
        </w:rPr>
        <w:t>The same lists of issues, strategies, and populations were used both for grants</w:t>
      </w:r>
      <w:r w:rsidR="00EC5D86" w:rsidRPr="008C1175">
        <w:rPr>
          <w:rFonts w:ascii="Times New Roman" w:hAnsi="Times New Roman"/>
        </w:rPr>
        <w:t xml:space="preserve"> and for recipient organizations. </w:t>
      </w:r>
    </w:p>
    <w:p w14:paraId="37FC2CF6" w14:textId="77777777" w:rsidR="00182229" w:rsidRPr="008C1175" w:rsidRDefault="00182229" w:rsidP="007137E6">
      <w:pPr>
        <w:rPr>
          <w:rFonts w:ascii="Times New Roman" w:hAnsi="Times New Roman"/>
        </w:rPr>
      </w:pPr>
    </w:p>
    <w:p w14:paraId="69855860" w14:textId="4C242849" w:rsidR="00182229" w:rsidRPr="008C1175" w:rsidRDefault="00182229" w:rsidP="00182229">
      <w:pPr>
        <w:outlineLvl w:val="0"/>
        <w:rPr>
          <w:rFonts w:ascii="Times New Roman" w:eastAsia="Times New Roman" w:hAnsi="Times New Roman" w:cs="Arial"/>
          <w:color w:val="000000"/>
        </w:rPr>
      </w:pPr>
      <w:r w:rsidRPr="008C1175">
        <w:rPr>
          <w:rFonts w:ascii="Times New Roman" w:hAnsi="Times New Roman"/>
        </w:rPr>
        <w:t xml:space="preserve">The following Subject Issues were considered political: Environmental Justice, </w:t>
      </w:r>
      <w:r w:rsidRPr="008C1175">
        <w:rPr>
          <w:rFonts w:ascii="Times New Roman" w:eastAsia="Times New Roman" w:hAnsi="Times New Roman" w:cs="Arial"/>
          <w:color w:val="000000"/>
        </w:rPr>
        <w:t>Media Justice, Narcotics, Community policing, Courts, Leadership Development, Democracy, Civic participation, Election Regulation, Campaign finance reform, Political organizations, Voter education and registration, Public Integrity, Government Regulation, Food Sovereignty, Community organizing, Neighborhood associations, Anti-predatory lending, Human Rights, Individual liberties, Right to life, Right to die, Freedom from violence and torture, Freedom to slavery, Right to privacy, Freedom of religion, Right to free movement and asylum, Reproductive rights, Social rights, Traditional marriage, Marriage equality, Freedom of information, Voter rights, Labor rights, Environmental and resource rights, Cultural rights, Economic justice, Justice rights, Due process, Capital punishment, Antidiscrimination, Immigrants’ rights, Minority rights, Disabled persons’ rights, Women’s rights, Rights of the ages, LGBTQ rights, Children’s rights, Prisoners’ rights, Diversity and intergroup relations, Democracy and civil society development, Foreign Policy, Goodwill promotion, Multilateral cooperation, International peace and security,  Arms control, Arms trafficking, Disarmament, Landmines, Nuclear non-proliferation, Conflict resolution</w:t>
      </w:r>
    </w:p>
    <w:p w14:paraId="6055A7E4" w14:textId="6A86D504" w:rsidR="00182229" w:rsidRPr="008C1175" w:rsidRDefault="00182229" w:rsidP="007137E6">
      <w:pPr>
        <w:rPr>
          <w:rFonts w:ascii="Times New Roman" w:hAnsi="Times New Roman"/>
        </w:rPr>
      </w:pPr>
    </w:p>
    <w:p w14:paraId="07E18FDA" w14:textId="55A300EE" w:rsidR="00E42B43" w:rsidRPr="008C1175" w:rsidRDefault="00E42B43" w:rsidP="00E42B43">
      <w:pPr>
        <w:rPr>
          <w:rFonts w:ascii="Times New Roman" w:hAnsi="Times New Roman"/>
        </w:rPr>
      </w:pPr>
      <w:r w:rsidRPr="008C1175">
        <w:rPr>
          <w:rFonts w:ascii="Times New Roman" w:hAnsi="Times New Roman"/>
        </w:rPr>
        <w:t xml:space="preserve">The following Strategies were considered political: Policy, </w:t>
      </w:r>
      <w:r w:rsidR="00306AA4" w:rsidRPr="008C1175">
        <w:rPr>
          <w:rFonts w:ascii="Times New Roman" w:hAnsi="Times New Roman"/>
        </w:rPr>
        <w:t>A</w:t>
      </w:r>
      <w:r w:rsidRPr="008C1175">
        <w:rPr>
          <w:rFonts w:ascii="Times New Roman" w:hAnsi="Times New Roman"/>
        </w:rPr>
        <w:t>dvocacy and systems reform, Advocacy, Systems reform, Litigation, Grassroots organizing, Coalition Building, Equal access</w:t>
      </w:r>
    </w:p>
    <w:p w14:paraId="3B0DB35C" w14:textId="77777777" w:rsidR="00A90304" w:rsidRPr="008C1175" w:rsidRDefault="00A90304" w:rsidP="00E42B43">
      <w:pPr>
        <w:rPr>
          <w:rFonts w:ascii="Times New Roman" w:hAnsi="Times New Roman"/>
        </w:rPr>
      </w:pPr>
    </w:p>
    <w:p w14:paraId="7EAD1DA0" w14:textId="696791B6" w:rsidR="00591195" w:rsidRPr="000C6899" w:rsidRDefault="00BE52A5" w:rsidP="007137E6">
      <w:pPr>
        <w:rPr>
          <w:rFonts w:ascii="Times New Roman" w:hAnsi="Times New Roman"/>
          <w:b/>
        </w:rPr>
      </w:pPr>
      <w:r w:rsidRPr="000C6899">
        <w:rPr>
          <w:rFonts w:ascii="Times New Roman" w:hAnsi="Times New Roman"/>
          <w:b/>
        </w:rPr>
        <w:t xml:space="preserve">Section </w:t>
      </w:r>
      <w:r w:rsidR="00B64C8F" w:rsidRPr="000C6899">
        <w:rPr>
          <w:rFonts w:ascii="Times New Roman" w:hAnsi="Times New Roman"/>
          <w:b/>
        </w:rPr>
        <w:t>4</w:t>
      </w:r>
      <w:r w:rsidRPr="000C6899">
        <w:rPr>
          <w:rFonts w:ascii="Times New Roman" w:hAnsi="Times New Roman"/>
          <w:b/>
        </w:rPr>
        <w:t>: General Operating Support</w:t>
      </w:r>
    </w:p>
    <w:p w14:paraId="5308AC23" w14:textId="77777777" w:rsidR="00BE52A5" w:rsidRPr="008C1175" w:rsidRDefault="00BE52A5" w:rsidP="007137E6">
      <w:pPr>
        <w:rPr>
          <w:rFonts w:ascii="Times New Roman" w:hAnsi="Times New Roman"/>
        </w:rPr>
      </w:pPr>
    </w:p>
    <w:p w14:paraId="1BF5E2E1" w14:textId="446E732B" w:rsidR="00A80FA2" w:rsidRPr="008C1175" w:rsidRDefault="003F0843" w:rsidP="00A80FA2">
      <w:pPr>
        <w:rPr>
          <w:rFonts w:ascii="Times New Roman" w:hAnsi="Times New Roman"/>
        </w:rPr>
      </w:pPr>
      <w:r w:rsidRPr="008C1175">
        <w:rPr>
          <w:rFonts w:ascii="Times New Roman" w:hAnsi="Times New Roman"/>
        </w:rPr>
        <w:t>We coded grants as</w:t>
      </w:r>
      <w:r w:rsidR="001E69F1" w:rsidRPr="008C1175">
        <w:rPr>
          <w:rFonts w:ascii="Times New Roman" w:hAnsi="Times New Roman"/>
        </w:rPr>
        <w:t xml:space="preserve"> G</w:t>
      </w:r>
      <w:r w:rsidR="00A80FA2" w:rsidRPr="008C1175">
        <w:rPr>
          <w:rFonts w:ascii="Times New Roman" w:hAnsi="Times New Roman"/>
        </w:rPr>
        <w:t>eneral Operating Support if the Grant Strategy Code</w:t>
      </w:r>
      <w:r w:rsidR="001E69F1" w:rsidRPr="008C1175">
        <w:rPr>
          <w:rFonts w:ascii="Times New Roman" w:hAnsi="Times New Roman"/>
        </w:rPr>
        <w:t xml:space="preserve"> </w:t>
      </w:r>
      <w:r w:rsidR="00A80FA2" w:rsidRPr="008C1175">
        <w:rPr>
          <w:rFonts w:ascii="Times New Roman" w:hAnsi="Times New Roman"/>
        </w:rPr>
        <w:t>contained at least one of the following</w:t>
      </w:r>
      <w:r w:rsidR="001E69F1" w:rsidRPr="008C1175">
        <w:rPr>
          <w:rFonts w:ascii="Times New Roman" w:hAnsi="Times New Roman"/>
        </w:rPr>
        <w:t xml:space="preserve">: </w:t>
      </w:r>
      <w:r w:rsidR="00A80FA2" w:rsidRPr="008C1175">
        <w:rPr>
          <w:rFonts w:ascii="Times New Roman" w:hAnsi="Times New Roman"/>
        </w:rPr>
        <w:t xml:space="preserve">General operating support, Capacity building and technical assistance, Seed Money, Capital and infrastructure, Equipment, Information Technology, Building and renovations, Rent, Land acquisitions, Building acquisitions, Facilities maintenance, Financial </w:t>
      </w:r>
      <w:r w:rsidR="00A80FA2" w:rsidRPr="008C1175">
        <w:rPr>
          <w:rFonts w:ascii="Times New Roman" w:hAnsi="Times New Roman"/>
        </w:rPr>
        <w:lastRenderedPageBreak/>
        <w:t xml:space="preserve">Sustainability, Earned Income, Endowments, Financial Services, Annual campaigns, </w:t>
      </w:r>
      <w:r w:rsidR="00BC6FA9" w:rsidRPr="008C1175">
        <w:rPr>
          <w:rFonts w:ascii="Times New Roman" w:hAnsi="Times New Roman"/>
        </w:rPr>
        <w:t>Fundraising, Debt reduction, Internships</w:t>
      </w:r>
      <w:r w:rsidR="00385BC4" w:rsidRPr="008C1175">
        <w:rPr>
          <w:rFonts w:ascii="Times New Roman" w:hAnsi="Times New Roman"/>
        </w:rPr>
        <w:t>.</w:t>
      </w:r>
    </w:p>
    <w:p w14:paraId="131BAFE2" w14:textId="77777777" w:rsidR="00385BC4" w:rsidRPr="008C1175" w:rsidRDefault="00385BC4" w:rsidP="00A80FA2">
      <w:pPr>
        <w:rPr>
          <w:rFonts w:ascii="Times New Roman" w:hAnsi="Times New Roman"/>
        </w:rPr>
      </w:pPr>
    </w:p>
    <w:p w14:paraId="676BE8F6" w14:textId="47AB00D0" w:rsidR="00385BC4" w:rsidRPr="008C1175" w:rsidRDefault="00481A02" w:rsidP="00A80FA2">
      <w:pPr>
        <w:rPr>
          <w:rFonts w:ascii="Times New Roman" w:hAnsi="Times New Roman"/>
        </w:rPr>
      </w:pPr>
      <w:r w:rsidRPr="008C1175">
        <w:rPr>
          <w:rFonts w:ascii="Times New Roman" w:hAnsi="Times New Roman"/>
        </w:rPr>
        <w:t>As with all the indicators, a</w:t>
      </w:r>
      <w:r w:rsidR="003C2805" w:rsidRPr="008C1175">
        <w:rPr>
          <w:rFonts w:ascii="Times New Roman" w:hAnsi="Times New Roman"/>
        </w:rPr>
        <w:t>ny grant flagged was counted in its entirety. Due to a lack of granularity in the data</w:t>
      </w:r>
      <w:r w:rsidR="00445FED" w:rsidRPr="008C1175">
        <w:rPr>
          <w:rFonts w:ascii="Times New Roman" w:hAnsi="Times New Roman"/>
        </w:rPr>
        <w:t>,</w:t>
      </w:r>
      <w:r w:rsidR="003C2805" w:rsidRPr="008C1175">
        <w:rPr>
          <w:rFonts w:ascii="Times New Roman" w:hAnsi="Times New Roman"/>
        </w:rPr>
        <w:t xml:space="preserve"> multi-part grants only partially earmarked for General Operating Support </w:t>
      </w:r>
      <w:r w:rsidR="00BE7E9C" w:rsidRPr="008C1175">
        <w:rPr>
          <w:rFonts w:ascii="Times New Roman" w:hAnsi="Times New Roman"/>
        </w:rPr>
        <w:t>would have</w:t>
      </w:r>
      <w:r w:rsidR="003C2805" w:rsidRPr="008C1175">
        <w:rPr>
          <w:rFonts w:ascii="Times New Roman" w:hAnsi="Times New Roman"/>
        </w:rPr>
        <w:t xml:space="preserve"> been counted here in full as General Operating Support, potentially inflating the totals. </w:t>
      </w:r>
    </w:p>
    <w:p w14:paraId="7EC26836" w14:textId="77777777" w:rsidR="00A05FBC" w:rsidRPr="008C1175" w:rsidRDefault="00A05FBC" w:rsidP="00A80FA2">
      <w:pPr>
        <w:rPr>
          <w:rFonts w:ascii="Times New Roman" w:hAnsi="Times New Roman"/>
        </w:rPr>
      </w:pPr>
    </w:p>
    <w:p w14:paraId="0324DB2E" w14:textId="0D0B952E" w:rsidR="00A05FBC" w:rsidRPr="008C1175" w:rsidRDefault="00A05FBC" w:rsidP="00A80FA2">
      <w:pPr>
        <w:rPr>
          <w:rFonts w:ascii="Times New Roman" w:hAnsi="Times New Roman"/>
        </w:rPr>
      </w:pPr>
      <w:r w:rsidRPr="008C1175">
        <w:rPr>
          <w:rFonts w:ascii="Times New Roman" w:hAnsi="Times New Roman"/>
        </w:rPr>
        <w:t xml:space="preserve">The breakdown for each sub-variable of General Operating Support is represented here below. Because grants have multiple strategy codes, the sum of all of the sub-variables is greater than the aggregate figures. </w:t>
      </w:r>
    </w:p>
    <w:p w14:paraId="073D975C" w14:textId="77777777" w:rsidR="00783FF4" w:rsidRPr="008C1175" w:rsidRDefault="00783FF4" w:rsidP="00A80FA2">
      <w:pPr>
        <w:rPr>
          <w:rFonts w:ascii="Times New Roman" w:hAnsi="Times New Roman"/>
        </w:rPr>
      </w:pPr>
    </w:p>
    <w:p w14:paraId="7A48F960" w14:textId="2C9FBDB5" w:rsidR="00A05FBC" w:rsidRPr="008C1175" w:rsidRDefault="00783FF4" w:rsidP="00A80FA2">
      <w:pPr>
        <w:rPr>
          <w:rFonts w:ascii="Times New Roman" w:hAnsi="Times New Roman"/>
        </w:rPr>
      </w:pPr>
      <w:r w:rsidRPr="008C1175">
        <w:rPr>
          <w:rFonts w:ascii="Times New Roman" w:hAnsi="Times New Roman"/>
          <w:noProof/>
        </w:rPr>
        <w:drawing>
          <wp:inline distT="0" distB="0" distL="0" distR="0" wp14:anchorId="70E52B82" wp14:editId="703B43AA">
            <wp:extent cx="5948045" cy="3563620"/>
            <wp:effectExtent l="0" t="0" r="0" b="0"/>
            <wp:docPr id="1" name="Picture 1" descr="../../Desktop/Foundation/appendix_figures/general_support_break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oundation/appendix_figures/general_support_breakdow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8045" cy="3563620"/>
                    </a:xfrm>
                    <a:prstGeom prst="rect">
                      <a:avLst/>
                    </a:prstGeom>
                    <a:noFill/>
                    <a:ln>
                      <a:noFill/>
                    </a:ln>
                  </pic:spPr>
                </pic:pic>
              </a:graphicData>
            </a:graphic>
          </wp:inline>
        </w:drawing>
      </w:r>
    </w:p>
    <w:p w14:paraId="1602BE1F" w14:textId="6AEEB874" w:rsidR="00A05FBC" w:rsidRPr="008C1175" w:rsidRDefault="00A05FBC" w:rsidP="00A80FA2">
      <w:pPr>
        <w:rPr>
          <w:rFonts w:ascii="Times New Roman" w:hAnsi="Times New Roman"/>
        </w:rPr>
      </w:pPr>
    </w:p>
    <w:p w14:paraId="46F2B4E3" w14:textId="1030C48C" w:rsidR="00A05FBC" w:rsidRPr="000C6899" w:rsidRDefault="00A05FBC" w:rsidP="00A80FA2">
      <w:pPr>
        <w:rPr>
          <w:rFonts w:ascii="Times New Roman" w:hAnsi="Times New Roman"/>
          <w:b/>
        </w:rPr>
      </w:pPr>
      <w:r w:rsidRPr="000C6899">
        <w:rPr>
          <w:rFonts w:ascii="Times New Roman" w:hAnsi="Times New Roman"/>
          <w:b/>
        </w:rPr>
        <w:t xml:space="preserve">Section </w:t>
      </w:r>
      <w:r w:rsidR="00B64C8F" w:rsidRPr="000C6899">
        <w:rPr>
          <w:rFonts w:ascii="Times New Roman" w:hAnsi="Times New Roman"/>
          <w:b/>
        </w:rPr>
        <w:t>5</w:t>
      </w:r>
      <w:r w:rsidRPr="000C6899">
        <w:rPr>
          <w:rFonts w:ascii="Times New Roman" w:hAnsi="Times New Roman"/>
          <w:b/>
        </w:rPr>
        <w:t>: Leadership Development</w:t>
      </w:r>
    </w:p>
    <w:p w14:paraId="79E6D9BB" w14:textId="77777777" w:rsidR="00A05FBC" w:rsidRPr="008C1175" w:rsidRDefault="00A05FBC" w:rsidP="00A80FA2">
      <w:pPr>
        <w:rPr>
          <w:rFonts w:ascii="Times New Roman" w:hAnsi="Times New Roman"/>
        </w:rPr>
      </w:pPr>
    </w:p>
    <w:p w14:paraId="6CDF3929" w14:textId="5F863A30" w:rsidR="00D52018" w:rsidRPr="008C1175" w:rsidRDefault="003F0843" w:rsidP="00A80FA2">
      <w:pPr>
        <w:rPr>
          <w:rFonts w:ascii="Times New Roman" w:hAnsi="Times New Roman"/>
        </w:rPr>
      </w:pPr>
      <w:r w:rsidRPr="008C1175">
        <w:rPr>
          <w:rFonts w:ascii="Times New Roman" w:hAnsi="Times New Roman"/>
        </w:rPr>
        <w:t>We coded grants as</w:t>
      </w:r>
      <w:r w:rsidR="00D52018" w:rsidRPr="008C1175">
        <w:rPr>
          <w:rFonts w:ascii="Times New Roman" w:hAnsi="Times New Roman"/>
        </w:rPr>
        <w:t xml:space="preserve"> Leadership Development if the Grant Strategy Code contained any of the following: Leadership and professional development, Faculty or staff development, Board development, Management and leadership development.</w:t>
      </w:r>
    </w:p>
    <w:p w14:paraId="6B8C28C2" w14:textId="77777777" w:rsidR="00D52018" w:rsidRPr="008C1175" w:rsidRDefault="00D52018" w:rsidP="00A80FA2">
      <w:pPr>
        <w:rPr>
          <w:rFonts w:ascii="Times New Roman" w:hAnsi="Times New Roman"/>
        </w:rPr>
      </w:pPr>
    </w:p>
    <w:p w14:paraId="5D3C9208" w14:textId="0706B400" w:rsidR="0014217B" w:rsidRPr="008C1175" w:rsidRDefault="00DF4CBA" w:rsidP="0014217B">
      <w:pPr>
        <w:rPr>
          <w:rFonts w:ascii="Times New Roman" w:hAnsi="Times New Roman"/>
        </w:rPr>
      </w:pPr>
      <w:r w:rsidRPr="008C1175">
        <w:rPr>
          <w:rFonts w:ascii="Times New Roman" w:hAnsi="Times New Roman"/>
        </w:rPr>
        <w:t>As with all indicators,</w:t>
      </w:r>
      <w:r w:rsidR="0014217B" w:rsidRPr="008C1175">
        <w:rPr>
          <w:rFonts w:ascii="Times New Roman" w:hAnsi="Times New Roman"/>
        </w:rPr>
        <w:t xml:space="preserve"> any grant flagged was counted in its entirety. Due to a lack of granularity in the data multi-part grants only partially earmarked for </w:t>
      </w:r>
      <w:r w:rsidR="00776D92" w:rsidRPr="008C1175">
        <w:rPr>
          <w:rFonts w:ascii="Times New Roman" w:hAnsi="Times New Roman"/>
        </w:rPr>
        <w:t>Leadership Development</w:t>
      </w:r>
      <w:r w:rsidR="0014217B" w:rsidRPr="008C1175">
        <w:rPr>
          <w:rFonts w:ascii="Times New Roman" w:hAnsi="Times New Roman"/>
        </w:rPr>
        <w:t xml:space="preserve"> </w:t>
      </w:r>
      <w:r w:rsidR="00776D92" w:rsidRPr="008C1175">
        <w:rPr>
          <w:rFonts w:ascii="Times New Roman" w:hAnsi="Times New Roman"/>
        </w:rPr>
        <w:t>would have</w:t>
      </w:r>
      <w:r w:rsidR="0014217B" w:rsidRPr="008C1175">
        <w:rPr>
          <w:rFonts w:ascii="Times New Roman" w:hAnsi="Times New Roman"/>
        </w:rPr>
        <w:t xml:space="preserve"> been counted here in full as </w:t>
      </w:r>
      <w:r w:rsidR="00776D92" w:rsidRPr="008C1175">
        <w:rPr>
          <w:rFonts w:ascii="Times New Roman" w:hAnsi="Times New Roman"/>
        </w:rPr>
        <w:t>Leadership Development,</w:t>
      </w:r>
      <w:r w:rsidR="0014217B" w:rsidRPr="008C1175">
        <w:rPr>
          <w:rFonts w:ascii="Times New Roman" w:hAnsi="Times New Roman"/>
        </w:rPr>
        <w:t xml:space="preserve"> potentially inflating the totals. </w:t>
      </w:r>
    </w:p>
    <w:p w14:paraId="77BB2ECB" w14:textId="77777777" w:rsidR="0014217B" w:rsidRPr="008C1175" w:rsidRDefault="0014217B" w:rsidP="0014217B">
      <w:pPr>
        <w:rPr>
          <w:rFonts w:ascii="Times New Roman" w:hAnsi="Times New Roman"/>
        </w:rPr>
      </w:pPr>
    </w:p>
    <w:p w14:paraId="62FF258B" w14:textId="2420D116" w:rsidR="0014217B" w:rsidRPr="008C1175" w:rsidRDefault="0014217B" w:rsidP="0014217B">
      <w:pPr>
        <w:rPr>
          <w:rFonts w:ascii="Times New Roman" w:hAnsi="Times New Roman"/>
        </w:rPr>
      </w:pPr>
      <w:r w:rsidRPr="008C1175">
        <w:rPr>
          <w:rFonts w:ascii="Times New Roman" w:hAnsi="Times New Roman"/>
        </w:rPr>
        <w:t xml:space="preserve">The breakdown for each sub-variable of Leadership Development is represented here below. Because grants have multiple strategy codes, the sum of all of the sub-variables is greater than the aggregate figures. </w:t>
      </w:r>
    </w:p>
    <w:p w14:paraId="7C228591" w14:textId="6FEC2A7A" w:rsidR="0089132C" w:rsidRPr="008C1175" w:rsidRDefault="00831D66" w:rsidP="007137E6">
      <w:pPr>
        <w:rPr>
          <w:rFonts w:ascii="Times New Roman" w:hAnsi="Times New Roman"/>
        </w:rPr>
      </w:pPr>
      <w:r w:rsidRPr="008C1175">
        <w:rPr>
          <w:rFonts w:ascii="Times New Roman" w:hAnsi="Times New Roman"/>
          <w:noProof/>
        </w:rPr>
        <w:lastRenderedPageBreak/>
        <w:drawing>
          <wp:inline distT="0" distB="0" distL="0" distR="0" wp14:anchorId="07B218AC" wp14:editId="56860EA1">
            <wp:extent cx="5948045" cy="3563620"/>
            <wp:effectExtent l="0" t="0" r="0" b="0"/>
            <wp:docPr id="3" name="Picture 3" descr="../../Desktop/Foundation/appendix_figures/leadership_development_nogates_break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Foundation/appendix_figures/leadership_development_nogates_breakdow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8045" cy="3563620"/>
                    </a:xfrm>
                    <a:prstGeom prst="rect">
                      <a:avLst/>
                    </a:prstGeom>
                    <a:noFill/>
                    <a:ln>
                      <a:noFill/>
                    </a:ln>
                  </pic:spPr>
                </pic:pic>
              </a:graphicData>
            </a:graphic>
          </wp:inline>
        </w:drawing>
      </w:r>
    </w:p>
    <w:p w14:paraId="4A514885" w14:textId="7A374756" w:rsidR="0089132C" w:rsidRPr="008C1175" w:rsidRDefault="002E76F7" w:rsidP="007137E6">
      <w:pPr>
        <w:rPr>
          <w:rFonts w:ascii="Times New Roman" w:hAnsi="Times New Roman"/>
        </w:rPr>
      </w:pPr>
      <w:r w:rsidRPr="008C1175">
        <w:rPr>
          <w:rFonts w:ascii="Times New Roman" w:hAnsi="Times New Roman"/>
        </w:rPr>
        <w:t xml:space="preserve">In the leadership development dimension, there are two significant outliers </w:t>
      </w:r>
      <w:r w:rsidR="00345906" w:rsidRPr="008C1175">
        <w:rPr>
          <w:rFonts w:ascii="Times New Roman" w:hAnsi="Times New Roman"/>
        </w:rPr>
        <w:t>in a 2012</w:t>
      </w:r>
      <w:r w:rsidR="00171A09" w:rsidRPr="008C1175">
        <w:rPr>
          <w:rFonts w:ascii="Times New Roman" w:hAnsi="Times New Roman"/>
        </w:rPr>
        <w:t xml:space="preserve"> and a </w:t>
      </w:r>
      <w:r w:rsidR="00345906" w:rsidRPr="008C1175">
        <w:rPr>
          <w:rFonts w:ascii="Times New Roman" w:hAnsi="Times New Roman"/>
        </w:rPr>
        <w:t>2003</w:t>
      </w:r>
      <w:r w:rsidR="00171A09" w:rsidRPr="008C1175">
        <w:rPr>
          <w:rFonts w:ascii="Times New Roman" w:hAnsi="Times New Roman"/>
        </w:rPr>
        <w:t xml:space="preserve"> grant from the Gates Foundation. </w:t>
      </w:r>
      <w:r w:rsidR="00345906" w:rsidRPr="008C1175">
        <w:rPr>
          <w:rFonts w:ascii="Times New Roman" w:hAnsi="Times New Roman"/>
        </w:rPr>
        <w:t>These grants were for 13,996,740 Nominal USD</w:t>
      </w:r>
      <w:r w:rsidR="007D4DBD" w:rsidRPr="008C1175">
        <w:rPr>
          <w:rFonts w:ascii="Times New Roman" w:hAnsi="Times New Roman"/>
        </w:rPr>
        <w:t xml:space="preserve"> and </w:t>
      </w:r>
      <w:r w:rsidR="00345906" w:rsidRPr="008C1175">
        <w:rPr>
          <w:rFonts w:ascii="Times New Roman" w:hAnsi="Times New Roman"/>
        </w:rPr>
        <w:t>40,000,000 Nominal USD</w:t>
      </w:r>
      <w:r w:rsidR="007D4DBD" w:rsidRPr="008C1175">
        <w:rPr>
          <w:rFonts w:ascii="Times New Roman" w:hAnsi="Times New Roman"/>
        </w:rPr>
        <w:t xml:space="preserve"> respectively. </w:t>
      </w:r>
      <w:r w:rsidR="00F9174C" w:rsidRPr="008C1175">
        <w:rPr>
          <w:rFonts w:ascii="Times New Roman" w:hAnsi="Times New Roman"/>
        </w:rPr>
        <w:t>We</w:t>
      </w:r>
      <w:r w:rsidR="007D4DBD" w:rsidRPr="008C1175">
        <w:rPr>
          <w:rFonts w:ascii="Times New Roman" w:hAnsi="Times New Roman"/>
        </w:rPr>
        <w:t xml:space="preserve"> excluded these grants from the calculation of trends in funding for leadership development. We have chosen to do this for several reasons. Firstly, these two grants are the only two grants ever given for leadership development</w:t>
      </w:r>
      <w:r w:rsidR="00730377" w:rsidRPr="008C1175">
        <w:rPr>
          <w:rFonts w:ascii="Times New Roman" w:hAnsi="Times New Roman"/>
        </w:rPr>
        <w:t xml:space="preserve"> by the Gates Foundation, and thus do not represent a reliable or predictable source of funding for </w:t>
      </w:r>
      <w:r w:rsidR="007224E7" w:rsidRPr="008C1175">
        <w:rPr>
          <w:rFonts w:ascii="Times New Roman" w:hAnsi="Times New Roman"/>
        </w:rPr>
        <w:t>leade</w:t>
      </w:r>
      <w:r w:rsidR="00F9174C" w:rsidRPr="008C1175">
        <w:rPr>
          <w:rFonts w:ascii="Times New Roman" w:hAnsi="Times New Roman"/>
        </w:rPr>
        <w:t>rship development. Furthermore</w:t>
      </w:r>
      <w:r w:rsidR="007224E7" w:rsidRPr="008C1175">
        <w:rPr>
          <w:rFonts w:ascii="Times New Roman" w:hAnsi="Times New Roman"/>
        </w:rPr>
        <w:t xml:space="preserve">, these two grants together are significantly larger than all other leadership development grants in the time period put together, making them highly influential outliers. </w:t>
      </w:r>
      <w:r w:rsidR="00E2745D" w:rsidRPr="008C1175">
        <w:rPr>
          <w:rFonts w:ascii="Times New Roman" w:hAnsi="Times New Roman"/>
        </w:rPr>
        <w:t xml:space="preserve">Because we are attempting to identify the general trends </w:t>
      </w:r>
      <w:r w:rsidR="00A92985" w:rsidRPr="008C1175">
        <w:rPr>
          <w:rFonts w:ascii="Times New Roman" w:hAnsi="Times New Roman"/>
        </w:rPr>
        <w:t xml:space="preserve">in funding, we have thus excluded these two grants </w:t>
      </w:r>
      <w:r w:rsidR="00A521C4" w:rsidRPr="008C1175">
        <w:rPr>
          <w:rFonts w:ascii="Times New Roman" w:hAnsi="Times New Roman"/>
        </w:rPr>
        <w:t>as not indicati</w:t>
      </w:r>
      <w:r w:rsidR="004F209B" w:rsidRPr="008C1175">
        <w:rPr>
          <w:rFonts w:ascii="Times New Roman" w:hAnsi="Times New Roman"/>
        </w:rPr>
        <w:t xml:space="preserve">ve of general trends in funding. </w:t>
      </w:r>
      <w:r w:rsidR="00FD2684" w:rsidRPr="008C1175">
        <w:rPr>
          <w:rFonts w:ascii="Times New Roman" w:hAnsi="Times New Roman"/>
        </w:rPr>
        <w:t xml:space="preserve">The figures in the text exclude the Gates grants. </w:t>
      </w:r>
      <w:r w:rsidR="00D03EAE" w:rsidRPr="008C1175">
        <w:rPr>
          <w:rFonts w:ascii="Times New Roman" w:hAnsi="Times New Roman"/>
        </w:rPr>
        <w:t xml:space="preserve">Below are the </w:t>
      </w:r>
      <w:r w:rsidR="007F5A0E" w:rsidRPr="008C1175">
        <w:rPr>
          <w:rFonts w:ascii="Times New Roman" w:hAnsi="Times New Roman"/>
        </w:rPr>
        <w:t>graph and table</w:t>
      </w:r>
      <w:r w:rsidR="00D03EAE" w:rsidRPr="008C1175">
        <w:rPr>
          <w:rFonts w:ascii="Times New Roman" w:hAnsi="Times New Roman"/>
        </w:rPr>
        <w:t xml:space="preserve"> for funding by year including these two grants. </w:t>
      </w:r>
    </w:p>
    <w:p w14:paraId="7B29EDFB" w14:textId="24285E14" w:rsidR="00905D38" w:rsidRPr="008C1175" w:rsidRDefault="00831D66" w:rsidP="007137E6">
      <w:pPr>
        <w:rPr>
          <w:rFonts w:ascii="Times New Roman" w:hAnsi="Times New Roman"/>
        </w:rPr>
      </w:pPr>
      <w:r w:rsidRPr="008C1175">
        <w:rPr>
          <w:rFonts w:ascii="Times New Roman" w:hAnsi="Times New Roman"/>
          <w:noProof/>
        </w:rPr>
        <w:lastRenderedPageBreak/>
        <w:drawing>
          <wp:inline distT="0" distB="0" distL="0" distR="0" wp14:anchorId="3BADDB97" wp14:editId="0E16ABD7">
            <wp:extent cx="5943600" cy="3560957"/>
            <wp:effectExtent l="0" t="0" r="0" b="0"/>
            <wp:docPr id="2" name="Picture 2" descr="../../Desktop/Foundation/appendix_figures/leadership_development_break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Foundation/appendix_figures/leadership_development_breakdow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560957"/>
                    </a:xfrm>
                    <a:prstGeom prst="rect">
                      <a:avLst/>
                    </a:prstGeom>
                    <a:noFill/>
                    <a:ln>
                      <a:noFill/>
                    </a:ln>
                  </pic:spPr>
                </pic:pic>
              </a:graphicData>
            </a:graphic>
          </wp:inline>
        </w:drawing>
      </w:r>
    </w:p>
    <w:p w14:paraId="73284665" w14:textId="77777777" w:rsidR="000C6899" w:rsidRDefault="000C6899" w:rsidP="007137E6">
      <w:pPr>
        <w:rPr>
          <w:rFonts w:ascii="Times New Roman" w:hAnsi="Times New Roman"/>
          <w:b/>
        </w:rPr>
      </w:pPr>
    </w:p>
    <w:p w14:paraId="4ED0D0F2" w14:textId="0140AA66" w:rsidR="00FD2684" w:rsidRPr="000C6899" w:rsidRDefault="00213111" w:rsidP="007137E6">
      <w:pPr>
        <w:rPr>
          <w:rFonts w:ascii="Times New Roman" w:hAnsi="Times New Roman"/>
          <w:b/>
        </w:rPr>
      </w:pPr>
      <w:r w:rsidRPr="000C6899">
        <w:rPr>
          <w:rFonts w:ascii="Times New Roman" w:hAnsi="Times New Roman"/>
          <w:b/>
        </w:rPr>
        <w:t xml:space="preserve">Section </w:t>
      </w:r>
      <w:r w:rsidR="00B64C8F" w:rsidRPr="000C6899">
        <w:rPr>
          <w:rFonts w:ascii="Times New Roman" w:hAnsi="Times New Roman"/>
          <w:b/>
        </w:rPr>
        <w:t>6</w:t>
      </w:r>
      <w:r w:rsidRPr="000C6899">
        <w:rPr>
          <w:rFonts w:ascii="Times New Roman" w:hAnsi="Times New Roman"/>
          <w:b/>
        </w:rPr>
        <w:t xml:space="preserve">: </w:t>
      </w:r>
      <w:r w:rsidR="00502459" w:rsidRPr="000C6899">
        <w:rPr>
          <w:rFonts w:ascii="Times New Roman" w:hAnsi="Times New Roman"/>
          <w:b/>
        </w:rPr>
        <w:t>Finding Voice</w:t>
      </w:r>
    </w:p>
    <w:p w14:paraId="2B036CFD" w14:textId="77777777" w:rsidR="00502459" w:rsidRPr="008C1175" w:rsidRDefault="00502459" w:rsidP="007137E6">
      <w:pPr>
        <w:rPr>
          <w:rFonts w:ascii="Times New Roman" w:hAnsi="Times New Roman"/>
        </w:rPr>
      </w:pPr>
    </w:p>
    <w:p w14:paraId="36C7A5AA" w14:textId="58517227" w:rsidR="003D3B97" w:rsidRDefault="00CC7E17" w:rsidP="00CD519B">
      <w:pPr>
        <w:rPr>
          <w:rFonts w:ascii="Times New Roman" w:hAnsi="Times New Roman"/>
        </w:rPr>
      </w:pPr>
      <w:r w:rsidRPr="008C1175">
        <w:rPr>
          <w:rFonts w:ascii="Times New Roman" w:hAnsi="Times New Roman"/>
        </w:rPr>
        <w:t>We coded grants as</w:t>
      </w:r>
      <w:r w:rsidR="002726A4" w:rsidRPr="008C1175">
        <w:rPr>
          <w:rFonts w:ascii="Times New Roman" w:hAnsi="Times New Roman"/>
        </w:rPr>
        <w:t xml:space="preserve"> Finding Voice if the grant s</w:t>
      </w:r>
      <w:r w:rsidR="00293AB5" w:rsidRPr="008C1175">
        <w:rPr>
          <w:rFonts w:ascii="Times New Roman" w:hAnsi="Times New Roman"/>
        </w:rPr>
        <w:t xml:space="preserve">trategy contained </w:t>
      </w:r>
      <w:r w:rsidR="002726A4" w:rsidRPr="008C1175">
        <w:rPr>
          <w:rFonts w:ascii="Times New Roman" w:hAnsi="Times New Roman"/>
        </w:rPr>
        <w:t>at least one</w:t>
      </w:r>
      <w:r w:rsidR="00293AB5" w:rsidRPr="008C1175">
        <w:rPr>
          <w:rFonts w:ascii="Times New Roman" w:hAnsi="Times New Roman"/>
        </w:rPr>
        <w:t xml:space="preserve"> </w:t>
      </w:r>
      <w:r w:rsidR="002726A4" w:rsidRPr="008C1175">
        <w:rPr>
          <w:rFonts w:ascii="Times New Roman" w:hAnsi="Times New Roman"/>
        </w:rPr>
        <w:t xml:space="preserve">of the following: </w:t>
      </w:r>
      <w:r w:rsidR="00251163" w:rsidRPr="008C1175">
        <w:rPr>
          <w:rFonts w:ascii="Times New Roman" w:hAnsi="Times New Roman"/>
        </w:rPr>
        <w:t>Outreach, Public engagement and education, Audience development, Marketing, Cause-related marketing, Convening, Online engagement, Grassroots and organizing, Publications, Online media, Research</w:t>
      </w:r>
      <w:r w:rsidR="00CB7BA3">
        <w:rPr>
          <w:rFonts w:ascii="Times New Roman" w:hAnsi="Times New Roman"/>
        </w:rPr>
        <w:t>.</w:t>
      </w:r>
    </w:p>
    <w:p w14:paraId="24F09F2B" w14:textId="3E16F6EF" w:rsidR="00CB7BA3" w:rsidRDefault="00CB7BA3" w:rsidP="00CD519B">
      <w:pPr>
        <w:rPr>
          <w:rFonts w:ascii="Times New Roman" w:hAnsi="Times New Roman"/>
        </w:rPr>
      </w:pPr>
    </w:p>
    <w:p w14:paraId="120BFF27" w14:textId="0F669F19" w:rsidR="00CB7BA3" w:rsidRPr="008C1175" w:rsidRDefault="00CB7BA3" w:rsidP="00CD519B">
      <w:pPr>
        <w:rPr>
          <w:rFonts w:ascii="Times New Roman" w:hAnsi="Times New Roman"/>
        </w:rPr>
      </w:pPr>
      <w:r>
        <w:rPr>
          <w:rFonts w:ascii="Times New Roman" w:hAnsi="Times New Roman"/>
        </w:rPr>
        <w:t xml:space="preserve">We include marketing here because these </w:t>
      </w:r>
      <w:proofErr w:type="spellStart"/>
      <w:r>
        <w:rPr>
          <w:rFonts w:ascii="Times New Roman" w:hAnsi="Times New Roman"/>
        </w:rPr>
        <w:t>codings</w:t>
      </w:r>
      <w:proofErr w:type="spellEnd"/>
      <w:r>
        <w:rPr>
          <w:rFonts w:ascii="Times New Roman" w:hAnsi="Times New Roman"/>
        </w:rPr>
        <w:t xml:space="preserve"> apply only to grants that are already flagged as political in nature. While marketing may not normally be considered related to traditional outreach or voice-finding, specifically within a political context it captures important activities such as campaigning and program promotion. </w:t>
      </w:r>
    </w:p>
    <w:p w14:paraId="47AD23FD" w14:textId="77777777" w:rsidR="0089132C" w:rsidRPr="008C1175" w:rsidRDefault="0089132C" w:rsidP="00CD519B">
      <w:pPr>
        <w:rPr>
          <w:rFonts w:ascii="Times New Roman" w:hAnsi="Times New Roman"/>
        </w:rPr>
      </w:pPr>
    </w:p>
    <w:p w14:paraId="77DEE5CC" w14:textId="6FC93D8D" w:rsidR="00E147EA" w:rsidRPr="008C1175" w:rsidRDefault="00E147EA" w:rsidP="00CD519B">
      <w:pPr>
        <w:rPr>
          <w:rFonts w:ascii="Times New Roman" w:hAnsi="Times New Roman"/>
        </w:rPr>
      </w:pPr>
      <w:r w:rsidRPr="008C1175">
        <w:rPr>
          <w:rFonts w:ascii="Times New Roman" w:hAnsi="Times New Roman"/>
        </w:rPr>
        <w:t xml:space="preserve">Like all the indicators, any grant flagged was counted in its entirety. Due to a lack of granularity in the data multi-part grants only partially earmarked for </w:t>
      </w:r>
      <w:r w:rsidR="002248EB" w:rsidRPr="008C1175">
        <w:rPr>
          <w:rFonts w:ascii="Times New Roman" w:hAnsi="Times New Roman"/>
        </w:rPr>
        <w:t>Finding Voice</w:t>
      </w:r>
      <w:r w:rsidRPr="008C1175">
        <w:rPr>
          <w:rFonts w:ascii="Times New Roman" w:hAnsi="Times New Roman"/>
        </w:rPr>
        <w:t xml:space="preserve"> may have been counted here in full, potentially inflating the totals. </w:t>
      </w:r>
    </w:p>
    <w:p w14:paraId="3D22A989" w14:textId="77777777" w:rsidR="00E147EA" w:rsidRPr="008C1175" w:rsidRDefault="00E147EA" w:rsidP="00CD519B">
      <w:pPr>
        <w:rPr>
          <w:rFonts w:ascii="Times New Roman" w:hAnsi="Times New Roman"/>
        </w:rPr>
      </w:pPr>
    </w:p>
    <w:p w14:paraId="3E875013" w14:textId="61411514" w:rsidR="0089132C" w:rsidRPr="008C1175" w:rsidRDefault="009F1881" w:rsidP="00120A5E">
      <w:pPr>
        <w:rPr>
          <w:rFonts w:ascii="Times New Roman" w:hAnsi="Times New Roman"/>
        </w:rPr>
      </w:pPr>
      <w:r w:rsidRPr="008C1175">
        <w:rPr>
          <w:rFonts w:ascii="Times New Roman" w:hAnsi="Times New Roman"/>
        </w:rPr>
        <w:t xml:space="preserve">Below is the complete breakdown of funding for Finding Voice by sub variable. An aggregate figure excluding research is included </w:t>
      </w:r>
      <w:r w:rsidR="00EE4B4C" w:rsidRPr="008C1175">
        <w:rPr>
          <w:rFonts w:ascii="Times New Roman" w:hAnsi="Times New Roman"/>
        </w:rPr>
        <w:t>for</w:t>
      </w:r>
      <w:r w:rsidR="00A37770" w:rsidRPr="008C1175">
        <w:rPr>
          <w:rFonts w:ascii="Times New Roman" w:hAnsi="Times New Roman"/>
        </w:rPr>
        <w:t xml:space="preserve"> reasons discussed in the text.</w:t>
      </w:r>
    </w:p>
    <w:p w14:paraId="26E5BEBF" w14:textId="07BDEB11" w:rsidR="00831D66" w:rsidRPr="008C1175" w:rsidRDefault="00831D66" w:rsidP="00CD519B">
      <w:pPr>
        <w:rPr>
          <w:rFonts w:ascii="Times New Roman" w:hAnsi="Times New Roman"/>
        </w:rPr>
      </w:pPr>
      <w:r w:rsidRPr="008C1175">
        <w:rPr>
          <w:rFonts w:ascii="Times New Roman" w:hAnsi="Times New Roman"/>
          <w:noProof/>
        </w:rPr>
        <w:lastRenderedPageBreak/>
        <w:drawing>
          <wp:inline distT="0" distB="0" distL="0" distR="0" wp14:anchorId="06AB74F3" wp14:editId="227F4670">
            <wp:extent cx="5948045" cy="3563620"/>
            <wp:effectExtent l="0" t="0" r="0" b="0"/>
            <wp:docPr id="4" name="Picture 4" descr="../../Desktop/Foundation/appendix_figures/voice_break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Foundation/appendix_figures/voice_breakdow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8045" cy="3563620"/>
                    </a:xfrm>
                    <a:prstGeom prst="rect">
                      <a:avLst/>
                    </a:prstGeom>
                    <a:noFill/>
                    <a:ln>
                      <a:noFill/>
                    </a:ln>
                  </pic:spPr>
                </pic:pic>
              </a:graphicData>
            </a:graphic>
          </wp:inline>
        </w:drawing>
      </w:r>
    </w:p>
    <w:p w14:paraId="6B218354" w14:textId="77777777" w:rsidR="000C6899" w:rsidRDefault="000C6899" w:rsidP="00CD519B">
      <w:pPr>
        <w:rPr>
          <w:rFonts w:ascii="Times New Roman" w:hAnsi="Times New Roman"/>
        </w:rPr>
      </w:pPr>
    </w:p>
    <w:p w14:paraId="4AEADD75" w14:textId="28DE73A9" w:rsidR="009509C8" w:rsidRPr="000C6899" w:rsidRDefault="00863192" w:rsidP="00CD519B">
      <w:pPr>
        <w:rPr>
          <w:rFonts w:ascii="Times New Roman" w:hAnsi="Times New Roman"/>
          <w:b/>
        </w:rPr>
      </w:pPr>
      <w:r w:rsidRPr="000C6899">
        <w:rPr>
          <w:rFonts w:ascii="Times New Roman" w:hAnsi="Times New Roman"/>
          <w:b/>
        </w:rPr>
        <w:t xml:space="preserve">Section </w:t>
      </w:r>
      <w:r w:rsidR="00B64C8F" w:rsidRPr="000C6899">
        <w:rPr>
          <w:rFonts w:ascii="Times New Roman" w:hAnsi="Times New Roman"/>
          <w:b/>
        </w:rPr>
        <w:t>7</w:t>
      </w:r>
      <w:r w:rsidRPr="000C6899">
        <w:rPr>
          <w:rFonts w:ascii="Times New Roman" w:hAnsi="Times New Roman"/>
          <w:b/>
        </w:rPr>
        <w:t>: Alliance Building</w:t>
      </w:r>
    </w:p>
    <w:p w14:paraId="19FBEF89" w14:textId="77777777" w:rsidR="00863192" w:rsidRPr="008C1175" w:rsidRDefault="00863192" w:rsidP="00CD519B">
      <w:pPr>
        <w:rPr>
          <w:rFonts w:ascii="Times New Roman" w:hAnsi="Times New Roman"/>
        </w:rPr>
      </w:pPr>
    </w:p>
    <w:p w14:paraId="0DBA88B1" w14:textId="4BD7482E" w:rsidR="003D3B97" w:rsidRPr="008C1175" w:rsidRDefault="003D3B97" w:rsidP="003D3B97">
      <w:pPr>
        <w:rPr>
          <w:rFonts w:ascii="Times New Roman" w:hAnsi="Times New Roman"/>
        </w:rPr>
      </w:pPr>
      <w:r w:rsidRPr="008C1175">
        <w:rPr>
          <w:rFonts w:ascii="Times New Roman" w:hAnsi="Times New Roman"/>
        </w:rPr>
        <w:t xml:space="preserve">We </w:t>
      </w:r>
      <w:r w:rsidR="00CC7E17" w:rsidRPr="008C1175">
        <w:rPr>
          <w:rFonts w:ascii="Times New Roman" w:hAnsi="Times New Roman"/>
        </w:rPr>
        <w:t>coded grants as</w:t>
      </w:r>
      <w:r w:rsidRPr="008C1175">
        <w:rPr>
          <w:rFonts w:ascii="Times New Roman" w:hAnsi="Times New Roman"/>
        </w:rPr>
        <w:t xml:space="preserve"> Alliance Building if the grant strategy contained at least one of the following: </w:t>
      </w:r>
      <w:r w:rsidR="002052F3" w:rsidRPr="008C1175">
        <w:rPr>
          <w:rFonts w:ascii="Times New Roman" w:hAnsi="Times New Roman"/>
        </w:rPr>
        <w:t>Mergers, Network Building and Collaboration, Conferences, Conference Hosting, Conference Presenting, Conference Attending, Exchange Programs, Non-profit Collaboration, Coalition Building, Travel Grants</w:t>
      </w:r>
    </w:p>
    <w:p w14:paraId="481AA779" w14:textId="77777777" w:rsidR="003D3B97" w:rsidRPr="008C1175" w:rsidRDefault="003D3B97" w:rsidP="003D3B97">
      <w:pPr>
        <w:rPr>
          <w:rFonts w:ascii="Times New Roman" w:hAnsi="Times New Roman"/>
        </w:rPr>
      </w:pPr>
    </w:p>
    <w:p w14:paraId="41979723" w14:textId="664E45C4" w:rsidR="003D3B97" w:rsidRPr="008C1175" w:rsidRDefault="00B12592" w:rsidP="003D3B97">
      <w:pPr>
        <w:rPr>
          <w:rFonts w:ascii="Times New Roman" w:hAnsi="Times New Roman"/>
        </w:rPr>
      </w:pPr>
      <w:r w:rsidRPr="008C1175">
        <w:rPr>
          <w:rFonts w:ascii="Times New Roman" w:hAnsi="Times New Roman"/>
        </w:rPr>
        <w:t>Like all the indicators,</w:t>
      </w:r>
      <w:r w:rsidR="003D3B97" w:rsidRPr="008C1175">
        <w:rPr>
          <w:rFonts w:ascii="Times New Roman" w:hAnsi="Times New Roman"/>
        </w:rPr>
        <w:t xml:space="preserve"> any grant flagged was counted in its entirety. Due to a lack of granularity in the data multi-part grants only partially earmarked for </w:t>
      </w:r>
      <w:r w:rsidR="00243B93" w:rsidRPr="008C1175">
        <w:rPr>
          <w:rFonts w:ascii="Times New Roman" w:hAnsi="Times New Roman"/>
        </w:rPr>
        <w:t>Alliance Building</w:t>
      </w:r>
      <w:r w:rsidR="003D3B97" w:rsidRPr="008C1175">
        <w:rPr>
          <w:rFonts w:ascii="Times New Roman" w:hAnsi="Times New Roman"/>
        </w:rPr>
        <w:t xml:space="preserve"> may have been counted here in full, potentially inflating the totals. </w:t>
      </w:r>
    </w:p>
    <w:p w14:paraId="7849A162" w14:textId="77777777" w:rsidR="00905D38" w:rsidRPr="008C1175" w:rsidRDefault="00905D38" w:rsidP="003D3B97">
      <w:pPr>
        <w:rPr>
          <w:rFonts w:ascii="Times New Roman" w:hAnsi="Times New Roman"/>
        </w:rPr>
      </w:pPr>
    </w:p>
    <w:p w14:paraId="3BC132E0" w14:textId="3A8697FC" w:rsidR="00905D38" w:rsidRPr="008C1175" w:rsidRDefault="00905D38" w:rsidP="003D3B97">
      <w:pPr>
        <w:rPr>
          <w:rFonts w:ascii="Times New Roman" w:hAnsi="Times New Roman"/>
        </w:rPr>
      </w:pPr>
      <w:r w:rsidRPr="008C1175">
        <w:rPr>
          <w:rFonts w:ascii="Times New Roman" w:hAnsi="Times New Roman"/>
        </w:rPr>
        <w:t xml:space="preserve">In the text we refer to conferencing as a general activity. Grants were considered as </w:t>
      </w:r>
      <w:r w:rsidR="00F409F9" w:rsidRPr="008C1175">
        <w:rPr>
          <w:rFonts w:ascii="Times New Roman" w:hAnsi="Times New Roman"/>
        </w:rPr>
        <w:t xml:space="preserve">funding </w:t>
      </w:r>
      <w:r w:rsidRPr="008C1175">
        <w:rPr>
          <w:rFonts w:ascii="Times New Roman" w:hAnsi="Times New Roman"/>
        </w:rPr>
        <w:t>conferencing if the grant strategy contained at least one of the following: Conferences, Conference Hosting, Conference Presenting, Conference Attending.</w:t>
      </w:r>
    </w:p>
    <w:p w14:paraId="6F8DECCF" w14:textId="77777777" w:rsidR="003D3B97" w:rsidRPr="008C1175" w:rsidRDefault="003D3B97" w:rsidP="003D3B97">
      <w:pPr>
        <w:rPr>
          <w:rFonts w:ascii="Times New Roman" w:hAnsi="Times New Roman"/>
        </w:rPr>
      </w:pPr>
    </w:p>
    <w:p w14:paraId="71496334" w14:textId="3A0B2311" w:rsidR="003D3B97" w:rsidRPr="008C1175" w:rsidRDefault="003D3B97" w:rsidP="003D3B97">
      <w:pPr>
        <w:rPr>
          <w:rFonts w:ascii="Times New Roman" w:hAnsi="Times New Roman"/>
        </w:rPr>
      </w:pPr>
      <w:r w:rsidRPr="008C1175">
        <w:rPr>
          <w:rFonts w:ascii="Times New Roman" w:hAnsi="Times New Roman"/>
        </w:rPr>
        <w:t xml:space="preserve">The breakdown for each sub-variable of </w:t>
      </w:r>
      <w:r w:rsidR="00243B93" w:rsidRPr="008C1175">
        <w:rPr>
          <w:rFonts w:ascii="Times New Roman" w:hAnsi="Times New Roman"/>
        </w:rPr>
        <w:t>Alliance Building</w:t>
      </w:r>
      <w:r w:rsidRPr="008C1175">
        <w:rPr>
          <w:rFonts w:ascii="Times New Roman" w:hAnsi="Times New Roman"/>
        </w:rPr>
        <w:t xml:space="preserve"> is represented here below. Because grants have multiple strategy codes, the sum of all of the sub-variables is greater </w:t>
      </w:r>
      <w:r w:rsidR="00243B93" w:rsidRPr="008C1175">
        <w:rPr>
          <w:rFonts w:ascii="Times New Roman" w:hAnsi="Times New Roman"/>
        </w:rPr>
        <w:t>than the aggregate figure</w:t>
      </w:r>
      <w:r w:rsidRPr="008C1175">
        <w:rPr>
          <w:rFonts w:ascii="Times New Roman" w:hAnsi="Times New Roman"/>
        </w:rPr>
        <w:t xml:space="preserve">. </w:t>
      </w:r>
    </w:p>
    <w:p w14:paraId="046A9092" w14:textId="77120BA6" w:rsidR="003D3B97" w:rsidRPr="008C1175" w:rsidRDefault="00084A5A" w:rsidP="003D3B97">
      <w:pPr>
        <w:rPr>
          <w:rFonts w:ascii="Times New Roman" w:hAnsi="Times New Roman"/>
        </w:rPr>
      </w:pPr>
      <w:r w:rsidRPr="008C1175">
        <w:rPr>
          <w:rFonts w:ascii="Times New Roman" w:hAnsi="Times New Roman"/>
          <w:noProof/>
        </w:rPr>
        <w:lastRenderedPageBreak/>
        <w:drawing>
          <wp:inline distT="0" distB="0" distL="0" distR="0" wp14:anchorId="62AD83A6" wp14:editId="0F2E1CC3">
            <wp:extent cx="5948045" cy="3563620"/>
            <wp:effectExtent l="0" t="0" r="0" b="0"/>
            <wp:docPr id="6" name="Picture 6" descr="../../Desktop/Foundation/appendix_figures/alliance_break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Foundation/appendix_figures/alliance_breakdow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8045" cy="3563620"/>
                    </a:xfrm>
                    <a:prstGeom prst="rect">
                      <a:avLst/>
                    </a:prstGeom>
                    <a:noFill/>
                    <a:ln>
                      <a:noFill/>
                    </a:ln>
                  </pic:spPr>
                </pic:pic>
              </a:graphicData>
            </a:graphic>
          </wp:inline>
        </w:drawing>
      </w:r>
    </w:p>
    <w:p w14:paraId="7907AC0B" w14:textId="77777777" w:rsidR="00251490" w:rsidRPr="008C1175" w:rsidRDefault="00251490" w:rsidP="003D3B97">
      <w:pPr>
        <w:rPr>
          <w:rFonts w:ascii="Times New Roman" w:hAnsi="Times New Roman"/>
        </w:rPr>
      </w:pPr>
    </w:p>
    <w:p w14:paraId="36601F94" w14:textId="24EBC585" w:rsidR="00251490" w:rsidRPr="008C1175" w:rsidRDefault="00BB6216" w:rsidP="003D3B97">
      <w:pPr>
        <w:rPr>
          <w:rFonts w:ascii="Times New Roman" w:hAnsi="Times New Roman"/>
        </w:rPr>
      </w:pPr>
      <w:r w:rsidRPr="008C1175">
        <w:rPr>
          <w:rFonts w:ascii="Times New Roman" w:hAnsi="Times New Roman"/>
        </w:rPr>
        <w:t>The average level of funding for organizations tagged as alliances or coalitions is referenced in the text</w:t>
      </w:r>
      <w:r w:rsidR="00470375" w:rsidRPr="008C1175">
        <w:rPr>
          <w:rFonts w:ascii="Times New Roman" w:hAnsi="Times New Roman"/>
        </w:rPr>
        <w:t>.</w:t>
      </w:r>
      <w:r w:rsidR="004A2600" w:rsidRPr="008C1175">
        <w:rPr>
          <w:rFonts w:ascii="Times New Roman" w:hAnsi="Times New Roman"/>
        </w:rPr>
        <w:t xml:space="preserve"> </w:t>
      </w:r>
      <w:r w:rsidR="00B1798D" w:rsidRPr="008C1175">
        <w:rPr>
          <w:rFonts w:ascii="Times New Roman" w:hAnsi="Times New Roman"/>
        </w:rPr>
        <w:t xml:space="preserve">Grants were considered if the Recipient </w:t>
      </w:r>
      <w:r w:rsidR="00AC751D" w:rsidRPr="008C1175">
        <w:rPr>
          <w:rFonts w:ascii="Times New Roman" w:hAnsi="Times New Roman"/>
        </w:rPr>
        <w:t>Organization</w:t>
      </w:r>
      <w:r w:rsidR="00B1798D" w:rsidRPr="008C1175">
        <w:rPr>
          <w:rFonts w:ascii="Times New Roman" w:hAnsi="Times New Roman"/>
        </w:rPr>
        <w:t xml:space="preserve"> Type was Coalitions and Alliances. </w:t>
      </w:r>
      <w:r w:rsidR="00470375" w:rsidRPr="008C1175">
        <w:rPr>
          <w:rFonts w:ascii="Times New Roman" w:hAnsi="Times New Roman"/>
        </w:rPr>
        <w:t>Below is the annual breakdown for funding for alliances and coalitions</w:t>
      </w:r>
    </w:p>
    <w:p w14:paraId="39BE3018" w14:textId="628C8907" w:rsidR="00470375" w:rsidRPr="008C1175" w:rsidRDefault="00470375" w:rsidP="003D3B97">
      <w:pPr>
        <w:rPr>
          <w:rFonts w:ascii="Times New Roman" w:hAnsi="Times New Roman"/>
        </w:rPr>
      </w:pPr>
    </w:p>
    <w:p w14:paraId="65A1FE4D" w14:textId="032D7A6B" w:rsidR="00502459" w:rsidRPr="008C1175" w:rsidRDefault="00831D66" w:rsidP="007137E6">
      <w:pPr>
        <w:rPr>
          <w:rFonts w:ascii="Times New Roman" w:hAnsi="Times New Roman"/>
        </w:rPr>
      </w:pPr>
      <w:r w:rsidRPr="008C1175">
        <w:rPr>
          <w:rFonts w:ascii="Times New Roman" w:hAnsi="Times New Roman"/>
          <w:noProof/>
        </w:rPr>
        <w:drawing>
          <wp:inline distT="0" distB="0" distL="0" distR="0" wp14:anchorId="7C0560DA" wp14:editId="7A6B5875">
            <wp:extent cx="5948045" cy="3563620"/>
            <wp:effectExtent l="0" t="0" r="0" b="0"/>
            <wp:docPr id="5" name="Picture 5" descr="../../Desktop/Foundation/appendix_figures/coal_ally_fu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Foundation/appendix_figures/coal_ally_fundi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8045" cy="3563620"/>
                    </a:xfrm>
                    <a:prstGeom prst="rect">
                      <a:avLst/>
                    </a:prstGeom>
                    <a:noFill/>
                    <a:ln>
                      <a:noFill/>
                    </a:ln>
                  </pic:spPr>
                </pic:pic>
              </a:graphicData>
            </a:graphic>
          </wp:inline>
        </w:drawing>
      </w:r>
    </w:p>
    <w:sectPr w:rsidR="00502459" w:rsidRPr="008C1175" w:rsidSect="005D0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31E79"/>
    <w:multiLevelType w:val="hybridMultilevel"/>
    <w:tmpl w:val="A450FCB2"/>
    <w:lvl w:ilvl="0" w:tplc="60B6B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85D55"/>
    <w:multiLevelType w:val="hybridMultilevel"/>
    <w:tmpl w:val="531E3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035327"/>
    <w:multiLevelType w:val="hybridMultilevel"/>
    <w:tmpl w:val="2CC4B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04E"/>
    <w:rsid w:val="00010259"/>
    <w:rsid w:val="00027CDF"/>
    <w:rsid w:val="00034046"/>
    <w:rsid w:val="00045C2C"/>
    <w:rsid w:val="00056956"/>
    <w:rsid w:val="000761E5"/>
    <w:rsid w:val="0008050D"/>
    <w:rsid w:val="00084A5A"/>
    <w:rsid w:val="000A30E1"/>
    <w:rsid w:val="000A6572"/>
    <w:rsid w:val="000A75F2"/>
    <w:rsid w:val="000B7B88"/>
    <w:rsid w:val="000C6811"/>
    <w:rsid w:val="000C6899"/>
    <w:rsid w:val="000D2665"/>
    <w:rsid w:val="000D77F8"/>
    <w:rsid w:val="00114C60"/>
    <w:rsid w:val="00120A5E"/>
    <w:rsid w:val="001247B6"/>
    <w:rsid w:val="00126312"/>
    <w:rsid w:val="00126D31"/>
    <w:rsid w:val="0014217B"/>
    <w:rsid w:val="001433FD"/>
    <w:rsid w:val="001516E2"/>
    <w:rsid w:val="00171A09"/>
    <w:rsid w:val="00177DF0"/>
    <w:rsid w:val="00182229"/>
    <w:rsid w:val="001A4CF4"/>
    <w:rsid w:val="001B0AF1"/>
    <w:rsid w:val="001D7638"/>
    <w:rsid w:val="001E69F1"/>
    <w:rsid w:val="002015BB"/>
    <w:rsid w:val="002052F3"/>
    <w:rsid w:val="00210160"/>
    <w:rsid w:val="00213111"/>
    <w:rsid w:val="002215A7"/>
    <w:rsid w:val="002248EB"/>
    <w:rsid w:val="00243B93"/>
    <w:rsid w:val="00251163"/>
    <w:rsid w:val="00251490"/>
    <w:rsid w:val="002726A4"/>
    <w:rsid w:val="002735B3"/>
    <w:rsid w:val="00293AB5"/>
    <w:rsid w:val="002964F8"/>
    <w:rsid w:val="002C5587"/>
    <w:rsid w:val="002D29ED"/>
    <w:rsid w:val="002E2CD7"/>
    <w:rsid w:val="002E76F7"/>
    <w:rsid w:val="00306AA4"/>
    <w:rsid w:val="0033072B"/>
    <w:rsid w:val="00340433"/>
    <w:rsid w:val="00340B45"/>
    <w:rsid w:val="00345906"/>
    <w:rsid w:val="003473F0"/>
    <w:rsid w:val="00377F97"/>
    <w:rsid w:val="00382F19"/>
    <w:rsid w:val="00385BC4"/>
    <w:rsid w:val="003C2805"/>
    <w:rsid w:val="003D3B97"/>
    <w:rsid w:val="003F0843"/>
    <w:rsid w:val="00445FED"/>
    <w:rsid w:val="004624ED"/>
    <w:rsid w:val="00463A9D"/>
    <w:rsid w:val="00470375"/>
    <w:rsid w:val="00481A02"/>
    <w:rsid w:val="004A2600"/>
    <w:rsid w:val="004C431D"/>
    <w:rsid w:val="004C5AE8"/>
    <w:rsid w:val="004C60CE"/>
    <w:rsid w:val="004F0461"/>
    <w:rsid w:val="004F209B"/>
    <w:rsid w:val="00502459"/>
    <w:rsid w:val="00537F77"/>
    <w:rsid w:val="005624C8"/>
    <w:rsid w:val="0056337D"/>
    <w:rsid w:val="00591195"/>
    <w:rsid w:val="005D0BF2"/>
    <w:rsid w:val="005D2C0D"/>
    <w:rsid w:val="005E6B59"/>
    <w:rsid w:val="005F7274"/>
    <w:rsid w:val="006013E9"/>
    <w:rsid w:val="00604F10"/>
    <w:rsid w:val="00614A82"/>
    <w:rsid w:val="00636B9F"/>
    <w:rsid w:val="00640358"/>
    <w:rsid w:val="0064429D"/>
    <w:rsid w:val="0066253C"/>
    <w:rsid w:val="006953B2"/>
    <w:rsid w:val="006A4EE4"/>
    <w:rsid w:val="006D532E"/>
    <w:rsid w:val="007137E6"/>
    <w:rsid w:val="007224E7"/>
    <w:rsid w:val="00730377"/>
    <w:rsid w:val="00737037"/>
    <w:rsid w:val="00770DCC"/>
    <w:rsid w:val="00775C60"/>
    <w:rsid w:val="00776D92"/>
    <w:rsid w:val="00783FF4"/>
    <w:rsid w:val="007D2431"/>
    <w:rsid w:val="007D2D68"/>
    <w:rsid w:val="007D4DBD"/>
    <w:rsid w:val="007F5A0E"/>
    <w:rsid w:val="008016F2"/>
    <w:rsid w:val="00801A3C"/>
    <w:rsid w:val="00801AB0"/>
    <w:rsid w:val="00807FE9"/>
    <w:rsid w:val="00823E46"/>
    <w:rsid w:val="00831D66"/>
    <w:rsid w:val="00832ED0"/>
    <w:rsid w:val="008415A7"/>
    <w:rsid w:val="008465BB"/>
    <w:rsid w:val="0084704E"/>
    <w:rsid w:val="00863192"/>
    <w:rsid w:val="008631CA"/>
    <w:rsid w:val="008811CA"/>
    <w:rsid w:val="0089132C"/>
    <w:rsid w:val="008B1A15"/>
    <w:rsid w:val="008C1175"/>
    <w:rsid w:val="008C5D8D"/>
    <w:rsid w:val="008D7327"/>
    <w:rsid w:val="00905D38"/>
    <w:rsid w:val="0091797D"/>
    <w:rsid w:val="00932BD4"/>
    <w:rsid w:val="00937EFD"/>
    <w:rsid w:val="009509C8"/>
    <w:rsid w:val="009735A7"/>
    <w:rsid w:val="00991DC5"/>
    <w:rsid w:val="00992DFA"/>
    <w:rsid w:val="00996B3A"/>
    <w:rsid w:val="009E4C28"/>
    <w:rsid w:val="009F1881"/>
    <w:rsid w:val="00A05FBC"/>
    <w:rsid w:val="00A2222B"/>
    <w:rsid w:val="00A25161"/>
    <w:rsid w:val="00A27F73"/>
    <w:rsid w:val="00A30566"/>
    <w:rsid w:val="00A37770"/>
    <w:rsid w:val="00A403DF"/>
    <w:rsid w:val="00A521C4"/>
    <w:rsid w:val="00A7219F"/>
    <w:rsid w:val="00A80FA2"/>
    <w:rsid w:val="00A90304"/>
    <w:rsid w:val="00A92985"/>
    <w:rsid w:val="00A9589B"/>
    <w:rsid w:val="00AC275D"/>
    <w:rsid w:val="00AC439E"/>
    <w:rsid w:val="00AC751D"/>
    <w:rsid w:val="00AD5378"/>
    <w:rsid w:val="00B12592"/>
    <w:rsid w:val="00B1798D"/>
    <w:rsid w:val="00B21CBF"/>
    <w:rsid w:val="00B25A54"/>
    <w:rsid w:val="00B64C8F"/>
    <w:rsid w:val="00B81B31"/>
    <w:rsid w:val="00B9674D"/>
    <w:rsid w:val="00BB3DC2"/>
    <w:rsid w:val="00BB6216"/>
    <w:rsid w:val="00BC6FA9"/>
    <w:rsid w:val="00BE52A5"/>
    <w:rsid w:val="00BE7E9C"/>
    <w:rsid w:val="00BF3D70"/>
    <w:rsid w:val="00C044AD"/>
    <w:rsid w:val="00C13088"/>
    <w:rsid w:val="00C34033"/>
    <w:rsid w:val="00C43856"/>
    <w:rsid w:val="00C479A0"/>
    <w:rsid w:val="00C841A9"/>
    <w:rsid w:val="00CB7BA3"/>
    <w:rsid w:val="00CC7E17"/>
    <w:rsid w:val="00CD0DAE"/>
    <w:rsid w:val="00CD519B"/>
    <w:rsid w:val="00CE4F4D"/>
    <w:rsid w:val="00D03EAE"/>
    <w:rsid w:val="00D05C3A"/>
    <w:rsid w:val="00D305DB"/>
    <w:rsid w:val="00D47B43"/>
    <w:rsid w:val="00D52018"/>
    <w:rsid w:val="00D70743"/>
    <w:rsid w:val="00D77563"/>
    <w:rsid w:val="00D80C4C"/>
    <w:rsid w:val="00D84098"/>
    <w:rsid w:val="00DA7588"/>
    <w:rsid w:val="00DB6EA6"/>
    <w:rsid w:val="00DC561F"/>
    <w:rsid w:val="00DD3CCD"/>
    <w:rsid w:val="00DD676A"/>
    <w:rsid w:val="00DE02C7"/>
    <w:rsid w:val="00DF1847"/>
    <w:rsid w:val="00DF4CBA"/>
    <w:rsid w:val="00E135DF"/>
    <w:rsid w:val="00E147EA"/>
    <w:rsid w:val="00E21573"/>
    <w:rsid w:val="00E2745D"/>
    <w:rsid w:val="00E362F5"/>
    <w:rsid w:val="00E42B43"/>
    <w:rsid w:val="00E46D7D"/>
    <w:rsid w:val="00E517D3"/>
    <w:rsid w:val="00E772EE"/>
    <w:rsid w:val="00E937AE"/>
    <w:rsid w:val="00EA0AE8"/>
    <w:rsid w:val="00EA3CF7"/>
    <w:rsid w:val="00EA769A"/>
    <w:rsid w:val="00EC2907"/>
    <w:rsid w:val="00EC4FAB"/>
    <w:rsid w:val="00EC5D86"/>
    <w:rsid w:val="00EC6A16"/>
    <w:rsid w:val="00EC7F72"/>
    <w:rsid w:val="00EE314D"/>
    <w:rsid w:val="00EE4B4C"/>
    <w:rsid w:val="00F07BC0"/>
    <w:rsid w:val="00F269DA"/>
    <w:rsid w:val="00F409F9"/>
    <w:rsid w:val="00F47D9D"/>
    <w:rsid w:val="00F852D2"/>
    <w:rsid w:val="00F9174C"/>
    <w:rsid w:val="00F94F94"/>
    <w:rsid w:val="00FB6472"/>
    <w:rsid w:val="00FC21AF"/>
    <w:rsid w:val="00FD2684"/>
    <w:rsid w:val="00FE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E9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C4C"/>
    <w:pPr>
      <w:ind w:left="720"/>
      <w:contextualSpacing/>
    </w:pPr>
  </w:style>
  <w:style w:type="character" w:styleId="Hyperlink">
    <w:name w:val="Hyperlink"/>
    <w:basedOn w:val="DefaultParagraphFont"/>
    <w:uiPriority w:val="99"/>
    <w:unhideWhenUsed/>
    <w:rsid w:val="00DE02C7"/>
    <w:rPr>
      <w:color w:val="0563C1" w:themeColor="hyperlink"/>
      <w:u w:val="single"/>
    </w:rPr>
  </w:style>
  <w:style w:type="paragraph" w:styleId="BalloonText">
    <w:name w:val="Balloon Text"/>
    <w:basedOn w:val="Normal"/>
    <w:link w:val="BalloonTextChar"/>
    <w:uiPriority w:val="99"/>
    <w:semiHidden/>
    <w:unhideWhenUsed/>
    <w:rsid w:val="000569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6956"/>
    <w:rPr>
      <w:rFonts w:ascii="Times New Roman" w:hAnsi="Times New Roman" w:cs="Times New Roman"/>
      <w:sz w:val="18"/>
      <w:szCs w:val="18"/>
    </w:rPr>
  </w:style>
  <w:style w:type="paragraph" w:styleId="EndnoteText">
    <w:name w:val="endnote text"/>
    <w:basedOn w:val="Normal"/>
    <w:link w:val="EndnoteTextChar"/>
    <w:uiPriority w:val="99"/>
    <w:unhideWhenUsed/>
    <w:rsid w:val="00056956"/>
  </w:style>
  <w:style w:type="character" w:customStyle="1" w:styleId="EndnoteTextChar">
    <w:name w:val="Endnote Text Char"/>
    <w:basedOn w:val="DefaultParagraphFont"/>
    <w:link w:val="EndnoteText"/>
    <w:uiPriority w:val="99"/>
    <w:rsid w:val="00056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data.foundationcenter.org/about.html"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3075</Words>
  <Characters>17529</Characters>
  <Application>Microsoft Office Word</Application>
  <DocSecurity>0</DocSecurity>
  <Lines>146</Lines>
  <Paragraphs>41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following Subject Issues were considered political: Environmental Justice, M</vt:lpstr>
    </vt:vector>
  </TitlesOfParts>
  <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Halterman</dc:creator>
  <cp:keywords/>
  <dc:description/>
  <cp:lastModifiedBy>Deborah Ring</cp:lastModifiedBy>
  <cp:revision>2</cp:revision>
  <dcterms:created xsi:type="dcterms:W3CDTF">2018-06-08T17:27:00Z</dcterms:created>
  <dcterms:modified xsi:type="dcterms:W3CDTF">2018-06-08T17:27:00Z</dcterms:modified>
</cp:coreProperties>
</file>