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37A18" w14:textId="77777777" w:rsidR="00CD21FD" w:rsidRPr="00791BEB" w:rsidRDefault="00CD21FD" w:rsidP="00CD21FD">
      <w:pPr>
        <w:spacing w:line="480" w:lineRule="auto"/>
        <w:contextualSpacing/>
        <w:jc w:val="center"/>
        <w:rPr>
          <w:rFonts w:asciiTheme="majorBidi" w:hAnsiTheme="majorBidi" w:cstheme="majorBidi"/>
          <w:sz w:val="24"/>
          <w:szCs w:val="24"/>
          <w:u w:val="single"/>
        </w:rPr>
      </w:pPr>
      <w:r w:rsidRPr="00791BEB">
        <w:rPr>
          <w:rFonts w:asciiTheme="majorBidi" w:hAnsiTheme="majorBidi" w:cstheme="majorBidi"/>
          <w:sz w:val="24"/>
          <w:szCs w:val="24"/>
          <w:u w:val="single"/>
        </w:rPr>
        <w:t>Appendix</w:t>
      </w:r>
    </w:p>
    <w:p w14:paraId="6EEFA768" w14:textId="77777777" w:rsidR="00F91672" w:rsidRPr="00791BEB" w:rsidRDefault="00CD21FD" w:rsidP="00CD21FD">
      <w:pPr>
        <w:spacing w:line="480" w:lineRule="auto"/>
        <w:contextualSpacing/>
        <w:jc w:val="center"/>
        <w:rPr>
          <w:rFonts w:asciiTheme="majorBidi" w:hAnsiTheme="majorBidi" w:cstheme="majorBidi"/>
          <w:sz w:val="24"/>
          <w:szCs w:val="24"/>
        </w:rPr>
      </w:pPr>
      <w:r w:rsidRPr="00791BEB">
        <w:rPr>
          <w:rFonts w:asciiTheme="majorBidi" w:hAnsiTheme="majorBidi" w:cstheme="majorBidi"/>
          <w:sz w:val="24"/>
          <w:szCs w:val="24"/>
        </w:rPr>
        <w:t>How narratives and evidence influence rumor belief in conflict zones: Evidence from Syria</w:t>
      </w:r>
    </w:p>
    <w:p w14:paraId="7AF645ED" w14:textId="77777777" w:rsidR="00CD21FD" w:rsidRPr="00376A05" w:rsidRDefault="00CD21FD" w:rsidP="00BD59FE">
      <w:pPr>
        <w:pStyle w:val="Heading1"/>
        <w:spacing w:line="480" w:lineRule="auto"/>
        <w:contextualSpacing/>
        <w:rPr>
          <w:rFonts w:asciiTheme="majorBidi" w:hAnsiTheme="majorBidi"/>
        </w:rPr>
      </w:pPr>
      <w:r w:rsidRPr="00376A05">
        <w:rPr>
          <w:rFonts w:asciiTheme="majorBidi" w:hAnsiTheme="majorBidi"/>
        </w:rPr>
        <w:t>Technical details of the fieldwork that informs this manuscript</w:t>
      </w:r>
    </w:p>
    <w:p w14:paraId="54E58CC2" w14:textId="77777777" w:rsidR="00CD21FD" w:rsidRPr="00376A05" w:rsidRDefault="00BD59FE" w:rsidP="00AE59D9">
      <w:pPr>
        <w:spacing w:line="480" w:lineRule="auto"/>
        <w:ind w:firstLine="720"/>
        <w:contextualSpacing/>
        <w:rPr>
          <w:rFonts w:asciiTheme="majorBidi" w:hAnsiTheme="majorBidi" w:cstheme="majorBidi"/>
          <w:sz w:val="24"/>
          <w:szCs w:val="24"/>
        </w:rPr>
      </w:pPr>
      <w:r w:rsidRPr="00791BEB">
        <w:rPr>
          <w:rFonts w:asciiTheme="majorBidi" w:hAnsiTheme="majorBidi" w:cstheme="majorBidi"/>
          <w:sz w:val="24"/>
          <w:szCs w:val="24"/>
        </w:rPr>
        <w:t xml:space="preserve">As I state in the main text, this manuscript is informed by 35 interviews with Syrian </w:t>
      </w:r>
      <w:r w:rsidRPr="00376A05">
        <w:rPr>
          <w:rFonts w:asciiTheme="majorBidi" w:hAnsiTheme="majorBidi" w:cstheme="majorBidi"/>
          <w:sz w:val="24"/>
          <w:szCs w:val="24"/>
        </w:rPr>
        <w:t>refugees in Jordan and 179 interviews with Syrian refugees in Turkey.</w:t>
      </w:r>
      <w:r w:rsidR="002940C7" w:rsidRPr="00376A05">
        <w:rPr>
          <w:rFonts w:asciiTheme="majorBidi" w:hAnsiTheme="majorBidi" w:cstheme="majorBidi"/>
          <w:sz w:val="24"/>
          <w:szCs w:val="24"/>
        </w:rPr>
        <w:t xml:space="preserve"> These interviews were completed with a questionnaire that includes open-ended and closed-ended questions.</w:t>
      </w:r>
      <w:r w:rsidR="00575EAD" w:rsidRPr="00376A05">
        <w:rPr>
          <w:rFonts w:asciiTheme="majorBidi" w:hAnsiTheme="majorBidi" w:cstheme="majorBidi"/>
          <w:sz w:val="24"/>
          <w:szCs w:val="24"/>
        </w:rPr>
        <w:t xml:space="preserve"> In this appendix, I </w:t>
      </w:r>
      <w:r w:rsidR="000369CF" w:rsidRPr="00376A05">
        <w:rPr>
          <w:rFonts w:asciiTheme="majorBidi" w:hAnsiTheme="majorBidi" w:cstheme="majorBidi"/>
          <w:sz w:val="24"/>
          <w:szCs w:val="24"/>
        </w:rPr>
        <w:t>desc</w:t>
      </w:r>
      <w:r w:rsidR="00691178" w:rsidRPr="00376A05">
        <w:rPr>
          <w:rFonts w:asciiTheme="majorBidi" w:hAnsiTheme="majorBidi" w:cstheme="majorBidi"/>
          <w:sz w:val="24"/>
          <w:szCs w:val="24"/>
        </w:rPr>
        <w:t>ribe</w:t>
      </w:r>
      <w:r w:rsidR="000369CF" w:rsidRPr="00376A05">
        <w:rPr>
          <w:rFonts w:asciiTheme="majorBidi" w:hAnsiTheme="majorBidi" w:cstheme="majorBidi"/>
          <w:sz w:val="24"/>
          <w:szCs w:val="24"/>
        </w:rPr>
        <w:t xml:space="preserve"> how I conduct</w:t>
      </w:r>
      <w:r w:rsidR="00575EAD" w:rsidRPr="00376A05">
        <w:rPr>
          <w:rFonts w:asciiTheme="majorBidi" w:hAnsiTheme="majorBidi" w:cstheme="majorBidi"/>
          <w:sz w:val="24"/>
          <w:szCs w:val="24"/>
        </w:rPr>
        <w:t>ed my interviews and the questions from my questionnaire that inform this paper.</w:t>
      </w:r>
    </w:p>
    <w:p w14:paraId="0555CB77" w14:textId="77777777" w:rsidR="00575EAD" w:rsidRPr="00376A05" w:rsidRDefault="000369CF" w:rsidP="00AE59D9">
      <w:pPr>
        <w:pStyle w:val="Heading2"/>
        <w:spacing w:line="480" w:lineRule="auto"/>
        <w:contextualSpacing/>
        <w:rPr>
          <w:rFonts w:asciiTheme="majorBidi" w:hAnsiTheme="majorBidi"/>
        </w:rPr>
      </w:pPr>
      <w:r w:rsidRPr="00376A05">
        <w:rPr>
          <w:rFonts w:asciiTheme="majorBidi" w:hAnsiTheme="majorBidi"/>
        </w:rPr>
        <w:t>How I conducted interviews</w:t>
      </w:r>
    </w:p>
    <w:p w14:paraId="476B57AA" w14:textId="77777777" w:rsidR="000369CF" w:rsidRPr="00376A05" w:rsidRDefault="003974A1" w:rsidP="00AE59D9">
      <w:pPr>
        <w:spacing w:line="480" w:lineRule="auto"/>
        <w:contextualSpacing/>
        <w:rPr>
          <w:rFonts w:asciiTheme="majorBidi" w:hAnsiTheme="majorBidi" w:cstheme="majorBidi"/>
          <w:sz w:val="24"/>
          <w:szCs w:val="24"/>
        </w:rPr>
      </w:pPr>
      <w:r w:rsidRPr="00376A05">
        <w:rPr>
          <w:rFonts w:asciiTheme="majorBidi" w:hAnsiTheme="majorBidi" w:cstheme="majorBidi"/>
          <w:sz w:val="24"/>
          <w:szCs w:val="24"/>
        </w:rPr>
        <w:tab/>
        <w:t>As I explain in the main text, I conducted interviews a bit differently in Jordan and Turkey. In Jordan, I was more exploratory. In Turkey, I had narrowed down exactly where I wanted to focus conversations.</w:t>
      </w:r>
      <w:r w:rsidR="00605A09" w:rsidRPr="00376A05">
        <w:rPr>
          <w:rFonts w:asciiTheme="majorBidi" w:hAnsiTheme="majorBidi" w:cstheme="majorBidi"/>
          <w:sz w:val="24"/>
          <w:szCs w:val="24"/>
        </w:rPr>
        <w:t xml:space="preserve"> In both countries, I made sure that interviews had an average duration between 60 and 90 minutes. If an interview was stretching long, then I reassured the respondent that we did not have to go longer if they did not want to. Nevertheless, there were </w:t>
      </w:r>
      <w:proofErr w:type="gramStart"/>
      <w:r w:rsidR="00605A09" w:rsidRPr="00376A05">
        <w:rPr>
          <w:rFonts w:asciiTheme="majorBidi" w:hAnsiTheme="majorBidi" w:cstheme="majorBidi"/>
          <w:sz w:val="24"/>
          <w:szCs w:val="24"/>
        </w:rPr>
        <w:t>some</w:t>
      </w:r>
      <w:proofErr w:type="gramEnd"/>
      <w:r w:rsidR="00605A09" w:rsidRPr="00376A05">
        <w:rPr>
          <w:rFonts w:asciiTheme="majorBidi" w:hAnsiTheme="majorBidi" w:cstheme="majorBidi"/>
          <w:sz w:val="24"/>
          <w:szCs w:val="24"/>
        </w:rPr>
        <w:t xml:space="preserve"> respondents who wanted to speak at length. One interview lasted four hours.</w:t>
      </w:r>
    </w:p>
    <w:p w14:paraId="7C0F00E0" w14:textId="290E560D" w:rsidR="00470EA6" w:rsidRPr="00376A05" w:rsidRDefault="00470EA6" w:rsidP="008744C6">
      <w:pPr>
        <w:spacing w:line="480" w:lineRule="auto"/>
        <w:contextualSpacing/>
        <w:rPr>
          <w:rFonts w:asciiTheme="majorBidi" w:hAnsiTheme="majorBidi" w:cstheme="majorBidi"/>
          <w:sz w:val="24"/>
          <w:szCs w:val="24"/>
        </w:rPr>
      </w:pPr>
      <w:r w:rsidRPr="00376A05">
        <w:rPr>
          <w:rFonts w:asciiTheme="majorBidi" w:hAnsiTheme="majorBidi" w:cstheme="majorBidi"/>
          <w:sz w:val="24"/>
          <w:szCs w:val="24"/>
        </w:rPr>
        <w:tab/>
        <w:t>In Jordan, I</w:t>
      </w:r>
      <w:r w:rsidR="0064410F" w:rsidRPr="00376A05">
        <w:rPr>
          <w:rFonts w:asciiTheme="majorBidi" w:hAnsiTheme="majorBidi" w:cstheme="majorBidi"/>
          <w:sz w:val="24"/>
          <w:szCs w:val="24"/>
        </w:rPr>
        <w:t xml:space="preserve"> used several means to identify respondents. In Irbid, Amman, and </w:t>
      </w:r>
      <w:proofErr w:type="spellStart"/>
      <w:r w:rsidR="0064410F" w:rsidRPr="00376A05">
        <w:rPr>
          <w:rFonts w:asciiTheme="majorBidi" w:hAnsiTheme="majorBidi" w:cstheme="majorBidi"/>
          <w:sz w:val="24"/>
          <w:szCs w:val="24"/>
        </w:rPr>
        <w:t>Zaatari</w:t>
      </w:r>
      <w:proofErr w:type="spellEnd"/>
      <w:r w:rsidR="0064410F" w:rsidRPr="00376A05">
        <w:rPr>
          <w:rFonts w:asciiTheme="majorBidi" w:hAnsiTheme="majorBidi" w:cstheme="majorBidi"/>
          <w:sz w:val="24"/>
          <w:szCs w:val="24"/>
        </w:rPr>
        <w:t xml:space="preserve"> village, respondents were identified through the social network of the interpreter</w:t>
      </w:r>
      <w:r w:rsidR="008744C6">
        <w:rPr>
          <w:rFonts w:asciiTheme="majorBidi" w:hAnsiTheme="majorBidi" w:cstheme="majorBidi"/>
          <w:sz w:val="24"/>
          <w:szCs w:val="24"/>
        </w:rPr>
        <w:t xml:space="preserve"> and then snowball sampling</w:t>
      </w:r>
      <w:r w:rsidR="0064410F" w:rsidRPr="00376A05">
        <w:rPr>
          <w:rFonts w:asciiTheme="majorBidi" w:hAnsiTheme="majorBidi" w:cstheme="majorBidi"/>
          <w:sz w:val="24"/>
          <w:szCs w:val="24"/>
        </w:rPr>
        <w:t xml:space="preserve">. In </w:t>
      </w:r>
      <w:proofErr w:type="spellStart"/>
      <w:r w:rsidR="0064410F" w:rsidRPr="00376A05">
        <w:rPr>
          <w:rFonts w:asciiTheme="majorBidi" w:hAnsiTheme="majorBidi" w:cstheme="majorBidi"/>
          <w:sz w:val="24"/>
          <w:szCs w:val="24"/>
        </w:rPr>
        <w:t>Zaatari</w:t>
      </w:r>
      <w:proofErr w:type="spellEnd"/>
      <w:r w:rsidR="0064410F" w:rsidRPr="00376A05">
        <w:rPr>
          <w:rFonts w:asciiTheme="majorBidi" w:hAnsiTheme="majorBidi" w:cstheme="majorBidi"/>
          <w:sz w:val="24"/>
          <w:szCs w:val="24"/>
        </w:rPr>
        <w:t xml:space="preserve"> refugee camp, respondents were identified </w:t>
      </w:r>
      <w:r w:rsidR="008744C6">
        <w:rPr>
          <w:rFonts w:asciiTheme="majorBidi" w:hAnsiTheme="majorBidi" w:cstheme="majorBidi"/>
          <w:sz w:val="24"/>
          <w:szCs w:val="24"/>
        </w:rPr>
        <w:t>by walking to several camp districts and then</w:t>
      </w:r>
      <w:r w:rsidR="0064410F" w:rsidRPr="00376A05">
        <w:rPr>
          <w:rFonts w:asciiTheme="majorBidi" w:hAnsiTheme="majorBidi" w:cstheme="majorBidi"/>
          <w:sz w:val="24"/>
          <w:szCs w:val="24"/>
        </w:rPr>
        <w:t xml:space="preserve"> snowball sampling.</w:t>
      </w:r>
      <w:r w:rsidR="00030EE4" w:rsidRPr="00376A05">
        <w:rPr>
          <w:rFonts w:asciiTheme="majorBidi" w:hAnsiTheme="majorBidi" w:cstheme="majorBidi"/>
          <w:sz w:val="24"/>
          <w:szCs w:val="24"/>
        </w:rPr>
        <w:t xml:space="preserve"> I intentionally used several entry points into communities, in order to obtain a diverse sample </w:t>
      </w:r>
      <w:r w:rsidR="00030EE4" w:rsidRPr="00376A05">
        <w:rPr>
          <w:rFonts w:asciiTheme="majorBidi" w:hAnsiTheme="majorBidi" w:cstheme="majorBidi"/>
          <w:sz w:val="24"/>
          <w:szCs w:val="24"/>
        </w:rPr>
        <w:fldChar w:fldCharType="begin"/>
      </w:r>
      <w:r w:rsidR="00030EE4" w:rsidRPr="00376A05">
        <w:rPr>
          <w:rFonts w:asciiTheme="majorBidi" w:hAnsiTheme="majorBidi" w:cstheme="majorBidi"/>
          <w:sz w:val="24"/>
          <w:szCs w:val="24"/>
        </w:rPr>
        <w:instrText xml:space="preserve"> ADDIN EN.CITE &lt;EndNote&gt;&lt;Cite&gt;&lt;Author&gt;Bloch&lt;/Author&gt;&lt;Year&gt;2007&lt;/Year&gt;&lt;RecNum&gt;647&lt;/RecNum&gt;&lt;DisplayText&gt;(Bloch 2007, Schon 2019)&lt;/DisplayText&gt;&lt;record&gt;&lt;rec-number&gt;647&lt;/rec-number&gt;&lt;foreign-keys&gt;&lt;key app="EN" db-id="s5xzfar5vdfrsne2006va5sexf9z0sftrtwa" timestamp="1454978721"&gt;647&lt;/key&gt;&lt;/foreign-keys&gt;&lt;ref-type name="Journal Article"&gt;17&lt;/ref-type&gt;&lt;contributors&gt;&lt;authors&gt;&lt;author&gt;Bloch, Alice&lt;/author&gt;&lt;/authors&gt;&lt;/contributors&gt;&lt;titles&gt;&lt;title&gt;Methodological Challenges for National and Multi-Sited Comparative Survey Research&lt;/title&gt;&lt;secondary-title&gt;Journal of Refugee Studies&lt;/secondary-title&gt;&lt;/titles&gt;&lt;periodical&gt;&lt;full-title&gt;Journal of Refugee Studies&lt;/full-title&gt;&lt;/periodical&gt;&lt;pages&gt;230-247&lt;/pages&gt;&lt;volume&gt;20&lt;/volume&gt;&lt;number&gt;2&lt;/number&gt;&lt;dates&gt;&lt;year&gt;2007&lt;/year&gt;&lt;/dates&gt;&lt;urls&gt;&lt;/urls&gt;&lt;/record&gt;&lt;/Cite&gt;&lt;Cite&gt;&lt;Author&gt;Schon&lt;/Author&gt;&lt;Year&gt;2019&lt;/Year&gt;&lt;RecNum&gt;1495&lt;/RecNum&gt;&lt;record&gt;&lt;rec-number&gt;1495&lt;/rec-number&gt;&lt;foreign-keys&gt;&lt;key app="EN" db-id="s5xzfar5vdfrsne2006va5sexf9z0sftrtwa" timestamp="1535475996"&gt;1495&lt;/key&gt;&lt;/foreign-keys&gt;&lt;ref-type name="Journal Article"&gt;17&lt;/ref-type&gt;&lt;contributors&gt;&lt;authors&gt;&lt;author&gt;Schon, Justin&lt;/author&gt;&lt;/authors&gt;&lt;/contributors&gt;&lt;titles&gt;&lt;title&gt;Motivation and opportunity for conflict-induced migration: An analysis of Syrian migration timing&lt;/title&gt;&lt;secondary-title&gt;Journal of Peace Research&lt;/secondary-title&gt;&lt;/titles&gt;&lt;periodical&gt;&lt;full-title&gt;Journal of Peace Research&lt;/full-title&gt;&lt;/periodical&gt;&lt;pages&gt;12-27&lt;/pages&gt;&lt;volume&gt;56&lt;/volume&gt;&lt;number&gt;1&lt;/number&gt;&lt;dates&gt;&lt;year&gt;2019&lt;/year&gt;&lt;/dates&gt;&lt;urls&gt;&lt;/urls&gt;&lt;/record&gt;&lt;/Cite&gt;&lt;/EndNote&gt;</w:instrText>
      </w:r>
      <w:r w:rsidR="00030EE4" w:rsidRPr="00376A05">
        <w:rPr>
          <w:rFonts w:asciiTheme="majorBidi" w:hAnsiTheme="majorBidi" w:cstheme="majorBidi"/>
          <w:sz w:val="24"/>
          <w:szCs w:val="24"/>
        </w:rPr>
        <w:fldChar w:fldCharType="separate"/>
      </w:r>
      <w:r w:rsidR="00030EE4" w:rsidRPr="00376A05">
        <w:rPr>
          <w:rFonts w:asciiTheme="majorBidi" w:hAnsiTheme="majorBidi" w:cstheme="majorBidi"/>
          <w:noProof/>
          <w:sz w:val="24"/>
          <w:szCs w:val="24"/>
        </w:rPr>
        <w:t>(Bloch 2007, Schon 2019)</w:t>
      </w:r>
      <w:r w:rsidR="00030EE4" w:rsidRPr="00376A05">
        <w:rPr>
          <w:rFonts w:asciiTheme="majorBidi" w:hAnsiTheme="majorBidi" w:cstheme="majorBidi"/>
          <w:sz w:val="24"/>
          <w:szCs w:val="24"/>
        </w:rPr>
        <w:fldChar w:fldCharType="end"/>
      </w:r>
      <w:r w:rsidR="00030EE4" w:rsidRPr="00376A05">
        <w:rPr>
          <w:rFonts w:asciiTheme="majorBidi" w:hAnsiTheme="majorBidi" w:cstheme="majorBidi"/>
          <w:sz w:val="24"/>
          <w:szCs w:val="24"/>
        </w:rPr>
        <w:t>. This diversity can be observed through the variety of origin locations, destination locations, and migration timing of my respondents in Jordan.</w:t>
      </w:r>
    </w:p>
    <w:p w14:paraId="5A53FF9D" w14:textId="67016F5D" w:rsidR="00973270" w:rsidRPr="00973270" w:rsidRDefault="00973270" w:rsidP="00973270">
      <w:pPr>
        <w:pStyle w:val="Caption"/>
        <w:keepNext/>
        <w:jc w:val="center"/>
        <w:rPr>
          <w:rFonts w:asciiTheme="majorBidi" w:hAnsiTheme="majorBidi" w:cstheme="majorBidi"/>
          <w:color w:val="auto"/>
          <w:sz w:val="24"/>
          <w:szCs w:val="24"/>
        </w:rPr>
      </w:pPr>
      <w:r w:rsidRPr="00973270">
        <w:rPr>
          <w:rFonts w:asciiTheme="majorBidi" w:hAnsiTheme="majorBidi" w:cstheme="majorBidi"/>
          <w:color w:val="auto"/>
          <w:sz w:val="24"/>
          <w:szCs w:val="24"/>
        </w:rPr>
        <w:lastRenderedPageBreak/>
        <w:t xml:space="preserve">Figure </w:t>
      </w:r>
      <w:r w:rsidRPr="00973270">
        <w:rPr>
          <w:rFonts w:asciiTheme="majorBidi" w:hAnsiTheme="majorBidi" w:cstheme="majorBidi"/>
          <w:color w:val="auto"/>
          <w:sz w:val="24"/>
          <w:szCs w:val="24"/>
        </w:rPr>
        <w:fldChar w:fldCharType="begin"/>
      </w:r>
      <w:r w:rsidRPr="00973270">
        <w:rPr>
          <w:rFonts w:asciiTheme="majorBidi" w:hAnsiTheme="majorBidi" w:cstheme="majorBidi"/>
          <w:color w:val="auto"/>
          <w:sz w:val="24"/>
          <w:szCs w:val="24"/>
        </w:rPr>
        <w:instrText xml:space="preserve"> SEQ Figure \* ARABIC </w:instrText>
      </w:r>
      <w:r w:rsidRPr="0097327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w:t>
      </w:r>
      <w:r w:rsidRPr="00973270">
        <w:rPr>
          <w:rFonts w:asciiTheme="majorBidi" w:hAnsiTheme="majorBidi" w:cstheme="majorBidi"/>
          <w:color w:val="auto"/>
          <w:sz w:val="24"/>
          <w:szCs w:val="24"/>
        </w:rPr>
        <w:fldChar w:fldCharType="end"/>
      </w:r>
      <w:r w:rsidRPr="00973270">
        <w:rPr>
          <w:rFonts w:asciiTheme="majorBidi" w:hAnsiTheme="majorBidi" w:cstheme="majorBidi"/>
          <w:color w:val="auto"/>
          <w:sz w:val="24"/>
          <w:szCs w:val="24"/>
        </w:rPr>
        <w:t>: Respondent origins for Jordan sample</w:t>
      </w:r>
    </w:p>
    <w:p w14:paraId="089551BB" w14:textId="77777777" w:rsidR="002339A2" w:rsidRPr="00376A05" w:rsidRDefault="002339A2" w:rsidP="00030EE4">
      <w:pPr>
        <w:spacing w:line="480" w:lineRule="auto"/>
        <w:contextualSpacing/>
        <w:rPr>
          <w:rFonts w:asciiTheme="majorBidi" w:hAnsiTheme="majorBidi" w:cstheme="majorBidi"/>
        </w:rPr>
      </w:pPr>
      <w:r>
        <w:rPr>
          <w:noProof/>
        </w:rPr>
        <w:drawing>
          <wp:inline distT="0" distB="0" distL="0" distR="0" wp14:anchorId="6DF9F538" wp14:editId="425AF471">
            <wp:extent cx="5943600" cy="459295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5943600" cy="4592955"/>
                    </a:xfrm>
                    <a:prstGeom prst="rect">
                      <a:avLst/>
                    </a:prstGeom>
                    <a:noFill/>
                    <a:ln w="9525">
                      <a:noFill/>
                      <a:miter lim="800000"/>
                      <a:headEnd/>
                      <a:tailEnd/>
                    </a:ln>
                  </pic:spPr>
                </pic:pic>
              </a:graphicData>
            </a:graphic>
          </wp:inline>
        </w:drawing>
      </w:r>
    </w:p>
    <w:p w14:paraId="07F75ADD" w14:textId="71A129CD" w:rsidR="00973270" w:rsidRPr="00973270" w:rsidRDefault="00973270" w:rsidP="00973270">
      <w:pPr>
        <w:pStyle w:val="Caption"/>
        <w:keepNext/>
        <w:jc w:val="center"/>
        <w:rPr>
          <w:rFonts w:asciiTheme="majorBidi" w:hAnsiTheme="majorBidi" w:cstheme="majorBidi"/>
          <w:color w:val="auto"/>
          <w:sz w:val="24"/>
          <w:szCs w:val="24"/>
        </w:rPr>
      </w:pPr>
      <w:r w:rsidRPr="00973270">
        <w:rPr>
          <w:rFonts w:asciiTheme="majorBidi" w:hAnsiTheme="majorBidi" w:cstheme="majorBidi"/>
          <w:color w:val="auto"/>
          <w:sz w:val="24"/>
          <w:szCs w:val="24"/>
        </w:rPr>
        <w:lastRenderedPageBreak/>
        <w:t xml:space="preserve">Figure </w:t>
      </w:r>
      <w:r w:rsidRPr="00973270">
        <w:rPr>
          <w:rFonts w:asciiTheme="majorBidi" w:hAnsiTheme="majorBidi" w:cstheme="majorBidi"/>
          <w:color w:val="auto"/>
          <w:sz w:val="24"/>
          <w:szCs w:val="24"/>
        </w:rPr>
        <w:fldChar w:fldCharType="begin"/>
      </w:r>
      <w:r w:rsidRPr="00973270">
        <w:rPr>
          <w:rFonts w:asciiTheme="majorBidi" w:hAnsiTheme="majorBidi" w:cstheme="majorBidi"/>
          <w:color w:val="auto"/>
          <w:sz w:val="24"/>
          <w:szCs w:val="24"/>
        </w:rPr>
        <w:instrText xml:space="preserve"> SEQ Figure \* ARABIC </w:instrText>
      </w:r>
      <w:r w:rsidRPr="0097327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2</w:t>
      </w:r>
      <w:r w:rsidRPr="00973270">
        <w:rPr>
          <w:rFonts w:asciiTheme="majorBidi" w:hAnsiTheme="majorBidi" w:cstheme="majorBidi"/>
          <w:color w:val="auto"/>
          <w:sz w:val="24"/>
          <w:szCs w:val="24"/>
        </w:rPr>
        <w:fldChar w:fldCharType="end"/>
      </w:r>
      <w:r w:rsidRPr="00973270">
        <w:rPr>
          <w:rFonts w:asciiTheme="majorBidi" w:hAnsiTheme="majorBidi" w:cstheme="majorBidi"/>
          <w:color w:val="auto"/>
          <w:sz w:val="24"/>
          <w:szCs w:val="24"/>
        </w:rPr>
        <w:t>: Respondent destinations for Jordan sample</w:t>
      </w:r>
    </w:p>
    <w:p w14:paraId="6C70724A" w14:textId="30DD6E94" w:rsidR="002339A2" w:rsidRPr="00376A05" w:rsidRDefault="002339A2" w:rsidP="00030EE4">
      <w:pPr>
        <w:spacing w:line="480" w:lineRule="auto"/>
        <w:contextualSpacing/>
        <w:rPr>
          <w:rFonts w:asciiTheme="majorBidi" w:hAnsiTheme="majorBidi" w:cstheme="majorBidi"/>
        </w:rPr>
      </w:pPr>
      <w:r>
        <w:rPr>
          <w:noProof/>
        </w:rPr>
        <w:drawing>
          <wp:inline distT="0" distB="0" distL="0" distR="0" wp14:anchorId="39E7FA9C" wp14:editId="3D82107B">
            <wp:extent cx="5943600" cy="459232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5943600" cy="4592320"/>
                    </a:xfrm>
                    <a:prstGeom prst="rect">
                      <a:avLst/>
                    </a:prstGeom>
                    <a:noFill/>
                    <a:ln w="9525">
                      <a:noFill/>
                      <a:miter lim="800000"/>
                      <a:headEnd/>
                      <a:tailEnd/>
                    </a:ln>
                  </pic:spPr>
                </pic:pic>
              </a:graphicData>
            </a:graphic>
          </wp:inline>
        </w:drawing>
      </w:r>
    </w:p>
    <w:p w14:paraId="39804419" w14:textId="152997CB" w:rsidR="00973270" w:rsidRPr="00973270" w:rsidRDefault="00973270" w:rsidP="00973270">
      <w:pPr>
        <w:pStyle w:val="Caption"/>
        <w:keepNext/>
        <w:jc w:val="center"/>
        <w:rPr>
          <w:rFonts w:asciiTheme="majorBidi" w:hAnsiTheme="majorBidi" w:cstheme="majorBidi"/>
          <w:color w:val="auto"/>
          <w:sz w:val="24"/>
          <w:szCs w:val="24"/>
        </w:rPr>
      </w:pPr>
      <w:r w:rsidRPr="00973270">
        <w:rPr>
          <w:rFonts w:asciiTheme="majorBidi" w:hAnsiTheme="majorBidi" w:cstheme="majorBidi"/>
          <w:color w:val="auto"/>
          <w:sz w:val="24"/>
          <w:szCs w:val="24"/>
        </w:rPr>
        <w:lastRenderedPageBreak/>
        <w:t xml:space="preserve">Figure </w:t>
      </w:r>
      <w:r w:rsidRPr="00973270">
        <w:rPr>
          <w:rFonts w:asciiTheme="majorBidi" w:hAnsiTheme="majorBidi" w:cstheme="majorBidi"/>
          <w:color w:val="auto"/>
          <w:sz w:val="24"/>
          <w:szCs w:val="24"/>
        </w:rPr>
        <w:fldChar w:fldCharType="begin"/>
      </w:r>
      <w:r w:rsidRPr="00973270">
        <w:rPr>
          <w:rFonts w:asciiTheme="majorBidi" w:hAnsiTheme="majorBidi" w:cstheme="majorBidi"/>
          <w:color w:val="auto"/>
          <w:sz w:val="24"/>
          <w:szCs w:val="24"/>
        </w:rPr>
        <w:instrText xml:space="preserve"> SEQ Figure \* ARABIC </w:instrText>
      </w:r>
      <w:r w:rsidRPr="0097327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3</w:t>
      </w:r>
      <w:r w:rsidRPr="00973270">
        <w:rPr>
          <w:rFonts w:asciiTheme="majorBidi" w:hAnsiTheme="majorBidi" w:cstheme="majorBidi"/>
          <w:color w:val="auto"/>
          <w:sz w:val="24"/>
          <w:szCs w:val="24"/>
        </w:rPr>
        <w:fldChar w:fldCharType="end"/>
      </w:r>
      <w:r w:rsidRPr="00973270">
        <w:rPr>
          <w:rFonts w:asciiTheme="majorBidi" w:hAnsiTheme="majorBidi" w:cstheme="majorBidi"/>
          <w:color w:val="auto"/>
          <w:sz w:val="24"/>
          <w:szCs w:val="24"/>
        </w:rPr>
        <w:t>: Migration timing for Jordan sample</w:t>
      </w:r>
    </w:p>
    <w:p w14:paraId="3419C57A" w14:textId="77777777" w:rsidR="002339A2" w:rsidRDefault="002339A2" w:rsidP="002339A2">
      <w:r w:rsidRPr="00FD072F">
        <w:rPr>
          <w:noProof/>
        </w:rPr>
        <w:drawing>
          <wp:inline distT="0" distB="0" distL="0" distR="0" wp14:anchorId="7E31FC87" wp14:editId="5EB1CC30">
            <wp:extent cx="5943600" cy="3615690"/>
            <wp:effectExtent l="0" t="0" r="1905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49391B" w14:textId="082F6F1C" w:rsidR="002339A2" w:rsidRDefault="002339A2" w:rsidP="002339A2">
      <w:r>
        <w:t>Caption: Here, the vertical axis refers to the number of respondents who left their homes in Syria during each time period. Each time period covers 6 months. For example, 2012-1 is the first 6 months of 2012 and 2012-2 is the second 6 months of 2012.</w:t>
      </w:r>
    </w:p>
    <w:p w14:paraId="1EC628B1" w14:textId="77777777" w:rsidR="002339A2" w:rsidRPr="002339A2" w:rsidRDefault="002339A2" w:rsidP="002339A2"/>
    <w:p w14:paraId="0FFEC26D" w14:textId="77777777" w:rsidR="00166087" w:rsidRPr="00376A05" w:rsidRDefault="00C76888" w:rsidP="004A605E">
      <w:pPr>
        <w:spacing w:line="480" w:lineRule="auto"/>
        <w:contextualSpacing/>
        <w:rPr>
          <w:rFonts w:asciiTheme="majorBidi" w:hAnsiTheme="majorBidi" w:cstheme="majorBidi"/>
          <w:sz w:val="24"/>
          <w:szCs w:val="24"/>
        </w:rPr>
      </w:pPr>
      <w:r w:rsidRPr="00376A05">
        <w:rPr>
          <w:rFonts w:asciiTheme="majorBidi" w:hAnsiTheme="majorBidi" w:cstheme="majorBidi"/>
        </w:rPr>
        <w:tab/>
      </w:r>
      <w:r w:rsidRPr="00376A05">
        <w:rPr>
          <w:rFonts w:asciiTheme="majorBidi" w:hAnsiTheme="majorBidi" w:cstheme="majorBidi"/>
          <w:sz w:val="24"/>
          <w:szCs w:val="24"/>
        </w:rPr>
        <w:t>The language of the interview depended upon the language skills of the respondent. If the respondent was comfortably fluent in English, then I interviewed the respondent alone. If the respondent spoke English but was not fully comfortable, then we conducted the interview in English with an interpreter to help translate any words that were unclear. If the respondent was not fluent in English, then we conducted the interview in Arabic with an interpreter.</w:t>
      </w:r>
      <w:r w:rsidR="004A605E" w:rsidRPr="00376A05">
        <w:rPr>
          <w:rFonts w:asciiTheme="majorBidi" w:hAnsiTheme="majorBidi" w:cstheme="majorBidi"/>
          <w:sz w:val="24"/>
          <w:szCs w:val="24"/>
        </w:rPr>
        <w:t xml:space="preserve"> </w:t>
      </w:r>
    </w:p>
    <w:p w14:paraId="3B759A3A" w14:textId="77777777" w:rsidR="004A605E" w:rsidRPr="00376A05" w:rsidRDefault="004A605E" w:rsidP="00166087">
      <w:pPr>
        <w:spacing w:line="480" w:lineRule="auto"/>
        <w:ind w:firstLine="720"/>
        <w:contextualSpacing/>
        <w:rPr>
          <w:rFonts w:asciiTheme="majorBidi" w:hAnsiTheme="majorBidi" w:cstheme="majorBidi"/>
          <w:sz w:val="24"/>
          <w:szCs w:val="24"/>
        </w:rPr>
      </w:pPr>
      <w:r w:rsidRPr="00376A05">
        <w:rPr>
          <w:rFonts w:asciiTheme="majorBidi" w:hAnsiTheme="majorBidi" w:cstheme="majorBidi"/>
          <w:sz w:val="24"/>
          <w:szCs w:val="24"/>
        </w:rPr>
        <w:t xml:space="preserve">For respondent safety, I kept their identities confidential and obtained verbal consent. I only refer to them through their code numbers in my writing. </w:t>
      </w:r>
      <w:r w:rsidR="00166087" w:rsidRPr="00376A05">
        <w:rPr>
          <w:rFonts w:asciiTheme="majorBidi" w:hAnsiTheme="majorBidi" w:cstheme="majorBidi"/>
          <w:sz w:val="24"/>
          <w:szCs w:val="24"/>
        </w:rPr>
        <w:t xml:space="preserve">While I was arranging interviews, I did not write down the names of respondents. If I did obtain their names, then I </w:t>
      </w:r>
      <w:r w:rsidR="0018530E" w:rsidRPr="00376A05">
        <w:rPr>
          <w:rFonts w:asciiTheme="majorBidi" w:hAnsiTheme="majorBidi" w:cstheme="majorBidi"/>
          <w:sz w:val="24"/>
          <w:szCs w:val="24"/>
        </w:rPr>
        <w:t>maintained the information on hard copy paper that I shredded and discarded after interviews were complete.</w:t>
      </w:r>
    </w:p>
    <w:p w14:paraId="29AA799D" w14:textId="55901E88" w:rsidR="00C76888" w:rsidRPr="00376A05" w:rsidRDefault="00A247C2" w:rsidP="00AE59D9">
      <w:pPr>
        <w:spacing w:line="480" w:lineRule="auto"/>
        <w:contextualSpacing/>
        <w:rPr>
          <w:rFonts w:asciiTheme="majorBidi" w:hAnsiTheme="majorBidi" w:cstheme="majorBidi"/>
          <w:sz w:val="24"/>
          <w:szCs w:val="24"/>
        </w:rPr>
      </w:pPr>
      <w:r w:rsidRPr="00376A05">
        <w:rPr>
          <w:rFonts w:asciiTheme="majorBidi" w:hAnsiTheme="majorBidi" w:cstheme="majorBidi"/>
          <w:sz w:val="24"/>
          <w:szCs w:val="24"/>
        </w:rPr>
        <w:lastRenderedPageBreak/>
        <w:tab/>
        <w:t>In Turkey, I kept interviews structured.</w:t>
      </w:r>
      <w:r w:rsidR="006642D0" w:rsidRPr="00376A05">
        <w:rPr>
          <w:rFonts w:asciiTheme="majorBidi" w:hAnsiTheme="majorBidi" w:cstheme="majorBidi"/>
          <w:sz w:val="24"/>
          <w:szCs w:val="24"/>
        </w:rPr>
        <w:t xml:space="preserve"> I wanted to ask all respondents the same sets of questions.</w:t>
      </w:r>
      <w:r w:rsidR="003137A5" w:rsidRPr="00376A05">
        <w:rPr>
          <w:rFonts w:asciiTheme="majorBidi" w:hAnsiTheme="majorBidi" w:cstheme="majorBidi"/>
          <w:sz w:val="24"/>
          <w:szCs w:val="24"/>
        </w:rPr>
        <w:t xml:space="preserve"> I conducted interviews in Istanbul and Izmir. This site selection was influenced by security concerns at the Turkey-Syria border. In addition, Istanbul had become host to the largest number of Syrian refugees out of any city in Turkey. Izmir was host to over 100,000 Syrian refugees, and it hosted a different demographic profile of Syrians. Lan</w:t>
      </w:r>
      <w:r w:rsidR="00D3497B">
        <w:rPr>
          <w:rFonts w:asciiTheme="majorBidi" w:hAnsiTheme="majorBidi" w:cstheme="majorBidi"/>
          <w:sz w:val="24"/>
          <w:szCs w:val="24"/>
        </w:rPr>
        <w:t>guage choices for interviews were</w:t>
      </w:r>
      <w:r w:rsidR="003137A5" w:rsidRPr="00376A05">
        <w:rPr>
          <w:rFonts w:asciiTheme="majorBidi" w:hAnsiTheme="majorBidi" w:cstheme="majorBidi"/>
          <w:sz w:val="24"/>
          <w:szCs w:val="24"/>
        </w:rPr>
        <w:t xml:space="preserve"> done in the same manner as for the interviews in Jordan. Also, I again had several ent</w:t>
      </w:r>
      <w:bookmarkStart w:id="0" w:name="_GoBack"/>
      <w:bookmarkEnd w:id="0"/>
      <w:r w:rsidR="003137A5" w:rsidRPr="00376A05">
        <w:rPr>
          <w:rFonts w:asciiTheme="majorBidi" w:hAnsiTheme="majorBidi" w:cstheme="majorBidi"/>
          <w:sz w:val="24"/>
          <w:szCs w:val="24"/>
        </w:rPr>
        <w:t>ry points into communities</w:t>
      </w:r>
      <w:r w:rsidR="00184577">
        <w:rPr>
          <w:rFonts w:asciiTheme="majorBidi" w:hAnsiTheme="majorBidi" w:cstheme="majorBidi"/>
          <w:sz w:val="24"/>
          <w:szCs w:val="24"/>
        </w:rPr>
        <w:t>, including Syrian schools and the social network of my interpreter,</w:t>
      </w:r>
      <w:r w:rsidR="003137A5" w:rsidRPr="00376A05">
        <w:rPr>
          <w:rFonts w:asciiTheme="majorBidi" w:hAnsiTheme="majorBidi" w:cstheme="majorBidi"/>
          <w:sz w:val="24"/>
          <w:szCs w:val="24"/>
        </w:rPr>
        <w:t xml:space="preserve"> and obtained a diverse sample.</w:t>
      </w:r>
    </w:p>
    <w:p w14:paraId="63CA98A7" w14:textId="71C8A5C8" w:rsidR="00973270" w:rsidRPr="00973270" w:rsidRDefault="00973270" w:rsidP="00973270">
      <w:pPr>
        <w:pStyle w:val="Caption"/>
        <w:keepNext/>
        <w:jc w:val="center"/>
        <w:rPr>
          <w:rFonts w:asciiTheme="majorBidi" w:hAnsiTheme="majorBidi" w:cstheme="majorBidi"/>
          <w:color w:val="auto"/>
          <w:sz w:val="24"/>
          <w:szCs w:val="24"/>
        </w:rPr>
      </w:pPr>
      <w:r w:rsidRPr="00973270">
        <w:rPr>
          <w:rFonts w:asciiTheme="majorBidi" w:hAnsiTheme="majorBidi" w:cstheme="majorBidi"/>
          <w:color w:val="auto"/>
          <w:sz w:val="24"/>
          <w:szCs w:val="24"/>
        </w:rPr>
        <w:t xml:space="preserve">Figure </w:t>
      </w:r>
      <w:r w:rsidRPr="00973270">
        <w:rPr>
          <w:rFonts w:asciiTheme="majorBidi" w:hAnsiTheme="majorBidi" w:cstheme="majorBidi"/>
          <w:color w:val="auto"/>
          <w:sz w:val="24"/>
          <w:szCs w:val="24"/>
        </w:rPr>
        <w:fldChar w:fldCharType="begin"/>
      </w:r>
      <w:r w:rsidRPr="00973270">
        <w:rPr>
          <w:rFonts w:asciiTheme="majorBidi" w:hAnsiTheme="majorBidi" w:cstheme="majorBidi"/>
          <w:color w:val="auto"/>
          <w:sz w:val="24"/>
          <w:szCs w:val="24"/>
        </w:rPr>
        <w:instrText xml:space="preserve"> SEQ Figure \* ARABIC </w:instrText>
      </w:r>
      <w:r w:rsidRPr="0097327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4</w:t>
      </w:r>
      <w:r w:rsidRPr="00973270">
        <w:rPr>
          <w:rFonts w:asciiTheme="majorBidi" w:hAnsiTheme="majorBidi" w:cstheme="majorBidi"/>
          <w:color w:val="auto"/>
          <w:sz w:val="24"/>
          <w:szCs w:val="24"/>
        </w:rPr>
        <w:fldChar w:fldCharType="end"/>
      </w:r>
      <w:r w:rsidRPr="00973270">
        <w:rPr>
          <w:rFonts w:asciiTheme="majorBidi" w:hAnsiTheme="majorBidi" w:cstheme="majorBidi"/>
          <w:color w:val="auto"/>
          <w:sz w:val="24"/>
          <w:szCs w:val="24"/>
        </w:rPr>
        <w:t>: Respondent origins for Turkey and Jordan samples</w:t>
      </w:r>
    </w:p>
    <w:p w14:paraId="52216991" w14:textId="74BDEB14" w:rsidR="002339A2" w:rsidRPr="00376A05" w:rsidRDefault="002339A2" w:rsidP="00AE59D9">
      <w:pPr>
        <w:spacing w:line="480" w:lineRule="auto"/>
        <w:contextualSpacing/>
        <w:rPr>
          <w:rFonts w:asciiTheme="majorBidi" w:hAnsiTheme="majorBidi" w:cstheme="majorBidi"/>
        </w:rPr>
      </w:pPr>
      <w:r w:rsidRPr="002339A2">
        <w:rPr>
          <w:rFonts w:asciiTheme="majorBidi" w:hAnsiTheme="majorBidi" w:cstheme="majorBidi"/>
          <w:noProof/>
        </w:rPr>
        <w:drawing>
          <wp:inline distT="0" distB="0" distL="0" distR="0" wp14:anchorId="34F0454B" wp14:editId="29C56681">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2640"/>
                    </a:xfrm>
                    <a:prstGeom prst="rect">
                      <a:avLst/>
                    </a:prstGeom>
                  </pic:spPr>
                </pic:pic>
              </a:graphicData>
            </a:graphic>
          </wp:inline>
        </w:drawing>
      </w:r>
    </w:p>
    <w:p w14:paraId="576B94C1" w14:textId="4DE2F635" w:rsidR="00973270" w:rsidRPr="00973270" w:rsidRDefault="00973270" w:rsidP="00973270">
      <w:pPr>
        <w:pStyle w:val="Caption"/>
        <w:keepNext/>
        <w:jc w:val="center"/>
        <w:rPr>
          <w:rFonts w:asciiTheme="majorBidi" w:hAnsiTheme="majorBidi" w:cstheme="majorBidi"/>
          <w:color w:val="auto"/>
          <w:sz w:val="24"/>
          <w:szCs w:val="24"/>
        </w:rPr>
      </w:pPr>
      <w:r w:rsidRPr="00973270">
        <w:rPr>
          <w:rFonts w:asciiTheme="majorBidi" w:hAnsiTheme="majorBidi" w:cstheme="majorBidi"/>
          <w:color w:val="auto"/>
          <w:sz w:val="24"/>
          <w:szCs w:val="24"/>
        </w:rPr>
        <w:lastRenderedPageBreak/>
        <w:t xml:space="preserve">Figure </w:t>
      </w:r>
      <w:r w:rsidRPr="00973270">
        <w:rPr>
          <w:rFonts w:asciiTheme="majorBidi" w:hAnsiTheme="majorBidi" w:cstheme="majorBidi"/>
          <w:color w:val="auto"/>
          <w:sz w:val="24"/>
          <w:szCs w:val="24"/>
        </w:rPr>
        <w:fldChar w:fldCharType="begin"/>
      </w:r>
      <w:r w:rsidRPr="00973270">
        <w:rPr>
          <w:rFonts w:asciiTheme="majorBidi" w:hAnsiTheme="majorBidi" w:cstheme="majorBidi"/>
          <w:color w:val="auto"/>
          <w:sz w:val="24"/>
          <w:szCs w:val="24"/>
        </w:rPr>
        <w:instrText xml:space="preserve"> SEQ Figure \* ARABIC </w:instrText>
      </w:r>
      <w:r w:rsidRPr="0097327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5</w:t>
      </w:r>
      <w:r w:rsidRPr="00973270">
        <w:rPr>
          <w:rFonts w:asciiTheme="majorBidi" w:hAnsiTheme="majorBidi" w:cstheme="majorBidi"/>
          <w:color w:val="auto"/>
          <w:sz w:val="24"/>
          <w:szCs w:val="24"/>
        </w:rPr>
        <w:fldChar w:fldCharType="end"/>
      </w:r>
      <w:r w:rsidRPr="00973270">
        <w:rPr>
          <w:rFonts w:asciiTheme="majorBidi" w:hAnsiTheme="majorBidi" w:cstheme="majorBidi"/>
          <w:color w:val="auto"/>
          <w:sz w:val="24"/>
          <w:szCs w:val="24"/>
        </w:rPr>
        <w:t>: Interview locations in Istanbul</w:t>
      </w:r>
    </w:p>
    <w:p w14:paraId="3313C586" w14:textId="7D31ABC6" w:rsidR="002339A2" w:rsidRPr="00376A05" w:rsidRDefault="002339A2" w:rsidP="00AE59D9">
      <w:pPr>
        <w:spacing w:line="480" w:lineRule="auto"/>
        <w:contextualSpacing/>
        <w:rPr>
          <w:rFonts w:asciiTheme="majorBidi" w:hAnsiTheme="majorBidi" w:cstheme="majorBidi"/>
        </w:rPr>
      </w:pPr>
      <w:r w:rsidRPr="002339A2">
        <w:rPr>
          <w:rFonts w:asciiTheme="majorBidi" w:hAnsiTheme="majorBidi" w:cstheme="majorBidi"/>
          <w:noProof/>
        </w:rPr>
        <w:drawing>
          <wp:inline distT="0" distB="0" distL="0" distR="0" wp14:anchorId="7597BCAB" wp14:editId="44281E5B">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2640"/>
                    </a:xfrm>
                    <a:prstGeom prst="rect">
                      <a:avLst/>
                    </a:prstGeom>
                  </pic:spPr>
                </pic:pic>
              </a:graphicData>
            </a:graphic>
          </wp:inline>
        </w:drawing>
      </w:r>
    </w:p>
    <w:p w14:paraId="137F545C" w14:textId="7B9BAA43" w:rsidR="00973270" w:rsidRPr="00973270" w:rsidRDefault="00973270" w:rsidP="00973270">
      <w:pPr>
        <w:pStyle w:val="Caption"/>
        <w:keepNext/>
        <w:jc w:val="center"/>
        <w:rPr>
          <w:rFonts w:asciiTheme="majorBidi" w:hAnsiTheme="majorBidi" w:cstheme="majorBidi"/>
          <w:color w:val="auto"/>
          <w:sz w:val="24"/>
          <w:szCs w:val="24"/>
        </w:rPr>
      </w:pPr>
      <w:r w:rsidRPr="00973270">
        <w:rPr>
          <w:rFonts w:asciiTheme="majorBidi" w:hAnsiTheme="majorBidi" w:cstheme="majorBidi"/>
          <w:color w:val="auto"/>
          <w:sz w:val="24"/>
          <w:szCs w:val="24"/>
        </w:rPr>
        <w:lastRenderedPageBreak/>
        <w:t xml:space="preserve">Figure </w:t>
      </w:r>
      <w:r w:rsidRPr="00973270">
        <w:rPr>
          <w:rFonts w:asciiTheme="majorBidi" w:hAnsiTheme="majorBidi" w:cstheme="majorBidi"/>
          <w:color w:val="auto"/>
          <w:sz w:val="24"/>
          <w:szCs w:val="24"/>
        </w:rPr>
        <w:fldChar w:fldCharType="begin"/>
      </w:r>
      <w:r w:rsidRPr="00973270">
        <w:rPr>
          <w:rFonts w:asciiTheme="majorBidi" w:hAnsiTheme="majorBidi" w:cstheme="majorBidi"/>
          <w:color w:val="auto"/>
          <w:sz w:val="24"/>
          <w:szCs w:val="24"/>
        </w:rPr>
        <w:instrText xml:space="preserve"> SEQ Figure \* ARABIC </w:instrText>
      </w:r>
      <w:r w:rsidRPr="00973270">
        <w:rPr>
          <w:rFonts w:asciiTheme="majorBidi" w:hAnsiTheme="majorBidi" w:cstheme="majorBidi"/>
          <w:color w:val="auto"/>
          <w:sz w:val="24"/>
          <w:szCs w:val="24"/>
        </w:rPr>
        <w:fldChar w:fldCharType="separate"/>
      </w:r>
      <w:r w:rsidRPr="00973270">
        <w:rPr>
          <w:rFonts w:asciiTheme="majorBidi" w:hAnsiTheme="majorBidi" w:cstheme="majorBidi"/>
          <w:noProof/>
          <w:color w:val="auto"/>
          <w:sz w:val="24"/>
          <w:szCs w:val="24"/>
        </w:rPr>
        <w:t>6</w:t>
      </w:r>
      <w:r w:rsidRPr="00973270">
        <w:rPr>
          <w:rFonts w:asciiTheme="majorBidi" w:hAnsiTheme="majorBidi" w:cstheme="majorBidi"/>
          <w:color w:val="auto"/>
          <w:sz w:val="24"/>
          <w:szCs w:val="24"/>
        </w:rPr>
        <w:fldChar w:fldCharType="end"/>
      </w:r>
      <w:r w:rsidRPr="00973270">
        <w:rPr>
          <w:rFonts w:asciiTheme="majorBidi" w:hAnsiTheme="majorBidi" w:cstheme="majorBidi"/>
          <w:color w:val="auto"/>
          <w:sz w:val="24"/>
          <w:szCs w:val="24"/>
        </w:rPr>
        <w:t>: Migration timing for Turkey sample</w:t>
      </w:r>
    </w:p>
    <w:p w14:paraId="14FA1CDC" w14:textId="36FD518D" w:rsidR="002339A2" w:rsidRPr="00376A05" w:rsidRDefault="002339A2" w:rsidP="002339A2">
      <w:pPr>
        <w:spacing w:line="480" w:lineRule="auto"/>
        <w:contextualSpacing/>
        <w:rPr>
          <w:rFonts w:asciiTheme="majorBidi" w:hAnsiTheme="majorBidi" w:cstheme="majorBidi"/>
        </w:rPr>
      </w:pPr>
      <w:r w:rsidRPr="002339A2">
        <w:rPr>
          <w:rFonts w:asciiTheme="majorBidi" w:hAnsiTheme="majorBidi" w:cstheme="majorBidi"/>
          <w:noProof/>
        </w:rPr>
        <w:drawing>
          <wp:inline distT="0" distB="0" distL="0" distR="0" wp14:anchorId="2F2E6285" wp14:editId="70977274">
            <wp:extent cx="5943600" cy="4322445"/>
            <wp:effectExtent l="0" t="0" r="0" b="190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43600" cy="4322445"/>
                    </a:xfrm>
                    <a:prstGeom prst="rect">
                      <a:avLst/>
                    </a:prstGeom>
                    <a:noFill/>
                    <a:ln w="9525">
                      <a:noFill/>
                      <a:miter lim="800000"/>
                      <a:headEnd/>
                      <a:tailEnd/>
                    </a:ln>
                  </pic:spPr>
                </pic:pic>
              </a:graphicData>
            </a:graphic>
          </wp:inline>
        </w:drawing>
      </w:r>
    </w:p>
    <w:p w14:paraId="02C103B0" w14:textId="77777777" w:rsidR="000369CF" w:rsidRPr="00376A05" w:rsidRDefault="000369CF" w:rsidP="00AE59D9">
      <w:pPr>
        <w:pStyle w:val="Heading2"/>
        <w:spacing w:line="480" w:lineRule="auto"/>
        <w:contextualSpacing/>
        <w:rPr>
          <w:rFonts w:asciiTheme="majorBidi" w:hAnsiTheme="majorBidi"/>
        </w:rPr>
      </w:pPr>
      <w:r w:rsidRPr="00376A05">
        <w:rPr>
          <w:rFonts w:asciiTheme="majorBidi" w:hAnsiTheme="majorBidi"/>
        </w:rPr>
        <w:t>Questions that inform this paper</w:t>
      </w:r>
    </w:p>
    <w:p w14:paraId="41B734D4" w14:textId="77777777" w:rsidR="00AE59D9" w:rsidRPr="00376A05" w:rsidRDefault="00B6194E" w:rsidP="00B6194E">
      <w:pPr>
        <w:spacing w:line="480" w:lineRule="auto"/>
        <w:ind w:firstLine="720"/>
        <w:contextualSpacing/>
        <w:rPr>
          <w:rFonts w:asciiTheme="majorBidi" w:hAnsiTheme="majorBidi" w:cstheme="majorBidi"/>
          <w:sz w:val="24"/>
          <w:szCs w:val="24"/>
        </w:rPr>
      </w:pPr>
      <w:r w:rsidRPr="00376A05">
        <w:rPr>
          <w:rFonts w:asciiTheme="majorBidi" w:hAnsiTheme="majorBidi" w:cstheme="majorBidi"/>
          <w:sz w:val="24"/>
          <w:szCs w:val="24"/>
        </w:rPr>
        <w:t xml:space="preserve">The primary focus of interviews was civil war in Syria and migration-related decisions that civilians were making. I was not originally expecting to spend any time thinking about rumors. This changed due to one pivotal moment that occurred during one of my conversations in </w:t>
      </w:r>
      <w:proofErr w:type="spellStart"/>
      <w:r w:rsidRPr="00376A05">
        <w:rPr>
          <w:rFonts w:asciiTheme="majorBidi" w:hAnsiTheme="majorBidi" w:cstheme="majorBidi"/>
          <w:sz w:val="24"/>
          <w:szCs w:val="24"/>
        </w:rPr>
        <w:t>Zaatari</w:t>
      </w:r>
      <w:proofErr w:type="spellEnd"/>
      <w:r w:rsidRPr="00376A05">
        <w:rPr>
          <w:rFonts w:asciiTheme="majorBidi" w:hAnsiTheme="majorBidi" w:cstheme="majorBidi"/>
          <w:sz w:val="24"/>
          <w:szCs w:val="24"/>
        </w:rPr>
        <w:t xml:space="preserve"> refugee camp. After discussing conflict and migration at length, a man stopped and told me that we had not yet discussed the biggest problem. He told me that many Syrians had been trying to exit Syria, but they had been taking the wrong routes. They did not have the information that they needed to exit quickly and safely. This stuck with me. It made me realize that I needed to explore this issue further.</w:t>
      </w:r>
    </w:p>
    <w:p w14:paraId="2C728435" w14:textId="77777777" w:rsidR="00E94726" w:rsidRPr="00791BEB" w:rsidRDefault="00B6194E" w:rsidP="00E94726">
      <w:pPr>
        <w:spacing w:line="480" w:lineRule="auto"/>
        <w:contextualSpacing/>
        <w:rPr>
          <w:rFonts w:asciiTheme="majorBidi" w:hAnsiTheme="majorBidi" w:cstheme="majorBidi"/>
          <w:sz w:val="24"/>
          <w:szCs w:val="24"/>
        </w:rPr>
      </w:pPr>
      <w:r w:rsidRPr="00376A05">
        <w:rPr>
          <w:rFonts w:asciiTheme="majorBidi" w:hAnsiTheme="majorBidi" w:cstheme="majorBidi"/>
          <w:sz w:val="24"/>
          <w:szCs w:val="24"/>
        </w:rPr>
        <w:lastRenderedPageBreak/>
        <w:tab/>
        <w:t>This l</w:t>
      </w:r>
      <w:r w:rsidR="00E94726" w:rsidRPr="00376A05">
        <w:rPr>
          <w:rFonts w:asciiTheme="majorBidi" w:hAnsiTheme="majorBidi" w:cstheme="majorBidi"/>
          <w:sz w:val="24"/>
          <w:szCs w:val="24"/>
        </w:rPr>
        <w:t>ed me to incorporate a few</w:t>
      </w:r>
      <w:r w:rsidRPr="00376A05">
        <w:rPr>
          <w:rFonts w:asciiTheme="majorBidi" w:hAnsiTheme="majorBidi" w:cstheme="majorBidi"/>
          <w:sz w:val="24"/>
          <w:szCs w:val="24"/>
        </w:rPr>
        <w:t xml:space="preserve"> questions into my interviews in Turkey that I would ask all respondents there. After asking my respondents about their migration and how they made decisions related to</w:t>
      </w:r>
      <w:r w:rsidRPr="00791BEB">
        <w:rPr>
          <w:rFonts w:asciiTheme="majorBidi" w:hAnsiTheme="majorBidi" w:cstheme="majorBidi"/>
          <w:sz w:val="24"/>
          <w:szCs w:val="24"/>
        </w:rPr>
        <w:t xml:space="preserve"> migration, </w:t>
      </w:r>
      <w:r w:rsidR="00E94726" w:rsidRPr="00791BEB">
        <w:rPr>
          <w:rFonts w:asciiTheme="majorBidi" w:hAnsiTheme="majorBidi" w:cstheme="majorBidi"/>
          <w:sz w:val="24"/>
          <w:szCs w:val="24"/>
        </w:rPr>
        <w:t>I wanted to probe how they chose whether to believe particular pieces of information that they had heard. Below, I share the key section of my questionnaire that informed this paper.</w:t>
      </w:r>
    </w:p>
    <w:p w14:paraId="2E580321" w14:textId="77777777" w:rsidR="00791BEB" w:rsidRDefault="00791BEB" w:rsidP="00E94726">
      <w:pPr>
        <w:spacing w:line="480" w:lineRule="auto"/>
        <w:contextualSpacing/>
      </w:pPr>
    </w:p>
    <w:p w14:paraId="4046B1E8" w14:textId="77777777" w:rsidR="00E94726" w:rsidRPr="00EE1BEB" w:rsidRDefault="00E94726" w:rsidP="00E94726">
      <w:pPr>
        <w:pStyle w:val="Heading1"/>
        <w:rPr>
          <w:color w:val="auto"/>
          <w:u w:val="single"/>
        </w:rPr>
      </w:pPr>
      <w:r w:rsidRPr="00EE1BEB">
        <w:rPr>
          <w:color w:val="auto"/>
          <w:u w:val="single"/>
        </w:rPr>
        <w:t>Things You Heard</w:t>
      </w:r>
    </w:p>
    <w:p w14:paraId="7323E426" w14:textId="77777777" w:rsidR="00E94726" w:rsidRPr="00FB036B" w:rsidRDefault="00E94726" w:rsidP="00E94726">
      <w:pPr>
        <w:rPr>
          <w:b/>
          <w:bCs/>
        </w:rPr>
      </w:pPr>
      <w:r w:rsidRPr="00FB036B">
        <w:rPr>
          <w:b/>
          <w:bCs/>
        </w:rPr>
        <w:t>I am now going to ask you about specific things that you heard while you were inside Syria since March 2011.</w:t>
      </w:r>
    </w:p>
    <w:p w14:paraId="42F481F6" w14:textId="77777777" w:rsidR="00E94726" w:rsidRDefault="00E94726" w:rsidP="00E94726">
      <w:pPr>
        <w:pStyle w:val="Heading2"/>
        <w:rPr>
          <w:color w:val="auto"/>
          <w:sz w:val="22"/>
          <w:szCs w:val="22"/>
        </w:rPr>
      </w:pPr>
      <w:r w:rsidRPr="008037D8">
        <w:rPr>
          <w:color w:val="auto"/>
          <w:sz w:val="22"/>
          <w:szCs w:val="22"/>
        </w:rPr>
        <w:t>Do you specifically remember any of these things that you heard? If yes, please share some examples of things that you heard</w:t>
      </w:r>
      <w:r>
        <w:rPr>
          <w:color w:val="auto"/>
          <w:sz w:val="22"/>
          <w:szCs w:val="22"/>
        </w:rPr>
        <w:t xml:space="preserve"> that you did believe, as well as some examples of things that you did not believe</w:t>
      </w:r>
      <w:r w:rsidRPr="008037D8">
        <w:rPr>
          <w:color w:val="auto"/>
          <w:sz w:val="22"/>
          <w:szCs w:val="22"/>
        </w:rPr>
        <w:t>:</w:t>
      </w:r>
    </w:p>
    <w:tbl>
      <w:tblPr>
        <w:tblStyle w:val="TableGrid"/>
        <w:tblW w:w="0" w:type="auto"/>
        <w:tblLook w:val="04A0" w:firstRow="1" w:lastRow="0" w:firstColumn="1" w:lastColumn="0" w:noHBand="0" w:noVBand="1"/>
      </w:tblPr>
      <w:tblGrid>
        <w:gridCol w:w="4675"/>
        <w:gridCol w:w="4675"/>
      </w:tblGrid>
      <w:tr w:rsidR="00E94726" w14:paraId="7578E894" w14:textId="77777777" w:rsidTr="00132CF6">
        <w:tc>
          <w:tcPr>
            <w:tcW w:w="4675" w:type="dxa"/>
          </w:tcPr>
          <w:p w14:paraId="392A9375" w14:textId="77777777" w:rsidR="00E94726" w:rsidRDefault="00E94726" w:rsidP="00132CF6">
            <w:pPr>
              <w:jc w:val="center"/>
            </w:pPr>
            <w:r>
              <w:t>Things you believed</w:t>
            </w:r>
          </w:p>
        </w:tc>
        <w:tc>
          <w:tcPr>
            <w:tcW w:w="4675" w:type="dxa"/>
          </w:tcPr>
          <w:p w14:paraId="3167C838" w14:textId="77777777" w:rsidR="00E94726" w:rsidRDefault="00E94726" w:rsidP="00132CF6">
            <w:pPr>
              <w:jc w:val="center"/>
            </w:pPr>
            <w:r>
              <w:t>Things you did not believe</w:t>
            </w:r>
          </w:p>
        </w:tc>
      </w:tr>
      <w:tr w:rsidR="00E94726" w14:paraId="6BAB38BF" w14:textId="77777777" w:rsidTr="00132CF6">
        <w:trPr>
          <w:trHeight w:val="1940"/>
        </w:trPr>
        <w:tc>
          <w:tcPr>
            <w:tcW w:w="4675" w:type="dxa"/>
          </w:tcPr>
          <w:p w14:paraId="3A7F669C" w14:textId="77777777" w:rsidR="00E94726" w:rsidRDefault="00E94726" w:rsidP="00132CF6"/>
        </w:tc>
        <w:tc>
          <w:tcPr>
            <w:tcW w:w="4675" w:type="dxa"/>
          </w:tcPr>
          <w:p w14:paraId="4490376D" w14:textId="77777777" w:rsidR="00E94726" w:rsidRDefault="00E94726" w:rsidP="00132CF6"/>
        </w:tc>
      </w:tr>
    </w:tbl>
    <w:p w14:paraId="22ACE3A9" w14:textId="77777777" w:rsidR="00E94726" w:rsidRPr="000674A0" w:rsidRDefault="00E94726" w:rsidP="00E94726"/>
    <w:p w14:paraId="5DA69000" w14:textId="77777777" w:rsidR="00E94726" w:rsidRPr="00D77194" w:rsidRDefault="00E94726" w:rsidP="00E94726">
      <w:pPr>
        <w:pStyle w:val="Heading2"/>
        <w:rPr>
          <w:color w:val="auto"/>
          <w:sz w:val="22"/>
          <w:szCs w:val="22"/>
        </w:rPr>
      </w:pPr>
      <w:r w:rsidRPr="00D77194">
        <w:rPr>
          <w:color w:val="auto"/>
          <w:sz w:val="22"/>
          <w:szCs w:val="22"/>
        </w:rPr>
        <w:t>Do you think that you were able to tell the difference between rumors, or false information, and accurate information while you were in Syria?</w:t>
      </w:r>
      <w:r>
        <w:rPr>
          <w:color w:val="auto"/>
          <w:sz w:val="22"/>
          <w:szCs w:val="22"/>
        </w:rPr>
        <w:t xml:space="preserve"> (If NO, skip to 63.)</w:t>
      </w:r>
    </w:p>
    <w:p w14:paraId="59EF4663" w14:textId="3BED12F9" w:rsidR="00E94726" w:rsidRPr="004E6D0E" w:rsidRDefault="00E94726" w:rsidP="00E94726">
      <w:pPr>
        <w:pStyle w:val="Heading3"/>
        <w:ind w:left="1440"/>
        <w:rPr>
          <w:b/>
          <w:bCs/>
          <w:color w:val="auto"/>
        </w:rPr>
      </w:pPr>
      <w:r w:rsidRPr="00992133">
        <w:rPr>
          <w:color w:val="auto"/>
        </w:rPr>
        <w:t>1. YES</w:t>
      </w:r>
      <w:r w:rsidRPr="00992133">
        <w:rPr>
          <w:color w:val="auto"/>
        </w:rPr>
        <w:tab/>
      </w:r>
      <w:r w:rsidRPr="00992133">
        <w:rPr>
          <w:color w:val="auto"/>
        </w:rPr>
        <w:tab/>
        <w:t>0</w:t>
      </w:r>
      <w:r w:rsidR="00FD76DA">
        <w:rPr>
          <w:color w:val="auto"/>
        </w:rPr>
        <w:t>. NO</w:t>
      </w:r>
      <w:r w:rsidR="00FD76DA">
        <w:rPr>
          <w:color w:val="auto"/>
        </w:rPr>
        <w:tab/>
      </w:r>
      <w:r w:rsidR="00FD76DA">
        <w:rPr>
          <w:color w:val="auto"/>
        </w:rPr>
        <w:tab/>
        <w:t>98. DON’T KNOW</w:t>
      </w:r>
      <w:r w:rsidR="00FD76DA">
        <w:rPr>
          <w:color w:val="auto"/>
        </w:rPr>
        <w:tab/>
        <w:t>99. REFUSED</w:t>
      </w:r>
    </w:p>
    <w:p w14:paraId="4B6C1D81" w14:textId="77777777" w:rsidR="00E94726" w:rsidRPr="00CE4369" w:rsidRDefault="00E94726" w:rsidP="00E94726">
      <w:pPr>
        <w:pStyle w:val="Heading2"/>
        <w:rPr>
          <w:color w:val="auto"/>
          <w:sz w:val="22"/>
          <w:szCs w:val="22"/>
        </w:rPr>
      </w:pPr>
      <w:r w:rsidRPr="00CE4369">
        <w:rPr>
          <w:color w:val="auto"/>
          <w:sz w:val="22"/>
          <w:szCs w:val="22"/>
        </w:rPr>
        <w:t>How did you determine whether a piece of information was true or false?</w:t>
      </w:r>
      <w:r>
        <w:rPr>
          <w:color w:val="auto"/>
          <w:sz w:val="22"/>
          <w:szCs w:val="22"/>
        </w:rPr>
        <w:t xml:space="preserve"> Did you discuss it with other people? Did you ask the source who provided the information?</w:t>
      </w:r>
    </w:p>
    <w:p w14:paraId="0DB4BA07" w14:textId="77777777" w:rsidR="00E94726" w:rsidRDefault="00E94726" w:rsidP="00AE59D9">
      <w:pPr>
        <w:spacing w:line="480" w:lineRule="auto"/>
        <w:contextualSpacing/>
      </w:pPr>
    </w:p>
    <w:p w14:paraId="6951620D" w14:textId="77777777" w:rsidR="00B6194E" w:rsidRDefault="00B6194E" w:rsidP="00AE59D9">
      <w:pPr>
        <w:spacing w:line="480" w:lineRule="auto"/>
        <w:contextualSpacing/>
      </w:pPr>
    </w:p>
    <w:p w14:paraId="722B7FCF" w14:textId="483179F7" w:rsidR="00B6194E" w:rsidRPr="00791BEB" w:rsidRDefault="00E94726" w:rsidP="00EA2045">
      <w:pPr>
        <w:spacing w:line="480" w:lineRule="auto"/>
        <w:contextualSpacing/>
        <w:rPr>
          <w:rFonts w:asciiTheme="majorBidi" w:hAnsiTheme="majorBidi" w:cstheme="majorBidi"/>
          <w:sz w:val="24"/>
          <w:szCs w:val="24"/>
        </w:rPr>
      </w:pPr>
      <w:r>
        <w:tab/>
      </w:r>
      <w:r w:rsidRPr="00791BEB">
        <w:rPr>
          <w:rFonts w:asciiTheme="majorBidi" w:hAnsiTheme="majorBidi" w:cstheme="majorBidi"/>
          <w:sz w:val="24"/>
          <w:szCs w:val="24"/>
        </w:rPr>
        <w:t>In these questions, there are several important considerations. First, I started this section of the interview with a brief preface. After reading the preface, I would intentionally pause to ensure that my respondent had a moment to think about this topic.</w:t>
      </w:r>
      <w:r w:rsidR="008954EE" w:rsidRPr="00791BEB">
        <w:rPr>
          <w:rFonts w:asciiTheme="majorBidi" w:hAnsiTheme="majorBidi" w:cstheme="majorBidi"/>
          <w:sz w:val="24"/>
          <w:szCs w:val="24"/>
        </w:rPr>
        <w:t xml:space="preserve"> It was also intentional to refer to “things you heard” and not “rumor.” The word “rumor” is often interpreted as indicating that a </w:t>
      </w:r>
      <w:r w:rsidR="008954EE" w:rsidRPr="00791BEB">
        <w:rPr>
          <w:rFonts w:asciiTheme="majorBidi" w:hAnsiTheme="majorBidi" w:cstheme="majorBidi"/>
          <w:sz w:val="24"/>
          <w:szCs w:val="24"/>
        </w:rPr>
        <w:lastRenderedPageBreak/>
        <w:t xml:space="preserve">piece of information is false. Since rumor really refers to unverified information in scholarship, I did not want to restrict the thoughts of my respondent to false </w:t>
      </w:r>
      <w:r w:rsidR="00EA2045" w:rsidRPr="00791BEB">
        <w:rPr>
          <w:rFonts w:asciiTheme="majorBidi" w:hAnsiTheme="majorBidi" w:cstheme="majorBidi"/>
          <w:sz w:val="24"/>
          <w:szCs w:val="24"/>
        </w:rPr>
        <w:t>information.</w:t>
      </w:r>
    </w:p>
    <w:p w14:paraId="09D32868" w14:textId="5F187E43" w:rsidR="000D1920" w:rsidRPr="00791BEB" w:rsidRDefault="000D1920" w:rsidP="00C101A4">
      <w:pPr>
        <w:spacing w:line="480" w:lineRule="auto"/>
        <w:contextualSpacing/>
        <w:rPr>
          <w:rFonts w:asciiTheme="majorBidi" w:hAnsiTheme="majorBidi" w:cstheme="majorBidi"/>
          <w:sz w:val="24"/>
          <w:szCs w:val="24"/>
        </w:rPr>
      </w:pPr>
      <w:r w:rsidRPr="00791BEB">
        <w:rPr>
          <w:rFonts w:asciiTheme="majorBidi" w:hAnsiTheme="majorBidi" w:cstheme="majorBidi"/>
          <w:sz w:val="24"/>
          <w:szCs w:val="24"/>
        </w:rPr>
        <w:tab/>
        <w:t>Another important component of this question</w:t>
      </w:r>
      <w:r w:rsidR="00EA2045" w:rsidRPr="00791BEB">
        <w:rPr>
          <w:rFonts w:asciiTheme="majorBidi" w:hAnsiTheme="majorBidi" w:cstheme="majorBidi"/>
          <w:sz w:val="24"/>
          <w:szCs w:val="24"/>
        </w:rPr>
        <w:t xml:space="preserve"> is the distinction between “things you believed” and “things you did not believe.” This broad question would sometimes be met with confusion initially. When there was confusion, I would suggest an absurdly obvious true piece of information and an absurdly obvious false piece of information as examples. I did not want to influence what respondents did and did not believe, so I suggested absurd examples that were consistent with views they had already expressed. Since these questions were typically about 45 minutes into the interview, I generally had a good working understanding of respondent views by this point. If the respondent had already expressed opposition to Bashar Assad and frustration that it felt like the war would never end, I would suggest that “Bashar Assad announced the war would end tomorrow” as an example of a thing they might have heard that they did not believe. This kind of intentional absurdity made many respondents laugh, and it helped encourage frank answers.</w:t>
      </w:r>
    </w:p>
    <w:p w14:paraId="04C1C92B" w14:textId="0CF4EB6E" w:rsidR="00030EE4" w:rsidRPr="00791BEB" w:rsidRDefault="00EA2045" w:rsidP="00590622">
      <w:pPr>
        <w:spacing w:line="480" w:lineRule="auto"/>
        <w:contextualSpacing/>
        <w:rPr>
          <w:rFonts w:asciiTheme="majorBidi" w:hAnsiTheme="majorBidi" w:cstheme="majorBidi"/>
          <w:sz w:val="24"/>
          <w:szCs w:val="24"/>
        </w:rPr>
      </w:pPr>
      <w:r w:rsidRPr="00791BEB">
        <w:rPr>
          <w:rFonts w:asciiTheme="majorBidi" w:hAnsiTheme="majorBidi" w:cstheme="majorBidi"/>
          <w:sz w:val="24"/>
          <w:szCs w:val="24"/>
        </w:rPr>
        <w:tab/>
        <w:t>Furthermore,</w:t>
      </w:r>
      <w:r w:rsidR="00C101A4" w:rsidRPr="00791BEB">
        <w:rPr>
          <w:rFonts w:asciiTheme="majorBidi" w:hAnsiTheme="majorBidi" w:cstheme="majorBidi"/>
          <w:sz w:val="24"/>
          <w:szCs w:val="24"/>
        </w:rPr>
        <w:t xml:space="preserve"> specifying “things you did not believe” provides an opportunity to discuss pieces of information that failed to spread.</w:t>
      </w:r>
      <w:r w:rsidR="00590622" w:rsidRPr="00791BEB">
        <w:rPr>
          <w:rFonts w:asciiTheme="majorBidi" w:hAnsiTheme="majorBidi" w:cstheme="majorBidi"/>
          <w:sz w:val="24"/>
          <w:szCs w:val="24"/>
        </w:rPr>
        <w:t xml:space="preserve"> This is far from perfect in its ability to capture information regardless of whether it spreads, but it does make progress in this direction beyond previous research </w:t>
      </w:r>
      <w:r w:rsidR="00590622" w:rsidRPr="00791BEB">
        <w:rPr>
          <w:rFonts w:asciiTheme="majorBidi" w:hAnsiTheme="majorBidi" w:cstheme="majorBidi"/>
          <w:sz w:val="24"/>
          <w:szCs w:val="24"/>
        </w:rPr>
        <w:fldChar w:fldCharType="begin"/>
      </w:r>
      <w:r w:rsidR="00590622" w:rsidRPr="00791BEB">
        <w:rPr>
          <w:rFonts w:asciiTheme="majorBidi" w:hAnsiTheme="majorBidi" w:cstheme="majorBidi"/>
          <w:sz w:val="24"/>
          <w:szCs w:val="24"/>
        </w:rPr>
        <w:instrText xml:space="preserve"> ADDIN EN.CITE &lt;EndNote&gt;&lt;Cite&gt;&lt;Author&gt;Bhavnani&lt;/Author&gt;&lt;Year&gt;2009&lt;/Year&gt;&lt;RecNum&gt;763&lt;/RecNum&gt;&lt;DisplayText&gt;(Bhavnani, Findley et al. 2009, Greenhill and Oppenheim 2017)&lt;/DisplayText&gt;&lt;record&gt;&lt;rec-number&gt;763&lt;/rec-number&gt;&lt;foreign-keys&gt;&lt;key app="EN" db-id="s5xzfar5vdfrsne2006va5sexf9z0sftrtwa" timestamp="1454978725"&gt;763&lt;/key&gt;&lt;/foreign-keys&gt;&lt;ref-type name="Journal Article"&gt;17&lt;/ref-type&gt;&lt;contributors&gt;&lt;authors&gt;&lt;author&gt;Bhavnani, Ravi&lt;/author&gt;&lt;author&gt;Findley, Michael&lt;/author&gt;&lt;author&gt;Kuklinski, James&lt;/author&gt;&lt;/authors&gt;&lt;/contributors&gt;&lt;titles&gt;&lt;title&gt;Rumor Dynamics in Ethnic Violence&lt;/title&gt;&lt;secondary-title&gt;Journal of Politics&lt;/secondary-title&gt;&lt;/titles&gt;&lt;periodical&gt;&lt;full-title&gt;Journal of Politics&lt;/full-title&gt;&lt;/periodical&gt;&lt;pages&gt;876-892&lt;/pages&gt;&lt;volume&gt;71&lt;/volume&gt;&lt;number&gt;3&lt;/number&gt;&lt;dates&gt;&lt;year&gt;2009&lt;/year&gt;&lt;/dates&gt;&lt;urls&gt;&lt;/urls&gt;&lt;/record&gt;&lt;/Cite&gt;&lt;Cite&gt;&lt;Author&gt;Greenhill&lt;/Author&gt;&lt;Year&gt;2017&lt;/Year&gt;&lt;RecNum&gt;1324&lt;/RecNum&gt;&lt;record&gt;&lt;rec-number&gt;1324&lt;/rec-number&gt;&lt;foreign-keys&gt;&lt;key app="EN" db-id="s5xzfar5vdfrsne2006va5sexf9z0sftrtwa" timestamp="1509322501"&gt;1324&lt;/key&gt;&lt;/foreign-keys&gt;&lt;ref-type name="Journal Article"&gt;17&lt;/ref-type&gt;&lt;contributors&gt;&lt;authors&gt;&lt;author&gt;Greenhill, Kelly M&lt;/author&gt;&lt;author&gt;Oppenheim, Ben&lt;/author&gt;&lt;/authors&gt;&lt;/contributors&gt;&lt;titles&gt;&lt;title&gt;Rumor has it: The adoption of unverified information in conflict zones&lt;/title&gt;&lt;secondary-title&gt;International Studies Quarterly&lt;/secondary-title&gt;&lt;/titles&gt;&lt;periodical&gt;&lt;full-title&gt;International Studies Quarterly&lt;/full-title&gt;&lt;/periodical&gt;&lt;pages&gt;sqx015&lt;/pages&gt;&lt;dates&gt;&lt;year&gt;2017&lt;/year&gt;&lt;/dates&gt;&lt;isbn&gt;0020-8833&lt;/isbn&gt;&lt;urls&gt;&lt;/urls&gt;&lt;/record&gt;&lt;/Cite&gt;&lt;/EndNote&gt;</w:instrText>
      </w:r>
      <w:r w:rsidR="00590622" w:rsidRPr="00791BEB">
        <w:rPr>
          <w:rFonts w:asciiTheme="majorBidi" w:hAnsiTheme="majorBidi" w:cstheme="majorBidi"/>
          <w:sz w:val="24"/>
          <w:szCs w:val="24"/>
        </w:rPr>
        <w:fldChar w:fldCharType="separate"/>
      </w:r>
      <w:r w:rsidR="00590622" w:rsidRPr="00791BEB">
        <w:rPr>
          <w:rFonts w:asciiTheme="majorBidi" w:hAnsiTheme="majorBidi" w:cstheme="majorBidi"/>
          <w:noProof/>
          <w:sz w:val="24"/>
          <w:szCs w:val="24"/>
        </w:rPr>
        <w:t>(Bhavnani, Findley et al. 2009, Greenhill and Oppenheim 2017)</w:t>
      </w:r>
      <w:r w:rsidR="00590622" w:rsidRPr="00791BEB">
        <w:rPr>
          <w:rFonts w:asciiTheme="majorBidi" w:hAnsiTheme="majorBidi" w:cstheme="majorBidi"/>
          <w:sz w:val="24"/>
          <w:szCs w:val="24"/>
        </w:rPr>
        <w:fldChar w:fldCharType="end"/>
      </w:r>
      <w:r w:rsidR="00590622" w:rsidRPr="00791BEB">
        <w:rPr>
          <w:rFonts w:asciiTheme="majorBidi" w:hAnsiTheme="majorBidi" w:cstheme="majorBidi"/>
          <w:sz w:val="24"/>
          <w:szCs w:val="24"/>
        </w:rPr>
        <w:t>.</w:t>
      </w:r>
    </w:p>
    <w:p w14:paraId="044C948E" w14:textId="5C9B2A5B" w:rsidR="00FD76DA" w:rsidRPr="00791BEB" w:rsidRDefault="00FD76DA" w:rsidP="00276675">
      <w:pPr>
        <w:spacing w:line="480" w:lineRule="auto"/>
        <w:contextualSpacing/>
        <w:rPr>
          <w:rFonts w:asciiTheme="majorBidi" w:hAnsiTheme="majorBidi" w:cstheme="majorBidi"/>
          <w:sz w:val="24"/>
          <w:szCs w:val="24"/>
        </w:rPr>
      </w:pPr>
      <w:r w:rsidRPr="00791BEB">
        <w:rPr>
          <w:rFonts w:asciiTheme="majorBidi" w:hAnsiTheme="majorBidi" w:cstheme="majorBidi"/>
          <w:sz w:val="24"/>
          <w:szCs w:val="24"/>
        </w:rPr>
        <w:tab/>
        <w:t xml:space="preserve">After that, I asked: “Do you think that you were able to tell the difference between rumors, or false information, and accurate information while you were in Syria?” </w:t>
      </w:r>
      <w:r w:rsidR="00BE48C7" w:rsidRPr="00791BEB">
        <w:rPr>
          <w:rFonts w:asciiTheme="majorBidi" w:hAnsiTheme="majorBidi" w:cstheme="majorBidi"/>
          <w:sz w:val="24"/>
          <w:szCs w:val="24"/>
        </w:rPr>
        <w:t xml:space="preserve">The variable in this paper on whether people believe they can distinguish fact from fiction comes from this question. </w:t>
      </w:r>
      <w:r w:rsidRPr="00791BEB">
        <w:rPr>
          <w:rFonts w:asciiTheme="majorBidi" w:hAnsiTheme="majorBidi" w:cstheme="majorBidi"/>
          <w:sz w:val="24"/>
          <w:szCs w:val="24"/>
        </w:rPr>
        <w:t xml:space="preserve">This question uses the word “rumors” because it allowed me to use vocabulary that respondents would use. The way I use the word in this question, however, is different than how I </w:t>
      </w:r>
      <w:r w:rsidRPr="00791BEB">
        <w:rPr>
          <w:rFonts w:asciiTheme="majorBidi" w:hAnsiTheme="majorBidi" w:cstheme="majorBidi"/>
          <w:sz w:val="24"/>
          <w:szCs w:val="24"/>
        </w:rPr>
        <w:lastRenderedPageBreak/>
        <w:t>define the word in my academic writing. In academic writing, I conform to existing definitions of rumors as unverified information. This is a crucial point for researchers to consider. There are many concepts like rumors that have different technical definitions than what regular people would use.</w:t>
      </w:r>
    </w:p>
    <w:p w14:paraId="36050EFE" w14:textId="008B2D39" w:rsidR="00A35B67" w:rsidRPr="00791BEB" w:rsidRDefault="00A35B67" w:rsidP="001C21A1">
      <w:pPr>
        <w:spacing w:line="480" w:lineRule="auto"/>
        <w:contextualSpacing/>
        <w:rPr>
          <w:rFonts w:asciiTheme="majorBidi" w:hAnsiTheme="majorBidi" w:cstheme="majorBidi"/>
          <w:sz w:val="24"/>
          <w:szCs w:val="24"/>
        </w:rPr>
      </w:pPr>
      <w:r w:rsidRPr="00791BEB">
        <w:rPr>
          <w:rFonts w:asciiTheme="majorBidi" w:hAnsiTheme="majorBidi" w:cstheme="majorBidi"/>
          <w:sz w:val="24"/>
          <w:szCs w:val="24"/>
        </w:rPr>
        <w:tab/>
        <w:t>To follow up on that question, I asked for elaboration on how respondents evaluated new information: “How did you determine whether a piece of information was true or false? Did you discuss it with other people? Did you ask the source who provided the information?”</w:t>
      </w:r>
      <w:r w:rsidR="001C21A1" w:rsidRPr="00791BEB">
        <w:rPr>
          <w:rFonts w:asciiTheme="majorBidi" w:hAnsiTheme="majorBidi" w:cstheme="majorBidi"/>
          <w:sz w:val="24"/>
          <w:szCs w:val="24"/>
        </w:rPr>
        <w:t xml:space="preserve"> Here, the first question is the real question, with the subsequent two questions being suggestions for how they could answer the question. Discussing new information with other people denotes that a “collective sense-making” process is taking place </w:t>
      </w:r>
      <w:r w:rsidR="001C21A1" w:rsidRPr="00791BEB">
        <w:rPr>
          <w:rFonts w:asciiTheme="majorBidi" w:hAnsiTheme="majorBidi" w:cstheme="majorBidi"/>
          <w:sz w:val="24"/>
          <w:szCs w:val="24"/>
        </w:rPr>
        <w:fldChar w:fldCharType="begin"/>
      </w:r>
      <w:r w:rsidR="001C21A1" w:rsidRPr="00791BEB">
        <w:rPr>
          <w:rFonts w:asciiTheme="majorBidi" w:hAnsiTheme="majorBidi" w:cstheme="majorBidi"/>
          <w:sz w:val="24"/>
          <w:szCs w:val="24"/>
        </w:rPr>
        <w:instrText xml:space="preserve"> ADDIN EN.CITE &lt;EndNote&gt;&lt;Cite&gt;&lt;Author&gt;Shibutani&lt;/Author&gt;&lt;Year&gt;1966&lt;/Year&gt;&lt;RecNum&gt;645&lt;/RecNum&gt;&lt;DisplayText&gt;(Shibutani 1966)&lt;/DisplayText&gt;&lt;record&gt;&lt;rec-number&gt;645&lt;/rec-number&gt;&lt;foreign-keys&gt;&lt;key app="EN" db-id="s5xzfar5vdfrsne2006va5sexf9z0sftrtwa" timestamp="1454978721"&gt;645&lt;/key&gt;&lt;/foreign-keys&gt;&lt;ref-type name="Book"&gt;6&lt;/ref-type&gt;&lt;contributors&gt;&lt;authors&gt;&lt;author&gt;Shibutani, Tamotsu&lt;/author&gt;&lt;/authors&gt;&lt;/contributors&gt;&lt;titles&gt;&lt;title&gt;Improvised News: A Sociological Study of Rumor&lt;/title&gt;&lt;/titles&gt;&lt;dates&gt;&lt;year&gt;1966&lt;/year&gt;&lt;/dates&gt;&lt;pub-location&gt;New York&lt;/pub-location&gt;&lt;publisher&gt;The Bobbs-Merrill Company, Inc&lt;/publisher&gt;&lt;urls&gt;&lt;/urls&gt;&lt;/record&gt;&lt;/Cite&gt;&lt;/EndNote&gt;</w:instrText>
      </w:r>
      <w:r w:rsidR="001C21A1" w:rsidRPr="00791BEB">
        <w:rPr>
          <w:rFonts w:asciiTheme="majorBidi" w:hAnsiTheme="majorBidi" w:cstheme="majorBidi"/>
          <w:sz w:val="24"/>
          <w:szCs w:val="24"/>
        </w:rPr>
        <w:fldChar w:fldCharType="separate"/>
      </w:r>
      <w:r w:rsidR="001C21A1" w:rsidRPr="00791BEB">
        <w:rPr>
          <w:rFonts w:asciiTheme="majorBidi" w:hAnsiTheme="majorBidi" w:cstheme="majorBidi"/>
          <w:noProof/>
          <w:sz w:val="24"/>
          <w:szCs w:val="24"/>
        </w:rPr>
        <w:t>(Shibutani 1966)</w:t>
      </w:r>
      <w:r w:rsidR="001C21A1" w:rsidRPr="00791BEB">
        <w:rPr>
          <w:rFonts w:asciiTheme="majorBidi" w:hAnsiTheme="majorBidi" w:cstheme="majorBidi"/>
          <w:sz w:val="24"/>
          <w:szCs w:val="24"/>
        </w:rPr>
        <w:fldChar w:fldCharType="end"/>
      </w:r>
      <w:r w:rsidR="001C21A1" w:rsidRPr="00791BEB">
        <w:rPr>
          <w:rFonts w:asciiTheme="majorBidi" w:hAnsiTheme="majorBidi" w:cstheme="majorBidi"/>
          <w:sz w:val="24"/>
          <w:szCs w:val="24"/>
        </w:rPr>
        <w:t>.</w:t>
      </w:r>
      <w:r w:rsidR="005614E7" w:rsidRPr="00791BEB">
        <w:rPr>
          <w:rFonts w:asciiTheme="majorBidi" w:hAnsiTheme="majorBidi" w:cstheme="majorBidi"/>
          <w:sz w:val="24"/>
          <w:szCs w:val="24"/>
        </w:rPr>
        <w:t xml:space="preserve"> Asking about the source is the relationship mechanism that I discuss in the paper. Surprisingly to me, a large amount of respondents used the expression “I depended on my experience.” I view this as an interesting way to say that they were evaluating new information on their own. I do not engage with this manner of expressing this answer in the paper, but it might be worthwhile for future work to engage with this answer further.</w:t>
      </w:r>
    </w:p>
    <w:p w14:paraId="211128F9" w14:textId="5AE3B605" w:rsidR="00FD76DA" w:rsidRDefault="005759F1" w:rsidP="00A55B84">
      <w:pPr>
        <w:spacing w:line="480" w:lineRule="auto"/>
        <w:contextualSpacing/>
      </w:pPr>
      <w:r w:rsidRPr="00791BEB">
        <w:rPr>
          <w:rFonts w:asciiTheme="majorBidi" w:hAnsiTheme="majorBidi" w:cstheme="majorBidi"/>
          <w:sz w:val="24"/>
          <w:szCs w:val="24"/>
        </w:rPr>
        <w:tab/>
        <w:t xml:space="preserve">Finally, I use three other variables to examine which respondents were using which mechanism of evaluating information. First, I recorded the gender of respondents. Second, I recorded their level of education. Third, I asked whether respondents had </w:t>
      </w:r>
      <w:proofErr w:type="spellStart"/>
      <w:r w:rsidRPr="00791BEB">
        <w:rPr>
          <w:rFonts w:asciiTheme="majorBidi" w:hAnsiTheme="majorBidi" w:cstheme="majorBidi"/>
          <w:sz w:val="24"/>
          <w:szCs w:val="24"/>
        </w:rPr>
        <w:t>wasta</w:t>
      </w:r>
      <w:proofErr w:type="spellEnd"/>
      <w:r w:rsidRPr="00791BEB">
        <w:rPr>
          <w:rFonts w:asciiTheme="majorBidi" w:hAnsiTheme="majorBidi" w:cstheme="majorBidi"/>
          <w:sz w:val="24"/>
          <w:szCs w:val="24"/>
        </w:rPr>
        <w:t xml:space="preserve"> when they were in Syria. This is the same variable as is used in </w:t>
      </w:r>
      <w:r w:rsidRPr="00791BEB">
        <w:rPr>
          <w:rFonts w:asciiTheme="majorBidi" w:hAnsiTheme="majorBidi" w:cstheme="majorBidi"/>
          <w:sz w:val="24"/>
          <w:szCs w:val="24"/>
        </w:rPr>
        <w:fldChar w:fldCharType="begin"/>
      </w:r>
      <w:r w:rsidRPr="00791BEB">
        <w:rPr>
          <w:rFonts w:asciiTheme="majorBidi" w:hAnsiTheme="majorBidi" w:cstheme="majorBidi"/>
          <w:sz w:val="24"/>
          <w:szCs w:val="24"/>
        </w:rPr>
        <w:instrText xml:space="preserve"> ADDIN EN.CITE &lt;EndNote&gt;&lt;Cite AuthorYear="1"&gt;&lt;Author&gt;Schon&lt;/Author&gt;&lt;Year&gt;2019&lt;/Year&gt;&lt;RecNum&gt;1495&lt;/RecNum&gt;&lt;DisplayText&gt;Schon (2019)&lt;/DisplayText&gt;&lt;record&gt;&lt;rec-number&gt;1495&lt;/rec-number&gt;&lt;foreign-keys&gt;&lt;key app="EN" db-id="s5xzfar5vdfrsne2006va5sexf9z0sftrtwa" timestamp="1535475996"&gt;1495&lt;/key&gt;&lt;/foreign-keys&gt;&lt;ref-type name="Journal Article"&gt;17&lt;/ref-type&gt;&lt;contributors&gt;&lt;authors&gt;&lt;author&gt;Schon, Justin&lt;/author&gt;&lt;/authors&gt;&lt;/contributors&gt;&lt;titles&gt;&lt;title&gt;Motivation and opportunity for conflict-induced migration: An analysis of Syrian migration timing&lt;/title&gt;&lt;secondary-title&gt;Journal of Peace Research&lt;/secondary-title&gt;&lt;/titles&gt;&lt;periodical&gt;&lt;full-title&gt;Journal of Peace Research&lt;/full-title&gt;&lt;/periodical&gt;&lt;pages&gt;12-27&lt;/pages&gt;&lt;volume&gt;56&lt;/volume&gt;&lt;number&gt;1&lt;/number&gt;&lt;dates&gt;&lt;year&gt;2019&lt;/year&gt;&lt;/dates&gt;&lt;urls&gt;&lt;/urls&gt;&lt;/record&gt;&lt;/Cite&gt;&lt;/EndNote&gt;</w:instrText>
      </w:r>
      <w:r w:rsidRPr="00791BEB">
        <w:rPr>
          <w:rFonts w:asciiTheme="majorBidi" w:hAnsiTheme="majorBidi" w:cstheme="majorBidi"/>
          <w:sz w:val="24"/>
          <w:szCs w:val="24"/>
        </w:rPr>
        <w:fldChar w:fldCharType="separate"/>
      </w:r>
      <w:r w:rsidRPr="00791BEB">
        <w:rPr>
          <w:rFonts w:asciiTheme="majorBidi" w:hAnsiTheme="majorBidi" w:cstheme="majorBidi"/>
          <w:noProof/>
          <w:sz w:val="24"/>
          <w:szCs w:val="24"/>
        </w:rPr>
        <w:t>Schon (2019)</w:t>
      </w:r>
      <w:r w:rsidRPr="00791BEB">
        <w:rPr>
          <w:rFonts w:asciiTheme="majorBidi" w:hAnsiTheme="majorBidi" w:cstheme="majorBidi"/>
          <w:sz w:val="24"/>
          <w:szCs w:val="24"/>
        </w:rPr>
        <w:fldChar w:fldCharType="end"/>
      </w:r>
      <w:r w:rsidRPr="00791BEB">
        <w:rPr>
          <w:rFonts w:asciiTheme="majorBidi" w:hAnsiTheme="majorBidi" w:cstheme="majorBidi"/>
          <w:sz w:val="24"/>
          <w:szCs w:val="24"/>
        </w:rPr>
        <w:t>.</w:t>
      </w:r>
    </w:p>
    <w:p w14:paraId="2A5DA1D0" w14:textId="67A8FAE3" w:rsidR="00FD76DA" w:rsidRDefault="004825A4" w:rsidP="004825A4">
      <w:pPr>
        <w:pStyle w:val="Heading1"/>
        <w:spacing w:line="480" w:lineRule="auto"/>
        <w:contextualSpacing/>
      </w:pPr>
      <w:r>
        <w:t>Suggestive correlates of information evaluation mechanisms</w:t>
      </w:r>
    </w:p>
    <w:p w14:paraId="1BD57AF2" w14:textId="67C5361B" w:rsidR="005A733C" w:rsidRDefault="005A733C" w:rsidP="004825A4">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In the main text, I elaborated on exactly how Categories (1), (2), and (3) of rumor evaluation work. This discussion was really intended to show how each process works, as opposed to quantifying the frequency of each process, but it is also important to share some </w:t>
      </w:r>
      <w:r>
        <w:rPr>
          <w:rFonts w:asciiTheme="majorBidi" w:hAnsiTheme="majorBidi" w:cstheme="majorBidi"/>
          <w:sz w:val="24"/>
          <w:szCs w:val="24"/>
        </w:rPr>
        <w:lastRenderedPageBreak/>
        <w:t>numbers and identify some factors that could be influencing how people choose methods of evaluating new information. My discussion in this Appendix is intended to spark ideas for future research, so it should be taken as suggestive.</w:t>
      </w:r>
    </w:p>
    <w:p w14:paraId="6F779149" w14:textId="7395FF8C" w:rsidR="005A733C" w:rsidRDefault="005A733C" w:rsidP="005A733C">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There are three factors in particular that had suggestive correlations with the selection of evaluation methods: education, gender, and social status. </w:t>
      </w:r>
      <w:r w:rsidR="00C35E70">
        <w:rPr>
          <w:rFonts w:asciiTheme="majorBidi" w:hAnsiTheme="majorBidi" w:cstheme="majorBidi"/>
          <w:sz w:val="24"/>
          <w:szCs w:val="24"/>
        </w:rPr>
        <w:t>Categories (1) and (2</w:t>
      </w:r>
      <w:r w:rsidR="00C35E70" w:rsidRPr="00CB4121">
        <w:rPr>
          <w:rFonts w:asciiTheme="majorBidi" w:hAnsiTheme="majorBidi" w:cstheme="majorBidi"/>
          <w:sz w:val="24"/>
          <w:szCs w:val="24"/>
        </w:rPr>
        <w:t>) were used the most, with 37 respondents r</w:t>
      </w:r>
      <w:r w:rsidR="00C35E70">
        <w:rPr>
          <w:rFonts w:asciiTheme="majorBidi" w:hAnsiTheme="majorBidi" w:cstheme="majorBidi"/>
          <w:sz w:val="24"/>
          <w:szCs w:val="24"/>
        </w:rPr>
        <w:t>eporting using them. Category (3</w:t>
      </w:r>
      <w:r w:rsidR="00C35E70" w:rsidRPr="00CB4121">
        <w:rPr>
          <w:rFonts w:asciiTheme="majorBidi" w:hAnsiTheme="majorBidi" w:cstheme="majorBidi"/>
          <w:sz w:val="24"/>
          <w:szCs w:val="24"/>
        </w:rPr>
        <w:t>) was not insignificant though, as 16 respondents reported using this type of tactic.</w:t>
      </w:r>
      <w:r w:rsidR="00C35E70">
        <w:rPr>
          <w:rFonts w:asciiTheme="majorBidi" w:hAnsiTheme="majorBidi" w:cstheme="majorBidi"/>
          <w:sz w:val="24"/>
          <w:szCs w:val="24"/>
        </w:rPr>
        <w:t xml:space="preserve"> Based on chi-squared tests, college-educated respondents were more likely to believe that they could evaluate new information on their own (Category 1). At the same time, college-educated respondents were less likely to evaluate the source of new information (Category 2). Women and respondents with advantaged social status were more likely to use collective sense-making (Category 3). </w:t>
      </w:r>
      <w:r w:rsidR="00C35E70" w:rsidRPr="00CB4121">
        <w:rPr>
          <w:rFonts w:asciiTheme="majorBidi" w:hAnsiTheme="majorBidi" w:cstheme="majorBidi"/>
          <w:sz w:val="24"/>
          <w:szCs w:val="24"/>
        </w:rPr>
        <w:t>This su</w:t>
      </w:r>
      <w:r w:rsidR="00C35E70">
        <w:rPr>
          <w:rFonts w:asciiTheme="majorBidi" w:hAnsiTheme="majorBidi" w:cstheme="majorBidi"/>
          <w:sz w:val="24"/>
          <w:szCs w:val="24"/>
        </w:rPr>
        <w:t>ggests</w:t>
      </w:r>
      <w:r w:rsidR="00C35E70" w:rsidRPr="00CB4121">
        <w:rPr>
          <w:rFonts w:asciiTheme="majorBidi" w:hAnsiTheme="majorBidi" w:cstheme="majorBidi"/>
          <w:sz w:val="24"/>
          <w:szCs w:val="24"/>
        </w:rPr>
        <w:t xml:space="preserve"> that </w:t>
      </w:r>
      <w:r w:rsidR="00C35E70">
        <w:rPr>
          <w:rFonts w:asciiTheme="majorBidi" w:hAnsiTheme="majorBidi" w:cstheme="majorBidi"/>
          <w:sz w:val="24"/>
          <w:szCs w:val="24"/>
        </w:rPr>
        <w:t>there is important variation in rumor evaluation to consider across gender, education, and social status lines.</w:t>
      </w:r>
      <w:r>
        <w:rPr>
          <w:rFonts w:asciiTheme="majorBidi" w:hAnsiTheme="majorBidi" w:cstheme="majorBidi"/>
          <w:sz w:val="24"/>
          <w:szCs w:val="24"/>
        </w:rPr>
        <w:t xml:space="preserve"> Furthermore, </w:t>
      </w:r>
      <w:r>
        <w:rPr>
          <w:rFonts w:asciiTheme="majorBidi" w:hAnsiTheme="majorBidi" w:cstheme="majorBidi"/>
          <w:sz w:val="24"/>
          <w:szCs w:val="24"/>
        </w:rPr>
        <w:t>chi-squared tests indicate that gender, college education, and advantaged social status did not influence the likelihood of whether a respondent felt that they could distinguish between fact and fiction.</w:t>
      </w:r>
      <w:r>
        <w:rPr>
          <w:rFonts w:asciiTheme="majorBidi" w:hAnsiTheme="majorBidi" w:cstheme="majorBidi"/>
          <w:sz w:val="24"/>
          <w:szCs w:val="24"/>
        </w:rPr>
        <w:t xml:space="preserve"> </w:t>
      </w:r>
      <w:r w:rsidR="00C35E70">
        <w:rPr>
          <w:rFonts w:asciiTheme="majorBidi" w:hAnsiTheme="majorBidi" w:cstheme="majorBidi"/>
          <w:sz w:val="24"/>
          <w:szCs w:val="24"/>
        </w:rPr>
        <w:t>Tables showing the corresponding two by two tables are included below.</w:t>
      </w:r>
      <w:r>
        <w:rPr>
          <w:rFonts w:asciiTheme="majorBidi" w:hAnsiTheme="majorBidi" w:cstheme="majorBidi"/>
          <w:sz w:val="24"/>
          <w:szCs w:val="24"/>
        </w:rPr>
        <w:t xml:space="preserve"> </w:t>
      </w:r>
      <w:r>
        <w:rPr>
          <w:rFonts w:asciiTheme="majorBidi" w:hAnsiTheme="majorBidi" w:cstheme="majorBidi"/>
          <w:sz w:val="24"/>
          <w:szCs w:val="24"/>
        </w:rPr>
        <w:t xml:space="preserve">These correlations suggest several exciting avenues for further </w:t>
      </w:r>
      <w:r>
        <w:rPr>
          <w:rFonts w:asciiTheme="majorBidi" w:hAnsiTheme="majorBidi" w:cstheme="majorBidi"/>
          <w:sz w:val="24"/>
          <w:szCs w:val="24"/>
        </w:rPr>
        <w:t>research.</w:t>
      </w:r>
    </w:p>
    <w:p w14:paraId="0E12E97B" w14:textId="7B11EDAC"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A1</w:t>
      </w:r>
      <w:r w:rsidRPr="008E6C40">
        <w:rPr>
          <w:rFonts w:asciiTheme="majorBidi" w:hAnsiTheme="majorBidi" w:cstheme="majorBidi"/>
          <w:color w:val="auto"/>
          <w:sz w:val="24"/>
          <w:szCs w:val="24"/>
        </w:rPr>
        <w:t>: Category 1 by gender</w:t>
      </w:r>
    </w:p>
    <w:tbl>
      <w:tblPr>
        <w:tblStyle w:val="TableGrid"/>
        <w:tblW w:w="0" w:type="auto"/>
        <w:jc w:val="center"/>
        <w:tblLook w:val="04A0" w:firstRow="1" w:lastRow="0" w:firstColumn="1" w:lastColumn="0" w:noHBand="0" w:noVBand="1"/>
      </w:tblPr>
      <w:tblGrid>
        <w:gridCol w:w="2116"/>
        <w:gridCol w:w="776"/>
        <w:gridCol w:w="1096"/>
      </w:tblGrid>
      <w:tr w:rsidR="00B95426" w14:paraId="6F767604" w14:textId="77777777" w:rsidTr="009E50A7">
        <w:trPr>
          <w:jc w:val="center"/>
        </w:trPr>
        <w:tc>
          <w:tcPr>
            <w:tcW w:w="2116" w:type="dxa"/>
          </w:tcPr>
          <w:p w14:paraId="0693D27A" w14:textId="77777777" w:rsidR="00B95426" w:rsidRDefault="00B95426" w:rsidP="009E50A7">
            <w:pPr>
              <w:contextualSpacing/>
              <w:rPr>
                <w:rFonts w:asciiTheme="majorBidi" w:hAnsiTheme="majorBidi" w:cstheme="majorBidi"/>
                <w:sz w:val="24"/>
                <w:szCs w:val="24"/>
              </w:rPr>
            </w:pPr>
          </w:p>
        </w:tc>
        <w:tc>
          <w:tcPr>
            <w:tcW w:w="776" w:type="dxa"/>
          </w:tcPr>
          <w:p w14:paraId="6FFE4E09"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Men</w:t>
            </w:r>
          </w:p>
        </w:tc>
        <w:tc>
          <w:tcPr>
            <w:tcW w:w="1096" w:type="dxa"/>
          </w:tcPr>
          <w:p w14:paraId="0A04A68F"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Women</w:t>
            </w:r>
          </w:p>
        </w:tc>
      </w:tr>
      <w:tr w:rsidR="00B95426" w14:paraId="46D0FE17" w14:textId="77777777" w:rsidTr="009E50A7">
        <w:trPr>
          <w:jc w:val="center"/>
        </w:trPr>
        <w:tc>
          <w:tcPr>
            <w:tcW w:w="2116" w:type="dxa"/>
          </w:tcPr>
          <w:p w14:paraId="2E9A6EE4"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Self-evaluation</w:t>
            </w:r>
          </w:p>
        </w:tc>
        <w:tc>
          <w:tcPr>
            <w:tcW w:w="776" w:type="dxa"/>
          </w:tcPr>
          <w:p w14:paraId="759CE8FB"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31</w:t>
            </w:r>
          </w:p>
        </w:tc>
        <w:tc>
          <w:tcPr>
            <w:tcW w:w="1096" w:type="dxa"/>
          </w:tcPr>
          <w:p w14:paraId="1FA2E251"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6</w:t>
            </w:r>
          </w:p>
        </w:tc>
      </w:tr>
      <w:tr w:rsidR="00B95426" w14:paraId="48C9FD3B" w14:textId="77777777" w:rsidTr="009E50A7">
        <w:trPr>
          <w:jc w:val="center"/>
        </w:trPr>
        <w:tc>
          <w:tcPr>
            <w:tcW w:w="2116" w:type="dxa"/>
          </w:tcPr>
          <w:p w14:paraId="5AB088D4"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 self-evaluation</w:t>
            </w:r>
          </w:p>
        </w:tc>
        <w:tc>
          <w:tcPr>
            <w:tcW w:w="776" w:type="dxa"/>
          </w:tcPr>
          <w:p w14:paraId="417E0A00"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23</w:t>
            </w:r>
          </w:p>
        </w:tc>
        <w:tc>
          <w:tcPr>
            <w:tcW w:w="1096" w:type="dxa"/>
          </w:tcPr>
          <w:p w14:paraId="1B528BCD"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7</w:t>
            </w:r>
          </w:p>
        </w:tc>
      </w:tr>
    </w:tbl>
    <w:p w14:paraId="08049E66" w14:textId="77777777" w:rsidR="00B95426" w:rsidRDefault="00B95426" w:rsidP="00B95426">
      <w:pPr>
        <w:spacing w:line="240" w:lineRule="auto"/>
        <w:contextualSpacing/>
        <w:rPr>
          <w:rFonts w:asciiTheme="majorBidi" w:hAnsiTheme="majorBidi" w:cstheme="majorBidi"/>
          <w:sz w:val="24"/>
          <w:szCs w:val="24"/>
        </w:rPr>
      </w:pPr>
    </w:p>
    <w:p w14:paraId="343D59FD" w14:textId="695CB84E"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A2</w:t>
      </w:r>
      <w:r>
        <w:rPr>
          <w:rFonts w:asciiTheme="majorBidi" w:hAnsiTheme="majorBidi" w:cstheme="majorBidi"/>
          <w:color w:val="auto"/>
          <w:sz w:val="24"/>
          <w:szCs w:val="24"/>
        </w:rPr>
        <w:t>: Category 2</w:t>
      </w:r>
      <w:r w:rsidRPr="008E6C40">
        <w:rPr>
          <w:rFonts w:asciiTheme="majorBidi" w:hAnsiTheme="majorBidi" w:cstheme="majorBidi"/>
          <w:color w:val="auto"/>
          <w:sz w:val="24"/>
          <w:szCs w:val="24"/>
        </w:rPr>
        <w:t xml:space="preserve"> by gender</w:t>
      </w:r>
    </w:p>
    <w:tbl>
      <w:tblPr>
        <w:tblStyle w:val="TableGrid"/>
        <w:tblW w:w="0" w:type="auto"/>
        <w:jc w:val="center"/>
        <w:tblLook w:val="04A0" w:firstRow="1" w:lastRow="0" w:firstColumn="1" w:lastColumn="0" w:noHBand="0" w:noVBand="1"/>
      </w:tblPr>
      <w:tblGrid>
        <w:gridCol w:w="2795"/>
        <w:gridCol w:w="776"/>
        <w:gridCol w:w="1096"/>
      </w:tblGrid>
      <w:tr w:rsidR="00B95426" w14:paraId="5A768FAA" w14:textId="77777777" w:rsidTr="009E50A7">
        <w:trPr>
          <w:jc w:val="center"/>
        </w:trPr>
        <w:tc>
          <w:tcPr>
            <w:tcW w:w="2795" w:type="dxa"/>
          </w:tcPr>
          <w:p w14:paraId="30B21BD3" w14:textId="77777777" w:rsidR="00B95426" w:rsidRDefault="00B95426" w:rsidP="009E50A7">
            <w:pPr>
              <w:contextualSpacing/>
              <w:rPr>
                <w:rFonts w:asciiTheme="majorBidi" w:hAnsiTheme="majorBidi" w:cstheme="majorBidi"/>
                <w:sz w:val="24"/>
                <w:szCs w:val="24"/>
              </w:rPr>
            </w:pPr>
          </w:p>
        </w:tc>
        <w:tc>
          <w:tcPr>
            <w:tcW w:w="776" w:type="dxa"/>
          </w:tcPr>
          <w:p w14:paraId="3BE22A1F"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Men</w:t>
            </w:r>
          </w:p>
        </w:tc>
        <w:tc>
          <w:tcPr>
            <w:tcW w:w="1096" w:type="dxa"/>
          </w:tcPr>
          <w:p w14:paraId="6E76B123"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Women</w:t>
            </w:r>
          </w:p>
        </w:tc>
      </w:tr>
      <w:tr w:rsidR="00B95426" w14:paraId="76FE7734" w14:textId="77777777" w:rsidTr="009E50A7">
        <w:trPr>
          <w:jc w:val="center"/>
        </w:trPr>
        <w:tc>
          <w:tcPr>
            <w:tcW w:w="2795" w:type="dxa"/>
          </w:tcPr>
          <w:p w14:paraId="117241A8"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Evaluate the source</w:t>
            </w:r>
          </w:p>
        </w:tc>
        <w:tc>
          <w:tcPr>
            <w:tcW w:w="776" w:type="dxa"/>
          </w:tcPr>
          <w:p w14:paraId="674D75CA"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30</w:t>
            </w:r>
          </w:p>
        </w:tc>
        <w:tc>
          <w:tcPr>
            <w:tcW w:w="1096" w:type="dxa"/>
          </w:tcPr>
          <w:p w14:paraId="21ACA339"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7</w:t>
            </w:r>
          </w:p>
        </w:tc>
      </w:tr>
      <w:tr w:rsidR="00B95426" w14:paraId="6DD503EC" w14:textId="77777777" w:rsidTr="009E50A7">
        <w:trPr>
          <w:jc w:val="center"/>
        </w:trPr>
        <w:tc>
          <w:tcPr>
            <w:tcW w:w="2795" w:type="dxa"/>
          </w:tcPr>
          <w:p w14:paraId="1B2FFA42"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Don’t evaluate the source</w:t>
            </w:r>
          </w:p>
        </w:tc>
        <w:tc>
          <w:tcPr>
            <w:tcW w:w="776" w:type="dxa"/>
          </w:tcPr>
          <w:p w14:paraId="1AA06CE7"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24</w:t>
            </w:r>
          </w:p>
        </w:tc>
        <w:tc>
          <w:tcPr>
            <w:tcW w:w="1096" w:type="dxa"/>
          </w:tcPr>
          <w:p w14:paraId="177E92DE"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6</w:t>
            </w:r>
          </w:p>
        </w:tc>
      </w:tr>
    </w:tbl>
    <w:p w14:paraId="20045432" w14:textId="77777777" w:rsidR="00B95426" w:rsidRDefault="00B95426" w:rsidP="00B95426">
      <w:pPr>
        <w:spacing w:line="240" w:lineRule="auto"/>
        <w:contextualSpacing/>
        <w:rPr>
          <w:rFonts w:asciiTheme="majorBidi" w:hAnsiTheme="majorBidi" w:cstheme="majorBidi"/>
          <w:sz w:val="24"/>
          <w:szCs w:val="24"/>
        </w:rPr>
      </w:pPr>
    </w:p>
    <w:p w14:paraId="611EC586" w14:textId="0E269E20"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lastRenderedPageBreak/>
        <w:t xml:space="preserve">Table </w:t>
      </w:r>
      <w:r w:rsidR="00D528D6">
        <w:rPr>
          <w:rFonts w:asciiTheme="majorBidi" w:hAnsiTheme="majorBidi" w:cstheme="majorBidi"/>
          <w:color w:val="auto"/>
          <w:sz w:val="24"/>
          <w:szCs w:val="24"/>
        </w:rPr>
        <w:t>A3</w:t>
      </w:r>
      <w:r w:rsidRPr="008E6C40">
        <w:rPr>
          <w:rFonts w:asciiTheme="majorBidi" w:hAnsiTheme="majorBidi" w:cstheme="majorBidi"/>
          <w:color w:val="auto"/>
          <w:sz w:val="24"/>
          <w:szCs w:val="24"/>
        </w:rPr>
        <w:t>: Category 3 by gender</w:t>
      </w:r>
    </w:p>
    <w:tbl>
      <w:tblPr>
        <w:tblStyle w:val="TableGrid"/>
        <w:tblW w:w="0" w:type="auto"/>
        <w:jc w:val="center"/>
        <w:tblLook w:val="04A0" w:firstRow="1" w:lastRow="0" w:firstColumn="1" w:lastColumn="0" w:noHBand="0" w:noVBand="1"/>
      </w:tblPr>
      <w:tblGrid>
        <w:gridCol w:w="3002"/>
        <w:gridCol w:w="776"/>
        <w:gridCol w:w="1096"/>
      </w:tblGrid>
      <w:tr w:rsidR="00B95426" w14:paraId="2930CFB0" w14:textId="77777777" w:rsidTr="009E50A7">
        <w:trPr>
          <w:jc w:val="center"/>
        </w:trPr>
        <w:tc>
          <w:tcPr>
            <w:tcW w:w="3002" w:type="dxa"/>
          </w:tcPr>
          <w:p w14:paraId="748C8AD4" w14:textId="77777777" w:rsidR="00B95426" w:rsidRDefault="00B95426" w:rsidP="009E50A7">
            <w:pPr>
              <w:contextualSpacing/>
              <w:rPr>
                <w:rFonts w:asciiTheme="majorBidi" w:hAnsiTheme="majorBidi" w:cstheme="majorBidi"/>
                <w:sz w:val="24"/>
                <w:szCs w:val="24"/>
              </w:rPr>
            </w:pPr>
          </w:p>
        </w:tc>
        <w:tc>
          <w:tcPr>
            <w:tcW w:w="776" w:type="dxa"/>
          </w:tcPr>
          <w:p w14:paraId="4EB6EF76"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Men</w:t>
            </w:r>
          </w:p>
        </w:tc>
        <w:tc>
          <w:tcPr>
            <w:tcW w:w="1096" w:type="dxa"/>
          </w:tcPr>
          <w:p w14:paraId="5B0D52DD"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Women</w:t>
            </w:r>
          </w:p>
        </w:tc>
      </w:tr>
      <w:tr w:rsidR="00B95426" w14:paraId="62F5F09C" w14:textId="77777777" w:rsidTr="009E50A7">
        <w:trPr>
          <w:jc w:val="center"/>
        </w:trPr>
        <w:tc>
          <w:tcPr>
            <w:tcW w:w="3002" w:type="dxa"/>
          </w:tcPr>
          <w:p w14:paraId="509C5FE3"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Collective sense-making</w:t>
            </w:r>
          </w:p>
        </w:tc>
        <w:tc>
          <w:tcPr>
            <w:tcW w:w="776" w:type="dxa"/>
          </w:tcPr>
          <w:p w14:paraId="1A177636"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9</w:t>
            </w:r>
          </w:p>
        </w:tc>
        <w:tc>
          <w:tcPr>
            <w:tcW w:w="1096" w:type="dxa"/>
          </w:tcPr>
          <w:p w14:paraId="111EBAEE"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6</w:t>
            </w:r>
          </w:p>
        </w:tc>
      </w:tr>
      <w:tr w:rsidR="00B95426" w14:paraId="104E53F6" w14:textId="77777777" w:rsidTr="009E50A7">
        <w:trPr>
          <w:jc w:val="center"/>
        </w:trPr>
        <w:tc>
          <w:tcPr>
            <w:tcW w:w="3002" w:type="dxa"/>
          </w:tcPr>
          <w:p w14:paraId="101C7AB3"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 collective sense-making</w:t>
            </w:r>
          </w:p>
        </w:tc>
        <w:tc>
          <w:tcPr>
            <w:tcW w:w="776" w:type="dxa"/>
          </w:tcPr>
          <w:p w14:paraId="2F9BD954"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45</w:t>
            </w:r>
          </w:p>
        </w:tc>
        <w:tc>
          <w:tcPr>
            <w:tcW w:w="1096" w:type="dxa"/>
          </w:tcPr>
          <w:p w14:paraId="08ED3D1E"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7</w:t>
            </w:r>
          </w:p>
        </w:tc>
      </w:tr>
    </w:tbl>
    <w:p w14:paraId="27F7B05A" w14:textId="77777777" w:rsidR="00B95426" w:rsidRDefault="00B95426" w:rsidP="00B95426">
      <w:pPr>
        <w:spacing w:line="480" w:lineRule="auto"/>
        <w:contextualSpacing/>
        <w:rPr>
          <w:rFonts w:asciiTheme="majorBidi" w:hAnsiTheme="majorBidi" w:cstheme="majorBidi"/>
          <w:sz w:val="24"/>
          <w:szCs w:val="24"/>
        </w:rPr>
      </w:pPr>
    </w:p>
    <w:p w14:paraId="64353812" w14:textId="0AD92123"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A4</w:t>
      </w:r>
      <w:r w:rsidRPr="008E6C40">
        <w:rPr>
          <w:rFonts w:asciiTheme="majorBidi" w:hAnsiTheme="majorBidi" w:cstheme="majorBidi"/>
          <w:color w:val="auto"/>
          <w:sz w:val="24"/>
          <w:szCs w:val="24"/>
        </w:rPr>
        <w:t>: Category 1 by college education</w:t>
      </w:r>
    </w:p>
    <w:tbl>
      <w:tblPr>
        <w:tblStyle w:val="TableGrid"/>
        <w:tblW w:w="0" w:type="auto"/>
        <w:jc w:val="center"/>
        <w:tblLook w:val="04A0" w:firstRow="1" w:lastRow="0" w:firstColumn="1" w:lastColumn="0" w:noHBand="0" w:noVBand="1"/>
      </w:tblPr>
      <w:tblGrid>
        <w:gridCol w:w="2116"/>
        <w:gridCol w:w="2036"/>
        <w:gridCol w:w="2456"/>
      </w:tblGrid>
      <w:tr w:rsidR="00B95426" w14:paraId="4D91A555" w14:textId="77777777" w:rsidTr="009E50A7">
        <w:trPr>
          <w:jc w:val="center"/>
        </w:trPr>
        <w:tc>
          <w:tcPr>
            <w:tcW w:w="2116" w:type="dxa"/>
          </w:tcPr>
          <w:p w14:paraId="68B50066" w14:textId="77777777" w:rsidR="00B95426" w:rsidRDefault="00B95426" w:rsidP="009E50A7">
            <w:pPr>
              <w:contextualSpacing/>
              <w:rPr>
                <w:rFonts w:asciiTheme="majorBidi" w:hAnsiTheme="majorBidi" w:cstheme="majorBidi"/>
                <w:sz w:val="24"/>
                <w:szCs w:val="24"/>
              </w:rPr>
            </w:pPr>
          </w:p>
        </w:tc>
        <w:tc>
          <w:tcPr>
            <w:tcW w:w="2036" w:type="dxa"/>
          </w:tcPr>
          <w:p w14:paraId="02DD3E8C"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College Educated</w:t>
            </w:r>
          </w:p>
        </w:tc>
        <w:tc>
          <w:tcPr>
            <w:tcW w:w="2456" w:type="dxa"/>
          </w:tcPr>
          <w:p w14:paraId="7CB52D23"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Not College Educated</w:t>
            </w:r>
          </w:p>
        </w:tc>
      </w:tr>
      <w:tr w:rsidR="00B95426" w14:paraId="1D77F80F" w14:textId="77777777" w:rsidTr="009E50A7">
        <w:trPr>
          <w:jc w:val="center"/>
        </w:trPr>
        <w:tc>
          <w:tcPr>
            <w:tcW w:w="2116" w:type="dxa"/>
          </w:tcPr>
          <w:p w14:paraId="678083F8"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Self-evaluation</w:t>
            </w:r>
          </w:p>
        </w:tc>
        <w:tc>
          <w:tcPr>
            <w:tcW w:w="2036" w:type="dxa"/>
          </w:tcPr>
          <w:p w14:paraId="4853B5FB"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20</w:t>
            </w:r>
          </w:p>
        </w:tc>
        <w:tc>
          <w:tcPr>
            <w:tcW w:w="2456" w:type="dxa"/>
          </w:tcPr>
          <w:p w14:paraId="4E7945CF"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17</w:t>
            </w:r>
          </w:p>
        </w:tc>
      </w:tr>
      <w:tr w:rsidR="00B95426" w14:paraId="2C4D5159" w14:textId="77777777" w:rsidTr="009E50A7">
        <w:trPr>
          <w:jc w:val="center"/>
        </w:trPr>
        <w:tc>
          <w:tcPr>
            <w:tcW w:w="2116" w:type="dxa"/>
          </w:tcPr>
          <w:p w14:paraId="1E741378"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 self-evaluation</w:t>
            </w:r>
          </w:p>
        </w:tc>
        <w:tc>
          <w:tcPr>
            <w:tcW w:w="2036" w:type="dxa"/>
          </w:tcPr>
          <w:p w14:paraId="661BA906"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7</w:t>
            </w:r>
          </w:p>
        </w:tc>
        <w:tc>
          <w:tcPr>
            <w:tcW w:w="2456" w:type="dxa"/>
          </w:tcPr>
          <w:p w14:paraId="4E30417E"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23</w:t>
            </w:r>
          </w:p>
        </w:tc>
      </w:tr>
    </w:tbl>
    <w:p w14:paraId="2D367D41" w14:textId="77777777" w:rsidR="00B95426" w:rsidRDefault="00B95426" w:rsidP="00B95426">
      <w:pPr>
        <w:spacing w:line="240" w:lineRule="auto"/>
        <w:contextualSpacing/>
        <w:rPr>
          <w:rFonts w:asciiTheme="majorBidi" w:hAnsiTheme="majorBidi" w:cstheme="majorBidi"/>
          <w:sz w:val="24"/>
          <w:szCs w:val="24"/>
        </w:rPr>
      </w:pPr>
    </w:p>
    <w:p w14:paraId="1E6FE9C0" w14:textId="0C70F010"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A5</w:t>
      </w:r>
      <w:r w:rsidRPr="008E6C40">
        <w:rPr>
          <w:rFonts w:asciiTheme="majorBidi" w:hAnsiTheme="majorBidi" w:cstheme="majorBidi"/>
          <w:color w:val="auto"/>
          <w:sz w:val="24"/>
          <w:szCs w:val="24"/>
        </w:rPr>
        <w:t>: Category 2 by college education</w:t>
      </w:r>
    </w:p>
    <w:tbl>
      <w:tblPr>
        <w:tblStyle w:val="TableGrid"/>
        <w:tblW w:w="0" w:type="auto"/>
        <w:jc w:val="center"/>
        <w:tblLook w:val="04A0" w:firstRow="1" w:lastRow="0" w:firstColumn="1" w:lastColumn="0" w:noHBand="0" w:noVBand="1"/>
      </w:tblPr>
      <w:tblGrid>
        <w:gridCol w:w="2795"/>
        <w:gridCol w:w="2036"/>
        <w:gridCol w:w="2456"/>
      </w:tblGrid>
      <w:tr w:rsidR="00B95426" w14:paraId="5A147098" w14:textId="77777777" w:rsidTr="009E50A7">
        <w:trPr>
          <w:jc w:val="center"/>
        </w:trPr>
        <w:tc>
          <w:tcPr>
            <w:tcW w:w="2795" w:type="dxa"/>
          </w:tcPr>
          <w:p w14:paraId="46673B00" w14:textId="77777777" w:rsidR="00B95426" w:rsidRDefault="00B95426" w:rsidP="009E50A7">
            <w:pPr>
              <w:contextualSpacing/>
              <w:rPr>
                <w:rFonts w:asciiTheme="majorBidi" w:hAnsiTheme="majorBidi" w:cstheme="majorBidi"/>
                <w:sz w:val="24"/>
                <w:szCs w:val="24"/>
              </w:rPr>
            </w:pPr>
          </w:p>
        </w:tc>
        <w:tc>
          <w:tcPr>
            <w:tcW w:w="2036" w:type="dxa"/>
          </w:tcPr>
          <w:p w14:paraId="014F3716"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College Educated</w:t>
            </w:r>
          </w:p>
        </w:tc>
        <w:tc>
          <w:tcPr>
            <w:tcW w:w="2456" w:type="dxa"/>
          </w:tcPr>
          <w:p w14:paraId="5700F06D"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Not College Educated</w:t>
            </w:r>
          </w:p>
        </w:tc>
      </w:tr>
      <w:tr w:rsidR="00B95426" w14:paraId="69D8DFA8" w14:textId="77777777" w:rsidTr="009E50A7">
        <w:trPr>
          <w:jc w:val="center"/>
        </w:trPr>
        <w:tc>
          <w:tcPr>
            <w:tcW w:w="2795" w:type="dxa"/>
          </w:tcPr>
          <w:p w14:paraId="5D306B35"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Evaluate the source</w:t>
            </w:r>
          </w:p>
        </w:tc>
        <w:tc>
          <w:tcPr>
            <w:tcW w:w="2036" w:type="dxa"/>
          </w:tcPr>
          <w:p w14:paraId="258DB0FD"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11</w:t>
            </w:r>
          </w:p>
        </w:tc>
        <w:tc>
          <w:tcPr>
            <w:tcW w:w="2456" w:type="dxa"/>
          </w:tcPr>
          <w:p w14:paraId="47CBA07E"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26</w:t>
            </w:r>
          </w:p>
        </w:tc>
      </w:tr>
      <w:tr w:rsidR="00B95426" w14:paraId="2AC932CD" w14:textId="77777777" w:rsidTr="009E50A7">
        <w:trPr>
          <w:jc w:val="center"/>
        </w:trPr>
        <w:tc>
          <w:tcPr>
            <w:tcW w:w="2795" w:type="dxa"/>
          </w:tcPr>
          <w:p w14:paraId="400920B9"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Don’t evaluate the source</w:t>
            </w:r>
          </w:p>
        </w:tc>
        <w:tc>
          <w:tcPr>
            <w:tcW w:w="2036" w:type="dxa"/>
          </w:tcPr>
          <w:p w14:paraId="39393A3D"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16</w:t>
            </w:r>
          </w:p>
        </w:tc>
        <w:tc>
          <w:tcPr>
            <w:tcW w:w="2456" w:type="dxa"/>
          </w:tcPr>
          <w:p w14:paraId="637C189D"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14</w:t>
            </w:r>
          </w:p>
        </w:tc>
      </w:tr>
    </w:tbl>
    <w:p w14:paraId="03AEAE4E" w14:textId="77777777" w:rsidR="00B95426" w:rsidRDefault="00B95426" w:rsidP="00B95426">
      <w:pPr>
        <w:spacing w:line="240" w:lineRule="auto"/>
        <w:contextualSpacing/>
        <w:rPr>
          <w:rFonts w:asciiTheme="majorBidi" w:hAnsiTheme="majorBidi" w:cstheme="majorBidi"/>
          <w:sz w:val="24"/>
          <w:szCs w:val="24"/>
        </w:rPr>
      </w:pPr>
    </w:p>
    <w:p w14:paraId="5F6192EB" w14:textId="61494305"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A6</w:t>
      </w:r>
      <w:r w:rsidRPr="008E6C40">
        <w:rPr>
          <w:rFonts w:asciiTheme="majorBidi" w:hAnsiTheme="majorBidi" w:cstheme="majorBidi"/>
          <w:color w:val="auto"/>
          <w:sz w:val="24"/>
          <w:szCs w:val="24"/>
        </w:rPr>
        <w:t>: Category 3 by college education</w:t>
      </w:r>
    </w:p>
    <w:tbl>
      <w:tblPr>
        <w:tblStyle w:val="TableGrid"/>
        <w:tblW w:w="0" w:type="auto"/>
        <w:jc w:val="center"/>
        <w:tblLook w:val="04A0" w:firstRow="1" w:lastRow="0" w:firstColumn="1" w:lastColumn="0" w:noHBand="0" w:noVBand="1"/>
      </w:tblPr>
      <w:tblGrid>
        <w:gridCol w:w="3002"/>
        <w:gridCol w:w="2036"/>
        <w:gridCol w:w="2456"/>
      </w:tblGrid>
      <w:tr w:rsidR="00B95426" w14:paraId="04182B91" w14:textId="77777777" w:rsidTr="009E50A7">
        <w:trPr>
          <w:jc w:val="center"/>
        </w:trPr>
        <w:tc>
          <w:tcPr>
            <w:tcW w:w="3002" w:type="dxa"/>
          </w:tcPr>
          <w:p w14:paraId="3D4E1E22" w14:textId="77777777" w:rsidR="00B95426" w:rsidRDefault="00B95426" w:rsidP="009E50A7">
            <w:pPr>
              <w:contextualSpacing/>
              <w:rPr>
                <w:rFonts w:asciiTheme="majorBidi" w:hAnsiTheme="majorBidi" w:cstheme="majorBidi"/>
                <w:sz w:val="24"/>
                <w:szCs w:val="24"/>
              </w:rPr>
            </w:pPr>
          </w:p>
        </w:tc>
        <w:tc>
          <w:tcPr>
            <w:tcW w:w="2036" w:type="dxa"/>
          </w:tcPr>
          <w:p w14:paraId="78E6D33E"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College Educated</w:t>
            </w:r>
          </w:p>
        </w:tc>
        <w:tc>
          <w:tcPr>
            <w:tcW w:w="2456" w:type="dxa"/>
          </w:tcPr>
          <w:p w14:paraId="4A42EA02"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Not College Educated</w:t>
            </w:r>
          </w:p>
        </w:tc>
      </w:tr>
      <w:tr w:rsidR="00B95426" w14:paraId="2C216AD7" w14:textId="77777777" w:rsidTr="009E50A7">
        <w:trPr>
          <w:jc w:val="center"/>
        </w:trPr>
        <w:tc>
          <w:tcPr>
            <w:tcW w:w="3002" w:type="dxa"/>
          </w:tcPr>
          <w:p w14:paraId="2E4C0F2D"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Collective sense-making</w:t>
            </w:r>
          </w:p>
        </w:tc>
        <w:tc>
          <w:tcPr>
            <w:tcW w:w="2036" w:type="dxa"/>
          </w:tcPr>
          <w:p w14:paraId="36EEFF59"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7</w:t>
            </w:r>
          </w:p>
        </w:tc>
        <w:tc>
          <w:tcPr>
            <w:tcW w:w="2456" w:type="dxa"/>
          </w:tcPr>
          <w:p w14:paraId="09C6D68C"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9</w:t>
            </w:r>
          </w:p>
        </w:tc>
      </w:tr>
      <w:tr w:rsidR="00B95426" w14:paraId="5B638787" w14:textId="77777777" w:rsidTr="009E50A7">
        <w:trPr>
          <w:jc w:val="center"/>
        </w:trPr>
        <w:tc>
          <w:tcPr>
            <w:tcW w:w="3002" w:type="dxa"/>
          </w:tcPr>
          <w:p w14:paraId="190C7381"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 collective sense-making</w:t>
            </w:r>
          </w:p>
        </w:tc>
        <w:tc>
          <w:tcPr>
            <w:tcW w:w="2036" w:type="dxa"/>
          </w:tcPr>
          <w:p w14:paraId="0DB7D496"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20</w:t>
            </w:r>
          </w:p>
        </w:tc>
        <w:tc>
          <w:tcPr>
            <w:tcW w:w="2456" w:type="dxa"/>
          </w:tcPr>
          <w:p w14:paraId="60634539"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31</w:t>
            </w:r>
          </w:p>
        </w:tc>
      </w:tr>
    </w:tbl>
    <w:p w14:paraId="14532E7F" w14:textId="77777777" w:rsidR="00B95426" w:rsidRDefault="00B95426" w:rsidP="00B95426">
      <w:pPr>
        <w:spacing w:line="480" w:lineRule="auto"/>
        <w:contextualSpacing/>
        <w:rPr>
          <w:rFonts w:asciiTheme="majorBidi" w:hAnsiTheme="majorBidi" w:cstheme="majorBidi"/>
          <w:sz w:val="24"/>
          <w:szCs w:val="24"/>
        </w:rPr>
      </w:pPr>
    </w:p>
    <w:p w14:paraId="562B798E" w14:textId="6E807862"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A7</w:t>
      </w:r>
      <w:r w:rsidRPr="008E6C40">
        <w:rPr>
          <w:rFonts w:asciiTheme="majorBidi" w:hAnsiTheme="majorBidi" w:cstheme="majorBidi"/>
          <w:color w:val="auto"/>
          <w:sz w:val="24"/>
          <w:szCs w:val="24"/>
        </w:rPr>
        <w:t>: Category 1 by social status</w:t>
      </w:r>
    </w:p>
    <w:tbl>
      <w:tblPr>
        <w:tblStyle w:val="TableGrid"/>
        <w:tblW w:w="0" w:type="auto"/>
        <w:jc w:val="center"/>
        <w:tblLook w:val="04A0" w:firstRow="1" w:lastRow="0" w:firstColumn="1" w:lastColumn="0" w:noHBand="0" w:noVBand="1"/>
      </w:tblPr>
      <w:tblGrid>
        <w:gridCol w:w="2116"/>
        <w:gridCol w:w="2103"/>
        <w:gridCol w:w="2456"/>
      </w:tblGrid>
      <w:tr w:rsidR="00B95426" w14:paraId="6D3B67FC" w14:textId="77777777" w:rsidTr="009E50A7">
        <w:trPr>
          <w:jc w:val="center"/>
        </w:trPr>
        <w:tc>
          <w:tcPr>
            <w:tcW w:w="2116" w:type="dxa"/>
          </w:tcPr>
          <w:p w14:paraId="5CE317FF" w14:textId="77777777" w:rsidR="00B95426" w:rsidRDefault="00B95426" w:rsidP="009E50A7">
            <w:pPr>
              <w:contextualSpacing/>
              <w:rPr>
                <w:rFonts w:asciiTheme="majorBidi" w:hAnsiTheme="majorBidi" w:cstheme="majorBidi"/>
                <w:sz w:val="24"/>
                <w:szCs w:val="24"/>
              </w:rPr>
            </w:pPr>
          </w:p>
        </w:tc>
        <w:tc>
          <w:tcPr>
            <w:tcW w:w="2103" w:type="dxa"/>
          </w:tcPr>
          <w:p w14:paraId="0F1C828F"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Advantaged status</w:t>
            </w:r>
          </w:p>
        </w:tc>
        <w:tc>
          <w:tcPr>
            <w:tcW w:w="2456" w:type="dxa"/>
          </w:tcPr>
          <w:p w14:paraId="53C95129"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Not advantaged status</w:t>
            </w:r>
          </w:p>
        </w:tc>
      </w:tr>
      <w:tr w:rsidR="00B95426" w14:paraId="6045D6E1" w14:textId="77777777" w:rsidTr="009E50A7">
        <w:trPr>
          <w:jc w:val="center"/>
        </w:trPr>
        <w:tc>
          <w:tcPr>
            <w:tcW w:w="2116" w:type="dxa"/>
          </w:tcPr>
          <w:p w14:paraId="1B112370"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Self-evaluation</w:t>
            </w:r>
          </w:p>
        </w:tc>
        <w:tc>
          <w:tcPr>
            <w:tcW w:w="2103" w:type="dxa"/>
          </w:tcPr>
          <w:p w14:paraId="7B8940F2"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14</w:t>
            </w:r>
          </w:p>
        </w:tc>
        <w:tc>
          <w:tcPr>
            <w:tcW w:w="2456" w:type="dxa"/>
          </w:tcPr>
          <w:p w14:paraId="5B8D8C22"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21</w:t>
            </w:r>
          </w:p>
        </w:tc>
      </w:tr>
      <w:tr w:rsidR="00B95426" w14:paraId="46CBD260" w14:textId="77777777" w:rsidTr="009E50A7">
        <w:trPr>
          <w:jc w:val="center"/>
        </w:trPr>
        <w:tc>
          <w:tcPr>
            <w:tcW w:w="2116" w:type="dxa"/>
          </w:tcPr>
          <w:p w14:paraId="72517078"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 self-evaluation</w:t>
            </w:r>
          </w:p>
        </w:tc>
        <w:tc>
          <w:tcPr>
            <w:tcW w:w="2103" w:type="dxa"/>
          </w:tcPr>
          <w:p w14:paraId="395499AA"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10</w:t>
            </w:r>
          </w:p>
        </w:tc>
        <w:tc>
          <w:tcPr>
            <w:tcW w:w="2456" w:type="dxa"/>
          </w:tcPr>
          <w:p w14:paraId="7D97E226"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17</w:t>
            </w:r>
          </w:p>
        </w:tc>
      </w:tr>
    </w:tbl>
    <w:p w14:paraId="14528F69" w14:textId="77777777" w:rsidR="00B95426" w:rsidRDefault="00B95426" w:rsidP="00B95426">
      <w:pPr>
        <w:spacing w:line="240" w:lineRule="auto"/>
        <w:contextualSpacing/>
        <w:rPr>
          <w:rFonts w:asciiTheme="majorBidi" w:hAnsiTheme="majorBidi" w:cstheme="majorBidi"/>
          <w:sz w:val="24"/>
          <w:szCs w:val="24"/>
        </w:rPr>
      </w:pPr>
    </w:p>
    <w:p w14:paraId="3E545D27" w14:textId="32ECC41F"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A8</w:t>
      </w:r>
      <w:r w:rsidRPr="008E6C40">
        <w:rPr>
          <w:rFonts w:asciiTheme="majorBidi" w:hAnsiTheme="majorBidi" w:cstheme="majorBidi"/>
          <w:color w:val="auto"/>
          <w:sz w:val="24"/>
          <w:szCs w:val="24"/>
        </w:rPr>
        <w:t>: Category 2 by social status</w:t>
      </w:r>
    </w:p>
    <w:tbl>
      <w:tblPr>
        <w:tblStyle w:val="TableGrid"/>
        <w:tblW w:w="0" w:type="auto"/>
        <w:jc w:val="center"/>
        <w:tblLook w:val="04A0" w:firstRow="1" w:lastRow="0" w:firstColumn="1" w:lastColumn="0" w:noHBand="0" w:noVBand="1"/>
      </w:tblPr>
      <w:tblGrid>
        <w:gridCol w:w="2795"/>
        <w:gridCol w:w="2103"/>
        <w:gridCol w:w="2456"/>
      </w:tblGrid>
      <w:tr w:rsidR="00B95426" w14:paraId="1E696192" w14:textId="77777777" w:rsidTr="009E50A7">
        <w:trPr>
          <w:jc w:val="center"/>
        </w:trPr>
        <w:tc>
          <w:tcPr>
            <w:tcW w:w="2795" w:type="dxa"/>
          </w:tcPr>
          <w:p w14:paraId="458668E0" w14:textId="77777777" w:rsidR="00B95426" w:rsidRDefault="00B95426" w:rsidP="009E50A7">
            <w:pPr>
              <w:contextualSpacing/>
              <w:rPr>
                <w:rFonts w:asciiTheme="majorBidi" w:hAnsiTheme="majorBidi" w:cstheme="majorBidi"/>
                <w:sz w:val="24"/>
                <w:szCs w:val="24"/>
              </w:rPr>
            </w:pPr>
          </w:p>
        </w:tc>
        <w:tc>
          <w:tcPr>
            <w:tcW w:w="2103" w:type="dxa"/>
          </w:tcPr>
          <w:p w14:paraId="50722CB2"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Advantaged status</w:t>
            </w:r>
          </w:p>
        </w:tc>
        <w:tc>
          <w:tcPr>
            <w:tcW w:w="2456" w:type="dxa"/>
          </w:tcPr>
          <w:p w14:paraId="472981E7"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Not advantaged status</w:t>
            </w:r>
          </w:p>
        </w:tc>
      </w:tr>
      <w:tr w:rsidR="00B95426" w14:paraId="6C1C6B2D" w14:textId="77777777" w:rsidTr="009E50A7">
        <w:trPr>
          <w:jc w:val="center"/>
        </w:trPr>
        <w:tc>
          <w:tcPr>
            <w:tcW w:w="2795" w:type="dxa"/>
          </w:tcPr>
          <w:p w14:paraId="4BD0F209"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Evaluate the source</w:t>
            </w:r>
          </w:p>
        </w:tc>
        <w:tc>
          <w:tcPr>
            <w:tcW w:w="2103" w:type="dxa"/>
          </w:tcPr>
          <w:p w14:paraId="29E20E80"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11</w:t>
            </w:r>
          </w:p>
        </w:tc>
        <w:tc>
          <w:tcPr>
            <w:tcW w:w="2456" w:type="dxa"/>
          </w:tcPr>
          <w:p w14:paraId="60530610"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23</w:t>
            </w:r>
          </w:p>
        </w:tc>
      </w:tr>
      <w:tr w:rsidR="00B95426" w14:paraId="1792ABC1" w14:textId="77777777" w:rsidTr="009E50A7">
        <w:trPr>
          <w:jc w:val="center"/>
        </w:trPr>
        <w:tc>
          <w:tcPr>
            <w:tcW w:w="2795" w:type="dxa"/>
          </w:tcPr>
          <w:p w14:paraId="1948959C"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Don’t evaluate the source</w:t>
            </w:r>
          </w:p>
        </w:tc>
        <w:tc>
          <w:tcPr>
            <w:tcW w:w="2103" w:type="dxa"/>
          </w:tcPr>
          <w:p w14:paraId="10A049AE"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13</w:t>
            </w:r>
          </w:p>
        </w:tc>
        <w:tc>
          <w:tcPr>
            <w:tcW w:w="2456" w:type="dxa"/>
          </w:tcPr>
          <w:p w14:paraId="7037610A"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15</w:t>
            </w:r>
          </w:p>
        </w:tc>
      </w:tr>
    </w:tbl>
    <w:p w14:paraId="70D3CCF9" w14:textId="77777777" w:rsidR="00B95426" w:rsidRDefault="00B95426" w:rsidP="00B95426">
      <w:pPr>
        <w:spacing w:line="240" w:lineRule="auto"/>
        <w:contextualSpacing/>
        <w:rPr>
          <w:rFonts w:asciiTheme="majorBidi" w:hAnsiTheme="majorBidi" w:cstheme="majorBidi"/>
          <w:sz w:val="24"/>
          <w:szCs w:val="24"/>
        </w:rPr>
      </w:pPr>
    </w:p>
    <w:p w14:paraId="086B5FB3" w14:textId="099E4F23" w:rsidR="00B95426" w:rsidRPr="008E6C40" w:rsidRDefault="00B95426" w:rsidP="00D528D6">
      <w:pPr>
        <w:pStyle w:val="Caption"/>
        <w:keepNext/>
        <w:jc w:val="center"/>
        <w:rPr>
          <w:rFonts w:asciiTheme="majorBidi" w:hAnsiTheme="majorBidi" w:cstheme="majorBidi"/>
          <w:color w:val="auto"/>
          <w:sz w:val="24"/>
          <w:szCs w:val="24"/>
        </w:rPr>
      </w:pPr>
      <w:r w:rsidRPr="008E6C40">
        <w:rPr>
          <w:rFonts w:asciiTheme="majorBidi" w:hAnsiTheme="majorBidi" w:cstheme="majorBidi"/>
          <w:color w:val="auto"/>
          <w:sz w:val="24"/>
          <w:szCs w:val="24"/>
        </w:rPr>
        <w:t xml:space="preserve">Table </w:t>
      </w:r>
      <w:r w:rsidR="00D528D6">
        <w:rPr>
          <w:rFonts w:asciiTheme="majorBidi" w:hAnsiTheme="majorBidi" w:cstheme="majorBidi"/>
          <w:color w:val="auto"/>
          <w:sz w:val="24"/>
          <w:szCs w:val="24"/>
        </w:rPr>
        <w:t>A9</w:t>
      </w:r>
      <w:r w:rsidRPr="008E6C40">
        <w:rPr>
          <w:rFonts w:asciiTheme="majorBidi" w:hAnsiTheme="majorBidi" w:cstheme="majorBidi"/>
          <w:color w:val="auto"/>
          <w:sz w:val="24"/>
          <w:szCs w:val="24"/>
        </w:rPr>
        <w:t>: Category 3 by social status</w:t>
      </w:r>
    </w:p>
    <w:tbl>
      <w:tblPr>
        <w:tblStyle w:val="TableGrid"/>
        <w:tblW w:w="0" w:type="auto"/>
        <w:jc w:val="center"/>
        <w:tblLook w:val="04A0" w:firstRow="1" w:lastRow="0" w:firstColumn="1" w:lastColumn="0" w:noHBand="0" w:noVBand="1"/>
      </w:tblPr>
      <w:tblGrid>
        <w:gridCol w:w="3002"/>
        <w:gridCol w:w="2103"/>
        <w:gridCol w:w="2456"/>
      </w:tblGrid>
      <w:tr w:rsidR="00B95426" w14:paraId="0647193E" w14:textId="77777777" w:rsidTr="009E50A7">
        <w:trPr>
          <w:jc w:val="center"/>
        </w:trPr>
        <w:tc>
          <w:tcPr>
            <w:tcW w:w="3002" w:type="dxa"/>
          </w:tcPr>
          <w:p w14:paraId="1A431798" w14:textId="77777777" w:rsidR="00B95426" w:rsidRDefault="00B95426" w:rsidP="009E50A7">
            <w:pPr>
              <w:contextualSpacing/>
              <w:rPr>
                <w:rFonts w:asciiTheme="majorBidi" w:hAnsiTheme="majorBidi" w:cstheme="majorBidi"/>
                <w:sz w:val="24"/>
                <w:szCs w:val="24"/>
              </w:rPr>
            </w:pPr>
          </w:p>
        </w:tc>
        <w:tc>
          <w:tcPr>
            <w:tcW w:w="2103" w:type="dxa"/>
          </w:tcPr>
          <w:p w14:paraId="1AECD339"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Advantaged status</w:t>
            </w:r>
          </w:p>
        </w:tc>
        <w:tc>
          <w:tcPr>
            <w:tcW w:w="2456" w:type="dxa"/>
          </w:tcPr>
          <w:p w14:paraId="0A70039B"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Not advantaged status</w:t>
            </w:r>
          </w:p>
        </w:tc>
      </w:tr>
      <w:tr w:rsidR="00B95426" w14:paraId="3A678146" w14:textId="77777777" w:rsidTr="009E50A7">
        <w:trPr>
          <w:jc w:val="center"/>
        </w:trPr>
        <w:tc>
          <w:tcPr>
            <w:tcW w:w="3002" w:type="dxa"/>
          </w:tcPr>
          <w:p w14:paraId="70A02162"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Collective sense-making</w:t>
            </w:r>
          </w:p>
        </w:tc>
        <w:tc>
          <w:tcPr>
            <w:tcW w:w="2103" w:type="dxa"/>
          </w:tcPr>
          <w:p w14:paraId="4A2D9FD7"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11</w:t>
            </w:r>
          </w:p>
        </w:tc>
        <w:tc>
          <w:tcPr>
            <w:tcW w:w="2456" w:type="dxa"/>
          </w:tcPr>
          <w:p w14:paraId="5359E308"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4</w:t>
            </w:r>
          </w:p>
        </w:tc>
      </w:tr>
      <w:tr w:rsidR="00B95426" w14:paraId="597CF387" w14:textId="77777777" w:rsidTr="009E50A7">
        <w:trPr>
          <w:jc w:val="center"/>
        </w:trPr>
        <w:tc>
          <w:tcPr>
            <w:tcW w:w="3002" w:type="dxa"/>
          </w:tcPr>
          <w:p w14:paraId="2FD72C54" w14:textId="77777777" w:rsidR="00B95426" w:rsidRDefault="00B95426" w:rsidP="009E50A7">
            <w:pPr>
              <w:contextualSpacing/>
              <w:rPr>
                <w:rFonts w:asciiTheme="majorBidi" w:hAnsiTheme="majorBidi" w:cstheme="majorBidi"/>
                <w:sz w:val="24"/>
                <w:szCs w:val="24"/>
              </w:rPr>
            </w:pPr>
            <w:r>
              <w:rPr>
                <w:rFonts w:asciiTheme="majorBidi" w:hAnsiTheme="majorBidi" w:cstheme="majorBidi"/>
                <w:sz w:val="24"/>
                <w:szCs w:val="24"/>
              </w:rPr>
              <w:t>No collective sense-making</w:t>
            </w:r>
          </w:p>
        </w:tc>
        <w:tc>
          <w:tcPr>
            <w:tcW w:w="2103" w:type="dxa"/>
          </w:tcPr>
          <w:p w14:paraId="6CCC5A72"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13</w:t>
            </w:r>
          </w:p>
        </w:tc>
        <w:tc>
          <w:tcPr>
            <w:tcW w:w="2456" w:type="dxa"/>
          </w:tcPr>
          <w:p w14:paraId="76B6AFA3" w14:textId="77777777" w:rsidR="00B95426" w:rsidRDefault="00B95426" w:rsidP="009E50A7">
            <w:pPr>
              <w:contextualSpacing/>
              <w:jc w:val="center"/>
              <w:rPr>
                <w:rFonts w:asciiTheme="majorBidi" w:hAnsiTheme="majorBidi" w:cstheme="majorBidi"/>
                <w:sz w:val="24"/>
                <w:szCs w:val="24"/>
              </w:rPr>
            </w:pPr>
            <w:r>
              <w:rPr>
                <w:rFonts w:asciiTheme="majorBidi" w:hAnsiTheme="majorBidi" w:cstheme="majorBidi"/>
                <w:sz w:val="24"/>
                <w:szCs w:val="24"/>
              </w:rPr>
              <w:t>34</w:t>
            </w:r>
          </w:p>
        </w:tc>
      </w:tr>
    </w:tbl>
    <w:p w14:paraId="299770DD" w14:textId="77777777" w:rsidR="00B95426" w:rsidRPr="00D90E97" w:rsidRDefault="00B95426" w:rsidP="00B95426">
      <w:pPr>
        <w:spacing w:line="480" w:lineRule="auto"/>
        <w:ind w:firstLine="720"/>
        <w:contextualSpacing/>
        <w:rPr>
          <w:rFonts w:asciiTheme="majorBidi" w:hAnsiTheme="majorBidi" w:cstheme="majorBidi"/>
          <w:sz w:val="24"/>
          <w:szCs w:val="24"/>
        </w:rPr>
      </w:pPr>
    </w:p>
    <w:p w14:paraId="41EE1DC4" w14:textId="7291B6A3" w:rsidR="00C35E70" w:rsidRDefault="00C35E70" w:rsidP="00C35E70">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lastRenderedPageBreak/>
        <w:t>While these responses make Categories (1) and (2) appear more common, it is important to note that the sample includes about half as many women as men. This suggests that people may select all three categories of information at similar rates. This sample just over-samples from a set of people that is less likely to use Category (3). Other researchers with greater access to female respondents may therefore expect to find more people using collective sense-making to evaluate new information.</w:t>
      </w:r>
    </w:p>
    <w:p w14:paraId="194F309E" w14:textId="77777777" w:rsidR="00030EE4" w:rsidRDefault="00030EE4" w:rsidP="00AE59D9"/>
    <w:p w14:paraId="4E229DEB" w14:textId="77777777" w:rsidR="00FD76DA" w:rsidRDefault="00FD76DA" w:rsidP="00AE59D9"/>
    <w:p w14:paraId="0E08E782" w14:textId="3E24D23E" w:rsidR="00E94726" w:rsidRPr="00376A05" w:rsidRDefault="001321EF" w:rsidP="001321EF">
      <w:pPr>
        <w:pStyle w:val="Heading1"/>
        <w:rPr>
          <w:rFonts w:asciiTheme="majorBidi" w:hAnsiTheme="majorBidi"/>
        </w:rPr>
      </w:pPr>
      <w:r w:rsidRPr="00376A05">
        <w:rPr>
          <w:rFonts w:asciiTheme="majorBidi" w:hAnsiTheme="majorBidi"/>
        </w:rPr>
        <w:t>Works cited</w:t>
      </w:r>
    </w:p>
    <w:p w14:paraId="5FD20C42" w14:textId="77777777" w:rsidR="005759F1" w:rsidRPr="00791BEB" w:rsidRDefault="00030EE4" w:rsidP="005759F1">
      <w:pPr>
        <w:pStyle w:val="EndNoteBibliography"/>
        <w:spacing w:after="0"/>
        <w:rPr>
          <w:rFonts w:asciiTheme="majorBidi" w:hAnsiTheme="majorBidi" w:cstheme="majorBidi"/>
          <w:sz w:val="24"/>
          <w:szCs w:val="24"/>
        </w:rPr>
      </w:pPr>
      <w:r w:rsidRPr="00791BEB">
        <w:rPr>
          <w:rFonts w:asciiTheme="majorBidi" w:hAnsiTheme="majorBidi" w:cstheme="majorBidi"/>
          <w:sz w:val="24"/>
          <w:szCs w:val="24"/>
        </w:rPr>
        <w:fldChar w:fldCharType="begin"/>
      </w:r>
      <w:r w:rsidRPr="00791BEB">
        <w:rPr>
          <w:rFonts w:asciiTheme="majorBidi" w:hAnsiTheme="majorBidi" w:cstheme="majorBidi"/>
          <w:sz w:val="24"/>
          <w:szCs w:val="24"/>
        </w:rPr>
        <w:instrText xml:space="preserve"> ADDIN EN.REFLIST </w:instrText>
      </w:r>
      <w:r w:rsidRPr="00791BEB">
        <w:rPr>
          <w:rFonts w:asciiTheme="majorBidi" w:hAnsiTheme="majorBidi" w:cstheme="majorBidi"/>
          <w:sz w:val="24"/>
          <w:szCs w:val="24"/>
        </w:rPr>
        <w:fldChar w:fldCharType="separate"/>
      </w:r>
      <w:r w:rsidR="005759F1" w:rsidRPr="00791BEB">
        <w:rPr>
          <w:rFonts w:asciiTheme="majorBidi" w:hAnsiTheme="majorBidi" w:cstheme="majorBidi"/>
          <w:sz w:val="24"/>
          <w:szCs w:val="24"/>
        </w:rPr>
        <w:t xml:space="preserve">Bhavnani, R., M. Findley and J. Kuklinski (2009). "Rumor Dynamics in Ethnic Violence." </w:t>
      </w:r>
      <w:r w:rsidR="005759F1" w:rsidRPr="00791BEB">
        <w:rPr>
          <w:rFonts w:asciiTheme="majorBidi" w:hAnsiTheme="majorBidi" w:cstheme="majorBidi"/>
          <w:sz w:val="24"/>
          <w:szCs w:val="24"/>
          <w:u w:val="single"/>
        </w:rPr>
        <w:t>Journal of Politics</w:t>
      </w:r>
      <w:r w:rsidR="005759F1" w:rsidRPr="00791BEB">
        <w:rPr>
          <w:rFonts w:asciiTheme="majorBidi" w:hAnsiTheme="majorBidi" w:cstheme="majorBidi"/>
          <w:sz w:val="24"/>
          <w:szCs w:val="24"/>
        </w:rPr>
        <w:t xml:space="preserve"> </w:t>
      </w:r>
      <w:r w:rsidR="005759F1" w:rsidRPr="00791BEB">
        <w:rPr>
          <w:rFonts w:asciiTheme="majorBidi" w:hAnsiTheme="majorBidi" w:cstheme="majorBidi"/>
          <w:b/>
          <w:sz w:val="24"/>
          <w:szCs w:val="24"/>
        </w:rPr>
        <w:t>71</w:t>
      </w:r>
      <w:r w:rsidR="005759F1" w:rsidRPr="00791BEB">
        <w:rPr>
          <w:rFonts w:asciiTheme="majorBidi" w:hAnsiTheme="majorBidi" w:cstheme="majorBidi"/>
          <w:sz w:val="24"/>
          <w:szCs w:val="24"/>
        </w:rPr>
        <w:t>(3): 876-892.</w:t>
      </w:r>
    </w:p>
    <w:p w14:paraId="437FCD73" w14:textId="77777777" w:rsidR="005759F1" w:rsidRPr="00791BEB" w:rsidRDefault="005759F1" w:rsidP="005759F1">
      <w:pPr>
        <w:pStyle w:val="EndNoteBibliography"/>
        <w:spacing w:after="0"/>
        <w:rPr>
          <w:rFonts w:asciiTheme="majorBidi" w:hAnsiTheme="majorBidi" w:cstheme="majorBidi"/>
          <w:sz w:val="24"/>
          <w:szCs w:val="24"/>
        </w:rPr>
      </w:pPr>
      <w:r w:rsidRPr="00791BEB">
        <w:rPr>
          <w:rFonts w:asciiTheme="majorBidi" w:hAnsiTheme="majorBidi" w:cstheme="majorBidi"/>
          <w:sz w:val="24"/>
          <w:szCs w:val="24"/>
        </w:rPr>
        <w:t xml:space="preserve">Bloch, A. (2007). "Methodological Challenges for National and Multi-Sited Comparative Survey Research." </w:t>
      </w:r>
      <w:r w:rsidRPr="00791BEB">
        <w:rPr>
          <w:rFonts w:asciiTheme="majorBidi" w:hAnsiTheme="majorBidi" w:cstheme="majorBidi"/>
          <w:sz w:val="24"/>
          <w:szCs w:val="24"/>
          <w:u w:val="single"/>
        </w:rPr>
        <w:t>Journal of Refugee Studies</w:t>
      </w:r>
      <w:r w:rsidRPr="00791BEB">
        <w:rPr>
          <w:rFonts w:asciiTheme="majorBidi" w:hAnsiTheme="majorBidi" w:cstheme="majorBidi"/>
          <w:sz w:val="24"/>
          <w:szCs w:val="24"/>
        </w:rPr>
        <w:t xml:space="preserve"> </w:t>
      </w:r>
      <w:r w:rsidRPr="00791BEB">
        <w:rPr>
          <w:rFonts w:asciiTheme="majorBidi" w:hAnsiTheme="majorBidi" w:cstheme="majorBidi"/>
          <w:b/>
          <w:sz w:val="24"/>
          <w:szCs w:val="24"/>
        </w:rPr>
        <w:t>20</w:t>
      </w:r>
      <w:r w:rsidRPr="00791BEB">
        <w:rPr>
          <w:rFonts w:asciiTheme="majorBidi" w:hAnsiTheme="majorBidi" w:cstheme="majorBidi"/>
          <w:sz w:val="24"/>
          <w:szCs w:val="24"/>
        </w:rPr>
        <w:t>(2): 230-247.</w:t>
      </w:r>
    </w:p>
    <w:p w14:paraId="3ACC9EF5" w14:textId="77777777" w:rsidR="005759F1" w:rsidRPr="00791BEB" w:rsidRDefault="005759F1" w:rsidP="005759F1">
      <w:pPr>
        <w:pStyle w:val="EndNoteBibliography"/>
        <w:spacing w:after="0"/>
        <w:rPr>
          <w:rFonts w:asciiTheme="majorBidi" w:hAnsiTheme="majorBidi" w:cstheme="majorBidi"/>
          <w:sz w:val="24"/>
          <w:szCs w:val="24"/>
        </w:rPr>
      </w:pPr>
      <w:r w:rsidRPr="00791BEB">
        <w:rPr>
          <w:rFonts w:asciiTheme="majorBidi" w:hAnsiTheme="majorBidi" w:cstheme="majorBidi"/>
          <w:sz w:val="24"/>
          <w:szCs w:val="24"/>
        </w:rPr>
        <w:t xml:space="preserve">Greenhill, K. M. and B. Oppenheim (2017). "Rumor has it: The adoption of unverified information in conflict zones." </w:t>
      </w:r>
      <w:r w:rsidRPr="00791BEB">
        <w:rPr>
          <w:rFonts w:asciiTheme="majorBidi" w:hAnsiTheme="majorBidi" w:cstheme="majorBidi"/>
          <w:sz w:val="24"/>
          <w:szCs w:val="24"/>
          <w:u w:val="single"/>
        </w:rPr>
        <w:t>International Studies Quarterly</w:t>
      </w:r>
      <w:r w:rsidRPr="00791BEB">
        <w:rPr>
          <w:rFonts w:asciiTheme="majorBidi" w:hAnsiTheme="majorBidi" w:cstheme="majorBidi"/>
          <w:sz w:val="24"/>
          <w:szCs w:val="24"/>
        </w:rPr>
        <w:t>: sqx015.</w:t>
      </w:r>
    </w:p>
    <w:p w14:paraId="4CA32BCA" w14:textId="77777777" w:rsidR="005759F1" w:rsidRPr="00791BEB" w:rsidRDefault="005759F1" w:rsidP="005759F1">
      <w:pPr>
        <w:pStyle w:val="EndNoteBibliography"/>
        <w:spacing w:after="0"/>
        <w:rPr>
          <w:rFonts w:asciiTheme="majorBidi" w:hAnsiTheme="majorBidi" w:cstheme="majorBidi"/>
          <w:sz w:val="24"/>
          <w:szCs w:val="24"/>
        </w:rPr>
      </w:pPr>
      <w:r w:rsidRPr="00791BEB">
        <w:rPr>
          <w:rFonts w:asciiTheme="majorBidi" w:hAnsiTheme="majorBidi" w:cstheme="majorBidi"/>
          <w:sz w:val="24"/>
          <w:szCs w:val="24"/>
        </w:rPr>
        <w:t xml:space="preserve">Schon, J. (2019). "Motivation and opportunity for conflict-induced migration: An analysis of Syrian migration timing." </w:t>
      </w:r>
      <w:r w:rsidRPr="00791BEB">
        <w:rPr>
          <w:rFonts w:asciiTheme="majorBidi" w:hAnsiTheme="majorBidi" w:cstheme="majorBidi"/>
          <w:sz w:val="24"/>
          <w:szCs w:val="24"/>
          <w:u w:val="single"/>
        </w:rPr>
        <w:t>Journal of Peace Research</w:t>
      </w:r>
      <w:r w:rsidRPr="00791BEB">
        <w:rPr>
          <w:rFonts w:asciiTheme="majorBidi" w:hAnsiTheme="majorBidi" w:cstheme="majorBidi"/>
          <w:sz w:val="24"/>
          <w:szCs w:val="24"/>
        </w:rPr>
        <w:t xml:space="preserve"> </w:t>
      </w:r>
      <w:r w:rsidRPr="00791BEB">
        <w:rPr>
          <w:rFonts w:asciiTheme="majorBidi" w:hAnsiTheme="majorBidi" w:cstheme="majorBidi"/>
          <w:b/>
          <w:sz w:val="24"/>
          <w:szCs w:val="24"/>
        </w:rPr>
        <w:t>56</w:t>
      </w:r>
      <w:r w:rsidRPr="00791BEB">
        <w:rPr>
          <w:rFonts w:asciiTheme="majorBidi" w:hAnsiTheme="majorBidi" w:cstheme="majorBidi"/>
          <w:sz w:val="24"/>
          <w:szCs w:val="24"/>
        </w:rPr>
        <w:t>(1): 12-27.</w:t>
      </w:r>
    </w:p>
    <w:p w14:paraId="170A6FD5" w14:textId="77777777" w:rsidR="005759F1" w:rsidRPr="00791BEB" w:rsidRDefault="005759F1" w:rsidP="005759F1">
      <w:pPr>
        <w:pStyle w:val="EndNoteBibliography"/>
        <w:rPr>
          <w:rFonts w:asciiTheme="majorBidi" w:hAnsiTheme="majorBidi" w:cstheme="majorBidi"/>
          <w:sz w:val="24"/>
          <w:szCs w:val="24"/>
        </w:rPr>
      </w:pPr>
      <w:r w:rsidRPr="00791BEB">
        <w:rPr>
          <w:rFonts w:asciiTheme="majorBidi" w:hAnsiTheme="majorBidi" w:cstheme="majorBidi"/>
          <w:sz w:val="24"/>
          <w:szCs w:val="24"/>
        </w:rPr>
        <w:t xml:space="preserve">Shibutani, T. (1966). </w:t>
      </w:r>
      <w:r w:rsidRPr="00791BEB">
        <w:rPr>
          <w:rFonts w:asciiTheme="majorBidi" w:hAnsiTheme="majorBidi" w:cstheme="majorBidi"/>
          <w:sz w:val="24"/>
          <w:szCs w:val="24"/>
          <w:u w:val="single"/>
        </w:rPr>
        <w:t>Improvised News: A Sociological Study of Rumor</w:t>
      </w:r>
      <w:r w:rsidRPr="00791BEB">
        <w:rPr>
          <w:rFonts w:asciiTheme="majorBidi" w:hAnsiTheme="majorBidi" w:cstheme="majorBidi"/>
          <w:sz w:val="24"/>
          <w:szCs w:val="24"/>
        </w:rPr>
        <w:t>. New York, The Bobbs-Merrill Company, Inc.</w:t>
      </w:r>
    </w:p>
    <w:p w14:paraId="0C2EED37" w14:textId="2AD3B66E" w:rsidR="00AE59D9" w:rsidRPr="00AE59D9" w:rsidRDefault="00030EE4" w:rsidP="005759F1">
      <w:r w:rsidRPr="00791BEB">
        <w:rPr>
          <w:rFonts w:asciiTheme="majorBidi" w:hAnsiTheme="majorBidi" w:cstheme="majorBidi"/>
          <w:sz w:val="24"/>
          <w:szCs w:val="24"/>
        </w:rPr>
        <w:fldChar w:fldCharType="end"/>
      </w:r>
    </w:p>
    <w:sectPr w:rsidR="00AE59D9" w:rsidRPr="00AE59D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169C" w14:textId="77777777" w:rsidR="004C708B" w:rsidRDefault="004C708B" w:rsidP="00FD76DA">
      <w:pPr>
        <w:spacing w:after="0" w:line="240" w:lineRule="auto"/>
      </w:pPr>
      <w:r>
        <w:separator/>
      </w:r>
    </w:p>
  </w:endnote>
  <w:endnote w:type="continuationSeparator" w:id="0">
    <w:p w14:paraId="624CAE4A" w14:textId="77777777" w:rsidR="004C708B" w:rsidRDefault="004C708B" w:rsidP="00FD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22F4" w14:textId="77777777" w:rsidR="004C708B" w:rsidRDefault="004C708B" w:rsidP="00FD76DA">
      <w:pPr>
        <w:spacing w:after="0" w:line="240" w:lineRule="auto"/>
      </w:pPr>
      <w:r>
        <w:separator/>
      </w:r>
    </w:p>
  </w:footnote>
  <w:footnote w:type="continuationSeparator" w:id="0">
    <w:p w14:paraId="3B5BD7E8" w14:textId="77777777" w:rsidR="004C708B" w:rsidRDefault="004C708B" w:rsidP="00FD7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863067"/>
      <w:docPartObj>
        <w:docPartGallery w:val="Page Numbers (Top of Page)"/>
        <w:docPartUnique/>
      </w:docPartObj>
    </w:sdtPr>
    <w:sdtEndPr>
      <w:rPr>
        <w:noProof/>
      </w:rPr>
    </w:sdtEndPr>
    <w:sdtContent>
      <w:p w14:paraId="149F60D2" w14:textId="03FECB5A" w:rsidR="00791BEB" w:rsidRDefault="00791BEB">
        <w:pPr>
          <w:pStyle w:val="Header"/>
          <w:jc w:val="right"/>
        </w:pPr>
        <w:r>
          <w:fldChar w:fldCharType="begin"/>
        </w:r>
        <w:r>
          <w:instrText xml:space="preserve"> PAGE   \* MERGEFORMAT </w:instrText>
        </w:r>
        <w:r>
          <w:fldChar w:fldCharType="separate"/>
        </w:r>
        <w:r w:rsidR="00184577">
          <w:rPr>
            <w:noProof/>
          </w:rPr>
          <w:t>5</w:t>
        </w:r>
        <w:r>
          <w:rPr>
            <w:noProof/>
          </w:rPr>
          <w:fldChar w:fldCharType="end"/>
        </w:r>
      </w:p>
    </w:sdtContent>
  </w:sdt>
  <w:p w14:paraId="78E35BD4" w14:textId="77777777" w:rsidR="00791BEB" w:rsidRDefault="0079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xzfar5vdfrsne2006va5sexf9z0sftrtwa&quot;&gt;Word citations&lt;record-ids&gt;&lt;item&gt;645&lt;/item&gt;&lt;item&gt;647&lt;/item&gt;&lt;item&gt;763&lt;/item&gt;&lt;item&gt;1324&lt;/item&gt;&lt;item&gt;1495&lt;/item&gt;&lt;/record-ids&gt;&lt;/item&gt;&lt;/Libraries&gt;"/>
  </w:docVars>
  <w:rsids>
    <w:rsidRoot w:val="00CD21FD"/>
    <w:rsid w:val="00030EE4"/>
    <w:rsid w:val="000369CF"/>
    <w:rsid w:val="000843DD"/>
    <w:rsid w:val="000D1920"/>
    <w:rsid w:val="001321EF"/>
    <w:rsid w:val="00165713"/>
    <w:rsid w:val="00166087"/>
    <w:rsid w:val="00184577"/>
    <w:rsid w:val="0018530E"/>
    <w:rsid w:val="001C21A1"/>
    <w:rsid w:val="001E47EF"/>
    <w:rsid w:val="001E79AA"/>
    <w:rsid w:val="002339A2"/>
    <w:rsid w:val="00276675"/>
    <w:rsid w:val="002940C7"/>
    <w:rsid w:val="003137A5"/>
    <w:rsid w:val="0031515E"/>
    <w:rsid w:val="00376A05"/>
    <w:rsid w:val="003974A1"/>
    <w:rsid w:val="003C3EFA"/>
    <w:rsid w:val="003E36FA"/>
    <w:rsid w:val="00470EA6"/>
    <w:rsid w:val="004825A4"/>
    <w:rsid w:val="004A605E"/>
    <w:rsid w:val="004C708B"/>
    <w:rsid w:val="00543B05"/>
    <w:rsid w:val="005614E7"/>
    <w:rsid w:val="005759F1"/>
    <w:rsid w:val="00575EAD"/>
    <w:rsid w:val="00590622"/>
    <w:rsid w:val="005A733C"/>
    <w:rsid w:val="00605A09"/>
    <w:rsid w:val="0064410F"/>
    <w:rsid w:val="006642D0"/>
    <w:rsid w:val="00691178"/>
    <w:rsid w:val="006B1647"/>
    <w:rsid w:val="00791BEB"/>
    <w:rsid w:val="007D5B80"/>
    <w:rsid w:val="00812A6C"/>
    <w:rsid w:val="00824F64"/>
    <w:rsid w:val="008265A3"/>
    <w:rsid w:val="00866842"/>
    <w:rsid w:val="008744C6"/>
    <w:rsid w:val="008954EE"/>
    <w:rsid w:val="00973270"/>
    <w:rsid w:val="00A247C2"/>
    <w:rsid w:val="00A35B67"/>
    <w:rsid w:val="00A55B84"/>
    <w:rsid w:val="00AE59D9"/>
    <w:rsid w:val="00B45F39"/>
    <w:rsid w:val="00B6194E"/>
    <w:rsid w:val="00B95426"/>
    <w:rsid w:val="00BD59FE"/>
    <w:rsid w:val="00BE48C7"/>
    <w:rsid w:val="00C101A4"/>
    <w:rsid w:val="00C124DB"/>
    <w:rsid w:val="00C35E70"/>
    <w:rsid w:val="00C76888"/>
    <w:rsid w:val="00CD21FD"/>
    <w:rsid w:val="00D118AF"/>
    <w:rsid w:val="00D3497B"/>
    <w:rsid w:val="00D528D6"/>
    <w:rsid w:val="00D87142"/>
    <w:rsid w:val="00D90E97"/>
    <w:rsid w:val="00E94726"/>
    <w:rsid w:val="00EA2045"/>
    <w:rsid w:val="00F91672"/>
    <w:rsid w:val="00FD7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9828"/>
  <w15:chartTrackingRefBased/>
  <w15:docId w15:val="{23C9ADD8-8BB8-47AD-AE24-D2DDA119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47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69CF"/>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030EE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30EE4"/>
    <w:rPr>
      <w:rFonts w:ascii="Calibri" w:hAnsi="Calibri" w:cs="Calibri"/>
      <w:noProof/>
    </w:rPr>
  </w:style>
  <w:style w:type="paragraph" w:customStyle="1" w:styleId="EndNoteBibliography">
    <w:name w:val="EndNote Bibliography"/>
    <w:basedOn w:val="Normal"/>
    <w:link w:val="EndNoteBibliographyChar"/>
    <w:rsid w:val="00030EE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30EE4"/>
    <w:rPr>
      <w:rFonts w:ascii="Calibri" w:hAnsi="Calibri" w:cs="Calibri"/>
      <w:noProof/>
    </w:rPr>
  </w:style>
  <w:style w:type="character" w:customStyle="1" w:styleId="Heading3Char">
    <w:name w:val="Heading 3 Char"/>
    <w:basedOn w:val="DefaultParagraphFont"/>
    <w:link w:val="Heading3"/>
    <w:uiPriority w:val="9"/>
    <w:semiHidden/>
    <w:rsid w:val="00E9472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9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726"/>
    <w:rPr>
      <w:sz w:val="16"/>
      <w:szCs w:val="16"/>
    </w:rPr>
  </w:style>
  <w:style w:type="paragraph" w:styleId="CommentText">
    <w:name w:val="annotation text"/>
    <w:basedOn w:val="Normal"/>
    <w:link w:val="CommentTextChar"/>
    <w:uiPriority w:val="99"/>
    <w:semiHidden/>
    <w:unhideWhenUsed/>
    <w:rsid w:val="00E9472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94726"/>
    <w:rPr>
      <w:sz w:val="20"/>
      <w:szCs w:val="20"/>
    </w:rPr>
  </w:style>
  <w:style w:type="paragraph" w:styleId="BalloonText">
    <w:name w:val="Balloon Text"/>
    <w:basedOn w:val="Normal"/>
    <w:link w:val="BalloonTextChar"/>
    <w:uiPriority w:val="99"/>
    <w:semiHidden/>
    <w:unhideWhenUsed/>
    <w:rsid w:val="00E9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26"/>
    <w:rPr>
      <w:rFonts w:ascii="Segoe UI" w:hAnsi="Segoe UI" w:cs="Segoe UI"/>
      <w:sz w:val="18"/>
      <w:szCs w:val="18"/>
    </w:rPr>
  </w:style>
  <w:style w:type="paragraph" w:styleId="FootnoteText">
    <w:name w:val="footnote text"/>
    <w:basedOn w:val="Normal"/>
    <w:link w:val="FootnoteTextChar"/>
    <w:uiPriority w:val="99"/>
    <w:semiHidden/>
    <w:unhideWhenUsed/>
    <w:rsid w:val="00FD7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6DA"/>
    <w:rPr>
      <w:sz w:val="20"/>
      <w:szCs w:val="20"/>
    </w:rPr>
  </w:style>
  <w:style w:type="character" w:styleId="FootnoteReference">
    <w:name w:val="footnote reference"/>
    <w:basedOn w:val="DefaultParagraphFont"/>
    <w:uiPriority w:val="99"/>
    <w:semiHidden/>
    <w:unhideWhenUsed/>
    <w:rsid w:val="00FD76DA"/>
    <w:rPr>
      <w:vertAlign w:val="superscript"/>
    </w:rPr>
  </w:style>
  <w:style w:type="paragraph" w:styleId="Header">
    <w:name w:val="header"/>
    <w:basedOn w:val="Normal"/>
    <w:link w:val="HeaderChar"/>
    <w:uiPriority w:val="99"/>
    <w:unhideWhenUsed/>
    <w:rsid w:val="0079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EB"/>
  </w:style>
  <w:style w:type="paragraph" w:styleId="Footer">
    <w:name w:val="footer"/>
    <w:basedOn w:val="Normal"/>
    <w:link w:val="FooterChar"/>
    <w:uiPriority w:val="99"/>
    <w:unhideWhenUsed/>
    <w:rsid w:val="00791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EB"/>
  </w:style>
  <w:style w:type="paragraph" w:styleId="Caption">
    <w:name w:val="caption"/>
    <w:basedOn w:val="Normal"/>
    <w:next w:val="Normal"/>
    <w:uiPriority w:val="35"/>
    <w:unhideWhenUsed/>
    <w:qFormat/>
    <w:rsid w:val="0097327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tin\Documents\Jordan%20Fieldwork\Flight%20Pat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1268387681922122E-2"/>
          <c:y val="0.10625646226039927"/>
          <c:w val="0.9487316123180779"/>
          <c:h val="0.83048178636761316"/>
        </c:manualLayout>
      </c:layout>
      <c:barChart>
        <c:barDir val="col"/>
        <c:grouping val="clustered"/>
        <c:varyColors val="0"/>
        <c:ser>
          <c:idx val="0"/>
          <c:order val="0"/>
          <c:tx>
            <c:v>Departure Dates</c:v>
          </c:tx>
          <c:spPr>
            <a:solidFill>
              <a:schemeClr val="bg1">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Sheet1!$A$1:$G$1</c:f>
              <c:strCache>
                <c:ptCount val="7"/>
                <c:pt idx="0">
                  <c:v>2011-1</c:v>
                </c:pt>
                <c:pt idx="1">
                  <c:v>2011-2</c:v>
                </c:pt>
                <c:pt idx="2">
                  <c:v>2012-1</c:v>
                </c:pt>
                <c:pt idx="3">
                  <c:v>2012-2</c:v>
                </c:pt>
                <c:pt idx="4">
                  <c:v>2013-1</c:v>
                </c:pt>
                <c:pt idx="5">
                  <c:v>2013-2</c:v>
                </c:pt>
                <c:pt idx="6">
                  <c:v>2014-1</c:v>
                </c:pt>
              </c:strCache>
            </c:strRef>
          </c:cat>
          <c:val>
            <c:numRef>
              <c:f>Sheet1!$A$2:$G$2</c:f>
              <c:numCache>
                <c:formatCode>General</c:formatCode>
                <c:ptCount val="7"/>
                <c:pt idx="0">
                  <c:v>0</c:v>
                </c:pt>
                <c:pt idx="1">
                  <c:v>5</c:v>
                </c:pt>
                <c:pt idx="2">
                  <c:v>11</c:v>
                </c:pt>
                <c:pt idx="3">
                  <c:v>9</c:v>
                </c:pt>
                <c:pt idx="4">
                  <c:v>7</c:v>
                </c:pt>
                <c:pt idx="5">
                  <c:v>2</c:v>
                </c:pt>
                <c:pt idx="6">
                  <c:v>1</c:v>
                </c:pt>
              </c:numCache>
            </c:numRef>
          </c:val>
        </c:ser>
        <c:dLbls>
          <c:dLblPos val="outEnd"/>
          <c:showLegendKey val="0"/>
          <c:showVal val="1"/>
          <c:showCatName val="0"/>
          <c:showSerName val="0"/>
          <c:showPercent val="0"/>
          <c:showBubbleSize val="0"/>
        </c:dLbls>
        <c:gapWidth val="75"/>
        <c:axId val="-1693886432"/>
        <c:axId val="-1693884256"/>
      </c:barChart>
      <c:catAx>
        <c:axId val="-1693886432"/>
        <c:scaling>
          <c:orientation val="minMax"/>
        </c:scaling>
        <c:delete val="0"/>
        <c:axPos val="b"/>
        <c:numFmt formatCode="General" sourceLinked="0"/>
        <c:majorTickMark val="none"/>
        <c:minorTickMark val="none"/>
        <c:tickLblPos val="nextTo"/>
        <c:crossAx val="-1693884256"/>
        <c:crosses val="autoZero"/>
        <c:auto val="1"/>
        <c:lblAlgn val="ctr"/>
        <c:lblOffset val="100"/>
        <c:noMultiLvlLbl val="0"/>
      </c:catAx>
      <c:valAx>
        <c:axId val="-1693884256"/>
        <c:scaling>
          <c:orientation val="minMax"/>
        </c:scaling>
        <c:delete val="0"/>
        <c:axPos val="l"/>
        <c:numFmt formatCode="General" sourceLinked="1"/>
        <c:majorTickMark val="none"/>
        <c:minorTickMark val="none"/>
        <c:tickLblPos val="nextTo"/>
        <c:crossAx val="-1693886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45E9-58D8-4E04-8707-8F54A59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13</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Schon</dc:creator>
  <cp:keywords/>
  <dc:description/>
  <cp:lastModifiedBy>Justin Schon</cp:lastModifiedBy>
  <cp:revision>52</cp:revision>
  <dcterms:created xsi:type="dcterms:W3CDTF">2019-10-13T16:41:00Z</dcterms:created>
  <dcterms:modified xsi:type="dcterms:W3CDTF">2020-01-26T16:36:00Z</dcterms:modified>
</cp:coreProperties>
</file>