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2F" w:rsidRDefault="0093392F" w:rsidP="0093392F">
      <w:pPr>
        <w:rPr>
          <w:b/>
        </w:rPr>
      </w:pPr>
      <w:r>
        <w:rPr>
          <w:b/>
        </w:rPr>
        <w:t>[Appendices for Jacobs/Mettler]</w:t>
      </w:r>
    </w:p>
    <w:p w:rsidR="0093392F" w:rsidRDefault="0093392F" w:rsidP="0093392F">
      <w:pPr>
        <w:jc w:val="center"/>
        <w:rPr>
          <w:b/>
        </w:rPr>
      </w:pPr>
    </w:p>
    <w:p w:rsidR="0093392F" w:rsidRDefault="0093392F" w:rsidP="0093392F">
      <w:pPr>
        <w:jc w:val="center"/>
        <w:rPr>
          <w:b/>
        </w:rPr>
      </w:pPr>
    </w:p>
    <w:p w:rsidR="0093392F" w:rsidRPr="009504FB" w:rsidRDefault="0093392F" w:rsidP="0093392F">
      <w:pPr>
        <w:jc w:val="center"/>
        <w:rPr>
          <w:b/>
        </w:rPr>
      </w:pPr>
      <w:bookmarkStart w:id="0" w:name="_GoBack"/>
      <w:bookmarkEnd w:id="0"/>
      <w:r w:rsidRPr="009504FB">
        <w:rPr>
          <w:b/>
        </w:rPr>
        <w:t>Appendix A. Panel Study</w:t>
      </w:r>
    </w:p>
    <w:p w:rsidR="0093392F" w:rsidRDefault="0093392F" w:rsidP="0093392F"/>
    <w:p w:rsidR="0093392F" w:rsidRPr="009504FB" w:rsidRDefault="0093392F" w:rsidP="0093392F">
      <w:r w:rsidRPr="009504FB">
        <w:t xml:space="preserve">The US Public Policy Study now includes three waves, collected in September and October of 2010, 2012, and 2014, respectively. Each wave consisted of a telephone survey of approximately 22 minutes in which respondents were asked the identical questions. The survey has been sponsored by and funded equally by Cornell University (in part with a Robert Wood Johnson Foundation Investigator Award) and the University of Minnesota. </w:t>
      </w:r>
    </w:p>
    <w:p w:rsidR="0093392F" w:rsidRPr="009504FB" w:rsidRDefault="0093392F" w:rsidP="0093392F">
      <w:r w:rsidRPr="009504FB">
        <w:tab/>
        <w:t xml:space="preserve">The third wave survey was conducted in English by </w:t>
      </w:r>
      <w:proofErr w:type="spellStart"/>
      <w:r w:rsidRPr="009504FB">
        <w:t>Abt</w:t>
      </w:r>
      <w:proofErr w:type="spellEnd"/>
      <w:r w:rsidRPr="009504FB">
        <w:t xml:space="preserve"> SRBI, New York, NY, with assistance with data collection from Directions in Research, San Diego, CA. The majority of completed interviews were panel cases that were interviewed in previous waves. In total, 79% (828 out of 1054) of cases sampled that completed the 2012 interview (many of whom had also taken part in 2010) completed Wave 3, and 39% (132 out of 340) of cases sampled that completed only the 2010 interview completed the Wave 3 interview. Overall, 69% (960 out of 1394) of panelists from prior waves sampled completed the Wave 3 interview. More importantly for the purposes of analysis in this paper, the actual number of people who completed both waves 1 and 3 is </w:t>
      </w:r>
      <w:r w:rsidRPr="009504FB">
        <w:rPr>
          <w:bCs/>
        </w:rPr>
        <w:t>792</w:t>
      </w:r>
      <w:r w:rsidRPr="009504FB">
        <w:t xml:space="preserve">, 66% of the original participants, and it is this group that is used for multivariate analyses. A total of </w:t>
      </w:r>
      <w:r w:rsidRPr="009504FB">
        <w:rPr>
          <w:bCs/>
        </w:rPr>
        <w:t xml:space="preserve">660 </w:t>
      </w:r>
      <w:r w:rsidRPr="009504FB">
        <w:t>people completed all three waves (55% of the original group), and we use them in analyses elsewhere.</w:t>
      </w:r>
    </w:p>
    <w:p w:rsidR="0093392F" w:rsidRPr="009504FB" w:rsidRDefault="0093392F" w:rsidP="0093392F">
      <w:r w:rsidRPr="009504FB">
        <w:t xml:space="preserve">In 2014, the survey was in the field from September 8, 2014 to November 3, 2014, using </w:t>
      </w:r>
      <w:proofErr w:type="gramStart"/>
      <w:r w:rsidRPr="009504FB">
        <w:t>a 40 call design contacting respondents</w:t>
      </w:r>
      <w:proofErr w:type="gramEnd"/>
      <w:r w:rsidRPr="009504FB">
        <w:t xml:space="preserve"> on both landlines and cell phones as provided by the respondent during their original 2010 baseline or 2012 follow up survey. Contact information was confirmed or updated by utilizing Accurint services, a product of LexisNexis Risk Solutions and TargetSmart. </w:t>
      </w:r>
      <w:proofErr w:type="gramStart"/>
      <w:r w:rsidRPr="009504FB">
        <w:t>In order to</w:t>
      </w:r>
      <w:proofErr w:type="gramEnd"/>
      <w:r w:rsidRPr="009504FB">
        <w:t xml:space="preserve"> maximize the response rate a series of letters and monetary incentives were used as a means of follow up communication and remuneration.</w:t>
      </w:r>
    </w:p>
    <w:p w:rsidR="0093392F" w:rsidRPr="009504FB" w:rsidRDefault="0093392F" w:rsidP="0093392F">
      <w:r w:rsidRPr="009504FB">
        <w:t>First, a pre-notification letter was sent which included a $2 bill and a post-incentive offer that matched the post incentive amount paid during the 2012 interview. For respondents who did not complete the 2012 interview, a post incentive of $10 was offered in the pre-notification letter. Next, a non-contact or refusal letter with a $20 post incentive offer was sent to non-respondents who had not been contacted or refused to take the survey. Finally, an end game letter was sent to non-responders with a post incentive offer of $100.</w:t>
      </w:r>
    </w:p>
    <w:p w:rsidR="0093392F" w:rsidRPr="009504FB" w:rsidRDefault="0093392F" w:rsidP="0093392F">
      <w:pPr>
        <w:jc w:val="center"/>
      </w:pPr>
      <w:r w:rsidRPr="009504FB">
        <w:t xml:space="preserve"> </w:t>
      </w:r>
      <w:r w:rsidRPr="009504FB">
        <w:tab/>
      </w:r>
    </w:p>
    <w:p w:rsidR="0093392F" w:rsidRPr="009504FB" w:rsidRDefault="0093392F" w:rsidP="0093392F">
      <w:pPr>
        <w:jc w:val="center"/>
      </w:pPr>
      <w:r w:rsidRPr="009504FB">
        <w:br w:type="page"/>
      </w:r>
    </w:p>
    <w:p w:rsidR="0093392F" w:rsidRPr="009504FB" w:rsidRDefault="0093392F" w:rsidP="0093392F">
      <w:pPr>
        <w:jc w:val="center"/>
        <w:rPr>
          <w:b/>
        </w:rPr>
      </w:pPr>
      <w:r w:rsidRPr="009504FB">
        <w:rPr>
          <w:b/>
        </w:rPr>
        <w:lastRenderedPageBreak/>
        <w:t>Appendix B. Structural Equation Models for Figures 1 and 2</w:t>
      </w:r>
    </w:p>
    <w:p w:rsidR="0093392F" w:rsidRPr="009504FB" w:rsidRDefault="0093392F" w:rsidP="0093392F">
      <w:pPr>
        <w:jc w:val="center"/>
        <w:rPr>
          <w:b/>
        </w:rPr>
      </w:pPr>
    </w:p>
    <w:p w:rsidR="0093392F" w:rsidRPr="009504FB" w:rsidRDefault="0093392F" w:rsidP="0093392F">
      <w:pPr>
        <w:jc w:val="center"/>
        <w:rPr>
          <w:b/>
        </w:rPr>
      </w:pPr>
      <w:r w:rsidRPr="009504FB">
        <w:rPr>
          <w:b/>
        </w:rPr>
        <w:t>Impact on Access and Overall Evaluations of the Health Reform Bill</w:t>
      </w:r>
    </w:p>
    <w:tbl>
      <w:tblPr>
        <w:tblStyle w:val="TableGrid"/>
        <w:tblW w:w="9265" w:type="dxa"/>
        <w:tblInd w:w="85" w:type="dxa"/>
        <w:tblLook w:val="04A0" w:firstRow="1" w:lastRow="0" w:firstColumn="1" w:lastColumn="0" w:noHBand="0" w:noVBand="1"/>
      </w:tblPr>
      <w:tblGrid>
        <w:gridCol w:w="2700"/>
        <w:gridCol w:w="1710"/>
        <w:gridCol w:w="1800"/>
        <w:gridCol w:w="1515"/>
        <w:gridCol w:w="1540"/>
      </w:tblGrid>
      <w:tr w:rsidR="0093392F" w:rsidRPr="009504FB" w:rsidTr="008860B1">
        <w:tc>
          <w:tcPr>
            <w:tcW w:w="2700" w:type="dxa"/>
          </w:tcPr>
          <w:p w:rsidR="0093392F" w:rsidRPr="009504FB" w:rsidRDefault="0093392F" w:rsidP="008860B1">
            <w:pPr>
              <w:jc w:val="center"/>
              <w:rPr>
                <w:rFonts w:eastAsia="Times New Roman"/>
                <w:i/>
              </w:rPr>
            </w:pPr>
          </w:p>
          <w:p w:rsidR="0093392F" w:rsidRPr="009504FB" w:rsidRDefault="0093392F" w:rsidP="008860B1">
            <w:pPr>
              <w:jc w:val="center"/>
              <w:rPr>
                <w:rFonts w:eastAsia="Times New Roman"/>
                <w:i/>
              </w:rPr>
            </w:pPr>
          </w:p>
          <w:p w:rsidR="0093392F" w:rsidRPr="009504FB" w:rsidRDefault="0093392F" w:rsidP="008860B1">
            <w:pPr>
              <w:jc w:val="center"/>
              <w:rPr>
                <w:rFonts w:eastAsia="Times New Roman"/>
                <w:i/>
              </w:rPr>
            </w:pPr>
            <w:r w:rsidRPr="009504FB">
              <w:rPr>
                <w:rFonts w:eastAsia="Times New Roman"/>
                <w:i/>
              </w:rPr>
              <w:t>Independent Variables (all 2014 unless otherwise noted)</w:t>
            </w:r>
          </w:p>
        </w:tc>
        <w:tc>
          <w:tcPr>
            <w:tcW w:w="1710" w:type="dxa"/>
          </w:tcPr>
          <w:p w:rsidR="0093392F" w:rsidRPr="009504FB" w:rsidRDefault="0093392F" w:rsidP="008860B1">
            <w:pPr>
              <w:jc w:val="center"/>
              <w:rPr>
                <w:rFonts w:eastAsia="Times New Roman"/>
                <w:b/>
              </w:rPr>
            </w:pPr>
            <w:r w:rsidRPr="009504FB">
              <w:rPr>
                <w:rFonts w:eastAsia="Times New Roman"/>
                <w:b/>
              </w:rPr>
              <w:t>Direct effects on the assessment of the ACA’s impact on Access</w:t>
            </w:r>
          </w:p>
        </w:tc>
        <w:tc>
          <w:tcPr>
            <w:tcW w:w="1800" w:type="dxa"/>
          </w:tcPr>
          <w:p w:rsidR="0093392F" w:rsidRPr="009504FB" w:rsidRDefault="0093392F" w:rsidP="008860B1">
            <w:pPr>
              <w:jc w:val="center"/>
              <w:rPr>
                <w:rFonts w:eastAsia="Times New Roman"/>
                <w:b/>
              </w:rPr>
            </w:pPr>
            <w:r w:rsidRPr="009504FB">
              <w:rPr>
                <w:rFonts w:eastAsia="Times New Roman"/>
                <w:b/>
              </w:rPr>
              <w:t>Direct effects on the overall evaluation of the health care bill</w:t>
            </w:r>
          </w:p>
        </w:tc>
        <w:tc>
          <w:tcPr>
            <w:tcW w:w="1515" w:type="dxa"/>
          </w:tcPr>
          <w:p w:rsidR="0093392F" w:rsidRPr="009504FB" w:rsidRDefault="0093392F" w:rsidP="008860B1">
            <w:pPr>
              <w:jc w:val="center"/>
              <w:rPr>
                <w:rFonts w:eastAsia="Times New Roman"/>
                <w:b/>
              </w:rPr>
            </w:pPr>
            <w:r w:rsidRPr="009504FB">
              <w:rPr>
                <w:rFonts w:eastAsia="Times New Roman"/>
                <w:b/>
              </w:rPr>
              <w:t>Indirect effects on the overall evaluation of the health care bill</w:t>
            </w:r>
          </w:p>
        </w:tc>
        <w:tc>
          <w:tcPr>
            <w:tcW w:w="1540" w:type="dxa"/>
          </w:tcPr>
          <w:p w:rsidR="0093392F" w:rsidRPr="009504FB" w:rsidRDefault="0093392F" w:rsidP="008860B1">
            <w:pPr>
              <w:jc w:val="center"/>
              <w:rPr>
                <w:rFonts w:eastAsia="Times New Roman"/>
                <w:b/>
              </w:rPr>
            </w:pPr>
            <w:r w:rsidRPr="009504FB">
              <w:rPr>
                <w:rFonts w:eastAsia="Times New Roman"/>
                <w:b/>
              </w:rPr>
              <w:t>Total effects on the overall evaluation of the health care bill</w:t>
            </w:r>
          </w:p>
        </w:tc>
      </w:tr>
      <w:tr w:rsidR="0093392F" w:rsidRPr="009504FB" w:rsidTr="008860B1">
        <w:tc>
          <w:tcPr>
            <w:tcW w:w="2700" w:type="dxa"/>
            <w:vAlign w:val="bottom"/>
          </w:tcPr>
          <w:p w:rsidR="0093392F" w:rsidRPr="009504FB" w:rsidRDefault="0093392F" w:rsidP="008860B1">
            <w:pPr>
              <w:jc w:val="center"/>
            </w:pPr>
          </w:p>
        </w:tc>
        <w:tc>
          <w:tcPr>
            <w:tcW w:w="1710" w:type="dxa"/>
          </w:tcPr>
          <w:p w:rsidR="0093392F" w:rsidRPr="009504FB" w:rsidRDefault="0093392F" w:rsidP="008860B1">
            <w:pPr>
              <w:jc w:val="center"/>
            </w:pPr>
            <w:r w:rsidRPr="009504FB">
              <w:t>1</w:t>
            </w:r>
          </w:p>
        </w:tc>
        <w:tc>
          <w:tcPr>
            <w:tcW w:w="1800" w:type="dxa"/>
          </w:tcPr>
          <w:p w:rsidR="0093392F" w:rsidRPr="009504FB" w:rsidRDefault="0093392F" w:rsidP="008860B1">
            <w:pPr>
              <w:jc w:val="center"/>
            </w:pPr>
            <w:r w:rsidRPr="009504FB">
              <w:t>2</w:t>
            </w:r>
          </w:p>
        </w:tc>
        <w:tc>
          <w:tcPr>
            <w:tcW w:w="1515" w:type="dxa"/>
          </w:tcPr>
          <w:p w:rsidR="0093392F" w:rsidRPr="009504FB" w:rsidRDefault="0093392F" w:rsidP="008860B1">
            <w:pPr>
              <w:jc w:val="center"/>
            </w:pPr>
            <w:r w:rsidRPr="009504FB">
              <w:t>3</w:t>
            </w:r>
          </w:p>
        </w:tc>
        <w:tc>
          <w:tcPr>
            <w:tcW w:w="1540" w:type="dxa"/>
          </w:tcPr>
          <w:p w:rsidR="0093392F" w:rsidRPr="009504FB" w:rsidRDefault="0093392F" w:rsidP="008860B1">
            <w:pPr>
              <w:jc w:val="center"/>
            </w:pPr>
            <w:r w:rsidRPr="009504FB">
              <w:t>4</w:t>
            </w:r>
          </w:p>
        </w:tc>
      </w:tr>
      <w:tr w:rsidR="0093392F" w:rsidRPr="009504FB" w:rsidTr="008860B1">
        <w:tc>
          <w:tcPr>
            <w:tcW w:w="2700" w:type="dxa"/>
            <w:vAlign w:val="bottom"/>
          </w:tcPr>
          <w:p w:rsidR="0093392F" w:rsidRPr="009504FB" w:rsidRDefault="0093392F" w:rsidP="008860B1">
            <w:pPr>
              <w:jc w:val="center"/>
            </w:pPr>
            <w:r w:rsidRPr="009504FB">
              <w:t xml:space="preserve">Effect of health care law on US as a whole </w:t>
            </w:r>
          </w:p>
        </w:tc>
        <w:tc>
          <w:tcPr>
            <w:tcW w:w="1710" w:type="dxa"/>
          </w:tcPr>
          <w:p w:rsidR="0093392F" w:rsidRPr="009504FB" w:rsidRDefault="0093392F" w:rsidP="008860B1">
            <w:pPr>
              <w:jc w:val="center"/>
              <w:rPr>
                <w:rFonts w:eastAsia="Times New Roman"/>
              </w:rPr>
            </w:pPr>
            <w:r w:rsidRPr="009504FB">
              <w:rPr>
                <w:rFonts w:eastAsia="Times New Roman"/>
              </w:rPr>
              <w:t>.06</w:t>
            </w:r>
          </w:p>
        </w:tc>
        <w:tc>
          <w:tcPr>
            <w:tcW w:w="1800" w:type="dxa"/>
          </w:tcPr>
          <w:p w:rsidR="0093392F" w:rsidRPr="009504FB" w:rsidRDefault="0093392F" w:rsidP="008860B1">
            <w:pPr>
              <w:jc w:val="center"/>
              <w:rPr>
                <w:rFonts w:eastAsia="Times New Roman"/>
              </w:rPr>
            </w:pPr>
            <w:r w:rsidRPr="009504FB">
              <w:rPr>
                <w:rFonts w:eastAsia="Times New Roman"/>
              </w:rPr>
              <w:t>.46**</w:t>
            </w:r>
          </w:p>
        </w:tc>
        <w:tc>
          <w:tcPr>
            <w:tcW w:w="1515" w:type="dxa"/>
          </w:tcPr>
          <w:p w:rsidR="0093392F" w:rsidRPr="009504FB" w:rsidRDefault="0093392F" w:rsidP="008860B1">
            <w:pPr>
              <w:jc w:val="center"/>
              <w:rPr>
                <w:rFonts w:eastAsia="Times New Roman"/>
              </w:rPr>
            </w:pPr>
            <w:r w:rsidRPr="009504FB">
              <w:rPr>
                <w:rFonts w:eastAsia="Times New Roman"/>
              </w:rPr>
              <w:t>.01</w:t>
            </w:r>
          </w:p>
        </w:tc>
        <w:tc>
          <w:tcPr>
            <w:tcW w:w="1540" w:type="dxa"/>
          </w:tcPr>
          <w:p w:rsidR="0093392F" w:rsidRPr="009504FB" w:rsidRDefault="0093392F" w:rsidP="008860B1">
            <w:pPr>
              <w:jc w:val="center"/>
              <w:rPr>
                <w:rFonts w:eastAsia="Times New Roman"/>
              </w:rPr>
            </w:pPr>
            <w:r w:rsidRPr="009504FB">
              <w:rPr>
                <w:rFonts w:eastAsia="Times New Roman"/>
              </w:rPr>
              <w:t>.46**</w:t>
            </w:r>
          </w:p>
        </w:tc>
      </w:tr>
      <w:tr w:rsidR="0093392F" w:rsidRPr="009504FB" w:rsidTr="008860B1">
        <w:tc>
          <w:tcPr>
            <w:tcW w:w="2700" w:type="dxa"/>
            <w:vAlign w:val="bottom"/>
          </w:tcPr>
          <w:p w:rsidR="0093392F" w:rsidRPr="009504FB" w:rsidRDefault="0093392F" w:rsidP="008860B1">
            <w:pPr>
              <w:jc w:val="center"/>
            </w:pPr>
            <w:r w:rsidRPr="009504FB">
              <w:t>View of ACA Impact on coverage of subsidies to help pay for insurance, for self and family</w:t>
            </w:r>
          </w:p>
        </w:tc>
        <w:tc>
          <w:tcPr>
            <w:tcW w:w="1710" w:type="dxa"/>
          </w:tcPr>
          <w:p w:rsidR="0093392F" w:rsidRPr="009504FB" w:rsidRDefault="0093392F" w:rsidP="008860B1">
            <w:pPr>
              <w:jc w:val="center"/>
              <w:rPr>
                <w:rFonts w:eastAsia="Times New Roman"/>
              </w:rPr>
            </w:pPr>
            <w:r w:rsidRPr="009504FB">
              <w:rPr>
                <w:rFonts w:eastAsia="Times New Roman"/>
              </w:rPr>
              <w:t>.3**</w:t>
            </w:r>
          </w:p>
        </w:tc>
        <w:tc>
          <w:tcPr>
            <w:tcW w:w="1800" w:type="dxa"/>
          </w:tcPr>
          <w:p w:rsidR="0093392F" w:rsidRPr="009504FB" w:rsidRDefault="0093392F" w:rsidP="008860B1">
            <w:pPr>
              <w:jc w:val="center"/>
              <w:rPr>
                <w:rFonts w:eastAsia="Times New Roman"/>
              </w:rPr>
            </w:pPr>
            <w:r w:rsidRPr="009504FB">
              <w:rPr>
                <w:rFonts w:eastAsia="Times New Roman"/>
              </w:rPr>
              <w:t>-.08+</w:t>
            </w:r>
          </w:p>
        </w:tc>
        <w:tc>
          <w:tcPr>
            <w:tcW w:w="1515" w:type="dxa"/>
          </w:tcPr>
          <w:p w:rsidR="0093392F" w:rsidRPr="009504FB" w:rsidRDefault="0093392F" w:rsidP="008860B1">
            <w:pPr>
              <w:jc w:val="center"/>
              <w:rPr>
                <w:rFonts w:eastAsia="Times New Roman"/>
              </w:rPr>
            </w:pPr>
            <w:r w:rsidRPr="009504FB">
              <w:rPr>
                <w:rFonts w:eastAsia="Times New Roman"/>
              </w:rPr>
              <w:t>.03+</w:t>
            </w:r>
          </w:p>
        </w:tc>
        <w:tc>
          <w:tcPr>
            <w:tcW w:w="1540" w:type="dxa"/>
          </w:tcPr>
          <w:p w:rsidR="0093392F" w:rsidRPr="009504FB" w:rsidRDefault="0093392F" w:rsidP="008860B1">
            <w:pPr>
              <w:jc w:val="center"/>
              <w:rPr>
                <w:rFonts w:eastAsia="Times New Roman"/>
              </w:rPr>
            </w:pPr>
            <w:r w:rsidRPr="009504FB">
              <w:rPr>
                <w:rFonts w:eastAsia="Times New Roman"/>
              </w:rPr>
              <w:t>-.06</w:t>
            </w:r>
          </w:p>
        </w:tc>
      </w:tr>
      <w:tr w:rsidR="0093392F" w:rsidRPr="009504FB" w:rsidTr="008860B1">
        <w:tc>
          <w:tcPr>
            <w:tcW w:w="2700" w:type="dxa"/>
            <w:vAlign w:val="bottom"/>
          </w:tcPr>
          <w:p w:rsidR="0093392F" w:rsidRPr="009504FB" w:rsidRDefault="0093392F" w:rsidP="008860B1">
            <w:pPr>
              <w:jc w:val="center"/>
            </w:pPr>
            <w:r w:rsidRPr="009504FB">
              <w:t>View of ACA Impact on help to seniors to pay for prescription drugs, for self and family</w:t>
            </w:r>
          </w:p>
        </w:tc>
        <w:tc>
          <w:tcPr>
            <w:tcW w:w="1710" w:type="dxa"/>
          </w:tcPr>
          <w:p w:rsidR="0093392F" w:rsidRPr="009504FB" w:rsidRDefault="0093392F" w:rsidP="008860B1">
            <w:pPr>
              <w:jc w:val="center"/>
              <w:rPr>
                <w:rFonts w:eastAsia="Times New Roman"/>
              </w:rPr>
            </w:pPr>
            <w:r w:rsidRPr="009504FB">
              <w:rPr>
                <w:rFonts w:eastAsia="Times New Roman"/>
              </w:rPr>
              <w:t>.06+</w:t>
            </w:r>
          </w:p>
        </w:tc>
        <w:tc>
          <w:tcPr>
            <w:tcW w:w="1800" w:type="dxa"/>
          </w:tcPr>
          <w:p w:rsidR="0093392F" w:rsidRPr="009504FB" w:rsidRDefault="0093392F" w:rsidP="008860B1">
            <w:pPr>
              <w:jc w:val="center"/>
              <w:rPr>
                <w:rFonts w:eastAsia="Times New Roman"/>
              </w:rPr>
            </w:pPr>
            <w:r w:rsidRPr="009504FB">
              <w:rPr>
                <w:rFonts w:eastAsia="Times New Roman"/>
              </w:rPr>
              <w:t>.01</w:t>
            </w:r>
          </w:p>
        </w:tc>
        <w:tc>
          <w:tcPr>
            <w:tcW w:w="1515" w:type="dxa"/>
          </w:tcPr>
          <w:p w:rsidR="0093392F" w:rsidRPr="009504FB" w:rsidRDefault="0093392F" w:rsidP="008860B1">
            <w:pPr>
              <w:jc w:val="center"/>
              <w:rPr>
                <w:rFonts w:eastAsia="Times New Roman"/>
              </w:rPr>
            </w:pPr>
            <w:r w:rsidRPr="009504FB">
              <w:rPr>
                <w:rFonts w:eastAsia="Times New Roman"/>
              </w:rPr>
              <w:t>.01</w:t>
            </w:r>
          </w:p>
        </w:tc>
        <w:tc>
          <w:tcPr>
            <w:tcW w:w="1540" w:type="dxa"/>
          </w:tcPr>
          <w:p w:rsidR="0093392F" w:rsidRPr="009504FB" w:rsidRDefault="0093392F" w:rsidP="008860B1">
            <w:pPr>
              <w:jc w:val="center"/>
              <w:rPr>
                <w:rFonts w:eastAsia="Times New Roman"/>
              </w:rPr>
            </w:pPr>
            <w:r w:rsidRPr="009504FB">
              <w:rPr>
                <w:rFonts w:eastAsia="Times New Roman"/>
              </w:rPr>
              <w:t>.02</w:t>
            </w:r>
          </w:p>
        </w:tc>
      </w:tr>
      <w:tr w:rsidR="0093392F" w:rsidRPr="009504FB" w:rsidTr="008860B1">
        <w:tc>
          <w:tcPr>
            <w:tcW w:w="2700" w:type="dxa"/>
            <w:vAlign w:val="bottom"/>
          </w:tcPr>
          <w:p w:rsidR="0093392F" w:rsidRPr="009504FB" w:rsidRDefault="0093392F" w:rsidP="008860B1">
            <w:pPr>
              <w:jc w:val="center"/>
              <w:rPr>
                <w:b/>
                <w:u w:val="single"/>
              </w:rPr>
            </w:pPr>
            <w:r w:rsidRPr="009504FB">
              <w:rPr>
                <w:b/>
              </w:rPr>
              <w:t xml:space="preserve">  </w:t>
            </w:r>
            <w:r w:rsidRPr="009504FB">
              <w:rPr>
                <w:b/>
                <w:u w:val="single"/>
              </w:rPr>
              <w:t xml:space="preserve">Insurance </w:t>
            </w:r>
            <w:proofErr w:type="spellStart"/>
            <w:r w:rsidRPr="009504FB">
              <w:rPr>
                <w:b/>
                <w:u w:val="single"/>
              </w:rPr>
              <w:t>Condition</w:t>
            </w:r>
            <w:r w:rsidRPr="009504FB">
              <w:rPr>
                <w:rFonts w:eastAsia="Times New Roman"/>
                <w:b/>
                <w:vertAlign w:val="superscript"/>
              </w:rPr>
              <w:t>a</w:t>
            </w:r>
            <w:proofErr w:type="spellEnd"/>
          </w:p>
        </w:tc>
        <w:tc>
          <w:tcPr>
            <w:tcW w:w="1710" w:type="dxa"/>
          </w:tcPr>
          <w:p w:rsidR="0093392F" w:rsidRPr="009504FB" w:rsidRDefault="0093392F" w:rsidP="008860B1">
            <w:pPr>
              <w:jc w:val="center"/>
              <w:rPr>
                <w:rFonts w:eastAsia="Times New Roman"/>
              </w:rPr>
            </w:pPr>
          </w:p>
        </w:tc>
        <w:tc>
          <w:tcPr>
            <w:tcW w:w="1800" w:type="dxa"/>
          </w:tcPr>
          <w:p w:rsidR="0093392F" w:rsidRPr="009504FB" w:rsidRDefault="0093392F" w:rsidP="008860B1">
            <w:pPr>
              <w:jc w:val="center"/>
              <w:rPr>
                <w:rFonts w:eastAsia="Times New Roman"/>
              </w:rPr>
            </w:pPr>
          </w:p>
        </w:tc>
        <w:tc>
          <w:tcPr>
            <w:tcW w:w="1515" w:type="dxa"/>
          </w:tcPr>
          <w:p w:rsidR="0093392F" w:rsidRPr="009504FB" w:rsidRDefault="0093392F" w:rsidP="008860B1">
            <w:pPr>
              <w:jc w:val="center"/>
              <w:rPr>
                <w:rFonts w:eastAsia="Times New Roman"/>
              </w:rPr>
            </w:pPr>
          </w:p>
        </w:tc>
        <w:tc>
          <w:tcPr>
            <w:tcW w:w="1540" w:type="dxa"/>
          </w:tcPr>
          <w:p w:rsidR="0093392F" w:rsidRPr="009504FB" w:rsidRDefault="0093392F" w:rsidP="008860B1">
            <w:pPr>
              <w:jc w:val="center"/>
              <w:rPr>
                <w:rFonts w:eastAsia="Times New Roman"/>
              </w:rPr>
            </w:pPr>
          </w:p>
        </w:tc>
      </w:tr>
      <w:tr w:rsidR="0093392F" w:rsidRPr="009504FB" w:rsidTr="008860B1">
        <w:tc>
          <w:tcPr>
            <w:tcW w:w="2700" w:type="dxa"/>
            <w:vAlign w:val="bottom"/>
          </w:tcPr>
          <w:p w:rsidR="0093392F" w:rsidRPr="009504FB" w:rsidRDefault="0093392F" w:rsidP="008860B1">
            <w:pPr>
              <w:jc w:val="center"/>
            </w:pPr>
            <w:r w:rsidRPr="009504FB">
              <w:t xml:space="preserve"> Uninsured in 2010, insured in 2014</w:t>
            </w:r>
          </w:p>
        </w:tc>
        <w:tc>
          <w:tcPr>
            <w:tcW w:w="1710" w:type="dxa"/>
          </w:tcPr>
          <w:p w:rsidR="0093392F" w:rsidRPr="009504FB" w:rsidRDefault="0093392F" w:rsidP="008860B1">
            <w:pPr>
              <w:jc w:val="center"/>
            </w:pPr>
            <w:r w:rsidRPr="009504FB">
              <w:t>.06</w:t>
            </w:r>
          </w:p>
        </w:tc>
        <w:tc>
          <w:tcPr>
            <w:tcW w:w="1800" w:type="dxa"/>
          </w:tcPr>
          <w:p w:rsidR="0093392F" w:rsidRPr="009504FB" w:rsidRDefault="0093392F" w:rsidP="008860B1">
            <w:pPr>
              <w:jc w:val="center"/>
            </w:pPr>
            <w:r w:rsidRPr="009504FB">
              <w:t>0</w:t>
            </w:r>
          </w:p>
        </w:tc>
        <w:tc>
          <w:tcPr>
            <w:tcW w:w="1515" w:type="dxa"/>
          </w:tcPr>
          <w:p w:rsidR="0093392F" w:rsidRPr="009504FB" w:rsidRDefault="0093392F" w:rsidP="008860B1">
            <w:pPr>
              <w:jc w:val="center"/>
            </w:pPr>
            <w:r w:rsidRPr="009504FB">
              <w:t>.01</w:t>
            </w:r>
          </w:p>
        </w:tc>
        <w:tc>
          <w:tcPr>
            <w:tcW w:w="1540" w:type="dxa"/>
          </w:tcPr>
          <w:p w:rsidR="0093392F" w:rsidRPr="009504FB" w:rsidRDefault="0093392F" w:rsidP="008860B1">
            <w:pPr>
              <w:jc w:val="center"/>
            </w:pPr>
            <w:r w:rsidRPr="009504FB">
              <w:t>0</w:t>
            </w:r>
          </w:p>
        </w:tc>
      </w:tr>
      <w:tr w:rsidR="0093392F" w:rsidRPr="009504FB" w:rsidTr="008860B1">
        <w:tc>
          <w:tcPr>
            <w:tcW w:w="2700" w:type="dxa"/>
            <w:vAlign w:val="bottom"/>
          </w:tcPr>
          <w:p w:rsidR="0093392F" w:rsidRPr="009504FB" w:rsidRDefault="0093392F" w:rsidP="008860B1">
            <w:pPr>
              <w:jc w:val="center"/>
            </w:pPr>
            <w:r w:rsidRPr="009504FB">
              <w:t xml:space="preserve"> Insured in 2010 and uninsured in 2014</w:t>
            </w:r>
          </w:p>
        </w:tc>
        <w:tc>
          <w:tcPr>
            <w:tcW w:w="1710" w:type="dxa"/>
          </w:tcPr>
          <w:p w:rsidR="0093392F" w:rsidRPr="009504FB" w:rsidRDefault="0093392F" w:rsidP="008860B1">
            <w:pPr>
              <w:jc w:val="center"/>
              <w:rPr>
                <w:rFonts w:eastAsia="Times New Roman"/>
              </w:rPr>
            </w:pPr>
            <w:r w:rsidRPr="009504FB">
              <w:rPr>
                <w:rFonts w:eastAsia="Times New Roman"/>
              </w:rPr>
              <w:t>-.00</w:t>
            </w:r>
          </w:p>
        </w:tc>
        <w:tc>
          <w:tcPr>
            <w:tcW w:w="1800" w:type="dxa"/>
          </w:tcPr>
          <w:p w:rsidR="0093392F" w:rsidRPr="009504FB" w:rsidRDefault="0093392F" w:rsidP="008860B1">
            <w:pPr>
              <w:jc w:val="center"/>
              <w:rPr>
                <w:rFonts w:eastAsia="Times New Roman"/>
              </w:rPr>
            </w:pPr>
            <w:r w:rsidRPr="009504FB">
              <w:rPr>
                <w:rFonts w:eastAsia="Times New Roman"/>
              </w:rPr>
              <w:t>-.05*</w:t>
            </w:r>
          </w:p>
        </w:tc>
        <w:tc>
          <w:tcPr>
            <w:tcW w:w="1515" w:type="dxa"/>
          </w:tcPr>
          <w:p w:rsidR="0093392F" w:rsidRPr="009504FB" w:rsidRDefault="0093392F" w:rsidP="008860B1">
            <w:pPr>
              <w:jc w:val="center"/>
              <w:rPr>
                <w:rFonts w:eastAsia="Times New Roman"/>
              </w:rPr>
            </w:pPr>
            <w:r w:rsidRPr="009504FB">
              <w:rPr>
                <w:rFonts w:eastAsia="Times New Roman"/>
              </w:rPr>
              <w:t>0</w:t>
            </w:r>
          </w:p>
        </w:tc>
        <w:tc>
          <w:tcPr>
            <w:tcW w:w="1540" w:type="dxa"/>
          </w:tcPr>
          <w:p w:rsidR="0093392F" w:rsidRPr="009504FB" w:rsidRDefault="0093392F" w:rsidP="008860B1">
            <w:pPr>
              <w:jc w:val="center"/>
              <w:rPr>
                <w:rFonts w:eastAsia="Times New Roman"/>
              </w:rPr>
            </w:pPr>
            <w:r w:rsidRPr="009504FB">
              <w:rPr>
                <w:rFonts w:eastAsia="Times New Roman"/>
              </w:rPr>
              <w:t>-.05*</w:t>
            </w:r>
          </w:p>
        </w:tc>
      </w:tr>
      <w:tr w:rsidR="0093392F" w:rsidRPr="009504FB" w:rsidTr="008860B1">
        <w:tc>
          <w:tcPr>
            <w:tcW w:w="2700" w:type="dxa"/>
            <w:vAlign w:val="bottom"/>
          </w:tcPr>
          <w:p w:rsidR="0093392F" w:rsidRPr="009504FB" w:rsidRDefault="0093392F" w:rsidP="008860B1">
            <w:pPr>
              <w:jc w:val="center"/>
            </w:pPr>
            <w:r w:rsidRPr="009504FB">
              <w:t xml:space="preserve"> Uninsured in both 2010 and 2014 </w:t>
            </w:r>
          </w:p>
        </w:tc>
        <w:tc>
          <w:tcPr>
            <w:tcW w:w="1710" w:type="dxa"/>
          </w:tcPr>
          <w:p w:rsidR="0093392F" w:rsidRPr="009504FB" w:rsidRDefault="0093392F" w:rsidP="008860B1">
            <w:pPr>
              <w:jc w:val="center"/>
              <w:rPr>
                <w:rFonts w:eastAsia="Times New Roman"/>
              </w:rPr>
            </w:pPr>
            <w:r w:rsidRPr="009504FB">
              <w:t>-.09*</w:t>
            </w:r>
          </w:p>
        </w:tc>
        <w:tc>
          <w:tcPr>
            <w:tcW w:w="1800" w:type="dxa"/>
          </w:tcPr>
          <w:p w:rsidR="0093392F" w:rsidRPr="009504FB" w:rsidRDefault="0093392F" w:rsidP="008860B1">
            <w:pPr>
              <w:jc w:val="center"/>
              <w:rPr>
                <w:rFonts w:eastAsia="Times New Roman"/>
              </w:rPr>
            </w:pPr>
            <w:r w:rsidRPr="009504FB">
              <w:rPr>
                <w:rFonts w:eastAsia="Times New Roman"/>
              </w:rPr>
              <w:t>-.12*</w:t>
            </w:r>
          </w:p>
        </w:tc>
        <w:tc>
          <w:tcPr>
            <w:tcW w:w="1515" w:type="dxa"/>
          </w:tcPr>
          <w:p w:rsidR="0093392F" w:rsidRPr="009504FB" w:rsidRDefault="0093392F" w:rsidP="008860B1">
            <w:pPr>
              <w:jc w:val="center"/>
              <w:rPr>
                <w:rFonts w:eastAsia="Times New Roman"/>
              </w:rPr>
            </w:pPr>
            <w:r w:rsidRPr="009504FB">
              <w:rPr>
                <w:rFonts w:eastAsia="Times New Roman"/>
              </w:rPr>
              <w:t>-.01+</w:t>
            </w:r>
          </w:p>
        </w:tc>
        <w:tc>
          <w:tcPr>
            <w:tcW w:w="1540" w:type="dxa"/>
          </w:tcPr>
          <w:p w:rsidR="0093392F" w:rsidRPr="009504FB" w:rsidRDefault="0093392F" w:rsidP="008860B1">
            <w:pPr>
              <w:jc w:val="center"/>
              <w:rPr>
                <w:rFonts w:eastAsia="Times New Roman"/>
              </w:rPr>
            </w:pPr>
            <w:r w:rsidRPr="009504FB">
              <w:rPr>
                <w:rFonts w:eastAsia="Times New Roman"/>
              </w:rPr>
              <w:t>-.13**</w:t>
            </w:r>
          </w:p>
        </w:tc>
      </w:tr>
      <w:tr w:rsidR="0093392F" w:rsidRPr="009504FB" w:rsidTr="008860B1">
        <w:tc>
          <w:tcPr>
            <w:tcW w:w="2700" w:type="dxa"/>
            <w:vAlign w:val="bottom"/>
          </w:tcPr>
          <w:p w:rsidR="0093392F" w:rsidRPr="009504FB" w:rsidRDefault="0093392F" w:rsidP="008860B1">
            <w:pPr>
              <w:jc w:val="center"/>
            </w:pPr>
            <w:r w:rsidRPr="009504FB">
              <w:t>Party Identification</w:t>
            </w:r>
          </w:p>
          <w:p w:rsidR="0093392F" w:rsidRPr="009504FB" w:rsidRDefault="0093392F" w:rsidP="008860B1">
            <w:pPr>
              <w:jc w:val="center"/>
            </w:pPr>
            <w:r w:rsidRPr="009504FB">
              <w:t>(Coded toward Strong Democrat)</w:t>
            </w:r>
          </w:p>
        </w:tc>
        <w:tc>
          <w:tcPr>
            <w:tcW w:w="1710" w:type="dxa"/>
            <w:vAlign w:val="bottom"/>
          </w:tcPr>
          <w:p w:rsidR="0093392F" w:rsidRPr="009504FB" w:rsidRDefault="0093392F" w:rsidP="008860B1">
            <w:pPr>
              <w:jc w:val="center"/>
            </w:pPr>
            <w:r w:rsidRPr="009504FB">
              <w:t>.02</w:t>
            </w:r>
          </w:p>
        </w:tc>
        <w:tc>
          <w:tcPr>
            <w:tcW w:w="1800" w:type="dxa"/>
          </w:tcPr>
          <w:p w:rsidR="0093392F" w:rsidRPr="009504FB" w:rsidRDefault="0093392F" w:rsidP="008860B1">
            <w:pPr>
              <w:jc w:val="center"/>
            </w:pPr>
            <w:r w:rsidRPr="009504FB">
              <w:t>.18**</w:t>
            </w:r>
          </w:p>
        </w:tc>
        <w:tc>
          <w:tcPr>
            <w:tcW w:w="1515" w:type="dxa"/>
          </w:tcPr>
          <w:p w:rsidR="0093392F" w:rsidRPr="009504FB" w:rsidRDefault="0093392F" w:rsidP="008860B1">
            <w:pPr>
              <w:jc w:val="center"/>
            </w:pPr>
            <w:r w:rsidRPr="009504FB">
              <w:t>.03</w:t>
            </w:r>
          </w:p>
        </w:tc>
        <w:tc>
          <w:tcPr>
            <w:tcW w:w="1540" w:type="dxa"/>
          </w:tcPr>
          <w:p w:rsidR="0093392F" w:rsidRPr="009504FB" w:rsidRDefault="0093392F" w:rsidP="008860B1">
            <w:pPr>
              <w:jc w:val="center"/>
            </w:pPr>
            <w:r w:rsidRPr="009504FB">
              <w:t>.18**</w:t>
            </w:r>
          </w:p>
        </w:tc>
      </w:tr>
      <w:tr w:rsidR="0093392F" w:rsidRPr="009504FB" w:rsidTr="008860B1">
        <w:tc>
          <w:tcPr>
            <w:tcW w:w="2700" w:type="dxa"/>
            <w:vAlign w:val="bottom"/>
          </w:tcPr>
          <w:p w:rsidR="0093392F" w:rsidRPr="009504FB" w:rsidRDefault="0093392F" w:rsidP="008860B1">
            <w:pPr>
              <w:jc w:val="center"/>
            </w:pPr>
            <w:r w:rsidRPr="009504FB">
              <w:t>Trust in Government</w:t>
            </w:r>
          </w:p>
          <w:p w:rsidR="0093392F" w:rsidRPr="009504FB" w:rsidRDefault="0093392F" w:rsidP="008860B1">
            <w:pPr>
              <w:jc w:val="center"/>
            </w:pPr>
          </w:p>
        </w:tc>
        <w:tc>
          <w:tcPr>
            <w:tcW w:w="1710" w:type="dxa"/>
          </w:tcPr>
          <w:p w:rsidR="0093392F" w:rsidRPr="009504FB" w:rsidRDefault="0093392F" w:rsidP="008860B1">
            <w:pPr>
              <w:jc w:val="center"/>
              <w:rPr>
                <w:rFonts w:eastAsia="Times New Roman"/>
              </w:rPr>
            </w:pPr>
            <w:r w:rsidRPr="009504FB">
              <w:rPr>
                <w:rFonts w:eastAsia="Times New Roman"/>
              </w:rPr>
              <w:t>-.03</w:t>
            </w:r>
          </w:p>
        </w:tc>
        <w:tc>
          <w:tcPr>
            <w:tcW w:w="1800" w:type="dxa"/>
          </w:tcPr>
          <w:p w:rsidR="0093392F" w:rsidRPr="009504FB" w:rsidRDefault="0093392F" w:rsidP="008860B1">
            <w:pPr>
              <w:jc w:val="center"/>
              <w:rPr>
                <w:rFonts w:eastAsia="Times New Roman"/>
              </w:rPr>
            </w:pPr>
            <w:r w:rsidRPr="009504FB">
              <w:rPr>
                <w:rFonts w:eastAsia="Times New Roman"/>
              </w:rPr>
              <w:t>.1**</w:t>
            </w:r>
          </w:p>
        </w:tc>
        <w:tc>
          <w:tcPr>
            <w:tcW w:w="1515" w:type="dxa"/>
          </w:tcPr>
          <w:p w:rsidR="0093392F" w:rsidRPr="009504FB" w:rsidRDefault="0093392F" w:rsidP="008860B1">
            <w:pPr>
              <w:jc w:val="center"/>
              <w:rPr>
                <w:rFonts w:eastAsia="Times New Roman"/>
              </w:rPr>
            </w:pPr>
            <w:r w:rsidRPr="009504FB">
              <w:rPr>
                <w:rFonts w:eastAsia="Times New Roman"/>
              </w:rPr>
              <w:t>.01</w:t>
            </w:r>
          </w:p>
        </w:tc>
        <w:tc>
          <w:tcPr>
            <w:tcW w:w="1540" w:type="dxa"/>
          </w:tcPr>
          <w:p w:rsidR="0093392F" w:rsidRPr="009504FB" w:rsidRDefault="0093392F" w:rsidP="008860B1">
            <w:pPr>
              <w:jc w:val="center"/>
              <w:rPr>
                <w:rFonts w:eastAsia="Times New Roman"/>
              </w:rPr>
            </w:pPr>
            <w:r w:rsidRPr="009504FB">
              <w:rPr>
                <w:rFonts w:eastAsia="Times New Roman"/>
              </w:rPr>
              <w:t>.1**</w:t>
            </w:r>
          </w:p>
        </w:tc>
      </w:tr>
      <w:tr w:rsidR="0093392F" w:rsidRPr="009504FB" w:rsidTr="008860B1">
        <w:tc>
          <w:tcPr>
            <w:tcW w:w="2700" w:type="dxa"/>
            <w:vAlign w:val="bottom"/>
          </w:tcPr>
          <w:p w:rsidR="0093392F" w:rsidRPr="009504FB" w:rsidRDefault="0093392F" w:rsidP="008860B1">
            <w:pPr>
              <w:jc w:val="center"/>
            </w:pPr>
            <w:r w:rsidRPr="009504FB">
              <w:t>View of ACA Impact on Access to Health Insurance or Medical Care 2014 (Coded toward more impact)</w:t>
            </w:r>
          </w:p>
        </w:tc>
        <w:tc>
          <w:tcPr>
            <w:tcW w:w="1710" w:type="dxa"/>
          </w:tcPr>
          <w:p w:rsidR="0093392F" w:rsidRPr="009504FB" w:rsidRDefault="0093392F" w:rsidP="008860B1">
            <w:pPr>
              <w:jc w:val="center"/>
            </w:pPr>
          </w:p>
        </w:tc>
        <w:tc>
          <w:tcPr>
            <w:tcW w:w="1800" w:type="dxa"/>
          </w:tcPr>
          <w:p w:rsidR="0093392F" w:rsidRPr="009504FB" w:rsidRDefault="0093392F" w:rsidP="008860B1">
            <w:pPr>
              <w:jc w:val="center"/>
            </w:pPr>
            <w:r w:rsidRPr="009504FB">
              <w:t>.09*</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.09*</w:t>
            </w:r>
          </w:p>
        </w:tc>
      </w:tr>
      <w:tr w:rsidR="0093392F" w:rsidRPr="009504FB" w:rsidTr="008860B1">
        <w:tc>
          <w:tcPr>
            <w:tcW w:w="2700" w:type="dxa"/>
            <w:vAlign w:val="bottom"/>
          </w:tcPr>
          <w:p w:rsidR="0093392F" w:rsidRPr="009504FB" w:rsidRDefault="0093392F" w:rsidP="008860B1">
            <w:pPr>
              <w:jc w:val="center"/>
            </w:pPr>
            <w:r w:rsidRPr="009504FB">
              <w:t>Lagged Effect of 2010 View of ACA Impact on Access to Health Insurance or Medical Care (Coded toward more impact)</w:t>
            </w:r>
          </w:p>
        </w:tc>
        <w:tc>
          <w:tcPr>
            <w:tcW w:w="1710" w:type="dxa"/>
          </w:tcPr>
          <w:p w:rsidR="0093392F" w:rsidRPr="009504FB" w:rsidRDefault="0093392F" w:rsidP="008860B1">
            <w:pPr>
              <w:jc w:val="center"/>
            </w:pPr>
            <w:r w:rsidRPr="009504FB">
              <w:t>.16*</w:t>
            </w:r>
          </w:p>
        </w:tc>
        <w:tc>
          <w:tcPr>
            <w:tcW w:w="1800" w:type="dxa"/>
          </w:tcPr>
          <w:p w:rsidR="0093392F" w:rsidRPr="009504FB" w:rsidRDefault="0093392F" w:rsidP="008860B1">
            <w:pPr>
              <w:jc w:val="center"/>
            </w:pPr>
            <w:r w:rsidRPr="009504FB">
              <w:t>0</w:t>
            </w:r>
          </w:p>
        </w:tc>
        <w:tc>
          <w:tcPr>
            <w:tcW w:w="1515" w:type="dxa"/>
          </w:tcPr>
          <w:p w:rsidR="0093392F" w:rsidRPr="009504FB" w:rsidRDefault="0093392F" w:rsidP="008860B1">
            <w:pPr>
              <w:jc w:val="center"/>
            </w:pPr>
            <w:r w:rsidRPr="009504FB">
              <w:t>.01+</w:t>
            </w:r>
          </w:p>
        </w:tc>
        <w:tc>
          <w:tcPr>
            <w:tcW w:w="1540" w:type="dxa"/>
          </w:tcPr>
          <w:p w:rsidR="0093392F" w:rsidRPr="009504FB" w:rsidRDefault="0093392F" w:rsidP="008860B1">
            <w:pPr>
              <w:jc w:val="center"/>
            </w:pPr>
            <w:r w:rsidRPr="009504FB">
              <w:t>.01</w:t>
            </w:r>
          </w:p>
        </w:tc>
      </w:tr>
      <w:tr w:rsidR="0093392F" w:rsidRPr="009504FB" w:rsidTr="008860B1">
        <w:tc>
          <w:tcPr>
            <w:tcW w:w="2700" w:type="dxa"/>
            <w:vAlign w:val="bottom"/>
          </w:tcPr>
          <w:p w:rsidR="0093392F" w:rsidRPr="009504FB" w:rsidRDefault="0093392F" w:rsidP="008860B1">
            <w:pPr>
              <w:jc w:val="center"/>
            </w:pPr>
            <w:r w:rsidRPr="009504FB">
              <w:t>Lagged Effect of 2010 Evaluation of the Health Reform Bill (Coded toward favorable)</w:t>
            </w:r>
          </w:p>
        </w:tc>
        <w:tc>
          <w:tcPr>
            <w:tcW w:w="1710" w:type="dxa"/>
            <w:vAlign w:val="bottom"/>
          </w:tcPr>
          <w:p w:rsidR="0093392F" w:rsidRPr="009504FB" w:rsidRDefault="0093392F" w:rsidP="008860B1">
            <w:pPr>
              <w:jc w:val="center"/>
            </w:pPr>
            <w:r w:rsidRPr="009504FB">
              <w:t>.02</w:t>
            </w:r>
          </w:p>
        </w:tc>
        <w:tc>
          <w:tcPr>
            <w:tcW w:w="1800" w:type="dxa"/>
          </w:tcPr>
          <w:p w:rsidR="0093392F" w:rsidRPr="009504FB" w:rsidRDefault="0093392F" w:rsidP="008860B1">
            <w:pPr>
              <w:jc w:val="center"/>
            </w:pPr>
            <w:r w:rsidRPr="009504FB">
              <w:t>.22**</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.22**</w:t>
            </w:r>
          </w:p>
        </w:tc>
      </w:tr>
      <w:tr w:rsidR="0093392F" w:rsidRPr="009504FB" w:rsidTr="008860B1">
        <w:tc>
          <w:tcPr>
            <w:tcW w:w="2700" w:type="dxa"/>
            <w:vAlign w:val="bottom"/>
          </w:tcPr>
          <w:p w:rsidR="0093392F" w:rsidRPr="009504FB" w:rsidRDefault="0093392F" w:rsidP="008860B1">
            <w:pPr>
              <w:jc w:val="center"/>
            </w:pPr>
            <w:r w:rsidRPr="009504FB">
              <w:t>Gender (higher value is assigned to female)</w:t>
            </w:r>
          </w:p>
        </w:tc>
        <w:tc>
          <w:tcPr>
            <w:tcW w:w="1710" w:type="dxa"/>
            <w:vAlign w:val="bottom"/>
          </w:tcPr>
          <w:p w:rsidR="0093392F" w:rsidRPr="009504FB" w:rsidRDefault="0093392F" w:rsidP="008860B1">
            <w:pPr>
              <w:jc w:val="center"/>
            </w:pPr>
            <w:r w:rsidRPr="009504FB">
              <w:t>.05</w:t>
            </w:r>
          </w:p>
        </w:tc>
        <w:tc>
          <w:tcPr>
            <w:tcW w:w="1800" w:type="dxa"/>
          </w:tcPr>
          <w:p w:rsidR="0093392F" w:rsidRPr="009504FB" w:rsidRDefault="0093392F" w:rsidP="008860B1">
            <w:pPr>
              <w:jc w:val="center"/>
            </w:pPr>
            <w:r w:rsidRPr="009504FB">
              <w:t>0</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.01</w:t>
            </w:r>
          </w:p>
        </w:tc>
      </w:tr>
      <w:tr w:rsidR="0093392F" w:rsidRPr="009504FB" w:rsidTr="008860B1">
        <w:tc>
          <w:tcPr>
            <w:tcW w:w="2700" w:type="dxa"/>
            <w:vAlign w:val="bottom"/>
          </w:tcPr>
          <w:p w:rsidR="0093392F" w:rsidRPr="009504FB" w:rsidRDefault="0093392F" w:rsidP="008860B1">
            <w:pPr>
              <w:jc w:val="center"/>
            </w:pPr>
            <w:r w:rsidRPr="009504FB">
              <w:t>Race (non-white)</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-.02</w:t>
            </w:r>
          </w:p>
        </w:tc>
        <w:tc>
          <w:tcPr>
            <w:tcW w:w="1800" w:type="dxa"/>
          </w:tcPr>
          <w:p w:rsidR="0093392F" w:rsidRPr="009504FB" w:rsidRDefault="0093392F" w:rsidP="008860B1">
            <w:pPr>
              <w:jc w:val="center"/>
            </w:pPr>
            <w:r w:rsidRPr="009504FB">
              <w:t>.08+</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.08</w:t>
            </w:r>
          </w:p>
        </w:tc>
      </w:tr>
      <w:tr w:rsidR="0093392F" w:rsidRPr="009504FB" w:rsidTr="008860B1">
        <w:tc>
          <w:tcPr>
            <w:tcW w:w="2700" w:type="dxa"/>
            <w:vAlign w:val="bottom"/>
          </w:tcPr>
          <w:p w:rsidR="0093392F" w:rsidRPr="009504FB" w:rsidRDefault="0093392F" w:rsidP="008860B1">
            <w:pPr>
              <w:jc w:val="center"/>
            </w:pPr>
            <w:r w:rsidRPr="009504FB">
              <w:lastRenderedPageBreak/>
              <w:t>Income (less than 35,000 annually)</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.04</w:t>
            </w:r>
          </w:p>
        </w:tc>
        <w:tc>
          <w:tcPr>
            <w:tcW w:w="1800" w:type="dxa"/>
          </w:tcPr>
          <w:p w:rsidR="0093392F" w:rsidRPr="009504FB" w:rsidRDefault="0093392F" w:rsidP="008860B1">
            <w:pPr>
              <w:jc w:val="center"/>
            </w:pPr>
            <w:r w:rsidRPr="009504FB">
              <w:t>-.01</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w:t>
            </w:r>
          </w:p>
        </w:tc>
      </w:tr>
      <w:tr w:rsidR="0093392F" w:rsidRPr="009504FB" w:rsidTr="008860B1">
        <w:tc>
          <w:tcPr>
            <w:tcW w:w="2700" w:type="dxa"/>
            <w:vAlign w:val="bottom"/>
          </w:tcPr>
          <w:p w:rsidR="0093392F" w:rsidRPr="009504FB" w:rsidRDefault="0093392F" w:rsidP="008860B1">
            <w:pPr>
              <w:jc w:val="center"/>
            </w:pPr>
            <w:r w:rsidRPr="009504FB">
              <w:t>Year of birth (younger)</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-.07</w:t>
            </w:r>
          </w:p>
        </w:tc>
        <w:tc>
          <w:tcPr>
            <w:tcW w:w="1800" w:type="dxa"/>
          </w:tcPr>
          <w:p w:rsidR="0093392F" w:rsidRPr="009504FB" w:rsidRDefault="0093392F" w:rsidP="008860B1">
            <w:pPr>
              <w:jc w:val="center"/>
            </w:pPr>
            <w:r w:rsidRPr="009504FB">
              <w:t>-.05</w:t>
            </w:r>
          </w:p>
        </w:tc>
        <w:tc>
          <w:tcPr>
            <w:tcW w:w="1515" w:type="dxa"/>
          </w:tcPr>
          <w:p w:rsidR="0093392F" w:rsidRPr="009504FB" w:rsidRDefault="0093392F" w:rsidP="008860B1">
            <w:pPr>
              <w:jc w:val="center"/>
            </w:pPr>
            <w:r w:rsidRPr="009504FB">
              <w:t>-.01</w:t>
            </w:r>
          </w:p>
        </w:tc>
        <w:tc>
          <w:tcPr>
            <w:tcW w:w="1540" w:type="dxa"/>
          </w:tcPr>
          <w:p w:rsidR="0093392F" w:rsidRPr="009504FB" w:rsidRDefault="0093392F" w:rsidP="008860B1">
            <w:pPr>
              <w:jc w:val="center"/>
            </w:pPr>
            <w:r w:rsidRPr="009504FB">
              <w:t>-.06</w:t>
            </w:r>
          </w:p>
        </w:tc>
      </w:tr>
      <w:tr w:rsidR="0093392F" w:rsidRPr="009504FB" w:rsidTr="008860B1">
        <w:tc>
          <w:tcPr>
            <w:tcW w:w="2700" w:type="dxa"/>
            <w:vAlign w:val="bottom"/>
          </w:tcPr>
          <w:p w:rsidR="0093392F" w:rsidRPr="009504FB" w:rsidRDefault="0093392F" w:rsidP="008860B1">
            <w:pPr>
              <w:jc w:val="center"/>
            </w:pPr>
            <w:r w:rsidRPr="009504FB">
              <w:t>Education (higher)</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-.11+</w:t>
            </w:r>
          </w:p>
        </w:tc>
        <w:tc>
          <w:tcPr>
            <w:tcW w:w="1800" w:type="dxa"/>
          </w:tcPr>
          <w:p w:rsidR="0093392F" w:rsidRPr="009504FB" w:rsidRDefault="0093392F" w:rsidP="008860B1">
            <w:pPr>
              <w:jc w:val="center"/>
            </w:pPr>
            <w:r w:rsidRPr="009504FB">
              <w:t>.05</w:t>
            </w:r>
          </w:p>
        </w:tc>
        <w:tc>
          <w:tcPr>
            <w:tcW w:w="1515" w:type="dxa"/>
          </w:tcPr>
          <w:p w:rsidR="0093392F" w:rsidRPr="009504FB" w:rsidRDefault="0093392F" w:rsidP="008860B1">
            <w:pPr>
              <w:jc w:val="center"/>
            </w:pPr>
            <w:r w:rsidRPr="009504FB">
              <w:t>-.01</w:t>
            </w:r>
          </w:p>
        </w:tc>
        <w:tc>
          <w:tcPr>
            <w:tcW w:w="1540" w:type="dxa"/>
          </w:tcPr>
          <w:p w:rsidR="0093392F" w:rsidRPr="009504FB" w:rsidRDefault="0093392F" w:rsidP="008860B1">
            <w:pPr>
              <w:jc w:val="center"/>
            </w:pPr>
            <w:r w:rsidRPr="009504FB">
              <w:t>.04</w:t>
            </w:r>
          </w:p>
        </w:tc>
      </w:tr>
      <w:tr w:rsidR="0093392F" w:rsidRPr="009504FB" w:rsidTr="008860B1">
        <w:tc>
          <w:tcPr>
            <w:tcW w:w="2700" w:type="dxa"/>
            <w:vAlign w:val="bottom"/>
          </w:tcPr>
          <w:p w:rsidR="0093392F" w:rsidRPr="009504FB" w:rsidRDefault="0093392F" w:rsidP="008860B1">
            <w:pPr>
              <w:jc w:val="center"/>
            </w:pPr>
            <w:r w:rsidRPr="009504FB">
              <w:t>Political Knowledge (higher)</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-.04</w:t>
            </w:r>
          </w:p>
        </w:tc>
        <w:tc>
          <w:tcPr>
            <w:tcW w:w="1800" w:type="dxa"/>
          </w:tcPr>
          <w:p w:rsidR="0093392F" w:rsidRPr="009504FB" w:rsidRDefault="0093392F" w:rsidP="008860B1">
            <w:pPr>
              <w:jc w:val="center"/>
            </w:pPr>
            <w:r w:rsidRPr="009504FB">
              <w:t>.01</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.01</w:t>
            </w:r>
          </w:p>
        </w:tc>
      </w:tr>
      <w:tr w:rsidR="0093392F" w:rsidRPr="009504FB" w:rsidTr="008860B1">
        <w:tc>
          <w:tcPr>
            <w:tcW w:w="2700" w:type="dxa"/>
            <w:vAlign w:val="bottom"/>
          </w:tcPr>
          <w:p w:rsidR="0093392F" w:rsidRPr="009504FB" w:rsidRDefault="0093392F" w:rsidP="008860B1">
            <w:pPr>
              <w:jc w:val="center"/>
            </w:pPr>
            <w:r w:rsidRPr="009504FB">
              <w:t>Constant</w:t>
            </w:r>
          </w:p>
          <w:p w:rsidR="0093392F" w:rsidRPr="009504FB" w:rsidRDefault="0093392F" w:rsidP="008860B1">
            <w:pPr>
              <w:jc w:val="center"/>
            </w:pPr>
          </w:p>
        </w:tc>
        <w:tc>
          <w:tcPr>
            <w:tcW w:w="1710" w:type="dxa"/>
            <w:vAlign w:val="bottom"/>
          </w:tcPr>
          <w:p w:rsidR="0093392F" w:rsidRPr="009504FB" w:rsidRDefault="0093392F" w:rsidP="008860B1">
            <w:pPr>
              <w:jc w:val="center"/>
            </w:pPr>
          </w:p>
        </w:tc>
        <w:tc>
          <w:tcPr>
            <w:tcW w:w="1800" w:type="dxa"/>
          </w:tcPr>
          <w:p w:rsidR="0093392F" w:rsidRPr="009504FB" w:rsidRDefault="0093392F" w:rsidP="008860B1">
            <w:pPr>
              <w:jc w:val="center"/>
            </w:pPr>
          </w:p>
        </w:tc>
        <w:tc>
          <w:tcPr>
            <w:tcW w:w="1515" w:type="dxa"/>
          </w:tcPr>
          <w:p w:rsidR="0093392F" w:rsidRPr="009504FB" w:rsidRDefault="0093392F" w:rsidP="008860B1">
            <w:pPr>
              <w:jc w:val="center"/>
            </w:pPr>
          </w:p>
        </w:tc>
        <w:tc>
          <w:tcPr>
            <w:tcW w:w="1540" w:type="dxa"/>
          </w:tcPr>
          <w:p w:rsidR="0093392F" w:rsidRPr="009504FB" w:rsidRDefault="0093392F" w:rsidP="008860B1">
            <w:pPr>
              <w:jc w:val="center"/>
            </w:pPr>
          </w:p>
        </w:tc>
      </w:tr>
      <w:tr w:rsidR="0093392F" w:rsidRPr="009504FB" w:rsidTr="008860B1">
        <w:tc>
          <w:tcPr>
            <w:tcW w:w="2700" w:type="dxa"/>
            <w:vAlign w:val="bottom"/>
          </w:tcPr>
          <w:p w:rsidR="0093392F" w:rsidRPr="009504FB" w:rsidRDefault="0093392F" w:rsidP="008860B1">
            <w:pPr>
              <w:jc w:val="center"/>
            </w:pPr>
            <w:r w:rsidRPr="009504FB">
              <w:t>Observations</w:t>
            </w:r>
          </w:p>
        </w:tc>
        <w:tc>
          <w:tcPr>
            <w:tcW w:w="1710" w:type="dxa"/>
            <w:vAlign w:val="bottom"/>
          </w:tcPr>
          <w:p w:rsidR="0093392F" w:rsidRPr="009504FB" w:rsidRDefault="0093392F" w:rsidP="008860B1">
            <w:pPr>
              <w:jc w:val="center"/>
            </w:pPr>
            <w:r w:rsidRPr="009504FB">
              <w:t>792</w:t>
            </w:r>
          </w:p>
        </w:tc>
        <w:tc>
          <w:tcPr>
            <w:tcW w:w="1800" w:type="dxa"/>
          </w:tcPr>
          <w:p w:rsidR="0093392F" w:rsidRPr="009504FB" w:rsidRDefault="0093392F" w:rsidP="008860B1">
            <w:pPr>
              <w:jc w:val="center"/>
            </w:pPr>
          </w:p>
        </w:tc>
        <w:tc>
          <w:tcPr>
            <w:tcW w:w="1515" w:type="dxa"/>
          </w:tcPr>
          <w:p w:rsidR="0093392F" w:rsidRPr="009504FB" w:rsidRDefault="0093392F" w:rsidP="008860B1">
            <w:pPr>
              <w:jc w:val="center"/>
            </w:pPr>
          </w:p>
        </w:tc>
        <w:tc>
          <w:tcPr>
            <w:tcW w:w="1540" w:type="dxa"/>
          </w:tcPr>
          <w:p w:rsidR="0093392F" w:rsidRPr="009504FB" w:rsidRDefault="0093392F" w:rsidP="008860B1">
            <w:pPr>
              <w:jc w:val="center"/>
            </w:pPr>
          </w:p>
        </w:tc>
      </w:tr>
      <w:tr w:rsidR="0093392F" w:rsidRPr="009504FB" w:rsidTr="008860B1">
        <w:tc>
          <w:tcPr>
            <w:tcW w:w="2700" w:type="dxa"/>
            <w:vAlign w:val="bottom"/>
          </w:tcPr>
          <w:p w:rsidR="0093392F" w:rsidRPr="009504FB" w:rsidRDefault="0093392F" w:rsidP="008860B1">
            <w:pPr>
              <w:jc w:val="center"/>
            </w:pPr>
            <w:r w:rsidRPr="009504FB">
              <w:t>Adjusted R</w:t>
            </w:r>
            <w:r w:rsidRPr="009504FB">
              <w:rPr>
                <w:vertAlign w:val="superscript"/>
              </w:rPr>
              <w:t>2</w:t>
            </w:r>
          </w:p>
        </w:tc>
        <w:tc>
          <w:tcPr>
            <w:tcW w:w="1710" w:type="dxa"/>
            <w:vAlign w:val="bottom"/>
          </w:tcPr>
          <w:p w:rsidR="0093392F" w:rsidRPr="009504FB" w:rsidRDefault="0093392F" w:rsidP="008860B1">
            <w:pPr>
              <w:jc w:val="center"/>
            </w:pPr>
            <w:r w:rsidRPr="009504FB">
              <w:t>.78</w:t>
            </w:r>
          </w:p>
        </w:tc>
        <w:tc>
          <w:tcPr>
            <w:tcW w:w="1800" w:type="dxa"/>
          </w:tcPr>
          <w:p w:rsidR="0093392F" w:rsidRPr="009504FB" w:rsidRDefault="0093392F" w:rsidP="008860B1">
            <w:pPr>
              <w:jc w:val="center"/>
            </w:pPr>
          </w:p>
        </w:tc>
        <w:tc>
          <w:tcPr>
            <w:tcW w:w="1515" w:type="dxa"/>
          </w:tcPr>
          <w:p w:rsidR="0093392F" w:rsidRPr="009504FB" w:rsidRDefault="0093392F" w:rsidP="008860B1">
            <w:pPr>
              <w:jc w:val="center"/>
            </w:pPr>
          </w:p>
        </w:tc>
        <w:tc>
          <w:tcPr>
            <w:tcW w:w="1540" w:type="dxa"/>
          </w:tcPr>
          <w:p w:rsidR="0093392F" w:rsidRPr="009504FB" w:rsidRDefault="0093392F" w:rsidP="008860B1">
            <w:pPr>
              <w:jc w:val="center"/>
            </w:pPr>
          </w:p>
        </w:tc>
      </w:tr>
    </w:tbl>
    <w:tbl>
      <w:tblPr>
        <w:tblW w:w="9555" w:type="dxa"/>
        <w:tblInd w:w="93" w:type="dxa"/>
        <w:tblLook w:val="04A0" w:firstRow="1" w:lastRow="0" w:firstColumn="1" w:lastColumn="0" w:noHBand="0" w:noVBand="1"/>
      </w:tblPr>
      <w:tblGrid>
        <w:gridCol w:w="9555"/>
      </w:tblGrid>
      <w:tr w:rsidR="0093392F" w:rsidRPr="009504FB" w:rsidTr="008860B1">
        <w:trPr>
          <w:trHeight w:val="300"/>
        </w:trPr>
        <w:tc>
          <w:tcPr>
            <w:tcW w:w="9555" w:type="dxa"/>
            <w:tcBorders>
              <w:top w:val="nil"/>
              <w:left w:val="nil"/>
              <w:bottom w:val="nil"/>
              <w:right w:val="nil"/>
            </w:tcBorders>
            <w:shd w:val="clear" w:color="auto" w:fill="auto"/>
            <w:noWrap/>
            <w:vAlign w:val="bottom"/>
            <w:hideMark/>
          </w:tcPr>
          <w:p w:rsidR="0093392F" w:rsidRDefault="0093392F" w:rsidP="008860B1">
            <w:pPr>
              <w:rPr>
                <w:rFonts w:eastAsia="Times New Roman"/>
              </w:rPr>
            </w:pPr>
            <w:r w:rsidRPr="009504FB">
              <w:rPr>
                <w:rFonts w:eastAsia="Times New Roman"/>
              </w:rPr>
              <w:t xml:space="preserve">+p&lt;.10, *p&lt;.05, **p&lt;.01. </w:t>
            </w:r>
          </w:p>
          <w:p w:rsidR="0093392F" w:rsidRPr="009504FB" w:rsidRDefault="0093392F" w:rsidP="008860B1">
            <w:pPr>
              <w:rPr>
                <w:rFonts w:eastAsia="Times New Roman"/>
              </w:rPr>
            </w:pPr>
            <w:r w:rsidRPr="009504FB">
              <w:rPr>
                <w:rFonts w:eastAsia="Times New Roman"/>
              </w:rPr>
              <w:t xml:space="preserve">Results obtained using </w:t>
            </w:r>
            <w:r w:rsidRPr="009504FB">
              <w:t>structural equation modeling based on maximum likelihood estimation, with standardized coefficients. ACA Support is a 9-point interval variable, while Impact of Increased Access is a 5-point ordinal variable. All variables measured in 2014 unless otherwise noted. E</w:t>
            </w:r>
            <w:r w:rsidRPr="009504FB">
              <w:rPr>
                <w:rFonts w:eastAsia="Times New Roman"/>
              </w:rPr>
              <w:t>xact question wording is in the Appendix. Note: The sum of direct effects and indirect effects do not equal total effects in all cases due to rounding errors.</w:t>
            </w:r>
          </w:p>
          <w:p w:rsidR="0093392F" w:rsidRPr="009504FB" w:rsidRDefault="0093392F" w:rsidP="008860B1">
            <w:pPr>
              <w:rPr>
                <w:rFonts w:eastAsia="Times New Roman"/>
              </w:rPr>
            </w:pPr>
            <w:r w:rsidRPr="009504FB">
              <w:rPr>
                <w:rFonts w:eastAsia="Times New Roman"/>
              </w:rPr>
              <w:t>Source: US Public Policy Study, Wave 1-3.</w:t>
            </w:r>
          </w:p>
          <w:p w:rsidR="0093392F" w:rsidRPr="009504FB" w:rsidRDefault="0093392F" w:rsidP="008860B1">
            <w:pPr>
              <w:rPr>
                <w:rFonts w:eastAsia="Times New Roman"/>
              </w:rPr>
            </w:pPr>
            <w:proofErr w:type="spellStart"/>
            <w:r w:rsidRPr="009504FB">
              <w:rPr>
                <w:b/>
                <w:vertAlign w:val="superscript"/>
              </w:rPr>
              <w:t>a</w:t>
            </w:r>
            <w:proofErr w:type="spellEnd"/>
            <w:r w:rsidRPr="009504FB">
              <w:t xml:space="preserve"> </w:t>
            </w:r>
            <w:proofErr w:type="gramStart"/>
            <w:r w:rsidRPr="009504FB">
              <w:t>The</w:t>
            </w:r>
            <w:proofErr w:type="gramEnd"/>
            <w:r w:rsidRPr="009504FB">
              <w:t xml:space="preserve"> excluded reference category is insured in 2010 and 2014.</w:t>
            </w:r>
          </w:p>
        </w:tc>
      </w:tr>
    </w:tbl>
    <w:p w:rsidR="0093392F" w:rsidRPr="009504FB" w:rsidRDefault="0093392F" w:rsidP="0093392F">
      <w:pPr>
        <w:jc w:val="center"/>
        <w:rPr>
          <w:b/>
        </w:rPr>
      </w:pPr>
    </w:p>
    <w:p w:rsidR="0093392F" w:rsidRPr="009504FB" w:rsidRDefault="0093392F" w:rsidP="0093392F">
      <w:pPr>
        <w:jc w:val="center"/>
      </w:pPr>
      <w:r w:rsidRPr="009504FB">
        <w:br w:type="page"/>
      </w:r>
    </w:p>
    <w:p w:rsidR="0093392F" w:rsidRPr="009504FB" w:rsidRDefault="0093392F" w:rsidP="0093392F">
      <w:pPr>
        <w:jc w:val="center"/>
      </w:pPr>
    </w:p>
    <w:p w:rsidR="0093392F" w:rsidRPr="009504FB" w:rsidRDefault="0093392F" w:rsidP="0093392F">
      <w:pPr>
        <w:jc w:val="center"/>
        <w:rPr>
          <w:b/>
        </w:rPr>
      </w:pPr>
    </w:p>
    <w:p w:rsidR="0093392F" w:rsidRPr="009504FB" w:rsidRDefault="0093392F" w:rsidP="0093392F">
      <w:pPr>
        <w:jc w:val="center"/>
        <w:rPr>
          <w:b/>
        </w:rPr>
      </w:pPr>
    </w:p>
    <w:p w:rsidR="0093392F" w:rsidRPr="009504FB" w:rsidRDefault="0093392F" w:rsidP="0093392F">
      <w:pPr>
        <w:jc w:val="center"/>
        <w:rPr>
          <w:b/>
        </w:rPr>
      </w:pPr>
      <w:r w:rsidRPr="009504FB">
        <w:rPr>
          <w:b/>
        </w:rPr>
        <w:t>Effect of ACA on Taxes Respondent Pays and Overall Evaluations of the Health Reform Bill</w:t>
      </w:r>
    </w:p>
    <w:tbl>
      <w:tblPr>
        <w:tblStyle w:val="TableGrid"/>
        <w:tblW w:w="9265" w:type="dxa"/>
        <w:tblInd w:w="85" w:type="dxa"/>
        <w:tblLook w:val="04A0" w:firstRow="1" w:lastRow="0" w:firstColumn="1" w:lastColumn="0" w:noHBand="0" w:noVBand="1"/>
      </w:tblPr>
      <w:tblGrid>
        <w:gridCol w:w="2700"/>
        <w:gridCol w:w="1710"/>
        <w:gridCol w:w="1800"/>
        <w:gridCol w:w="1515"/>
        <w:gridCol w:w="1540"/>
      </w:tblGrid>
      <w:tr w:rsidR="0093392F" w:rsidRPr="009504FB" w:rsidTr="008860B1">
        <w:tc>
          <w:tcPr>
            <w:tcW w:w="2700" w:type="dxa"/>
          </w:tcPr>
          <w:p w:rsidR="0093392F" w:rsidRPr="009504FB" w:rsidRDefault="0093392F" w:rsidP="008860B1">
            <w:pPr>
              <w:jc w:val="center"/>
              <w:rPr>
                <w:rFonts w:eastAsia="Times New Roman"/>
                <w:i/>
              </w:rPr>
            </w:pPr>
          </w:p>
          <w:p w:rsidR="0093392F" w:rsidRPr="009504FB" w:rsidRDefault="0093392F" w:rsidP="008860B1">
            <w:pPr>
              <w:jc w:val="center"/>
              <w:rPr>
                <w:rFonts w:eastAsia="Times New Roman"/>
                <w:i/>
              </w:rPr>
            </w:pPr>
          </w:p>
          <w:p w:rsidR="0093392F" w:rsidRPr="009504FB" w:rsidRDefault="0093392F" w:rsidP="008860B1">
            <w:pPr>
              <w:jc w:val="center"/>
              <w:rPr>
                <w:rFonts w:eastAsia="Times New Roman"/>
                <w:i/>
              </w:rPr>
            </w:pPr>
            <w:r w:rsidRPr="009504FB">
              <w:rPr>
                <w:rFonts w:eastAsia="Times New Roman"/>
                <w:i/>
              </w:rPr>
              <w:t>Independent Variables (all 2014 unless otherwise noted)</w:t>
            </w:r>
          </w:p>
        </w:tc>
        <w:tc>
          <w:tcPr>
            <w:tcW w:w="1710" w:type="dxa"/>
          </w:tcPr>
          <w:p w:rsidR="0093392F" w:rsidRPr="009504FB" w:rsidRDefault="0093392F" w:rsidP="008860B1">
            <w:pPr>
              <w:jc w:val="center"/>
              <w:rPr>
                <w:rFonts w:eastAsia="Times New Roman"/>
                <w:b/>
              </w:rPr>
            </w:pPr>
            <w:r w:rsidRPr="009504FB">
              <w:rPr>
                <w:rFonts w:eastAsia="Times New Roman"/>
                <w:b/>
              </w:rPr>
              <w:t>Direct effects on perceptions of taxes R pays</w:t>
            </w:r>
          </w:p>
        </w:tc>
        <w:tc>
          <w:tcPr>
            <w:tcW w:w="1800" w:type="dxa"/>
          </w:tcPr>
          <w:p w:rsidR="0093392F" w:rsidRPr="009504FB" w:rsidRDefault="0093392F" w:rsidP="008860B1">
            <w:pPr>
              <w:jc w:val="center"/>
              <w:rPr>
                <w:rFonts w:eastAsia="Times New Roman"/>
                <w:b/>
              </w:rPr>
            </w:pPr>
            <w:r w:rsidRPr="009504FB">
              <w:rPr>
                <w:rFonts w:eastAsia="Times New Roman"/>
                <w:b/>
              </w:rPr>
              <w:t>Direct effects on the overall evaluation of the health care bill</w:t>
            </w:r>
          </w:p>
        </w:tc>
        <w:tc>
          <w:tcPr>
            <w:tcW w:w="1515" w:type="dxa"/>
          </w:tcPr>
          <w:p w:rsidR="0093392F" w:rsidRPr="009504FB" w:rsidRDefault="0093392F" w:rsidP="008860B1">
            <w:pPr>
              <w:jc w:val="center"/>
              <w:rPr>
                <w:rFonts w:eastAsia="Times New Roman"/>
                <w:b/>
              </w:rPr>
            </w:pPr>
            <w:r w:rsidRPr="009504FB">
              <w:rPr>
                <w:rFonts w:eastAsia="Times New Roman"/>
                <w:b/>
              </w:rPr>
              <w:t>Indirect effects on the overall evaluation of the health care bill</w:t>
            </w:r>
          </w:p>
        </w:tc>
        <w:tc>
          <w:tcPr>
            <w:tcW w:w="1540" w:type="dxa"/>
          </w:tcPr>
          <w:p w:rsidR="0093392F" w:rsidRPr="009504FB" w:rsidRDefault="0093392F" w:rsidP="008860B1">
            <w:pPr>
              <w:jc w:val="center"/>
              <w:rPr>
                <w:rFonts w:eastAsia="Times New Roman"/>
                <w:b/>
              </w:rPr>
            </w:pPr>
            <w:r w:rsidRPr="009504FB">
              <w:rPr>
                <w:rFonts w:eastAsia="Times New Roman"/>
                <w:b/>
              </w:rPr>
              <w:t>Total effects on the overall evaluation of the health care bill</w:t>
            </w:r>
          </w:p>
        </w:tc>
      </w:tr>
      <w:tr w:rsidR="0093392F" w:rsidRPr="009504FB" w:rsidTr="008860B1">
        <w:tc>
          <w:tcPr>
            <w:tcW w:w="2700" w:type="dxa"/>
            <w:vAlign w:val="bottom"/>
          </w:tcPr>
          <w:p w:rsidR="0093392F" w:rsidRPr="009504FB" w:rsidRDefault="0093392F" w:rsidP="008860B1">
            <w:pPr>
              <w:jc w:val="center"/>
            </w:pPr>
          </w:p>
        </w:tc>
        <w:tc>
          <w:tcPr>
            <w:tcW w:w="1710" w:type="dxa"/>
          </w:tcPr>
          <w:p w:rsidR="0093392F" w:rsidRPr="009504FB" w:rsidRDefault="0093392F" w:rsidP="008860B1">
            <w:pPr>
              <w:jc w:val="center"/>
            </w:pPr>
            <w:r w:rsidRPr="009504FB">
              <w:t>1</w:t>
            </w:r>
          </w:p>
        </w:tc>
        <w:tc>
          <w:tcPr>
            <w:tcW w:w="1800" w:type="dxa"/>
          </w:tcPr>
          <w:p w:rsidR="0093392F" w:rsidRPr="009504FB" w:rsidRDefault="0093392F" w:rsidP="008860B1">
            <w:pPr>
              <w:jc w:val="center"/>
            </w:pPr>
            <w:r w:rsidRPr="009504FB">
              <w:t>2</w:t>
            </w:r>
          </w:p>
        </w:tc>
        <w:tc>
          <w:tcPr>
            <w:tcW w:w="1515" w:type="dxa"/>
          </w:tcPr>
          <w:p w:rsidR="0093392F" w:rsidRPr="009504FB" w:rsidRDefault="0093392F" w:rsidP="008860B1">
            <w:pPr>
              <w:jc w:val="center"/>
            </w:pPr>
            <w:r w:rsidRPr="009504FB">
              <w:t>3</w:t>
            </w:r>
          </w:p>
        </w:tc>
        <w:tc>
          <w:tcPr>
            <w:tcW w:w="1540" w:type="dxa"/>
          </w:tcPr>
          <w:p w:rsidR="0093392F" w:rsidRPr="009504FB" w:rsidRDefault="0093392F" w:rsidP="008860B1">
            <w:pPr>
              <w:jc w:val="center"/>
            </w:pPr>
            <w:r w:rsidRPr="009504FB">
              <w:t>4</w:t>
            </w:r>
          </w:p>
        </w:tc>
      </w:tr>
      <w:tr w:rsidR="0093392F" w:rsidRPr="009504FB" w:rsidTr="008860B1">
        <w:tc>
          <w:tcPr>
            <w:tcW w:w="2700" w:type="dxa"/>
            <w:vAlign w:val="bottom"/>
          </w:tcPr>
          <w:p w:rsidR="0093392F" w:rsidRPr="009504FB" w:rsidRDefault="0093392F" w:rsidP="008860B1">
            <w:pPr>
              <w:jc w:val="center"/>
            </w:pPr>
            <w:r w:rsidRPr="009504FB">
              <w:t xml:space="preserve">Effect of health care law on US as a whole </w:t>
            </w:r>
          </w:p>
        </w:tc>
        <w:tc>
          <w:tcPr>
            <w:tcW w:w="1710" w:type="dxa"/>
          </w:tcPr>
          <w:p w:rsidR="0093392F" w:rsidRPr="009504FB" w:rsidRDefault="0093392F" w:rsidP="008860B1">
            <w:pPr>
              <w:jc w:val="center"/>
              <w:rPr>
                <w:rFonts w:eastAsia="Times New Roman"/>
              </w:rPr>
            </w:pPr>
            <w:r w:rsidRPr="009504FB">
              <w:rPr>
                <w:rFonts w:eastAsia="Times New Roman"/>
              </w:rPr>
              <w:t>.18*</w:t>
            </w:r>
          </w:p>
        </w:tc>
        <w:tc>
          <w:tcPr>
            <w:tcW w:w="1800" w:type="dxa"/>
          </w:tcPr>
          <w:p w:rsidR="0093392F" w:rsidRPr="009504FB" w:rsidRDefault="0093392F" w:rsidP="008860B1">
            <w:pPr>
              <w:jc w:val="center"/>
              <w:rPr>
                <w:rFonts w:eastAsia="Times New Roman"/>
              </w:rPr>
            </w:pPr>
            <w:r w:rsidRPr="009504FB">
              <w:rPr>
                <w:rFonts w:eastAsia="Times New Roman"/>
              </w:rPr>
              <w:t>.46**</w:t>
            </w:r>
          </w:p>
        </w:tc>
        <w:tc>
          <w:tcPr>
            <w:tcW w:w="1515" w:type="dxa"/>
          </w:tcPr>
          <w:p w:rsidR="0093392F" w:rsidRPr="009504FB" w:rsidRDefault="0093392F" w:rsidP="008860B1">
            <w:pPr>
              <w:jc w:val="center"/>
              <w:rPr>
                <w:rFonts w:eastAsia="Times New Roman"/>
              </w:rPr>
            </w:pPr>
            <w:r w:rsidRPr="009504FB">
              <w:rPr>
                <w:rFonts w:eastAsia="Times New Roman"/>
              </w:rPr>
              <w:t>.01</w:t>
            </w:r>
          </w:p>
        </w:tc>
        <w:tc>
          <w:tcPr>
            <w:tcW w:w="1540" w:type="dxa"/>
          </w:tcPr>
          <w:p w:rsidR="0093392F" w:rsidRPr="009504FB" w:rsidRDefault="0093392F" w:rsidP="008860B1">
            <w:pPr>
              <w:jc w:val="center"/>
              <w:rPr>
                <w:rFonts w:eastAsia="Times New Roman"/>
              </w:rPr>
            </w:pPr>
            <w:r w:rsidRPr="009504FB">
              <w:rPr>
                <w:rFonts w:eastAsia="Times New Roman"/>
              </w:rPr>
              <w:t>.47**</w:t>
            </w:r>
          </w:p>
        </w:tc>
      </w:tr>
      <w:tr w:rsidR="0093392F" w:rsidRPr="009504FB" w:rsidTr="008860B1">
        <w:tc>
          <w:tcPr>
            <w:tcW w:w="2700" w:type="dxa"/>
            <w:vAlign w:val="bottom"/>
          </w:tcPr>
          <w:p w:rsidR="0093392F" w:rsidRPr="009504FB" w:rsidRDefault="0093392F" w:rsidP="008860B1">
            <w:pPr>
              <w:jc w:val="center"/>
            </w:pPr>
            <w:r w:rsidRPr="009504FB">
              <w:t>View of ACA Impact on coverage of subsidies to help pay for insurance, for self and family</w:t>
            </w:r>
          </w:p>
        </w:tc>
        <w:tc>
          <w:tcPr>
            <w:tcW w:w="1710" w:type="dxa"/>
          </w:tcPr>
          <w:p w:rsidR="0093392F" w:rsidRPr="009504FB" w:rsidRDefault="0093392F" w:rsidP="008860B1">
            <w:pPr>
              <w:jc w:val="center"/>
              <w:rPr>
                <w:rFonts w:eastAsia="Times New Roman"/>
              </w:rPr>
            </w:pPr>
            <w:r w:rsidRPr="009504FB">
              <w:rPr>
                <w:rFonts w:eastAsia="Times New Roman"/>
              </w:rPr>
              <w:t>-.07</w:t>
            </w:r>
          </w:p>
        </w:tc>
        <w:tc>
          <w:tcPr>
            <w:tcW w:w="1800" w:type="dxa"/>
          </w:tcPr>
          <w:p w:rsidR="0093392F" w:rsidRPr="009504FB" w:rsidRDefault="0093392F" w:rsidP="008860B1">
            <w:pPr>
              <w:jc w:val="center"/>
              <w:rPr>
                <w:rFonts w:eastAsia="Times New Roman"/>
              </w:rPr>
            </w:pPr>
            <w:r w:rsidRPr="009504FB">
              <w:rPr>
                <w:rFonts w:eastAsia="Times New Roman"/>
              </w:rPr>
              <w:t>-.05</w:t>
            </w:r>
          </w:p>
        </w:tc>
        <w:tc>
          <w:tcPr>
            <w:tcW w:w="1515" w:type="dxa"/>
          </w:tcPr>
          <w:p w:rsidR="0093392F" w:rsidRPr="009504FB" w:rsidRDefault="0093392F" w:rsidP="008860B1">
            <w:pPr>
              <w:jc w:val="center"/>
              <w:rPr>
                <w:rFonts w:eastAsia="Times New Roman"/>
              </w:rPr>
            </w:pPr>
            <w:r w:rsidRPr="009504FB">
              <w:rPr>
                <w:rFonts w:eastAsia="Times New Roman"/>
              </w:rPr>
              <w:t>0</w:t>
            </w:r>
          </w:p>
        </w:tc>
        <w:tc>
          <w:tcPr>
            <w:tcW w:w="1540" w:type="dxa"/>
          </w:tcPr>
          <w:p w:rsidR="0093392F" w:rsidRPr="009504FB" w:rsidRDefault="0093392F" w:rsidP="008860B1">
            <w:pPr>
              <w:jc w:val="center"/>
              <w:rPr>
                <w:rFonts w:eastAsia="Times New Roman"/>
              </w:rPr>
            </w:pPr>
            <w:r w:rsidRPr="009504FB">
              <w:rPr>
                <w:rFonts w:eastAsia="Times New Roman"/>
              </w:rPr>
              <w:t>-.05</w:t>
            </w:r>
          </w:p>
        </w:tc>
      </w:tr>
      <w:tr w:rsidR="0093392F" w:rsidRPr="009504FB" w:rsidTr="008860B1">
        <w:tc>
          <w:tcPr>
            <w:tcW w:w="2700" w:type="dxa"/>
            <w:vAlign w:val="bottom"/>
          </w:tcPr>
          <w:p w:rsidR="0093392F" w:rsidRPr="009504FB" w:rsidRDefault="0093392F" w:rsidP="008860B1">
            <w:pPr>
              <w:jc w:val="center"/>
            </w:pPr>
            <w:r w:rsidRPr="009504FB">
              <w:t>View of ACA Impact on help to seniors to pay for prescription drugs, for self and family</w:t>
            </w:r>
          </w:p>
        </w:tc>
        <w:tc>
          <w:tcPr>
            <w:tcW w:w="1710" w:type="dxa"/>
          </w:tcPr>
          <w:p w:rsidR="0093392F" w:rsidRPr="009504FB" w:rsidRDefault="0093392F" w:rsidP="008860B1">
            <w:pPr>
              <w:jc w:val="center"/>
              <w:rPr>
                <w:rFonts w:eastAsia="Times New Roman"/>
              </w:rPr>
            </w:pPr>
            <w:r w:rsidRPr="009504FB">
              <w:rPr>
                <w:rFonts w:eastAsia="Times New Roman"/>
              </w:rPr>
              <w:t>.01</w:t>
            </w:r>
          </w:p>
        </w:tc>
        <w:tc>
          <w:tcPr>
            <w:tcW w:w="1800" w:type="dxa"/>
          </w:tcPr>
          <w:p w:rsidR="0093392F" w:rsidRPr="009504FB" w:rsidRDefault="0093392F" w:rsidP="008860B1">
            <w:pPr>
              <w:jc w:val="center"/>
              <w:rPr>
                <w:rFonts w:eastAsia="Times New Roman"/>
              </w:rPr>
            </w:pPr>
            <w:r w:rsidRPr="009504FB">
              <w:rPr>
                <w:rFonts w:eastAsia="Times New Roman"/>
              </w:rPr>
              <w:t>.02</w:t>
            </w:r>
          </w:p>
        </w:tc>
        <w:tc>
          <w:tcPr>
            <w:tcW w:w="1515" w:type="dxa"/>
          </w:tcPr>
          <w:p w:rsidR="0093392F" w:rsidRPr="009504FB" w:rsidRDefault="0093392F" w:rsidP="008860B1">
            <w:pPr>
              <w:jc w:val="center"/>
              <w:rPr>
                <w:rFonts w:eastAsia="Times New Roman"/>
              </w:rPr>
            </w:pPr>
            <w:r w:rsidRPr="009504FB">
              <w:rPr>
                <w:rFonts w:eastAsia="Times New Roman"/>
              </w:rPr>
              <w:t>0</w:t>
            </w:r>
          </w:p>
        </w:tc>
        <w:tc>
          <w:tcPr>
            <w:tcW w:w="1540" w:type="dxa"/>
          </w:tcPr>
          <w:p w:rsidR="0093392F" w:rsidRPr="009504FB" w:rsidRDefault="0093392F" w:rsidP="008860B1">
            <w:pPr>
              <w:jc w:val="center"/>
              <w:rPr>
                <w:rFonts w:eastAsia="Times New Roman"/>
              </w:rPr>
            </w:pPr>
            <w:r w:rsidRPr="009504FB">
              <w:rPr>
                <w:rFonts w:eastAsia="Times New Roman"/>
              </w:rPr>
              <w:t>.02</w:t>
            </w:r>
          </w:p>
        </w:tc>
      </w:tr>
      <w:tr w:rsidR="0093392F" w:rsidRPr="009504FB" w:rsidTr="008860B1">
        <w:tc>
          <w:tcPr>
            <w:tcW w:w="2700" w:type="dxa"/>
            <w:vAlign w:val="bottom"/>
          </w:tcPr>
          <w:p w:rsidR="0093392F" w:rsidRPr="009504FB" w:rsidRDefault="0093392F" w:rsidP="008860B1">
            <w:pPr>
              <w:jc w:val="center"/>
              <w:rPr>
                <w:b/>
                <w:u w:val="single"/>
              </w:rPr>
            </w:pPr>
            <w:r w:rsidRPr="009504FB">
              <w:rPr>
                <w:b/>
              </w:rPr>
              <w:t xml:space="preserve">  </w:t>
            </w:r>
            <w:r w:rsidRPr="009504FB">
              <w:rPr>
                <w:b/>
                <w:u w:val="single"/>
              </w:rPr>
              <w:t xml:space="preserve">Insurance </w:t>
            </w:r>
            <w:proofErr w:type="spellStart"/>
            <w:r w:rsidRPr="009504FB">
              <w:rPr>
                <w:b/>
                <w:u w:val="single"/>
              </w:rPr>
              <w:t>Condition</w:t>
            </w:r>
            <w:r w:rsidRPr="009504FB">
              <w:rPr>
                <w:rFonts w:eastAsia="Times New Roman"/>
                <w:b/>
                <w:vertAlign w:val="superscript"/>
              </w:rPr>
              <w:t>a</w:t>
            </w:r>
            <w:proofErr w:type="spellEnd"/>
          </w:p>
        </w:tc>
        <w:tc>
          <w:tcPr>
            <w:tcW w:w="1710" w:type="dxa"/>
          </w:tcPr>
          <w:p w:rsidR="0093392F" w:rsidRPr="009504FB" w:rsidRDefault="0093392F" w:rsidP="008860B1">
            <w:pPr>
              <w:jc w:val="center"/>
              <w:rPr>
                <w:rFonts w:eastAsia="Times New Roman"/>
              </w:rPr>
            </w:pPr>
          </w:p>
        </w:tc>
        <w:tc>
          <w:tcPr>
            <w:tcW w:w="1800" w:type="dxa"/>
          </w:tcPr>
          <w:p w:rsidR="0093392F" w:rsidRPr="009504FB" w:rsidRDefault="0093392F" w:rsidP="008860B1">
            <w:pPr>
              <w:jc w:val="center"/>
              <w:rPr>
                <w:rFonts w:eastAsia="Times New Roman"/>
              </w:rPr>
            </w:pPr>
          </w:p>
        </w:tc>
        <w:tc>
          <w:tcPr>
            <w:tcW w:w="1515" w:type="dxa"/>
          </w:tcPr>
          <w:p w:rsidR="0093392F" w:rsidRPr="009504FB" w:rsidRDefault="0093392F" w:rsidP="008860B1">
            <w:pPr>
              <w:jc w:val="center"/>
              <w:rPr>
                <w:rFonts w:eastAsia="Times New Roman"/>
              </w:rPr>
            </w:pPr>
          </w:p>
        </w:tc>
        <w:tc>
          <w:tcPr>
            <w:tcW w:w="1540" w:type="dxa"/>
          </w:tcPr>
          <w:p w:rsidR="0093392F" w:rsidRPr="009504FB" w:rsidRDefault="0093392F" w:rsidP="008860B1">
            <w:pPr>
              <w:jc w:val="center"/>
              <w:rPr>
                <w:rFonts w:eastAsia="Times New Roman"/>
              </w:rPr>
            </w:pPr>
          </w:p>
        </w:tc>
      </w:tr>
      <w:tr w:rsidR="0093392F" w:rsidRPr="009504FB" w:rsidTr="008860B1">
        <w:tc>
          <w:tcPr>
            <w:tcW w:w="2700" w:type="dxa"/>
            <w:vAlign w:val="bottom"/>
          </w:tcPr>
          <w:p w:rsidR="0093392F" w:rsidRPr="009504FB" w:rsidRDefault="0093392F" w:rsidP="008860B1">
            <w:pPr>
              <w:jc w:val="center"/>
            </w:pPr>
            <w:r w:rsidRPr="009504FB">
              <w:t xml:space="preserve"> Uninsured in 2010, insured in 2014</w:t>
            </w:r>
          </w:p>
        </w:tc>
        <w:tc>
          <w:tcPr>
            <w:tcW w:w="1710" w:type="dxa"/>
          </w:tcPr>
          <w:p w:rsidR="0093392F" w:rsidRPr="009504FB" w:rsidRDefault="0093392F" w:rsidP="008860B1">
            <w:pPr>
              <w:jc w:val="center"/>
            </w:pPr>
            <w:r w:rsidRPr="009504FB">
              <w:t>-.02</w:t>
            </w:r>
          </w:p>
        </w:tc>
        <w:tc>
          <w:tcPr>
            <w:tcW w:w="1800" w:type="dxa"/>
          </w:tcPr>
          <w:p w:rsidR="0093392F" w:rsidRPr="009504FB" w:rsidRDefault="0093392F" w:rsidP="008860B1">
            <w:pPr>
              <w:jc w:val="center"/>
            </w:pPr>
            <w:r w:rsidRPr="009504FB">
              <w:t>.01</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.01</w:t>
            </w:r>
          </w:p>
        </w:tc>
      </w:tr>
      <w:tr w:rsidR="0093392F" w:rsidRPr="009504FB" w:rsidTr="008860B1">
        <w:tc>
          <w:tcPr>
            <w:tcW w:w="2700" w:type="dxa"/>
            <w:vAlign w:val="bottom"/>
          </w:tcPr>
          <w:p w:rsidR="0093392F" w:rsidRPr="009504FB" w:rsidRDefault="0093392F" w:rsidP="008860B1">
            <w:pPr>
              <w:jc w:val="center"/>
            </w:pPr>
            <w:r w:rsidRPr="009504FB">
              <w:t xml:space="preserve"> Insured in 2010 and uninsured in 2014</w:t>
            </w:r>
          </w:p>
        </w:tc>
        <w:tc>
          <w:tcPr>
            <w:tcW w:w="1710" w:type="dxa"/>
          </w:tcPr>
          <w:p w:rsidR="0093392F" w:rsidRPr="009504FB" w:rsidRDefault="0093392F" w:rsidP="008860B1">
            <w:pPr>
              <w:jc w:val="center"/>
              <w:rPr>
                <w:rFonts w:eastAsia="Times New Roman"/>
              </w:rPr>
            </w:pPr>
            <w:r w:rsidRPr="009504FB">
              <w:rPr>
                <w:rFonts w:eastAsia="Times New Roman"/>
              </w:rPr>
              <w:t>-.03</w:t>
            </w:r>
          </w:p>
        </w:tc>
        <w:tc>
          <w:tcPr>
            <w:tcW w:w="1800" w:type="dxa"/>
          </w:tcPr>
          <w:p w:rsidR="0093392F" w:rsidRPr="009504FB" w:rsidRDefault="0093392F" w:rsidP="008860B1">
            <w:pPr>
              <w:jc w:val="center"/>
              <w:rPr>
                <w:rFonts w:eastAsia="Times New Roman"/>
              </w:rPr>
            </w:pPr>
            <w:r w:rsidRPr="009504FB">
              <w:rPr>
                <w:rFonts w:eastAsia="Times New Roman"/>
              </w:rPr>
              <w:t>-.05*</w:t>
            </w:r>
          </w:p>
        </w:tc>
        <w:tc>
          <w:tcPr>
            <w:tcW w:w="1515" w:type="dxa"/>
          </w:tcPr>
          <w:p w:rsidR="0093392F" w:rsidRPr="009504FB" w:rsidRDefault="0093392F" w:rsidP="008860B1">
            <w:pPr>
              <w:jc w:val="center"/>
              <w:rPr>
                <w:rFonts w:eastAsia="Times New Roman"/>
              </w:rPr>
            </w:pPr>
            <w:r w:rsidRPr="009504FB">
              <w:rPr>
                <w:rFonts w:eastAsia="Times New Roman"/>
              </w:rPr>
              <w:t>0</w:t>
            </w:r>
          </w:p>
        </w:tc>
        <w:tc>
          <w:tcPr>
            <w:tcW w:w="1540" w:type="dxa"/>
          </w:tcPr>
          <w:p w:rsidR="0093392F" w:rsidRPr="009504FB" w:rsidRDefault="0093392F" w:rsidP="008860B1">
            <w:pPr>
              <w:jc w:val="center"/>
              <w:rPr>
                <w:rFonts w:eastAsia="Times New Roman"/>
              </w:rPr>
            </w:pPr>
            <w:r w:rsidRPr="009504FB">
              <w:rPr>
                <w:rFonts w:eastAsia="Times New Roman"/>
              </w:rPr>
              <w:t>-.05*</w:t>
            </w:r>
          </w:p>
        </w:tc>
      </w:tr>
      <w:tr w:rsidR="0093392F" w:rsidRPr="009504FB" w:rsidTr="008860B1">
        <w:tc>
          <w:tcPr>
            <w:tcW w:w="2700" w:type="dxa"/>
            <w:vAlign w:val="bottom"/>
          </w:tcPr>
          <w:p w:rsidR="0093392F" w:rsidRPr="009504FB" w:rsidRDefault="0093392F" w:rsidP="008860B1">
            <w:pPr>
              <w:jc w:val="center"/>
            </w:pPr>
            <w:r w:rsidRPr="009504FB">
              <w:t xml:space="preserve"> Uninsured in both 2010 and 2014 </w:t>
            </w:r>
          </w:p>
        </w:tc>
        <w:tc>
          <w:tcPr>
            <w:tcW w:w="1710" w:type="dxa"/>
          </w:tcPr>
          <w:p w:rsidR="0093392F" w:rsidRPr="009504FB" w:rsidRDefault="0093392F" w:rsidP="008860B1">
            <w:pPr>
              <w:jc w:val="center"/>
              <w:rPr>
                <w:rFonts w:eastAsia="Times New Roman"/>
              </w:rPr>
            </w:pPr>
            <w:r w:rsidRPr="009504FB">
              <w:rPr>
                <w:rFonts w:eastAsia="Times New Roman"/>
              </w:rPr>
              <w:t>.05</w:t>
            </w:r>
          </w:p>
        </w:tc>
        <w:tc>
          <w:tcPr>
            <w:tcW w:w="1800" w:type="dxa"/>
          </w:tcPr>
          <w:p w:rsidR="0093392F" w:rsidRPr="009504FB" w:rsidRDefault="0093392F" w:rsidP="008860B1">
            <w:pPr>
              <w:jc w:val="center"/>
              <w:rPr>
                <w:rFonts w:eastAsia="Times New Roman"/>
              </w:rPr>
            </w:pPr>
            <w:r w:rsidRPr="009504FB">
              <w:rPr>
                <w:rFonts w:eastAsia="Times New Roman"/>
              </w:rPr>
              <w:t>-.13**</w:t>
            </w:r>
          </w:p>
        </w:tc>
        <w:tc>
          <w:tcPr>
            <w:tcW w:w="1515" w:type="dxa"/>
          </w:tcPr>
          <w:p w:rsidR="0093392F" w:rsidRPr="009504FB" w:rsidRDefault="0093392F" w:rsidP="008860B1">
            <w:pPr>
              <w:jc w:val="center"/>
              <w:rPr>
                <w:rFonts w:eastAsia="Times New Roman"/>
              </w:rPr>
            </w:pPr>
            <w:r w:rsidRPr="009504FB">
              <w:rPr>
                <w:rFonts w:eastAsia="Times New Roman"/>
              </w:rPr>
              <w:t>0</w:t>
            </w:r>
          </w:p>
        </w:tc>
        <w:tc>
          <w:tcPr>
            <w:tcW w:w="1540" w:type="dxa"/>
          </w:tcPr>
          <w:p w:rsidR="0093392F" w:rsidRPr="009504FB" w:rsidRDefault="0093392F" w:rsidP="008860B1">
            <w:pPr>
              <w:jc w:val="center"/>
              <w:rPr>
                <w:rFonts w:eastAsia="Times New Roman"/>
              </w:rPr>
            </w:pPr>
            <w:r w:rsidRPr="009504FB">
              <w:rPr>
                <w:rFonts w:eastAsia="Times New Roman"/>
              </w:rPr>
              <w:t>-.13**</w:t>
            </w:r>
          </w:p>
        </w:tc>
      </w:tr>
      <w:tr w:rsidR="0093392F" w:rsidRPr="009504FB" w:rsidTr="008860B1">
        <w:tc>
          <w:tcPr>
            <w:tcW w:w="2700" w:type="dxa"/>
            <w:vAlign w:val="bottom"/>
          </w:tcPr>
          <w:p w:rsidR="0093392F" w:rsidRPr="009504FB" w:rsidRDefault="0093392F" w:rsidP="008860B1">
            <w:pPr>
              <w:jc w:val="center"/>
            </w:pPr>
            <w:r w:rsidRPr="009504FB">
              <w:t>Party Identification</w:t>
            </w:r>
          </w:p>
          <w:p w:rsidR="0093392F" w:rsidRPr="009504FB" w:rsidRDefault="0093392F" w:rsidP="008860B1">
            <w:pPr>
              <w:jc w:val="center"/>
            </w:pPr>
            <w:r w:rsidRPr="009504FB">
              <w:t>(Coded toward Strong Democrat)</w:t>
            </w:r>
          </w:p>
        </w:tc>
        <w:tc>
          <w:tcPr>
            <w:tcW w:w="1710" w:type="dxa"/>
            <w:vAlign w:val="bottom"/>
          </w:tcPr>
          <w:p w:rsidR="0093392F" w:rsidRPr="009504FB" w:rsidRDefault="0093392F" w:rsidP="008860B1">
            <w:pPr>
              <w:jc w:val="center"/>
            </w:pPr>
            <w:r w:rsidRPr="009504FB">
              <w:t>.16*</w:t>
            </w:r>
          </w:p>
        </w:tc>
        <w:tc>
          <w:tcPr>
            <w:tcW w:w="1800" w:type="dxa"/>
          </w:tcPr>
          <w:p w:rsidR="0093392F" w:rsidRPr="009504FB" w:rsidRDefault="0093392F" w:rsidP="008860B1">
            <w:pPr>
              <w:jc w:val="center"/>
            </w:pPr>
            <w:r w:rsidRPr="009504FB">
              <w:t>.17**</w:t>
            </w:r>
          </w:p>
        </w:tc>
        <w:tc>
          <w:tcPr>
            <w:tcW w:w="1515" w:type="dxa"/>
          </w:tcPr>
          <w:p w:rsidR="0093392F" w:rsidRPr="009504FB" w:rsidRDefault="0093392F" w:rsidP="008860B1">
            <w:pPr>
              <w:jc w:val="center"/>
            </w:pPr>
            <w:r w:rsidRPr="009504FB">
              <w:t>.01</w:t>
            </w:r>
          </w:p>
        </w:tc>
        <w:tc>
          <w:tcPr>
            <w:tcW w:w="1540" w:type="dxa"/>
          </w:tcPr>
          <w:p w:rsidR="0093392F" w:rsidRPr="009504FB" w:rsidRDefault="0093392F" w:rsidP="008860B1">
            <w:pPr>
              <w:jc w:val="center"/>
            </w:pPr>
            <w:r w:rsidRPr="009504FB">
              <w:t>.18**</w:t>
            </w:r>
          </w:p>
        </w:tc>
      </w:tr>
      <w:tr w:rsidR="0093392F" w:rsidRPr="009504FB" w:rsidTr="008860B1">
        <w:tc>
          <w:tcPr>
            <w:tcW w:w="2700" w:type="dxa"/>
            <w:vAlign w:val="bottom"/>
          </w:tcPr>
          <w:p w:rsidR="0093392F" w:rsidRPr="009504FB" w:rsidRDefault="0093392F" w:rsidP="008860B1">
            <w:pPr>
              <w:jc w:val="center"/>
            </w:pPr>
            <w:r w:rsidRPr="009504FB">
              <w:t>Trust in Government</w:t>
            </w:r>
          </w:p>
          <w:p w:rsidR="0093392F" w:rsidRPr="009504FB" w:rsidRDefault="0093392F" w:rsidP="008860B1">
            <w:pPr>
              <w:jc w:val="center"/>
            </w:pPr>
          </w:p>
        </w:tc>
        <w:tc>
          <w:tcPr>
            <w:tcW w:w="1710" w:type="dxa"/>
          </w:tcPr>
          <w:p w:rsidR="0093392F" w:rsidRPr="009504FB" w:rsidRDefault="0093392F" w:rsidP="008860B1">
            <w:pPr>
              <w:jc w:val="center"/>
              <w:rPr>
                <w:rFonts w:eastAsia="Times New Roman"/>
              </w:rPr>
            </w:pPr>
            <w:r w:rsidRPr="009504FB">
              <w:rPr>
                <w:rFonts w:eastAsia="Times New Roman"/>
              </w:rPr>
              <w:t>.17**</w:t>
            </w:r>
          </w:p>
        </w:tc>
        <w:tc>
          <w:tcPr>
            <w:tcW w:w="1800" w:type="dxa"/>
          </w:tcPr>
          <w:p w:rsidR="0093392F" w:rsidRPr="009504FB" w:rsidRDefault="0093392F" w:rsidP="008860B1">
            <w:pPr>
              <w:jc w:val="center"/>
              <w:rPr>
                <w:rFonts w:eastAsia="Times New Roman"/>
              </w:rPr>
            </w:pPr>
            <w:r w:rsidRPr="009504FB">
              <w:rPr>
                <w:rFonts w:eastAsia="Times New Roman"/>
              </w:rPr>
              <w:t>.09**</w:t>
            </w:r>
          </w:p>
        </w:tc>
        <w:tc>
          <w:tcPr>
            <w:tcW w:w="1515" w:type="dxa"/>
          </w:tcPr>
          <w:p w:rsidR="0093392F" w:rsidRPr="009504FB" w:rsidRDefault="0093392F" w:rsidP="008860B1">
            <w:pPr>
              <w:jc w:val="center"/>
              <w:rPr>
                <w:rFonts w:eastAsia="Times New Roman"/>
              </w:rPr>
            </w:pPr>
            <w:r w:rsidRPr="009504FB">
              <w:rPr>
                <w:rFonts w:eastAsia="Times New Roman"/>
              </w:rPr>
              <w:t>.01</w:t>
            </w:r>
          </w:p>
        </w:tc>
        <w:tc>
          <w:tcPr>
            <w:tcW w:w="1540" w:type="dxa"/>
          </w:tcPr>
          <w:p w:rsidR="0093392F" w:rsidRPr="009504FB" w:rsidRDefault="0093392F" w:rsidP="008860B1">
            <w:pPr>
              <w:jc w:val="center"/>
              <w:rPr>
                <w:rFonts w:eastAsia="Times New Roman"/>
              </w:rPr>
            </w:pPr>
            <w:r w:rsidRPr="009504FB">
              <w:rPr>
                <w:rFonts w:eastAsia="Times New Roman"/>
              </w:rPr>
              <w:t>.1**</w:t>
            </w:r>
          </w:p>
        </w:tc>
      </w:tr>
      <w:tr w:rsidR="0093392F" w:rsidRPr="009504FB" w:rsidTr="008860B1">
        <w:tc>
          <w:tcPr>
            <w:tcW w:w="2700" w:type="dxa"/>
            <w:vAlign w:val="bottom"/>
          </w:tcPr>
          <w:p w:rsidR="0093392F" w:rsidRPr="009504FB" w:rsidRDefault="0093392F" w:rsidP="008860B1">
            <w:pPr>
              <w:jc w:val="center"/>
            </w:pPr>
            <w:r w:rsidRPr="009504FB">
              <w:t>View of ACA Impact on Taxes R Pays 2014 (Coded toward no impact or decreased)</w:t>
            </w:r>
          </w:p>
        </w:tc>
        <w:tc>
          <w:tcPr>
            <w:tcW w:w="1710" w:type="dxa"/>
          </w:tcPr>
          <w:p w:rsidR="0093392F" w:rsidRPr="009504FB" w:rsidRDefault="0093392F" w:rsidP="008860B1">
            <w:pPr>
              <w:jc w:val="center"/>
            </w:pPr>
          </w:p>
        </w:tc>
        <w:tc>
          <w:tcPr>
            <w:tcW w:w="1800" w:type="dxa"/>
          </w:tcPr>
          <w:p w:rsidR="0093392F" w:rsidRPr="009504FB" w:rsidRDefault="0093392F" w:rsidP="008860B1">
            <w:pPr>
              <w:jc w:val="center"/>
            </w:pPr>
            <w:r w:rsidRPr="009504FB">
              <w:t>-.05</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-.05</w:t>
            </w:r>
          </w:p>
        </w:tc>
      </w:tr>
      <w:tr w:rsidR="0093392F" w:rsidRPr="009504FB" w:rsidTr="008860B1">
        <w:tc>
          <w:tcPr>
            <w:tcW w:w="2700" w:type="dxa"/>
            <w:vAlign w:val="bottom"/>
          </w:tcPr>
          <w:p w:rsidR="0093392F" w:rsidRPr="009504FB" w:rsidRDefault="0093392F" w:rsidP="008860B1">
            <w:pPr>
              <w:jc w:val="center"/>
            </w:pPr>
            <w:r w:rsidRPr="009504FB">
              <w:t>Lagged Effect of 2010 View of ACA Impact on Taxes R Pays (Coded toward no impact or decreased)</w:t>
            </w:r>
          </w:p>
        </w:tc>
        <w:tc>
          <w:tcPr>
            <w:tcW w:w="1710" w:type="dxa"/>
          </w:tcPr>
          <w:p w:rsidR="0093392F" w:rsidRPr="009504FB" w:rsidRDefault="0093392F" w:rsidP="008860B1">
            <w:pPr>
              <w:jc w:val="center"/>
            </w:pPr>
            <w:r w:rsidRPr="009504FB">
              <w:t>.21**</w:t>
            </w:r>
          </w:p>
        </w:tc>
        <w:tc>
          <w:tcPr>
            <w:tcW w:w="1800" w:type="dxa"/>
          </w:tcPr>
          <w:p w:rsidR="0093392F" w:rsidRPr="009504FB" w:rsidRDefault="0093392F" w:rsidP="008860B1">
            <w:pPr>
              <w:jc w:val="center"/>
            </w:pPr>
            <w:r w:rsidRPr="009504FB">
              <w:t>-.02</w:t>
            </w:r>
          </w:p>
        </w:tc>
        <w:tc>
          <w:tcPr>
            <w:tcW w:w="1515" w:type="dxa"/>
          </w:tcPr>
          <w:p w:rsidR="0093392F" w:rsidRPr="009504FB" w:rsidRDefault="0093392F" w:rsidP="008860B1">
            <w:pPr>
              <w:jc w:val="center"/>
            </w:pPr>
            <w:r w:rsidRPr="009504FB">
              <w:t>.01</w:t>
            </w:r>
          </w:p>
        </w:tc>
        <w:tc>
          <w:tcPr>
            <w:tcW w:w="1540" w:type="dxa"/>
          </w:tcPr>
          <w:p w:rsidR="0093392F" w:rsidRPr="009504FB" w:rsidRDefault="0093392F" w:rsidP="008860B1">
            <w:pPr>
              <w:jc w:val="center"/>
            </w:pPr>
            <w:r w:rsidRPr="009504FB">
              <w:t>-.01</w:t>
            </w:r>
          </w:p>
        </w:tc>
      </w:tr>
      <w:tr w:rsidR="0093392F" w:rsidRPr="009504FB" w:rsidTr="008860B1">
        <w:tc>
          <w:tcPr>
            <w:tcW w:w="2700" w:type="dxa"/>
            <w:vAlign w:val="bottom"/>
          </w:tcPr>
          <w:p w:rsidR="0093392F" w:rsidRPr="009504FB" w:rsidRDefault="0093392F" w:rsidP="008860B1">
            <w:pPr>
              <w:jc w:val="center"/>
            </w:pPr>
            <w:r w:rsidRPr="009504FB">
              <w:t>Lagged Effect of 2010 Evaluation of the Health Reform Bill (Coded toward favorable)</w:t>
            </w:r>
          </w:p>
        </w:tc>
        <w:tc>
          <w:tcPr>
            <w:tcW w:w="1710" w:type="dxa"/>
            <w:vAlign w:val="bottom"/>
          </w:tcPr>
          <w:p w:rsidR="0093392F" w:rsidRPr="009504FB" w:rsidRDefault="0093392F" w:rsidP="008860B1">
            <w:pPr>
              <w:jc w:val="center"/>
            </w:pPr>
            <w:r w:rsidRPr="009504FB">
              <w:t>.02</w:t>
            </w:r>
          </w:p>
        </w:tc>
        <w:tc>
          <w:tcPr>
            <w:tcW w:w="1800" w:type="dxa"/>
          </w:tcPr>
          <w:p w:rsidR="0093392F" w:rsidRPr="009504FB" w:rsidRDefault="0093392F" w:rsidP="008860B1">
            <w:pPr>
              <w:jc w:val="center"/>
            </w:pPr>
            <w:r w:rsidRPr="009504FB">
              <w:t>.22**</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.22**</w:t>
            </w:r>
          </w:p>
        </w:tc>
      </w:tr>
      <w:tr w:rsidR="0093392F" w:rsidRPr="009504FB" w:rsidTr="008860B1">
        <w:tc>
          <w:tcPr>
            <w:tcW w:w="2700" w:type="dxa"/>
            <w:vAlign w:val="bottom"/>
          </w:tcPr>
          <w:p w:rsidR="0093392F" w:rsidRPr="009504FB" w:rsidRDefault="0093392F" w:rsidP="008860B1">
            <w:pPr>
              <w:jc w:val="center"/>
            </w:pPr>
            <w:r w:rsidRPr="009504FB">
              <w:t>Gender (higher value is assigned to female)</w:t>
            </w:r>
          </w:p>
        </w:tc>
        <w:tc>
          <w:tcPr>
            <w:tcW w:w="1710" w:type="dxa"/>
            <w:vAlign w:val="bottom"/>
          </w:tcPr>
          <w:p w:rsidR="0093392F" w:rsidRPr="009504FB" w:rsidRDefault="0093392F" w:rsidP="008860B1">
            <w:pPr>
              <w:jc w:val="center"/>
            </w:pPr>
            <w:r w:rsidRPr="009504FB">
              <w:t>-.03</w:t>
            </w:r>
          </w:p>
        </w:tc>
        <w:tc>
          <w:tcPr>
            <w:tcW w:w="1800" w:type="dxa"/>
          </w:tcPr>
          <w:p w:rsidR="0093392F" w:rsidRPr="009504FB" w:rsidRDefault="0093392F" w:rsidP="008860B1">
            <w:pPr>
              <w:jc w:val="center"/>
            </w:pPr>
            <w:r w:rsidRPr="009504FB">
              <w:t>.01</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.01</w:t>
            </w:r>
          </w:p>
        </w:tc>
      </w:tr>
      <w:tr w:rsidR="0093392F" w:rsidRPr="009504FB" w:rsidTr="008860B1">
        <w:tc>
          <w:tcPr>
            <w:tcW w:w="2700" w:type="dxa"/>
            <w:vAlign w:val="bottom"/>
          </w:tcPr>
          <w:p w:rsidR="0093392F" w:rsidRPr="009504FB" w:rsidRDefault="0093392F" w:rsidP="008860B1">
            <w:pPr>
              <w:jc w:val="center"/>
            </w:pPr>
            <w:r w:rsidRPr="009504FB">
              <w:t>Race (non-white)</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lastRenderedPageBreak/>
              <w:t>-.02</w:t>
            </w:r>
          </w:p>
        </w:tc>
        <w:tc>
          <w:tcPr>
            <w:tcW w:w="1800" w:type="dxa"/>
          </w:tcPr>
          <w:p w:rsidR="0093392F" w:rsidRPr="009504FB" w:rsidRDefault="0093392F" w:rsidP="008860B1">
            <w:pPr>
              <w:jc w:val="center"/>
            </w:pPr>
            <w:r w:rsidRPr="009504FB">
              <w:t>.08+</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.08+</w:t>
            </w:r>
          </w:p>
        </w:tc>
      </w:tr>
      <w:tr w:rsidR="0093392F" w:rsidRPr="009504FB" w:rsidTr="008860B1">
        <w:tc>
          <w:tcPr>
            <w:tcW w:w="2700" w:type="dxa"/>
            <w:vAlign w:val="bottom"/>
          </w:tcPr>
          <w:p w:rsidR="0093392F" w:rsidRPr="009504FB" w:rsidRDefault="0093392F" w:rsidP="008860B1">
            <w:pPr>
              <w:jc w:val="center"/>
            </w:pPr>
            <w:r w:rsidRPr="009504FB">
              <w:t>Income (less than 35,000 annually)</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0</w:t>
            </w:r>
          </w:p>
        </w:tc>
        <w:tc>
          <w:tcPr>
            <w:tcW w:w="1800" w:type="dxa"/>
          </w:tcPr>
          <w:p w:rsidR="0093392F" w:rsidRPr="009504FB" w:rsidRDefault="0093392F" w:rsidP="008860B1">
            <w:pPr>
              <w:jc w:val="center"/>
            </w:pPr>
            <w:r w:rsidRPr="009504FB">
              <w:t>0</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w:t>
            </w:r>
          </w:p>
        </w:tc>
      </w:tr>
      <w:tr w:rsidR="0093392F" w:rsidRPr="009504FB" w:rsidTr="008860B1">
        <w:tc>
          <w:tcPr>
            <w:tcW w:w="2700" w:type="dxa"/>
            <w:vAlign w:val="bottom"/>
          </w:tcPr>
          <w:p w:rsidR="0093392F" w:rsidRPr="009504FB" w:rsidRDefault="0093392F" w:rsidP="008860B1">
            <w:pPr>
              <w:jc w:val="center"/>
            </w:pPr>
            <w:r w:rsidRPr="009504FB">
              <w:t>Year of birth (younger)</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-.05</w:t>
            </w:r>
          </w:p>
        </w:tc>
        <w:tc>
          <w:tcPr>
            <w:tcW w:w="1800" w:type="dxa"/>
          </w:tcPr>
          <w:p w:rsidR="0093392F" w:rsidRPr="009504FB" w:rsidRDefault="0093392F" w:rsidP="008860B1">
            <w:pPr>
              <w:jc w:val="center"/>
            </w:pPr>
            <w:r w:rsidRPr="009504FB">
              <w:t>-.06</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-.06</w:t>
            </w:r>
          </w:p>
        </w:tc>
      </w:tr>
      <w:tr w:rsidR="0093392F" w:rsidRPr="009504FB" w:rsidTr="008860B1">
        <w:tc>
          <w:tcPr>
            <w:tcW w:w="2700" w:type="dxa"/>
            <w:vAlign w:val="bottom"/>
          </w:tcPr>
          <w:p w:rsidR="0093392F" w:rsidRPr="009504FB" w:rsidRDefault="0093392F" w:rsidP="008860B1">
            <w:pPr>
              <w:jc w:val="center"/>
            </w:pPr>
            <w:r w:rsidRPr="009504FB">
              <w:t>Education (higher)</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-.03</w:t>
            </w:r>
          </w:p>
        </w:tc>
        <w:tc>
          <w:tcPr>
            <w:tcW w:w="1800" w:type="dxa"/>
          </w:tcPr>
          <w:p w:rsidR="0093392F" w:rsidRPr="009504FB" w:rsidRDefault="0093392F" w:rsidP="008860B1">
            <w:pPr>
              <w:jc w:val="center"/>
            </w:pPr>
            <w:r w:rsidRPr="009504FB">
              <w:t>.04</w:t>
            </w:r>
          </w:p>
        </w:tc>
        <w:tc>
          <w:tcPr>
            <w:tcW w:w="1515" w:type="dxa"/>
          </w:tcPr>
          <w:p w:rsidR="0093392F" w:rsidRPr="009504FB" w:rsidRDefault="0093392F" w:rsidP="008860B1">
            <w:pPr>
              <w:jc w:val="center"/>
            </w:pPr>
            <w:r w:rsidRPr="009504FB">
              <w:t>0</w:t>
            </w:r>
          </w:p>
        </w:tc>
        <w:tc>
          <w:tcPr>
            <w:tcW w:w="1540" w:type="dxa"/>
          </w:tcPr>
          <w:p w:rsidR="0093392F" w:rsidRPr="009504FB" w:rsidRDefault="0093392F" w:rsidP="008860B1">
            <w:pPr>
              <w:jc w:val="center"/>
            </w:pPr>
            <w:r w:rsidRPr="009504FB">
              <w:t>.04</w:t>
            </w:r>
          </w:p>
        </w:tc>
      </w:tr>
      <w:tr w:rsidR="0093392F" w:rsidRPr="009504FB" w:rsidTr="008860B1">
        <w:tc>
          <w:tcPr>
            <w:tcW w:w="2700" w:type="dxa"/>
            <w:vAlign w:val="bottom"/>
          </w:tcPr>
          <w:p w:rsidR="0093392F" w:rsidRPr="009504FB" w:rsidRDefault="0093392F" w:rsidP="008860B1">
            <w:pPr>
              <w:jc w:val="center"/>
            </w:pPr>
            <w:r w:rsidRPr="009504FB">
              <w:t>Political Knowledge (higher)</w:t>
            </w:r>
          </w:p>
          <w:p w:rsidR="0093392F" w:rsidRPr="009504FB" w:rsidRDefault="0093392F" w:rsidP="008860B1">
            <w:pPr>
              <w:jc w:val="center"/>
            </w:pPr>
          </w:p>
        </w:tc>
        <w:tc>
          <w:tcPr>
            <w:tcW w:w="1710" w:type="dxa"/>
            <w:vAlign w:val="bottom"/>
          </w:tcPr>
          <w:p w:rsidR="0093392F" w:rsidRPr="009504FB" w:rsidRDefault="0093392F" w:rsidP="008860B1">
            <w:pPr>
              <w:jc w:val="center"/>
            </w:pPr>
            <w:r w:rsidRPr="009504FB">
              <w:t>.17**</w:t>
            </w:r>
          </w:p>
        </w:tc>
        <w:tc>
          <w:tcPr>
            <w:tcW w:w="1800" w:type="dxa"/>
          </w:tcPr>
          <w:p w:rsidR="0093392F" w:rsidRPr="009504FB" w:rsidRDefault="0093392F" w:rsidP="008860B1">
            <w:pPr>
              <w:jc w:val="center"/>
            </w:pPr>
            <w:r w:rsidRPr="009504FB">
              <w:t>0</w:t>
            </w:r>
          </w:p>
        </w:tc>
        <w:tc>
          <w:tcPr>
            <w:tcW w:w="1515" w:type="dxa"/>
          </w:tcPr>
          <w:p w:rsidR="0093392F" w:rsidRPr="009504FB" w:rsidRDefault="0093392F" w:rsidP="008860B1">
            <w:pPr>
              <w:jc w:val="center"/>
            </w:pPr>
            <w:r w:rsidRPr="009504FB">
              <w:t>.01</w:t>
            </w:r>
          </w:p>
        </w:tc>
        <w:tc>
          <w:tcPr>
            <w:tcW w:w="1540" w:type="dxa"/>
          </w:tcPr>
          <w:p w:rsidR="0093392F" w:rsidRPr="009504FB" w:rsidRDefault="0093392F" w:rsidP="008860B1">
            <w:pPr>
              <w:jc w:val="center"/>
            </w:pPr>
            <w:r w:rsidRPr="009504FB">
              <w:t>.01</w:t>
            </w:r>
          </w:p>
        </w:tc>
      </w:tr>
      <w:tr w:rsidR="0093392F" w:rsidRPr="009504FB" w:rsidTr="008860B1">
        <w:tc>
          <w:tcPr>
            <w:tcW w:w="2700" w:type="dxa"/>
            <w:vAlign w:val="bottom"/>
          </w:tcPr>
          <w:p w:rsidR="0093392F" w:rsidRPr="009504FB" w:rsidRDefault="0093392F" w:rsidP="008860B1">
            <w:pPr>
              <w:jc w:val="center"/>
            </w:pPr>
            <w:r w:rsidRPr="009504FB">
              <w:t>Constant</w:t>
            </w:r>
          </w:p>
          <w:p w:rsidR="0093392F" w:rsidRPr="009504FB" w:rsidRDefault="0093392F" w:rsidP="008860B1">
            <w:pPr>
              <w:jc w:val="center"/>
            </w:pPr>
          </w:p>
        </w:tc>
        <w:tc>
          <w:tcPr>
            <w:tcW w:w="1710" w:type="dxa"/>
            <w:vAlign w:val="bottom"/>
          </w:tcPr>
          <w:p w:rsidR="0093392F" w:rsidRPr="009504FB" w:rsidRDefault="0093392F" w:rsidP="008860B1">
            <w:pPr>
              <w:jc w:val="center"/>
            </w:pPr>
          </w:p>
        </w:tc>
        <w:tc>
          <w:tcPr>
            <w:tcW w:w="1800" w:type="dxa"/>
          </w:tcPr>
          <w:p w:rsidR="0093392F" w:rsidRPr="009504FB" w:rsidRDefault="0093392F" w:rsidP="008860B1">
            <w:pPr>
              <w:jc w:val="center"/>
            </w:pPr>
          </w:p>
        </w:tc>
        <w:tc>
          <w:tcPr>
            <w:tcW w:w="1515" w:type="dxa"/>
          </w:tcPr>
          <w:p w:rsidR="0093392F" w:rsidRPr="009504FB" w:rsidRDefault="0093392F" w:rsidP="008860B1">
            <w:pPr>
              <w:jc w:val="center"/>
            </w:pPr>
          </w:p>
        </w:tc>
        <w:tc>
          <w:tcPr>
            <w:tcW w:w="1540" w:type="dxa"/>
          </w:tcPr>
          <w:p w:rsidR="0093392F" w:rsidRPr="009504FB" w:rsidRDefault="0093392F" w:rsidP="008860B1">
            <w:pPr>
              <w:jc w:val="center"/>
            </w:pPr>
          </w:p>
        </w:tc>
      </w:tr>
      <w:tr w:rsidR="0093392F" w:rsidRPr="009504FB" w:rsidTr="008860B1">
        <w:tc>
          <w:tcPr>
            <w:tcW w:w="2700" w:type="dxa"/>
            <w:vAlign w:val="bottom"/>
          </w:tcPr>
          <w:p w:rsidR="0093392F" w:rsidRPr="009504FB" w:rsidRDefault="0093392F" w:rsidP="008860B1">
            <w:pPr>
              <w:jc w:val="center"/>
            </w:pPr>
            <w:r w:rsidRPr="009504FB">
              <w:t>Observations</w:t>
            </w:r>
          </w:p>
        </w:tc>
        <w:tc>
          <w:tcPr>
            <w:tcW w:w="1710" w:type="dxa"/>
            <w:vAlign w:val="bottom"/>
          </w:tcPr>
          <w:p w:rsidR="0093392F" w:rsidRPr="009504FB" w:rsidRDefault="0093392F" w:rsidP="008860B1">
            <w:pPr>
              <w:jc w:val="center"/>
            </w:pPr>
            <w:r w:rsidRPr="009504FB">
              <w:t>792</w:t>
            </w:r>
          </w:p>
        </w:tc>
        <w:tc>
          <w:tcPr>
            <w:tcW w:w="1800" w:type="dxa"/>
          </w:tcPr>
          <w:p w:rsidR="0093392F" w:rsidRPr="009504FB" w:rsidRDefault="0093392F" w:rsidP="008860B1">
            <w:pPr>
              <w:jc w:val="center"/>
            </w:pPr>
          </w:p>
        </w:tc>
        <w:tc>
          <w:tcPr>
            <w:tcW w:w="1515" w:type="dxa"/>
          </w:tcPr>
          <w:p w:rsidR="0093392F" w:rsidRPr="009504FB" w:rsidRDefault="0093392F" w:rsidP="008860B1">
            <w:pPr>
              <w:jc w:val="center"/>
            </w:pPr>
          </w:p>
        </w:tc>
        <w:tc>
          <w:tcPr>
            <w:tcW w:w="1540" w:type="dxa"/>
          </w:tcPr>
          <w:p w:rsidR="0093392F" w:rsidRPr="009504FB" w:rsidRDefault="0093392F" w:rsidP="008860B1">
            <w:pPr>
              <w:jc w:val="center"/>
            </w:pPr>
          </w:p>
        </w:tc>
      </w:tr>
      <w:tr w:rsidR="0093392F" w:rsidRPr="009504FB" w:rsidTr="008860B1">
        <w:tc>
          <w:tcPr>
            <w:tcW w:w="2700" w:type="dxa"/>
            <w:vAlign w:val="bottom"/>
          </w:tcPr>
          <w:p w:rsidR="0093392F" w:rsidRPr="009504FB" w:rsidRDefault="0093392F" w:rsidP="008860B1">
            <w:pPr>
              <w:jc w:val="center"/>
            </w:pPr>
            <w:r w:rsidRPr="009504FB">
              <w:t>Adjusted R</w:t>
            </w:r>
            <w:r w:rsidRPr="009504FB">
              <w:rPr>
                <w:vertAlign w:val="superscript"/>
              </w:rPr>
              <w:t>2</w:t>
            </w:r>
          </w:p>
        </w:tc>
        <w:tc>
          <w:tcPr>
            <w:tcW w:w="1710" w:type="dxa"/>
            <w:vAlign w:val="bottom"/>
          </w:tcPr>
          <w:p w:rsidR="0093392F" w:rsidRPr="009504FB" w:rsidRDefault="0093392F" w:rsidP="008860B1">
            <w:pPr>
              <w:jc w:val="center"/>
            </w:pPr>
            <w:r w:rsidRPr="009504FB">
              <w:t>.73</w:t>
            </w:r>
          </w:p>
        </w:tc>
        <w:tc>
          <w:tcPr>
            <w:tcW w:w="1800" w:type="dxa"/>
          </w:tcPr>
          <w:p w:rsidR="0093392F" w:rsidRPr="009504FB" w:rsidRDefault="0093392F" w:rsidP="008860B1">
            <w:pPr>
              <w:jc w:val="center"/>
            </w:pPr>
          </w:p>
        </w:tc>
        <w:tc>
          <w:tcPr>
            <w:tcW w:w="1515" w:type="dxa"/>
          </w:tcPr>
          <w:p w:rsidR="0093392F" w:rsidRPr="009504FB" w:rsidRDefault="0093392F" w:rsidP="008860B1">
            <w:pPr>
              <w:jc w:val="center"/>
            </w:pPr>
          </w:p>
        </w:tc>
        <w:tc>
          <w:tcPr>
            <w:tcW w:w="1540" w:type="dxa"/>
          </w:tcPr>
          <w:p w:rsidR="0093392F" w:rsidRPr="009504FB" w:rsidRDefault="0093392F" w:rsidP="008860B1">
            <w:pPr>
              <w:jc w:val="center"/>
            </w:pPr>
          </w:p>
        </w:tc>
      </w:tr>
    </w:tbl>
    <w:tbl>
      <w:tblPr>
        <w:tblW w:w="9555" w:type="dxa"/>
        <w:tblInd w:w="93" w:type="dxa"/>
        <w:tblLook w:val="04A0" w:firstRow="1" w:lastRow="0" w:firstColumn="1" w:lastColumn="0" w:noHBand="0" w:noVBand="1"/>
      </w:tblPr>
      <w:tblGrid>
        <w:gridCol w:w="9555"/>
      </w:tblGrid>
      <w:tr w:rsidR="0093392F" w:rsidRPr="009504FB" w:rsidTr="008860B1">
        <w:trPr>
          <w:trHeight w:val="300"/>
        </w:trPr>
        <w:tc>
          <w:tcPr>
            <w:tcW w:w="9555" w:type="dxa"/>
            <w:tcBorders>
              <w:top w:val="nil"/>
              <w:left w:val="nil"/>
              <w:bottom w:val="nil"/>
              <w:right w:val="nil"/>
            </w:tcBorders>
            <w:shd w:val="clear" w:color="auto" w:fill="auto"/>
            <w:noWrap/>
            <w:vAlign w:val="bottom"/>
            <w:hideMark/>
          </w:tcPr>
          <w:p w:rsidR="0093392F" w:rsidRDefault="0093392F" w:rsidP="008860B1">
            <w:pPr>
              <w:rPr>
                <w:rFonts w:eastAsia="Times New Roman"/>
              </w:rPr>
            </w:pPr>
            <w:r w:rsidRPr="009504FB">
              <w:rPr>
                <w:rFonts w:eastAsia="Times New Roman"/>
              </w:rPr>
              <w:t xml:space="preserve">+p&lt;.10, *p&lt;.05, **p&lt;.01. </w:t>
            </w:r>
          </w:p>
          <w:p w:rsidR="0093392F" w:rsidRPr="009504FB" w:rsidRDefault="0093392F" w:rsidP="008860B1">
            <w:pPr>
              <w:rPr>
                <w:rFonts w:eastAsia="Times New Roman"/>
              </w:rPr>
            </w:pPr>
            <w:r w:rsidRPr="009504FB">
              <w:rPr>
                <w:rFonts w:eastAsia="Times New Roman"/>
              </w:rPr>
              <w:t xml:space="preserve">Results obtained using </w:t>
            </w:r>
            <w:r w:rsidRPr="009504FB">
              <w:t>structural equation modeling based on maximum likelihood estimation, with standardized coefficients. ACA Support is a 9-point interval variable, while Effect of New Health Law on Taxes R Pays is a 3-point ordinal variable. All variables measured in 2014 unless otherwise noted. E</w:t>
            </w:r>
            <w:r w:rsidRPr="009504FB">
              <w:rPr>
                <w:rFonts w:eastAsia="Times New Roman"/>
              </w:rPr>
              <w:t>xact question wording is in the Appendix. Note: The sum of direct effects and indirect effects do not equal total effects in all cases due to rounding errors.</w:t>
            </w:r>
          </w:p>
          <w:p w:rsidR="0093392F" w:rsidRPr="009504FB" w:rsidRDefault="0093392F" w:rsidP="008860B1">
            <w:pPr>
              <w:rPr>
                <w:rFonts w:eastAsia="Times New Roman"/>
              </w:rPr>
            </w:pPr>
            <w:r w:rsidRPr="009504FB">
              <w:rPr>
                <w:rFonts w:eastAsia="Times New Roman"/>
              </w:rPr>
              <w:t>Source: US Public Policy Study, Wave 1-3.</w:t>
            </w:r>
          </w:p>
          <w:p w:rsidR="0093392F" w:rsidRPr="009504FB" w:rsidRDefault="0093392F" w:rsidP="008860B1">
            <w:pPr>
              <w:rPr>
                <w:rFonts w:eastAsia="Times New Roman"/>
              </w:rPr>
            </w:pPr>
            <w:proofErr w:type="spellStart"/>
            <w:r w:rsidRPr="009504FB">
              <w:rPr>
                <w:b/>
                <w:vertAlign w:val="superscript"/>
              </w:rPr>
              <w:t>a</w:t>
            </w:r>
            <w:proofErr w:type="spellEnd"/>
            <w:r w:rsidRPr="009504FB">
              <w:t xml:space="preserve"> </w:t>
            </w:r>
            <w:proofErr w:type="gramStart"/>
            <w:r w:rsidRPr="009504FB">
              <w:t>The</w:t>
            </w:r>
            <w:proofErr w:type="gramEnd"/>
            <w:r w:rsidRPr="009504FB">
              <w:t xml:space="preserve"> excluded reference category is insured in 2010 and 2014.</w:t>
            </w:r>
          </w:p>
        </w:tc>
      </w:tr>
    </w:tbl>
    <w:p w:rsidR="0093392F" w:rsidRPr="009504FB" w:rsidRDefault="0093392F" w:rsidP="0093392F">
      <w:pPr>
        <w:rPr>
          <w:b/>
        </w:rPr>
      </w:pPr>
    </w:p>
    <w:p w:rsidR="00B52860" w:rsidRDefault="00B52860"/>
    <w:sectPr w:rsidR="00B5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2F"/>
    <w:rsid w:val="0093392F"/>
    <w:rsid w:val="00A76961"/>
    <w:rsid w:val="00B52860"/>
    <w:rsid w:val="00BA130E"/>
    <w:rsid w:val="00DB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4194"/>
  <w15:chartTrackingRefBased/>
  <w15:docId w15:val="{B9581523-80D5-45AA-8FCE-8EECD34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92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49"/>
    <w:pPr>
      <w:ind w:left="720"/>
      <w:contextualSpacing/>
    </w:pPr>
    <w:rPr>
      <w:rFonts w:eastAsia="Times New Roman"/>
    </w:rPr>
  </w:style>
  <w:style w:type="table" w:styleId="TableGrid">
    <w:name w:val="Table Grid"/>
    <w:basedOn w:val="TableNormal"/>
    <w:uiPriority w:val="59"/>
    <w:rsid w:val="009339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Jacobs</dc:creator>
  <cp:keywords/>
  <dc:description/>
  <cp:lastModifiedBy>Larry Jacobs</cp:lastModifiedBy>
  <cp:revision>1</cp:revision>
  <dcterms:created xsi:type="dcterms:W3CDTF">2017-08-06T15:09:00Z</dcterms:created>
  <dcterms:modified xsi:type="dcterms:W3CDTF">2017-08-06T15:10:00Z</dcterms:modified>
</cp:coreProperties>
</file>