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80" w:rsidRDefault="001C5480" w:rsidP="001C5480">
      <w:pPr>
        <w:pStyle w:val="CCaption"/>
        <w:rPr>
          <w:b/>
        </w:rPr>
      </w:pPr>
      <w:r>
        <w:rPr>
          <w:b/>
        </w:rPr>
        <w:t>Supporting Information</w:t>
      </w:r>
    </w:p>
    <w:p w:rsidR="001C5480" w:rsidRDefault="001C5480" w:rsidP="001C5480">
      <w:pPr>
        <w:pStyle w:val="CCaption"/>
        <w:rPr>
          <w:b/>
        </w:rPr>
      </w:pPr>
    </w:p>
    <w:p w:rsidR="003A2DC3" w:rsidRDefault="003A2DC3" w:rsidP="003A2DC3">
      <w:pPr>
        <w:pStyle w:val="CCaption"/>
        <w:spacing w:after="0"/>
      </w:pPr>
      <w:r>
        <w:rPr>
          <w:b/>
        </w:rPr>
        <w:t>Figure</w:t>
      </w:r>
      <w:r w:rsidR="001C5480">
        <w:rPr>
          <w:b/>
        </w:rPr>
        <w:t xml:space="preserve"> S</w:t>
      </w:r>
      <w:r w:rsidR="001C5480" w:rsidRPr="00DE3ADF">
        <w:rPr>
          <w:b/>
        </w:rPr>
        <w:fldChar w:fldCharType="begin"/>
      </w:r>
      <w:r w:rsidR="001C5480" w:rsidRPr="00DE3ADF">
        <w:rPr>
          <w:b/>
        </w:rPr>
        <w:instrText xml:space="preserve"> SEQ Figure \* ARABIC \s 1 </w:instrText>
      </w:r>
      <w:r w:rsidR="001C5480" w:rsidRPr="00DE3ADF">
        <w:rPr>
          <w:b/>
        </w:rPr>
        <w:fldChar w:fldCharType="separate"/>
      </w:r>
      <w:r w:rsidR="001C5480">
        <w:rPr>
          <w:b/>
          <w:noProof/>
        </w:rPr>
        <w:t>1</w:t>
      </w:r>
      <w:r w:rsidR="001C5480" w:rsidRPr="00DE3ADF">
        <w:rPr>
          <w:b/>
        </w:rPr>
        <w:fldChar w:fldCharType="end"/>
      </w:r>
      <w:r w:rsidR="001C5480">
        <w:t xml:space="preserve">. </w:t>
      </w:r>
      <w:proofErr w:type="gramStart"/>
      <w:r w:rsidR="001C5480">
        <w:t xml:space="preserve">Distribution of the Toledo Area </w:t>
      </w:r>
      <w:proofErr w:type="spellStart"/>
      <w:r w:rsidR="001C5480">
        <w:t>Metroparks</w:t>
      </w:r>
      <w:proofErr w:type="spellEnd"/>
      <w:r w:rsidR="001C5480">
        <w:t xml:space="preserve"> in Lucas County, Ohio.</w:t>
      </w:r>
      <w:proofErr w:type="gramEnd"/>
      <w:r w:rsidR="001C5480">
        <w:t xml:space="preserve">  The populations included in this study are identified by the name of the park where the trees were sampled.  The parks that were included are Pearson, Wildwood, </w:t>
      </w:r>
      <w:proofErr w:type="spellStart"/>
      <w:r w:rsidR="001C5480">
        <w:t>Secor</w:t>
      </w:r>
      <w:proofErr w:type="spellEnd"/>
      <w:r w:rsidR="001C5480">
        <w:t xml:space="preserve">, Swan Creek, Oak Openings, Blue Creek, Fallen Timbers, and Side Cut.  </w:t>
      </w:r>
    </w:p>
    <w:p w:rsidR="003A2DC3" w:rsidRDefault="003A2DC3" w:rsidP="003A2DC3">
      <w:pPr>
        <w:pStyle w:val="CCaption"/>
        <w:spacing w:after="0"/>
      </w:pPr>
    </w:p>
    <w:p w:rsidR="001C5480" w:rsidRDefault="003A2DC3" w:rsidP="003A2DC3">
      <w:pPr>
        <w:pStyle w:val="CCaption"/>
        <w:spacing w:after="0"/>
        <w:rPr>
          <w:color w:val="000000"/>
        </w:rPr>
      </w:pPr>
      <w:r>
        <w:rPr>
          <w:b/>
        </w:rPr>
        <w:t>Figure S2</w:t>
      </w:r>
      <w:r w:rsidR="001C5480" w:rsidRPr="00DE3ADF">
        <w:rPr>
          <w:b/>
        </w:rPr>
        <w:t>.</w:t>
      </w:r>
      <w:r w:rsidR="001C5480">
        <w:t xml:space="preserve"> </w:t>
      </w:r>
      <w:r w:rsidR="001C5480">
        <w:rPr>
          <w:noProof/>
        </w:rPr>
        <w:t xml:space="preserve">Relationship of log geographical distance and genetic differentiation Fst/(1-Fst) between populations as proposed by Rousset (1997).  </w:t>
      </w:r>
      <w:r w:rsidR="001C5480">
        <w:rPr>
          <w:lang w:val="en-GB"/>
        </w:rPr>
        <w:t>(Mantel test, R</w:t>
      </w:r>
      <w:r w:rsidR="001C5480">
        <w:rPr>
          <w:vertAlign w:val="superscript"/>
          <w:lang w:val="en-GB"/>
        </w:rPr>
        <w:t>2</w:t>
      </w:r>
      <w:r w:rsidR="001C5480">
        <w:rPr>
          <w:lang w:val="en-GB"/>
        </w:rPr>
        <w:t xml:space="preserve"> = -0.056, P = 0.54)</w:t>
      </w:r>
      <w:r w:rsidR="001C5480">
        <w:rPr>
          <w:color w:val="000000"/>
        </w:rPr>
        <w:t xml:space="preserve">. </w:t>
      </w:r>
    </w:p>
    <w:p w:rsidR="003A2DC3" w:rsidRDefault="003A2DC3" w:rsidP="003A2DC3">
      <w:pPr>
        <w:pStyle w:val="CCaption"/>
        <w:spacing w:after="0"/>
        <w:rPr>
          <w:color w:val="000000"/>
        </w:rPr>
      </w:pPr>
    </w:p>
    <w:p w:rsidR="003A2DC3" w:rsidRDefault="003A2DC3" w:rsidP="003A2DC3">
      <w:pPr>
        <w:spacing w:after="0"/>
        <w:rPr>
          <w:rStyle w:val="apple-style-span"/>
          <w:color w:val="000000" w:themeColor="text1"/>
          <w:shd w:val="clear" w:color="auto" w:fill="FFFFFF"/>
        </w:rPr>
      </w:pPr>
      <w:r>
        <w:rPr>
          <w:b/>
          <w:color w:val="000000"/>
        </w:rPr>
        <w:t>Figure S3</w:t>
      </w:r>
      <w:r w:rsidRPr="003D1866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0C791C">
        <w:rPr>
          <w:color w:val="000000" w:themeColor="text1"/>
        </w:rPr>
        <w:t>Determination of the number of clus</w:t>
      </w:r>
      <w:r>
        <w:rPr>
          <w:color w:val="000000" w:themeColor="text1"/>
        </w:rPr>
        <w:t>ters present in the sample of 8</w:t>
      </w:r>
      <w:r w:rsidRPr="000C791C">
        <w:rPr>
          <w:color w:val="000000" w:themeColor="text1"/>
        </w:rPr>
        <w:t xml:space="preserve"> populations of </w:t>
      </w:r>
      <w:proofErr w:type="spellStart"/>
      <w:r>
        <w:rPr>
          <w:i/>
          <w:color w:val="000000" w:themeColor="text1"/>
        </w:rPr>
        <w:t>Fraxinus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pennsylvanica</w:t>
      </w:r>
      <w:proofErr w:type="spellEnd"/>
      <w:r w:rsidRPr="000C791C">
        <w:rPr>
          <w:color w:val="000000" w:themeColor="text1"/>
        </w:rPr>
        <w:t xml:space="preserve"> as estimated by the program Structure (</w:t>
      </w:r>
      <w:proofErr w:type="spellStart"/>
      <w:r w:rsidRPr="000C791C">
        <w:rPr>
          <w:color w:val="000000" w:themeColor="text1"/>
        </w:rPr>
        <w:t>Hubisz</w:t>
      </w:r>
      <w:proofErr w:type="spellEnd"/>
      <w:r w:rsidRPr="000C791C">
        <w:rPr>
          <w:color w:val="000000" w:themeColor="text1"/>
        </w:rPr>
        <w:t xml:space="preserve"> </w:t>
      </w:r>
      <w:r w:rsidRPr="004B0585">
        <w:rPr>
          <w:i/>
          <w:color w:val="000000" w:themeColor="text1"/>
        </w:rPr>
        <w:t>et al</w:t>
      </w:r>
      <w:r w:rsidRPr="000C791C">
        <w:rPr>
          <w:color w:val="000000" w:themeColor="text1"/>
        </w:rPr>
        <w:t xml:space="preserve">. 2009). </w:t>
      </w:r>
      <w:r w:rsidRPr="000C791C">
        <w:rPr>
          <w:rStyle w:val="apple-style-span"/>
          <w:color w:val="000000" w:themeColor="text1"/>
          <w:shd w:val="clear" w:color="auto" w:fill="FFFFFF"/>
        </w:rPr>
        <w:sym w:font="Symbol" w:char="F044"/>
      </w:r>
      <w:r w:rsidRPr="000C791C">
        <w:rPr>
          <w:rStyle w:val="apple-style-span"/>
          <w:i/>
          <w:color w:val="000000" w:themeColor="text1"/>
          <w:shd w:val="clear" w:color="auto" w:fill="FFFFFF"/>
        </w:rPr>
        <w:t>K</w:t>
      </w:r>
      <w:r w:rsidRPr="000C791C">
        <w:rPr>
          <w:rStyle w:val="apple-style-span"/>
          <w:color w:val="000000" w:themeColor="text1"/>
          <w:shd w:val="clear" w:color="auto" w:fill="FFFFFF"/>
        </w:rPr>
        <w:t xml:space="preserve"> is an </w:t>
      </w:r>
      <w:r w:rsidRPr="003C2674">
        <w:rPr>
          <w:rStyle w:val="apple-style-span"/>
          <w:i/>
          <w:color w:val="000000" w:themeColor="text1"/>
          <w:shd w:val="clear" w:color="auto" w:fill="FFFFFF"/>
        </w:rPr>
        <w:t>ad</w:t>
      </w:r>
      <w:r w:rsidRPr="000C791C">
        <w:rPr>
          <w:rStyle w:val="apple-style-span"/>
          <w:color w:val="000000" w:themeColor="text1"/>
          <w:shd w:val="clear" w:color="auto" w:fill="FFFFFF"/>
        </w:rPr>
        <w:t xml:space="preserve"> </w:t>
      </w:r>
      <w:r w:rsidRPr="003C2674">
        <w:rPr>
          <w:rStyle w:val="apple-style-span"/>
          <w:i/>
          <w:color w:val="000000" w:themeColor="text1"/>
          <w:shd w:val="clear" w:color="auto" w:fill="FFFFFF"/>
        </w:rPr>
        <w:t>hoc</w:t>
      </w:r>
      <w:r w:rsidRPr="000C791C">
        <w:rPr>
          <w:rStyle w:val="apple-style-span"/>
          <w:color w:val="000000" w:themeColor="text1"/>
          <w:shd w:val="clear" w:color="auto" w:fill="FFFFFF"/>
        </w:rPr>
        <w:t xml:space="preserve"> measure based upon the second order rate of change of the likelihood function with respect to each </w:t>
      </w:r>
      <w:r w:rsidRPr="000C791C">
        <w:rPr>
          <w:rStyle w:val="apple-style-span"/>
          <w:i/>
          <w:color w:val="000000" w:themeColor="text1"/>
          <w:shd w:val="clear" w:color="auto" w:fill="FFFFFF"/>
        </w:rPr>
        <w:t>K</w:t>
      </w:r>
      <w:r w:rsidRPr="000C791C">
        <w:rPr>
          <w:rStyle w:val="apple-style-span"/>
          <w:color w:val="000000" w:themeColor="text1"/>
          <w:shd w:val="clear" w:color="auto" w:fill="FFFFFF"/>
        </w:rPr>
        <w:t xml:space="preserve"> value (</w:t>
      </w:r>
      <w:proofErr w:type="spellStart"/>
      <w:r w:rsidRPr="000C791C">
        <w:rPr>
          <w:rStyle w:val="apple-style-span"/>
          <w:color w:val="000000" w:themeColor="text1"/>
          <w:shd w:val="clear" w:color="auto" w:fill="FFFFFF"/>
        </w:rPr>
        <w:t>Evanno</w:t>
      </w:r>
      <w:proofErr w:type="spellEnd"/>
      <w:r w:rsidRPr="000C791C">
        <w:rPr>
          <w:rStyle w:val="apple-style-span"/>
          <w:color w:val="000000" w:themeColor="text1"/>
          <w:shd w:val="clear" w:color="auto" w:fill="FFFFFF"/>
        </w:rPr>
        <w:t xml:space="preserve"> </w:t>
      </w:r>
      <w:r w:rsidRPr="000C791C">
        <w:rPr>
          <w:rStyle w:val="apple-style-span"/>
          <w:i/>
          <w:color w:val="000000" w:themeColor="text1"/>
          <w:shd w:val="clear" w:color="auto" w:fill="FFFFFF"/>
        </w:rPr>
        <w:t>et al</w:t>
      </w:r>
      <w:r w:rsidRPr="000C791C">
        <w:rPr>
          <w:rStyle w:val="apple-style-span"/>
          <w:color w:val="000000" w:themeColor="text1"/>
          <w:shd w:val="clear" w:color="auto" w:fill="FFFFFF"/>
        </w:rPr>
        <w:t xml:space="preserve">. 2005). The number of clusters corresponds to the modal value, which in this case corresponds to </w:t>
      </w:r>
      <w:r w:rsidRPr="000C791C">
        <w:rPr>
          <w:rStyle w:val="apple-style-span"/>
          <w:i/>
          <w:color w:val="000000" w:themeColor="text1"/>
          <w:shd w:val="clear" w:color="auto" w:fill="FFFFFF"/>
        </w:rPr>
        <w:t>K</w:t>
      </w:r>
      <w:r>
        <w:rPr>
          <w:rStyle w:val="apple-style-span"/>
          <w:color w:val="000000" w:themeColor="text1"/>
          <w:shd w:val="clear" w:color="auto" w:fill="FFFFFF"/>
        </w:rPr>
        <w:t xml:space="preserve"> = 3</w:t>
      </w:r>
      <w:r w:rsidRPr="000C791C">
        <w:rPr>
          <w:rStyle w:val="apple-style-span"/>
          <w:color w:val="000000" w:themeColor="text1"/>
          <w:shd w:val="clear" w:color="auto" w:fill="FFFFFF"/>
        </w:rPr>
        <w:t>.</w:t>
      </w:r>
    </w:p>
    <w:p w:rsidR="001C5480" w:rsidRDefault="001C5480" w:rsidP="001C5480">
      <w:pPr>
        <w:pStyle w:val="CCaption"/>
        <w:rPr>
          <w:color w:val="000000"/>
        </w:rPr>
      </w:pPr>
    </w:p>
    <w:p w:rsidR="001C5480" w:rsidRDefault="001C5480">
      <w:pPr>
        <w:spacing w:after="200" w:line="276" w:lineRule="auto"/>
        <w:contextualSpacing w:val="0"/>
        <w:jc w:val="left"/>
        <w:rPr>
          <w:color w:val="000000"/>
        </w:rPr>
      </w:pPr>
      <w:r>
        <w:rPr>
          <w:color w:val="000000"/>
        </w:rPr>
        <w:br w:type="page"/>
      </w:r>
    </w:p>
    <w:p w:rsidR="001C5480" w:rsidRDefault="001C5480" w:rsidP="001C5480">
      <w:pPr>
        <w:spacing w:after="200" w:line="276" w:lineRule="auto"/>
        <w:contextualSpacing w:val="0"/>
        <w:jc w:val="left"/>
        <w:rPr>
          <w:lang w:val="en-GB"/>
        </w:rPr>
      </w:pPr>
    </w:p>
    <w:p w:rsidR="001C5480" w:rsidRDefault="001C5480" w:rsidP="001C5480">
      <w:pPr>
        <w:spacing w:after="0" w:line="240" w:lineRule="auto"/>
        <w:ind w:firstLine="708"/>
        <w:jc w:val="left"/>
        <w:rPr>
          <w:lang w:val="en-GB"/>
        </w:rPr>
      </w:pPr>
      <w:r w:rsidRPr="00692F10">
        <w:rPr>
          <w:noProof/>
        </w:rPr>
        <w:drawing>
          <wp:inline distT="0" distB="0" distL="0" distR="0" wp14:anchorId="667EE867" wp14:editId="2DA69561">
            <wp:extent cx="5476875" cy="3819525"/>
            <wp:effectExtent l="19050" t="0" r="9525" b="0"/>
            <wp:docPr id="1" name="Picture 1" descr="All toledo park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toledo park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1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480" w:rsidRDefault="001C5480" w:rsidP="001C5480">
      <w:pPr>
        <w:pStyle w:val="CCaption"/>
        <w:spacing w:line="240" w:lineRule="auto"/>
      </w:pPr>
      <w:bookmarkStart w:id="0" w:name="_Toc278913380"/>
    </w:p>
    <w:p w:rsidR="001C5480" w:rsidRDefault="003A2DC3" w:rsidP="001C5480">
      <w:pPr>
        <w:pStyle w:val="CCaption"/>
        <w:spacing w:line="240" w:lineRule="auto"/>
      </w:pPr>
      <w:r>
        <w:rPr>
          <w:b/>
        </w:rPr>
        <w:t>Figure</w:t>
      </w:r>
      <w:r w:rsidR="001C5480">
        <w:rPr>
          <w:b/>
        </w:rPr>
        <w:t xml:space="preserve"> S</w:t>
      </w:r>
      <w:r w:rsidR="001C5480" w:rsidRPr="00DE3ADF">
        <w:rPr>
          <w:b/>
        </w:rPr>
        <w:fldChar w:fldCharType="begin"/>
      </w:r>
      <w:r w:rsidR="001C5480" w:rsidRPr="00DE3ADF">
        <w:rPr>
          <w:b/>
        </w:rPr>
        <w:instrText xml:space="preserve"> SEQ Figure \* ARABIC \s 1 </w:instrText>
      </w:r>
      <w:r w:rsidR="001C5480" w:rsidRPr="00DE3ADF">
        <w:rPr>
          <w:b/>
        </w:rPr>
        <w:fldChar w:fldCharType="separate"/>
      </w:r>
      <w:r w:rsidR="001C5480">
        <w:rPr>
          <w:b/>
          <w:noProof/>
        </w:rPr>
        <w:t>1</w:t>
      </w:r>
      <w:r w:rsidR="001C5480" w:rsidRPr="00DE3ADF">
        <w:rPr>
          <w:b/>
        </w:rPr>
        <w:fldChar w:fldCharType="end"/>
      </w:r>
      <w:r w:rsidR="001C5480">
        <w:t xml:space="preserve">. </w:t>
      </w:r>
      <w:bookmarkEnd w:id="0"/>
    </w:p>
    <w:p w:rsidR="001C5480" w:rsidRDefault="001C5480" w:rsidP="001C5480">
      <w:pPr>
        <w:spacing w:after="200" w:line="276" w:lineRule="auto"/>
        <w:contextualSpacing w:val="0"/>
        <w:jc w:val="left"/>
      </w:pPr>
      <w:r>
        <w:br w:type="page"/>
      </w:r>
    </w:p>
    <w:p w:rsidR="001C5480" w:rsidRDefault="001C5480" w:rsidP="001C5480">
      <w:pPr>
        <w:pStyle w:val="CCaption"/>
        <w:spacing w:line="240" w:lineRule="auto"/>
      </w:pPr>
    </w:p>
    <w:p w:rsidR="001C5480" w:rsidRDefault="001C5480" w:rsidP="001C5480">
      <w:pPr>
        <w:pStyle w:val="BodyText"/>
        <w:keepNext/>
      </w:pPr>
      <w:r>
        <w:rPr>
          <w:noProof/>
        </w:rPr>
        <w:drawing>
          <wp:inline distT="0" distB="0" distL="0" distR="0" wp14:anchorId="62B4DD0A" wp14:editId="4F90B8E1">
            <wp:extent cx="4867275" cy="3028950"/>
            <wp:effectExtent l="0" t="0" r="0" b="0"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80" w:rsidRDefault="00F62A7C" w:rsidP="00F62A7C">
      <w:pPr>
        <w:pStyle w:val="CCaption"/>
        <w:rPr>
          <w:color w:val="000000"/>
        </w:rPr>
      </w:pPr>
      <w:bookmarkStart w:id="1" w:name="_Toc278913382"/>
      <w:r>
        <w:rPr>
          <w:b/>
        </w:rPr>
        <w:t>Figure</w:t>
      </w:r>
      <w:r w:rsidR="001C5480">
        <w:rPr>
          <w:b/>
        </w:rPr>
        <w:t xml:space="preserve"> S</w:t>
      </w:r>
      <w:r w:rsidR="003A2DC3">
        <w:rPr>
          <w:b/>
        </w:rPr>
        <w:t>2</w:t>
      </w:r>
      <w:r w:rsidR="001C5480" w:rsidRPr="00DE3ADF">
        <w:rPr>
          <w:b/>
        </w:rPr>
        <w:t>.</w:t>
      </w:r>
      <w:r w:rsidR="001C5480">
        <w:t xml:space="preserve"> </w:t>
      </w:r>
      <w:bookmarkEnd w:id="1"/>
    </w:p>
    <w:p w:rsidR="001C5480" w:rsidRDefault="001C5480" w:rsidP="001C5480">
      <w:pPr>
        <w:pStyle w:val="CCaption"/>
        <w:spacing w:line="240" w:lineRule="auto"/>
        <w:rPr>
          <w:color w:val="000000"/>
        </w:rPr>
      </w:pPr>
    </w:p>
    <w:p w:rsidR="001C5480" w:rsidRDefault="001C5480" w:rsidP="001C5480">
      <w:pPr>
        <w:pStyle w:val="CCaption"/>
        <w:rPr>
          <w:color w:val="000000"/>
        </w:rPr>
      </w:pPr>
    </w:p>
    <w:p w:rsidR="003A2DC3" w:rsidRDefault="003A2DC3" w:rsidP="003A2DC3">
      <w:pPr>
        <w:spacing w:after="200" w:line="276" w:lineRule="auto"/>
        <w:contextualSpacing w:val="0"/>
        <w:jc w:val="left"/>
        <w:rPr>
          <w:color w:val="000000"/>
        </w:rPr>
      </w:pPr>
    </w:p>
    <w:p w:rsidR="003A2DC3" w:rsidRDefault="003A2DC3" w:rsidP="003A2DC3">
      <w:pPr>
        <w:pStyle w:val="CCaption"/>
        <w:spacing w:line="240" w:lineRule="auto"/>
        <w:rPr>
          <w:color w:val="000000"/>
        </w:rPr>
      </w:pPr>
    </w:p>
    <w:p w:rsidR="003A2DC3" w:rsidRDefault="003A2DC3" w:rsidP="003A2DC3">
      <w:pPr>
        <w:pStyle w:val="CCaption"/>
        <w:spacing w:line="240" w:lineRule="auto"/>
        <w:rPr>
          <w:color w:val="000000"/>
        </w:rPr>
      </w:pPr>
    </w:p>
    <w:p w:rsidR="003A2DC3" w:rsidRDefault="003A2DC3" w:rsidP="003A2DC3">
      <w:pPr>
        <w:pStyle w:val="CCaption"/>
        <w:spacing w:line="240" w:lineRule="auto"/>
        <w:rPr>
          <w:color w:val="000000"/>
        </w:rPr>
      </w:pPr>
    </w:p>
    <w:p w:rsidR="003A2DC3" w:rsidRDefault="003A2DC3" w:rsidP="003A2DC3">
      <w:pPr>
        <w:pStyle w:val="CCaption"/>
        <w:spacing w:line="240" w:lineRule="auto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2E237883" wp14:editId="21D30831">
            <wp:extent cx="5882640" cy="3215640"/>
            <wp:effectExtent l="0" t="0" r="3810" b="381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2DC3" w:rsidRDefault="003A2DC3" w:rsidP="003A2DC3">
      <w:pPr>
        <w:pStyle w:val="CCaption"/>
        <w:spacing w:line="240" w:lineRule="auto"/>
        <w:rPr>
          <w:color w:val="000000"/>
        </w:rPr>
      </w:pPr>
    </w:p>
    <w:p w:rsidR="003A2DC3" w:rsidRPr="007B75EF" w:rsidRDefault="003A2DC3" w:rsidP="003A2DC3">
      <w:pPr>
        <w:rPr>
          <w:color w:val="000000" w:themeColor="text1"/>
        </w:rPr>
      </w:pPr>
      <w:r w:rsidRPr="003D1866">
        <w:rPr>
          <w:b/>
          <w:color w:val="000000"/>
        </w:rPr>
        <w:t xml:space="preserve">Figure </w:t>
      </w:r>
      <w:r>
        <w:rPr>
          <w:b/>
          <w:color w:val="000000"/>
        </w:rPr>
        <w:t>S3</w:t>
      </w:r>
      <w:r w:rsidRPr="003D1866">
        <w:rPr>
          <w:b/>
          <w:color w:val="000000"/>
        </w:rPr>
        <w:t>.</w:t>
      </w:r>
      <w:r>
        <w:rPr>
          <w:color w:val="000000"/>
        </w:rPr>
        <w:t xml:space="preserve"> </w:t>
      </w:r>
    </w:p>
    <w:p w:rsidR="007E3736" w:rsidRDefault="007E3736">
      <w:pPr>
        <w:spacing w:after="200" w:line="276" w:lineRule="auto"/>
        <w:contextualSpacing w:val="0"/>
        <w:jc w:val="left"/>
      </w:pPr>
      <w:r>
        <w:br w:type="page"/>
      </w:r>
    </w:p>
    <w:p w:rsidR="007E3736" w:rsidRDefault="007E3736" w:rsidP="007E3736">
      <w:pPr>
        <w:spacing w:after="200"/>
        <w:contextualSpacing w:val="0"/>
        <w:jc w:val="left"/>
      </w:pPr>
    </w:p>
    <w:p w:rsidR="007E3736" w:rsidRDefault="007E3736" w:rsidP="007E3736">
      <w:pPr>
        <w:pStyle w:val="CCaption"/>
      </w:pPr>
      <w:bookmarkStart w:id="2" w:name="_Toc278913476"/>
      <w:r>
        <w:t xml:space="preserve">Table </w:t>
      </w:r>
      <w:r w:rsidR="00D847CF">
        <w:t>S1</w:t>
      </w:r>
      <w:r>
        <w:t xml:space="preserve">. </w:t>
      </w:r>
      <w:proofErr w:type="gramStart"/>
      <w:r>
        <w:t>Summary of Wright’s F-Statistics for all microsatellite loci.</w:t>
      </w:r>
      <w:bookmarkEnd w:id="2"/>
      <w:proofErr w:type="gramEnd"/>
      <w:r>
        <w:t xml:space="preserve">  </w:t>
      </w:r>
      <w:proofErr w:type="gramStart"/>
      <w:r>
        <w:rPr>
          <w:i/>
          <w:iCs/>
        </w:rPr>
        <w:t>F</w:t>
      </w:r>
      <w:r>
        <w:rPr>
          <w:i/>
          <w:iCs/>
          <w:vertAlign w:val="subscript"/>
        </w:rPr>
        <w:t>IS</w:t>
      </w:r>
      <w:r>
        <w:t xml:space="preserve">, inbreeding coefficient; </w:t>
      </w:r>
      <w:r>
        <w:rPr>
          <w:i/>
          <w:iCs/>
        </w:rPr>
        <w:t>F</w:t>
      </w:r>
      <w:r>
        <w:rPr>
          <w:i/>
          <w:iCs/>
          <w:vertAlign w:val="subscript"/>
        </w:rPr>
        <w:t>IT</w:t>
      </w:r>
      <w:r>
        <w:t xml:space="preserve">, deviation from Hardy-Weinberg proportions in the total population; </w:t>
      </w:r>
      <w:r>
        <w:rPr>
          <w:i/>
          <w:iCs/>
        </w:rPr>
        <w:t>F</w:t>
      </w:r>
      <w:r>
        <w:rPr>
          <w:i/>
          <w:iCs/>
          <w:vertAlign w:val="subscript"/>
        </w:rPr>
        <w:t>ST</w:t>
      </w:r>
      <w:r>
        <w:t>,</w:t>
      </w:r>
      <w:r>
        <w:rPr>
          <w:i/>
          <w:iCs/>
        </w:rPr>
        <w:t xml:space="preserve"> </w:t>
      </w:r>
      <w:r>
        <w:t>relative differentiation between popu</w:t>
      </w:r>
      <w:r w:rsidR="006E13BF">
        <w:t>lations.</w:t>
      </w:r>
      <w:proofErr w:type="gramEnd"/>
      <w:r w:rsidR="006E13BF">
        <w:t xml:space="preserve">  Loci are described by </w:t>
      </w:r>
      <w:proofErr w:type="spellStart"/>
      <w:r w:rsidR="006E13BF" w:rsidRPr="00076512">
        <w:rPr>
          <w:color w:val="000000"/>
        </w:rPr>
        <w:t>Lefort</w:t>
      </w:r>
      <w:proofErr w:type="spellEnd"/>
      <w:r w:rsidR="006E13BF">
        <w:rPr>
          <w:color w:val="000000"/>
        </w:rPr>
        <w:t xml:space="preserve"> </w:t>
      </w:r>
      <w:r w:rsidR="006E13BF" w:rsidRPr="006E13BF">
        <w:rPr>
          <w:i/>
          <w:color w:val="000000"/>
        </w:rPr>
        <w:t>et al.</w:t>
      </w:r>
      <w:r w:rsidR="006E13BF">
        <w:rPr>
          <w:color w:val="000000"/>
        </w:rPr>
        <w:t xml:space="preserve"> (1999).</w:t>
      </w:r>
    </w:p>
    <w:tbl>
      <w:tblPr>
        <w:tblW w:w="4989" w:type="dxa"/>
        <w:tblLook w:val="04A0" w:firstRow="1" w:lastRow="0" w:firstColumn="1" w:lastColumn="0" w:noHBand="0" w:noVBand="1"/>
      </w:tblPr>
      <w:tblGrid>
        <w:gridCol w:w="1654"/>
        <w:gridCol w:w="1295"/>
        <w:gridCol w:w="1084"/>
        <w:gridCol w:w="956"/>
      </w:tblGrid>
      <w:tr w:rsidR="007E3736" w:rsidTr="007E3736">
        <w:trPr>
          <w:trHeight w:val="405"/>
        </w:trPr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3736" w:rsidRDefault="007E3736" w:rsidP="007E3736">
            <w:pPr>
              <w:rPr>
                <w:color w:val="000000"/>
              </w:rPr>
            </w:pPr>
            <w:r>
              <w:rPr>
                <w:color w:val="000000"/>
              </w:rPr>
              <w:t>Locus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3736" w:rsidRDefault="007E3736" w:rsidP="007E37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</w:t>
            </w:r>
            <w:r>
              <w:rPr>
                <w:i/>
                <w:iCs/>
                <w:color w:val="000000"/>
                <w:vertAlign w:val="subscript"/>
              </w:rPr>
              <w:t>IS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3736" w:rsidRDefault="007E3736" w:rsidP="007E37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</w:t>
            </w:r>
            <w:r>
              <w:rPr>
                <w:i/>
                <w:iCs/>
                <w:color w:val="000000"/>
                <w:vertAlign w:val="subscript"/>
              </w:rPr>
              <w:t>IT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3736" w:rsidRDefault="007E3736" w:rsidP="007E37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</w:t>
            </w:r>
            <w:r>
              <w:rPr>
                <w:i/>
                <w:iCs/>
                <w:color w:val="000000"/>
                <w:vertAlign w:val="subscript"/>
              </w:rPr>
              <w:t>ST</w:t>
            </w:r>
          </w:p>
        </w:tc>
      </w:tr>
      <w:tr w:rsidR="007E3736" w:rsidTr="007E3736">
        <w:trPr>
          <w:trHeight w:val="300"/>
        </w:trPr>
        <w:tc>
          <w:tcPr>
            <w:tcW w:w="1654" w:type="dxa"/>
            <w:noWrap/>
            <w:vAlign w:val="bottom"/>
            <w:hideMark/>
          </w:tcPr>
          <w:p w:rsidR="007E3736" w:rsidRDefault="007E3736" w:rsidP="007E3736">
            <w:pPr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Femsatl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295" w:type="dxa"/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-0.148</w:t>
            </w:r>
          </w:p>
        </w:tc>
        <w:tc>
          <w:tcPr>
            <w:tcW w:w="1084" w:type="dxa"/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-0.079</w:t>
            </w:r>
          </w:p>
        </w:tc>
        <w:tc>
          <w:tcPr>
            <w:tcW w:w="956" w:type="dxa"/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</w:tr>
      <w:tr w:rsidR="007E3736" w:rsidTr="007E3736">
        <w:trPr>
          <w:trHeight w:val="300"/>
        </w:trPr>
        <w:tc>
          <w:tcPr>
            <w:tcW w:w="1654" w:type="dxa"/>
            <w:noWrap/>
            <w:vAlign w:val="bottom"/>
            <w:hideMark/>
          </w:tcPr>
          <w:p w:rsidR="007E3736" w:rsidRDefault="007E3736" w:rsidP="007E3736">
            <w:pPr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Femsatl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295" w:type="dxa"/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-0.164</w:t>
            </w:r>
          </w:p>
        </w:tc>
        <w:tc>
          <w:tcPr>
            <w:tcW w:w="1084" w:type="dxa"/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-0.093</w:t>
            </w:r>
          </w:p>
        </w:tc>
        <w:tc>
          <w:tcPr>
            <w:tcW w:w="956" w:type="dxa"/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0.061</w:t>
            </w:r>
          </w:p>
        </w:tc>
      </w:tr>
      <w:tr w:rsidR="007E3736" w:rsidTr="007E3736">
        <w:trPr>
          <w:trHeight w:val="300"/>
        </w:trPr>
        <w:tc>
          <w:tcPr>
            <w:tcW w:w="1654" w:type="dxa"/>
            <w:noWrap/>
            <w:vAlign w:val="bottom"/>
            <w:hideMark/>
          </w:tcPr>
          <w:p w:rsidR="007E3736" w:rsidRDefault="007E3736" w:rsidP="007E3736">
            <w:pPr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Femsatl</w:t>
            </w:r>
            <w:proofErr w:type="spellEnd"/>
            <w:r>
              <w:rPr>
                <w:color w:val="000000"/>
              </w:rPr>
              <w:t xml:space="preserve"> 11</w:t>
            </w:r>
          </w:p>
        </w:tc>
        <w:tc>
          <w:tcPr>
            <w:tcW w:w="1295" w:type="dxa"/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-0.109</w:t>
            </w:r>
          </w:p>
        </w:tc>
        <w:tc>
          <w:tcPr>
            <w:tcW w:w="1084" w:type="dxa"/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-0.027</w:t>
            </w:r>
          </w:p>
        </w:tc>
        <w:tc>
          <w:tcPr>
            <w:tcW w:w="956" w:type="dxa"/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0.074</w:t>
            </w:r>
          </w:p>
        </w:tc>
      </w:tr>
      <w:tr w:rsidR="007E3736" w:rsidTr="007E3736">
        <w:trPr>
          <w:trHeight w:val="300"/>
        </w:trPr>
        <w:tc>
          <w:tcPr>
            <w:tcW w:w="1654" w:type="dxa"/>
            <w:noWrap/>
            <w:vAlign w:val="bottom"/>
            <w:hideMark/>
          </w:tcPr>
          <w:p w:rsidR="007E3736" w:rsidRDefault="007E3736" w:rsidP="007E3736">
            <w:pPr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Femsatl</w:t>
            </w:r>
            <w:proofErr w:type="spellEnd"/>
            <w:r>
              <w:rPr>
                <w:color w:val="000000"/>
              </w:rPr>
              <w:t xml:space="preserve"> 16</w:t>
            </w:r>
          </w:p>
        </w:tc>
        <w:tc>
          <w:tcPr>
            <w:tcW w:w="1295" w:type="dxa"/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-0.128</w:t>
            </w:r>
          </w:p>
        </w:tc>
        <w:tc>
          <w:tcPr>
            <w:tcW w:w="1084" w:type="dxa"/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-0.009</w:t>
            </w:r>
          </w:p>
        </w:tc>
        <w:tc>
          <w:tcPr>
            <w:tcW w:w="956" w:type="dxa"/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0.105</w:t>
            </w:r>
          </w:p>
        </w:tc>
      </w:tr>
      <w:tr w:rsidR="007E3736" w:rsidTr="007E3736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3736" w:rsidRDefault="007E3736" w:rsidP="007E3736">
            <w:pPr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Femsatl</w:t>
            </w:r>
            <w:proofErr w:type="spellEnd"/>
            <w:r>
              <w:rPr>
                <w:color w:val="000000"/>
              </w:rPr>
              <w:t xml:space="preserve">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-0.3165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0.112</w:t>
            </w:r>
          </w:p>
        </w:tc>
      </w:tr>
      <w:tr w:rsidR="007E3736" w:rsidTr="007E3736">
        <w:trPr>
          <w:trHeight w:val="300"/>
        </w:trPr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3736" w:rsidRDefault="007E3736" w:rsidP="007E3736">
            <w:pPr>
              <w:rPr>
                <w:color w:val="000000"/>
              </w:rPr>
            </w:pPr>
            <w:r>
              <w:rPr>
                <w:color w:val="000000"/>
              </w:rPr>
              <w:t xml:space="preserve">Mean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-0.1711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-0.073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3736" w:rsidRDefault="007E3736" w:rsidP="007E3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0.083</w:t>
            </w:r>
          </w:p>
        </w:tc>
      </w:tr>
    </w:tbl>
    <w:p w:rsidR="007E3736" w:rsidRDefault="007E3736" w:rsidP="007E3736">
      <w:pPr>
        <w:pStyle w:val="CCaption"/>
      </w:pPr>
    </w:p>
    <w:p w:rsidR="00244C21" w:rsidRDefault="00244C21">
      <w:pPr>
        <w:spacing w:after="200" w:line="276" w:lineRule="auto"/>
        <w:contextualSpacing w:val="0"/>
        <w:jc w:val="left"/>
        <w:rPr>
          <w:lang w:val="en-GB"/>
        </w:rPr>
      </w:pPr>
      <w:r>
        <w:rPr>
          <w:lang w:val="en-GB"/>
        </w:rPr>
        <w:br w:type="page"/>
      </w:r>
    </w:p>
    <w:p w:rsidR="00244C21" w:rsidRDefault="00244C21" w:rsidP="007E3736">
      <w:pPr>
        <w:spacing w:after="0"/>
        <w:jc w:val="left"/>
        <w:rPr>
          <w:lang w:val="en-GB"/>
        </w:rPr>
        <w:sectPr w:rsidR="00244C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C21" w:rsidRPr="00C93A2C" w:rsidRDefault="00244C21" w:rsidP="007E3736">
      <w:pPr>
        <w:spacing w:after="0"/>
        <w:jc w:val="left"/>
        <w:rPr>
          <w:lang w:val="en-GB"/>
        </w:rPr>
      </w:pPr>
      <w:r w:rsidRPr="00C93A2C">
        <w:rPr>
          <w:lang w:val="en-GB"/>
        </w:rPr>
        <w:lastRenderedPageBreak/>
        <w:t>Table S2. Pairwise</w:t>
      </w:r>
      <w:r w:rsidR="00C93A2C" w:rsidRPr="00C93A2C">
        <w:rPr>
          <w:lang w:val="en-GB"/>
        </w:rPr>
        <w:t xml:space="preserve"> </w:t>
      </w:r>
      <w:r w:rsidR="00C93A2C" w:rsidRPr="00C93A2C">
        <w:rPr>
          <w:bCs/>
          <w:color w:val="000000"/>
          <w:shd w:val="clear" w:color="auto" w:fill="FFFFFF"/>
        </w:rPr>
        <w:t>fixation index</w:t>
      </w:r>
      <w:r w:rsidR="00C93A2C" w:rsidRPr="00C93A2C">
        <w:rPr>
          <w:rStyle w:val="apple-converted-space"/>
          <w:color w:val="000000"/>
          <w:shd w:val="clear" w:color="auto" w:fill="FFFFFF"/>
        </w:rPr>
        <w:t> </w:t>
      </w:r>
      <w:r w:rsidR="00C93A2C" w:rsidRPr="00C93A2C">
        <w:rPr>
          <w:color w:val="000000"/>
          <w:shd w:val="clear" w:color="auto" w:fill="FFFFFF"/>
        </w:rPr>
        <w:t>(</w:t>
      </w:r>
      <w:r w:rsidR="00C93A2C" w:rsidRPr="00C93A2C">
        <w:rPr>
          <w:bCs/>
          <w:color w:val="000000"/>
          <w:shd w:val="clear" w:color="auto" w:fill="FFFFFF"/>
        </w:rPr>
        <w:t>F</w:t>
      </w:r>
      <w:r w:rsidR="00C93A2C" w:rsidRPr="00C93A2C">
        <w:rPr>
          <w:bCs/>
          <w:color w:val="000000"/>
          <w:shd w:val="clear" w:color="auto" w:fill="FFFFFF"/>
          <w:vertAlign w:val="subscript"/>
        </w:rPr>
        <w:t>ST</w:t>
      </w:r>
      <w:r w:rsidR="00C93A2C" w:rsidRPr="00C93A2C">
        <w:rPr>
          <w:color w:val="000000"/>
          <w:shd w:val="clear" w:color="auto" w:fill="FFFFFF"/>
        </w:rPr>
        <w:t>)</w:t>
      </w:r>
      <w:r w:rsidRPr="00C93A2C">
        <w:rPr>
          <w:lang w:val="en-GB"/>
        </w:rPr>
        <w:t xml:space="preserve"> </w:t>
      </w:r>
      <w:r w:rsidR="00C93A2C" w:rsidRPr="00C93A2C">
        <w:rPr>
          <w:lang w:val="en-GB"/>
        </w:rPr>
        <w:t xml:space="preserve">values for all combinations of </w:t>
      </w:r>
      <w:r w:rsidRPr="00C93A2C">
        <w:rPr>
          <w:lang w:val="en-GB"/>
        </w:rPr>
        <w:t xml:space="preserve">the eight populations of </w:t>
      </w:r>
      <w:proofErr w:type="spellStart"/>
      <w:r w:rsidRPr="00C93A2C">
        <w:rPr>
          <w:i/>
          <w:lang w:val="en-GB"/>
        </w:rPr>
        <w:t>Fraxinus</w:t>
      </w:r>
      <w:proofErr w:type="spellEnd"/>
      <w:r w:rsidRPr="00C93A2C">
        <w:rPr>
          <w:i/>
          <w:lang w:val="en-GB"/>
        </w:rPr>
        <w:t xml:space="preserve"> </w:t>
      </w:r>
      <w:proofErr w:type="spellStart"/>
      <w:r w:rsidRPr="00C93A2C">
        <w:rPr>
          <w:i/>
          <w:lang w:val="en-GB"/>
        </w:rPr>
        <w:t>pennsylvanica</w:t>
      </w:r>
      <w:proofErr w:type="spellEnd"/>
      <w:r w:rsidRPr="00C93A2C">
        <w:rPr>
          <w:lang w:val="en-GB"/>
        </w:rPr>
        <w:t xml:space="preserve"> considered in this study.</w:t>
      </w:r>
    </w:p>
    <w:p w:rsidR="00244C21" w:rsidRPr="00C93A2C" w:rsidRDefault="00244C21" w:rsidP="007E3736">
      <w:pPr>
        <w:spacing w:after="0"/>
        <w:jc w:val="left"/>
        <w:rPr>
          <w:lang w:val="en-GB"/>
        </w:rPr>
      </w:pPr>
    </w:p>
    <w:tbl>
      <w:tblPr>
        <w:tblStyle w:val="TableGrid"/>
        <w:tblW w:w="129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1220"/>
        <w:gridCol w:w="1221"/>
        <w:gridCol w:w="1221"/>
        <w:gridCol w:w="1114"/>
        <w:gridCol w:w="1327"/>
        <w:gridCol w:w="1221"/>
        <w:gridCol w:w="1052"/>
        <w:gridCol w:w="1389"/>
        <w:gridCol w:w="1311"/>
      </w:tblGrid>
      <w:tr w:rsidR="00244C21" w:rsidRPr="00C93A2C" w:rsidTr="00244C21">
        <w:trPr>
          <w:trHeight w:val="525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244C21" w:rsidRPr="00C93A2C" w:rsidRDefault="00244C21" w:rsidP="00BF2779">
            <w:r w:rsidRPr="00C93A2C">
              <w:t>Population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244C21" w:rsidRPr="00C93A2C" w:rsidRDefault="00244C21" w:rsidP="00BF2779">
            <w:r w:rsidRPr="00C93A2C">
              <w:t>Blue Creek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244C21" w:rsidRPr="00C93A2C" w:rsidRDefault="00244C21" w:rsidP="00BF2779">
            <w:r w:rsidRPr="00C93A2C">
              <w:t>Fallen Timbers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244C21" w:rsidRPr="00C93A2C" w:rsidRDefault="00244C21" w:rsidP="00BF2779">
            <w:r w:rsidRPr="00C93A2C">
              <w:t>Oak Openings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44C21" w:rsidRPr="00C93A2C" w:rsidRDefault="00244C21" w:rsidP="00BF2779">
            <w:r w:rsidRPr="00C93A2C">
              <w:t>Pearson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244C21" w:rsidRPr="00C93A2C" w:rsidRDefault="00244C21" w:rsidP="00BF2779">
            <w:r w:rsidRPr="00C93A2C">
              <w:t>Providence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244C21" w:rsidRPr="00C93A2C" w:rsidRDefault="00244C21" w:rsidP="00BF2779">
            <w:proofErr w:type="spellStart"/>
            <w:r w:rsidRPr="00C93A2C">
              <w:t>Sidecut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244C21" w:rsidRPr="00C93A2C" w:rsidRDefault="00244C21" w:rsidP="00BF2779">
            <w:proofErr w:type="spellStart"/>
            <w:r w:rsidRPr="00C93A2C">
              <w:t>Secor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44C21" w:rsidRPr="00C93A2C" w:rsidRDefault="00244C21" w:rsidP="00BF2779">
            <w:r w:rsidRPr="00C93A2C">
              <w:t>Swan Creek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244C21" w:rsidRPr="00C93A2C" w:rsidRDefault="00244C21" w:rsidP="00BF2779">
            <w:r w:rsidRPr="00C93A2C">
              <w:t>Wildwood</w:t>
            </w:r>
          </w:p>
        </w:tc>
      </w:tr>
      <w:tr w:rsidR="00244C21" w:rsidRPr="00C93A2C" w:rsidTr="00244C21">
        <w:trPr>
          <w:trHeight w:val="525"/>
        </w:trPr>
        <w:tc>
          <w:tcPr>
            <w:tcW w:w="1902" w:type="dxa"/>
            <w:tcBorders>
              <w:top w:val="single" w:sz="4" w:space="0" w:color="auto"/>
            </w:tcBorders>
          </w:tcPr>
          <w:p w:rsidR="00244C21" w:rsidRPr="00C93A2C" w:rsidRDefault="00244C21" w:rsidP="00BF2779">
            <w:r w:rsidRPr="00C93A2C">
              <w:t>Blue Creek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244C21" w:rsidRPr="00C93A2C" w:rsidRDefault="00244C21" w:rsidP="00BF2779"/>
        </w:tc>
        <w:tc>
          <w:tcPr>
            <w:tcW w:w="1221" w:type="dxa"/>
            <w:tcBorders>
              <w:top w:val="single" w:sz="4" w:space="0" w:color="auto"/>
            </w:tcBorders>
          </w:tcPr>
          <w:p w:rsidR="00244C21" w:rsidRPr="00C93A2C" w:rsidRDefault="00244C21" w:rsidP="00BF2779">
            <w:r w:rsidRPr="00C93A2C">
              <w:t>0.0170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244C21" w:rsidRPr="00C93A2C" w:rsidRDefault="00244C21" w:rsidP="00BF2779">
            <w:r w:rsidRPr="00C93A2C">
              <w:t>0.0937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244C21" w:rsidRPr="00C93A2C" w:rsidRDefault="00244C21" w:rsidP="00BF2779">
            <w:r w:rsidRPr="00C93A2C">
              <w:t>0.0428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244C21" w:rsidRPr="00C93A2C" w:rsidRDefault="00244C21" w:rsidP="00BF2779">
            <w:r w:rsidRPr="00C93A2C">
              <w:t>0.0409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244C21" w:rsidRPr="00C93A2C" w:rsidRDefault="00244C21" w:rsidP="00BF2779">
            <w:r w:rsidRPr="00C93A2C">
              <w:t>0.0460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244C21" w:rsidRPr="00C93A2C" w:rsidRDefault="00244C21" w:rsidP="00BF2779">
            <w:r w:rsidRPr="00C93A2C">
              <w:t>0.0953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244C21" w:rsidRPr="00C93A2C" w:rsidRDefault="00244C21" w:rsidP="00BF2779">
            <w:r w:rsidRPr="00C93A2C">
              <w:t>0.0818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244C21" w:rsidRPr="00C93A2C" w:rsidRDefault="00244C21" w:rsidP="00BF2779">
            <w:r w:rsidRPr="00C93A2C">
              <w:t>0.0269</w:t>
            </w:r>
          </w:p>
        </w:tc>
      </w:tr>
      <w:tr w:rsidR="00244C21" w:rsidRPr="00C93A2C" w:rsidTr="00244C21">
        <w:trPr>
          <w:trHeight w:val="514"/>
        </w:trPr>
        <w:tc>
          <w:tcPr>
            <w:tcW w:w="1902" w:type="dxa"/>
          </w:tcPr>
          <w:p w:rsidR="00244C21" w:rsidRPr="00C93A2C" w:rsidRDefault="00244C21" w:rsidP="00BF2779">
            <w:r w:rsidRPr="00C93A2C">
              <w:t>Fallen Timbers</w:t>
            </w:r>
          </w:p>
        </w:tc>
        <w:tc>
          <w:tcPr>
            <w:tcW w:w="1220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>
            <w:r w:rsidRPr="00C93A2C">
              <w:t>0.0665</w:t>
            </w:r>
          </w:p>
        </w:tc>
        <w:tc>
          <w:tcPr>
            <w:tcW w:w="1114" w:type="dxa"/>
          </w:tcPr>
          <w:p w:rsidR="00244C21" w:rsidRPr="00C93A2C" w:rsidRDefault="00244C21" w:rsidP="00BF2779">
            <w:r w:rsidRPr="00C93A2C">
              <w:t>0.0314</w:t>
            </w:r>
          </w:p>
        </w:tc>
        <w:tc>
          <w:tcPr>
            <w:tcW w:w="1327" w:type="dxa"/>
          </w:tcPr>
          <w:p w:rsidR="00244C21" w:rsidRPr="00C93A2C" w:rsidRDefault="00244C21" w:rsidP="00BF2779">
            <w:r w:rsidRPr="00C93A2C">
              <w:t>0.0323</w:t>
            </w:r>
          </w:p>
        </w:tc>
        <w:tc>
          <w:tcPr>
            <w:tcW w:w="1221" w:type="dxa"/>
          </w:tcPr>
          <w:p w:rsidR="00244C21" w:rsidRPr="00C93A2C" w:rsidRDefault="00244C21" w:rsidP="00BF2779">
            <w:r w:rsidRPr="00C93A2C">
              <w:t>0.0389</w:t>
            </w:r>
          </w:p>
        </w:tc>
        <w:tc>
          <w:tcPr>
            <w:tcW w:w="1052" w:type="dxa"/>
          </w:tcPr>
          <w:p w:rsidR="00244C21" w:rsidRPr="00C93A2C" w:rsidRDefault="00244C21" w:rsidP="00BF2779">
            <w:r w:rsidRPr="00C93A2C">
              <w:t>0.0607</w:t>
            </w:r>
          </w:p>
        </w:tc>
        <w:tc>
          <w:tcPr>
            <w:tcW w:w="1389" w:type="dxa"/>
          </w:tcPr>
          <w:p w:rsidR="00244C21" w:rsidRPr="00C93A2C" w:rsidRDefault="00244C21" w:rsidP="00BF2779">
            <w:r w:rsidRPr="00C93A2C">
              <w:t>0.0567</w:t>
            </w:r>
          </w:p>
        </w:tc>
        <w:tc>
          <w:tcPr>
            <w:tcW w:w="1311" w:type="dxa"/>
          </w:tcPr>
          <w:p w:rsidR="00244C21" w:rsidRPr="00C93A2C" w:rsidRDefault="00244C21" w:rsidP="00BF2779">
            <w:r w:rsidRPr="00C93A2C">
              <w:t>0.0223</w:t>
            </w:r>
          </w:p>
        </w:tc>
      </w:tr>
      <w:tr w:rsidR="00244C21" w:rsidRPr="00C93A2C" w:rsidTr="00244C21">
        <w:trPr>
          <w:trHeight w:val="525"/>
        </w:trPr>
        <w:tc>
          <w:tcPr>
            <w:tcW w:w="1902" w:type="dxa"/>
          </w:tcPr>
          <w:p w:rsidR="00244C21" w:rsidRPr="00C93A2C" w:rsidRDefault="00244C21" w:rsidP="00BF2779">
            <w:r w:rsidRPr="00C93A2C">
              <w:t>Oak Openings</w:t>
            </w:r>
          </w:p>
        </w:tc>
        <w:tc>
          <w:tcPr>
            <w:tcW w:w="1220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114" w:type="dxa"/>
          </w:tcPr>
          <w:p w:rsidR="00244C21" w:rsidRPr="00C93A2C" w:rsidRDefault="00244C21" w:rsidP="00BF2779">
            <w:r w:rsidRPr="00C93A2C">
              <w:t>0.0829</w:t>
            </w:r>
          </w:p>
        </w:tc>
        <w:tc>
          <w:tcPr>
            <w:tcW w:w="1327" w:type="dxa"/>
          </w:tcPr>
          <w:p w:rsidR="00244C21" w:rsidRPr="00C93A2C" w:rsidRDefault="00244C21" w:rsidP="00BF2779">
            <w:r w:rsidRPr="00C93A2C">
              <w:t>0.0682</w:t>
            </w:r>
          </w:p>
        </w:tc>
        <w:tc>
          <w:tcPr>
            <w:tcW w:w="1221" w:type="dxa"/>
          </w:tcPr>
          <w:p w:rsidR="00244C21" w:rsidRPr="00C93A2C" w:rsidRDefault="00244C21" w:rsidP="00BF2779">
            <w:r w:rsidRPr="00C93A2C">
              <w:t>0.0869</w:t>
            </w:r>
          </w:p>
        </w:tc>
        <w:tc>
          <w:tcPr>
            <w:tcW w:w="1052" w:type="dxa"/>
          </w:tcPr>
          <w:p w:rsidR="00244C21" w:rsidRPr="00C93A2C" w:rsidRDefault="00244C21" w:rsidP="00BF2779">
            <w:r w:rsidRPr="00C93A2C">
              <w:t>0.0909</w:t>
            </w:r>
          </w:p>
        </w:tc>
        <w:tc>
          <w:tcPr>
            <w:tcW w:w="1389" w:type="dxa"/>
          </w:tcPr>
          <w:p w:rsidR="00244C21" w:rsidRPr="00C93A2C" w:rsidRDefault="00244C21" w:rsidP="00BF2779">
            <w:r w:rsidRPr="00C93A2C">
              <w:t>0.0385</w:t>
            </w:r>
          </w:p>
        </w:tc>
        <w:tc>
          <w:tcPr>
            <w:tcW w:w="1311" w:type="dxa"/>
          </w:tcPr>
          <w:p w:rsidR="00244C21" w:rsidRPr="00C93A2C" w:rsidRDefault="00244C21" w:rsidP="00BF2779">
            <w:r w:rsidRPr="00C93A2C">
              <w:t>0.1048</w:t>
            </w:r>
          </w:p>
        </w:tc>
      </w:tr>
      <w:tr w:rsidR="00244C21" w:rsidRPr="00C93A2C" w:rsidTr="00244C21">
        <w:trPr>
          <w:trHeight w:val="525"/>
        </w:trPr>
        <w:tc>
          <w:tcPr>
            <w:tcW w:w="1902" w:type="dxa"/>
          </w:tcPr>
          <w:p w:rsidR="00244C21" w:rsidRPr="00C93A2C" w:rsidRDefault="00244C21" w:rsidP="00244C21">
            <w:r w:rsidRPr="00C93A2C">
              <w:t>Pearson</w:t>
            </w:r>
          </w:p>
        </w:tc>
        <w:tc>
          <w:tcPr>
            <w:tcW w:w="1220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114" w:type="dxa"/>
          </w:tcPr>
          <w:p w:rsidR="00244C21" w:rsidRPr="00C93A2C" w:rsidRDefault="00244C21" w:rsidP="00BF2779"/>
        </w:tc>
        <w:tc>
          <w:tcPr>
            <w:tcW w:w="1327" w:type="dxa"/>
          </w:tcPr>
          <w:p w:rsidR="00244C21" w:rsidRPr="00C93A2C" w:rsidRDefault="00244C21" w:rsidP="00BF2779">
            <w:r w:rsidRPr="00C93A2C">
              <w:t>0.0471</w:t>
            </w:r>
          </w:p>
        </w:tc>
        <w:tc>
          <w:tcPr>
            <w:tcW w:w="1221" w:type="dxa"/>
          </w:tcPr>
          <w:p w:rsidR="00244C21" w:rsidRPr="00C93A2C" w:rsidRDefault="00244C21" w:rsidP="00BF2779">
            <w:r w:rsidRPr="00C93A2C">
              <w:t>0.0641</w:t>
            </w:r>
          </w:p>
        </w:tc>
        <w:tc>
          <w:tcPr>
            <w:tcW w:w="1052" w:type="dxa"/>
          </w:tcPr>
          <w:p w:rsidR="00244C21" w:rsidRPr="00C93A2C" w:rsidRDefault="00244C21" w:rsidP="00BF2779">
            <w:r w:rsidRPr="00C93A2C">
              <w:t>0.0783</w:t>
            </w:r>
          </w:p>
        </w:tc>
        <w:tc>
          <w:tcPr>
            <w:tcW w:w="1389" w:type="dxa"/>
          </w:tcPr>
          <w:p w:rsidR="00244C21" w:rsidRPr="00C93A2C" w:rsidRDefault="00244C21" w:rsidP="00BF2779">
            <w:r w:rsidRPr="00C93A2C">
              <w:t>0.0741</w:t>
            </w:r>
          </w:p>
        </w:tc>
        <w:tc>
          <w:tcPr>
            <w:tcW w:w="1311" w:type="dxa"/>
          </w:tcPr>
          <w:p w:rsidR="00244C21" w:rsidRPr="00C93A2C" w:rsidRDefault="00244C21" w:rsidP="00BF2779">
            <w:r w:rsidRPr="00C93A2C">
              <w:t>0.0341</w:t>
            </w:r>
          </w:p>
        </w:tc>
      </w:tr>
      <w:tr w:rsidR="00244C21" w:rsidRPr="00C93A2C" w:rsidTr="00244C21">
        <w:trPr>
          <w:trHeight w:val="525"/>
        </w:trPr>
        <w:tc>
          <w:tcPr>
            <w:tcW w:w="1902" w:type="dxa"/>
          </w:tcPr>
          <w:p w:rsidR="00244C21" w:rsidRPr="00C93A2C" w:rsidRDefault="00244C21" w:rsidP="00244C21">
            <w:r w:rsidRPr="00C93A2C">
              <w:t>Providence</w:t>
            </w:r>
          </w:p>
        </w:tc>
        <w:tc>
          <w:tcPr>
            <w:tcW w:w="1220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114" w:type="dxa"/>
          </w:tcPr>
          <w:p w:rsidR="00244C21" w:rsidRPr="00C93A2C" w:rsidRDefault="00244C21" w:rsidP="00BF2779"/>
        </w:tc>
        <w:tc>
          <w:tcPr>
            <w:tcW w:w="1327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>
            <w:r w:rsidRPr="00C93A2C">
              <w:t>0.0645</w:t>
            </w:r>
          </w:p>
        </w:tc>
        <w:tc>
          <w:tcPr>
            <w:tcW w:w="1052" w:type="dxa"/>
          </w:tcPr>
          <w:p w:rsidR="00244C21" w:rsidRPr="00C93A2C" w:rsidRDefault="00244C21" w:rsidP="00BF2779">
            <w:r w:rsidRPr="00C93A2C">
              <w:t>0.0688</w:t>
            </w:r>
          </w:p>
        </w:tc>
        <w:tc>
          <w:tcPr>
            <w:tcW w:w="1389" w:type="dxa"/>
          </w:tcPr>
          <w:p w:rsidR="00244C21" w:rsidRPr="00C93A2C" w:rsidRDefault="00244C21" w:rsidP="00BF2779">
            <w:r w:rsidRPr="00C93A2C">
              <w:t>0.0490</w:t>
            </w:r>
          </w:p>
        </w:tc>
        <w:tc>
          <w:tcPr>
            <w:tcW w:w="1311" w:type="dxa"/>
          </w:tcPr>
          <w:p w:rsidR="00244C21" w:rsidRPr="00C93A2C" w:rsidRDefault="00244C21" w:rsidP="00BF2779">
            <w:r w:rsidRPr="00C93A2C">
              <w:t>0.0418</w:t>
            </w:r>
          </w:p>
        </w:tc>
      </w:tr>
      <w:tr w:rsidR="00244C21" w:rsidRPr="00C93A2C" w:rsidTr="00244C21">
        <w:trPr>
          <w:trHeight w:val="525"/>
        </w:trPr>
        <w:tc>
          <w:tcPr>
            <w:tcW w:w="1902" w:type="dxa"/>
          </w:tcPr>
          <w:p w:rsidR="00244C21" w:rsidRPr="00C93A2C" w:rsidRDefault="00244C21" w:rsidP="00244C21">
            <w:proofErr w:type="spellStart"/>
            <w:r w:rsidRPr="00C93A2C">
              <w:t>Sidecut</w:t>
            </w:r>
            <w:proofErr w:type="spellEnd"/>
          </w:p>
        </w:tc>
        <w:tc>
          <w:tcPr>
            <w:tcW w:w="1220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114" w:type="dxa"/>
          </w:tcPr>
          <w:p w:rsidR="00244C21" w:rsidRPr="00C93A2C" w:rsidRDefault="00244C21" w:rsidP="00BF2779"/>
        </w:tc>
        <w:tc>
          <w:tcPr>
            <w:tcW w:w="1327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052" w:type="dxa"/>
          </w:tcPr>
          <w:p w:rsidR="00244C21" w:rsidRPr="00C93A2C" w:rsidRDefault="00244C21" w:rsidP="00BF2779">
            <w:r w:rsidRPr="00C93A2C">
              <w:t>0.0853</w:t>
            </w:r>
          </w:p>
        </w:tc>
        <w:tc>
          <w:tcPr>
            <w:tcW w:w="1389" w:type="dxa"/>
          </w:tcPr>
          <w:p w:rsidR="00244C21" w:rsidRPr="00C93A2C" w:rsidRDefault="00244C21" w:rsidP="00BF2779">
            <w:r w:rsidRPr="00C93A2C">
              <w:t>0.0805</w:t>
            </w:r>
          </w:p>
        </w:tc>
        <w:tc>
          <w:tcPr>
            <w:tcW w:w="1311" w:type="dxa"/>
          </w:tcPr>
          <w:p w:rsidR="00244C21" w:rsidRPr="00C93A2C" w:rsidRDefault="00244C21" w:rsidP="00BF2779">
            <w:r w:rsidRPr="00C93A2C">
              <w:t>0.0370</w:t>
            </w:r>
          </w:p>
        </w:tc>
      </w:tr>
      <w:tr w:rsidR="00244C21" w:rsidRPr="00C93A2C" w:rsidTr="00244C21">
        <w:trPr>
          <w:trHeight w:val="525"/>
        </w:trPr>
        <w:tc>
          <w:tcPr>
            <w:tcW w:w="1902" w:type="dxa"/>
          </w:tcPr>
          <w:p w:rsidR="00244C21" w:rsidRPr="00C93A2C" w:rsidRDefault="00244C21" w:rsidP="00244C21">
            <w:proofErr w:type="spellStart"/>
            <w:r w:rsidRPr="00C93A2C">
              <w:t>Secor</w:t>
            </w:r>
            <w:proofErr w:type="spellEnd"/>
          </w:p>
        </w:tc>
        <w:tc>
          <w:tcPr>
            <w:tcW w:w="1220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114" w:type="dxa"/>
          </w:tcPr>
          <w:p w:rsidR="00244C21" w:rsidRPr="00C93A2C" w:rsidRDefault="00244C21" w:rsidP="00BF2779"/>
        </w:tc>
        <w:tc>
          <w:tcPr>
            <w:tcW w:w="1327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052" w:type="dxa"/>
          </w:tcPr>
          <w:p w:rsidR="00244C21" w:rsidRPr="00C93A2C" w:rsidRDefault="00244C21" w:rsidP="00BF2779"/>
        </w:tc>
        <w:tc>
          <w:tcPr>
            <w:tcW w:w="1389" w:type="dxa"/>
          </w:tcPr>
          <w:p w:rsidR="00244C21" w:rsidRPr="00C93A2C" w:rsidRDefault="00244C21" w:rsidP="00BF2779">
            <w:r w:rsidRPr="00C93A2C">
              <w:t>0.0799</w:t>
            </w:r>
          </w:p>
        </w:tc>
        <w:tc>
          <w:tcPr>
            <w:tcW w:w="1311" w:type="dxa"/>
          </w:tcPr>
          <w:p w:rsidR="00244C21" w:rsidRPr="00C93A2C" w:rsidRDefault="00244C21" w:rsidP="00BF2779">
            <w:r w:rsidRPr="00C93A2C">
              <w:t>0.0660</w:t>
            </w:r>
          </w:p>
        </w:tc>
      </w:tr>
      <w:tr w:rsidR="00244C21" w:rsidRPr="00C93A2C" w:rsidTr="00244C21">
        <w:trPr>
          <w:trHeight w:val="514"/>
        </w:trPr>
        <w:tc>
          <w:tcPr>
            <w:tcW w:w="1902" w:type="dxa"/>
          </w:tcPr>
          <w:p w:rsidR="00244C21" w:rsidRPr="00C93A2C" w:rsidRDefault="00244C21" w:rsidP="00BF2779">
            <w:r w:rsidRPr="00C93A2C">
              <w:t>Swan Creek</w:t>
            </w:r>
          </w:p>
        </w:tc>
        <w:tc>
          <w:tcPr>
            <w:tcW w:w="1220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114" w:type="dxa"/>
          </w:tcPr>
          <w:p w:rsidR="00244C21" w:rsidRPr="00C93A2C" w:rsidRDefault="00244C21" w:rsidP="00BF2779"/>
        </w:tc>
        <w:tc>
          <w:tcPr>
            <w:tcW w:w="1327" w:type="dxa"/>
          </w:tcPr>
          <w:p w:rsidR="00244C21" w:rsidRPr="00C93A2C" w:rsidRDefault="00244C21" w:rsidP="00BF2779"/>
        </w:tc>
        <w:tc>
          <w:tcPr>
            <w:tcW w:w="1221" w:type="dxa"/>
          </w:tcPr>
          <w:p w:rsidR="00244C21" w:rsidRPr="00C93A2C" w:rsidRDefault="00244C21" w:rsidP="00BF2779"/>
        </w:tc>
        <w:tc>
          <w:tcPr>
            <w:tcW w:w="1052" w:type="dxa"/>
          </w:tcPr>
          <w:p w:rsidR="00244C21" w:rsidRPr="00C93A2C" w:rsidRDefault="00244C21" w:rsidP="00BF2779"/>
        </w:tc>
        <w:tc>
          <w:tcPr>
            <w:tcW w:w="1389" w:type="dxa"/>
          </w:tcPr>
          <w:p w:rsidR="00244C21" w:rsidRPr="00C93A2C" w:rsidRDefault="00244C21" w:rsidP="00BF2779"/>
        </w:tc>
        <w:tc>
          <w:tcPr>
            <w:tcW w:w="1311" w:type="dxa"/>
          </w:tcPr>
          <w:p w:rsidR="00244C21" w:rsidRPr="00C93A2C" w:rsidRDefault="00244C21" w:rsidP="00BF2779">
            <w:r w:rsidRPr="00C93A2C">
              <w:t>0.0818</w:t>
            </w:r>
          </w:p>
        </w:tc>
      </w:tr>
    </w:tbl>
    <w:p w:rsidR="007E3736" w:rsidRDefault="00244C21" w:rsidP="007E3736">
      <w:pPr>
        <w:spacing w:after="0"/>
        <w:jc w:val="left"/>
        <w:rPr>
          <w:lang w:val="en-GB"/>
        </w:rPr>
      </w:pPr>
      <w:bookmarkStart w:id="3" w:name="_GoBack"/>
      <w:bookmarkEnd w:id="3"/>
      <w:r>
        <w:rPr>
          <w:lang w:val="en-GB"/>
        </w:rPr>
        <w:t xml:space="preserve">  </w:t>
      </w:r>
    </w:p>
    <w:p w:rsidR="00244C21" w:rsidRDefault="00244C21" w:rsidP="007E3736">
      <w:pPr>
        <w:tabs>
          <w:tab w:val="left" w:pos="1367"/>
        </w:tabs>
        <w:sectPr w:rsidR="00244C21" w:rsidSect="00244C2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E3736" w:rsidRPr="007E3736" w:rsidRDefault="007E3736" w:rsidP="007E3736">
      <w:pPr>
        <w:tabs>
          <w:tab w:val="left" w:pos="1367"/>
        </w:tabs>
      </w:pPr>
    </w:p>
    <w:p w:rsidR="007E3736" w:rsidRDefault="007E3736" w:rsidP="007E3736"/>
    <w:p w:rsidR="007E3736" w:rsidRDefault="007E3736" w:rsidP="007E3736"/>
    <w:p w:rsidR="001878D1" w:rsidRPr="007E3736" w:rsidRDefault="001878D1" w:rsidP="007E3736"/>
    <w:sectPr w:rsidR="001878D1" w:rsidRPr="007E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0"/>
    <w:rsid w:val="001878D1"/>
    <w:rsid w:val="001C5480"/>
    <w:rsid w:val="00244C21"/>
    <w:rsid w:val="003A2DC3"/>
    <w:rsid w:val="006E13BF"/>
    <w:rsid w:val="007E3736"/>
    <w:rsid w:val="007F3BCF"/>
    <w:rsid w:val="008658D9"/>
    <w:rsid w:val="00906CE9"/>
    <w:rsid w:val="00C02242"/>
    <w:rsid w:val="00C93A2C"/>
    <w:rsid w:val="00D847CF"/>
    <w:rsid w:val="00F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80"/>
    <w:pPr>
      <w:spacing w:after="240" w:line="48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ption">
    <w:name w:val="C_Caption"/>
    <w:basedOn w:val="Normal"/>
    <w:uiPriority w:val="99"/>
    <w:qFormat/>
    <w:rsid w:val="001C5480"/>
  </w:style>
  <w:style w:type="paragraph" w:styleId="BodyText">
    <w:name w:val="Body Text"/>
    <w:basedOn w:val="Normal"/>
    <w:link w:val="BodyTextChar"/>
    <w:uiPriority w:val="99"/>
    <w:rsid w:val="001C5480"/>
    <w:pPr>
      <w:spacing w:after="0"/>
      <w:ind w:firstLine="720"/>
      <w:contextualSpacing w:val="0"/>
    </w:pPr>
  </w:style>
  <w:style w:type="character" w:customStyle="1" w:styleId="BodyTextChar">
    <w:name w:val="Body Text Char"/>
    <w:basedOn w:val="DefaultParagraphFont"/>
    <w:link w:val="BodyText"/>
    <w:uiPriority w:val="99"/>
    <w:rsid w:val="001C54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80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A2DC3"/>
  </w:style>
  <w:style w:type="table" w:styleId="TableGrid">
    <w:name w:val="Table Grid"/>
    <w:basedOn w:val="TableNormal"/>
    <w:rsid w:val="0024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93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80"/>
    <w:pPr>
      <w:spacing w:after="240" w:line="48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ption">
    <w:name w:val="C_Caption"/>
    <w:basedOn w:val="Normal"/>
    <w:uiPriority w:val="99"/>
    <w:qFormat/>
    <w:rsid w:val="001C5480"/>
  </w:style>
  <w:style w:type="paragraph" w:styleId="BodyText">
    <w:name w:val="Body Text"/>
    <w:basedOn w:val="Normal"/>
    <w:link w:val="BodyTextChar"/>
    <w:uiPriority w:val="99"/>
    <w:rsid w:val="001C5480"/>
    <w:pPr>
      <w:spacing w:after="0"/>
      <w:ind w:firstLine="720"/>
      <w:contextualSpacing w:val="0"/>
    </w:pPr>
  </w:style>
  <w:style w:type="character" w:customStyle="1" w:styleId="BodyTextChar">
    <w:name w:val="Body Text Char"/>
    <w:basedOn w:val="DefaultParagraphFont"/>
    <w:link w:val="BodyText"/>
    <w:uiPriority w:val="99"/>
    <w:rsid w:val="001C54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80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A2DC3"/>
  </w:style>
  <w:style w:type="table" w:styleId="TableGrid">
    <w:name w:val="Table Grid"/>
    <w:basedOn w:val="TableNormal"/>
    <w:rsid w:val="0024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9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rchivos%20de%20trabajo\academic%20year%202010-2011\connie%20final%20version\Calculation%20K-ash-conni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val>
            <c:numRef>
              <c:f>Sheet1!$B$58:$B$66</c:f>
              <c:numCache>
                <c:formatCode>General</c:formatCode>
                <c:ptCount val="9"/>
                <c:pt idx="1">
                  <c:v>0.95344469694536405</c:v>
                </c:pt>
                <c:pt idx="2">
                  <c:v>36.337012229845143</c:v>
                </c:pt>
                <c:pt idx="3">
                  <c:v>2.6145562672985672</c:v>
                </c:pt>
                <c:pt idx="4">
                  <c:v>1.6967966146639353</c:v>
                </c:pt>
                <c:pt idx="5">
                  <c:v>5.63588324531875</c:v>
                </c:pt>
                <c:pt idx="6">
                  <c:v>0.60709997674628313</c:v>
                </c:pt>
                <c:pt idx="7">
                  <c:v>4.393462970624741</c:v>
                </c:pt>
                <c:pt idx="8">
                  <c:v>1.3177793984011492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052736"/>
        <c:axId val="118060160"/>
      </c:lineChart>
      <c:catAx>
        <c:axId val="118052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Number</a:t>
                </a:r>
                <a:r>
                  <a:rPr lang="en-US" sz="1400" baseline="0"/>
                  <a:t> of cluster (K)</a:t>
                </a:r>
                <a:endParaRPr lang="en-US" sz="1400"/>
              </a:p>
            </c:rich>
          </c:tx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118060160"/>
        <c:crosses val="autoZero"/>
        <c:auto val="1"/>
        <c:lblAlgn val="ctr"/>
        <c:lblOffset val="100"/>
        <c:noMultiLvlLbl val="0"/>
      </c:catAx>
      <c:valAx>
        <c:axId val="11806016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l-GR" sz="1400">
                    <a:latin typeface="Times New Roman"/>
                    <a:cs typeface="Times New Roman"/>
                  </a:rPr>
                  <a:t>Δ</a:t>
                </a:r>
                <a:r>
                  <a:rPr lang="en-US" sz="1400"/>
                  <a:t>K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118052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ROCHA, OSCAR</cp:lastModifiedBy>
  <cp:revision>2</cp:revision>
  <dcterms:created xsi:type="dcterms:W3CDTF">2013-09-26T21:02:00Z</dcterms:created>
  <dcterms:modified xsi:type="dcterms:W3CDTF">2013-09-26T21:02:00Z</dcterms:modified>
</cp:coreProperties>
</file>