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BF" w:rsidRDefault="003D52C4" w:rsidP="00A91EBF">
      <w:pPr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C4">
        <w:rPr>
          <w:rFonts w:ascii="Times New Roman" w:hAnsi="Times New Roman" w:cs="Times New Roman"/>
          <w:b/>
          <w:sz w:val="24"/>
          <w:szCs w:val="24"/>
        </w:rPr>
        <w:t>Supplementa</w:t>
      </w:r>
      <w:r w:rsidR="0005159C">
        <w:rPr>
          <w:rFonts w:ascii="Times New Roman" w:hAnsi="Times New Roman" w:cs="Times New Roman"/>
          <w:b/>
          <w:sz w:val="24"/>
          <w:szCs w:val="24"/>
        </w:rPr>
        <w:t>ry</w:t>
      </w:r>
      <w:r w:rsidRPr="003D52C4">
        <w:rPr>
          <w:rFonts w:ascii="Times New Roman" w:hAnsi="Times New Roman" w:cs="Times New Roman"/>
          <w:b/>
          <w:sz w:val="24"/>
          <w:szCs w:val="24"/>
        </w:rPr>
        <w:t xml:space="preserve"> Table II</w:t>
      </w:r>
    </w:p>
    <w:p w:rsidR="00C14E63" w:rsidRDefault="003D52C4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HFF proteins clustered by the DAVID enrichment </w:t>
      </w:r>
      <w:r w:rsidR="00D308FE">
        <w:rPr>
          <w:rFonts w:ascii="Times New Roman" w:hAnsi="Times New Roman" w:cs="Times New Roman"/>
          <w:sz w:val="24"/>
          <w:szCs w:val="24"/>
        </w:rPr>
        <w:t xml:space="preserve">analysis </w:t>
      </w:r>
      <w:r w:rsidR="00E94A65">
        <w:rPr>
          <w:rFonts w:ascii="Times New Roman" w:hAnsi="Times New Roman" w:cs="Times New Roman"/>
          <w:sz w:val="24"/>
          <w:szCs w:val="24"/>
        </w:rPr>
        <w:t xml:space="preserve">tool </w:t>
      </w:r>
      <w:r w:rsidR="00D308FE">
        <w:rPr>
          <w:rFonts w:ascii="Times New Roman" w:hAnsi="Times New Roman" w:cs="Times New Roman"/>
          <w:sz w:val="24"/>
          <w:szCs w:val="24"/>
        </w:rPr>
        <w:t>into</w:t>
      </w:r>
      <w:r w:rsidR="009244B4">
        <w:rPr>
          <w:rFonts w:ascii="Times New Roman" w:hAnsi="Times New Roman" w:cs="Times New Roman"/>
          <w:sz w:val="24"/>
          <w:szCs w:val="24"/>
        </w:rPr>
        <w:t xml:space="preserve"> the</w:t>
      </w:r>
      <w:r w:rsidR="00D308FE">
        <w:rPr>
          <w:rFonts w:ascii="Times New Roman" w:hAnsi="Times New Roman" w:cs="Times New Roman"/>
          <w:sz w:val="24"/>
          <w:szCs w:val="24"/>
        </w:rPr>
        <w:t xml:space="preserve"> five statistically-significant main groups</w:t>
      </w:r>
      <w:r w:rsidR="009244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pPr w:leftFromText="180" w:rightFromText="180" w:vertAnchor="page" w:horzAnchor="margin" w:tblpX="-176" w:tblpY="2544"/>
        <w:tblW w:w="10490" w:type="dxa"/>
        <w:tblLayout w:type="fixed"/>
        <w:tblLook w:val="0000"/>
      </w:tblPr>
      <w:tblGrid>
        <w:gridCol w:w="568"/>
        <w:gridCol w:w="4360"/>
        <w:gridCol w:w="1073"/>
        <w:gridCol w:w="946"/>
        <w:gridCol w:w="3543"/>
      </w:tblGrid>
      <w:tr w:rsidR="00CB561A" w:rsidRPr="00CB561A" w:rsidTr="00422450">
        <w:trPr>
          <w:trHeight w:val="688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Protein Description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NCBI ID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CB561A" w:rsidRPr="00CB561A" w:rsidRDefault="00CB561A" w:rsidP="00AC413F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 xml:space="preserve">UniProt </w:t>
            </w:r>
            <w:r w:rsidR="00AC413F"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A</w:t>
            </w:r>
            <w:r w:rsidR="00AC413F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Biological Function</w:t>
            </w:r>
            <w:r w:rsidR="007A305F" w:rsidRPr="007A305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de-DE"/>
              </w:rPr>
              <w:t>¥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A disintegrin and metalloproteinase with thrombospondin motifs 13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NP_620595.1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Q76LX8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Acid ceramidase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NP_808592.2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Q13510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Actin, cytoplasmic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NP_001092.1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P60709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 xml:space="preserve">Activin: </w:t>
            </w:r>
          </w:p>
          <w:p w:rsidR="00CB561A" w:rsidRPr="00CB561A" w:rsidRDefault="009244B4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Activin </w:t>
            </w:r>
            <w:r w:rsidR="00CB561A" w:rsidRPr="00CB561A">
              <w:rPr>
                <w:rFonts w:ascii="Times New Roman" w:hAnsi="Times New Roman"/>
                <w:sz w:val="12"/>
                <w:szCs w:val="12"/>
              </w:rPr>
              <w:t xml:space="preserve">A = </w:t>
            </w:r>
            <w:r w:rsidR="00CB561A"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inhibin beta A chain x 2</w:t>
            </w:r>
          </w:p>
          <w:p w:rsidR="00CB561A" w:rsidRPr="00CB561A" w:rsidRDefault="009244B4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Activin </w:t>
            </w:r>
            <w:r w:rsidR="00CB561A" w:rsidRPr="00CB561A">
              <w:rPr>
                <w:rFonts w:ascii="Times New Roman" w:hAnsi="Times New Roman"/>
                <w:sz w:val="12"/>
                <w:szCs w:val="12"/>
              </w:rPr>
              <w:t xml:space="preserve">B = </w:t>
            </w:r>
            <w:r w:rsidR="00CB561A"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inhibin beta B chain x 2</w:t>
            </w:r>
          </w:p>
          <w:p w:rsidR="00CB561A" w:rsidRPr="00CB561A" w:rsidRDefault="009244B4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Activin </w:t>
            </w:r>
            <w:r w:rsidR="00CB561A" w:rsidRPr="00CB561A">
              <w:rPr>
                <w:rFonts w:ascii="Times New Roman" w:hAnsi="Times New Roman"/>
                <w:sz w:val="12"/>
                <w:szCs w:val="12"/>
              </w:rPr>
              <w:t>AB =</w:t>
            </w:r>
            <w:r w:rsidR="00CB561A"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inhibin beta A chain+inhibin beta B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inhibin beta 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inhibin beta B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NP_002183.1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NP_002184.2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P08476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P09529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Acyl-CoA synthetase family member 4</w:t>
            </w:r>
          </w:p>
          <w:p w:rsidR="00CB561A" w:rsidRPr="00CB561A" w:rsidRDefault="00CB561A" w:rsidP="0034547D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(Aminoadipate-semialdehyde dehydrogenase;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  <w:r w:rsidR="007A305F" w:rsidRPr="007A305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fr-FR"/>
              </w:rPr>
              <w:t>§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NP_861522.2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Q4L235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Adipocyte plasma membrane-associated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NP_065392.1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Q9HDC9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jc w:val="center"/>
              <w:rPr>
                <w:rStyle w:val="Enfasigrassetto"/>
                <w:rFonts w:eastAsia="MS Mincho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Adiponectin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NP_004788.1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Q15848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ADM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[Cleaved into: Adrenomedullin</w:t>
            </w:r>
          </w:p>
          <w:p w:rsidR="00CB561A" w:rsidRPr="00CB561A" w:rsidRDefault="00422450" w:rsidP="003D52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</w:t>
            </w:r>
            <w:r w:rsidR="00CB561A" w:rsidRPr="00CB561A">
              <w:rPr>
                <w:rFonts w:ascii="Times New Roman" w:hAnsi="Times New Roman"/>
                <w:sz w:val="12"/>
                <w:szCs w:val="12"/>
              </w:rPr>
              <w:t>Proadrenomedullin N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-20 terminal </w:t>
            </w:r>
            <w:r w:rsidR="00CB561A" w:rsidRPr="00CB561A">
              <w:rPr>
                <w:rFonts w:ascii="Times New Roman" w:hAnsi="Times New Roman"/>
                <w:sz w:val="12"/>
                <w:szCs w:val="12"/>
              </w:rPr>
              <w:t>peptide]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NP_001115.1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P35318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ADP-ribosyl cyclase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NP_004325.2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Q10588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Adrenocortical dysplasia protein homolog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20"/>
                <w:lang w:val="it-IT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20"/>
                <w:lang w:val="it-IT" w:eastAsia="he-IL" w:bidi="he-IL"/>
              </w:rPr>
              <w:t>NP_001075955.1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Q96AP0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Advanced glycosylation end product-specific receptor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NP_001127.1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Q15109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Afamin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NP_001124.1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P43652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jc w:val="center"/>
              <w:rPr>
                <w:rFonts w:eastAsia="MS Mincho" w:cs="Times New Roman"/>
                <w:b/>
                <w:bCs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Alkaline phosphatase, tissue-nonspecific isozyme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NP_000469.3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P05186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jc w:val="center"/>
              <w:rPr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Alpha-1-acid glycoprotein 1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(Orosomucoid;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fr-FR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, 2012)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NP_000598.1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P02763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Alpha-1-acid glycoprotein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NP_000599.1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P19652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Alpha-1-antichymotrypsin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(Serpin peptidase inhibitor, clade A, member 3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 xml:space="preserve">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sv-SE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, 2012</w:t>
            </w:r>
            <w:r w:rsidRPr="00CB561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NP_001076.2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P01011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Alpha-2-antiplasmin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 xml:space="preserve">(Alpha-2-plasmin inhibitor;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sv-SE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, 2012 )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NP_000925.2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P08697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Alpha-1-antitrypsin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NP_000286.3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P01009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Alpha-1B-glycoprotein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NP_570602.2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P04217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Alpha-2-HS-glycoprotein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NP_001613.2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P02765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Alpha-2-macroglobulin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NP_000005.2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P01023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Alpha-catulin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NP_003789.1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Q9UBT7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23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Alpha-enolase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NP_001419.1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P06733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Aminopeptidase 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NP_001141.2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P15144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Amyloid beta A4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NP_000475.1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P05067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jc w:val="center"/>
              <w:rPr>
                <w:rFonts w:eastAsia="MS Mincho" w:cs="Times New Roman"/>
                <w:b/>
                <w:bCs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Angiogenin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NP_001136.1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P03950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Angiopoietin-1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napToGrid w:val="0"/>
              <w:jc w:val="center"/>
              <w:rPr>
                <w:rFonts w:ascii="Times New Roman" w:hAnsi="Times New Roman" w:cs="Times New Roman"/>
                <w:sz w:val="12"/>
              </w:rPr>
            </w:pPr>
            <w:r w:rsidRPr="00CB561A">
              <w:rPr>
                <w:rFonts w:ascii="Times New Roman" w:hAnsi="Times New Roman" w:cs="Times New Roman"/>
                <w:sz w:val="12"/>
              </w:rPr>
              <w:t>NP_001137.2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Q15389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jc w:val="center"/>
              <w:rPr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Angiotensin-converting enzyme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20"/>
                <w:lang w:val="it-IT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20"/>
                <w:lang w:val="it-IT" w:eastAsia="he-IL" w:bidi="he-IL"/>
              </w:rPr>
              <w:t>NP_000780.1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P12821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Angiotensinogen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NP_000020.1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P01019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Antithrombin-III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NP_000479.1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P01008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Apolipoprotein(a)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NP_005568.2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P08519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32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Apolipoprotein A-I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NP_000030.1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P02647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Apolipoprotein A-II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NP_001634.1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P02652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Apolipoprotein A-IV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NP_000473.2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P06727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Apolipoprotein B-100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 xml:space="preserve">(Apolipoprotein B including Ag(x) antigen;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</w:rPr>
              <w:t>., 2013 ;)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NP_000375.2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P04114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Apolipoprotein C-I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NP_001636.1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P02654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37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Apolipoprotein C-II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NP_000474.2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P02655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Apolipoprotein C-III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NP_000031.1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P02656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39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Apolipoprotein C-IV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NP_001637.1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P55056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40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Apolipoprotein D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NP_001638.1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P05090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41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Apolipoprotein 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NP_000032.1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P02649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42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Apolipoprotein F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NP_001629.1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Q13790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43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Apolipoprotein L1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NP_003652.2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O14791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44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Apolipoprotein M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NP_061974.2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O95445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45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Attractin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NP_647537.1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O75882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sv-SE"/>
              </w:rPr>
              <w:t>46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Basement membrane-specific heparan sulfate proteoglycan core protein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 xml:space="preserve">(Heparan sulphate proteoglycan 2;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sv-SE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NP_005520.3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P98160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Cell adhesion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Biological adhesion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47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Beta-2-glycoprotein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NP_000033.2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P02749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lastRenderedPageBreak/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lastRenderedPageBreak/>
              <w:t>48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Beta-2-microglobulin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NP_004039.1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P61769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49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Beta-Ala-His dipeptidase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NP_116038.4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Q96KN2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50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Beta-nerve growth factor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NP_002497.2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P01138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51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C4b-binding protein alpha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(Complement component 4 binding protein, alpha;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NP_000706.1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P04003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52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Cadherin-5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 xml:space="preserve">(Cadherin 5, type 2 (vascular endothelium)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NP_001786.2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P33151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Cell adhesion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Biological adhesion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53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en-GB"/>
              </w:rPr>
              <w:t>Cadherin-6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(Cadherin 6, Htype 2, K-cadherin (fetal kidney )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NP_004923.1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P55285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Cell adhesion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Biological adhesion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54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Cadherin-13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(Cadherin 13, H-cadherin (heart) Ambekar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  <w:r w:rsidRPr="00CB561A">
              <w:rPr>
                <w:rFonts w:ascii="Times New Roman" w:hAnsi="Times New Roman"/>
                <w:iCs/>
                <w:sz w:val="12"/>
                <w:szCs w:val="12"/>
              </w:rPr>
              <w:t>AS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et al</w:t>
            </w:r>
            <w:r w:rsidRPr="00CB561A">
              <w:rPr>
                <w:rFonts w:ascii="Times New Roman" w:hAnsi="Times New Roman"/>
                <w:sz w:val="12"/>
                <w:szCs w:val="12"/>
              </w:rPr>
              <w:t>., 2013</w:t>
            </w: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NP_001248.1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P55290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55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Carboxypeptidase B2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NP_001863.2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Q96IY4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56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Cathepsin B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NP_001899.1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P07858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57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C-C motif chemokine 2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 xml:space="preserve">(MCP-1; 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 xml:space="preserve">Lédée N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es-ES_tradnl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 xml:space="preserve">., 2008; Xu H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es-ES_tradnl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., 2006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NP_002973.1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P13500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3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3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58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C-C motif chemokine 3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(MIP-1-</w:t>
            </w:r>
            <w:r w:rsidRPr="00CB561A">
              <w:rPr>
                <w:rFonts w:ascii="Times New Roman" w:hAnsi="Times New Roman"/>
                <w:sz w:val="12"/>
                <w:szCs w:val="16"/>
                <w:shd w:val="clear" w:color="auto" w:fill="FFFFFF"/>
              </w:rPr>
              <w:t>α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 xml:space="preserve">; 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Lédéè N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2011</w:t>
            </w:r>
            <w:r w:rsidRPr="00CB561A">
              <w:rPr>
                <w:rFonts w:ascii="Times New Roman" w:hAnsi="Times New Roman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NP_002974.1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P10147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59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C-C motif chemokine 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NP_002975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P13236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60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C-C motif chemokine 5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8"/>
                <w:lang w:val="en-GB" w:eastAsia="he-IL" w:bidi="he-IL"/>
              </w:rPr>
            </w:pPr>
            <w:r w:rsidRPr="00CB561A">
              <w:rPr>
                <w:rFonts w:ascii="Times New Roman" w:hAnsi="Times New Roman"/>
                <w:sz w:val="12"/>
                <w:szCs w:val="18"/>
                <w:lang w:eastAsia="he-IL" w:bidi="he-IL"/>
              </w:rPr>
              <w:t>R</w:t>
            </w:r>
            <w:r w:rsidRPr="00CB561A">
              <w:rPr>
                <w:rFonts w:ascii="Times New Roman" w:hAnsi="Times New Roman"/>
                <w:sz w:val="12"/>
                <w:szCs w:val="18"/>
                <w:lang w:val="en-GB" w:eastAsia="he-IL" w:bidi="he-IL"/>
              </w:rPr>
              <w:t>egulated upon activation, normal T cell expressed and secreted (RANTES)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NP_002976.2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</w:rPr>
              <w:t>P13501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C-C motif c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hemokine 20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(MIP-3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α</w:t>
            </w: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 xml:space="preserve">, Kawana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it-IT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., 2004)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  <w:t>NP_004582.1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P78556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CD5 antigen-like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NP_005885.1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O43866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(Soluble) CD44 antigen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(sCD44)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NP_000601.3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P16070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64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Ceruloplasmin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NP_000087.1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P00450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65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Cholesterol 7-alpha-monooxygenase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(CYP7A1; Yoo SW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en-GB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, 2011)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NP_000771.2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P22680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Clusterin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NP_001822.3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P10909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V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NP_000121.2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P12259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VII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NP_000122.1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P08709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69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IX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NP_000124.1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P00740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70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X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NP_000495.1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P00742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71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XI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NP_000119.1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P03951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72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XII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NP_000496.2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P00748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73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XIII A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NP_000120.2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P00488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74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Coagulation factor XIII B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NP_001985.2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P05160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75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Collagen alpha-1(III)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NP_000081.1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P02461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76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Collagen alpha-1(V)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NP_000084.3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P20908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77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C1q subcomponent subunit 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NP_O57075.1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P02745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78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C1q subcomponent subunit B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NP_000482.1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P02746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79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C1q subcomponent subunit C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NP_001107573.1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P02747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C1r subcomponent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NP_001724.3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P00736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C1r subcomponent-like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NP_057630.1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Q9NZP8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82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C1s subcomponent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NP_001725.1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P09871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83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NP_000054.2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P06681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NP_000055.2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P01024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C4-A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NP_009224.2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P0C0L4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86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C4-B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NP_001002029.3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P0C0L5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NP_001726.2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P01031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component C6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NP_000056.1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P13671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89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component C7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NP_000578.2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P10643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90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component C8 alpha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(Complement component 8, alpha polypeptide ; Am</w:t>
            </w:r>
            <w:r>
              <w:rPr>
                <w:rFonts w:ascii="Times New Roman" w:hAnsi="Times New Roman"/>
                <w:sz w:val="12"/>
                <w:szCs w:val="12"/>
                <w:lang w:val="fr-FR"/>
              </w:rPr>
              <w:t>b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ekar AS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NP_000553.1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P07357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91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component C8 beta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(Complement component 8, beta polypeptide ; </w:t>
            </w:r>
            <w:r w:rsidRPr="00C14E63">
              <w:rPr>
                <w:rFonts w:ascii="Times New Roman" w:hAnsi="Times New Roman"/>
                <w:sz w:val="12"/>
                <w:szCs w:val="12"/>
                <w:lang w:val="fr-FR"/>
              </w:rPr>
              <w:t>Ambekar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 AS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NP_000057.1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P07358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92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component C8 gamma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(Complement component 8, gamma polypeptide ; </w:t>
            </w:r>
            <w:r w:rsidRPr="00C14E63">
              <w:rPr>
                <w:rFonts w:ascii="Times New Roman" w:hAnsi="Times New Roman"/>
                <w:sz w:val="12"/>
                <w:szCs w:val="12"/>
                <w:lang w:val="fr-FR"/>
              </w:rPr>
              <w:t>Am</w:t>
            </w:r>
            <w:r w:rsidR="00C14E63" w:rsidRPr="00C14E63">
              <w:rPr>
                <w:rFonts w:ascii="Times New Roman" w:hAnsi="Times New Roman"/>
                <w:sz w:val="12"/>
                <w:szCs w:val="12"/>
                <w:lang w:val="fr-FR"/>
              </w:rPr>
              <w:t>b</w:t>
            </w:r>
            <w:r w:rsidRPr="00C14E63">
              <w:rPr>
                <w:rFonts w:ascii="Times New Roman" w:hAnsi="Times New Roman"/>
                <w:sz w:val="12"/>
                <w:szCs w:val="12"/>
                <w:lang w:val="fr-FR"/>
              </w:rPr>
              <w:t>ekar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 AS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NP_000597.2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P07360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93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component C9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NP_001728.1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P02748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94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Complement factor B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NP_001701.2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P00751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95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Complement factor D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NP_001919.2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P00746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96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factor H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NP_000177.2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P08603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97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factor H-related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NP_002104.2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Q03591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98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Complement factor H-related protein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NP_005657.1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  <w:t>P36980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99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Complement factor H-related protein 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NP_066303.2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  <w:t>Q02985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100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factor H-related protein 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NP_110414.1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Q9BXR6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101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Complement factor 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NP_000195.2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P05156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102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Corticosteroid-binding globulin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NP_001747.2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P08185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103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C-reactive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NP_000558.2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P02741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104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C-X-C motif chemokine 10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(IP-10; 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 xml:space="preserve">Lédée N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es-ES_tradnl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., 2008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NP_001556.2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P02778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s-ES_tradnl"/>
              </w:rPr>
              <w:t>105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Cytoplasmic protein NCK1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NP_006144.1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P16333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106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DNA-directed RNA polymerase III subunit RPC7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 xml:space="preserve">(Polymerase (RNA) III (DNA DIRECT) polypeptide G (32 kD) ; 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 </w:t>
            </w: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NP_006458.2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O15318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107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Dopamine beta-hydroxylase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NP_000778.3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P09172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108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Ectonucleotide pyrophosphatase/phosphodiesterase family member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NP_001035181.1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Q13822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109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Endothelial protein C receptor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NP_006395.2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Q9UNN8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110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Endothelin-1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  <w:t>NP_001946.3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P05305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111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Endothelin-2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NP_001947.1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P20800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112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Engulfment and cell motility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NP_055615.8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Q92556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113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Eotaxin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NP_002977.1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P51671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114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Ephrin type-A receptor 3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 xml:space="preserve">(EPH receptor A3; 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en-GB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., 2013</w:t>
            </w: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NP_005224.2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P29320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2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115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Ezrin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  <w:t>NP_001104547.1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P15311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116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Fatty acid synthase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NP_004095.4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P49327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117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Fibrinogen alpha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sz w:val="12"/>
                <w:szCs w:val="12"/>
                <w:lang w:val="sv-SE"/>
              </w:rPr>
              <w:t>(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 xml:space="preserve">Fibrinogen alpha chain isoform alpha-E;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sv-SE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NP_000499.1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P02671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sv-SE"/>
              </w:rPr>
              <w:t>118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Fibrinogen beta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NP_005132.2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P02675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119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Fibrinogen gamma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 xml:space="preserve">(Fibrinogen gamma chain isoform gamma-B;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sv-SE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, 2012)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NP_000500.2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P02679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120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Fibroblast growth factor 2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(</w:t>
            </w:r>
            <w:r w:rsidRPr="00CB561A">
              <w:rPr>
                <w:rFonts w:ascii="Times New Roman" w:hAnsi="Times New Roman"/>
                <w:sz w:val="12"/>
                <w:szCs w:val="20"/>
                <w:lang w:eastAsia="he-IL" w:bidi="he-IL"/>
              </w:rPr>
              <w:t xml:space="preserve">Basic fibroblast growth factor (bFGF), </w:t>
            </w:r>
            <w:r w:rsidRPr="00CB561A">
              <w:rPr>
                <w:rFonts w:ascii="Times New Roman" w:hAnsi="Times New Roman"/>
                <w:sz w:val="12"/>
                <w:szCs w:val="20"/>
                <w:lang w:val="en-GB" w:eastAsia="he-IL" w:bidi="he-IL"/>
              </w:rPr>
              <w:t xml:space="preserve">Malamitsi-Puchner A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20"/>
                <w:lang w:val="en-GB" w:eastAsia="he-IL" w:bidi="he-IL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20"/>
                <w:lang w:val="en-GB" w:eastAsia="he-IL" w:bidi="he-IL"/>
              </w:rPr>
              <w:t>., 2001</w:t>
            </w: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NP_001997.5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  <w:t>P09038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121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Fibroblast growth factor 7 (KGF or FGF7)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NP_002000.1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P21781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122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Fibronectin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NP_473375.2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P02751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rPr>
          <w:trHeight w:val="188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123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Ficolin-2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NP_004099.2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Q15485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124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Ficolin-3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NP_003656.2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O75636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125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Focal adhesion kinase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NP_722560.1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Q05397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126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Formimidoyltransferase-cyclodeaminase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NP_006648.1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O95954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127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Fructose-bisphosphate aldolase A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 xml:space="preserve">(Aldolase A, fructose-bisphosphate; 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NP_000025.1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P04075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128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Fructose-bisphosphate aldolase B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 xml:space="preserve">(Aldolase B, fructose-bisphosphate; </w:t>
            </w:r>
            <w:r w:rsidRPr="00CB561A">
              <w:rPr>
                <w:rFonts w:ascii="Times New Roman" w:hAnsi="Times New Roman"/>
                <w:sz w:val="12"/>
                <w:szCs w:val="12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NP_000026.2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P05062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129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FSH :</w:t>
            </w:r>
          </w:p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Glycoprotein hormones alpha chain</w:t>
            </w:r>
          </w:p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Follitropin subunit beta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NP_001239312.1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NP_001018090.1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P01215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P01225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130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Ganglioside GM2 activator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NP_000396.2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P17900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131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Gelsolin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NP_000168.1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P06396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sv-SE"/>
              </w:rPr>
              <w:t>132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Golgi resident protein GCP60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NP_073572.2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Q9H3P7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133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Golgin subfamily B member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NP_004478.3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  <w:t>Q14789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134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Granulocyte colony-stimulating factor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(G-CSF; 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 xml:space="preserve">Lédée N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es-ES_tradnl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., 2008)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NP_000750.1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O75636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135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Haptoglobin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NP_005134.1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P00738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136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Haptoglobin-related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NP_066275.3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P00739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137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Hemopexin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NP_000604.1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P02790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138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Heparin cofactor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NP_000176.2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P05546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139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Hepatocyte growth factor activator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NP_001519.1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Q04756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140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Hepatocyte growth factor-like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NP_066278.3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  <w:t>P26927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141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Histidine-rich glycoprotein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NP_000403.1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P04196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142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Hormone-sensitive lipase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NP_005348.2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Q05469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143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Hyaluronan-binding protein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NP_001171131.1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Q14520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144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Ig alpha-1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P01876.2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P01876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145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Ig alpha-2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P01877.3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P01877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146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delta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P01880.2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P01880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147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epsilon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P01854.1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P01854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148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gamma-1chain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P01857.1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P01857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149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gamma-2chain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P01859.2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P01859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150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gamma-3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P01860.2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P01860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gamma-4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P01861.1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P01861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BRO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P01766.1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P01766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BUR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P01773.1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P01773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BUT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3"/>
              </w:rPr>
            </w:pPr>
            <w:r w:rsidRPr="00CB561A">
              <w:rPr>
                <w:rFonts w:ascii="Times New Roman" w:hAnsi="Times New Roman"/>
                <w:sz w:val="12"/>
                <w:szCs w:val="13"/>
              </w:rPr>
              <w:t>P01767.1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P01767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CAM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P01768.1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P01768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GA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P01769.1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P01769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GAL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P01781.1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P01781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HIL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P01771.1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159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JON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P01780.1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P01780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160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TIL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P01765.1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P01765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161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VH26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  <w:lang w:val="en-US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  <w:lang w:val="en-US"/>
              </w:rPr>
              <w:t>P01764.1</w:t>
            </w:r>
          </w:p>
          <w:p w:rsidR="00CB561A" w:rsidRPr="00CB561A" w:rsidRDefault="00CB561A" w:rsidP="003D52C4">
            <w:pPr>
              <w:pStyle w:val="PreformattatoHTML"/>
              <w:shd w:val="clear" w:color="auto" w:fill="FFFFFF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  <w:lang w:val="en-US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  <w:lang w:val="en-US"/>
              </w:rPr>
              <w:t>XP_001718156.4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P01764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162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V-III region NG9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P01621.1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P01621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163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TRO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P01762.1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P01762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164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Ig heavy chain V-III region TUR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P01779.1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P01779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165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AGH70219.1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P01834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166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AU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P01594.1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P01594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167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DEE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P01597.1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P01597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168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EU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P01598.1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P01598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169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HK102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P01602.1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P01602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170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Lay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P01605.1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P01605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171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Mev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P01612.1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P01612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172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OU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P01606.1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P01606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173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 region WEA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P01610.1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P01610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174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sv-SE"/>
              </w:rPr>
              <w:t>Ig kappa chain V-II region MIL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P01616.1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P01616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175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 region RPMI 6410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P06310.1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P06310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176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 region TEW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P01617.1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P01617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177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V-III region B6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P01619.1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P01619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178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V-III region NG9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P01621.1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P01621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179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V-III region SIE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P01620.1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P01620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V-III region VG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AAA20447.1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P04433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V-III region VH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XP_003403553.1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P04434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kappa chain V-IV region Len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P01625.2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P01625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E208D7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Ig lambda-1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AAA59107.1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P01842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E208D7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lambda-2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P0CG05.1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P0CG05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185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lambda chain V-I region HA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P01700.1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P01700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186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lambda chain V-II region TRO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P01707.1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P01707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187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Ig lambda chain V-III region LOI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P80748.1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P80748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Ig lambda chain V-IV region Hil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P01717.1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P01717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Owing to the luck of correlation between this protein to its corresponding gene name the DAVID program exluded the protein from its clustering functional analysis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189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Ig mu chain C region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561A">
              <w:rPr>
                <w:rFonts w:ascii="Times New Roman" w:hAnsi="Times New Roman" w:cs="Times New Roman"/>
                <w:sz w:val="12"/>
                <w:szCs w:val="12"/>
              </w:rPr>
              <w:t>P01871.3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P01871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190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Immunoglobulin J chain</w:t>
            </w:r>
          </w:p>
        </w:tc>
        <w:tc>
          <w:tcPr>
            <w:tcW w:w="1073" w:type="dxa"/>
            <w:vAlign w:val="center"/>
          </w:tcPr>
          <w:p w:rsidR="00CB561A" w:rsidRPr="00CB561A" w:rsidRDefault="006D5FBD" w:rsidP="003D52C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val="sv-SE"/>
              </w:rPr>
            </w:pPr>
            <w:hyperlink r:id="rId7" w:history="1">
              <w:r w:rsidR="00CB561A" w:rsidRPr="00CB561A">
                <w:rPr>
                  <w:rStyle w:val="Collegamentoipertestuale"/>
                  <w:rFonts w:ascii="Times New Roman" w:hAnsi="Times New Roman" w:cs="Times New Roman"/>
                  <w:color w:val="auto"/>
                  <w:sz w:val="12"/>
                  <w:szCs w:val="12"/>
                  <w:u w:val="none"/>
                </w:rPr>
                <w:t>NP_653247.1</w:t>
              </w:r>
            </w:hyperlink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P01591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Immunoglobulin lambda-like polypeptide 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NP_001171597.1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B9A064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C14E63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Inhibin: </w:t>
            </w:r>
          </w:p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A = inhibin </w:t>
            </w:r>
            <w:r w:rsidRPr="00CB561A">
              <w:rPr>
                <w:rFonts w:ascii="Symbol" w:hAnsi="Symbol"/>
                <w:sz w:val="12"/>
                <w:szCs w:val="12"/>
                <w:lang w:val="sv-SE"/>
              </w:rPr>
              <w:t>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chain+inhibin </w:t>
            </w:r>
            <w:r w:rsidRPr="00CB561A">
              <w:rPr>
                <w:rFonts w:ascii="Symbol" w:hAnsi="Symbol"/>
                <w:sz w:val="12"/>
                <w:szCs w:val="12"/>
                <w:lang w:val="sv-SE"/>
              </w:rPr>
              <w:t>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B = inhibin </w:t>
            </w:r>
            <w:r w:rsidRPr="00CB561A">
              <w:rPr>
                <w:rFonts w:ascii="Symbol" w:hAnsi="Symbol"/>
                <w:sz w:val="12"/>
                <w:szCs w:val="12"/>
                <w:lang w:val="sv-SE"/>
              </w:rPr>
              <w:t>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chain+inhibin </w:t>
            </w:r>
            <w:r w:rsidRPr="00CB561A">
              <w:rPr>
                <w:rFonts w:ascii="Symbol" w:hAnsi="Symbol"/>
                <w:sz w:val="12"/>
                <w:szCs w:val="12"/>
                <w:lang w:val="sv-SE"/>
              </w:rPr>
              <w:t>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B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Inhibin </w:t>
            </w:r>
            <w:r w:rsidRPr="00CB561A">
              <w:rPr>
                <w:rFonts w:ascii="Symbol" w:hAnsi="Symbol"/>
                <w:sz w:val="12"/>
                <w:szCs w:val="12"/>
                <w:lang w:val="sv-SE"/>
              </w:rPr>
              <w:t></w:t>
            </w: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Inhibin beta A chain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Inhibin beta B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NP_002182.1</w:t>
            </w: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NP_002183.1</w:t>
            </w: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NP_002184.2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P05111</w:t>
            </w: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P08476</w:t>
            </w:r>
          </w:p>
          <w:p w:rsidR="00CB561A" w:rsidRPr="00CB561A" w:rsidRDefault="00CB561A" w:rsidP="00C14E63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P09529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C14E63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C14E63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Insulin-like growth factor 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NP_001104754.1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P05019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Insulin-like growth factor II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NP_00112170.1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P01344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Insulin-like growth factor-binding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NP_000587.1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P08833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Insulin-like growth factor-binding protein 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NP_001543.2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P22692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Insulin-like growth factor-binding protein 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NP_000590.1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P24593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198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Insulin-like growth factor-binding protein 7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</w:t>
            </w: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softHyphen/>
              <w:t>_001544.1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Q16270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199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Intercellular adhesion molecule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NP_000192.2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P05362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200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Interferon gamma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NP_000610.2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  <w:t>P01579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rPr>
          <w:trHeight w:val="197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201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Interleukin-1 alpha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NP_000566.3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P01583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rPr>
          <w:trHeight w:val="238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202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Interleukin-1 beta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NP_000567.1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P01584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rPr>
          <w:trHeight w:val="197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203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Interleukin-1 receptor accessory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NP_608273.1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Q9NPH3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rPr>
          <w:trHeight w:val="197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204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Interleukin-1 receptor antagonist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NP_776214.1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P18510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205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NP_000577.2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P60568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206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Interleukin-4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NP_000580.1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P05112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207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NP_000870.1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P05113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208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Interleukin-6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  <w:t>NP_000591.1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  <w:t>P05231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209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Interleukin-6 receptor subunit beta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NP_002175.2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  <w:t>P40189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210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Interleukin-8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NP_000575.1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P10145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211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NP_000581.1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P15248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212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Interleukin-10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NP_000563.1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P22301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213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Interleukin-11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NP_000632.1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P20809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214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Interleukin-12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heterodimer: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Interleukin-12 subunit alpha+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Interleukin-12 subunit beta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NP_000873.2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NP_000873.2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P29459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P29460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215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Interleukin-13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P35225.2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P35225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216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Interleukin-15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13"/>
                <w:lang w:val="it-IT" w:eastAsia="he-IL" w:bidi="he-IL"/>
              </w:rPr>
              <w:t>NP_000576.1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P40933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217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Interleukin-18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eastAsia="Arial Unicode MS" w:hAnsi="Times New Roman"/>
                <w:sz w:val="12"/>
                <w:szCs w:val="13"/>
                <w:lang w:val="fr-FR" w:eastAsia="he-IL" w:bidi="he-IL"/>
              </w:rPr>
            </w:pPr>
            <w:r w:rsidRPr="00CB561A">
              <w:rPr>
                <w:rFonts w:ascii="Times New Roman" w:eastAsia="Arial Unicode MS" w:hAnsi="Times New Roman"/>
                <w:sz w:val="12"/>
                <w:szCs w:val="13"/>
                <w:lang w:val="fr-FR" w:eastAsia="he-IL" w:bidi="he-IL"/>
              </w:rPr>
              <w:t>NP_001553.1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Q14116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218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Interleukin-18-bin</w:t>
            </w: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en-GB"/>
              </w:rPr>
              <w:t>ding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NP_001034748.1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it-IT"/>
              </w:rPr>
              <w:t>O95998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219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Kallikrein-6</w:t>
            </w:r>
          </w:p>
        </w:tc>
        <w:tc>
          <w:tcPr>
            <w:tcW w:w="1073" w:type="dxa"/>
            <w:vAlign w:val="center"/>
          </w:tcPr>
          <w:p w:rsidR="00CB561A" w:rsidRPr="00422450" w:rsidRDefault="007A305F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A305F">
              <w:rPr>
                <w:rFonts w:ascii="Times New Roman" w:hAnsi="Times New Roman" w:cs="Times New Roman"/>
                <w:sz w:val="12"/>
                <w:szCs w:val="12"/>
              </w:rPr>
              <w:t>NP_002765.1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  <w:t>Q92876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220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Keratin, type I cytoskeletal 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NP_000217.2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P35527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sv-SE"/>
              </w:rPr>
              <w:t>221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Keratin, type I cytoskeletal 14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NP_000517.2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sv-SE"/>
              </w:rPr>
              <w:t>P02533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sv-SE"/>
              </w:rPr>
              <w:t>222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Keratin, type II cytoskeletal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NP_006112.3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P04264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223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Keratin, type II cytoskeletal 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P19013.4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NP_002263.3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P19013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224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 xml:space="preserve">Keratin, type II cytoskeletal </w:t>
            </w:r>
            <w:smartTag w:uri="urn:schemas-microsoft-com:office:smarttags" w:element="metricconverter">
              <w:smartTagPr>
                <w:attr w:name="ProductID" w:val="6C"/>
              </w:smartTagPr>
              <w:r w:rsidRPr="00CB561A">
                <w:rPr>
                  <w:rFonts w:ascii="Times New Roman" w:hAnsi="Times New Roman"/>
                  <w:sz w:val="12"/>
                  <w:shd w:val="clear" w:color="auto" w:fill="FFFFFF"/>
                  <w:lang w:val="de-DE"/>
                </w:rPr>
                <w:t>6C</w:t>
              </w:r>
            </w:smartTag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NP_775109.2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P48668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225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Kininogen-1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NP_001095886.1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P01042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226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Kit ligand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NP_000890.1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P21583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227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Krueppel-like factor 17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NP_775755.3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sv-SE"/>
              </w:rPr>
              <w:t>Q5JT82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sv-SE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228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Lactotransferrin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NP_001186078.1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P02788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s-ES_tradnl"/>
              </w:rPr>
              <w:t>229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Laminin subunit beta-2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NP_002283.3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P55268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Lebercilin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NP_859065.2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  <w:t>Q86VQ0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231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sv-SE"/>
              </w:rPr>
              <w:t>Leptin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NP_000221.1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sv-S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sv-SE"/>
              </w:rPr>
              <w:t>P41159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LIM domain and actin-binding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NP_057441.1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NP_001230704.1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Q9UHB6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Lipocalin-1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NP_002288.1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P31025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Lipopolysaccharide-binding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NP_004130.2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P18428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Lipoprotein lipase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NP_000228.1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P06858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236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Luteinizing hormone (LH):</w:t>
            </w:r>
          </w:p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 xml:space="preserve">Glycoprotein hormones alpha chain </w:t>
            </w:r>
          </w:p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Lutropin subunit beta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  <w:lang w:val="en-US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  <w:lang w:val="en-US"/>
              </w:rPr>
              <w:t>NP_001239312.1</w:t>
            </w:r>
          </w:p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  <w:lang w:val="en-US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  <w:lang w:val="en-US"/>
              </w:rPr>
              <w:t>NP_000885.1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P01215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P01229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Lymphatic vessel endothelial hyaluronic acid receptor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NP_006682.2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Q9Y5Y7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238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Lysosomal-trafficking regulator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NP_000072.2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Q99698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239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Lysozyme C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NP_000230.1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P61626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240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Macrophage colony-stimulating factor 1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(M-CSF; Salmassi A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., 2005 ; Kawano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2001)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NP_066278.2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P09603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241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Macrophage colony-stimulating factor 1 receptor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NP_005202.2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en-GB"/>
              </w:rPr>
              <w:t>P07333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242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Macrophage migration inhibitory factor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NP_002406.1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en-GB"/>
              </w:rPr>
              <w:t>P14174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243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Mannan-binding lectin serine protease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NP_001870.3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  <w:t>P48740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244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Mannan-binding lectin serine protease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NP_006601.2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O00187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245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Mannose-binding protein C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NP_000233.1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</w:rPr>
              <w:t>P11226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246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Matrix metalloproteinase-9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NP_004985.2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P14780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247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Matrix metalloproteinase-25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NP_071913.1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Q9NPA2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248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Metalloproteinase inhibitor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NP_003245.1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P01033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249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Metalloproteinase inhibitor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NP_003246.1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  <w:t>P16035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250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Methylmalonate-semialdehyde dehydrogenase [acylating], mitochondrial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NP_005580.1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Q02252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hd w:val="clear" w:color="auto" w:fill="FFFFFF"/>
                <w:lang w:val="fr-FR"/>
              </w:rPr>
              <w:t>251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Midkine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NP_002382.1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P21741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Moesin (MSN gene name)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NP_002435.1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de-DE"/>
              </w:rPr>
              <w:t>P26038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Monocyte differentiation antigen CD14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(CD14 molecule;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NP_002336.1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P08571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Myozenin-2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NP_057683.1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Q9NPC6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rPr>
          <w:trHeight w:val="260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s-ES_tradnl"/>
              </w:rPr>
              <w:t>Nebulin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s-ES_tradnl"/>
              </w:rPr>
              <w:t>NP_004534.2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P20929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256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Neuropathy target esterase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NP_001159583.1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Q8IY17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Neuropilin-1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O14786.3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NP_001019800.1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O14786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258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Oxysterols receptor LXR-alpha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</w:t>
            </w: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softHyphen/>
              <w:t>_005684.2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Q13133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259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Pantetheinase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NP_004657.2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O95497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260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Pentraxin-related protein PTX3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NP_002843.2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P26022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688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688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261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Peroxiredoxin-1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NP_859048.1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Q06830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262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Peroxiredoxin-2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NP_005800.3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P32119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263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Peroxisomal acyl-coenzyme A oxidase 3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 xml:space="preserve">(Acyl-CoA oxidase 3, pristanoyl; 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</w:t>
            </w: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NP_003492.2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O15254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264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Phosphatidylcholine-sterol acyltransferase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NP_000220.1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P04180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265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Phosphatidylinositol-glycan biosynthesis class F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NP_002634.1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Q07326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266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Phosphatidylinositol-glycan-specific phospholipase D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NP_001494.2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P80108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267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Phosphoglycerate kinase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NP_000282.1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P00558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268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Phospholipid transfer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NP_006218.1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NP_001229849.1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P55058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269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Pigment epithelium-derived factor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NP_002606.3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P36955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270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Plasma kallikrein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NP_000883.2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P03952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271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Plasma protease C1 inhibitor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NP_000053.2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P05155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272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Plasminogen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</w:t>
            </w: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softHyphen/>
              <w:t>_000292.1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P00747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273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Plasminogen activator inhibitor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NP_000593.1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P05121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860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860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274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Plastin-2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NP_002289.2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P13796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rPr>
          <w:trHeight w:val="1575"/>
        </w:trPr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275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Platelet-derived growth factor (PDGF):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Platelet-derived growth factor subunit A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Platelet-derived growth factor subunit B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pStyle w:val="PreformattatoHTML"/>
              <w:shd w:val="clear" w:color="auto" w:fill="FFFFFF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NP_002598.4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pStyle w:val="PreformattatoHTML"/>
              <w:shd w:val="clear" w:color="auto" w:fill="FFFFFF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NP_002599.1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P04085</w:t>
            </w:r>
          </w:p>
          <w:p w:rsidR="00CB561A" w:rsidRPr="00CB561A" w:rsidRDefault="00CB561A" w:rsidP="003D52C4">
            <w:pPr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</w:p>
          <w:p w:rsidR="00CB561A" w:rsidRPr="00CB561A" w:rsidRDefault="00CB561A" w:rsidP="003D52C4">
            <w:pPr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</w:p>
          <w:p w:rsidR="00CB561A" w:rsidRPr="00CB561A" w:rsidRDefault="00CB561A" w:rsidP="003D52C4">
            <w:pPr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</w:p>
          <w:p w:rsidR="00CB561A" w:rsidRPr="00CB561A" w:rsidRDefault="00CB561A" w:rsidP="003D52C4">
            <w:pPr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P01127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276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Platelet endothelial cell adhesion molecule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NP_000433.4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P16284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277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Profilin-1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NP_005013.1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P07737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278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it-IT"/>
              </w:rPr>
              <w:t>Properdin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NP_001138724.1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P27918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279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Proprotein convertase subtilisin/kexin type 9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NP_777596.2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Q8NBP7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it-IT"/>
              </w:rPr>
              <w:t>280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Prostaglandin-H2 D-isomerase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NP_000945.3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P41222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281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Prostatic acid phosphatase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NP_001090.2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P15309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282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Protein AMBP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 xml:space="preserve">(Alpha-1-microglobulin; Angelucci S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it-IT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, 2006;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 xml:space="preserve">Alpha-1-microglobulin/bikini; 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it-IT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 xml:space="preserve">., 2013 ; Kushnir MM </w:t>
            </w:r>
            <w:r w:rsidRPr="00CB561A">
              <w:rPr>
                <w:rFonts w:ascii="Times New Roman" w:hAnsi="Times New Roman"/>
                <w:i/>
                <w:sz w:val="12"/>
                <w:szCs w:val="12"/>
                <w:lang w:val="it-IT"/>
              </w:rPr>
              <w:t>et al.</w:t>
            </w: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, 2012)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NP_001624.1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P02760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283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Protein S100-A8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NP_002955.2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P05109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284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Protein Z-dependent protease inhibitor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NP_057270.1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Q9UK55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285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Prothrombin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NP_000497.1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P00734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286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Retinoic acid receptor RXR-alpha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NP_002948.1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P19793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287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Retinoic acid receptor RXR-beta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NP_068811.1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P28702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288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Retinol-binding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NP_002890.2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P09455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289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Retinol-binding protein 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NP_006735.2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P02753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290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Rho guanine nucleotide exchange factor 18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NP_001124427.1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Q6ZSZ5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291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Rho guanine nucleotide exchange factor 26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NP_056410.3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  <w:t>Q96DR7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292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Scavenger receptor cysteine-rich type 1 protein M130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NP_981961.2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Q86VB7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293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Serotransferrin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NP_001054.1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P02787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294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Serum albumin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NP_000468.1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P02768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295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Serum amyloid A-2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NP_110381.2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P0DJI9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296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008000"/>
                <w:vertAlign w:val="superscript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Serum amyloid A-4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NP_006503.2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P35542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297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Serum amyloid P-component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NP_001630.1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P02743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298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eastAsia="MS Mincho" w:hAnsi="Times New Roman"/>
                <w:bCs/>
                <w:kern w:val="1"/>
                <w:sz w:val="12"/>
                <w:szCs w:val="12"/>
                <w:lang w:val="fr-FR"/>
              </w:rPr>
            </w:pPr>
            <w:r w:rsidRPr="00CB561A">
              <w:rPr>
                <w:rFonts w:ascii="Times New Roman" w:eastAsia="MS Mincho" w:hAnsi="Times New Roman"/>
                <w:bCs/>
                <w:kern w:val="1"/>
                <w:sz w:val="12"/>
                <w:szCs w:val="12"/>
                <w:lang w:val="fr-FR"/>
              </w:rPr>
              <w:t>Serum paraoxonase/arylesterase 1</w:t>
            </w:r>
          </w:p>
          <w:p w:rsidR="00CB561A" w:rsidRPr="00CB561A" w:rsidRDefault="00CB561A" w:rsidP="003D52C4">
            <w:pPr>
              <w:jc w:val="both"/>
              <w:rPr>
                <w:rFonts w:ascii="Times New Roman" w:eastAsia="MS Mincho" w:hAnsi="Times New Roman"/>
                <w:bCs/>
                <w:kern w:val="1"/>
                <w:sz w:val="12"/>
                <w:szCs w:val="12"/>
                <w:lang w:val="fr-FR"/>
              </w:rPr>
            </w:pPr>
            <w:r w:rsidRPr="00CB561A">
              <w:rPr>
                <w:rFonts w:ascii="Times New Roman" w:eastAsia="MS Mincho" w:hAnsi="Times New Roman"/>
                <w:bCs/>
                <w:kern w:val="1"/>
                <w:sz w:val="12"/>
                <w:szCs w:val="12"/>
                <w:lang w:val="fr-FR"/>
              </w:rPr>
              <w:t xml:space="preserve">(Paraxonase 1 ; 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 </w:t>
            </w:r>
            <w:r w:rsidRPr="00CB561A">
              <w:rPr>
                <w:rFonts w:ascii="Times New Roman" w:eastAsia="MS Mincho" w:hAnsi="Times New Roman"/>
                <w:bCs/>
                <w:kern w:val="1"/>
                <w:sz w:val="12"/>
                <w:szCs w:val="12"/>
                <w:lang w:val="fr-FR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NP_000437.3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P27169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299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Signal peptide, CUB and EGF-like domain-containing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NP_766638.2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Q8IWY4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en-GB"/>
              </w:rPr>
              <w:t>Stromal cell-derived factor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NP_000600.1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P48061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008000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Superoxide dismutase [Cu-Zn]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NP_000445.1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P00441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Syndecan-4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NP_002990.2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P31431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Talin-1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NP_006280.3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Q9Y490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304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it-IT"/>
              </w:rPr>
              <w:t>Tenascin-X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it-IT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it-IT"/>
              </w:rPr>
              <w:t>NP_061978.6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P22105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TGF-beta receptor type-2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NP_003233.4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P37173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Thrombospondin-1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NP_003237.2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P07996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Tissue factor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NP_001984.1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  <w:t>P13726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308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Tissue factor pathway inhibitor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NP_006278.1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it-IT"/>
              </w:rPr>
              <w:t>P10646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309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Titin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Q8WZ42.4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Q8WZ42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310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Transferrin receptor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NP_003225.2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P02786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311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Transforming growth factor beta-1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NP_000651.3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  <w:t>P01137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312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Transforming growth factor beta receptor type 3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de-DE"/>
              </w:rPr>
              <w:t>NP_003234.2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Q03167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313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Transient receptor potential cation channel subfamily M member 7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fr-FR"/>
              </w:rPr>
              <w:t>NP_060142.3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Q96QT4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314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Triggering receptor expressed on myeloid cells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NP_061113.1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  <w:t>Q9NP99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de-D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315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Triosephosphate isomerase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NP_001152759.1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NP_000356.1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P60174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316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Tubulin alpha-1B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</w:rPr>
              <w:t>NP_006073.2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P68363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317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Tubulin beta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NP_821133.1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P07437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en-GB"/>
              </w:rPr>
              <w:t>318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Tubulin gamma-1 chain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Cs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bCs/>
                <w:sz w:val="12"/>
                <w:szCs w:val="12"/>
                <w:lang w:val="en-GB"/>
              </w:rPr>
              <w:t>NP_001061.2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P23258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319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Tumor necrosis factor-</w:t>
            </w:r>
            <w:r w:rsidRPr="00CB561A">
              <w:rPr>
                <w:rFonts w:ascii="Symbol" w:hAnsi="Symbol"/>
                <w:sz w:val="12"/>
                <w:szCs w:val="12"/>
                <w:lang w:val="en-GB"/>
              </w:rPr>
              <w:t>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NP_000585.2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P01375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320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Tumor necrosis factor-inducible gene 6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NP_009046.2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P98066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Tumor necrosis factor receptor superfamily member 6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NP_000034.1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P25445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Vascular cell adhesion protein 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NP_001069.1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P19320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Vascular endothelial growth factor A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NP_001020537.2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P15692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Vasopressin-neurophysin 2-copeptin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NP_000481.2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P01185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Versican core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NP_004376.2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P13611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de-DE"/>
              </w:rPr>
              <w:t>326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Vimentin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NP_003371.2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P08670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pStyle w:val="Titolo3"/>
              <w:numPr>
                <w:ilvl w:val="0"/>
                <w:numId w:val="0"/>
              </w:numPr>
              <w:snapToGrid w:val="0"/>
              <w:ind w:left="720" w:hanging="720"/>
              <w:jc w:val="both"/>
              <w:outlineLvl w:val="2"/>
              <w:rPr>
                <w:b w:val="0"/>
                <w:bCs w:val="0"/>
                <w:color w:val="auto"/>
                <w:lang w:val="de-DE"/>
              </w:rPr>
            </w:pPr>
            <w:r w:rsidRPr="00CB561A">
              <w:rPr>
                <w:b w:val="0"/>
                <w:bCs w:val="0"/>
                <w:color w:val="auto"/>
                <w:lang w:val="de-DE"/>
              </w:rPr>
              <w:t>Vitamin D binding 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de-DE"/>
              </w:rPr>
              <w:t>NP_000574.2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P02774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328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Vitamin K-dependent protein C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NP_000303.1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P04070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329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Vitamin K-dependent protein S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NP_000304.2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P07225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330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Vitamin K-dependent protein Z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NP_003882.1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P22891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</w:rPr>
              <w:t>331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Vitronectin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NP_000629.3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P04004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Cell adhesion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332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von Willebrand factor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NP_000543.2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B561A">
              <w:rPr>
                <w:rFonts w:ascii="Times New Roman" w:hAnsi="Times New Roman"/>
                <w:sz w:val="12"/>
                <w:szCs w:val="12"/>
              </w:rPr>
              <w:t>P04275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Complement and coagulation cascades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333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</w:rPr>
              <w:t>Xin actin-binding repeat-containing protein 2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NP_689594.4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  <w:t>A4UGR9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sz w:val="12"/>
                <w:szCs w:val="16"/>
                <w:shd w:val="clear" w:color="auto" w:fill="FFFFFF"/>
                <w:lang w:val="fr-FR"/>
              </w:rPr>
              <w:t>Cytoskeleton organization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334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Zinc-alpha-2-glycoprotein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NP_001176.1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P25311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335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de-DE"/>
              </w:rPr>
              <w:t>Zinc finger protein Gfi-1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NP_005254.2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Q99684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Protein-lipid complex/lipid metabolism and transport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336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14-3-3 protein zeta/delta</w:t>
            </w:r>
          </w:p>
          <w:p w:rsidR="00CB561A" w:rsidRPr="00CB561A" w:rsidRDefault="00CB561A" w:rsidP="003D52C4">
            <w:pPr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 xml:space="preserve">(Tyrosine 3-monoxygenase/tryptophan 5-monooxygenase activation protein, zeta polypeptide; 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 xml:space="preserve">Ambekar AS </w:t>
            </w:r>
            <w:r w:rsidRPr="00CB561A">
              <w:rPr>
                <w:rFonts w:ascii="Times New Roman" w:hAnsi="Times New Roman"/>
                <w:i/>
                <w:iCs/>
                <w:sz w:val="12"/>
                <w:szCs w:val="12"/>
                <w:lang w:val="fr-FR"/>
              </w:rPr>
              <w:t>et al</w:t>
            </w:r>
            <w:r w:rsidRPr="00CB561A">
              <w:rPr>
                <w:rFonts w:ascii="Times New Roman" w:hAnsi="Times New Roman"/>
                <w:sz w:val="12"/>
                <w:szCs w:val="12"/>
                <w:lang w:val="fr-FR"/>
              </w:rPr>
              <w:t>., 2013</w:t>
            </w: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)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sz w:val="12"/>
                <w:szCs w:val="12"/>
                <w:lang w:val="en-GB"/>
              </w:rPr>
            </w:pPr>
            <w:r w:rsidRPr="00CB561A">
              <w:rPr>
                <w:rFonts w:ascii="Times New Roman" w:hAnsi="Times New Roman"/>
                <w:sz w:val="12"/>
                <w:szCs w:val="12"/>
                <w:lang w:val="en-GB"/>
              </w:rPr>
              <w:t>NP_003397.1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en-GB"/>
              </w:rPr>
              <w:t>P63104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Response to wounding</w:t>
            </w:r>
          </w:p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6"/>
                <w:shd w:val="clear" w:color="auto" w:fill="FFFFFF"/>
                <w:lang w:val="en-GB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  <w:tr w:rsidR="00CB561A" w:rsidRPr="00CB561A" w:rsidTr="00422450">
        <w:tc>
          <w:tcPr>
            <w:tcW w:w="568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  <w:lang w:val="fr-FR"/>
              </w:rPr>
            </w:pPr>
            <w:r w:rsidRPr="00CB561A">
              <w:rPr>
                <w:rFonts w:ascii="Times New Roman" w:hAnsi="Times New Roman"/>
                <w:b/>
                <w:sz w:val="12"/>
                <w:szCs w:val="12"/>
                <w:lang w:val="fr-FR"/>
              </w:rPr>
              <w:t>337</w:t>
            </w:r>
          </w:p>
        </w:tc>
        <w:tc>
          <w:tcPr>
            <w:tcW w:w="4360" w:type="dxa"/>
            <w:vAlign w:val="center"/>
          </w:tcPr>
          <w:p w:rsidR="00CB561A" w:rsidRPr="00CB561A" w:rsidRDefault="00CB561A" w:rsidP="003D52C4">
            <w:pPr>
              <w:snapToGrid w:val="0"/>
              <w:jc w:val="both"/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</w:pPr>
            <w:r w:rsidRPr="00CB561A">
              <w:rPr>
                <w:rFonts w:ascii="Times New Roman" w:hAnsi="Times New Roman"/>
                <w:sz w:val="12"/>
                <w:shd w:val="clear" w:color="auto" w:fill="FFFFFF"/>
                <w:lang w:val="fr-FR"/>
              </w:rPr>
              <w:t>72 kDa type IV collagenase</w:t>
            </w:r>
          </w:p>
        </w:tc>
        <w:tc>
          <w:tcPr>
            <w:tcW w:w="1073" w:type="dxa"/>
            <w:vAlign w:val="center"/>
          </w:tcPr>
          <w:p w:rsidR="00CB561A" w:rsidRPr="00CB561A" w:rsidRDefault="00CB561A" w:rsidP="003D52C4">
            <w:pPr>
              <w:pStyle w:val="PreformattatoHTML"/>
              <w:shd w:val="clear" w:color="auto" w:fill="FFFFFF"/>
              <w:snapToGrid w:val="0"/>
              <w:spacing w:line="169" w:lineRule="atLeast"/>
              <w:jc w:val="center"/>
              <w:rPr>
                <w:rFonts w:ascii="Times New Roman" w:hAnsi="Times New Roman" w:cs="Times New Roman"/>
                <w:sz w:val="12"/>
                <w:szCs w:val="13"/>
              </w:rPr>
            </w:pPr>
            <w:r w:rsidRPr="00CB561A">
              <w:rPr>
                <w:rFonts w:ascii="Times New Roman" w:hAnsi="Times New Roman" w:cs="Times New Roman"/>
                <w:sz w:val="12"/>
                <w:szCs w:val="13"/>
              </w:rPr>
              <w:t>NP_004521.1</w:t>
            </w:r>
          </w:p>
        </w:tc>
        <w:tc>
          <w:tcPr>
            <w:tcW w:w="946" w:type="dxa"/>
            <w:vAlign w:val="center"/>
          </w:tcPr>
          <w:p w:rsidR="00CB561A" w:rsidRPr="00CB561A" w:rsidRDefault="00CB561A" w:rsidP="003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sv-SE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sv-SE"/>
              </w:rPr>
              <w:t>P08253</w:t>
            </w:r>
          </w:p>
        </w:tc>
        <w:tc>
          <w:tcPr>
            <w:tcW w:w="3543" w:type="dxa"/>
            <w:vAlign w:val="center"/>
          </w:tcPr>
          <w:p w:rsidR="00CB561A" w:rsidRPr="00CB561A" w:rsidRDefault="00CB561A" w:rsidP="003D52C4">
            <w:pPr>
              <w:snapToGrid w:val="0"/>
              <w:jc w:val="center"/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</w:pPr>
            <w:r w:rsidRPr="00CB561A">
              <w:rPr>
                <w:rStyle w:val="Enfasigrassetto"/>
                <w:rFonts w:ascii="Times New Roman" w:hAnsi="Times New Roman"/>
                <w:b w:val="0"/>
                <w:bCs w:val="0"/>
                <w:sz w:val="12"/>
                <w:szCs w:val="16"/>
                <w:shd w:val="clear" w:color="auto" w:fill="FFFFFF"/>
                <w:lang w:val="fr-FR"/>
              </w:rPr>
              <w:t>Inflammation/regulation of inflammation/acute phase</w:t>
            </w:r>
          </w:p>
        </w:tc>
      </w:tr>
    </w:tbl>
    <w:p w:rsidR="00C14E63" w:rsidRDefault="00C14E63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14E63" w:rsidRDefault="007A305F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A305F">
        <w:rPr>
          <w:rFonts w:ascii="Times New Roman" w:hAnsi="Times New Roman" w:cs="Times New Roman"/>
          <w:b/>
          <w:sz w:val="24"/>
          <w:szCs w:val="24"/>
          <w:vertAlign w:val="superscript"/>
        </w:rPr>
        <w:t>¥</w:t>
      </w:r>
      <w:r w:rsidR="00E94A65">
        <w:rPr>
          <w:rFonts w:ascii="Times New Roman" w:hAnsi="Times New Roman" w:cs="Times New Roman"/>
          <w:sz w:val="24"/>
          <w:szCs w:val="24"/>
        </w:rPr>
        <w:t>According to the DAVID analysis, several proteins were clustered in more than a</w:t>
      </w:r>
      <w:r w:rsidR="00CF2C53">
        <w:rPr>
          <w:rFonts w:ascii="Times New Roman" w:hAnsi="Times New Roman" w:cs="Times New Roman"/>
          <w:sz w:val="24"/>
          <w:szCs w:val="24"/>
        </w:rPr>
        <w:t xml:space="preserve"> GO</w:t>
      </w:r>
      <w:r w:rsidR="00E94A65">
        <w:rPr>
          <w:rFonts w:ascii="Times New Roman" w:hAnsi="Times New Roman" w:cs="Times New Roman"/>
          <w:sz w:val="24"/>
          <w:szCs w:val="24"/>
        </w:rPr>
        <w:t xml:space="preserve"> functional group. All the functional classes to which each protein belongs are listed.</w:t>
      </w:r>
    </w:p>
    <w:p w:rsidR="00C14E63" w:rsidRDefault="007A305F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7A305F">
        <w:rPr>
          <w:rFonts w:ascii="Times New Roman" w:hAnsi="Times New Roman" w:cs="Times New Roman"/>
          <w:b/>
          <w:sz w:val="24"/>
          <w:szCs w:val="24"/>
          <w:vertAlign w:val="superscript"/>
        </w:rPr>
        <w:t>§</w:t>
      </w:r>
      <w:r w:rsidR="00826806">
        <w:rPr>
          <w:rFonts w:ascii="Times New Roman" w:hAnsi="Times New Roman" w:cs="Times New Roman"/>
          <w:sz w:val="24"/>
          <w:szCs w:val="24"/>
        </w:rPr>
        <w:t xml:space="preserve">Proteins are </w:t>
      </w:r>
      <w:r w:rsidR="002943F3">
        <w:rPr>
          <w:rFonts w:ascii="Times New Roman" w:hAnsi="Times New Roman" w:cs="Times New Roman"/>
          <w:sz w:val="24"/>
          <w:szCs w:val="24"/>
        </w:rPr>
        <w:t>index</w:t>
      </w:r>
      <w:r w:rsidR="00826806">
        <w:rPr>
          <w:rFonts w:ascii="Times New Roman" w:hAnsi="Times New Roman" w:cs="Times New Roman"/>
          <w:sz w:val="24"/>
          <w:szCs w:val="24"/>
        </w:rPr>
        <w:t>ed using UniProtKB reco</w:t>
      </w:r>
      <w:r w:rsidR="002943F3">
        <w:rPr>
          <w:rFonts w:ascii="Times New Roman" w:hAnsi="Times New Roman" w:cs="Times New Roman"/>
          <w:sz w:val="24"/>
          <w:szCs w:val="24"/>
        </w:rPr>
        <w:t xml:space="preserve">mmended names. </w:t>
      </w:r>
      <w:r w:rsidR="00293DA2">
        <w:rPr>
          <w:rFonts w:ascii="Times New Roman" w:hAnsi="Times New Roman" w:cs="Times New Roman"/>
          <w:sz w:val="24"/>
          <w:szCs w:val="24"/>
        </w:rPr>
        <w:t>A</w:t>
      </w:r>
      <w:r w:rsidR="002943F3">
        <w:rPr>
          <w:rFonts w:ascii="Times New Roman" w:hAnsi="Times New Roman" w:cs="Times New Roman"/>
          <w:sz w:val="24"/>
          <w:szCs w:val="24"/>
        </w:rPr>
        <w:t xml:space="preserve">lternative </w:t>
      </w:r>
      <w:r w:rsidR="00632BD5">
        <w:rPr>
          <w:rFonts w:ascii="Times New Roman" w:hAnsi="Times New Roman" w:cs="Times New Roman"/>
          <w:sz w:val="24"/>
          <w:szCs w:val="24"/>
        </w:rPr>
        <w:t>names</w:t>
      </w:r>
      <w:r w:rsidR="002943F3">
        <w:rPr>
          <w:rFonts w:ascii="Times New Roman" w:hAnsi="Times New Roman" w:cs="Times New Roman"/>
          <w:sz w:val="24"/>
          <w:szCs w:val="24"/>
        </w:rPr>
        <w:t xml:space="preserve">, along with the recommended </w:t>
      </w:r>
      <w:r w:rsidR="00632BD5">
        <w:rPr>
          <w:rFonts w:ascii="Times New Roman" w:hAnsi="Times New Roman" w:cs="Times New Roman"/>
          <w:sz w:val="24"/>
          <w:szCs w:val="24"/>
        </w:rPr>
        <w:t>ones</w:t>
      </w:r>
      <w:r w:rsidR="002943F3">
        <w:rPr>
          <w:rFonts w:ascii="Times New Roman" w:hAnsi="Times New Roman" w:cs="Times New Roman"/>
          <w:sz w:val="24"/>
          <w:szCs w:val="24"/>
        </w:rPr>
        <w:t>, are reported in table</w:t>
      </w:r>
      <w:r w:rsidR="00632BD5">
        <w:rPr>
          <w:rFonts w:ascii="Times New Roman" w:hAnsi="Times New Roman" w:cs="Times New Roman"/>
          <w:sz w:val="24"/>
          <w:szCs w:val="24"/>
        </w:rPr>
        <w:t xml:space="preserve"> only when</w:t>
      </w:r>
      <w:r w:rsidR="002943F3">
        <w:rPr>
          <w:rFonts w:ascii="Times New Roman" w:hAnsi="Times New Roman" w:cs="Times New Roman"/>
          <w:sz w:val="24"/>
          <w:szCs w:val="24"/>
        </w:rPr>
        <w:t xml:space="preserve"> </w:t>
      </w:r>
      <w:r w:rsidR="00293DA2">
        <w:rPr>
          <w:rFonts w:ascii="Times New Roman" w:hAnsi="Times New Roman" w:cs="Times New Roman"/>
          <w:sz w:val="24"/>
          <w:szCs w:val="24"/>
        </w:rPr>
        <w:t>corresponding</w:t>
      </w:r>
      <w:r w:rsidR="00632BD5">
        <w:rPr>
          <w:rFonts w:ascii="Times New Roman" w:hAnsi="Times New Roman" w:cs="Times New Roman"/>
          <w:sz w:val="24"/>
          <w:szCs w:val="24"/>
        </w:rPr>
        <w:t xml:space="preserve"> </w:t>
      </w:r>
      <w:r w:rsidR="00826806">
        <w:rPr>
          <w:rFonts w:ascii="Times New Roman" w:hAnsi="Times New Roman" w:cs="Times New Roman"/>
          <w:sz w:val="24"/>
          <w:szCs w:val="24"/>
        </w:rPr>
        <w:t>protein</w:t>
      </w:r>
      <w:r w:rsidR="002943F3">
        <w:rPr>
          <w:rFonts w:ascii="Times New Roman" w:hAnsi="Times New Roman" w:cs="Times New Roman"/>
          <w:sz w:val="24"/>
          <w:szCs w:val="24"/>
        </w:rPr>
        <w:t>s</w:t>
      </w:r>
      <w:r w:rsidR="00632BD5">
        <w:rPr>
          <w:rFonts w:ascii="Times New Roman" w:hAnsi="Times New Roman" w:cs="Times New Roman"/>
          <w:sz w:val="24"/>
          <w:szCs w:val="24"/>
        </w:rPr>
        <w:t xml:space="preserve"> are</w:t>
      </w:r>
      <w:r w:rsidR="00826806">
        <w:rPr>
          <w:rFonts w:ascii="Times New Roman" w:hAnsi="Times New Roman" w:cs="Times New Roman"/>
          <w:sz w:val="24"/>
          <w:szCs w:val="24"/>
        </w:rPr>
        <w:t xml:space="preserve"> indicated in reference papers</w:t>
      </w:r>
      <w:r w:rsidR="00293DA2">
        <w:rPr>
          <w:rFonts w:ascii="Times New Roman" w:hAnsi="Times New Roman" w:cs="Times New Roman"/>
          <w:sz w:val="24"/>
          <w:szCs w:val="24"/>
        </w:rPr>
        <w:t>, whose bibliographic references</w:t>
      </w:r>
      <w:r w:rsidR="00293DA2" w:rsidRPr="00293DA2">
        <w:rPr>
          <w:rFonts w:ascii="Times New Roman" w:hAnsi="Times New Roman" w:cs="Times New Roman"/>
          <w:sz w:val="24"/>
          <w:szCs w:val="24"/>
        </w:rPr>
        <w:t xml:space="preserve"> </w:t>
      </w:r>
      <w:r w:rsidR="00293DA2">
        <w:rPr>
          <w:rFonts w:ascii="Times New Roman" w:hAnsi="Times New Roman" w:cs="Times New Roman"/>
          <w:sz w:val="24"/>
          <w:szCs w:val="24"/>
        </w:rPr>
        <w:t>are also reported,</w:t>
      </w:r>
      <w:r w:rsidR="00826806">
        <w:rPr>
          <w:rFonts w:ascii="Times New Roman" w:hAnsi="Times New Roman" w:cs="Times New Roman"/>
          <w:sz w:val="24"/>
          <w:szCs w:val="24"/>
        </w:rPr>
        <w:t xml:space="preserve"> using </w:t>
      </w:r>
      <w:r w:rsidR="00293DA2">
        <w:rPr>
          <w:rFonts w:ascii="Times New Roman" w:hAnsi="Times New Roman" w:cs="Times New Roman"/>
          <w:sz w:val="24"/>
          <w:szCs w:val="24"/>
        </w:rPr>
        <w:t>such</w:t>
      </w:r>
      <w:r w:rsidR="00826806">
        <w:rPr>
          <w:rFonts w:ascii="Times New Roman" w:hAnsi="Times New Roman" w:cs="Times New Roman"/>
          <w:sz w:val="24"/>
          <w:szCs w:val="24"/>
        </w:rPr>
        <w:t xml:space="preserve"> alternative name</w:t>
      </w:r>
      <w:r w:rsidR="00293DA2">
        <w:rPr>
          <w:rFonts w:ascii="Times New Roman" w:hAnsi="Times New Roman" w:cs="Times New Roman"/>
          <w:sz w:val="24"/>
          <w:szCs w:val="24"/>
        </w:rPr>
        <w:t xml:space="preserve">s. </w:t>
      </w:r>
      <w:r w:rsidR="00826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9C" w:rsidRPr="0005159C" w:rsidRDefault="0005159C">
      <w:pPr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9C">
        <w:rPr>
          <w:rFonts w:ascii="Times New Roman" w:hAnsi="Times New Roman" w:cs="Times New Roman"/>
          <w:b/>
          <w:sz w:val="24"/>
          <w:szCs w:val="24"/>
        </w:rPr>
        <w:t>For References see Supplementary References</w:t>
      </w:r>
      <w:bookmarkStart w:id="0" w:name="_GoBack"/>
      <w:bookmarkEnd w:id="0"/>
    </w:p>
    <w:p w:rsidR="00C14E63" w:rsidRDefault="00C14E63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B561A" w:rsidRDefault="00CB561A" w:rsidP="0072009B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CB561A" w:rsidRPr="00CB561A" w:rsidRDefault="00CB561A" w:rsidP="0072009B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CB561A" w:rsidRPr="00CB561A" w:rsidSect="00A91EBF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B4" w:rsidRDefault="006A33B4" w:rsidP="0072009B">
      <w:pPr>
        <w:spacing w:after="0" w:line="240" w:lineRule="auto"/>
      </w:pPr>
      <w:r>
        <w:separator/>
      </w:r>
    </w:p>
  </w:endnote>
  <w:endnote w:type="continuationSeparator" w:id="0">
    <w:p w:rsidR="006A33B4" w:rsidRDefault="006A33B4" w:rsidP="007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B4" w:rsidRDefault="006A33B4" w:rsidP="0072009B">
      <w:pPr>
        <w:spacing w:after="0" w:line="240" w:lineRule="auto"/>
      </w:pPr>
      <w:r>
        <w:separator/>
      </w:r>
    </w:p>
  </w:footnote>
  <w:footnote w:type="continuationSeparator" w:id="0">
    <w:p w:rsidR="006A33B4" w:rsidRDefault="006A33B4" w:rsidP="007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6B14"/>
    <w:rsid w:val="0005159C"/>
    <w:rsid w:val="000B1C49"/>
    <w:rsid w:val="00112969"/>
    <w:rsid w:val="001E597C"/>
    <w:rsid w:val="00273779"/>
    <w:rsid w:val="00293DA2"/>
    <w:rsid w:val="002943F3"/>
    <w:rsid w:val="002B3F44"/>
    <w:rsid w:val="00314545"/>
    <w:rsid w:val="00320F12"/>
    <w:rsid w:val="00344436"/>
    <w:rsid w:val="0034547D"/>
    <w:rsid w:val="00384B63"/>
    <w:rsid w:val="003C69C8"/>
    <w:rsid w:val="003D52C4"/>
    <w:rsid w:val="003F07F7"/>
    <w:rsid w:val="00422450"/>
    <w:rsid w:val="00504DA5"/>
    <w:rsid w:val="006017D9"/>
    <w:rsid w:val="00632BD5"/>
    <w:rsid w:val="006A33B4"/>
    <w:rsid w:val="006D5FBD"/>
    <w:rsid w:val="0072009B"/>
    <w:rsid w:val="00724F7B"/>
    <w:rsid w:val="007375B2"/>
    <w:rsid w:val="00737850"/>
    <w:rsid w:val="00742AAF"/>
    <w:rsid w:val="00751001"/>
    <w:rsid w:val="00764CE3"/>
    <w:rsid w:val="007A305F"/>
    <w:rsid w:val="007C4D26"/>
    <w:rsid w:val="00804E11"/>
    <w:rsid w:val="00826806"/>
    <w:rsid w:val="008904F7"/>
    <w:rsid w:val="008E2C9E"/>
    <w:rsid w:val="0090539E"/>
    <w:rsid w:val="009244B4"/>
    <w:rsid w:val="009D3E59"/>
    <w:rsid w:val="00A34F22"/>
    <w:rsid w:val="00A37944"/>
    <w:rsid w:val="00A42BFA"/>
    <w:rsid w:val="00A76075"/>
    <w:rsid w:val="00A87617"/>
    <w:rsid w:val="00A91EBF"/>
    <w:rsid w:val="00AC413F"/>
    <w:rsid w:val="00BA1DA8"/>
    <w:rsid w:val="00BB3D8B"/>
    <w:rsid w:val="00BB5F29"/>
    <w:rsid w:val="00C14E63"/>
    <w:rsid w:val="00C36B14"/>
    <w:rsid w:val="00CB561A"/>
    <w:rsid w:val="00CF2C53"/>
    <w:rsid w:val="00D308FE"/>
    <w:rsid w:val="00DB0610"/>
    <w:rsid w:val="00DC78B2"/>
    <w:rsid w:val="00DE2B55"/>
    <w:rsid w:val="00E11D6D"/>
    <w:rsid w:val="00E208D7"/>
    <w:rsid w:val="00E94A65"/>
    <w:rsid w:val="00EC6C1D"/>
    <w:rsid w:val="00ED268D"/>
    <w:rsid w:val="00F57081"/>
    <w:rsid w:val="00FC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14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Titolo1">
    <w:name w:val="heading 1"/>
    <w:basedOn w:val="Normale"/>
    <w:next w:val="Corpodeltesto"/>
    <w:link w:val="Titolo1Carattere"/>
    <w:qFormat/>
    <w:rsid w:val="00C36B14"/>
    <w:pPr>
      <w:numPr>
        <w:numId w:val="1"/>
      </w:numPr>
      <w:spacing w:before="280" w:after="280" w:line="240" w:lineRule="auto"/>
      <w:outlineLvl w:val="0"/>
    </w:pPr>
    <w:rPr>
      <w:rFonts w:ascii="Times New Roman" w:eastAsia="MS Mincho" w:hAnsi="Times New Roman"/>
      <w:b/>
      <w:bCs/>
      <w:kern w:val="1"/>
      <w:sz w:val="48"/>
      <w:szCs w:val="48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36B1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C36B14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bCs/>
      <w:color w:val="000000"/>
      <w:sz w:val="12"/>
      <w:shd w:val="clear" w:color="auto" w:fill="FFFFFF"/>
    </w:rPr>
  </w:style>
  <w:style w:type="paragraph" w:styleId="Titolo4">
    <w:name w:val="heading 4"/>
    <w:basedOn w:val="Normale"/>
    <w:next w:val="Normale"/>
    <w:link w:val="Titolo4Carattere"/>
    <w:qFormat/>
    <w:rsid w:val="00C36B1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sz w:val="12"/>
      <w:szCs w:val="12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C36B1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hAnsi="Arial" w:cs="Arial"/>
      <w:color w:val="000000"/>
      <w:shd w:val="clear" w:color="auto" w:fill="FFFFFF"/>
    </w:rPr>
  </w:style>
  <w:style w:type="paragraph" w:styleId="Titolo6">
    <w:name w:val="heading 6"/>
    <w:basedOn w:val="Normale"/>
    <w:next w:val="Normale"/>
    <w:link w:val="Titolo6Carattere"/>
    <w:qFormat/>
    <w:rsid w:val="00C36B14"/>
    <w:pPr>
      <w:keepNext/>
      <w:numPr>
        <w:ilvl w:val="5"/>
        <w:numId w:val="1"/>
      </w:numPr>
      <w:spacing w:after="0" w:line="240" w:lineRule="auto"/>
      <w:outlineLvl w:val="5"/>
    </w:pPr>
    <w:rPr>
      <w:rFonts w:ascii="Arial" w:hAnsi="Arial" w:cs="Arial"/>
      <w:color w:val="000000"/>
      <w:sz w:val="16"/>
      <w:szCs w:val="16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6B14"/>
    <w:rPr>
      <w:rFonts w:ascii="Times New Roman" w:eastAsia="MS Mincho" w:hAnsi="Times New Roman" w:cs="Calibri"/>
      <w:b/>
      <w:bCs/>
      <w:kern w:val="1"/>
      <w:sz w:val="48"/>
      <w:szCs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6B14"/>
    <w:rPr>
      <w:rFonts w:ascii="Times New Roman" w:eastAsia="Times New Roman" w:hAnsi="Times New Roman" w:cs="Calibri"/>
      <w:b/>
      <w:sz w:val="24"/>
      <w:szCs w:val="24"/>
      <w:lang w:val="en-GB" w:eastAsia="ar-SA"/>
    </w:rPr>
  </w:style>
  <w:style w:type="character" w:customStyle="1" w:styleId="Titolo3Carattere">
    <w:name w:val="Titolo 3 Carattere"/>
    <w:basedOn w:val="Carpredefinitoparagrafo"/>
    <w:link w:val="Titolo3"/>
    <w:rsid w:val="00C36B14"/>
    <w:rPr>
      <w:rFonts w:ascii="Times New Roman" w:eastAsia="Times New Roman" w:hAnsi="Times New Roman" w:cs="Calibri"/>
      <w:b/>
      <w:bCs/>
      <w:color w:val="000000"/>
      <w:sz w:val="12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C36B14"/>
    <w:rPr>
      <w:rFonts w:ascii="Times New Roman" w:eastAsia="Times New Roman" w:hAnsi="Times New Roman" w:cs="Calibri"/>
      <w:b/>
      <w:sz w:val="12"/>
      <w:szCs w:val="12"/>
      <w:lang w:val="fr-FR" w:eastAsia="ar-SA"/>
    </w:rPr>
  </w:style>
  <w:style w:type="character" w:customStyle="1" w:styleId="Titolo5Carattere">
    <w:name w:val="Titolo 5 Carattere"/>
    <w:basedOn w:val="Carpredefinitoparagrafo"/>
    <w:link w:val="Titolo5"/>
    <w:rsid w:val="00C36B14"/>
    <w:rPr>
      <w:rFonts w:ascii="Arial" w:eastAsia="Times New Roman" w:hAnsi="Arial" w:cs="Arial"/>
      <w:color w:val="000000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C36B14"/>
    <w:rPr>
      <w:rFonts w:ascii="Arial" w:eastAsia="Times New Roman" w:hAnsi="Arial" w:cs="Arial"/>
      <w:color w:val="000000"/>
      <w:sz w:val="16"/>
      <w:szCs w:val="16"/>
      <w:lang w:val="en-US" w:eastAsia="ar-SA"/>
    </w:rPr>
  </w:style>
  <w:style w:type="character" w:customStyle="1" w:styleId="WW8Num1z0">
    <w:name w:val="WW8Num1z0"/>
    <w:rsid w:val="00C36B14"/>
    <w:rPr>
      <w:rFonts w:ascii="Symbol" w:eastAsia="Times New Roman" w:hAnsi="Symbol" w:cs="Times New Roman"/>
      <w:color w:val="0000FF"/>
    </w:rPr>
  </w:style>
  <w:style w:type="character" w:customStyle="1" w:styleId="WW8Num1z1">
    <w:name w:val="WW8Num1z1"/>
    <w:rsid w:val="00C36B14"/>
    <w:rPr>
      <w:rFonts w:ascii="Courier New" w:hAnsi="Courier New"/>
    </w:rPr>
  </w:style>
  <w:style w:type="character" w:customStyle="1" w:styleId="WW8Num1z2">
    <w:name w:val="WW8Num1z2"/>
    <w:rsid w:val="00C36B14"/>
    <w:rPr>
      <w:rFonts w:ascii="Wingdings" w:hAnsi="Wingdings"/>
    </w:rPr>
  </w:style>
  <w:style w:type="character" w:customStyle="1" w:styleId="WW8Num1z3">
    <w:name w:val="WW8Num1z3"/>
    <w:rsid w:val="00C36B14"/>
    <w:rPr>
      <w:rFonts w:ascii="Symbol" w:hAnsi="Symbol"/>
    </w:rPr>
  </w:style>
  <w:style w:type="character" w:customStyle="1" w:styleId="WW8Num2z0">
    <w:name w:val="WW8Num2z0"/>
    <w:rsid w:val="00C36B14"/>
    <w:rPr>
      <w:rFonts w:ascii="Symbol" w:eastAsia="Times New Roman" w:hAnsi="Symbol" w:cs="Times New Roman"/>
    </w:rPr>
  </w:style>
  <w:style w:type="character" w:customStyle="1" w:styleId="WW8Num2z1">
    <w:name w:val="WW8Num2z1"/>
    <w:rsid w:val="00C36B14"/>
    <w:rPr>
      <w:rFonts w:ascii="Courier New" w:hAnsi="Courier New"/>
    </w:rPr>
  </w:style>
  <w:style w:type="character" w:customStyle="1" w:styleId="WW8Num2z2">
    <w:name w:val="WW8Num2z2"/>
    <w:rsid w:val="00C36B14"/>
    <w:rPr>
      <w:rFonts w:ascii="Wingdings" w:hAnsi="Wingdings"/>
    </w:rPr>
  </w:style>
  <w:style w:type="character" w:customStyle="1" w:styleId="WW8Num2z3">
    <w:name w:val="WW8Num2z3"/>
    <w:rsid w:val="00C36B14"/>
    <w:rPr>
      <w:rFonts w:ascii="Symbol" w:hAnsi="Symbol"/>
    </w:rPr>
  </w:style>
  <w:style w:type="character" w:customStyle="1" w:styleId="WW8Num3z0">
    <w:name w:val="WW8Num3z0"/>
    <w:rsid w:val="00C36B14"/>
    <w:rPr>
      <w:rFonts w:ascii="Symbol" w:hAnsi="Symbol"/>
    </w:rPr>
  </w:style>
  <w:style w:type="character" w:customStyle="1" w:styleId="WW8Num3z1">
    <w:name w:val="WW8Num3z1"/>
    <w:rsid w:val="00C36B14"/>
    <w:rPr>
      <w:rFonts w:ascii="Courier New" w:hAnsi="Courier New"/>
    </w:rPr>
  </w:style>
  <w:style w:type="character" w:customStyle="1" w:styleId="WW8Num3z2">
    <w:name w:val="WW8Num3z2"/>
    <w:rsid w:val="00C36B14"/>
    <w:rPr>
      <w:rFonts w:ascii="Wingdings" w:hAnsi="Wingdings"/>
    </w:rPr>
  </w:style>
  <w:style w:type="character" w:customStyle="1" w:styleId="Carpredefinitoparagrafo1">
    <w:name w:val="Car. predefinito paragrafo1"/>
    <w:rsid w:val="00C36B14"/>
  </w:style>
  <w:style w:type="character" w:styleId="Enfasigrassetto">
    <w:name w:val="Strong"/>
    <w:basedOn w:val="Carpredefinitoparagrafo1"/>
    <w:qFormat/>
    <w:rsid w:val="00C36B14"/>
    <w:rPr>
      <w:rFonts w:cs="Times New Roman"/>
      <w:b/>
      <w:bCs/>
    </w:rPr>
  </w:style>
  <w:style w:type="character" w:customStyle="1" w:styleId="highlight">
    <w:name w:val="highlight"/>
    <w:basedOn w:val="Carpredefinitoparagrafo1"/>
    <w:rsid w:val="00C36B14"/>
    <w:rPr>
      <w:rFonts w:cs="Times New Roman"/>
    </w:rPr>
  </w:style>
  <w:style w:type="character" w:customStyle="1" w:styleId="full">
    <w:name w:val="full"/>
    <w:basedOn w:val="Carpredefinitoparagrafo1"/>
    <w:rsid w:val="00C36B14"/>
    <w:rPr>
      <w:rFonts w:cs="Times New Roman"/>
      <w:b/>
      <w:bCs/>
    </w:rPr>
  </w:style>
  <w:style w:type="character" w:styleId="Collegamentoipertestuale">
    <w:name w:val="Hyperlink"/>
    <w:basedOn w:val="Carpredefinitoparagrafo1"/>
    <w:semiHidden/>
    <w:rsid w:val="00C36B14"/>
    <w:rPr>
      <w:color w:val="0000FF"/>
      <w:u w:val="single"/>
    </w:rPr>
  </w:style>
  <w:style w:type="character" w:styleId="Collegamentovisitato">
    <w:name w:val="FollowedHyperlink"/>
    <w:basedOn w:val="Carpredefinitoparagrafo1"/>
    <w:semiHidden/>
    <w:rsid w:val="00C36B14"/>
    <w:rPr>
      <w:color w:val="800080"/>
      <w:u w:val="single"/>
    </w:rPr>
  </w:style>
  <w:style w:type="character" w:customStyle="1" w:styleId="apple-converted-space">
    <w:name w:val="apple-converted-space"/>
    <w:basedOn w:val="Carpredefinitoparagrafo1"/>
    <w:rsid w:val="00C36B14"/>
  </w:style>
  <w:style w:type="character" w:styleId="AcronimoHTML">
    <w:name w:val="HTML Acronym"/>
    <w:basedOn w:val="Carpredefinitoparagrafo1"/>
    <w:rsid w:val="00C36B14"/>
  </w:style>
  <w:style w:type="character" w:customStyle="1" w:styleId="hps">
    <w:name w:val="hps"/>
    <w:basedOn w:val="Carpredefinitoparagrafo1"/>
    <w:rsid w:val="00C36B14"/>
  </w:style>
  <w:style w:type="character" w:customStyle="1" w:styleId="st">
    <w:name w:val="st"/>
    <w:basedOn w:val="Carpredefinitoparagrafo1"/>
    <w:rsid w:val="00C36B14"/>
  </w:style>
  <w:style w:type="character" w:customStyle="1" w:styleId="PreformattatoHTMLCarattere">
    <w:name w:val="Preformattato HTML Carattere"/>
    <w:basedOn w:val="Carpredefinitoparagrafo1"/>
    <w:rsid w:val="00C36B14"/>
    <w:rPr>
      <w:rFonts w:ascii="Arial Unicode MS" w:eastAsia="Arial Unicode MS" w:hAnsi="Arial Unicode MS" w:cs="Arial Unicode MS"/>
      <w:lang w:val="it-IT" w:eastAsia="he-IL" w:bidi="he-IL"/>
    </w:rPr>
  </w:style>
  <w:style w:type="paragraph" w:customStyle="1" w:styleId="Intestazione1">
    <w:name w:val="Intestazione1"/>
    <w:basedOn w:val="Normale"/>
    <w:next w:val="Corpodeltesto"/>
    <w:rsid w:val="00C36B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C36B14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36B14"/>
    <w:rPr>
      <w:rFonts w:ascii="Times New Roman" w:eastAsia="Times New Roman" w:hAnsi="Times New Roman" w:cs="Calibri"/>
      <w:bCs/>
      <w:sz w:val="24"/>
      <w:szCs w:val="24"/>
      <w:lang w:val="en-US" w:eastAsia="ar-SA"/>
    </w:rPr>
  </w:style>
  <w:style w:type="paragraph" w:styleId="Elenco">
    <w:name w:val="List"/>
    <w:basedOn w:val="Corpodeltesto"/>
    <w:semiHidden/>
    <w:rsid w:val="00C36B14"/>
    <w:rPr>
      <w:rFonts w:cs="Tahoma"/>
    </w:rPr>
  </w:style>
  <w:style w:type="paragraph" w:customStyle="1" w:styleId="Didascalia1">
    <w:name w:val="Didascalia1"/>
    <w:basedOn w:val="Normale"/>
    <w:rsid w:val="00C36B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36B14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C36B14"/>
    <w:rPr>
      <w:rFonts w:ascii="Times New Roman" w:hAnsi="Times New Roman"/>
      <w:sz w:val="24"/>
      <w:lang w:val="en-GB"/>
    </w:rPr>
  </w:style>
  <w:style w:type="paragraph" w:customStyle="1" w:styleId="Corpodeltesto31">
    <w:name w:val="Corpo del testo 31"/>
    <w:basedOn w:val="Normale"/>
    <w:rsid w:val="00C36B14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1"/>
    <w:rsid w:val="00C36B1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it-IT" w:eastAsia="he-IL" w:bidi="he-IL"/>
    </w:rPr>
  </w:style>
  <w:style w:type="character" w:customStyle="1" w:styleId="PreformattatoHTMLCarattere1">
    <w:name w:val="Preformattato HTML Carattere1"/>
    <w:basedOn w:val="Carpredefinitoparagrafo"/>
    <w:link w:val="PreformattatoHTML"/>
    <w:rsid w:val="00C36B14"/>
    <w:rPr>
      <w:rFonts w:ascii="Arial Unicode MS" w:eastAsia="Arial Unicode MS" w:hAnsi="Arial Unicode MS" w:cs="Arial Unicode MS"/>
      <w:sz w:val="20"/>
      <w:szCs w:val="20"/>
      <w:lang w:eastAsia="he-IL" w:bidi="he-IL"/>
    </w:rPr>
  </w:style>
  <w:style w:type="paragraph" w:styleId="NormaleWeb">
    <w:name w:val="Normal (Web)"/>
    <w:basedOn w:val="Normale"/>
    <w:rsid w:val="00C36B14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it-IT" w:eastAsia="he-IL" w:bidi="he-IL"/>
    </w:rPr>
  </w:style>
  <w:style w:type="paragraph" w:customStyle="1" w:styleId="Contenutotabella">
    <w:name w:val="Contenuto tabella"/>
    <w:basedOn w:val="Normale"/>
    <w:rsid w:val="00C36B14"/>
    <w:pPr>
      <w:suppressLineNumbers/>
    </w:pPr>
  </w:style>
  <w:style w:type="paragraph" w:customStyle="1" w:styleId="Intestazionetabella">
    <w:name w:val="Intestazione tabella"/>
    <w:basedOn w:val="Contenutotabella"/>
    <w:rsid w:val="00C36B14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C36B14"/>
    <w:pPr>
      <w:spacing w:after="0"/>
    </w:pPr>
    <w:rPr>
      <w:rFonts w:ascii="Courier New" w:eastAsia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C36B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36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6B14"/>
    <w:rPr>
      <w:rFonts w:ascii="Calibri" w:eastAsia="Times New Roma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6B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6B14"/>
    <w:rPr>
      <w:rFonts w:ascii="Calibri" w:eastAsia="Times New Roman" w:hAnsi="Calibri" w:cs="Calibri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B56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56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561A"/>
    <w:rPr>
      <w:rFonts w:ascii="Calibri" w:eastAsia="Times New Roman" w:hAnsi="Calibri" w:cs="Calibri"/>
      <w:sz w:val="20"/>
      <w:szCs w:val="20"/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56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561A"/>
    <w:rPr>
      <w:rFonts w:ascii="Calibri" w:eastAsia="Times New Roman" w:hAnsi="Calibri" w:cs="Calibri"/>
      <w:b/>
      <w:bCs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61A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rotein/NP_653247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2015-11-30T17:44:00Z</dcterms:created>
  <dcterms:modified xsi:type="dcterms:W3CDTF">2015-11-30T17:44:00Z</dcterms:modified>
</cp:coreProperties>
</file>