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41FF3" w14:textId="77777777" w:rsidR="00A577B0" w:rsidRPr="00906E24" w:rsidRDefault="00F66612">
      <w:pPr>
        <w:rPr>
          <w:rFonts w:ascii="Times New Roman" w:hAnsi="Times New Roman" w:cs="Times New Roman"/>
        </w:rPr>
      </w:pPr>
      <w:r w:rsidRPr="00906E24">
        <w:rPr>
          <w:rFonts w:ascii="Times New Roman" w:hAnsi="Times New Roman" w:cs="Times New Roman"/>
        </w:rPr>
        <w:t>Appendix e-1:</w:t>
      </w:r>
      <w:r w:rsidR="00A8250C" w:rsidRPr="00906E24">
        <w:rPr>
          <w:rFonts w:ascii="Times New Roman" w:hAnsi="Times New Roman" w:cs="Times New Roman"/>
        </w:rPr>
        <w:t xml:space="preserve"> Quantitative and qualitative outcomes which will be used to monitor the effects of a 4-year, performance-focused swimming training program for people with cerebral palsy who have high support needs.</w:t>
      </w:r>
    </w:p>
    <w:p w14:paraId="4A19A977" w14:textId="387336E3" w:rsidR="003C6706" w:rsidRDefault="003C6706" w:rsidP="003C6706">
      <w:pPr>
        <w:pStyle w:val="Caption"/>
        <w:keepNext/>
      </w:pPr>
      <w:r>
        <w:t xml:space="preserve">Table </w:t>
      </w:r>
      <w:r w:rsidR="00EE7360">
        <w:rPr>
          <w:noProof/>
        </w:rPr>
        <w:fldChar w:fldCharType="begin"/>
      </w:r>
      <w:r w:rsidR="00EE7360">
        <w:rPr>
          <w:noProof/>
        </w:rPr>
        <w:instrText xml:space="preserve"> SEQ Table \* ARABIC </w:instrText>
      </w:r>
      <w:r w:rsidR="00EE7360">
        <w:rPr>
          <w:noProof/>
        </w:rPr>
        <w:fldChar w:fldCharType="separate"/>
      </w:r>
      <w:r>
        <w:rPr>
          <w:noProof/>
        </w:rPr>
        <w:t>1</w:t>
      </w:r>
      <w:r w:rsidR="00EE7360">
        <w:rPr>
          <w:noProof/>
        </w:rPr>
        <w:fldChar w:fldCharType="end"/>
      </w:r>
      <w:r>
        <w:t xml:space="preserve">: </w:t>
      </w:r>
      <w:r w:rsidR="00423BC2">
        <w:t>O</w:t>
      </w:r>
      <w:r w:rsidR="00A8250C">
        <w:t xml:space="preserve">utcomes that </w:t>
      </w:r>
      <w:proofErr w:type="gramStart"/>
      <w:r w:rsidR="00A8250C">
        <w:t>will be used</w:t>
      </w:r>
      <w:proofErr w:type="gramEnd"/>
      <w:r w:rsidR="00A8250C">
        <w:t xml:space="preserve"> to monitor the physical responses of participants over the course of the training program</w:t>
      </w:r>
      <w:r>
        <w:t xml:space="preserve">. The protocol paper associated with this material describes the methods for evaluating Clinical and Swimming Performance outcomes. </w:t>
      </w:r>
    </w:p>
    <w:tbl>
      <w:tblPr>
        <w:tblStyle w:val="TableGrid"/>
        <w:tblW w:w="10170" w:type="dxa"/>
        <w:tblInd w:w="-289" w:type="dxa"/>
        <w:tblLook w:val="04A0" w:firstRow="1" w:lastRow="0" w:firstColumn="1" w:lastColumn="0" w:noHBand="0" w:noVBand="1"/>
      </w:tblPr>
      <w:tblGrid>
        <w:gridCol w:w="1844"/>
        <w:gridCol w:w="2693"/>
        <w:gridCol w:w="5633"/>
      </w:tblGrid>
      <w:tr w:rsidR="00AD6BB2" w:rsidRPr="00D40294" w14:paraId="282752D9" w14:textId="77777777" w:rsidTr="00423BC2">
        <w:trPr>
          <w:trHeight w:val="262"/>
        </w:trPr>
        <w:tc>
          <w:tcPr>
            <w:tcW w:w="1844" w:type="dxa"/>
          </w:tcPr>
          <w:p w14:paraId="558726E0" w14:textId="19BE3103" w:rsidR="00AD6BB2" w:rsidRPr="00D40294" w:rsidRDefault="00AD6BB2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40294">
              <w:rPr>
                <w:b/>
                <w:sz w:val="20"/>
                <w:szCs w:val="20"/>
              </w:rPr>
              <w:t xml:space="preserve">Outcome </w:t>
            </w:r>
            <w:r w:rsidR="0086014E">
              <w:rPr>
                <w:b/>
                <w:sz w:val="20"/>
                <w:szCs w:val="20"/>
              </w:rPr>
              <w:t>Domain</w:t>
            </w:r>
          </w:p>
        </w:tc>
        <w:tc>
          <w:tcPr>
            <w:tcW w:w="2693" w:type="dxa"/>
          </w:tcPr>
          <w:p w14:paraId="3CEB47C0" w14:textId="77777777" w:rsidR="00AD6BB2" w:rsidRPr="00D40294" w:rsidRDefault="00AD6BB2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40294">
              <w:rPr>
                <w:b/>
                <w:sz w:val="20"/>
                <w:szCs w:val="20"/>
              </w:rPr>
              <w:t>Construct</w:t>
            </w:r>
          </w:p>
        </w:tc>
        <w:tc>
          <w:tcPr>
            <w:tcW w:w="5633" w:type="dxa"/>
          </w:tcPr>
          <w:p w14:paraId="292C6B91" w14:textId="77777777" w:rsidR="00AD6BB2" w:rsidRPr="00D40294" w:rsidRDefault="00AD6BB2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40294">
              <w:rPr>
                <w:b/>
                <w:sz w:val="20"/>
                <w:szCs w:val="20"/>
              </w:rPr>
              <w:t>Measure</w:t>
            </w:r>
          </w:p>
        </w:tc>
      </w:tr>
      <w:tr w:rsidR="00267165" w:rsidRPr="00D40294" w14:paraId="39C54CCB" w14:textId="77777777" w:rsidTr="00423BC2">
        <w:trPr>
          <w:trHeight w:val="262"/>
        </w:trPr>
        <w:tc>
          <w:tcPr>
            <w:tcW w:w="1844" w:type="dxa"/>
            <w:vMerge w:val="restart"/>
          </w:tcPr>
          <w:p w14:paraId="07A21904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14:paraId="70A65B2F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14:paraId="390504C6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D40294">
              <w:rPr>
                <w:sz w:val="20"/>
                <w:szCs w:val="20"/>
              </w:rPr>
              <w:t>Clinical</w:t>
            </w:r>
          </w:p>
        </w:tc>
        <w:tc>
          <w:tcPr>
            <w:tcW w:w="2693" w:type="dxa"/>
          </w:tcPr>
          <w:p w14:paraId="1094EC96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D40294">
              <w:rPr>
                <w:sz w:val="20"/>
                <w:szCs w:val="20"/>
              </w:rPr>
              <w:t>Health-Related Quality of Life</w:t>
            </w:r>
          </w:p>
        </w:tc>
        <w:tc>
          <w:tcPr>
            <w:tcW w:w="5633" w:type="dxa"/>
          </w:tcPr>
          <w:p w14:paraId="3C44E300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proofErr w:type="spellStart"/>
            <w:r w:rsidRPr="00D40294">
              <w:rPr>
                <w:sz w:val="20"/>
                <w:szCs w:val="20"/>
              </w:rPr>
              <w:t>PedsQL</w:t>
            </w:r>
            <w:proofErr w:type="spellEnd"/>
            <w:r w:rsidRPr="00D40294">
              <w:rPr>
                <w:sz w:val="20"/>
                <w:szCs w:val="20"/>
              </w:rPr>
              <w:t xml:space="preserve"> CP Module for Teenagers, Child Reported</w:t>
            </w:r>
          </w:p>
        </w:tc>
      </w:tr>
      <w:tr w:rsidR="00267165" w:rsidRPr="00D40294" w14:paraId="7664614C" w14:textId="77777777" w:rsidTr="00423BC2">
        <w:trPr>
          <w:trHeight w:val="274"/>
        </w:trPr>
        <w:tc>
          <w:tcPr>
            <w:tcW w:w="1844" w:type="dxa"/>
            <w:vMerge/>
          </w:tcPr>
          <w:p w14:paraId="611FE0C2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EFE6A97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D40294">
              <w:rPr>
                <w:sz w:val="20"/>
                <w:szCs w:val="20"/>
              </w:rPr>
              <w:t>Health-Related Quality of Life</w:t>
            </w:r>
          </w:p>
        </w:tc>
        <w:tc>
          <w:tcPr>
            <w:tcW w:w="5633" w:type="dxa"/>
          </w:tcPr>
          <w:p w14:paraId="214BDCDA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D40294">
              <w:rPr>
                <w:sz w:val="20"/>
                <w:szCs w:val="20"/>
              </w:rPr>
              <w:t>SF-36: General Health Subscale</w:t>
            </w:r>
          </w:p>
        </w:tc>
      </w:tr>
      <w:tr w:rsidR="00267165" w:rsidRPr="00D40294" w14:paraId="3F7E8AB5" w14:textId="77777777" w:rsidTr="00423BC2">
        <w:trPr>
          <w:trHeight w:val="262"/>
        </w:trPr>
        <w:tc>
          <w:tcPr>
            <w:tcW w:w="1844" w:type="dxa"/>
            <w:vMerge/>
          </w:tcPr>
          <w:p w14:paraId="03F5931B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F1914E6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D40294">
              <w:rPr>
                <w:sz w:val="20"/>
                <w:szCs w:val="20"/>
              </w:rPr>
              <w:t>Health-Related Quality of Life</w:t>
            </w:r>
          </w:p>
        </w:tc>
        <w:tc>
          <w:tcPr>
            <w:tcW w:w="5633" w:type="dxa"/>
          </w:tcPr>
          <w:p w14:paraId="0043AE33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D40294">
              <w:rPr>
                <w:sz w:val="20"/>
                <w:szCs w:val="20"/>
              </w:rPr>
              <w:t>SF-36: Mental Health Subscale</w:t>
            </w:r>
          </w:p>
        </w:tc>
      </w:tr>
      <w:tr w:rsidR="00267165" w:rsidRPr="00D40294" w14:paraId="4B95EB28" w14:textId="77777777" w:rsidTr="00423BC2">
        <w:trPr>
          <w:trHeight w:val="274"/>
        </w:trPr>
        <w:tc>
          <w:tcPr>
            <w:tcW w:w="1844" w:type="dxa"/>
            <w:vMerge/>
          </w:tcPr>
          <w:p w14:paraId="749C13B9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2ADA3DC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D40294">
              <w:rPr>
                <w:sz w:val="20"/>
                <w:szCs w:val="20"/>
              </w:rPr>
              <w:t>Physical Functioning</w:t>
            </w:r>
          </w:p>
        </w:tc>
        <w:tc>
          <w:tcPr>
            <w:tcW w:w="5633" w:type="dxa"/>
          </w:tcPr>
          <w:p w14:paraId="7A73E7F0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D40294">
              <w:rPr>
                <w:sz w:val="20"/>
                <w:szCs w:val="20"/>
              </w:rPr>
              <w:t>SF-36: Physical Functioning Subscale</w:t>
            </w:r>
          </w:p>
        </w:tc>
      </w:tr>
      <w:tr w:rsidR="00267165" w:rsidRPr="00D40294" w14:paraId="09CACC84" w14:textId="77777777" w:rsidTr="00423BC2">
        <w:trPr>
          <w:trHeight w:val="274"/>
        </w:trPr>
        <w:tc>
          <w:tcPr>
            <w:tcW w:w="1844" w:type="dxa"/>
            <w:vMerge/>
          </w:tcPr>
          <w:p w14:paraId="516B38DE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1869A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D40294">
              <w:rPr>
                <w:sz w:val="20"/>
                <w:szCs w:val="20"/>
              </w:rPr>
              <w:t>Physical Functioning</w:t>
            </w:r>
          </w:p>
        </w:tc>
        <w:tc>
          <w:tcPr>
            <w:tcW w:w="5633" w:type="dxa"/>
          </w:tcPr>
          <w:p w14:paraId="33456F47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D40294">
              <w:rPr>
                <w:sz w:val="20"/>
                <w:szCs w:val="20"/>
              </w:rPr>
              <w:t>Fatigue Severity Scale</w:t>
            </w:r>
          </w:p>
        </w:tc>
      </w:tr>
      <w:tr w:rsidR="00267165" w:rsidRPr="00D40294" w14:paraId="618B8BA9" w14:textId="77777777" w:rsidTr="00423BC2">
        <w:trPr>
          <w:trHeight w:val="57"/>
        </w:trPr>
        <w:tc>
          <w:tcPr>
            <w:tcW w:w="1844" w:type="dxa"/>
            <w:vMerge/>
          </w:tcPr>
          <w:p w14:paraId="44148FA3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3D73615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D40294">
              <w:rPr>
                <w:sz w:val="20"/>
                <w:szCs w:val="20"/>
              </w:rPr>
              <w:t>Gross Motor Functioning</w:t>
            </w:r>
          </w:p>
        </w:tc>
        <w:tc>
          <w:tcPr>
            <w:tcW w:w="5633" w:type="dxa"/>
          </w:tcPr>
          <w:p w14:paraId="5242A39C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D40294">
              <w:rPr>
                <w:sz w:val="20"/>
                <w:szCs w:val="20"/>
              </w:rPr>
              <w:t>Gross Motor Function Measure-66-Item Set</w:t>
            </w:r>
          </w:p>
        </w:tc>
      </w:tr>
      <w:tr w:rsidR="00267165" w:rsidRPr="00D40294" w14:paraId="20FD4B81" w14:textId="77777777" w:rsidTr="00423BC2">
        <w:trPr>
          <w:trHeight w:val="57"/>
        </w:trPr>
        <w:tc>
          <w:tcPr>
            <w:tcW w:w="1844" w:type="dxa"/>
          </w:tcPr>
          <w:p w14:paraId="4179B321" w14:textId="77777777" w:rsidR="00267165" w:rsidRPr="00D40294" w:rsidRDefault="00267165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 Performance</w:t>
            </w:r>
          </w:p>
        </w:tc>
        <w:tc>
          <w:tcPr>
            <w:tcW w:w="2693" w:type="dxa"/>
          </w:tcPr>
          <w:p w14:paraId="74D9BF91" w14:textId="7824D00F" w:rsidR="00267165" w:rsidRPr="00D40294" w:rsidRDefault="00267165" w:rsidP="00A32FD4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Swim </w:t>
            </w:r>
            <w:r w:rsidR="00A32FD4">
              <w:rPr>
                <w:sz w:val="20"/>
                <w:szCs w:val="20"/>
              </w:rPr>
              <w:t>Speed</w:t>
            </w:r>
          </w:p>
        </w:tc>
        <w:tc>
          <w:tcPr>
            <w:tcW w:w="5633" w:type="dxa"/>
          </w:tcPr>
          <w:p w14:paraId="609721EC" w14:textId="6A905640" w:rsidR="00267165" w:rsidRPr="00D40294" w:rsidRDefault="00A32FD4" w:rsidP="0086014E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velocity during maximal time trial</w:t>
            </w:r>
          </w:p>
        </w:tc>
      </w:tr>
      <w:tr w:rsidR="00AD6BB2" w:rsidRPr="00D40294" w14:paraId="62308391" w14:textId="77777777" w:rsidTr="00423BC2">
        <w:trPr>
          <w:trHeight w:val="250"/>
        </w:trPr>
        <w:tc>
          <w:tcPr>
            <w:tcW w:w="1844" w:type="dxa"/>
            <w:vMerge w:val="restart"/>
          </w:tcPr>
          <w:p w14:paraId="0244440B" w14:textId="3BC61A24" w:rsidR="00AD6BB2" w:rsidRPr="00AD6BB2" w:rsidRDefault="00AD6BB2" w:rsidP="005C403A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bookmarkStart w:id="0" w:name="_GoBack"/>
            <w:bookmarkEnd w:id="0"/>
            <w:r w:rsidRPr="00AD6BB2">
              <w:rPr>
                <w:sz w:val="20"/>
                <w:szCs w:val="20"/>
              </w:rPr>
              <w:t xml:space="preserve">Tests of </w:t>
            </w:r>
            <w:r w:rsidR="00906E24">
              <w:rPr>
                <w:sz w:val="20"/>
                <w:szCs w:val="20"/>
              </w:rPr>
              <w:t>Fitness</w:t>
            </w:r>
          </w:p>
        </w:tc>
        <w:tc>
          <w:tcPr>
            <w:tcW w:w="2693" w:type="dxa"/>
          </w:tcPr>
          <w:p w14:paraId="0FF30E60" w14:textId="77777777" w:rsidR="00AD6BB2" w:rsidRPr="00AD6BB2" w:rsidRDefault="00AD6BB2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AD6BB2">
              <w:rPr>
                <w:sz w:val="20"/>
                <w:szCs w:val="20"/>
              </w:rPr>
              <w:t>Range of Movement</w:t>
            </w:r>
          </w:p>
        </w:tc>
        <w:tc>
          <w:tcPr>
            <w:tcW w:w="5633" w:type="dxa"/>
          </w:tcPr>
          <w:p w14:paraId="7A7B2B13" w14:textId="77777777" w:rsidR="00AD6BB2" w:rsidRPr="00AD6BB2" w:rsidRDefault="001E7BE1" w:rsidP="00AD6B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Humeral angle in streamline position</w:t>
            </w:r>
            <w:r w:rsidR="00AD6BB2" w:rsidRPr="00AD6BB2">
              <w:rPr>
                <w:sz w:val="20"/>
                <w:szCs w:val="20"/>
              </w:rPr>
              <w:t xml:space="preserve"> (Dominant Arm)</w:t>
            </w:r>
          </w:p>
        </w:tc>
      </w:tr>
      <w:tr w:rsidR="00E26E32" w:rsidRPr="00D40294" w14:paraId="593FB0F0" w14:textId="77777777" w:rsidTr="00E26E32">
        <w:trPr>
          <w:trHeight w:val="205"/>
        </w:trPr>
        <w:tc>
          <w:tcPr>
            <w:tcW w:w="1844" w:type="dxa"/>
            <w:vMerge/>
          </w:tcPr>
          <w:p w14:paraId="7A3441B1" w14:textId="77777777" w:rsidR="00E26E32" w:rsidRPr="00AD6BB2" w:rsidRDefault="00E26E32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1C91258" w14:textId="7982AB57" w:rsidR="00E26E32" w:rsidRPr="00AD6BB2" w:rsidRDefault="00E26E32" w:rsidP="00E26E3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AD6BB2">
              <w:rPr>
                <w:sz w:val="20"/>
                <w:szCs w:val="20"/>
              </w:rPr>
              <w:t>Range of Movement</w:t>
            </w:r>
          </w:p>
        </w:tc>
        <w:tc>
          <w:tcPr>
            <w:tcW w:w="5633" w:type="dxa"/>
          </w:tcPr>
          <w:p w14:paraId="59D19B4D" w14:textId="0EAE7F0F" w:rsidR="00E26E32" w:rsidRPr="00AD6BB2" w:rsidRDefault="00E26E32" w:rsidP="00AD6B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Femoral angle in streamline position (Left and Right)</w:t>
            </w:r>
          </w:p>
        </w:tc>
      </w:tr>
      <w:tr w:rsidR="00E26E32" w:rsidRPr="00D40294" w14:paraId="4737484A" w14:textId="77777777" w:rsidTr="00E26E32">
        <w:trPr>
          <w:trHeight w:val="209"/>
        </w:trPr>
        <w:tc>
          <w:tcPr>
            <w:tcW w:w="1844" w:type="dxa"/>
            <w:vMerge/>
          </w:tcPr>
          <w:p w14:paraId="0C08B6E9" w14:textId="77777777" w:rsidR="00E26E32" w:rsidRPr="00AD6BB2" w:rsidRDefault="00E26E32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55DBAB2" w14:textId="6795F8B5" w:rsidR="00E26E32" w:rsidRPr="00AD6BB2" w:rsidRDefault="00E26E32" w:rsidP="00E26E3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of Movement</w:t>
            </w:r>
          </w:p>
        </w:tc>
        <w:tc>
          <w:tcPr>
            <w:tcW w:w="5633" w:type="dxa"/>
          </w:tcPr>
          <w:p w14:paraId="37D02564" w14:textId="6D323E06" w:rsidR="00E26E32" w:rsidRPr="00AD6BB2" w:rsidRDefault="00E26E32" w:rsidP="00AD6B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Tibial angle in streamline position</w:t>
            </w:r>
            <w:r w:rsidRPr="00AD6BB2">
              <w:rPr>
                <w:sz w:val="20"/>
                <w:szCs w:val="20"/>
              </w:rPr>
              <w:t xml:space="preserve"> (Left</w:t>
            </w:r>
            <w:r>
              <w:rPr>
                <w:sz w:val="20"/>
                <w:szCs w:val="20"/>
              </w:rPr>
              <w:t xml:space="preserve"> and Right</w:t>
            </w:r>
            <w:r w:rsidRPr="00AD6BB2">
              <w:rPr>
                <w:sz w:val="20"/>
                <w:szCs w:val="20"/>
              </w:rPr>
              <w:t>)</w:t>
            </w:r>
          </w:p>
        </w:tc>
      </w:tr>
      <w:tr w:rsidR="00E26E32" w:rsidRPr="00D40294" w14:paraId="42E2FCC0" w14:textId="77777777" w:rsidTr="00E26E32">
        <w:trPr>
          <w:trHeight w:val="369"/>
        </w:trPr>
        <w:tc>
          <w:tcPr>
            <w:tcW w:w="1844" w:type="dxa"/>
            <w:vMerge/>
          </w:tcPr>
          <w:p w14:paraId="6C073747" w14:textId="77777777" w:rsidR="00E26E32" w:rsidRPr="00AD6BB2" w:rsidRDefault="00E26E32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BE097A6" w14:textId="68B874E4" w:rsidR="00E26E32" w:rsidRPr="00AD6BB2" w:rsidRDefault="00E26E32" w:rsidP="00E26E3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AD6BB2">
              <w:rPr>
                <w:sz w:val="20"/>
                <w:szCs w:val="20"/>
              </w:rPr>
              <w:t>Range of Movement</w:t>
            </w:r>
          </w:p>
        </w:tc>
        <w:tc>
          <w:tcPr>
            <w:tcW w:w="5633" w:type="dxa"/>
          </w:tcPr>
          <w:p w14:paraId="2226BB0F" w14:textId="25D82499" w:rsidR="00E26E32" w:rsidRPr="00AD6BB2" w:rsidRDefault="00E26E32" w:rsidP="001E7BE1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Fifth metatarsal angle in streamline position</w:t>
            </w:r>
            <w:r w:rsidRPr="00AD6BB2">
              <w:rPr>
                <w:sz w:val="20"/>
                <w:szCs w:val="20"/>
              </w:rPr>
              <w:t xml:space="preserve"> (Left</w:t>
            </w:r>
            <w:r>
              <w:rPr>
                <w:sz w:val="20"/>
                <w:szCs w:val="20"/>
              </w:rPr>
              <w:t xml:space="preserve"> and Right)</w:t>
            </w:r>
          </w:p>
        </w:tc>
      </w:tr>
      <w:tr w:rsidR="00AD6BB2" w:rsidRPr="00D40294" w14:paraId="3DA92E19" w14:textId="77777777" w:rsidTr="00423BC2">
        <w:trPr>
          <w:trHeight w:val="537"/>
        </w:trPr>
        <w:tc>
          <w:tcPr>
            <w:tcW w:w="1844" w:type="dxa"/>
            <w:vMerge/>
          </w:tcPr>
          <w:p w14:paraId="6268B9EB" w14:textId="77777777" w:rsidR="00AD6BB2" w:rsidRPr="00AD6BB2" w:rsidRDefault="00AD6BB2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6B15FAF" w14:textId="77777777" w:rsidR="00AD6BB2" w:rsidRPr="00AD6BB2" w:rsidRDefault="00AD6BB2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Isometric Strength</w:t>
            </w:r>
          </w:p>
        </w:tc>
        <w:tc>
          <w:tcPr>
            <w:tcW w:w="5633" w:type="dxa"/>
          </w:tcPr>
          <w:p w14:paraId="3DB0AB52" w14:textId="06D13561" w:rsidR="00AD6BB2" w:rsidRPr="00AD6BB2" w:rsidRDefault="00611513" w:rsidP="0061151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Peak m</w:t>
            </w:r>
            <w:r w:rsidR="001E7BE1">
              <w:rPr>
                <w:sz w:val="20"/>
                <w:szCs w:val="20"/>
              </w:rPr>
              <w:t>aximal voluntary</w:t>
            </w:r>
            <w:r>
              <w:rPr>
                <w:sz w:val="20"/>
                <w:szCs w:val="20"/>
              </w:rPr>
              <w:t xml:space="preserve"> contraction,</w:t>
            </w:r>
            <w:r w:rsidR="001E7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shoulder e</w:t>
            </w:r>
            <w:r w:rsidR="00AD6BB2" w:rsidRPr="00AD6BB2">
              <w:rPr>
                <w:sz w:val="20"/>
                <w:szCs w:val="20"/>
              </w:rPr>
              <w:t>xtension</w:t>
            </w:r>
            <w:r>
              <w:rPr>
                <w:sz w:val="20"/>
                <w:szCs w:val="20"/>
              </w:rPr>
              <w:t xml:space="preserve"> from 90 degrees of flexion</w:t>
            </w:r>
            <w:r w:rsidR="00AD6BB2" w:rsidRPr="00AD6BB2">
              <w:rPr>
                <w:sz w:val="20"/>
                <w:szCs w:val="20"/>
              </w:rPr>
              <w:t xml:space="preserve"> (Left</w:t>
            </w:r>
            <w:r w:rsidR="00E26E32">
              <w:rPr>
                <w:sz w:val="20"/>
                <w:szCs w:val="20"/>
              </w:rPr>
              <w:t xml:space="preserve"> and Right</w:t>
            </w:r>
            <w:r w:rsidR="00AD6BB2" w:rsidRPr="00AD6BB2">
              <w:rPr>
                <w:sz w:val="20"/>
                <w:szCs w:val="20"/>
              </w:rPr>
              <w:t>)</w:t>
            </w:r>
          </w:p>
        </w:tc>
      </w:tr>
      <w:tr w:rsidR="00E26E32" w:rsidRPr="00D40294" w14:paraId="35CBF809" w14:textId="77777777" w:rsidTr="00423BC2">
        <w:trPr>
          <w:trHeight w:val="537"/>
        </w:trPr>
        <w:tc>
          <w:tcPr>
            <w:tcW w:w="1844" w:type="dxa"/>
            <w:vMerge/>
          </w:tcPr>
          <w:p w14:paraId="1E5A4F99" w14:textId="77777777" w:rsidR="00E26E32" w:rsidRPr="00AD6BB2" w:rsidRDefault="00E26E32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9AC643F" w14:textId="46572DD7" w:rsidR="00E26E32" w:rsidRDefault="00E26E32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Isometric Strength</w:t>
            </w:r>
          </w:p>
        </w:tc>
        <w:tc>
          <w:tcPr>
            <w:tcW w:w="5633" w:type="dxa"/>
          </w:tcPr>
          <w:p w14:paraId="358E7930" w14:textId="1FDFAC61" w:rsidR="00E26E32" w:rsidRPr="00AD6BB2" w:rsidRDefault="00E26E32" w:rsidP="00AD6BB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Peak maximal voluntary contraction, shoulder flexion from neutral</w:t>
            </w:r>
            <w:r w:rsidRPr="00AD6BB2">
              <w:rPr>
                <w:sz w:val="20"/>
                <w:szCs w:val="20"/>
              </w:rPr>
              <w:t xml:space="preserve"> (Left</w:t>
            </w:r>
            <w:r>
              <w:rPr>
                <w:sz w:val="20"/>
                <w:szCs w:val="20"/>
              </w:rPr>
              <w:t xml:space="preserve"> and Right</w:t>
            </w:r>
            <w:r w:rsidRPr="00AD6BB2">
              <w:rPr>
                <w:sz w:val="20"/>
                <w:szCs w:val="20"/>
              </w:rPr>
              <w:t>)</w:t>
            </w:r>
          </w:p>
        </w:tc>
      </w:tr>
      <w:tr w:rsidR="00E26E32" w:rsidRPr="00D40294" w14:paraId="1B436EF2" w14:textId="77777777" w:rsidTr="00423BC2">
        <w:trPr>
          <w:trHeight w:val="525"/>
        </w:trPr>
        <w:tc>
          <w:tcPr>
            <w:tcW w:w="1844" w:type="dxa"/>
            <w:vMerge/>
          </w:tcPr>
          <w:p w14:paraId="6CF743B0" w14:textId="77777777" w:rsidR="00E26E32" w:rsidRPr="00AD6BB2" w:rsidRDefault="00E26E32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4ECAFA5" w14:textId="33FF1845" w:rsidR="00E26E32" w:rsidRDefault="00E26E32" w:rsidP="0086014E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 fitness </w:t>
            </w:r>
          </w:p>
        </w:tc>
        <w:tc>
          <w:tcPr>
            <w:tcW w:w="5633" w:type="dxa"/>
          </w:tcPr>
          <w:p w14:paraId="671B3EC1" w14:textId="56C1F827" w:rsidR="00E26E32" w:rsidRDefault="00E26E32" w:rsidP="0061151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Unilateral rapid a</w:t>
            </w:r>
            <w:r w:rsidRPr="00AD6BB2">
              <w:rPr>
                <w:sz w:val="20"/>
                <w:szCs w:val="20"/>
              </w:rPr>
              <w:t xml:space="preserve">lternating </w:t>
            </w:r>
            <w:r>
              <w:rPr>
                <w:sz w:val="20"/>
                <w:szCs w:val="20"/>
              </w:rPr>
              <w:t>t</w:t>
            </w:r>
            <w:r w:rsidRPr="00AD6BB2">
              <w:rPr>
                <w:sz w:val="20"/>
                <w:szCs w:val="20"/>
              </w:rPr>
              <w:t xml:space="preserve">apping </w:t>
            </w:r>
            <w:r>
              <w:rPr>
                <w:sz w:val="20"/>
                <w:szCs w:val="20"/>
              </w:rPr>
              <w:t>t</w:t>
            </w:r>
            <w:r w:rsidRPr="00AD6BB2">
              <w:rPr>
                <w:sz w:val="20"/>
                <w:szCs w:val="20"/>
              </w:rPr>
              <w:t>ask (Left</w:t>
            </w:r>
            <w:r>
              <w:rPr>
                <w:sz w:val="20"/>
                <w:szCs w:val="20"/>
              </w:rPr>
              <w:t xml:space="preserve"> and Right</w:t>
            </w:r>
            <w:r w:rsidRPr="00AD6BB2">
              <w:rPr>
                <w:sz w:val="20"/>
                <w:szCs w:val="20"/>
              </w:rPr>
              <w:t>)</w:t>
            </w:r>
          </w:p>
        </w:tc>
      </w:tr>
      <w:tr w:rsidR="00E26E32" w:rsidRPr="00502C68" w14:paraId="00AE53FC" w14:textId="77777777" w:rsidTr="00423BC2">
        <w:trPr>
          <w:trHeight w:val="525"/>
        </w:trPr>
        <w:tc>
          <w:tcPr>
            <w:tcW w:w="1844" w:type="dxa"/>
            <w:vMerge w:val="restart"/>
          </w:tcPr>
          <w:p w14:paraId="5A78A2E8" w14:textId="77777777" w:rsidR="00E26E32" w:rsidRPr="00502C68" w:rsidRDefault="00E26E32" w:rsidP="00E26E3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Swimming Biomechanics </w:t>
            </w:r>
          </w:p>
        </w:tc>
        <w:tc>
          <w:tcPr>
            <w:tcW w:w="2693" w:type="dxa"/>
          </w:tcPr>
          <w:p w14:paraId="610E7C64" w14:textId="3AE8CE6A" w:rsidR="00E26E32" w:rsidRPr="00502C68" w:rsidRDefault="00E26E32" w:rsidP="00E26E3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02C68">
              <w:rPr>
                <w:sz w:val="20"/>
                <w:szCs w:val="20"/>
              </w:rPr>
              <w:t>Kinematics</w:t>
            </w:r>
          </w:p>
        </w:tc>
        <w:tc>
          <w:tcPr>
            <w:tcW w:w="5633" w:type="dxa"/>
          </w:tcPr>
          <w:p w14:paraId="03C6E791" w14:textId="10439772" w:rsidR="00E26E32" w:rsidRPr="00502C68" w:rsidRDefault="00E26E32" w:rsidP="00E26E3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</w:t>
            </w:r>
            <w:r w:rsidRPr="00502C68">
              <w:rPr>
                <w:sz w:val="20"/>
                <w:szCs w:val="20"/>
              </w:rPr>
              <w:t xml:space="preserve"> analysis of freestyle sw</w:t>
            </w:r>
            <w:r>
              <w:rPr>
                <w:sz w:val="20"/>
                <w:szCs w:val="20"/>
              </w:rPr>
              <w:t>imming technique during time trial (quantitative and qualitative descriptors)</w:t>
            </w:r>
          </w:p>
        </w:tc>
      </w:tr>
      <w:tr w:rsidR="00E26E32" w:rsidRPr="00502C68" w14:paraId="6D47884A" w14:textId="77777777" w:rsidTr="00423BC2">
        <w:trPr>
          <w:trHeight w:val="537"/>
        </w:trPr>
        <w:tc>
          <w:tcPr>
            <w:tcW w:w="1844" w:type="dxa"/>
            <w:vMerge/>
          </w:tcPr>
          <w:p w14:paraId="3AD8A7C4" w14:textId="77777777" w:rsidR="00E26E32" w:rsidRPr="00502C68" w:rsidRDefault="00E26E32" w:rsidP="00E26E3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4A8CD0B" w14:textId="0C15A937" w:rsidR="00E26E32" w:rsidRPr="00502C68" w:rsidRDefault="00E26E32" w:rsidP="00E26E3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02C68">
              <w:rPr>
                <w:sz w:val="20"/>
                <w:szCs w:val="20"/>
              </w:rPr>
              <w:t>Kinematics</w:t>
            </w:r>
          </w:p>
        </w:tc>
        <w:tc>
          <w:tcPr>
            <w:tcW w:w="5633" w:type="dxa"/>
          </w:tcPr>
          <w:p w14:paraId="7ACEDED5" w14:textId="36094A52" w:rsidR="00E26E32" w:rsidRPr="00502C68" w:rsidRDefault="00E26E32" w:rsidP="00E26E32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502C68">
              <w:rPr>
                <w:sz w:val="20"/>
                <w:szCs w:val="20"/>
              </w:rPr>
              <w:t xml:space="preserve">Quantitative analysis </w:t>
            </w:r>
            <w:r>
              <w:rPr>
                <w:sz w:val="20"/>
                <w:szCs w:val="20"/>
              </w:rPr>
              <w:t>of elbow joint angle</w:t>
            </w:r>
            <w:r w:rsidRPr="00502C68">
              <w:rPr>
                <w:sz w:val="20"/>
                <w:szCs w:val="20"/>
              </w:rPr>
              <w:t xml:space="preserve"> during </w:t>
            </w:r>
            <w:r>
              <w:rPr>
                <w:sz w:val="20"/>
                <w:szCs w:val="20"/>
              </w:rPr>
              <w:t>time trial using Inertial Measurement Unit</w:t>
            </w:r>
          </w:p>
        </w:tc>
      </w:tr>
      <w:tr w:rsidR="00E26E32" w:rsidRPr="00502C68" w14:paraId="3E8F8867" w14:textId="77777777" w:rsidTr="00423BC2">
        <w:trPr>
          <w:trHeight w:val="1050"/>
        </w:trPr>
        <w:tc>
          <w:tcPr>
            <w:tcW w:w="1844" w:type="dxa"/>
            <w:vMerge w:val="restart"/>
          </w:tcPr>
          <w:p w14:paraId="71FA60A4" w14:textId="24AAA6F8" w:rsidR="00E26E32" w:rsidRPr="00502C68" w:rsidRDefault="00E26E32" w:rsidP="00E26E3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Psychosocial</w:t>
            </w:r>
          </w:p>
        </w:tc>
        <w:tc>
          <w:tcPr>
            <w:tcW w:w="2693" w:type="dxa"/>
          </w:tcPr>
          <w:p w14:paraId="2D5A76C7" w14:textId="6BAF9039" w:rsidR="00E26E32" w:rsidRPr="00502C68" w:rsidRDefault="00E26E32" w:rsidP="00E26E3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and Life history (qualitative)</w:t>
            </w:r>
          </w:p>
        </w:tc>
        <w:tc>
          <w:tcPr>
            <w:tcW w:w="5633" w:type="dxa"/>
          </w:tcPr>
          <w:p w14:paraId="028B8C3C" w14:textId="493CBD63" w:rsidR="00E26E32" w:rsidRPr="00FC696A" w:rsidRDefault="00E26E32" w:rsidP="00E26E3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96A">
              <w:rPr>
                <w:rFonts w:ascii="Times New Roman" w:hAnsi="Times New Roman" w:cs="Times New Roman"/>
                <w:sz w:val="20"/>
                <w:szCs w:val="20"/>
              </w:rPr>
              <w:t>Semi-structured interview to access the back-stage stories of participants’ experiences of sport prior to engagement in the program, conducted with each participant and their parent/guardian.</w:t>
            </w:r>
          </w:p>
        </w:tc>
      </w:tr>
      <w:tr w:rsidR="00E26E32" w:rsidRPr="00502C68" w14:paraId="1C29875B" w14:textId="77777777" w:rsidTr="00423BC2">
        <w:trPr>
          <w:trHeight w:val="2065"/>
        </w:trPr>
        <w:tc>
          <w:tcPr>
            <w:tcW w:w="1844" w:type="dxa"/>
            <w:vMerge/>
          </w:tcPr>
          <w:p w14:paraId="783291D7" w14:textId="77777777" w:rsidR="00E26E32" w:rsidRDefault="00E26E32" w:rsidP="00E26E3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711CEFB" w14:textId="3A3A6159" w:rsidR="00E26E32" w:rsidRDefault="00E26E32" w:rsidP="00E26E32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Experiences (qualitative)</w:t>
            </w:r>
          </w:p>
        </w:tc>
        <w:tc>
          <w:tcPr>
            <w:tcW w:w="5633" w:type="dxa"/>
          </w:tcPr>
          <w:p w14:paraId="6CB559C3" w14:textId="77777777" w:rsidR="00E26E32" w:rsidRDefault="00E26E32" w:rsidP="00E26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96A">
              <w:rPr>
                <w:rFonts w:ascii="Times New Roman" w:hAnsi="Times New Roman" w:cs="Times New Roman"/>
                <w:sz w:val="20"/>
                <w:szCs w:val="20"/>
              </w:rPr>
              <w:t>Semistructured</w:t>
            </w:r>
            <w:proofErr w:type="spellEnd"/>
            <w:r w:rsidRPr="00FC696A">
              <w:rPr>
                <w:rFonts w:ascii="Times New Roman" w:hAnsi="Times New Roman" w:cs="Times New Roman"/>
                <w:sz w:val="20"/>
                <w:szCs w:val="20"/>
              </w:rPr>
              <w:t xml:space="preserve"> interviews at the commencement and conclusion of each training phase, conducted with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696A">
              <w:rPr>
                <w:rFonts w:ascii="Times New Roman" w:hAnsi="Times New Roman" w:cs="Times New Roman"/>
                <w:sz w:val="20"/>
                <w:szCs w:val="20"/>
              </w:rPr>
              <w:t>each participant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696A">
              <w:rPr>
                <w:rFonts w:ascii="Times New Roman" w:hAnsi="Times New Roman" w:cs="Times New Roman"/>
                <w:sz w:val="20"/>
                <w:szCs w:val="20"/>
              </w:rPr>
              <w:t>their parent/guardian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their coach</w:t>
            </w:r>
            <w:r w:rsidRPr="00FC69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423BC2">
              <w:rPr>
                <w:rFonts w:ascii="Times New Roman" w:hAnsi="Times New Roman" w:cs="Times New Roman"/>
                <w:sz w:val="20"/>
                <w:szCs w:val="20"/>
              </w:rPr>
              <w:t>utcomes will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4418428" w14:textId="77777777" w:rsidR="00E26E32" w:rsidRPr="00423BC2" w:rsidRDefault="00E26E32" w:rsidP="00E26E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3BC2">
              <w:rPr>
                <w:rFonts w:ascii="Times New Roman" w:hAnsi="Times New Roman" w:cs="Times New Roman"/>
                <w:sz w:val="20"/>
                <w:szCs w:val="20"/>
              </w:rPr>
              <w:t>privilege the voices of the participants, providing insight into how their experiences influence the construction of 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emselves as athletes and people;</w:t>
            </w:r>
          </w:p>
          <w:p w14:paraId="113E3FFD" w14:textId="60779ED0" w:rsidR="00E26E32" w:rsidRPr="00423BC2" w:rsidRDefault="00E26E32" w:rsidP="00E26E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423BC2">
              <w:rPr>
                <w:rFonts w:ascii="Times New Roman" w:hAnsi="Times New Roman" w:cs="Times New Roman"/>
                <w:sz w:val="20"/>
                <w:szCs w:val="20"/>
              </w:rPr>
              <w:t>capture</w:t>
            </w:r>
            <w:proofErr w:type="gramEnd"/>
            <w:r w:rsidRPr="00423BC2">
              <w:rPr>
                <w:rFonts w:ascii="Times New Roman" w:hAnsi="Times New Roman" w:cs="Times New Roman"/>
                <w:sz w:val="20"/>
                <w:szCs w:val="20"/>
              </w:rPr>
              <w:t xml:space="preserve"> the barriers and facilitators to their ongoing participation in performance focused swimming training.</w:t>
            </w:r>
            <w:r w:rsidRPr="00423BC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EAB3403" w14:textId="77777777" w:rsidR="00A577B0" w:rsidRDefault="00A577B0" w:rsidP="00423BC2"/>
    <w:sectPr w:rsidR="00A57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8E9"/>
    <w:multiLevelType w:val="hybridMultilevel"/>
    <w:tmpl w:val="58AAF9BC"/>
    <w:lvl w:ilvl="0" w:tplc="742AF6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6AC2"/>
    <w:multiLevelType w:val="hybridMultilevel"/>
    <w:tmpl w:val="AAD89946"/>
    <w:lvl w:ilvl="0" w:tplc="A880B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99F133B-9FEF-4B14-8F8F-1B76BA47D563}"/>
    <w:docVar w:name="dgnword-eventsink" w:val="501101728"/>
    <w:docVar w:name="dgnword-lastRevisionsView" w:val="0"/>
  </w:docVars>
  <w:rsids>
    <w:rsidRoot w:val="00AD6BB2"/>
    <w:rsid w:val="0001431C"/>
    <w:rsid w:val="00147112"/>
    <w:rsid w:val="001E7BE1"/>
    <w:rsid w:val="001F4EC6"/>
    <w:rsid w:val="00256292"/>
    <w:rsid w:val="00267165"/>
    <w:rsid w:val="00302AA5"/>
    <w:rsid w:val="003B2824"/>
    <w:rsid w:val="003C6706"/>
    <w:rsid w:val="00423BC2"/>
    <w:rsid w:val="00502C68"/>
    <w:rsid w:val="005C403A"/>
    <w:rsid w:val="00611513"/>
    <w:rsid w:val="006457BA"/>
    <w:rsid w:val="007D6307"/>
    <w:rsid w:val="008232DA"/>
    <w:rsid w:val="0086014E"/>
    <w:rsid w:val="008C6165"/>
    <w:rsid w:val="00906E24"/>
    <w:rsid w:val="00926C4C"/>
    <w:rsid w:val="00935C13"/>
    <w:rsid w:val="009C5DE4"/>
    <w:rsid w:val="009D4FFB"/>
    <w:rsid w:val="00A32FD4"/>
    <w:rsid w:val="00A50D82"/>
    <w:rsid w:val="00A577B0"/>
    <w:rsid w:val="00A8250C"/>
    <w:rsid w:val="00AD6BB2"/>
    <w:rsid w:val="00BD1184"/>
    <w:rsid w:val="00D4543A"/>
    <w:rsid w:val="00E26E32"/>
    <w:rsid w:val="00E75484"/>
    <w:rsid w:val="00EE7360"/>
    <w:rsid w:val="00F66612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A9E0"/>
  <w15:chartTrackingRefBased/>
  <w15:docId w15:val="{2CB10B89-799E-413B-8E54-8C5A18AD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AD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C67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4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3A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F4EC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Dutia</dc:creator>
  <cp:keywords/>
  <dc:description/>
  <cp:lastModifiedBy>Iain Dutia</cp:lastModifiedBy>
  <cp:revision>11</cp:revision>
  <dcterms:created xsi:type="dcterms:W3CDTF">2018-06-03T02:42:00Z</dcterms:created>
  <dcterms:modified xsi:type="dcterms:W3CDTF">2019-01-15T04:35:00Z</dcterms:modified>
</cp:coreProperties>
</file>