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8" w:rsidRDefault="002E6E88"/>
    <w:p w:rsidR="00190B63" w:rsidRDefault="00190B63">
      <w:r>
        <w:t>The table below shows the fields included in the audit and the definitions of major and minor discrepancies for each.</w:t>
      </w:r>
    </w:p>
    <w:p w:rsidR="00190B63" w:rsidRDefault="00190B63"/>
    <w:p w:rsidR="00190B63" w:rsidRDefault="00190B63">
      <w:r>
        <w:t xml:space="preserve">Non-italicized items are assessed for all encounters selected for audit; italicized items are only </w:t>
      </w:r>
      <w:r w:rsidR="0082446B">
        <w:t xml:space="preserve">assessed </w:t>
      </w:r>
      <w:r>
        <w:t>if certain conditions are met. For example, birth weight is only applicable to infants, and the details about mechanical ventilation are only included if the patient was on ventilator support.</w:t>
      </w:r>
    </w:p>
    <w:p w:rsidR="00750DA7" w:rsidRDefault="00750DA7" w:rsidP="00750DA7">
      <w:pPr>
        <w:ind w:left="720"/>
      </w:pPr>
    </w:p>
    <w:p w:rsidR="00750DA7" w:rsidRDefault="00750DA7" w:rsidP="00750DA7">
      <w:pPr>
        <w:ind w:left="1440"/>
      </w:pPr>
    </w:p>
    <w:p w:rsidR="00750DA7" w:rsidRDefault="00750DA7">
      <w:r>
        <w:br w:type="page"/>
      </w:r>
    </w:p>
    <w:p w:rsidR="00190B63" w:rsidRDefault="00190B6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429"/>
        <w:gridCol w:w="3429"/>
      </w:tblGrid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PATIENT INFORMATION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80CAA" w:rsidRPr="00D80CAA" w:rsidTr="00A22E37">
        <w:trPr>
          <w:cantSplit/>
          <w:trHeight w:val="324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D80CAA" w:rsidRPr="00D80CAA" w:rsidTr="00A22E37">
        <w:trPr>
          <w:cantSplit/>
          <w:trHeight w:val="87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DOB that changes age category (neonate, infant, child, adult)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DOB that does not change category</w:t>
            </w:r>
          </w:p>
        </w:tc>
      </w:tr>
      <w:tr w:rsidR="00D80CAA" w:rsidRPr="00D80CAA" w:rsidTr="00A22E37">
        <w:trPr>
          <w:cantSplit/>
          <w:trHeight w:val="588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190B63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Birth weight</w:t>
            </w:r>
          </w:p>
          <w:p w:rsidR="00190B63" w:rsidRPr="00D80CAA" w:rsidRDefault="00190B63" w:rsidP="00750D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if age </w:t>
            </w:r>
            <w:r w:rsid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&lt;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1 y</w:t>
            </w:r>
            <w:r w:rsid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ea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r)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≥1.0 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 above or below actual BW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6E1A2D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BW </w:t>
            </w:r>
            <w:r w:rsidR="00D80CAA"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-0.9 </w:t>
            </w:r>
            <w:r w:rsidR="00D80CAA"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 above or below actual BW</w:t>
            </w:r>
          </w:p>
        </w:tc>
      </w:tr>
      <w:tr w:rsidR="00D80CAA" w:rsidRPr="00D80CAA" w:rsidTr="00A22E37">
        <w:trPr>
          <w:cantSplit/>
          <w:trHeight w:val="87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Extracardiac anomalies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Present if patient did not have anomalies, or not present if patient did have anomalies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Wrong anomalies recorded</w:t>
            </w:r>
          </w:p>
        </w:tc>
      </w:tr>
      <w:tr w:rsidR="00D80CAA" w:rsidRPr="00D80CAA" w:rsidTr="00A22E37">
        <w:trPr>
          <w:cantSplit/>
          <w:trHeight w:val="87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Chromosomal abnormalities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Present if patient did not have anomalies, or not present if patient did have anomalies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Wrong anomalies recorded</w:t>
            </w:r>
          </w:p>
        </w:tc>
      </w:tr>
      <w:tr w:rsidR="00D80CAA" w:rsidRPr="00D80CAA" w:rsidTr="00A22E37">
        <w:trPr>
          <w:cantSplit/>
          <w:trHeight w:val="87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Syndromes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Present if patient did not have anomalies, or not present if patient did have anomalies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Wrong anomalies recorded</w:t>
            </w: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BC162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HOSPITALIZATION</w:t>
            </w:r>
            <w:r w:rsidR="00BC162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/ ENCOUNTER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CAA" w:rsidRPr="00D80CAA" w:rsidTr="00A22E37">
        <w:trPr>
          <w:cantSplit/>
          <w:trHeight w:val="324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BC162B" w:rsidRPr="00D80CAA" w:rsidTr="008A2200">
        <w:trPr>
          <w:cantSplit/>
          <w:trHeight w:val="300"/>
        </w:trPr>
        <w:tc>
          <w:tcPr>
            <w:tcW w:w="27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BC162B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 w:rsidRPr="00BC162B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Hospitalization</w:t>
            </w:r>
          </w:p>
        </w:tc>
        <w:tc>
          <w:tcPr>
            <w:tcW w:w="34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Hospital admit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Hospital discharge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Mortality status at hospital discharge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status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190B63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Hospital discharge location</w:t>
            </w:r>
          </w:p>
          <w:p w:rsidR="00F35397" w:rsidRPr="00190B63" w:rsidRDefault="00F35397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discharged alive)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location</w:t>
            </w:r>
          </w:p>
        </w:tc>
      </w:tr>
      <w:tr w:rsidR="00D80CAA" w:rsidRPr="00D80CAA" w:rsidTr="00A22E37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cardiothoracic surgery (Y/N)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BC162B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cardiac catheterization (Y/N)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cantSplit/>
          <w:trHeight w:val="300"/>
        </w:trPr>
        <w:tc>
          <w:tcPr>
            <w:tcW w:w="27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BC162B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 w:rsidRPr="00BC162B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CICU Encounter</w:t>
            </w:r>
          </w:p>
        </w:tc>
        <w:tc>
          <w:tcPr>
            <w:tcW w:w="34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162B" w:rsidRPr="00D80CAA" w:rsidTr="008A2200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CICU admit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8A2200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Critical care end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E53DFD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Discharge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E53DFD">
        <w:trPr>
          <w:cantSplit/>
          <w:trHeight w:val="300"/>
        </w:trPr>
        <w:tc>
          <w:tcPr>
            <w:tcW w:w="2718" w:type="dxa"/>
            <w:tcBorders>
              <w:top w:val="single" w:sz="8" w:space="0" w:color="000000"/>
              <w:left w:val="single" w:sz="8" w:space="0" w:color="auto"/>
              <w:bottom w:val="single" w:sz="8" w:space="0" w:color="948A54" w:themeColor="background2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Reason for encounter</w:t>
            </w:r>
          </w:p>
        </w:tc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948A54" w:themeColor="background2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948A54" w:themeColor="background2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E53DFD">
        <w:trPr>
          <w:cantSplit/>
          <w:trHeight w:val="588"/>
        </w:trPr>
        <w:tc>
          <w:tcPr>
            <w:tcW w:w="2718" w:type="dxa"/>
            <w:tcBorders>
              <w:top w:val="single" w:sz="8" w:space="0" w:color="948A54" w:themeColor="background2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750DA7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Noncardiothoracic</w:t>
            </w:r>
            <w:proofErr w:type="spellEnd"/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surgery type (if reason is postop </w:t>
            </w:r>
            <w:proofErr w:type="spellStart"/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noncardiothoracic</w:t>
            </w:r>
            <w:proofErr w:type="spellEnd"/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429" w:type="dxa"/>
            <w:tcBorders>
              <w:top w:val="single" w:sz="8" w:space="0" w:color="948A54" w:themeColor="background2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tcBorders>
              <w:top w:val="single" w:sz="8" w:space="0" w:color="948A54" w:themeColor="background2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</w:tr>
      <w:tr w:rsidR="00BC162B" w:rsidRPr="00D80CAA" w:rsidTr="008A2200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Encounter medical dx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8A2200">
        <w:trPr>
          <w:cantSplit/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CICU disposition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alive/deceased designation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discharge location for survivors</w:t>
            </w:r>
          </w:p>
        </w:tc>
      </w:tr>
    </w:tbl>
    <w:p w:rsidR="00BC162B" w:rsidRDefault="00BC162B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330"/>
        <w:gridCol w:w="9"/>
        <w:gridCol w:w="3411"/>
        <w:gridCol w:w="18"/>
      </w:tblGrid>
      <w:tr w:rsidR="003D75C8" w:rsidRPr="00D80CAA" w:rsidTr="008A2200">
        <w:trPr>
          <w:cantSplit/>
          <w:trHeight w:val="300"/>
        </w:trPr>
        <w:tc>
          <w:tcPr>
            <w:tcW w:w="957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3D75C8" w:rsidRPr="00D80CAA" w:rsidRDefault="003D75C8" w:rsidP="003D7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CARDIOTHORACIC SURGERY</w:t>
            </w:r>
          </w:p>
        </w:tc>
      </w:tr>
      <w:tr w:rsidR="00D80CAA" w:rsidRPr="00D80CAA" w:rsidTr="00BC162B">
        <w:trPr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D80CAA" w:rsidRPr="00D80CAA" w:rsidTr="00BC162B">
        <w:trPr>
          <w:cantSplit/>
          <w:trHeight w:val="588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F35397" w:rsidRPr="00190B63" w:rsidRDefault="00D80CAA" w:rsidP="00E53DF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Surgery count</w:t>
            </w:r>
            <w:r w:rsidR="00E53DF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surgery)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Missing or incorrectly added surgeries 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BC162B">
        <w:trPr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F35397" w:rsidRPr="00190B63" w:rsidRDefault="00D80CAA" w:rsidP="00E53DF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Surgery date</w:t>
            </w:r>
            <w:r w:rsid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(s)</w:t>
            </w:r>
            <w:r w:rsidR="00E53DF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F35397"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had surgery)</w:t>
            </w:r>
          </w:p>
        </w:tc>
        <w:tc>
          <w:tcPr>
            <w:tcW w:w="33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  <w:r w:rsidR="00007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 any surgery</w:t>
            </w:r>
          </w:p>
        </w:tc>
        <w:tc>
          <w:tcPr>
            <w:tcW w:w="342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00745D" w:rsidRPr="00D80CAA" w:rsidTr="00BC162B">
        <w:trPr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745D" w:rsidRPr="00190B63" w:rsidRDefault="0000745D" w:rsidP="00750D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Postop ICU</w:t>
            </w:r>
            <w:r w:rsid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/PACU arrival </w:t>
            </w:r>
            <w:r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date</w:t>
            </w:r>
            <w:r w:rsid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(s) </w:t>
            </w:r>
            <w:r w:rsidR="00F35397" w:rsidRPr="00190B63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had surgery)</w:t>
            </w:r>
          </w:p>
        </w:tc>
        <w:tc>
          <w:tcPr>
            <w:tcW w:w="33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745D" w:rsidRPr="00D80CAA" w:rsidRDefault="0000745D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 any surgery</w:t>
            </w:r>
          </w:p>
        </w:tc>
        <w:tc>
          <w:tcPr>
            <w:tcW w:w="342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45D" w:rsidRPr="00D80CAA" w:rsidRDefault="0000745D" w:rsidP="00D207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D80CAA" w:rsidRPr="00D80CAA" w:rsidTr="00BC162B">
        <w:trPr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BC162B" w:rsidP="00D80CA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THERAPIES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162B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 w:rsidRPr="00BC162B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Mechanical Vent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48156B" w:rsidRDefault="006E1A2D" w:rsidP="006E1A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mechanical vent during encounter (Y/N)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E1A2D" w:rsidRPr="00D87ED7" w:rsidTr="006D5D29">
        <w:trPr>
          <w:cantSplit/>
          <w:trHeight w:val="588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F35397" w:rsidRPr="00750DA7" w:rsidRDefault="006E1A2D" w:rsidP="00E53DF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Count of mechanica</w:t>
            </w:r>
            <w:r w:rsidR="00E53DF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l vent episodes </w:t>
            </w:r>
            <w:r w:rsidR="00F35397"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7ED7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7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7ED7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7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E1A2D" w:rsidRPr="00D87ED7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750DA7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instance of mechanical vent at CICU start (Y/N)</w:t>
            </w:r>
          </w:p>
          <w:p w:rsidR="00F35397" w:rsidRPr="00750DA7" w:rsidRDefault="00F35397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7ED7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7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7ED7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7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00745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F35397" w:rsidRPr="00750DA7" w:rsidRDefault="0000745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EARLIEST Intubation date</w:t>
            </w:r>
          </w:p>
          <w:p w:rsidR="0000745D" w:rsidRPr="00750DA7" w:rsidRDefault="00F35397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F35397" w:rsidRPr="00750DA7" w:rsidRDefault="006E1A2D" w:rsidP="0048156B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mechanical vent at CICU end (Y/N)</w:t>
            </w:r>
            <w:r w:rsid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F35397"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00745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750DA7" w:rsidRDefault="0000745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LATEST extubation date</w:t>
            </w:r>
            <w:r w:rsid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48156B"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750DA7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extubation marked as unplanned (Y/N)</w:t>
            </w:r>
            <w:r w:rsid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48156B"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A2D" w:rsidRPr="00750DA7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reintubation within 48 hours of prior extubation</w:t>
            </w:r>
            <w:r w:rsid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48156B" w:rsidRPr="00750DA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(if on vent)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BC162B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 w:rsidRPr="00BC162B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Venous Lines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48156B" w:rsidRDefault="006E1A2D" w:rsidP="006E1A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venous lines during encounter (Y/N)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074946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Count of venous lines during encounter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074946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line present at CICU start (Y/N)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00745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074946" w:rsidRDefault="0000745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EARLIEST line start date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074946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line present at CICU discharge (Y/N)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00745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074946" w:rsidRDefault="0000745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LATEST line end date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00745D" w:rsidRPr="00D80CAA" w:rsidRDefault="0000745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074946" w:rsidRDefault="006E1A2D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Thrombosis associated with ANY line (Y/N)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lines)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</w:tr>
      <w:tr w:rsidR="006E1A2D" w:rsidRPr="00D80CAA" w:rsidTr="006D5D29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A2D" w:rsidRPr="00074946" w:rsidRDefault="006E1A2D" w:rsidP="0054443C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EARLIEST thrombosis date</w:t>
            </w:r>
            <w:r w:rsidR="0054443C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a thrombosis</w:t>
            </w:r>
            <w:r w:rsidR="00750DA7" w:rsidRPr="0007494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A2D" w:rsidRPr="00D80CAA" w:rsidRDefault="006E1A2D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A2D" w:rsidRPr="00D80CAA" w:rsidRDefault="0054443C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</w:tr>
      <w:tr w:rsidR="00E53DFD" w:rsidRPr="00D80CAA" w:rsidTr="008A2200">
        <w:trPr>
          <w:cantSplit/>
          <w:trHeight w:val="300"/>
        </w:trPr>
        <w:tc>
          <w:tcPr>
            <w:tcW w:w="957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THERAPIES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E53DFD" w:rsidRPr="00D80CAA" w:rsidTr="008A2200">
        <w:trPr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BC162B" w:rsidRPr="00BC162B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Vasoactive Infusions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D80CAA" w:rsidRPr="00D80CAA" w:rsidTr="008D72EB">
        <w:trPr>
          <w:cantSplit/>
          <w:trHeight w:val="588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8156B" w:rsidRDefault="00D80CAA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vasoactive infusions during encounter (Y/N)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337D5C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337D5C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Initial infusion start date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00745D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Initial course still active at discharge (Y/N)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0074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Initial course end date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0074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</w:t>
            </w:r>
            <w:r w:rsidR="000074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Final course still active at discharge (Y/N)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Final course end date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</w:tr>
      <w:tr w:rsidR="00D80CAA" w:rsidRPr="00D80CAA" w:rsidTr="008D72EB">
        <w:trPr>
          <w:cantSplit/>
          <w:trHeight w:val="300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440AF2" w:rsidRDefault="00D80CAA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Vasoactive agent(s)</w:t>
            </w:r>
            <w:r w:rsidR="00440AF2" w:rsidRPr="00440AF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(if had infusions)</w:t>
            </w:r>
          </w:p>
        </w:tc>
        <w:tc>
          <w:tcPr>
            <w:tcW w:w="333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Missing or adding ≥2 agent</w:t>
            </w:r>
          </w:p>
        </w:tc>
        <w:tc>
          <w:tcPr>
            <w:tcW w:w="3429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0CAA" w:rsidRPr="00D80CAA" w:rsidRDefault="00D80CAA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Missing or adding 1 agent</w:t>
            </w:r>
          </w:p>
        </w:tc>
      </w:tr>
      <w:tr w:rsidR="00BC162B" w:rsidRPr="00D80CAA" w:rsidTr="00BC162B">
        <w:trPr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COMPLICATIONS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162B" w:rsidRPr="00BC162B" w:rsidTr="00BC162B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Cardiovascular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BC162B" w:rsidRPr="00BC162B" w:rsidRDefault="00BC162B" w:rsidP="008A2200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Cardiac arrest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Arrest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Arrest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ECPR for ANY arrest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Endocarditis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Pericardial effusion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Pericardial effusion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971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Arrhythmia requiring therapy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8F1F79" w:rsidTr="008D72EB">
        <w:trPr>
          <w:gridAfter w:val="1"/>
          <w:wAfter w:w="18" w:type="dxa"/>
          <w:cantSplit/>
          <w:trHeight w:val="395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Arrhythmia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8F1F79" w:rsidTr="008D72EB">
        <w:trPr>
          <w:gridAfter w:val="1"/>
          <w:wAfter w:w="18" w:type="dxa"/>
          <w:cantSplit/>
          <w:trHeight w:val="44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Arrhythmia start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F1F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8F1F79" w:rsidTr="008D72EB">
        <w:trPr>
          <w:gridAfter w:val="1"/>
          <w:wAfter w:w="18" w:type="dxa"/>
          <w:cantSplit/>
          <w:trHeight w:val="386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Arrhythmia end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588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Count of each arrhythmia type (atrial, ventricular, </w:t>
            </w:r>
            <w:proofErr w:type="spellStart"/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etc</w:t>
            </w:r>
            <w:proofErr w:type="spellEnd"/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Still treating ANY arrhythmia at CICU discharge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arrhythmia treated w/ drug therapy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588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bookmarkStart w:id="0" w:name="_GoBack"/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arrhythmia treated w/ cardioversion/defibrillator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bookmarkEnd w:id="0"/>
      <w:tr w:rsidR="00E53DFD" w:rsidRPr="00D80CAA" w:rsidTr="008A2200">
        <w:trPr>
          <w:cantSplit/>
          <w:trHeight w:val="300"/>
        </w:trPr>
        <w:tc>
          <w:tcPr>
            <w:tcW w:w="957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COMPLICATIONS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E53DFD" w:rsidRPr="00D80CAA" w:rsidTr="008A2200">
        <w:trPr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E53DFD" w:rsidRPr="00D80CAA" w:rsidRDefault="00E53DFD" w:rsidP="008A22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arrhythmia treated w/ permanent pacemaker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arrhythmia treated w/ temporary pacemaker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Mechanical circulatory support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Count of mechanical circulatory support runs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8D72EB">
        <w:trPr>
          <w:gridAfter w:val="1"/>
          <w:wAfter w:w="18" w:type="dxa"/>
          <w:cantSplit/>
          <w:trHeight w:val="449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A2200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</w:t>
            </w: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irc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support start date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8D72EB">
        <w:trPr>
          <w:gridAfter w:val="1"/>
          <w:wAfter w:w="18" w:type="dxa"/>
          <w:cantSplit/>
          <w:trHeight w:val="485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8F1F79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</w:t>
            </w: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irc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support 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end</w:t>
            </w: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date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ECMO run w/active CPR at cannulation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ANY ECMO run w/CPR within 2 hours pre-cannula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ANY </w:t>
            </w:r>
            <w:proofErr w:type="spellStart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mech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circ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support at CICU start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48156B" w:rsidRDefault="00BC162B" w:rsidP="006E1A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ANY </w:t>
            </w:r>
            <w:proofErr w:type="spellStart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mech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circ</w:t>
            </w:r>
            <w:proofErr w:type="spellEnd"/>
            <w:r w:rsidRPr="0048156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support at CICU end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Pulmonary vein obstruction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Pulmonary vein obstruction date</w:t>
            </w: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Systemic vein obstruction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Systemic vein obstruction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Listed for heart transplant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Date listed for heart transplant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8D72EB" w:rsidRPr="00BC162B" w:rsidTr="00D70773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Procedural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6E1A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Bleeding requiring reoperation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6E1A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Unplanned reoperation/reintervention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8D72EB">
        <w:trPr>
          <w:gridAfter w:val="1"/>
          <w:wAfter w:w="18" w:type="dxa"/>
          <w:cantSplit/>
          <w:trHeight w:val="4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Open sternum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8D72EB">
        <w:trPr>
          <w:gridAfter w:val="1"/>
          <w:wAfter w:w="18" w:type="dxa"/>
          <w:cantSplit/>
          <w:trHeight w:val="43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Intraoperative death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</w:tbl>
    <w:p w:rsidR="008D72EB" w:rsidRDefault="008D72EB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330"/>
        <w:gridCol w:w="9"/>
        <w:gridCol w:w="3411"/>
        <w:gridCol w:w="18"/>
      </w:tblGrid>
      <w:tr w:rsidR="008D72EB" w:rsidRPr="00D80CAA" w:rsidTr="00D70773">
        <w:trPr>
          <w:cantSplit/>
          <w:trHeight w:val="300"/>
        </w:trPr>
        <w:tc>
          <w:tcPr>
            <w:tcW w:w="957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COMPLICATIONS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8D72EB" w:rsidRPr="00D80CAA" w:rsidTr="00D70773">
        <w:trPr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8D72EB" w:rsidRPr="00BC162B" w:rsidTr="00D70773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Respiratory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Chylothorax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54443C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Chylothorax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F1F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chylothorax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chylothorax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1D62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Pleural effusion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54443C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Pleural effusion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pleural effusion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pleural effusion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Pneumothorax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Pneumothorax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pneumothorax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pneumothorax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Hemothorax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54443C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Hemothorax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hemothorax (Y/N)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8F1F7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8F1F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Chest tube for hemothorax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A654BB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654B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ARDS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A654BB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A654B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ARDS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A654BB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654B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Pulmonary embolism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A654BB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A654BB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Pulmonary embolism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8D72EB" w:rsidRPr="00BC162B" w:rsidTr="00D70773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Infectious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2D3FB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D3FB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Pneumonia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2D3FB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2D3FB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Pneumonia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2D3FB9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D3FB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CA-BSI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2D3FB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2D3FB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CA-BSI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2D3FB9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2D3FB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CA-BSI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3B21A5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B21A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Sepsis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Incorrect response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3B21A5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3B21A5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Sepsis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3B21A5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B21A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Superficial SSI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3B21A5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3B21A5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Superficial SSI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ncorrect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D72EB" w:rsidRDefault="008D72EB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330"/>
        <w:gridCol w:w="9"/>
        <w:gridCol w:w="3411"/>
        <w:gridCol w:w="18"/>
      </w:tblGrid>
      <w:tr w:rsidR="008D72EB" w:rsidRPr="00D80CAA" w:rsidTr="00D70773">
        <w:trPr>
          <w:cantSplit/>
          <w:trHeight w:val="300"/>
        </w:trPr>
        <w:tc>
          <w:tcPr>
            <w:tcW w:w="957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COMPLICATIONS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8D72EB" w:rsidRPr="00D80CAA" w:rsidTr="00D70773">
        <w:trPr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eastAsia="Times New Roman"/>
                <w:color w:val="000000"/>
              </w:rPr>
            </w:pPr>
            <w:r w:rsidRPr="00D80CA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Major Discrepancy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:rsidR="008D72EB" w:rsidRPr="00D80CAA" w:rsidRDefault="008D72EB" w:rsidP="00D7077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Minor Discrepancy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4276E3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276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Deep SSI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5E3196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5E319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Deep SSI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5E3196" w:rsidRDefault="00BC162B" w:rsidP="00BC114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5E319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Deep SSI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ncorrect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0074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5E3196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5E31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Meningitis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D80C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5E3196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5E319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Meningitis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1D62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E26890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268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UTI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00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UTI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UTI date(s)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ncorrect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date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72EB" w:rsidRPr="00BC162B" w:rsidTr="00D70773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Neuro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Stroke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Stroke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Seizure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Seizure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IVH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IVH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Intracranial hemorrhage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Intracranial hemorrhage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Brain death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1D629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Brain death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N/A 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Paralyzed diaphragm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Paralyzed diaphragm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Vocal cord dysfunction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Vocal cord dysfunction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8D72EB" w:rsidRPr="00BC162B" w:rsidTr="00D70773">
        <w:trPr>
          <w:cantSplit/>
          <w:trHeight w:val="300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szCs w:val="22"/>
              </w:rPr>
              <w:t>GI / Other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8D72EB" w:rsidRPr="00BC162B" w:rsidRDefault="008D72EB" w:rsidP="00D70773">
            <w:pPr>
              <w:rPr>
                <w:rFonts w:ascii="Calibri" w:eastAsia="Times New Roman" w:hAnsi="Calibri" w:cs="Calibri"/>
                <w:smallCaps/>
                <w:color w:val="000000"/>
                <w:sz w:val="22"/>
                <w:szCs w:val="22"/>
              </w:rPr>
            </w:pP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Hepatic failure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Hepatic failure date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8" w:space="0" w:color="00000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NEC (Y/N)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NEC count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6E1A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NEC date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1D62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 i</w:t>
            </w: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ncorrect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0074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Pressure ulcer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  <w:tr w:rsidR="00BC162B" w:rsidRPr="00D80CAA" w:rsidTr="00BC162B">
        <w:trPr>
          <w:gridAfter w:val="1"/>
          <w:wAfter w:w="18" w:type="dxa"/>
          <w:cantSplit/>
          <w:trHeight w:val="32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162B" w:rsidRPr="00092892" w:rsidRDefault="00BC162B" w:rsidP="00D80CA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9289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Hypoglycemia (Y/N)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62B" w:rsidRPr="00D80CAA" w:rsidRDefault="00BC162B" w:rsidP="008A2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0C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Incorrect response</w:t>
            </w:r>
          </w:p>
        </w:tc>
      </w:tr>
    </w:tbl>
    <w:p w:rsidR="009712D2" w:rsidRPr="00A22E37" w:rsidRDefault="009712D2" w:rsidP="00872BAB"/>
    <w:sectPr w:rsidR="009712D2" w:rsidRPr="00A22E37" w:rsidSect="00081D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AD" w:rsidRDefault="001E17AD" w:rsidP="00A22E37">
      <w:r>
        <w:separator/>
      </w:r>
    </w:p>
  </w:endnote>
  <w:endnote w:type="continuationSeparator" w:id="0">
    <w:p w:rsidR="001E17AD" w:rsidRDefault="001E17AD" w:rsidP="00A2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AD" w:rsidRDefault="001E17AD" w:rsidP="00A22E37">
      <w:r>
        <w:separator/>
      </w:r>
    </w:p>
  </w:footnote>
  <w:footnote w:type="continuationSeparator" w:id="0">
    <w:p w:rsidR="001E17AD" w:rsidRDefault="001E17AD" w:rsidP="00A2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00" w:rsidRDefault="008A2200">
    <w:pPr>
      <w:pStyle w:val="Header"/>
    </w:pPr>
    <w:r>
      <w:t>PC</w:t>
    </w:r>
    <w:r w:rsidRPr="00A22E37">
      <w:rPr>
        <w:vertAlign w:val="superscript"/>
      </w:rPr>
      <w:t>4</w:t>
    </w:r>
    <w:r>
      <w:t xml:space="preserve"> Discrepancy Classification – v1 Data</w:t>
    </w:r>
  </w:p>
  <w:p w:rsidR="008A2200" w:rsidRDefault="008A2200">
    <w:pPr>
      <w:pStyle w:val="Header"/>
    </w:pPr>
    <w:r>
      <w:t>01/30/2015</w:t>
    </w:r>
  </w:p>
  <w:p w:rsidR="008A2200" w:rsidRDefault="008A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E"/>
    <w:rsid w:val="0000745D"/>
    <w:rsid w:val="00061F52"/>
    <w:rsid w:val="00074946"/>
    <w:rsid w:val="00081D9C"/>
    <w:rsid w:val="00092892"/>
    <w:rsid w:val="00123F0E"/>
    <w:rsid w:val="00142D8B"/>
    <w:rsid w:val="00157D61"/>
    <w:rsid w:val="00170263"/>
    <w:rsid w:val="00190B63"/>
    <w:rsid w:val="001D6297"/>
    <w:rsid w:val="001E17AD"/>
    <w:rsid w:val="001E7013"/>
    <w:rsid w:val="00295BBD"/>
    <w:rsid w:val="002D3FB9"/>
    <w:rsid w:val="002E6E88"/>
    <w:rsid w:val="00337D5C"/>
    <w:rsid w:val="003628FD"/>
    <w:rsid w:val="003B21A5"/>
    <w:rsid w:val="003C01C6"/>
    <w:rsid w:val="003C4C52"/>
    <w:rsid w:val="003D75C8"/>
    <w:rsid w:val="004276E3"/>
    <w:rsid w:val="00440AF2"/>
    <w:rsid w:val="00454E38"/>
    <w:rsid w:val="0048156B"/>
    <w:rsid w:val="004E5FD6"/>
    <w:rsid w:val="005011FD"/>
    <w:rsid w:val="0054443C"/>
    <w:rsid w:val="005B5BD1"/>
    <w:rsid w:val="005C0AA9"/>
    <w:rsid w:val="005E3196"/>
    <w:rsid w:val="00613B9F"/>
    <w:rsid w:val="006A172E"/>
    <w:rsid w:val="006D5D29"/>
    <w:rsid w:val="006E1A2D"/>
    <w:rsid w:val="0071422E"/>
    <w:rsid w:val="00715006"/>
    <w:rsid w:val="00750DA7"/>
    <w:rsid w:val="007655D3"/>
    <w:rsid w:val="00781144"/>
    <w:rsid w:val="00782E82"/>
    <w:rsid w:val="0082446B"/>
    <w:rsid w:val="00843C2D"/>
    <w:rsid w:val="00872BAB"/>
    <w:rsid w:val="008A2200"/>
    <w:rsid w:val="008C1FB1"/>
    <w:rsid w:val="008D72EB"/>
    <w:rsid w:val="008F1F79"/>
    <w:rsid w:val="00917DE3"/>
    <w:rsid w:val="00937DE7"/>
    <w:rsid w:val="00943C99"/>
    <w:rsid w:val="00956A9A"/>
    <w:rsid w:val="009712D2"/>
    <w:rsid w:val="009D33B7"/>
    <w:rsid w:val="00A22E37"/>
    <w:rsid w:val="00A44F66"/>
    <w:rsid w:val="00A654BB"/>
    <w:rsid w:val="00BA036F"/>
    <w:rsid w:val="00BC1147"/>
    <w:rsid w:val="00BC162B"/>
    <w:rsid w:val="00C15B19"/>
    <w:rsid w:val="00C260A1"/>
    <w:rsid w:val="00CA1381"/>
    <w:rsid w:val="00D20760"/>
    <w:rsid w:val="00D4061B"/>
    <w:rsid w:val="00D80CAA"/>
    <w:rsid w:val="00D87ED7"/>
    <w:rsid w:val="00E26890"/>
    <w:rsid w:val="00E53DFD"/>
    <w:rsid w:val="00E75761"/>
    <w:rsid w:val="00EB2D41"/>
    <w:rsid w:val="00EC7656"/>
    <w:rsid w:val="00F35397"/>
    <w:rsid w:val="00F43021"/>
    <w:rsid w:val="00FB7264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61F52"/>
    <w:pPr>
      <w:tabs>
        <w:tab w:val="left" w:pos="450"/>
        <w:tab w:val="right" w:leader="underscore" w:pos="9350"/>
      </w:tabs>
      <w:spacing w:after="10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1F52"/>
    <w:pPr>
      <w:tabs>
        <w:tab w:val="right" w:leader="dot" w:pos="9346"/>
      </w:tabs>
      <w:spacing w:after="100"/>
      <w:ind w:left="1080"/>
    </w:pPr>
    <w:rPr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1F52"/>
    <w:pPr>
      <w:tabs>
        <w:tab w:val="right" w:leader="dot" w:pos="9350"/>
      </w:tabs>
      <w:spacing w:after="100"/>
      <w:ind w:left="720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37"/>
  </w:style>
  <w:style w:type="paragraph" w:styleId="Footer">
    <w:name w:val="footer"/>
    <w:basedOn w:val="Normal"/>
    <w:link w:val="FooterChar"/>
    <w:uiPriority w:val="99"/>
    <w:unhideWhenUsed/>
    <w:rsid w:val="00A22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61F52"/>
    <w:pPr>
      <w:tabs>
        <w:tab w:val="left" w:pos="450"/>
        <w:tab w:val="right" w:leader="underscore" w:pos="9350"/>
      </w:tabs>
      <w:spacing w:after="10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1F52"/>
    <w:pPr>
      <w:tabs>
        <w:tab w:val="right" w:leader="dot" w:pos="9346"/>
      </w:tabs>
      <w:spacing w:after="100"/>
      <w:ind w:left="1080"/>
    </w:pPr>
    <w:rPr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1F52"/>
    <w:pPr>
      <w:tabs>
        <w:tab w:val="right" w:leader="dot" w:pos="9350"/>
      </w:tabs>
      <w:spacing w:after="100"/>
      <w:ind w:left="720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37"/>
  </w:style>
  <w:style w:type="paragraph" w:styleId="Footer">
    <w:name w:val="footer"/>
    <w:basedOn w:val="Normal"/>
    <w:link w:val="FooterChar"/>
    <w:uiPriority w:val="99"/>
    <w:unhideWhenUsed/>
    <w:rsid w:val="00A22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5F44-97A6-4777-A5D3-89A4B77D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Janet</dc:creator>
  <cp:lastModifiedBy>Donohue, Janet</cp:lastModifiedBy>
  <cp:revision>8</cp:revision>
  <cp:lastPrinted>2015-01-15T22:59:00Z</cp:lastPrinted>
  <dcterms:created xsi:type="dcterms:W3CDTF">2015-01-30T20:56:00Z</dcterms:created>
  <dcterms:modified xsi:type="dcterms:W3CDTF">2015-01-30T21:20:00Z</dcterms:modified>
</cp:coreProperties>
</file>