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AE" w:rsidRDefault="00BD29AE" w:rsidP="00BD29AE">
      <w:pPr>
        <w:pStyle w:val="Bijschrift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Supplemental Table S1.</w:t>
      </w:r>
    </w:p>
    <w:p w:rsidR="00BD29AE" w:rsidRDefault="00BD29AE" w:rsidP="00BD29AE">
      <w:pPr>
        <w:pStyle w:val="Bijschrift"/>
        <w:rPr>
          <w:rFonts w:asciiTheme="majorHAnsi" w:hAnsiTheme="majorHAnsi"/>
          <w:i/>
          <w:lang w:val="en-US"/>
        </w:rPr>
      </w:pPr>
      <w:r w:rsidRPr="00851070">
        <w:rPr>
          <w:rFonts w:asciiTheme="majorHAnsi" w:hAnsiTheme="majorHAnsi"/>
          <w:b/>
          <w:lang w:val="en-US"/>
        </w:rPr>
        <w:br/>
      </w:r>
      <w:r w:rsidRPr="001F7F35">
        <w:rPr>
          <w:rFonts w:asciiTheme="majorHAnsi" w:hAnsiTheme="majorHAnsi"/>
          <w:i/>
          <w:lang w:val="en-US"/>
        </w:rPr>
        <w:t xml:space="preserve">Points for </w:t>
      </w:r>
      <w:r w:rsidRPr="00705EA1">
        <w:rPr>
          <w:rFonts w:asciiTheme="majorHAnsi" w:hAnsiTheme="majorHAnsi"/>
          <w:i/>
          <w:szCs w:val="24"/>
          <w:lang w:val="en-US"/>
        </w:rPr>
        <w:t xml:space="preserve">improvement of medication reviews in usual care as experienced by physicians and </w:t>
      </w:r>
      <w:r w:rsidR="00705EA1" w:rsidRPr="00705EA1">
        <w:rPr>
          <w:rFonts w:asciiTheme="majorHAnsi" w:hAnsiTheme="majorHAnsi" w:cstheme="minorHAnsi"/>
          <w:i/>
          <w:szCs w:val="24"/>
          <w:lang w:val="en-US"/>
        </w:rPr>
        <w:t xml:space="preserve">Responsible Licensed Practical Nurses </w:t>
      </w:r>
      <w:r w:rsidRPr="00705EA1">
        <w:rPr>
          <w:rFonts w:asciiTheme="majorHAnsi" w:hAnsiTheme="majorHAnsi"/>
          <w:i/>
          <w:szCs w:val="24"/>
          <w:lang w:val="en-US"/>
        </w:rPr>
        <w:t>before the intervention (baseline data of intervention and control group</w:t>
      </w:r>
      <w:r w:rsidRPr="00851070">
        <w:rPr>
          <w:rFonts w:asciiTheme="majorHAnsi" w:hAnsiTheme="majorHAnsi"/>
          <w:i/>
          <w:lang w:val="en-US"/>
        </w:rPr>
        <w:t>)</w:t>
      </w:r>
    </w:p>
    <w:p w:rsidR="00BD29AE" w:rsidRPr="00BD29AE" w:rsidRDefault="00BD29AE" w:rsidP="00BD29AE">
      <w:pPr>
        <w:rPr>
          <w:lang w:val="en-US"/>
        </w:rPr>
      </w:pPr>
    </w:p>
    <w:tbl>
      <w:tblPr>
        <w:tblStyle w:val="Lichtearcering1"/>
        <w:tblW w:w="9231" w:type="dxa"/>
        <w:tblLook w:val="04A0"/>
      </w:tblPr>
      <w:tblGrid>
        <w:gridCol w:w="4387"/>
        <w:gridCol w:w="392"/>
        <w:gridCol w:w="4103"/>
        <w:gridCol w:w="349"/>
      </w:tblGrid>
      <w:tr w:rsidR="00BD29AE" w:rsidRPr="00930402" w:rsidTr="00705EA1">
        <w:trPr>
          <w:cnfStyle w:val="100000000000"/>
          <w:trHeight w:val="270"/>
        </w:trPr>
        <w:tc>
          <w:tcPr>
            <w:cnfStyle w:val="001000000000"/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9AE" w:rsidRPr="00DA7D7B" w:rsidRDefault="00BD29AE" w:rsidP="00705EA1">
            <w:pPr>
              <w:jc w:val="center"/>
              <w:rPr>
                <w:rFonts w:asciiTheme="majorHAnsi" w:hAnsiTheme="majorHAnsi"/>
                <w:b w:val="0"/>
                <w:color w:val="auto"/>
                <w:lang w:val="en-US"/>
              </w:rPr>
            </w:pPr>
            <w:r w:rsidRPr="00930402">
              <w:rPr>
                <w:rFonts w:asciiTheme="majorHAnsi" w:hAnsiTheme="majorHAnsi"/>
                <w:b w:val="0"/>
                <w:color w:val="auto"/>
                <w:lang w:val="en-US"/>
              </w:rPr>
              <w:t>P</w:t>
            </w:r>
            <w:r w:rsidRPr="00DA7D7B">
              <w:rPr>
                <w:rFonts w:asciiTheme="majorHAnsi" w:hAnsiTheme="majorHAnsi"/>
                <w:b w:val="0"/>
                <w:color w:val="auto"/>
                <w:lang w:val="en-US"/>
              </w:rPr>
              <w:t>hysicians (N=14)*</w:t>
            </w: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BD29AE" w:rsidRPr="00930402" w:rsidRDefault="00BD29AE" w:rsidP="00705EA1">
            <w:pPr>
              <w:jc w:val="center"/>
              <w:cnfStyle w:val="100000000000"/>
              <w:rPr>
                <w:rFonts w:asciiTheme="majorHAnsi" w:hAnsiTheme="majorHAnsi"/>
                <w:b w:val="0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n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9AE" w:rsidRPr="00930402" w:rsidRDefault="00BD29AE" w:rsidP="00705EA1">
            <w:pPr>
              <w:jc w:val="center"/>
              <w:cnfStyle w:val="100000000000"/>
              <w:rPr>
                <w:rFonts w:asciiTheme="majorHAnsi" w:hAnsiTheme="majorHAnsi"/>
                <w:b w:val="0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LRPNs (N=14)</w:t>
            </w:r>
          </w:p>
        </w:tc>
        <w:tc>
          <w:tcPr>
            <w:tcW w:w="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D29AE" w:rsidRPr="00930402" w:rsidRDefault="00BD29AE" w:rsidP="00705EA1">
            <w:pPr>
              <w:jc w:val="center"/>
              <w:cnfStyle w:val="100000000000"/>
              <w:rPr>
                <w:rFonts w:asciiTheme="majorHAnsi" w:hAnsiTheme="majorHAnsi"/>
                <w:b w:val="0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n</w:t>
            </w:r>
          </w:p>
        </w:tc>
      </w:tr>
      <w:tr w:rsidR="00BD29AE" w:rsidRPr="00930402" w:rsidTr="00705EA1">
        <w:trPr>
          <w:cnfStyle w:val="000000100000"/>
          <w:trHeight w:val="537"/>
        </w:trPr>
        <w:tc>
          <w:tcPr>
            <w:cnfStyle w:val="001000000000"/>
            <w:tcW w:w="43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29AE" w:rsidRPr="00DA7D7B" w:rsidRDefault="00BD29AE" w:rsidP="00705EA1">
            <w:pPr>
              <w:spacing w:before="240"/>
              <w:rPr>
                <w:rFonts w:asciiTheme="majorHAnsi" w:hAnsiTheme="majorHAnsi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I</w:t>
            </w:r>
            <w:r w:rsidRPr="00DA7D7B">
              <w:rPr>
                <w:rFonts w:asciiTheme="majorHAnsi" w:hAnsiTheme="majorHAnsi"/>
                <w:lang w:val="en-US"/>
              </w:rPr>
              <w:t>nvolve nursing staff more (structural)**</w:t>
            </w:r>
          </w:p>
        </w:tc>
        <w:tc>
          <w:tcPr>
            <w:tcW w:w="3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29AE" w:rsidRPr="00930402" w:rsidRDefault="00BD29AE" w:rsidP="00705EA1">
            <w:pPr>
              <w:spacing w:before="240"/>
              <w:cnfStyle w:val="000000100000"/>
              <w:rPr>
                <w:rFonts w:asciiTheme="majorHAnsi" w:hAnsiTheme="majorHAnsi"/>
                <w:b/>
                <w:lang w:val="en-US"/>
              </w:rPr>
            </w:pPr>
            <w:r w:rsidRPr="00930402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29AE" w:rsidRPr="00930402" w:rsidRDefault="00BD29AE" w:rsidP="00705EA1">
            <w:pPr>
              <w:spacing w:before="240"/>
              <w:cnfStyle w:val="000000100000"/>
              <w:rPr>
                <w:rFonts w:asciiTheme="majorHAnsi" w:hAnsiTheme="majorHAnsi"/>
                <w:b/>
                <w:lang w:val="en-US"/>
              </w:rPr>
            </w:pPr>
            <w:r w:rsidRPr="00930402">
              <w:rPr>
                <w:rFonts w:asciiTheme="majorHAnsi" w:hAnsiTheme="majorHAnsi"/>
                <w:b/>
                <w:lang w:val="en-US"/>
              </w:rPr>
              <w:t>Evaluate medication more frequently or more thoroughly with the physician</w:t>
            </w:r>
          </w:p>
        </w:tc>
        <w:tc>
          <w:tcPr>
            <w:tcW w:w="3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29AE" w:rsidRPr="00930402" w:rsidRDefault="00BD29AE" w:rsidP="00705EA1">
            <w:pPr>
              <w:spacing w:before="240"/>
              <w:cnfStyle w:val="000000100000"/>
              <w:rPr>
                <w:rFonts w:asciiTheme="majorHAnsi" w:hAnsiTheme="majorHAnsi"/>
                <w:b/>
                <w:lang w:val="en-US"/>
              </w:rPr>
            </w:pPr>
            <w:r w:rsidRPr="00930402">
              <w:rPr>
                <w:rFonts w:asciiTheme="majorHAnsi" w:hAnsiTheme="majorHAnsi"/>
                <w:b/>
                <w:lang w:val="en-US"/>
              </w:rPr>
              <w:t>5</w:t>
            </w:r>
          </w:p>
        </w:tc>
      </w:tr>
      <w:tr w:rsidR="00BD29AE" w:rsidRPr="00930402" w:rsidTr="00705EA1">
        <w:trPr>
          <w:trHeight w:val="537"/>
        </w:trPr>
        <w:tc>
          <w:tcPr>
            <w:cnfStyle w:val="001000000000"/>
            <w:tcW w:w="4394" w:type="dxa"/>
            <w:shd w:val="clear" w:color="auto" w:fill="auto"/>
            <w:vAlign w:val="center"/>
          </w:tcPr>
          <w:p w:rsidR="00BD29AE" w:rsidRPr="00DA7D7B" w:rsidRDefault="00BD29AE" w:rsidP="00705EA1">
            <w:pPr>
              <w:rPr>
                <w:rFonts w:asciiTheme="majorHAnsi" w:hAnsiTheme="majorHAnsi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F</w:t>
            </w:r>
            <w:r w:rsidRPr="00DA7D7B">
              <w:rPr>
                <w:rFonts w:asciiTheme="majorHAnsi" w:hAnsiTheme="majorHAnsi"/>
                <w:lang w:val="en-US"/>
              </w:rPr>
              <w:t>ollow guidelines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000000"/>
              <w:rPr>
                <w:rFonts w:asciiTheme="majorHAnsi" w:hAnsiTheme="majorHAnsi"/>
                <w:b/>
                <w:lang w:val="en-US"/>
              </w:rPr>
            </w:pPr>
            <w:r w:rsidRPr="00930402">
              <w:rPr>
                <w:rFonts w:asciiTheme="majorHAnsi" w:hAnsiTheme="majorHAnsi"/>
                <w:b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000000"/>
              <w:rPr>
                <w:rFonts w:asciiTheme="majorHAnsi" w:hAnsiTheme="majorHAnsi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More time to conduct reviews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000000"/>
              <w:rPr>
                <w:rFonts w:asciiTheme="majorHAnsi" w:hAnsiTheme="majorHAnsi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2</w:t>
            </w:r>
          </w:p>
        </w:tc>
      </w:tr>
      <w:tr w:rsidR="00BD29AE" w:rsidRPr="00930402" w:rsidTr="00705EA1">
        <w:trPr>
          <w:cnfStyle w:val="000000100000"/>
          <w:trHeight w:val="537"/>
        </w:trPr>
        <w:tc>
          <w:tcPr>
            <w:cnfStyle w:val="001000000000"/>
            <w:tcW w:w="4394" w:type="dxa"/>
            <w:shd w:val="clear" w:color="auto" w:fill="auto"/>
            <w:vAlign w:val="center"/>
          </w:tcPr>
          <w:p w:rsidR="00BD29AE" w:rsidRPr="00930402" w:rsidRDefault="00BD29AE" w:rsidP="00705EA1">
            <w:pPr>
              <w:rPr>
                <w:rFonts w:asciiTheme="majorHAnsi" w:hAnsiTheme="majorHAnsi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P</w:t>
            </w:r>
            <w:r w:rsidRPr="00DA7D7B">
              <w:rPr>
                <w:rFonts w:asciiTheme="majorHAnsi" w:hAnsiTheme="majorHAnsi"/>
                <w:lang w:val="en-US"/>
              </w:rPr>
              <w:t xml:space="preserve">erform reviews more frequently and/or </w:t>
            </w:r>
            <w:r w:rsidRPr="00930402">
              <w:rPr>
                <w:rFonts w:asciiTheme="majorHAnsi" w:hAnsiTheme="majorHAnsi"/>
                <w:lang w:val="en-US"/>
              </w:rPr>
              <w:t>in a more structured manner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100000"/>
              <w:rPr>
                <w:rFonts w:asciiTheme="majorHAnsi" w:hAnsiTheme="majorHAnsi"/>
                <w:b/>
                <w:lang w:val="en-US"/>
              </w:rPr>
            </w:pPr>
            <w:r w:rsidRPr="00930402">
              <w:rPr>
                <w:rFonts w:asciiTheme="majorHAnsi" w:hAnsiTheme="majorHAnsi"/>
                <w:b/>
                <w:lang w:val="en-US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100000"/>
              <w:rPr>
                <w:rFonts w:asciiTheme="majorHAnsi" w:hAnsiTheme="majorHAnsi"/>
                <w:lang w:val="en-US"/>
              </w:rPr>
            </w:pPr>
            <w:r w:rsidRPr="00930402">
              <w:rPr>
                <w:rFonts w:asciiTheme="majorHAnsi" w:hAnsiTheme="majorHAnsi"/>
                <w:color w:val="222222"/>
                <w:lang w:val="en-US"/>
              </w:rPr>
              <w:t>More closely in line with each other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100000"/>
              <w:rPr>
                <w:rFonts w:asciiTheme="majorHAnsi" w:hAnsiTheme="majorHAnsi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2</w:t>
            </w:r>
          </w:p>
        </w:tc>
      </w:tr>
      <w:tr w:rsidR="00BD29AE" w:rsidRPr="00930402" w:rsidTr="00705EA1">
        <w:trPr>
          <w:trHeight w:val="537"/>
        </w:trPr>
        <w:tc>
          <w:tcPr>
            <w:cnfStyle w:val="001000000000"/>
            <w:tcW w:w="4394" w:type="dxa"/>
            <w:shd w:val="clear" w:color="auto" w:fill="auto"/>
            <w:vAlign w:val="center"/>
          </w:tcPr>
          <w:p w:rsidR="00BD29AE" w:rsidRPr="00DA7D7B" w:rsidRDefault="00BD29AE" w:rsidP="00705EA1">
            <w:pPr>
              <w:rPr>
                <w:rFonts w:asciiTheme="majorHAnsi" w:hAnsiTheme="majorHAnsi"/>
                <w:b w:val="0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R</w:t>
            </w:r>
            <w:r w:rsidRPr="00DA7D7B">
              <w:rPr>
                <w:rFonts w:asciiTheme="majorHAnsi" w:hAnsiTheme="majorHAnsi"/>
                <w:lang w:val="en-US"/>
              </w:rPr>
              <w:t>egular appointments with pharmacist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000000"/>
              <w:rPr>
                <w:rFonts w:asciiTheme="majorHAnsi" w:hAnsiTheme="majorHAnsi"/>
                <w:b/>
                <w:lang w:val="en-US"/>
              </w:rPr>
            </w:pPr>
            <w:r w:rsidRPr="00930402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000000"/>
              <w:rPr>
                <w:rFonts w:asciiTheme="majorHAnsi" w:hAnsiTheme="majorHAnsi"/>
                <w:b/>
                <w:lang w:val="en-US"/>
              </w:rPr>
            </w:pPr>
            <w:r w:rsidRPr="00930402">
              <w:rPr>
                <w:rFonts w:asciiTheme="majorHAnsi" w:hAnsiTheme="majorHAnsi"/>
                <w:b/>
                <w:lang w:val="en-US"/>
              </w:rPr>
              <w:t>Pharmacist presence: more awareness regarding medication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000000"/>
              <w:rPr>
                <w:rFonts w:asciiTheme="majorHAnsi" w:hAnsiTheme="majorHAnsi"/>
                <w:b/>
                <w:lang w:val="en-US"/>
              </w:rPr>
            </w:pPr>
            <w:r w:rsidRPr="00930402">
              <w:rPr>
                <w:rFonts w:asciiTheme="majorHAnsi" w:hAnsiTheme="majorHAnsi"/>
                <w:b/>
                <w:lang w:val="en-US"/>
              </w:rPr>
              <w:t>1</w:t>
            </w:r>
          </w:p>
        </w:tc>
      </w:tr>
      <w:tr w:rsidR="00BD29AE" w:rsidRPr="00930402" w:rsidTr="00705EA1">
        <w:trPr>
          <w:cnfStyle w:val="000000100000"/>
          <w:trHeight w:val="537"/>
        </w:trPr>
        <w:tc>
          <w:tcPr>
            <w:cnfStyle w:val="001000000000"/>
            <w:tcW w:w="4394" w:type="dxa"/>
            <w:shd w:val="clear" w:color="auto" w:fill="auto"/>
            <w:vAlign w:val="center"/>
          </w:tcPr>
          <w:p w:rsidR="00BD29AE" w:rsidRPr="00DA7D7B" w:rsidRDefault="00BD29AE" w:rsidP="00705EA1">
            <w:pPr>
              <w:rPr>
                <w:rFonts w:asciiTheme="majorHAnsi" w:hAnsiTheme="majorHAnsi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P</w:t>
            </w:r>
            <w:r w:rsidRPr="00DA7D7B">
              <w:rPr>
                <w:rFonts w:asciiTheme="majorHAnsi" w:hAnsiTheme="majorHAnsi"/>
                <w:lang w:val="en-US"/>
              </w:rPr>
              <w:t>articipation of knowledgeable pharmacist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100000"/>
              <w:rPr>
                <w:rFonts w:asciiTheme="majorHAnsi" w:hAnsiTheme="majorHAnsi"/>
                <w:b/>
                <w:lang w:val="en-US"/>
              </w:rPr>
            </w:pPr>
            <w:r w:rsidRPr="00930402">
              <w:rPr>
                <w:rFonts w:asciiTheme="majorHAnsi" w:hAnsiTheme="majorHAnsi"/>
                <w:b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100000"/>
              <w:rPr>
                <w:rFonts w:asciiTheme="majorHAnsi" w:hAnsiTheme="majorHAnsi"/>
                <w:b/>
                <w:lang w:val="en-US"/>
              </w:rPr>
            </w:pPr>
            <w:r w:rsidRPr="00930402">
              <w:rPr>
                <w:rFonts w:asciiTheme="majorHAnsi" w:hAnsiTheme="majorHAnsi"/>
                <w:b/>
                <w:lang w:val="en-US"/>
              </w:rPr>
              <w:t>Enhanced reports of observation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100000"/>
              <w:rPr>
                <w:rFonts w:asciiTheme="majorHAnsi" w:hAnsiTheme="majorHAnsi"/>
                <w:b/>
                <w:lang w:val="en-US"/>
              </w:rPr>
            </w:pPr>
            <w:r w:rsidRPr="00930402">
              <w:rPr>
                <w:rFonts w:asciiTheme="majorHAnsi" w:hAnsiTheme="majorHAnsi"/>
                <w:b/>
                <w:lang w:val="en-US"/>
              </w:rPr>
              <w:t>1</w:t>
            </w:r>
          </w:p>
        </w:tc>
      </w:tr>
      <w:tr w:rsidR="00BD29AE" w:rsidRPr="00930402" w:rsidTr="00705EA1">
        <w:trPr>
          <w:trHeight w:val="537"/>
        </w:trPr>
        <w:tc>
          <w:tcPr>
            <w:cnfStyle w:val="001000000000"/>
            <w:tcW w:w="4394" w:type="dxa"/>
            <w:shd w:val="clear" w:color="auto" w:fill="auto"/>
            <w:vAlign w:val="center"/>
          </w:tcPr>
          <w:p w:rsidR="00BD29AE" w:rsidRPr="00930402" w:rsidRDefault="00BD29AE" w:rsidP="00705EA1">
            <w:pPr>
              <w:rPr>
                <w:rFonts w:asciiTheme="majorHAnsi" w:hAnsiTheme="majorHAnsi"/>
                <w:b w:val="0"/>
                <w:lang w:val="en-US"/>
              </w:rPr>
            </w:pPr>
          </w:p>
          <w:p w:rsidR="00BD29AE" w:rsidRPr="00DA7D7B" w:rsidRDefault="00BD29AE" w:rsidP="00705EA1">
            <w:pPr>
              <w:rPr>
                <w:rFonts w:asciiTheme="majorHAnsi" w:hAnsiTheme="majorHAnsi"/>
                <w:b w:val="0"/>
                <w:lang w:val="en-US"/>
              </w:rPr>
            </w:pPr>
            <w:r w:rsidRPr="00DA7D7B">
              <w:rPr>
                <w:rFonts w:asciiTheme="majorHAnsi" w:hAnsiTheme="majorHAnsi"/>
                <w:b w:val="0"/>
                <w:lang w:val="en-US"/>
              </w:rPr>
              <w:t>Topic-driven review instead of medication list driven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000000"/>
              <w:rPr>
                <w:rFonts w:asciiTheme="majorHAnsi" w:hAnsiTheme="majorHAnsi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000000"/>
              <w:rPr>
                <w:rFonts w:asciiTheme="majorHAnsi" w:hAnsiTheme="majorHAnsi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More frequent discussions about residents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000000"/>
              <w:rPr>
                <w:rFonts w:asciiTheme="majorHAnsi" w:hAnsiTheme="majorHAnsi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1</w:t>
            </w:r>
          </w:p>
        </w:tc>
      </w:tr>
      <w:tr w:rsidR="00BD29AE" w:rsidRPr="00930402" w:rsidTr="00705EA1">
        <w:trPr>
          <w:cnfStyle w:val="000000100000"/>
          <w:trHeight w:val="537"/>
        </w:trPr>
        <w:tc>
          <w:tcPr>
            <w:cnfStyle w:val="001000000000"/>
            <w:tcW w:w="4394" w:type="dxa"/>
            <w:shd w:val="clear" w:color="auto" w:fill="auto"/>
            <w:vAlign w:val="center"/>
          </w:tcPr>
          <w:p w:rsidR="00BD29AE" w:rsidRPr="00DA7D7B" w:rsidRDefault="00BD29AE" w:rsidP="00705EA1">
            <w:pPr>
              <w:rPr>
                <w:rFonts w:asciiTheme="majorHAnsi" w:hAnsiTheme="majorHAnsi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A</w:t>
            </w:r>
            <w:r w:rsidRPr="00DA7D7B">
              <w:rPr>
                <w:rFonts w:asciiTheme="majorHAnsi" w:hAnsiTheme="majorHAnsi"/>
                <w:lang w:val="en-US"/>
              </w:rPr>
              <w:t>cquire more pharmaceutical knowledge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100000"/>
              <w:rPr>
                <w:rFonts w:asciiTheme="majorHAnsi" w:hAnsiTheme="majorHAnsi"/>
                <w:b/>
                <w:lang w:val="en-US"/>
              </w:rPr>
            </w:pPr>
            <w:r w:rsidRPr="00930402">
              <w:rPr>
                <w:rFonts w:asciiTheme="majorHAnsi" w:hAnsiTheme="majorHAnsi"/>
                <w:b/>
                <w:lang w:val="en-US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100000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100000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BD29AE" w:rsidRPr="00930402" w:rsidTr="00705EA1">
        <w:trPr>
          <w:trHeight w:val="537"/>
        </w:trPr>
        <w:tc>
          <w:tcPr>
            <w:cnfStyle w:val="001000000000"/>
            <w:tcW w:w="4394" w:type="dxa"/>
            <w:shd w:val="clear" w:color="auto" w:fill="auto"/>
            <w:vAlign w:val="center"/>
          </w:tcPr>
          <w:p w:rsidR="00BD29AE" w:rsidRPr="00930402" w:rsidRDefault="00BD29AE" w:rsidP="00705EA1">
            <w:pPr>
              <w:rPr>
                <w:rFonts w:asciiTheme="majorHAnsi" w:hAnsiTheme="majorHAnsi"/>
                <w:b w:val="0"/>
                <w:lang w:val="en-US"/>
              </w:rPr>
            </w:pPr>
          </w:p>
          <w:p w:rsidR="00BD29AE" w:rsidRPr="00DA7D7B" w:rsidRDefault="00BD29AE" w:rsidP="00705EA1">
            <w:pPr>
              <w:rPr>
                <w:rFonts w:asciiTheme="majorHAnsi" w:hAnsiTheme="majorHAnsi"/>
                <w:b w:val="0"/>
                <w:lang w:val="en-US"/>
              </w:rPr>
            </w:pPr>
            <w:r w:rsidRPr="00DA7D7B">
              <w:rPr>
                <w:rFonts w:asciiTheme="majorHAnsi" w:hAnsiTheme="majorHAnsi"/>
                <w:b w:val="0"/>
                <w:lang w:val="en-US"/>
              </w:rPr>
              <w:t>Take the time to examine resident-specific information during the review</w:t>
            </w:r>
          </w:p>
          <w:p w:rsidR="00BD29AE" w:rsidRPr="00930402" w:rsidRDefault="00BD29AE" w:rsidP="00705EA1">
            <w:pPr>
              <w:rPr>
                <w:rFonts w:asciiTheme="majorHAnsi" w:hAnsiTheme="majorHAnsi"/>
                <w:b w:val="0"/>
                <w:lang w:val="en-US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000000"/>
              <w:rPr>
                <w:rFonts w:asciiTheme="majorHAnsi" w:hAnsiTheme="majorHAnsi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00000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000000"/>
              <w:rPr>
                <w:rFonts w:asciiTheme="majorHAnsi" w:hAnsiTheme="majorHAnsi"/>
                <w:lang w:val="en-US"/>
              </w:rPr>
            </w:pPr>
          </w:p>
        </w:tc>
      </w:tr>
      <w:tr w:rsidR="00BD29AE" w:rsidRPr="00930402" w:rsidTr="00705EA1">
        <w:trPr>
          <w:cnfStyle w:val="000000100000"/>
          <w:trHeight w:val="526"/>
        </w:trPr>
        <w:tc>
          <w:tcPr>
            <w:cnfStyle w:val="001000000000"/>
            <w:tcW w:w="4394" w:type="dxa"/>
            <w:shd w:val="clear" w:color="auto" w:fill="auto"/>
            <w:vAlign w:val="center"/>
          </w:tcPr>
          <w:p w:rsidR="00BD29AE" w:rsidRPr="00DA7D7B" w:rsidRDefault="00BD29AE" w:rsidP="00705EA1">
            <w:pPr>
              <w:rPr>
                <w:rFonts w:asciiTheme="majorHAnsi" w:hAnsiTheme="majorHAnsi"/>
                <w:b w:val="0"/>
                <w:lang w:val="en-US"/>
              </w:rPr>
            </w:pPr>
            <w:r w:rsidRPr="00930402">
              <w:rPr>
                <w:rFonts w:asciiTheme="majorHAnsi" w:hAnsiTheme="majorHAnsi"/>
                <w:b w:val="0"/>
                <w:lang w:val="en-US"/>
              </w:rPr>
              <w:t>T</w:t>
            </w:r>
            <w:r w:rsidRPr="00DA7D7B">
              <w:rPr>
                <w:rFonts w:asciiTheme="majorHAnsi" w:hAnsiTheme="majorHAnsi"/>
                <w:b w:val="0"/>
                <w:lang w:val="en-US"/>
              </w:rPr>
              <w:t>rain nursing staff to identify risks, side effects or medication interactions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100000"/>
              <w:rPr>
                <w:rFonts w:asciiTheme="majorHAnsi" w:hAnsiTheme="majorHAnsi"/>
                <w:lang w:val="en-US"/>
              </w:rPr>
            </w:pPr>
            <w:r w:rsidRPr="00930402"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10000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BD29AE" w:rsidRPr="00930402" w:rsidRDefault="00BD29AE" w:rsidP="00705EA1">
            <w:pPr>
              <w:cnfStyle w:val="000000100000"/>
              <w:rPr>
                <w:rFonts w:asciiTheme="majorHAnsi" w:hAnsiTheme="majorHAnsi"/>
                <w:lang w:val="en-US"/>
              </w:rPr>
            </w:pPr>
          </w:p>
        </w:tc>
      </w:tr>
    </w:tbl>
    <w:p w:rsidR="00BD29AE" w:rsidRPr="00DA7D7B" w:rsidRDefault="00BD29AE" w:rsidP="00BD29AE">
      <w:pPr>
        <w:spacing w:after="0" w:line="240" w:lineRule="auto"/>
        <w:rPr>
          <w:rFonts w:asciiTheme="majorHAnsi" w:hAnsiTheme="majorHAnsi" w:cstheme="minorHAnsi"/>
          <w:sz w:val="20"/>
          <w:szCs w:val="20"/>
          <w:lang w:val="en-US"/>
        </w:rPr>
      </w:pPr>
      <w:r w:rsidRPr="00930402">
        <w:rPr>
          <w:rFonts w:asciiTheme="majorHAnsi" w:hAnsiTheme="majorHAnsi" w:cstheme="minorHAnsi"/>
          <w:sz w:val="20"/>
          <w:szCs w:val="20"/>
          <w:lang w:val="en-US"/>
        </w:rPr>
        <w:t xml:space="preserve">*   </w:t>
      </w:r>
      <w:r w:rsidRPr="00DA7D7B">
        <w:rPr>
          <w:rFonts w:asciiTheme="majorHAnsi" w:hAnsiTheme="majorHAnsi" w:cstheme="minorHAnsi"/>
          <w:sz w:val="20"/>
          <w:szCs w:val="20"/>
          <w:lang w:val="en-US"/>
        </w:rPr>
        <w:t xml:space="preserve">Data of the </w:t>
      </w:r>
      <w:r>
        <w:rPr>
          <w:rFonts w:asciiTheme="majorHAnsi" w:hAnsiTheme="majorHAnsi" w:cstheme="minorHAnsi"/>
          <w:sz w:val="20"/>
          <w:szCs w:val="20"/>
          <w:lang w:val="en-US"/>
        </w:rPr>
        <w:t>fourteen</w:t>
      </w:r>
      <w:r w:rsidRPr="00DA7D7B">
        <w:rPr>
          <w:rFonts w:asciiTheme="majorHAnsi" w:hAnsiTheme="majorHAnsi" w:cstheme="minorHAnsi"/>
          <w:sz w:val="20"/>
          <w:szCs w:val="20"/>
          <w:lang w:val="en-US"/>
        </w:rPr>
        <w:t xml:space="preserve"> physicians and </w:t>
      </w:r>
      <w:r>
        <w:rPr>
          <w:rFonts w:asciiTheme="majorHAnsi" w:hAnsiTheme="majorHAnsi" w:cstheme="minorHAnsi"/>
          <w:sz w:val="20"/>
          <w:szCs w:val="20"/>
          <w:lang w:val="en-US"/>
        </w:rPr>
        <w:t>fourteen</w:t>
      </w:r>
      <w:r w:rsidRPr="00DA7D7B">
        <w:rPr>
          <w:rFonts w:asciiTheme="majorHAnsi" w:hAnsiTheme="majorHAnsi" w:cstheme="minorHAnsi"/>
          <w:sz w:val="20"/>
          <w:szCs w:val="20"/>
          <w:lang w:val="en-US"/>
        </w:rPr>
        <w:t xml:space="preserve"> Responsible Licensed Practical Nurses </w:t>
      </w:r>
      <w:r w:rsidR="00705EA1">
        <w:rPr>
          <w:rFonts w:asciiTheme="majorHAnsi" w:hAnsiTheme="majorHAnsi" w:cstheme="minorHAnsi"/>
          <w:sz w:val="20"/>
          <w:szCs w:val="20"/>
          <w:lang w:val="en-US"/>
        </w:rPr>
        <w:t xml:space="preserve">(RLPNs) </w:t>
      </w:r>
      <w:r w:rsidRPr="00DA7D7B">
        <w:rPr>
          <w:rFonts w:asciiTheme="majorHAnsi" w:hAnsiTheme="majorHAnsi" w:cstheme="minorHAnsi"/>
          <w:sz w:val="20"/>
          <w:szCs w:val="20"/>
          <w:lang w:val="en-US"/>
        </w:rPr>
        <w:t xml:space="preserve">who reported having been involved in reviews in usual care. Of those, one physician and </w:t>
      </w:r>
      <w:r>
        <w:rPr>
          <w:rFonts w:asciiTheme="majorHAnsi" w:hAnsiTheme="majorHAnsi" w:cstheme="minorHAnsi"/>
          <w:sz w:val="20"/>
          <w:szCs w:val="20"/>
          <w:lang w:val="en-US"/>
        </w:rPr>
        <w:t>five</w:t>
      </w:r>
      <w:r w:rsidRPr="00DA7D7B">
        <w:rPr>
          <w:rFonts w:asciiTheme="majorHAnsi" w:hAnsiTheme="majorHAnsi" w:cstheme="minorHAnsi"/>
          <w:sz w:val="20"/>
          <w:szCs w:val="20"/>
          <w:lang w:val="en-US"/>
        </w:rPr>
        <w:t xml:space="preserve"> RLPNs mentioned no possible improvements. </w:t>
      </w:r>
    </w:p>
    <w:p w:rsidR="00BD29AE" w:rsidRPr="00930402" w:rsidRDefault="00BD29AE" w:rsidP="00BD29AE">
      <w:pPr>
        <w:spacing w:after="0" w:line="240" w:lineRule="auto"/>
        <w:rPr>
          <w:rFonts w:asciiTheme="majorHAnsi" w:hAnsiTheme="majorHAnsi"/>
          <w:sz w:val="20"/>
          <w:szCs w:val="20"/>
          <w:lang w:val="en-US"/>
        </w:rPr>
      </w:pPr>
      <w:r w:rsidRPr="00DA7D7B">
        <w:rPr>
          <w:rFonts w:asciiTheme="majorHAnsi" w:hAnsiTheme="majorHAnsi" w:cstheme="minorHAnsi"/>
          <w:sz w:val="20"/>
          <w:szCs w:val="20"/>
          <w:lang w:val="en-US"/>
        </w:rPr>
        <w:t xml:space="preserve">** </w:t>
      </w:r>
      <w:r w:rsidRPr="00930402">
        <w:rPr>
          <w:rFonts w:asciiTheme="majorHAnsi" w:hAnsiTheme="majorHAnsi" w:cstheme="minorHAnsi"/>
          <w:sz w:val="20"/>
          <w:szCs w:val="20"/>
          <w:lang w:val="en-US"/>
        </w:rPr>
        <w:t>Improvement points taken into account by the PROPER intervention are shown in bold font.</w:t>
      </w:r>
    </w:p>
    <w:p w:rsidR="00705EA1" w:rsidRPr="00BD29AE" w:rsidRDefault="00705EA1">
      <w:pPr>
        <w:rPr>
          <w:lang w:val="en-US"/>
        </w:rPr>
      </w:pPr>
    </w:p>
    <w:sectPr w:rsidR="00705EA1" w:rsidRPr="00BD29AE" w:rsidSect="00AC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D29AE"/>
    <w:rsid w:val="002613F0"/>
    <w:rsid w:val="00600379"/>
    <w:rsid w:val="00705EA1"/>
    <w:rsid w:val="00AA5CF0"/>
    <w:rsid w:val="00AC3B8B"/>
    <w:rsid w:val="00BD29AE"/>
    <w:rsid w:val="00EB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29AE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1">
    <w:name w:val="Lichte arcering1"/>
    <w:basedOn w:val="Standaardtabel"/>
    <w:uiPriority w:val="60"/>
    <w:rsid w:val="00BD29AE"/>
    <w:pPr>
      <w:spacing w:after="0" w:line="240" w:lineRule="auto"/>
    </w:pPr>
    <w:rPr>
      <w:rFonts w:eastAsiaTheme="minorEastAsia"/>
      <w:color w:val="000000" w:themeColor="text1" w:themeShade="BF"/>
      <w:lang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BD29AE"/>
    <w:pPr>
      <w:spacing w:line="240" w:lineRule="auto"/>
    </w:pPr>
    <w:rPr>
      <w:iCs/>
      <w:sz w:val="24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z259196</dc:creator>
  <cp:lastModifiedBy>z259196</cp:lastModifiedBy>
  <cp:revision>2</cp:revision>
  <dcterms:created xsi:type="dcterms:W3CDTF">2018-10-16T09:47:00Z</dcterms:created>
  <dcterms:modified xsi:type="dcterms:W3CDTF">2019-04-12T15:46:00Z</dcterms:modified>
</cp:coreProperties>
</file>