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63" w:rsidRPr="00FA7463" w:rsidRDefault="00FA7463" w:rsidP="00FA74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</w:pPr>
      <w:r w:rsidRPr="00FA746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APPENDIX A1: outcomes of use of care and explanatory variables according to the Andersen’s Behavioral Model of Health Service Use.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60"/>
        <w:gridCol w:w="6204"/>
      </w:tblGrid>
      <w:tr w:rsidR="00FA7463" w:rsidRPr="00FA7463" w:rsidTr="008F1D08">
        <w:tc>
          <w:tcPr>
            <w:tcW w:w="959" w:type="pct"/>
            <w:vMerge w:val="restart"/>
          </w:tcPr>
          <w:p w:rsidR="00FA7463" w:rsidRPr="00FA7463" w:rsidRDefault="00FA7463" w:rsidP="00FA74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aps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b/>
                <w:bCs/>
                <w:caps/>
                <w:sz w:val="18"/>
                <w:szCs w:val="18"/>
                <w:lang w:val="en-US" w:eastAsia="fr-FR"/>
              </w:rPr>
              <w:t>Dependant variables: Use of care in dementia</w:t>
            </w:r>
          </w:p>
        </w:tc>
        <w:tc>
          <w:tcPr>
            <w:tcW w:w="812" w:type="pct"/>
          </w:tcPr>
          <w:p w:rsidR="00FA7463" w:rsidRPr="00FA7463" w:rsidRDefault="00FA7463" w:rsidP="00FA74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FA7463"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eastAsia="fr-FR"/>
              </w:rPr>
              <w:t>Recourse</w:t>
            </w:r>
            <w:proofErr w:type="spellEnd"/>
            <w:r w:rsidRPr="00FA7463"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eastAsia="fr-FR"/>
              </w:rPr>
              <w:t xml:space="preserve"> to </w:t>
            </w:r>
            <w:proofErr w:type="spellStart"/>
            <w:r w:rsidRPr="00FA7463"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eastAsia="fr-FR"/>
              </w:rPr>
              <w:t>secondary</w:t>
            </w:r>
            <w:proofErr w:type="spellEnd"/>
            <w:r w:rsidRPr="00FA7463"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eastAsia="fr-FR"/>
              </w:rPr>
              <w:t xml:space="preserve"> care</w:t>
            </w:r>
          </w:p>
        </w:tc>
        <w:tc>
          <w:tcPr>
            <w:tcW w:w="3229" w:type="pct"/>
          </w:tcPr>
          <w:p w:rsidR="00FA7463" w:rsidRPr="00FA7463" w:rsidRDefault="00FA7463" w:rsidP="00FA746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GB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Participants considered as having sought for secondary care if they had consulted a specialist (neurologist or geriatrician) for cognitive problem symptoms</w:t>
            </w:r>
          </w:p>
        </w:tc>
      </w:tr>
      <w:tr w:rsidR="00FA7463" w:rsidRPr="00FA7463" w:rsidTr="008F1D08">
        <w:tc>
          <w:tcPr>
            <w:tcW w:w="959" w:type="pct"/>
            <w:vMerge/>
          </w:tcPr>
          <w:p w:rsidR="00FA7463" w:rsidRPr="00FA7463" w:rsidRDefault="00FA7463" w:rsidP="00FA746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caps/>
                <w:sz w:val="18"/>
                <w:szCs w:val="18"/>
                <w:lang w:val="en-US" w:eastAsia="fr-FR"/>
              </w:rPr>
            </w:pPr>
          </w:p>
        </w:tc>
        <w:tc>
          <w:tcPr>
            <w:tcW w:w="812" w:type="pct"/>
          </w:tcPr>
          <w:p w:rsidR="00FA7463" w:rsidRPr="00FA7463" w:rsidRDefault="00FA7463" w:rsidP="00FA746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val="en-US" w:eastAsia="fr-FR"/>
              </w:rPr>
              <w:t>Community and health services used</w:t>
            </w:r>
          </w:p>
        </w:tc>
        <w:tc>
          <w:tcPr>
            <w:tcW w:w="3229" w:type="pct"/>
          </w:tcPr>
          <w:p w:rsidR="00FA7463" w:rsidRPr="00FA7463" w:rsidRDefault="00FA7463" w:rsidP="00FA7463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 xml:space="preserve">The number of services among the nine followings: General home help, personal care assistance, nursing assistant care, private nurse care including help for taking medication or bathing or home-based hospital care, physiotherapy, speech therapy, adult day care, short-term respite care, and others </w:t>
            </w:r>
          </w:p>
        </w:tc>
      </w:tr>
      <w:tr w:rsidR="00FA7463" w:rsidRPr="00FA7463" w:rsidTr="008F1D08">
        <w:tc>
          <w:tcPr>
            <w:tcW w:w="959" w:type="pct"/>
            <w:vMerge w:val="restart"/>
          </w:tcPr>
          <w:p w:rsidR="00FA7463" w:rsidRPr="00FA7463" w:rsidRDefault="00FA7463" w:rsidP="00FA746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caps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b/>
                <w:bCs/>
                <w:iCs/>
                <w:caps/>
                <w:sz w:val="18"/>
                <w:szCs w:val="18"/>
                <w:lang w:val="en-US" w:eastAsia="fr-FR"/>
              </w:rPr>
              <w:t>Explanatory variables</w:t>
            </w:r>
          </w:p>
          <w:p w:rsidR="00FA7463" w:rsidRPr="00FA7463" w:rsidRDefault="00FA7463" w:rsidP="00FA746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caps/>
                <w:sz w:val="18"/>
                <w:szCs w:val="18"/>
                <w:lang w:val="en-US" w:eastAsia="fr-FR"/>
              </w:rPr>
            </w:pPr>
          </w:p>
        </w:tc>
        <w:tc>
          <w:tcPr>
            <w:tcW w:w="812" w:type="pct"/>
          </w:tcPr>
          <w:p w:rsidR="00FA7463" w:rsidRPr="00FA7463" w:rsidRDefault="00FA7463" w:rsidP="00FA746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val="en-US" w:eastAsia="fr-FR"/>
              </w:rPr>
              <w:t xml:space="preserve">Predisposing characteristics </w:t>
            </w:r>
          </w:p>
          <w:p w:rsidR="00FA7463" w:rsidRPr="00FA7463" w:rsidRDefault="00FA7463" w:rsidP="00FA74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3229" w:type="pct"/>
          </w:tcPr>
          <w:p w:rsidR="00FA7463" w:rsidRPr="00FA7463" w:rsidRDefault="00FA7463" w:rsidP="00FA74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val="en-US" w:eastAsia="fr-FR"/>
              </w:rPr>
              <w:t>The dyad</w:t>
            </w:r>
          </w:p>
          <w:p w:rsidR="00FA7463" w:rsidRPr="00FA7463" w:rsidRDefault="00FA7463" w:rsidP="00FA746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Age, sex, education (for the participant, no formal education vs primary level with diploma, i.e. equivalent to 7 years of schooling, or higher; for the caregivers, no formal education/primary level vs secondary level vs high school or higher) and living condition</w:t>
            </w:r>
          </w:p>
          <w:p w:rsidR="00FA7463" w:rsidRPr="00FA7463" w:rsidRDefault="00FA7463" w:rsidP="00FA746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Relationship of the dyad (Spouse, Children, Other members of family, Other)</w:t>
            </w:r>
          </w:p>
          <w:p w:rsidR="00FA7463" w:rsidRPr="00FA7463" w:rsidRDefault="00FA7463" w:rsidP="00FA74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val="en-US" w:eastAsia="fr-FR"/>
              </w:rPr>
              <w:t>The primary family caregiver</w:t>
            </w:r>
          </w:p>
          <w:p w:rsidR="00FA7463" w:rsidRPr="00FA7463" w:rsidRDefault="00FA7463" w:rsidP="00FA7463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Satisfaction with community human and health services used by their care recipient.</w:t>
            </w:r>
          </w:p>
        </w:tc>
      </w:tr>
      <w:tr w:rsidR="00FA7463" w:rsidRPr="00FA7463" w:rsidTr="008F1D08">
        <w:tc>
          <w:tcPr>
            <w:tcW w:w="959" w:type="pct"/>
            <w:vMerge/>
          </w:tcPr>
          <w:p w:rsidR="00FA7463" w:rsidRPr="00FA7463" w:rsidRDefault="00FA7463" w:rsidP="00FA7463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18"/>
                <w:szCs w:val="18"/>
                <w:lang w:val="en-GB" w:eastAsia="fr-FR"/>
              </w:rPr>
            </w:pPr>
          </w:p>
        </w:tc>
        <w:tc>
          <w:tcPr>
            <w:tcW w:w="812" w:type="pct"/>
          </w:tcPr>
          <w:p w:rsidR="00FA7463" w:rsidRPr="00FA7463" w:rsidRDefault="00FA7463" w:rsidP="00FA746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val="en-US" w:eastAsia="fr-FR"/>
              </w:rPr>
              <w:t xml:space="preserve">Enabling resources </w:t>
            </w:r>
          </w:p>
          <w:p w:rsidR="00FA7463" w:rsidRPr="00FA7463" w:rsidRDefault="00FA7463" w:rsidP="00FA74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3229" w:type="pct"/>
          </w:tcPr>
          <w:p w:rsidR="00FA7463" w:rsidRPr="00FA7463" w:rsidRDefault="00FA7463" w:rsidP="00FA74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US" w:eastAsia="fr-FR"/>
              </w:rPr>
              <w:t>Social and family support</w:t>
            </w:r>
          </w:p>
          <w:p w:rsidR="00FA7463" w:rsidRPr="00FA7463" w:rsidRDefault="00FA7463" w:rsidP="00FA746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Daily assistance from a secondary family caregiver</w:t>
            </w:r>
          </w:p>
          <w:p w:rsidR="00FA7463" w:rsidRPr="00FA7463" w:rsidRDefault="00FA7463" w:rsidP="00FA746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Frequency of social interactions within or outside the home</w:t>
            </w:r>
            <w:r w:rsidRPr="00FA7463">
              <w:rPr>
                <w:rFonts w:ascii="Arial" w:eastAsia="Times New Roman" w:hAnsi="Arial" w:cs="Times New Roman"/>
                <w:sz w:val="18"/>
                <w:szCs w:val="18"/>
                <w:lang w:val="en-US" w:eastAsia="fr-FR"/>
              </w:rPr>
              <w:t xml:space="preserve"> (</w:t>
            </w: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daily, two or three times a week, once a week, less than once a week)</w:t>
            </w:r>
          </w:p>
          <w:p w:rsidR="00FA7463" w:rsidRPr="00FA7463" w:rsidRDefault="00FA7463" w:rsidP="00FA746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Contribution to decision making</w:t>
            </w:r>
          </w:p>
          <w:p w:rsidR="00FA7463" w:rsidRPr="00FA7463" w:rsidRDefault="00FA7463" w:rsidP="00FA74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US" w:eastAsia="fr-FR"/>
              </w:rPr>
              <w:t xml:space="preserve">Community and health resources : </w:t>
            </w:r>
          </w:p>
          <w:p w:rsidR="00FA7463" w:rsidRPr="00FA7463" w:rsidRDefault="00FA7463" w:rsidP="00FA7463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 xml:space="preserve">rural or urban location </w:t>
            </w:r>
          </w:p>
          <w:p w:rsidR="00FA7463" w:rsidRPr="00FA7463" w:rsidRDefault="00FA7463" w:rsidP="00FA746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old-age financial allowance</w:t>
            </w:r>
          </w:p>
          <w:p w:rsidR="00FA7463" w:rsidRPr="00FA7463" w:rsidRDefault="00FA7463" w:rsidP="00FA746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Availability of dementia care services in the community area, using a score of dementia care resources</w:t>
            </w:r>
          </w:p>
          <w:p w:rsidR="00FA7463" w:rsidRPr="00FA7463" w:rsidRDefault="00FA7463" w:rsidP="00FA74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US" w:eastAsia="fr-FR"/>
              </w:rPr>
              <w:t>GP’s characteristics and practices in the field of geriatrics</w:t>
            </w:r>
          </w:p>
          <w:p w:rsidR="00FA7463" w:rsidRPr="00FA7463" w:rsidRDefault="00FA7463" w:rsidP="00FA746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Age, sex</w:t>
            </w:r>
          </w:p>
          <w:p w:rsidR="00FA7463" w:rsidRPr="00FA7463" w:rsidRDefault="00FA7463" w:rsidP="00FA746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type of professional practice (single private practice or with colleagues/ Mixed practice: private and/or in hospital)</w:t>
            </w:r>
          </w:p>
          <w:p w:rsidR="00FA7463" w:rsidRPr="00FA7463" w:rsidRDefault="00FA7463" w:rsidP="00FA746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 xml:space="preserve">utilization of scales in the detection of cognitive impairment when suspected </w:t>
            </w:r>
          </w:p>
          <w:p w:rsidR="00FA7463" w:rsidRPr="00FA7463" w:rsidRDefault="00FA7463" w:rsidP="00FA746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the main reasons to explain the under-diagnosis of dementia: lack of time, of interest, not a priority in daily practice, limited effectiveness of drug therapy or other reasons</w:t>
            </w:r>
          </w:p>
        </w:tc>
      </w:tr>
      <w:tr w:rsidR="00FA7463" w:rsidRPr="00FA7463" w:rsidTr="008F1D08">
        <w:tc>
          <w:tcPr>
            <w:tcW w:w="959" w:type="pct"/>
            <w:vMerge/>
          </w:tcPr>
          <w:p w:rsidR="00FA7463" w:rsidRPr="00FA7463" w:rsidRDefault="00FA7463" w:rsidP="00FA7463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18"/>
                <w:szCs w:val="18"/>
                <w:lang w:val="en-GB" w:eastAsia="fr-FR"/>
              </w:rPr>
            </w:pPr>
          </w:p>
        </w:tc>
        <w:tc>
          <w:tcPr>
            <w:tcW w:w="812" w:type="pct"/>
          </w:tcPr>
          <w:p w:rsidR="00FA7463" w:rsidRPr="00FA7463" w:rsidRDefault="00FA7463" w:rsidP="00FA746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val="en-US" w:eastAsia="fr-FR"/>
              </w:rPr>
              <w:t>Need variables</w:t>
            </w:r>
          </w:p>
          <w:p w:rsidR="00FA7463" w:rsidRPr="00FA7463" w:rsidRDefault="00FA7463" w:rsidP="00FA74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3229" w:type="pct"/>
          </w:tcPr>
          <w:p w:rsidR="00FA7463" w:rsidRPr="00FA7463" w:rsidRDefault="00FA7463" w:rsidP="00FA74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US" w:eastAsia="fr-FR"/>
              </w:rPr>
              <w:t>Participant’s health</w:t>
            </w:r>
          </w:p>
          <w:p w:rsidR="00FA7463" w:rsidRPr="00FA7463" w:rsidRDefault="00FA7463" w:rsidP="00FA7463">
            <w:pPr>
              <w:numPr>
                <w:ilvl w:val="1"/>
                <w:numId w:val="3"/>
              </w:numPr>
              <w:tabs>
                <w:tab w:val="num" w:pos="1035"/>
              </w:tabs>
              <w:spacing w:after="0" w:line="240" w:lineRule="auto"/>
              <w:ind w:hanging="765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 xml:space="preserve">Cognitive deterioration (MMSE) </w:t>
            </w:r>
          </w:p>
          <w:p w:rsidR="00FA7463" w:rsidRPr="00FA7463" w:rsidRDefault="00FA7463" w:rsidP="00FA7463">
            <w:pPr>
              <w:numPr>
                <w:ilvl w:val="1"/>
                <w:numId w:val="3"/>
              </w:numPr>
              <w:tabs>
                <w:tab w:val="num" w:pos="1035"/>
              </w:tabs>
              <w:spacing w:after="0" w:line="240" w:lineRule="auto"/>
              <w:ind w:left="1034" w:hanging="359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 xml:space="preserve">Severity of Behavioral and Psychological Symptoms of Dementia (BPSD) using the brief form of the </w:t>
            </w:r>
            <w:proofErr w:type="spellStart"/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NeuroPsychiatric</w:t>
            </w:r>
            <w:proofErr w:type="spellEnd"/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 xml:space="preserve"> Inventory (NPI-Q) </w:t>
            </w:r>
          </w:p>
          <w:p w:rsidR="00FA7463" w:rsidRPr="00FA7463" w:rsidRDefault="00FA7463" w:rsidP="00FA7463">
            <w:pPr>
              <w:numPr>
                <w:ilvl w:val="1"/>
                <w:numId w:val="3"/>
              </w:numPr>
              <w:tabs>
                <w:tab w:val="num" w:pos="1035"/>
              </w:tabs>
              <w:spacing w:after="0" w:line="240" w:lineRule="auto"/>
              <w:ind w:left="1034" w:hanging="359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Functional status: the ADL Katz’s scale.</w:t>
            </w:r>
          </w:p>
          <w:p w:rsidR="00FA7463" w:rsidRPr="00FA7463" w:rsidRDefault="00FA7463" w:rsidP="00FA7463">
            <w:pPr>
              <w:numPr>
                <w:ilvl w:val="1"/>
                <w:numId w:val="3"/>
              </w:numPr>
              <w:tabs>
                <w:tab w:val="num" w:pos="1035"/>
              </w:tabs>
              <w:spacing w:after="0" w:line="240" w:lineRule="auto"/>
              <w:ind w:left="1034" w:hanging="359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 xml:space="preserve">Number of major medical comorbidities (diabetes, hypertension, hypercholesterolemia, myocardial infarct, angina pectoris, stroke, cancer, dyspnea and Parkinson’s disease) </w:t>
            </w:r>
          </w:p>
          <w:p w:rsidR="00FA7463" w:rsidRPr="00FA7463" w:rsidRDefault="00FA7463" w:rsidP="00FA7463">
            <w:pPr>
              <w:numPr>
                <w:ilvl w:val="1"/>
                <w:numId w:val="3"/>
              </w:numPr>
              <w:tabs>
                <w:tab w:val="num" w:pos="1035"/>
              </w:tabs>
              <w:spacing w:after="0" w:line="240" w:lineRule="auto"/>
              <w:ind w:left="1034" w:hanging="359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 xml:space="preserve">Number of years since the “study diagnosis” </w:t>
            </w:r>
          </w:p>
          <w:p w:rsidR="00FA7463" w:rsidRPr="00FA7463" w:rsidRDefault="00FA7463" w:rsidP="00FA7463">
            <w:pPr>
              <w:numPr>
                <w:ilvl w:val="1"/>
                <w:numId w:val="3"/>
              </w:numPr>
              <w:tabs>
                <w:tab w:val="num" w:pos="1035"/>
              </w:tabs>
              <w:spacing w:after="0" w:line="240" w:lineRule="auto"/>
              <w:ind w:left="1034" w:hanging="359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 xml:space="preserve">Etiology of dementia </w:t>
            </w:r>
          </w:p>
          <w:p w:rsidR="00FA7463" w:rsidRPr="00FA7463" w:rsidRDefault="00FA7463" w:rsidP="00FA7463">
            <w:pPr>
              <w:numPr>
                <w:ilvl w:val="1"/>
                <w:numId w:val="3"/>
              </w:numPr>
              <w:tabs>
                <w:tab w:val="num" w:pos="1035"/>
              </w:tabs>
              <w:spacing w:after="0" w:line="240" w:lineRule="auto"/>
              <w:ind w:left="1034" w:hanging="359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Quality of life (</w:t>
            </w:r>
            <w:proofErr w:type="spellStart"/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QoL</w:t>
            </w:r>
            <w:proofErr w:type="spellEnd"/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-AD).</w:t>
            </w:r>
          </w:p>
          <w:p w:rsidR="00FA7463" w:rsidRPr="00FA7463" w:rsidRDefault="00FA7463" w:rsidP="00FA74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US" w:eastAsia="fr-FR"/>
              </w:rPr>
              <w:t>Primary caregiver’s health</w:t>
            </w:r>
          </w:p>
          <w:p w:rsidR="00FA7463" w:rsidRPr="00FA7463" w:rsidRDefault="00FA7463" w:rsidP="00FA7463">
            <w:pPr>
              <w:numPr>
                <w:ilvl w:val="1"/>
                <w:numId w:val="3"/>
              </w:numPr>
              <w:tabs>
                <w:tab w:val="num" w:pos="1009"/>
              </w:tabs>
              <w:spacing w:after="0" w:line="240" w:lineRule="auto"/>
              <w:ind w:left="1009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 xml:space="preserve">Depressive symptoms (CES-D) </w:t>
            </w:r>
          </w:p>
          <w:p w:rsidR="00FA7463" w:rsidRPr="00FA7463" w:rsidRDefault="00FA7463" w:rsidP="00FA7463">
            <w:pPr>
              <w:numPr>
                <w:ilvl w:val="1"/>
                <w:numId w:val="3"/>
              </w:numPr>
              <w:tabs>
                <w:tab w:val="num" w:pos="1009"/>
              </w:tabs>
              <w:spacing w:after="0" w:line="240" w:lineRule="auto"/>
              <w:ind w:left="1009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caregiver’s burden (</w:t>
            </w:r>
            <w:proofErr w:type="spellStart"/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Zarit</w:t>
            </w:r>
            <w:proofErr w:type="spellEnd"/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 xml:space="preserve"> Burden) </w:t>
            </w:r>
          </w:p>
          <w:p w:rsidR="00FA7463" w:rsidRPr="00FA7463" w:rsidRDefault="00FA7463" w:rsidP="00FA7463">
            <w:pPr>
              <w:numPr>
                <w:ilvl w:val="1"/>
                <w:numId w:val="3"/>
              </w:numPr>
              <w:tabs>
                <w:tab w:val="num" w:pos="1009"/>
              </w:tabs>
              <w:spacing w:after="0" w:line="240" w:lineRule="auto"/>
              <w:ind w:left="1009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BPSD emotional impact on caregivers (NPI)</w:t>
            </w:r>
          </w:p>
          <w:p w:rsidR="00FA7463" w:rsidRPr="00FA7463" w:rsidRDefault="00FA7463" w:rsidP="00FA7463">
            <w:pPr>
              <w:numPr>
                <w:ilvl w:val="1"/>
                <w:numId w:val="3"/>
              </w:numPr>
              <w:tabs>
                <w:tab w:val="num" w:pos="1009"/>
              </w:tabs>
              <w:spacing w:after="0" w:line="240" w:lineRule="auto"/>
              <w:ind w:left="1009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Quality of life (</w:t>
            </w:r>
            <w:proofErr w:type="spellStart"/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QoL</w:t>
            </w:r>
            <w:proofErr w:type="spellEnd"/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-AD).</w:t>
            </w:r>
          </w:p>
          <w:p w:rsidR="00FA7463" w:rsidRPr="00FA7463" w:rsidRDefault="00FA7463" w:rsidP="00FA74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i/>
                <w:sz w:val="18"/>
                <w:szCs w:val="18"/>
                <w:lang w:val="en-US" w:eastAsia="fr-FR"/>
              </w:rPr>
              <w:t>Caregiving characteristics</w:t>
            </w:r>
          </w:p>
          <w:p w:rsidR="00FA7463" w:rsidRPr="00FA7463" w:rsidRDefault="00FA7463" w:rsidP="00FA7463">
            <w:pPr>
              <w:numPr>
                <w:ilvl w:val="1"/>
                <w:numId w:val="3"/>
              </w:numPr>
              <w:tabs>
                <w:tab w:val="num" w:pos="1009"/>
              </w:tabs>
              <w:spacing w:after="0" w:line="240" w:lineRule="auto"/>
              <w:ind w:left="1009"/>
              <w:jc w:val="both"/>
              <w:rPr>
                <w:rFonts w:ascii="Times New Roman" w:eastAsia="MS Mincho" w:hAnsi="Times New Roman" w:cs="Times New Roman"/>
                <w:i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 xml:space="preserve">Length of caregiving (number of months) </w:t>
            </w:r>
          </w:p>
          <w:p w:rsidR="00FA7463" w:rsidRPr="00FA7463" w:rsidRDefault="00FA7463" w:rsidP="00FA7463">
            <w:pPr>
              <w:numPr>
                <w:ilvl w:val="1"/>
                <w:numId w:val="3"/>
              </w:numPr>
              <w:tabs>
                <w:tab w:val="num" w:pos="1009"/>
              </w:tabs>
              <w:spacing w:after="0" w:line="240" w:lineRule="auto"/>
              <w:ind w:left="1009"/>
              <w:jc w:val="both"/>
              <w:rPr>
                <w:rFonts w:ascii="Times New Roman" w:eastAsia="MS Mincho" w:hAnsi="Times New Roman" w:cs="Times New Roman"/>
                <w:i/>
                <w:sz w:val="18"/>
                <w:szCs w:val="18"/>
                <w:lang w:val="en-US" w:eastAsia="fr-FR"/>
              </w:rPr>
            </w:pPr>
            <w:r w:rsidRPr="00FA7463">
              <w:rPr>
                <w:rFonts w:ascii="Times New Roman" w:eastAsia="MS Mincho" w:hAnsi="Times New Roman" w:cs="Times New Roman"/>
                <w:sz w:val="18"/>
                <w:szCs w:val="18"/>
                <w:lang w:val="en-US" w:eastAsia="fr-FR"/>
              </w:rPr>
              <w:t>Whether he/she provided care to another person.</w:t>
            </w:r>
          </w:p>
        </w:tc>
      </w:tr>
    </w:tbl>
    <w:p w:rsidR="00FA7463" w:rsidRPr="00FA7463" w:rsidRDefault="00FA7463" w:rsidP="00FA7463">
      <w:pPr>
        <w:spacing w:after="0"/>
        <w:rPr>
          <w:rFonts w:ascii="Arial" w:eastAsia="Times New Roman" w:hAnsi="Arial" w:cs="Times New Roman"/>
          <w:b/>
          <w:lang w:val="en-US" w:eastAsia="fr-FR"/>
        </w:rPr>
      </w:pPr>
    </w:p>
    <w:p w:rsidR="002E5428" w:rsidRPr="00FA7463" w:rsidRDefault="006E1B7A">
      <w:pPr>
        <w:rPr>
          <w:lang w:val="en-US"/>
        </w:rPr>
      </w:pPr>
      <w:bookmarkStart w:id="0" w:name="_GoBack"/>
      <w:bookmarkEnd w:id="0"/>
    </w:p>
    <w:sectPr w:rsidR="002E5428" w:rsidRPr="00FA7463" w:rsidSect="002462E6">
      <w:footerReference w:type="default" r:id="rId6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052196"/>
      <w:docPartObj>
        <w:docPartGallery w:val="Page Numbers (Bottom of Page)"/>
        <w:docPartUnique/>
      </w:docPartObj>
    </w:sdtPr>
    <w:sdtEndPr/>
    <w:sdtContent>
      <w:p w:rsidR="00891E0B" w:rsidRDefault="006E1B7A">
        <w:pPr>
          <w:pStyle w:val="Pieddepage"/>
          <w:jc w:val="center"/>
        </w:pPr>
        <w:r>
          <w:fldChar w:fldCharType="begin"/>
        </w:r>
        <w:r>
          <w:instrText>PAGE   \</w:instrText>
        </w:r>
        <w:r>
          <w:instrText>* MERGEFORMAT</w:instrText>
        </w:r>
        <w:r>
          <w:fldChar w:fldCharType="separate"/>
        </w:r>
        <w:r w:rsidR="00D40C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E0B" w:rsidRDefault="006E1B7A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458"/>
    <w:multiLevelType w:val="hybridMultilevel"/>
    <w:tmpl w:val="DAFC91E4"/>
    <w:lvl w:ilvl="0" w:tplc="DF1E39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Utiliser une police de caractè" w:hAnsi="(Utiliser une police de caractè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03660"/>
    <w:multiLevelType w:val="hybridMultilevel"/>
    <w:tmpl w:val="44224608"/>
    <w:lvl w:ilvl="0" w:tplc="DF1E39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Utiliser une police de caractè" w:hAnsi="(Utiliser une police de caractè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color w:val="auto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A61CBB"/>
    <w:multiLevelType w:val="hybridMultilevel"/>
    <w:tmpl w:val="E9C6042E"/>
    <w:lvl w:ilvl="0" w:tplc="DF1E39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Utiliser une police de caractè" w:hAnsi="(Utiliser une police de caractè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63"/>
    <w:rsid w:val="003E2E4A"/>
    <w:rsid w:val="009627C9"/>
    <w:rsid w:val="00D40CAF"/>
    <w:rsid w:val="00FA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A74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7463"/>
    <w:rPr>
      <w:rFonts w:ascii="Arial" w:eastAsia="Times New Roman" w:hAnsi="Arial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A74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7463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RULLIER Laetitia</dc:creator>
  <cp:lastModifiedBy>RULLIER Laetitia</cp:lastModifiedBy>
  <cp:revision>2</cp:revision>
  <dcterms:created xsi:type="dcterms:W3CDTF">2017-07-12T15:56:00Z</dcterms:created>
  <dcterms:modified xsi:type="dcterms:W3CDTF">2017-07-12T15:56:00Z</dcterms:modified>
</cp:coreProperties>
</file>