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B5" w:rsidRPr="007E2F76" w:rsidRDefault="000C25A7" w:rsidP="00F106A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Appendix </w:t>
      </w:r>
      <w:r w:rsidR="00C565D1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:rsidR="00F106A8" w:rsidRPr="007E2F76" w:rsidRDefault="00F106A8" w:rsidP="00F106A8">
      <w:pPr>
        <w:spacing w:line="360" w:lineRule="auto"/>
        <w:rPr>
          <w:sz w:val="24"/>
          <w:szCs w:val="24"/>
          <w:lang w:val="en-GB"/>
        </w:rPr>
      </w:pPr>
      <w:r w:rsidRPr="007E2F76">
        <w:rPr>
          <w:rFonts w:ascii="Times New Roman" w:hAnsi="Times New Roman" w:cs="Times New Roman"/>
          <w:sz w:val="24"/>
          <w:szCs w:val="24"/>
          <w:lang w:val="en-GB"/>
        </w:rPr>
        <w:t xml:space="preserve">To spatially estimate </w:t>
      </w:r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little bustard density and habitat variables by </w:t>
      </w:r>
      <w:proofErr w:type="spellStart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geostatistical</w:t>
      </w:r>
      <w:proofErr w:type="spellEnd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modelling, the experimental </w:t>
      </w:r>
      <w:proofErr w:type="spellStart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semivariograms</w:t>
      </w:r>
      <w:proofErr w:type="spellEnd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were computed and analysed. Fig. </w:t>
      </w:r>
      <w:r w:rsidR="007E2F76">
        <w:rPr>
          <w:rFonts w:ascii="Times New Roman" w:hAnsi="Times New Roman" w:cs="Times New Roman"/>
          <w:bCs/>
          <w:sz w:val="24"/>
          <w:szCs w:val="24"/>
          <w:lang w:val="en-GB"/>
        </w:rPr>
        <w:t>G.</w:t>
      </w:r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 presents some examples of </w:t>
      </w:r>
      <w:proofErr w:type="spellStart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semivariograms</w:t>
      </w:r>
      <w:proofErr w:type="spellEnd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both little bustard density and habitat variables. In both cases, the diagrams pertain to sites “Cuba” and “</w:t>
      </w:r>
      <w:proofErr w:type="spellStart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Airoso</w:t>
      </w:r>
      <w:proofErr w:type="spellEnd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”. The </w:t>
      </w:r>
      <w:proofErr w:type="spellStart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semivariograms</w:t>
      </w:r>
      <w:proofErr w:type="spellEnd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show a clear spatial dependence, with a small nugget and larger range parameter in both sites. ). In “Cuba”, the range parameters are 5.032 km and 4.396 km, respectively for little bustard density and </w:t>
      </w:r>
      <w:proofErr w:type="spellStart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Rainfed</w:t>
      </w:r>
      <w:proofErr w:type="spellEnd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. In “</w:t>
      </w:r>
      <w:proofErr w:type="spellStart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Airoso</w:t>
      </w:r>
      <w:proofErr w:type="spellEnd"/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”, these parameters are closer from each other, being given by 4.298 km and 4.811 km.</w:t>
      </w:r>
      <w:r w:rsidRPr="007E2F76" w:rsidDel="001556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E2F76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Pr="007E2F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 Moran's I Index values reveal</w:t>
      </w:r>
      <w:r w:rsidR="007B2508" w:rsidRPr="007E2F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7E2F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that the </w:t>
      </w:r>
      <w:r w:rsidRPr="007E2F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p-values are</w:t>
      </w:r>
      <w:r w:rsidRPr="007E2F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7E2F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statistically significant and the z-scores are all positive (Table </w:t>
      </w:r>
      <w:r w:rsidR="007E2F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G.</w:t>
      </w:r>
      <w:r w:rsidRPr="007E2F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1).</w:t>
      </w:r>
    </w:p>
    <w:p w:rsidR="007E16E5" w:rsidRPr="00F106A8" w:rsidRDefault="007E16E5">
      <w:pPr>
        <w:rPr>
          <w:lang w:val="en-GB"/>
        </w:rPr>
      </w:pPr>
    </w:p>
    <w:p w:rsidR="00F106A8" w:rsidRDefault="00F106A8">
      <w:r>
        <w:rPr>
          <w:noProof/>
          <w:lang w:eastAsia="pt-PT"/>
        </w:rPr>
        <w:drawing>
          <wp:inline distT="0" distB="0" distL="0" distR="0" wp14:anchorId="19440310" wp14:editId="613643FE">
            <wp:extent cx="5400040" cy="33997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6A8" w:rsidRDefault="00F106A8"/>
    <w:p w:rsidR="00845BFA" w:rsidRPr="007E2F76" w:rsidRDefault="00845BF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E2F76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 w:rsidR="00E626B5" w:rsidRPr="007E2F76">
        <w:rPr>
          <w:rFonts w:ascii="Times New Roman" w:hAnsi="Times New Roman" w:cs="Times New Roman"/>
          <w:sz w:val="24"/>
          <w:szCs w:val="24"/>
          <w:lang w:val="en-GB"/>
        </w:rPr>
        <w:t>G.</w:t>
      </w:r>
      <w:r w:rsidRPr="007E2F76">
        <w:rPr>
          <w:rFonts w:ascii="Times New Roman" w:hAnsi="Times New Roman" w:cs="Times New Roman"/>
          <w:sz w:val="24"/>
          <w:szCs w:val="24"/>
          <w:lang w:val="en-GB"/>
        </w:rPr>
        <w:t xml:space="preserve">1 Experimental omnidirectional </w:t>
      </w:r>
      <w:proofErr w:type="spellStart"/>
      <w:r w:rsidRPr="007E2F76">
        <w:rPr>
          <w:rFonts w:ascii="Times New Roman" w:hAnsi="Times New Roman" w:cs="Times New Roman"/>
          <w:sz w:val="24"/>
          <w:szCs w:val="24"/>
          <w:lang w:val="en-GB"/>
        </w:rPr>
        <w:t>semivariograms</w:t>
      </w:r>
      <w:proofErr w:type="spellEnd"/>
      <w:r w:rsidRPr="007E2F76">
        <w:rPr>
          <w:rFonts w:ascii="Times New Roman" w:hAnsi="Times New Roman" w:cs="Times New Roman"/>
          <w:sz w:val="24"/>
          <w:szCs w:val="24"/>
          <w:lang w:val="en-GB"/>
        </w:rPr>
        <w:t xml:space="preserve">. The upper plots pertain to site “Cuba” in 2010 and describe the </w:t>
      </w:r>
      <w:proofErr w:type="gramStart"/>
      <w:r w:rsidRPr="007E2F76">
        <w:rPr>
          <w:rFonts w:ascii="Times New Roman" w:hAnsi="Times New Roman" w:cs="Times New Roman"/>
          <w:sz w:val="24"/>
          <w:szCs w:val="24"/>
          <w:lang w:val="en-GB"/>
        </w:rPr>
        <w:t>Little</w:t>
      </w:r>
      <w:proofErr w:type="gramEnd"/>
      <w:r w:rsidRPr="007E2F76">
        <w:rPr>
          <w:rFonts w:ascii="Times New Roman" w:hAnsi="Times New Roman" w:cs="Times New Roman"/>
          <w:sz w:val="24"/>
          <w:szCs w:val="24"/>
          <w:lang w:val="en-GB"/>
        </w:rPr>
        <w:t xml:space="preserve"> bustard (a) and </w:t>
      </w:r>
      <w:proofErr w:type="spellStart"/>
      <w:r w:rsidRPr="007E2F76">
        <w:rPr>
          <w:rFonts w:ascii="Times New Roman" w:hAnsi="Times New Roman" w:cs="Times New Roman"/>
          <w:sz w:val="24"/>
          <w:szCs w:val="24"/>
          <w:lang w:val="en-GB"/>
        </w:rPr>
        <w:t>Rainfed</w:t>
      </w:r>
      <w:proofErr w:type="spellEnd"/>
      <w:r w:rsidRPr="007E2F76">
        <w:rPr>
          <w:rFonts w:ascii="Times New Roman" w:hAnsi="Times New Roman" w:cs="Times New Roman"/>
          <w:sz w:val="24"/>
          <w:szCs w:val="24"/>
          <w:lang w:val="en-GB"/>
        </w:rPr>
        <w:t xml:space="preserve"> (b); the lower plots refer to site “</w:t>
      </w:r>
      <w:proofErr w:type="spellStart"/>
      <w:r w:rsidRPr="007E2F76">
        <w:rPr>
          <w:rFonts w:ascii="Times New Roman" w:hAnsi="Times New Roman" w:cs="Times New Roman"/>
          <w:sz w:val="24"/>
          <w:szCs w:val="24"/>
          <w:lang w:val="en-GB"/>
        </w:rPr>
        <w:t>Airoso</w:t>
      </w:r>
      <w:proofErr w:type="spellEnd"/>
      <w:r w:rsidRPr="007E2F76">
        <w:rPr>
          <w:rFonts w:ascii="Times New Roman" w:hAnsi="Times New Roman" w:cs="Times New Roman"/>
          <w:sz w:val="24"/>
          <w:szCs w:val="24"/>
          <w:lang w:val="en-GB"/>
        </w:rPr>
        <w:t xml:space="preserve">” in 2007 and also represent the Little bustard (c) and </w:t>
      </w:r>
      <w:proofErr w:type="spellStart"/>
      <w:r w:rsidRPr="007E2F76">
        <w:rPr>
          <w:rFonts w:ascii="Times New Roman" w:hAnsi="Times New Roman" w:cs="Times New Roman"/>
          <w:sz w:val="24"/>
          <w:szCs w:val="24"/>
          <w:lang w:val="en-GB"/>
        </w:rPr>
        <w:t>Rainfed</w:t>
      </w:r>
      <w:proofErr w:type="spellEnd"/>
      <w:r w:rsidRPr="007E2F76">
        <w:rPr>
          <w:rFonts w:ascii="Times New Roman" w:hAnsi="Times New Roman" w:cs="Times New Roman"/>
          <w:sz w:val="24"/>
          <w:szCs w:val="24"/>
          <w:lang w:val="en-GB"/>
        </w:rPr>
        <w:t xml:space="preserve"> (d).</w:t>
      </w:r>
    </w:p>
    <w:p w:rsidR="00845BFA" w:rsidRDefault="00845BFA">
      <w:pPr>
        <w:rPr>
          <w:lang w:val="en-GB"/>
        </w:rPr>
      </w:pPr>
      <w:r>
        <w:rPr>
          <w:lang w:val="en-GB"/>
        </w:rPr>
        <w:br w:type="page"/>
      </w:r>
    </w:p>
    <w:p w:rsidR="00845BFA" w:rsidRDefault="00845BFA">
      <w:pPr>
        <w:rPr>
          <w:lang w:val="en-GB"/>
        </w:rPr>
      </w:pPr>
    </w:p>
    <w:p w:rsidR="00845BFA" w:rsidRPr="007E2F76" w:rsidRDefault="00845BFA" w:rsidP="00845BFA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t-PT"/>
        </w:rPr>
      </w:pPr>
      <w:r w:rsidRPr="007E2F76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Table </w:t>
      </w:r>
      <w:r w:rsidR="00E626B5" w:rsidRPr="007E2F76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G. </w:t>
      </w:r>
      <w:r w:rsidRPr="007E2F76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1 Spatial autocorrelation values assessed by the Global Moran’s I statistic, based on locations and values of the explanatory variables land use/cover (</w:t>
      </w:r>
      <w:proofErr w:type="spellStart"/>
      <w:r w:rsidRPr="007E2F76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Rainfed</w:t>
      </w:r>
      <w:proofErr w:type="spellEnd"/>
      <w:r w:rsidRPr="007E2F76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and Permanent crops) and response variable (Little bustard), pertaining to the sites “Cuba” and “</w:t>
      </w:r>
      <w:proofErr w:type="spellStart"/>
      <w:r w:rsidRPr="007E2F76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Airoso</w:t>
      </w:r>
      <w:proofErr w:type="spellEnd"/>
      <w:r w:rsidRPr="007E2F76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”.</w:t>
      </w:r>
    </w:p>
    <w:tbl>
      <w:tblPr>
        <w:tblStyle w:val="Tabelacomgrelha1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640"/>
        <w:gridCol w:w="774"/>
        <w:gridCol w:w="1162"/>
        <w:gridCol w:w="1284"/>
        <w:gridCol w:w="1162"/>
        <w:gridCol w:w="1160"/>
      </w:tblGrid>
      <w:tr w:rsidR="00845BFA" w:rsidRPr="00845BFA" w:rsidTr="003D4DEE">
        <w:trPr>
          <w:trHeight w:val="662"/>
        </w:trPr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Site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Moran's Index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z-score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Variance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Cuba</w:t>
            </w:r>
          </w:p>
        </w:tc>
        <w:tc>
          <w:tcPr>
            <w:tcW w:w="964" w:type="pct"/>
            <w:tcBorders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Little bustard</w:t>
            </w:r>
          </w:p>
        </w:tc>
        <w:tc>
          <w:tcPr>
            <w:tcW w:w="455" w:type="pct"/>
            <w:tcBorders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2003</w:t>
            </w:r>
          </w:p>
        </w:tc>
        <w:tc>
          <w:tcPr>
            <w:tcW w:w="683" w:type="pct"/>
            <w:tcBorders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0.085080</w:t>
            </w:r>
          </w:p>
        </w:tc>
        <w:tc>
          <w:tcPr>
            <w:tcW w:w="755" w:type="pct"/>
            <w:tcBorders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15.447061</w:t>
            </w:r>
          </w:p>
        </w:tc>
        <w:tc>
          <w:tcPr>
            <w:tcW w:w="683" w:type="pct"/>
            <w:tcBorders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0.000034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Little bustard</w:t>
            </w:r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0.074648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13.652956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0.000034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Little bustard</w:t>
            </w:r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0.085996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15.575682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0.000034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Rainfed</w:t>
            </w:r>
            <w:proofErr w:type="spellEnd"/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2003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0.121967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22.186422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0.000034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Rainfed</w:t>
            </w:r>
            <w:proofErr w:type="spellEnd"/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0.086139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15.849545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0.000034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Rainfed</w:t>
            </w:r>
            <w:proofErr w:type="spellEnd"/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0.127811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23.451603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0.000034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Airoso</w:t>
            </w:r>
            <w:proofErr w:type="spellEnd"/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Little bustard</w:t>
            </w:r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0.125089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14.302362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Little bustard</w:t>
            </w:r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2007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0.168549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18.987366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Little bustard</w:t>
            </w:r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0.271102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29.864246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Rainfed</w:t>
            </w:r>
            <w:proofErr w:type="spellEnd"/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0.136008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15.449600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Rainfed</w:t>
            </w:r>
            <w:proofErr w:type="spellEnd"/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2007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0.181356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20.269311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Rainfed</w:t>
            </w:r>
            <w:proofErr w:type="spellEnd"/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0.222054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24.600382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Permanent crops</w:t>
            </w:r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0.127850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14.788010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Permanent crops</w:t>
            </w:r>
          </w:p>
        </w:tc>
        <w:tc>
          <w:tcPr>
            <w:tcW w:w="4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2007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0.138653</w:t>
            </w:r>
          </w:p>
        </w:tc>
        <w:tc>
          <w:tcPr>
            <w:tcW w:w="755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15.745170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  <w:tr w:rsidR="00845BFA" w:rsidRPr="00845BFA" w:rsidTr="003D4DEE">
        <w:trPr>
          <w:trHeight w:val="330"/>
        </w:trPr>
        <w:tc>
          <w:tcPr>
            <w:tcW w:w="778" w:type="pct"/>
            <w:tcBorders>
              <w:top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pct"/>
            <w:tcBorders>
              <w:top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Permanent crops</w:t>
            </w:r>
          </w:p>
        </w:tc>
        <w:tc>
          <w:tcPr>
            <w:tcW w:w="455" w:type="pct"/>
            <w:tcBorders>
              <w:top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683" w:type="pct"/>
            <w:tcBorders>
              <w:top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0.217051</w:t>
            </w:r>
          </w:p>
        </w:tc>
        <w:tc>
          <w:tcPr>
            <w:tcW w:w="755" w:type="pct"/>
            <w:tcBorders>
              <w:top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24.053983</w:t>
            </w:r>
          </w:p>
        </w:tc>
        <w:tc>
          <w:tcPr>
            <w:tcW w:w="683" w:type="pct"/>
            <w:tcBorders>
              <w:top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683" w:type="pct"/>
            <w:tcBorders>
              <w:top w:val="nil"/>
            </w:tcBorders>
            <w:vAlign w:val="center"/>
          </w:tcPr>
          <w:p w:rsidR="00845BFA" w:rsidRPr="00845BFA" w:rsidRDefault="00845BFA" w:rsidP="00845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5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0.000088</w:t>
            </w:r>
          </w:p>
        </w:tc>
      </w:tr>
    </w:tbl>
    <w:p w:rsidR="00845BFA" w:rsidRPr="00845BFA" w:rsidRDefault="00845BFA" w:rsidP="00845BFA">
      <w:pPr>
        <w:rPr>
          <w:rFonts w:ascii="Calibri" w:eastAsia="Times New Roman" w:hAnsi="Calibri" w:cs="Times New Roman"/>
          <w:lang w:eastAsia="pt-PT"/>
        </w:rPr>
      </w:pPr>
    </w:p>
    <w:p w:rsidR="00845BFA" w:rsidRPr="00845BFA" w:rsidRDefault="00845BFA">
      <w:pPr>
        <w:rPr>
          <w:lang w:val="en-GB"/>
        </w:rPr>
      </w:pPr>
    </w:p>
    <w:sectPr w:rsidR="00845BFA" w:rsidRPr="00845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FA"/>
    <w:rsid w:val="000C25A7"/>
    <w:rsid w:val="00626C3A"/>
    <w:rsid w:val="007B2508"/>
    <w:rsid w:val="007E16E5"/>
    <w:rsid w:val="007E2F76"/>
    <w:rsid w:val="00845BFA"/>
    <w:rsid w:val="008750C1"/>
    <w:rsid w:val="00AA6279"/>
    <w:rsid w:val="00C565D1"/>
    <w:rsid w:val="00E626B5"/>
    <w:rsid w:val="00F1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C544F-A5C4-4FE5-84D7-78D6C8D0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5BFA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845BFA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84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F1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Trás-os-Montes e Alto Douro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Mário Santos</cp:lastModifiedBy>
  <cp:revision>2</cp:revision>
  <dcterms:created xsi:type="dcterms:W3CDTF">2015-05-21T14:34:00Z</dcterms:created>
  <dcterms:modified xsi:type="dcterms:W3CDTF">2015-05-21T14:34:00Z</dcterms:modified>
</cp:coreProperties>
</file>