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5B85" w14:textId="50DAA71C" w:rsidR="00BB7C5D" w:rsidRPr="00130CC9" w:rsidRDefault="00E733C5" w:rsidP="00130CC9">
      <w:pPr>
        <w:spacing w:line="480" w:lineRule="auto"/>
        <w:rPr>
          <w:rFonts w:eastAsiaTheme="minorEastAsia"/>
          <w:b/>
          <w:sz w:val="24"/>
          <w:szCs w:val="24"/>
          <w:lang w:val="en-US"/>
        </w:rPr>
      </w:pPr>
      <w:r w:rsidRPr="00130CC9">
        <w:rPr>
          <w:rFonts w:eastAsiaTheme="minorEastAsia"/>
          <w:b/>
          <w:sz w:val="24"/>
          <w:szCs w:val="24"/>
          <w:lang w:val="en-US"/>
        </w:rPr>
        <w:t>Supporting information</w:t>
      </w:r>
    </w:p>
    <w:p w14:paraId="75A3FCB1" w14:textId="77777777" w:rsidR="009D12EA" w:rsidRPr="00130CC9" w:rsidRDefault="00723A22" w:rsidP="00130CC9">
      <w:pPr>
        <w:spacing w:line="480" w:lineRule="auto"/>
        <w:rPr>
          <w:rFonts w:eastAsiaTheme="minorEastAsia"/>
          <w:b/>
          <w:sz w:val="24"/>
          <w:szCs w:val="24"/>
          <w:lang w:val="en-US"/>
        </w:rPr>
      </w:pPr>
      <w:r w:rsidRPr="00130CC9">
        <w:rPr>
          <w:rFonts w:eastAsiaTheme="minorEastAsia"/>
          <w:b/>
          <w:sz w:val="24"/>
          <w:szCs w:val="24"/>
          <w:lang w:val="en-US"/>
        </w:rPr>
        <w:t>Statistical</w:t>
      </w:r>
      <w:r w:rsidR="00784D77" w:rsidRPr="00130CC9">
        <w:rPr>
          <w:rFonts w:eastAsiaTheme="minorEastAsia"/>
          <w:b/>
          <w:sz w:val="24"/>
          <w:szCs w:val="24"/>
          <w:lang w:val="en-US"/>
        </w:rPr>
        <w:t xml:space="preserve"> model</w:t>
      </w:r>
    </w:p>
    <w:p w14:paraId="2F220A6A" w14:textId="77777777" w:rsidR="00172ACA" w:rsidRPr="00130CC9" w:rsidRDefault="001B3BDC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t>F</w:t>
      </w:r>
      <w:r w:rsidR="00C90A26" w:rsidRPr="00130CC9">
        <w:rPr>
          <w:rFonts w:eastAsiaTheme="minorEastAsia"/>
          <w:sz w:val="24"/>
          <w:szCs w:val="24"/>
          <w:lang w:val="en-US"/>
        </w:rPr>
        <w:t>or</w:t>
      </w:r>
      <w:r w:rsidR="00DE38BE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540F99" w:rsidRPr="00130CC9">
        <w:rPr>
          <w:rFonts w:eastAsiaTheme="minorEastAsia"/>
          <w:sz w:val="24"/>
          <w:szCs w:val="24"/>
          <w:lang w:val="en-US"/>
        </w:rPr>
        <w:t>twin</w:t>
      </w:r>
      <w:r w:rsidR="00F972BF" w:rsidRPr="00130CC9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i</m:t>
        </m:r>
      </m:oMath>
      <w:r w:rsidR="00F25D8B" w:rsidRPr="00130CC9">
        <w:rPr>
          <w:rFonts w:eastAsiaTheme="minorEastAsia"/>
          <w:sz w:val="24"/>
          <w:szCs w:val="24"/>
          <w:lang w:val="en-US"/>
        </w:rPr>
        <w:t xml:space="preserve"> in </w:t>
      </w:r>
      <w:r w:rsidR="00540F99" w:rsidRPr="00130CC9">
        <w:rPr>
          <w:rFonts w:eastAsiaTheme="minorEastAsia"/>
          <w:sz w:val="24"/>
          <w:szCs w:val="24"/>
          <w:lang w:val="en-US"/>
        </w:rPr>
        <w:t>twin-pair</w:t>
      </w:r>
      <w:r w:rsidR="00C90A26" w:rsidRPr="00130CC9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j</m:t>
        </m:r>
      </m:oMath>
      <w:r w:rsidR="00C90A26" w:rsidRPr="00130CC9">
        <w:rPr>
          <w:rFonts w:eastAsiaTheme="minorEastAsia"/>
          <w:sz w:val="24"/>
          <w:szCs w:val="24"/>
          <w:lang w:val="en-US"/>
        </w:rPr>
        <w:t xml:space="preserve"> the </w:t>
      </w:r>
      <w:r w:rsidR="009E16BE" w:rsidRPr="00130CC9">
        <w:rPr>
          <w:rFonts w:eastAsiaTheme="minorEastAsia"/>
          <w:sz w:val="24"/>
          <w:szCs w:val="24"/>
          <w:lang w:val="en-US"/>
        </w:rPr>
        <w:t xml:space="preserve">model </w:t>
      </w:r>
      <w:r w:rsidR="00145F9B" w:rsidRPr="00130CC9">
        <w:rPr>
          <w:rFonts w:eastAsiaTheme="minorEastAsia"/>
          <w:sz w:val="24"/>
          <w:szCs w:val="24"/>
          <w:lang w:val="en-US"/>
        </w:rPr>
        <w:t xml:space="preserve">for the </w:t>
      </w:r>
      <w:r w:rsidR="00DC498B" w:rsidRPr="00130CC9">
        <w:rPr>
          <w:rFonts w:eastAsiaTheme="minorEastAsia"/>
          <w:sz w:val="24"/>
          <w:szCs w:val="24"/>
          <w:lang w:val="en-US"/>
        </w:rPr>
        <w:t xml:space="preserve">observed </w:t>
      </w:r>
      <w:r w:rsidR="003026F9" w:rsidRPr="00130CC9">
        <w:rPr>
          <w:rFonts w:eastAsiaTheme="minorEastAsia"/>
          <w:sz w:val="24"/>
          <w:szCs w:val="24"/>
          <w:lang w:val="en-US"/>
        </w:rPr>
        <w:t>responses</w:t>
      </w:r>
      <w:r w:rsidR="00DE7181" w:rsidRPr="00130CC9">
        <w:rPr>
          <w:rFonts w:eastAsiaTheme="minorEastAsia"/>
          <w:sz w:val="24"/>
          <w:szCs w:val="24"/>
          <w:lang w:val="en-US"/>
        </w:rPr>
        <w:t xml:space="preserve"> can be written</w:t>
      </w:r>
      <w:r w:rsidR="004D7979" w:rsidRPr="00130CC9">
        <w:rPr>
          <w:rFonts w:eastAsiaTheme="minorEastAsia"/>
          <w:sz w:val="24"/>
          <w:szCs w:val="24"/>
          <w:lang w:val="en-US"/>
        </w:rPr>
        <w:t xml:space="preserve"> as</w:t>
      </w:r>
    </w:p>
    <w:p w14:paraId="47F63E94" w14:textId="6F53E3CF" w:rsidR="00FD542C" w:rsidRPr="00130CC9" w:rsidRDefault="00130CC9" w:rsidP="00130CC9">
      <w:pPr>
        <w:spacing w:line="480" w:lineRule="auto"/>
        <w:rPr>
          <w:rFonts w:eastAsiaTheme="minorEastAsia"/>
          <w:b/>
          <w:i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ν+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Λ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14:paraId="4CCB84D6" w14:textId="77777777" w:rsidR="00A43FB5" w:rsidRPr="00130CC9" w:rsidRDefault="004B7B0D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t>A</w:t>
      </w:r>
      <w:r w:rsidR="00076F56" w:rsidRPr="00130CC9">
        <w:rPr>
          <w:rFonts w:eastAsiaTheme="minorEastAsia"/>
          <w:sz w:val="24"/>
          <w:szCs w:val="24"/>
          <w:lang w:val="en-US"/>
        </w:rPr>
        <w:t>nd</w:t>
      </w:r>
      <w:r w:rsidR="00ED7EAC" w:rsidRPr="00130CC9">
        <w:rPr>
          <w:rFonts w:eastAsiaTheme="minorEastAsia"/>
          <w:sz w:val="24"/>
          <w:szCs w:val="24"/>
          <w:lang w:val="en-US"/>
        </w:rPr>
        <w:t xml:space="preserve"> the </w:t>
      </w:r>
      <w:r w:rsidRPr="00130CC9">
        <w:rPr>
          <w:rFonts w:eastAsiaTheme="minorEastAsia"/>
          <w:sz w:val="24"/>
          <w:szCs w:val="24"/>
          <w:lang w:val="en-US"/>
        </w:rPr>
        <w:t>model for the common factors</w:t>
      </w:r>
      <w:r w:rsidR="004D7979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AD7932" w:rsidRPr="00130CC9">
        <w:rPr>
          <w:rFonts w:eastAsiaTheme="minorEastAsia"/>
          <w:sz w:val="24"/>
          <w:szCs w:val="24"/>
          <w:lang w:val="en-US"/>
        </w:rPr>
        <w:t xml:space="preserve">can be written </w:t>
      </w:r>
      <w:r w:rsidR="004D7979" w:rsidRPr="00130CC9">
        <w:rPr>
          <w:rFonts w:eastAsiaTheme="minorEastAsia"/>
          <w:sz w:val="24"/>
          <w:szCs w:val="24"/>
          <w:lang w:val="en-US"/>
        </w:rPr>
        <w:t>as</w:t>
      </w:r>
    </w:p>
    <w:p w14:paraId="36B3F41D" w14:textId="459A326A" w:rsidR="003F161C" w:rsidRPr="00130CC9" w:rsidRDefault="00130CC9" w:rsidP="00130CC9">
      <w:pPr>
        <w:spacing w:line="480" w:lineRule="auto"/>
        <w:rPr>
          <w:rFonts w:eastAsiaTheme="minorEastAsia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=α+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14:paraId="30A8C55E" w14:textId="47AD77A3" w:rsidR="000F20D9" w:rsidRPr="00130CC9" w:rsidRDefault="000632DD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t xml:space="preserve">Here the responses </w:t>
      </w:r>
      <w:r w:rsidR="00A607C9" w:rsidRPr="00130CC9">
        <w:rPr>
          <w:rFonts w:eastAsiaTheme="minorEastAsia"/>
          <w:sz w:val="24"/>
          <w:szCs w:val="24"/>
          <w:lang w:val="en-US"/>
        </w:rPr>
        <w:t>to the items</w:t>
      </w:r>
      <w:r w:rsidR="008821A3" w:rsidRPr="00130CC9">
        <w:rPr>
          <w:sz w:val="24"/>
          <w:szCs w:val="24"/>
          <w:lang w:val="en-US"/>
        </w:rPr>
        <w:t xml:space="preserve"> at 1.5 years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8821A3" w:rsidRPr="00130CC9">
        <w:rPr>
          <w:rFonts w:eastAsiaTheme="minorEastAsia"/>
          <w:sz w:val="24"/>
          <w:szCs w:val="24"/>
          <w:lang w:val="en-US"/>
        </w:rPr>
        <w:t xml:space="preserve">, 3 years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8821A3" w:rsidRPr="00130CC9">
        <w:rPr>
          <w:rFonts w:eastAsiaTheme="minorEastAsia"/>
          <w:sz w:val="24"/>
          <w:szCs w:val="24"/>
          <w:lang w:val="en-US"/>
        </w:rPr>
        <w:t xml:space="preserve"> and 5 years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8821A3" w:rsidRPr="00130CC9">
        <w:rPr>
          <w:rFonts w:eastAsiaTheme="minorEastAsia"/>
          <w:sz w:val="24"/>
          <w:szCs w:val="24"/>
          <w:lang w:val="en-US"/>
        </w:rPr>
        <w:t xml:space="preserve"> are stacked </w:t>
      </w:r>
      <w:r w:rsidR="00051257" w:rsidRPr="00130CC9">
        <w:rPr>
          <w:rFonts w:eastAsiaTheme="minorEastAsia"/>
          <w:sz w:val="24"/>
          <w:szCs w:val="24"/>
          <w:lang w:val="en-US"/>
        </w:rPr>
        <w:t>on top of</w:t>
      </w:r>
      <w:r w:rsidR="00F06295" w:rsidRPr="00130CC9">
        <w:rPr>
          <w:rFonts w:eastAsiaTheme="minorEastAsia"/>
          <w:sz w:val="24"/>
          <w:szCs w:val="24"/>
          <w:lang w:val="en-US"/>
        </w:rPr>
        <w:t xml:space="preserve"> each other</w:t>
      </w:r>
      <w:r w:rsidR="00BB3A5F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0D0B25" w:rsidRPr="00130CC9">
        <w:rPr>
          <w:rFonts w:eastAsiaTheme="minorEastAsia"/>
          <w:sz w:val="24"/>
          <w:szCs w:val="24"/>
          <w:lang w:val="en-US"/>
        </w:rPr>
        <w:t>in</w:t>
      </w:r>
      <w:r w:rsidR="00BB3A5F" w:rsidRPr="00130CC9">
        <w:rPr>
          <w:rFonts w:eastAsiaTheme="minorEastAsia"/>
          <w:sz w:val="24"/>
          <w:szCs w:val="24"/>
          <w:lang w:val="en-US"/>
        </w:rPr>
        <w:t xml:space="preserve"> a (4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3A5F" w:rsidRPr="00130CC9">
        <w:rPr>
          <w:rFonts w:eastAsiaTheme="minorEastAsia"/>
          <w:sz w:val="24"/>
          <w:szCs w:val="24"/>
          <w:lang w:val="en-US"/>
        </w:rPr>
        <w:t>+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3A5F" w:rsidRPr="00130CC9">
        <w:rPr>
          <w:rFonts w:eastAsiaTheme="minorEastAsia"/>
          <w:sz w:val="24"/>
          <w:szCs w:val="24"/>
          <w:lang w:val="en-US"/>
        </w:rPr>
        <w:t>6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3A5F" w:rsidRPr="00130CC9">
        <w:rPr>
          <w:rFonts w:eastAsiaTheme="minorEastAsia"/>
          <w:sz w:val="24"/>
          <w:szCs w:val="24"/>
          <w:lang w:val="en-US"/>
        </w:rPr>
        <w:t>+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3A5F" w:rsidRPr="00130CC9">
        <w:rPr>
          <w:rFonts w:eastAsiaTheme="minorEastAsia"/>
          <w:sz w:val="24"/>
          <w:szCs w:val="24"/>
          <w:lang w:val="en-US"/>
        </w:rPr>
        <w:t>6)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3A5F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3A5F" w:rsidRPr="00130CC9">
        <w:rPr>
          <w:rFonts w:eastAsiaTheme="minorEastAsia"/>
          <w:sz w:val="24"/>
          <w:szCs w:val="24"/>
          <w:lang w:val="en-US"/>
        </w:rPr>
        <w:t>1 vector</w:t>
      </w:r>
      <w:r w:rsidR="00F06295" w:rsidRPr="00130CC9">
        <w:rPr>
          <w:rFonts w:eastAsiaTheme="minorEastAsia"/>
          <w:sz w:val="24"/>
          <w:szCs w:val="24"/>
          <w:lang w:val="en-US"/>
        </w:rPr>
        <w:t>.</w:t>
      </w:r>
      <w:r w:rsidR="007A3115" w:rsidRPr="00130CC9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ν</m:t>
        </m:r>
      </m:oMath>
      <w:r w:rsidR="00650720" w:rsidRPr="00130CC9">
        <w:rPr>
          <w:rFonts w:eastAsiaTheme="minorEastAsia"/>
          <w:sz w:val="24"/>
          <w:szCs w:val="24"/>
          <w:lang w:val="en-US"/>
        </w:rPr>
        <w:t xml:space="preserve"> is a </w:t>
      </w:r>
      <w:r w:rsidR="001D2400" w:rsidRPr="00130CC9">
        <w:rPr>
          <w:rFonts w:eastAsiaTheme="minorEastAsia"/>
          <w:sz w:val="24"/>
          <w:szCs w:val="24"/>
          <w:lang w:val="en-US"/>
        </w:rPr>
        <w:t>16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1D2400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1D2400" w:rsidRPr="00130CC9">
        <w:rPr>
          <w:rFonts w:eastAsiaTheme="minorEastAsia"/>
          <w:sz w:val="24"/>
          <w:szCs w:val="24"/>
          <w:lang w:val="en-US"/>
        </w:rPr>
        <w:t xml:space="preserve">1 </w:t>
      </w:r>
      <w:r w:rsidR="00650720" w:rsidRPr="00130CC9">
        <w:rPr>
          <w:rFonts w:eastAsiaTheme="minorEastAsia"/>
          <w:sz w:val="24"/>
          <w:szCs w:val="24"/>
          <w:lang w:val="en-US"/>
        </w:rPr>
        <w:t xml:space="preserve">vector of item intercepts.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Λ</m:t>
        </m:r>
      </m:oMath>
      <w:r w:rsidR="00386CE1" w:rsidRPr="00130CC9">
        <w:rPr>
          <w:rFonts w:eastAsiaTheme="minorEastAsia"/>
          <w:sz w:val="24"/>
          <w:szCs w:val="24"/>
          <w:lang w:val="en-US"/>
        </w:rPr>
        <w:t xml:space="preserve"> is a</w:t>
      </w:r>
      <w:r w:rsidR="008535F5" w:rsidRPr="00130CC9">
        <w:rPr>
          <w:rFonts w:eastAsiaTheme="minorEastAsia"/>
          <w:sz w:val="24"/>
          <w:szCs w:val="24"/>
          <w:lang w:val="en-US"/>
        </w:rPr>
        <w:t xml:space="preserve"> 16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8535F5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8535F5" w:rsidRPr="00130CC9">
        <w:rPr>
          <w:rFonts w:eastAsiaTheme="minorEastAsia"/>
          <w:sz w:val="24"/>
          <w:szCs w:val="24"/>
          <w:lang w:val="en-US"/>
        </w:rPr>
        <w:t xml:space="preserve">3 matrix of factor loadings </w:t>
      </w:r>
      <w:r w:rsidR="00386CE1" w:rsidRPr="00130CC9">
        <w:rPr>
          <w:rFonts w:eastAsiaTheme="minorEastAsia"/>
          <w:sz w:val="24"/>
          <w:szCs w:val="24"/>
          <w:lang w:val="en-US"/>
        </w:rPr>
        <w:t xml:space="preserve">relating </w:t>
      </w:r>
      <w:r w:rsidR="00CA052B" w:rsidRPr="00130CC9">
        <w:rPr>
          <w:rFonts w:eastAsiaTheme="minorEastAsia"/>
          <w:sz w:val="24"/>
          <w:szCs w:val="24"/>
          <w:lang w:val="en-US"/>
        </w:rPr>
        <w:t>the responses</w:t>
      </w:r>
      <w:r w:rsidR="00A06D3B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F74828" w:rsidRPr="00130CC9">
        <w:rPr>
          <w:rFonts w:eastAsiaTheme="minorEastAsia"/>
          <w:sz w:val="24"/>
          <w:szCs w:val="24"/>
          <w:lang w:val="en-US"/>
        </w:rPr>
        <w:t xml:space="preserve">to the </w:t>
      </w:r>
      <w:r w:rsidR="00F34DA2" w:rsidRPr="00130CC9">
        <w:rPr>
          <w:rFonts w:eastAsiaTheme="minorEastAsia"/>
          <w:sz w:val="24"/>
          <w:szCs w:val="24"/>
          <w:lang w:val="en-US"/>
        </w:rPr>
        <w:t>3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F34DA2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F34DA2" w:rsidRPr="00130CC9">
        <w:rPr>
          <w:rFonts w:eastAsiaTheme="minorEastAsia"/>
          <w:sz w:val="24"/>
          <w:szCs w:val="24"/>
          <w:lang w:val="en-US"/>
        </w:rPr>
        <w:t xml:space="preserve">1 vector of </w:t>
      </w:r>
      <w:r w:rsidR="00F74828" w:rsidRPr="00130CC9">
        <w:rPr>
          <w:rFonts w:eastAsiaTheme="minorEastAsia"/>
          <w:sz w:val="24"/>
          <w:szCs w:val="24"/>
          <w:lang w:val="en-US"/>
        </w:rPr>
        <w:t xml:space="preserve">common factors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AD72FB" w:rsidRPr="00130CC9">
        <w:rPr>
          <w:rFonts w:eastAsiaTheme="minorEastAsia"/>
          <w:sz w:val="24"/>
          <w:szCs w:val="24"/>
          <w:lang w:val="en-US"/>
        </w:rPr>
        <w:t xml:space="preserve">. </w:t>
      </w:r>
      <w:r w:rsidR="006C745B" w:rsidRPr="00130CC9">
        <w:rPr>
          <w:rFonts w:eastAsiaTheme="minorEastAsia"/>
          <w:sz w:val="24"/>
          <w:szCs w:val="24"/>
          <w:lang w:val="en-US"/>
        </w:rPr>
        <w:t xml:space="preserve">In the path diagram in the text, </w:t>
      </w:r>
      <w:r w:rsidR="00AF25D8" w:rsidRPr="00130CC9">
        <w:rPr>
          <w:rFonts w:eastAsiaTheme="minorEastAsia"/>
          <w:sz w:val="24"/>
          <w:szCs w:val="24"/>
          <w:lang w:val="en-US"/>
        </w:rPr>
        <w:t xml:space="preserve">genetic and environmental contributions </w:t>
      </w:r>
      <w:r w:rsidR="007D53B9" w:rsidRPr="00130CC9">
        <w:rPr>
          <w:rFonts w:eastAsiaTheme="minorEastAsia"/>
          <w:sz w:val="24"/>
          <w:szCs w:val="24"/>
          <w:lang w:val="en-US"/>
        </w:rPr>
        <w:t xml:space="preserve">to the item-specific residuals </w:t>
      </w:r>
      <w:r w:rsidR="00EF3E11" w:rsidRPr="00130CC9">
        <w:rPr>
          <w:rFonts w:eastAsiaTheme="minorEastAsia"/>
          <w:sz w:val="24"/>
          <w:szCs w:val="24"/>
          <w:lang w:val="en-US"/>
        </w:rPr>
        <w:t xml:space="preserve">was depicted as </w:t>
      </w:r>
      <w:r w:rsidR="00202EC4" w:rsidRPr="00130CC9">
        <w:rPr>
          <w:rFonts w:eastAsiaTheme="minorEastAsia"/>
          <w:sz w:val="24"/>
          <w:szCs w:val="24"/>
          <w:lang w:val="en-US"/>
        </w:rPr>
        <w:t>correlated factors</w:t>
      </w:r>
      <w:r w:rsidR="00C618EC" w:rsidRPr="00130CC9">
        <w:rPr>
          <w:rFonts w:eastAsiaTheme="minorEastAsia"/>
          <w:sz w:val="24"/>
          <w:szCs w:val="24"/>
          <w:lang w:val="en-US"/>
        </w:rPr>
        <w:t xml:space="preserve"> for clarity</w:t>
      </w:r>
      <w:r w:rsidR="00541CE1" w:rsidRPr="00130CC9">
        <w:rPr>
          <w:rFonts w:eastAsiaTheme="minorEastAsia"/>
          <w:sz w:val="24"/>
          <w:szCs w:val="24"/>
          <w:lang w:val="en-US"/>
        </w:rPr>
        <w:t xml:space="preserve">. </w:t>
      </w:r>
      <w:r w:rsidR="00F16E5A" w:rsidRPr="00130CC9">
        <w:rPr>
          <w:rFonts w:eastAsiaTheme="minorEastAsia"/>
          <w:sz w:val="24"/>
          <w:szCs w:val="24"/>
          <w:lang w:val="en-US"/>
        </w:rPr>
        <w:t>F</w:t>
      </w:r>
      <w:r w:rsidR="00A555E2" w:rsidRPr="00130CC9">
        <w:rPr>
          <w:rFonts w:eastAsiaTheme="minorEastAsia"/>
          <w:sz w:val="24"/>
          <w:szCs w:val="24"/>
          <w:lang w:val="en-US"/>
        </w:rPr>
        <w:t>or computational reason</w:t>
      </w:r>
      <w:r w:rsidR="002A1AE3" w:rsidRPr="00130CC9">
        <w:rPr>
          <w:rFonts w:eastAsiaTheme="minorEastAsia"/>
          <w:sz w:val="24"/>
          <w:szCs w:val="24"/>
          <w:lang w:val="en-US"/>
        </w:rPr>
        <w:t>s</w:t>
      </w:r>
      <w:r w:rsidR="00FD542C" w:rsidRPr="00130CC9">
        <w:rPr>
          <w:rFonts w:eastAsiaTheme="minorEastAsia"/>
          <w:sz w:val="24"/>
          <w:szCs w:val="24"/>
          <w:lang w:val="en-US"/>
        </w:rPr>
        <w:t>,</w:t>
      </w:r>
      <w:r w:rsidR="00921A4A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2A1AE3" w:rsidRPr="00130CC9">
        <w:rPr>
          <w:rFonts w:eastAsiaTheme="minorEastAsia"/>
          <w:sz w:val="24"/>
          <w:szCs w:val="24"/>
          <w:lang w:val="en-US"/>
        </w:rPr>
        <w:t xml:space="preserve">these </w:t>
      </w:r>
      <w:r w:rsidR="009D6B52" w:rsidRPr="00130CC9">
        <w:rPr>
          <w:rFonts w:eastAsiaTheme="minorEastAsia"/>
          <w:sz w:val="24"/>
          <w:szCs w:val="24"/>
          <w:lang w:val="en-US"/>
        </w:rPr>
        <w:t>w</w:t>
      </w:r>
      <w:r w:rsidR="00FF5742" w:rsidRPr="00130CC9">
        <w:rPr>
          <w:rFonts w:eastAsiaTheme="minorEastAsia"/>
          <w:sz w:val="24"/>
          <w:szCs w:val="24"/>
          <w:lang w:val="en-US"/>
        </w:rPr>
        <w:t>ere</w:t>
      </w:r>
      <w:r w:rsidR="009D6B52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60218" w:rsidRPr="00130CC9">
        <w:rPr>
          <w:rFonts w:eastAsiaTheme="minorEastAsia"/>
          <w:sz w:val="24"/>
          <w:szCs w:val="24"/>
          <w:lang w:val="en-US"/>
        </w:rPr>
        <w:t>estimated</w:t>
      </w:r>
      <w:r w:rsidR="0090037E" w:rsidRPr="00130CC9">
        <w:rPr>
          <w:rFonts w:eastAsiaTheme="minorEastAsia"/>
          <w:sz w:val="24"/>
          <w:szCs w:val="24"/>
          <w:lang w:val="en-US"/>
        </w:rPr>
        <w:t xml:space="preserve"> using a </w:t>
      </w:r>
      <w:proofErr w:type="spellStart"/>
      <w:r w:rsidR="0090037E" w:rsidRPr="00130CC9">
        <w:rPr>
          <w:rFonts w:eastAsiaTheme="minorEastAsia"/>
          <w:sz w:val="24"/>
          <w:szCs w:val="24"/>
          <w:lang w:val="en-US"/>
        </w:rPr>
        <w:t>C</w:t>
      </w:r>
      <w:r w:rsidR="00B60218" w:rsidRPr="00130CC9">
        <w:rPr>
          <w:rFonts w:eastAsiaTheme="minorEastAsia"/>
          <w:sz w:val="24"/>
          <w:szCs w:val="24"/>
          <w:lang w:val="en-US"/>
        </w:rPr>
        <w:t>holesky</w:t>
      </w:r>
      <w:proofErr w:type="spellEnd"/>
      <w:r w:rsidR="00B60218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8E4FB6" w:rsidRPr="00130CC9">
        <w:rPr>
          <w:rFonts w:eastAsiaTheme="minorEastAsia"/>
          <w:sz w:val="24"/>
          <w:szCs w:val="24"/>
          <w:lang w:val="en-US"/>
        </w:rPr>
        <w:t>parametrization</w:t>
      </w:r>
      <w:r w:rsidR="00B71F5E" w:rsidRPr="00130CC9">
        <w:rPr>
          <w:rFonts w:eastAsiaTheme="minorEastAsia"/>
          <w:sz w:val="24"/>
          <w:szCs w:val="24"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C34C00" w:rsidRPr="00130CC9">
        <w:rPr>
          <w:rFonts w:eastAsiaTheme="minorEastAsia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C34C00" w:rsidRPr="00130CC9">
        <w:rPr>
          <w:rFonts w:eastAsiaTheme="minorEastAsia"/>
          <w:sz w:val="24"/>
          <w:szCs w:val="24"/>
          <w:lang w:val="en-US"/>
        </w:rPr>
        <w:t>,</w:t>
      </w:r>
      <w:r w:rsidR="00C34C00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C34C00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w:r w:rsidR="00C34C00" w:rsidRPr="00130CC9">
        <w:rPr>
          <w:rFonts w:eastAsiaTheme="minorEastAsia"/>
          <w:sz w:val="24"/>
          <w:szCs w:val="24"/>
          <w:lang w:val="en-US"/>
        </w:rPr>
        <w:t>and</w:t>
      </w:r>
      <w:r w:rsidR="00C34C00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2149B0" w:rsidRPr="00130CC9">
        <w:rPr>
          <w:rFonts w:eastAsiaTheme="minorEastAsia"/>
          <w:sz w:val="24"/>
          <w:szCs w:val="24"/>
          <w:lang w:val="en-US"/>
        </w:rPr>
        <w:t xml:space="preserve"> therefore refers to </w:t>
      </w:r>
      <w:r w:rsidR="00922447" w:rsidRPr="00130CC9">
        <w:rPr>
          <w:rFonts w:eastAsiaTheme="minorEastAsia"/>
          <w:sz w:val="24"/>
          <w:szCs w:val="24"/>
          <w:lang w:val="en-US"/>
        </w:rPr>
        <w:t>16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922447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922447" w:rsidRPr="00130CC9">
        <w:rPr>
          <w:rFonts w:eastAsiaTheme="minorEastAsia"/>
          <w:sz w:val="24"/>
          <w:szCs w:val="24"/>
          <w:lang w:val="en-US"/>
        </w:rPr>
        <w:t xml:space="preserve">1 vectors of </w:t>
      </w:r>
      <w:r w:rsidR="002149B0" w:rsidRPr="00130CC9">
        <w:rPr>
          <w:rFonts w:eastAsiaTheme="minorEastAsia"/>
          <w:sz w:val="24"/>
          <w:szCs w:val="24"/>
          <w:lang w:val="en-US"/>
        </w:rPr>
        <w:t xml:space="preserve">independent standard normal </w:t>
      </w:r>
      <w:r w:rsidR="002F36B8" w:rsidRPr="00130CC9">
        <w:rPr>
          <w:rFonts w:eastAsiaTheme="minorEastAsia"/>
          <w:sz w:val="24"/>
          <w:szCs w:val="24"/>
          <w:lang w:val="en-US"/>
        </w:rPr>
        <w:t>variables</w:t>
      </w:r>
      <w:r w:rsidR="002149B0" w:rsidRPr="00130CC9">
        <w:rPr>
          <w:rFonts w:eastAsiaTheme="minorEastAsia"/>
          <w:sz w:val="24"/>
          <w:szCs w:val="24"/>
          <w:lang w:val="en-US"/>
        </w:rPr>
        <w:t xml:space="preserve">, </w:t>
      </w:r>
      <w:r w:rsidR="0029489F" w:rsidRPr="00130CC9">
        <w:rPr>
          <w:rFonts w:eastAsiaTheme="minorEastAsia"/>
          <w:sz w:val="24"/>
          <w:szCs w:val="24"/>
          <w:lang w:val="en-US"/>
        </w:rPr>
        <w:t>with 16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29489F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29489F" w:rsidRPr="00130CC9">
        <w:rPr>
          <w:rFonts w:eastAsiaTheme="minorEastAsia"/>
          <w:sz w:val="24"/>
          <w:szCs w:val="24"/>
          <w:lang w:val="en-US"/>
        </w:rPr>
        <w:t xml:space="preserve">16 </w:t>
      </w:r>
      <w:r w:rsidR="00E4211F" w:rsidRPr="00130CC9">
        <w:rPr>
          <w:rFonts w:eastAsiaTheme="minorEastAsia"/>
          <w:sz w:val="24"/>
          <w:szCs w:val="24"/>
          <w:lang w:val="en-US"/>
        </w:rPr>
        <w:t>coefficient</w:t>
      </w:r>
      <w:r w:rsidR="0029489F" w:rsidRPr="00130CC9">
        <w:rPr>
          <w:rFonts w:eastAsiaTheme="minorEastAsia"/>
          <w:sz w:val="24"/>
          <w:szCs w:val="24"/>
          <w:lang w:val="en-US"/>
        </w:rPr>
        <w:t xml:space="preserve"> matrices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</m:oMath>
      <w:r w:rsidR="004E53CA" w:rsidRPr="00130CC9">
        <w:rPr>
          <w:rFonts w:eastAsiaTheme="minorEastAsia"/>
          <w:sz w:val="24"/>
          <w:szCs w:val="24"/>
          <w:lang w:val="en-US"/>
        </w:rPr>
        <w:t>,</w:t>
      </w:r>
      <w:r w:rsidR="004E53CA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</m:oMath>
      <w:r w:rsidR="004E53CA" w:rsidRPr="00130CC9">
        <w:rPr>
          <w:rFonts w:eastAsiaTheme="minorEastAsia"/>
          <w:sz w:val="24"/>
          <w:szCs w:val="24"/>
          <w:lang w:val="en-US"/>
        </w:rPr>
        <w:t>,</w:t>
      </w:r>
      <w:r w:rsidR="004E53CA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</m:oMath>
      <w:r w:rsidR="004E53CA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w:r w:rsidR="004E53CA" w:rsidRPr="00130CC9">
        <w:rPr>
          <w:rFonts w:eastAsiaTheme="minorEastAsia"/>
          <w:sz w:val="24"/>
          <w:szCs w:val="24"/>
          <w:lang w:val="en-US"/>
        </w:rPr>
        <w:t>and</w:t>
      </w:r>
      <w:r w:rsidR="004E53CA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</m:oMath>
      <w:r w:rsidR="00F5313F" w:rsidRPr="00130CC9">
        <w:rPr>
          <w:rFonts w:eastAsiaTheme="minorEastAsia"/>
          <w:sz w:val="24"/>
          <w:szCs w:val="24"/>
          <w:lang w:val="en-US"/>
        </w:rPr>
        <w:t xml:space="preserve"> (</w:t>
      </w:r>
      <w:r w:rsidR="00577BA8" w:rsidRPr="00130CC9">
        <w:rPr>
          <w:rFonts w:eastAsiaTheme="minorEastAsia"/>
          <w:sz w:val="24"/>
          <w:szCs w:val="24"/>
          <w:lang w:val="en-US"/>
        </w:rPr>
        <w:t xml:space="preserve">lower diagonal </w:t>
      </w:r>
      <w:r w:rsidR="00F5313F" w:rsidRPr="00130CC9">
        <w:rPr>
          <w:rFonts w:eastAsiaTheme="minorEastAsia"/>
          <w:sz w:val="24"/>
          <w:szCs w:val="24"/>
          <w:lang w:val="en-US"/>
        </w:rPr>
        <w:t xml:space="preserve">with most </w:t>
      </w:r>
      <w:r w:rsidR="00887A9D" w:rsidRPr="00130CC9">
        <w:rPr>
          <w:rFonts w:eastAsiaTheme="minorEastAsia"/>
          <w:sz w:val="24"/>
          <w:szCs w:val="24"/>
          <w:lang w:val="en-US"/>
        </w:rPr>
        <w:t xml:space="preserve">off-diagonal </w:t>
      </w:r>
      <w:r w:rsidR="00F5313F" w:rsidRPr="00130CC9">
        <w:rPr>
          <w:rFonts w:eastAsiaTheme="minorEastAsia"/>
          <w:sz w:val="24"/>
          <w:szCs w:val="24"/>
          <w:lang w:val="en-US"/>
        </w:rPr>
        <w:t>ele</w:t>
      </w:r>
      <w:r w:rsidR="00111F78" w:rsidRPr="00130CC9">
        <w:rPr>
          <w:rFonts w:eastAsiaTheme="minorEastAsia"/>
          <w:sz w:val="24"/>
          <w:szCs w:val="24"/>
          <w:lang w:val="en-US"/>
        </w:rPr>
        <w:t>m</w:t>
      </w:r>
      <w:r w:rsidR="00F5313F" w:rsidRPr="00130CC9">
        <w:rPr>
          <w:rFonts w:eastAsiaTheme="minorEastAsia"/>
          <w:sz w:val="24"/>
          <w:szCs w:val="24"/>
          <w:lang w:val="en-US"/>
        </w:rPr>
        <w:t>en</w:t>
      </w:r>
      <w:r w:rsidR="00111F78" w:rsidRPr="00130CC9">
        <w:rPr>
          <w:rFonts w:eastAsiaTheme="minorEastAsia"/>
          <w:sz w:val="24"/>
          <w:szCs w:val="24"/>
          <w:lang w:val="en-US"/>
        </w:rPr>
        <w:t>ts set to zero)</w:t>
      </w:r>
      <w:r w:rsidR="00F5313F" w:rsidRPr="00130CC9">
        <w:rPr>
          <w:rFonts w:eastAsiaTheme="minorEastAsia"/>
          <w:sz w:val="24"/>
          <w:szCs w:val="24"/>
          <w:lang w:val="en-US"/>
        </w:rPr>
        <w:t>.</w:t>
      </w:r>
    </w:p>
    <w:p w14:paraId="55A86FE7" w14:textId="13E790F9" w:rsidR="00C433A4" w:rsidRPr="00130CC9" w:rsidRDefault="00CB1DF2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t>The common factor</w:t>
      </w:r>
      <w:r w:rsidR="00F10959" w:rsidRPr="00130CC9">
        <w:rPr>
          <w:rFonts w:eastAsiaTheme="minorEastAsia"/>
          <w:sz w:val="24"/>
          <w:szCs w:val="24"/>
          <w:lang w:val="en-US"/>
        </w:rPr>
        <w:t>s</w:t>
      </w:r>
      <w:r w:rsidR="008271F5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E8718D" w:rsidRPr="00130CC9">
        <w:rPr>
          <w:rFonts w:eastAsiaTheme="minorEastAsia"/>
          <w:sz w:val="24"/>
          <w:szCs w:val="24"/>
          <w:lang w:val="en-US"/>
        </w:rPr>
        <w:t>w</w:t>
      </w:r>
      <w:r w:rsidR="00CF6C08" w:rsidRPr="00130CC9">
        <w:rPr>
          <w:rFonts w:eastAsiaTheme="minorEastAsia"/>
          <w:sz w:val="24"/>
          <w:szCs w:val="24"/>
          <w:lang w:val="en-US"/>
        </w:rPr>
        <w:t>ere</w:t>
      </w:r>
      <w:r w:rsidR="00E8718D" w:rsidRPr="00130CC9">
        <w:rPr>
          <w:rFonts w:eastAsiaTheme="minorEastAsia"/>
          <w:sz w:val="24"/>
          <w:szCs w:val="24"/>
          <w:lang w:val="en-US"/>
        </w:rPr>
        <w:t xml:space="preserve"> further </w:t>
      </w:r>
      <w:r w:rsidR="00A413F0" w:rsidRPr="00130CC9">
        <w:rPr>
          <w:rFonts w:eastAsiaTheme="minorEastAsia"/>
          <w:sz w:val="24"/>
          <w:szCs w:val="24"/>
          <w:lang w:val="en-US"/>
        </w:rPr>
        <w:t>specified</w:t>
      </w:r>
      <w:r w:rsidR="00852FF5" w:rsidRPr="00130CC9">
        <w:rPr>
          <w:rFonts w:eastAsiaTheme="minorEastAsia"/>
          <w:sz w:val="24"/>
          <w:szCs w:val="24"/>
          <w:lang w:val="en-US"/>
        </w:rPr>
        <w:t xml:space="preserve"> to have a 3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852FF5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852FF5" w:rsidRPr="00130CC9">
        <w:rPr>
          <w:rFonts w:eastAsiaTheme="minorEastAsia"/>
          <w:sz w:val="24"/>
          <w:szCs w:val="24"/>
          <w:lang w:val="en-US"/>
        </w:rPr>
        <w:t xml:space="preserve">1 vector </w:t>
      </w:r>
      <w:r w:rsidR="00586814" w:rsidRPr="00130CC9">
        <w:rPr>
          <w:rFonts w:eastAsiaTheme="minorEastAsia"/>
          <w:sz w:val="24"/>
          <w:szCs w:val="24"/>
          <w:lang w:val="en-US"/>
        </w:rPr>
        <w:t xml:space="preserve">of means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 w:rsidR="004E6A13" w:rsidRPr="00130CC9">
        <w:rPr>
          <w:rFonts w:eastAsiaTheme="minorEastAsia"/>
          <w:sz w:val="24"/>
          <w:szCs w:val="24"/>
          <w:lang w:val="en-US"/>
        </w:rPr>
        <w:t xml:space="preserve">. </w:t>
      </w:r>
      <w:r w:rsidR="00A413F0" w:rsidRPr="00130CC9">
        <w:rPr>
          <w:rFonts w:eastAsiaTheme="minorEastAsia"/>
          <w:sz w:val="24"/>
          <w:szCs w:val="24"/>
          <w:lang w:val="en-US"/>
        </w:rPr>
        <w:t xml:space="preserve">Similar to the observed responses, </w:t>
      </w:r>
      <w:r w:rsidR="00A77DB6" w:rsidRPr="00130CC9">
        <w:rPr>
          <w:rFonts w:eastAsiaTheme="minorEastAsia"/>
          <w:sz w:val="24"/>
          <w:szCs w:val="24"/>
          <w:lang w:val="en-US"/>
        </w:rPr>
        <w:t xml:space="preserve">the </w:t>
      </w:r>
      <w:r w:rsidR="00A84C38" w:rsidRPr="00130CC9">
        <w:rPr>
          <w:rFonts w:eastAsiaTheme="minorEastAsia"/>
          <w:sz w:val="24"/>
          <w:szCs w:val="24"/>
          <w:lang w:val="en-US"/>
        </w:rPr>
        <w:t>laten</w:t>
      </w:r>
      <w:r w:rsidR="00CA4374" w:rsidRPr="00130CC9">
        <w:rPr>
          <w:rFonts w:eastAsiaTheme="minorEastAsia"/>
          <w:sz w:val="24"/>
          <w:szCs w:val="24"/>
          <w:lang w:val="en-US"/>
        </w:rPr>
        <w:t>t</w:t>
      </w:r>
      <w:r w:rsidR="00A84C38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A77DB6" w:rsidRPr="00130CC9">
        <w:rPr>
          <w:rFonts w:eastAsiaTheme="minorEastAsia"/>
          <w:sz w:val="24"/>
          <w:szCs w:val="24"/>
          <w:lang w:val="en-US"/>
        </w:rPr>
        <w:t xml:space="preserve">genetic and environmental </w:t>
      </w:r>
      <w:r w:rsidR="00307679" w:rsidRPr="00130CC9">
        <w:rPr>
          <w:rFonts w:eastAsiaTheme="minorEastAsia"/>
          <w:sz w:val="24"/>
          <w:szCs w:val="24"/>
          <w:lang w:val="en-US"/>
        </w:rPr>
        <w:t xml:space="preserve">contribution </w:t>
      </w:r>
      <w:r w:rsidR="007E65BD" w:rsidRPr="00130CC9">
        <w:rPr>
          <w:rFonts w:eastAsiaTheme="minorEastAsia"/>
          <w:sz w:val="24"/>
          <w:szCs w:val="24"/>
          <w:lang w:val="en-US"/>
        </w:rPr>
        <w:t xml:space="preserve">to the common factors was </w:t>
      </w:r>
      <w:r w:rsidR="00CA1788" w:rsidRPr="00130CC9">
        <w:rPr>
          <w:rFonts w:eastAsiaTheme="minorEastAsia"/>
          <w:sz w:val="24"/>
          <w:szCs w:val="24"/>
          <w:lang w:val="en-US"/>
        </w:rPr>
        <w:t>specified</w:t>
      </w:r>
      <w:r w:rsidR="007E65BD" w:rsidRPr="00130CC9">
        <w:rPr>
          <w:rFonts w:eastAsiaTheme="minorEastAsia"/>
          <w:sz w:val="24"/>
          <w:szCs w:val="24"/>
          <w:lang w:val="en-US"/>
        </w:rPr>
        <w:t xml:space="preserve"> as </w:t>
      </w:r>
      <w:r w:rsidR="00682EFC" w:rsidRPr="00130CC9">
        <w:rPr>
          <w:rFonts w:eastAsiaTheme="minorEastAsia"/>
          <w:sz w:val="24"/>
          <w:szCs w:val="24"/>
          <w:lang w:val="en-US"/>
        </w:rPr>
        <w:t>3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682EFC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045D54" w:rsidRPr="00130CC9">
        <w:rPr>
          <w:rFonts w:eastAsiaTheme="minorEastAsia"/>
          <w:sz w:val="24"/>
          <w:szCs w:val="24"/>
          <w:lang w:val="en-US"/>
        </w:rPr>
        <w:t xml:space="preserve">1 vectors of </w:t>
      </w:r>
      <w:r w:rsidR="00426330" w:rsidRPr="00130CC9">
        <w:rPr>
          <w:rFonts w:eastAsiaTheme="minorEastAsia"/>
          <w:sz w:val="24"/>
          <w:szCs w:val="24"/>
          <w:lang w:val="en-US"/>
        </w:rPr>
        <w:t>indepen</w:t>
      </w:r>
      <w:r w:rsidR="00045D54" w:rsidRPr="00130CC9">
        <w:rPr>
          <w:rFonts w:eastAsiaTheme="minorEastAsia"/>
          <w:sz w:val="24"/>
          <w:szCs w:val="24"/>
          <w:lang w:val="en-US"/>
        </w:rPr>
        <w:t xml:space="preserve">dent standard normal </w:t>
      </w:r>
      <w:r w:rsidR="008930FF" w:rsidRPr="00130CC9">
        <w:rPr>
          <w:rFonts w:eastAsiaTheme="minorEastAsia"/>
          <w:sz w:val="24"/>
          <w:szCs w:val="24"/>
          <w:lang w:val="en-US"/>
        </w:rPr>
        <w:t>variables</w:t>
      </w:r>
      <w:r w:rsidR="00045D54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945B96" w:rsidRPr="00130CC9">
        <w:rPr>
          <w:rFonts w:eastAsiaTheme="minorEastAsia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045D54" w:rsidRPr="00130CC9">
        <w:rPr>
          <w:rFonts w:eastAsiaTheme="minorEastAsia"/>
          <w:sz w:val="24"/>
          <w:szCs w:val="24"/>
          <w:lang w:val="en-US"/>
        </w:rPr>
        <w:t>,</w:t>
      </w:r>
      <w:r w:rsidR="00045D54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045D54" w:rsidRPr="00130CC9">
        <w:rPr>
          <w:rFonts w:eastAsiaTheme="minorEastAsia"/>
          <w:sz w:val="24"/>
          <w:szCs w:val="24"/>
          <w:lang w:val="en-US"/>
        </w:rPr>
        <w:t>,</w:t>
      </w:r>
      <w:r w:rsidR="00045D54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045D54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w:r w:rsidR="00045D54" w:rsidRPr="00130CC9">
        <w:rPr>
          <w:rFonts w:eastAsiaTheme="minorEastAsia"/>
          <w:sz w:val="24"/>
          <w:szCs w:val="24"/>
          <w:lang w:val="en-US"/>
        </w:rPr>
        <w:t>and</w:t>
      </w:r>
      <w:r w:rsidR="00045D54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045D54" w:rsidRPr="00130CC9">
        <w:rPr>
          <w:rFonts w:eastAsiaTheme="minorEastAsia"/>
          <w:sz w:val="24"/>
          <w:szCs w:val="24"/>
          <w:lang w:val="en-US"/>
        </w:rPr>
        <w:t xml:space="preserve"> with 3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045D54" w:rsidRPr="00130CC9">
        <w:rPr>
          <w:rFonts w:eastAsiaTheme="minorEastAsia"/>
          <w:sz w:val="24"/>
          <w:szCs w:val="24"/>
          <w:lang w:val="en-US"/>
        </w:rPr>
        <w:t>x</w:t>
      </w:r>
      <w:r w:rsidR="007728F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045D54" w:rsidRPr="00130CC9">
        <w:rPr>
          <w:rFonts w:eastAsiaTheme="minorEastAsia"/>
          <w:sz w:val="24"/>
          <w:szCs w:val="24"/>
          <w:lang w:val="en-US"/>
        </w:rPr>
        <w:t xml:space="preserve">3 </w:t>
      </w:r>
      <w:r w:rsidR="00C62A38" w:rsidRPr="00130CC9">
        <w:rPr>
          <w:rFonts w:eastAsiaTheme="minorEastAsia"/>
          <w:sz w:val="24"/>
          <w:szCs w:val="24"/>
          <w:lang w:val="en-US"/>
        </w:rPr>
        <w:t>coefficient</w:t>
      </w:r>
      <w:r w:rsidR="00045D54" w:rsidRPr="00130CC9">
        <w:rPr>
          <w:rFonts w:eastAsiaTheme="minorEastAsia"/>
          <w:sz w:val="24"/>
          <w:szCs w:val="24"/>
          <w:lang w:val="en-US"/>
        </w:rPr>
        <w:t xml:space="preserve"> matrices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FD15C3" w:rsidRPr="00130CC9">
        <w:rPr>
          <w:rFonts w:eastAsiaTheme="minorEastAsia"/>
          <w:sz w:val="24"/>
          <w:szCs w:val="24"/>
          <w:lang w:val="en-US"/>
        </w:rPr>
        <w:t>,</w:t>
      </w:r>
      <w:r w:rsidR="00FD15C3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FD15C3" w:rsidRPr="00130CC9">
        <w:rPr>
          <w:rFonts w:eastAsiaTheme="minorEastAsia"/>
          <w:sz w:val="24"/>
          <w:szCs w:val="24"/>
          <w:lang w:val="en-US"/>
        </w:rPr>
        <w:t>,</w:t>
      </w:r>
      <w:r w:rsidR="00FD15C3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FD15C3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w:r w:rsidR="00FD15C3" w:rsidRPr="00130CC9">
        <w:rPr>
          <w:rFonts w:eastAsiaTheme="minorEastAsia"/>
          <w:sz w:val="24"/>
          <w:szCs w:val="24"/>
          <w:lang w:val="en-US"/>
        </w:rPr>
        <w:t>and</w:t>
      </w:r>
      <w:r w:rsidR="00FD15C3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C551ED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073763" w:rsidRPr="00130CC9">
        <w:rPr>
          <w:rFonts w:eastAsiaTheme="minorEastAsia"/>
          <w:sz w:val="24"/>
          <w:szCs w:val="24"/>
          <w:lang w:val="en-US"/>
        </w:rPr>
        <w:t>(lower diagonal</w:t>
      </w:r>
      <w:r w:rsidR="00863BFB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53226A" w:rsidRPr="00130CC9">
        <w:rPr>
          <w:rFonts w:eastAsiaTheme="minorEastAsia"/>
          <w:sz w:val="24"/>
          <w:szCs w:val="24"/>
          <w:lang w:val="en-US"/>
        </w:rPr>
        <w:t>wit</w:t>
      </w:r>
      <w:r w:rsidR="00D977FE" w:rsidRPr="00130CC9">
        <w:rPr>
          <w:rFonts w:eastAsiaTheme="minorEastAsia"/>
          <w:sz w:val="24"/>
          <w:szCs w:val="24"/>
          <w:lang w:val="en-US"/>
        </w:rPr>
        <w:t>h all elements free</w:t>
      </w:r>
      <w:r w:rsidR="00073763" w:rsidRPr="00130CC9">
        <w:rPr>
          <w:rFonts w:eastAsiaTheme="minorEastAsia"/>
          <w:sz w:val="24"/>
          <w:szCs w:val="24"/>
          <w:lang w:val="en-US"/>
        </w:rPr>
        <w:t>).</w:t>
      </w:r>
    </w:p>
    <w:p w14:paraId="39D9D912" w14:textId="65C58853" w:rsidR="00BD7BC2" w:rsidRPr="00130CC9" w:rsidRDefault="003D7B62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lastRenderedPageBreak/>
        <w:t>The most general</w:t>
      </w:r>
      <w:r w:rsidR="00012CCE" w:rsidRPr="00130CC9">
        <w:rPr>
          <w:rFonts w:eastAsiaTheme="minorEastAsia"/>
          <w:sz w:val="24"/>
          <w:szCs w:val="24"/>
          <w:lang w:val="en-US"/>
        </w:rPr>
        <w:t xml:space="preserve"> </w:t>
      </w:r>
      <w:r w:rsidRPr="00130CC9">
        <w:rPr>
          <w:rFonts w:eastAsiaTheme="minorEastAsia"/>
          <w:sz w:val="24"/>
          <w:szCs w:val="24"/>
          <w:lang w:val="en-US"/>
        </w:rPr>
        <w:t>model</w:t>
      </w:r>
      <w:r w:rsidR="00FD208B" w:rsidRPr="00130CC9">
        <w:rPr>
          <w:rFonts w:eastAsiaTheme="minorEastAsia"/>
          <w:sz w:val="24"/>
          <w:szCs w:val="24"/>
          <w:lang w:val="en-US"/>
        </w:rPr>
        <w:t xml:space="preserve"> (M1)</w:t>
      </w:r>
      <w:r w:rsidRPr="00130CC9">
        <w:rPr>
          <w:rFonts w:eastAsiaTheme="minorEastAsia"/>
          <w:sz w:val="24"/>
          <w:szCs w:val="24"/>
          <w:lang w:val="en-US"/>
        </w:rPr>
        <w:t xml:space="preserve"> was </w:t>
      </w:r>
      <w:r w:rsidR="001E4244" w:rsidRPr="00130CC9">
        <w:rPr>
          <w:rFonts w:eastAsiaTheme="minorEastAsia"/>
          <w:sz w:val="24"/>
          <w:szCs w:val="24"/>
          <w:lang w:val="en-US"/>
        </w:rPr>
        <w:t>specified</w:t>
      </w:r>
      <w:r w:rsidRPr="00130CC9">
        <w:rPr>
          <w:rFonts w:eastAsiaTheme="minorEastAsia"/>
          <w:sz w:val="24"/>
          <w:szCs w:val="24"/>
          <w:lang w:val="en-US"/>
        </w:rPr>
        <w:t xml:space="preserve"> with separate p</w:t>
      </w:r>
      <w:r w:rsidR="000166A9" w:rsidRPr="00130CC9">
        <w:rPr>
          <w:rFonts w:eastAsiaTheme="minorEastAsia"/>
          <w:sz w:val="24"/>
          <w:szCs w:val="24"/>
          <w:lang w:val="en-US"/>
        </w:rPr>
        <w:t>arameters for males and females</w:t>
      </w:r>
      <w:r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1E4244" w:rsidRPr="00130CC9">
        <w:rPr>
          <w:rFonts w:eastAsiaTheme="minorEastAsia"/>
          <w:sz w:val="24"/>
          <w:szCs w:val="24"/>
          <w:lang w:val="en-US"/>
        </w:rPr>
        <w:t xml:space="preserve">so that each parameter matrix </w:t>
      </w:r>
      <w:r w:rsidR="00254DD5" w:rsidRPr="00130CC9">
        <w:rPr>
          <w:rFonts w:eastAsiaTheme="minorEastAsia"/>
          <w:sz w:val="24"/>
          <w:szCs w:val="24"/>
          <w:lang w:val="en-US"/>
        </w:rPr>
        <w:t>w</w:t>
      </w:r>
      <w:r w:rsidR="008271F5" w:rsidRPr="00130CC9">
        <w:rPr>
          <w:rFonts w:eastAsiaTheme="minorEastAsia"/>
          <w:sz w:val="24"/>
          <w:szCs w:val="24"/>
          <w:lang w:val="en-US"/>
        </w:rPr>
        <w:t>as</w:t>
      </w:r>
      <w:r w:rsidR="00254DD5" w:rsidRPr="00130CC9">
        <w:rPr>
          <w:rFonts w:eastAsiaTheme="minorEastAsia"/>
          <w:sz w:val="24"/>
          <w:szCs w:val="24"/>
          <w:lang w:val="en-US"/>
        </w:rPr>
        <w:t xml:space="preserve"> estimated separately </w:t>
      </w:r>
      <w:r w:rsidR="008271F5" w:rsidRPr="00130CC9">
        <w:rPr>
          <w:rFonts w:eastAsiaTheme="minorEastAsia"/>
          <w:sz w:val="24"/>
          <w:szCs w:val="24"/>
          <w:lang w:val="en-US"/>
        </w:rPr>
        <w:t>for males and females</w:t>
      </w:r>
      <w:r w:rsidR="00254DD5" w:rsidRPr="00130CC9">
        <w:rPr>
          <w:rFonts w:eastAsiaTheme="minorEastAsia"/>
          <w:sz w:val="24"/>
          <w:szCs w:val="24"/>
          <w:lang w:val="en-US"/>
        </w:rPr>
        <w:t>.</w:t>
      </w:r>
      <w:r w:rsidR="001A6E7C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5D5A14" w:rsidRPr="00130CC9">
        <w:rPr>
          <w:rFonts w:eastAsiaTheme="minorEastAsia"/>
          <w:sz w:val="24"/>
          <w:szCs w:val="24"/>
          <w:lang w:val="en-US"/>
        </w:rPr>
        <w:t xml:space="preserve">In </w:t>
      </w:r>
      <w:r w:rsidR="00415918" w:rsidRPr="00130CC9">
        <w:rPr>
          <w:rFonts w:eastAsiaTheme="minorEastAsia"/>
          <w:sz w:val="24"/>
          <w:szCs w:val="24"/>
          <w:lang w:val="en-US"/>
        </w:rPr>
        <w:t xml:space="preserve">the </w:t>
      </w:r>
      <w:r w:rsidR="00B64217" w:rsidRPr="00130CC9">
        <w:rPr>
          <w:rFonts w:eastAsiaTheme="minorEastAsia"/>
          <w:sz w:val="24"/>
          <w:szCs w:val="24"/>
          <w:lang w:val="en-US"/>
        </w:rPr>
        <w:t>constrained</w:t>
      </w:r>
      <w:r w:rsidR="00415918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64217" w:rsidRPr="00130CC9">
        <w:rPr>
          <w:rFonts w:eastAsiaTheme="minorEastAsia"/>
          <w:sz w:val="24"/>
          <w:szCs w:val="24"/>
          <w:lang w:val="en-US"/>
        </w:rPr>
        <w:t>model</w:t>
      </w:r>
      <w:r w:rsidR="00415918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64217" w:rsidRPr="00130CC9">
        <w:rPr>
          <w:rFonts w:eastAsiaTheme="minorEastAsia"/>
          <w:sz w:val="24"/>
          <w:szCs w:val="24"/>
          <w:lang w:val="en-US"/>
        </w:rPr>
        <w:t xml:space="preserve">(M2),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B64217" w:rsidRPr="00130CC9">
        <w:rPr>
          <w:rFonts w:eastAsiaTheme="minorEastAsia"/>
          <w:sz w:val="24"/>
          <w:szCs w:val="24"/>
          <w:lang w:val="en-US"/>
        </w:rPr>
        <w:t>,</w:t>
      </w:r>
      <w:r w:rsidR="00B64217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B64217" w:rsidRPr="00130CC9">
        <w:rPr>
          <w:rFonts w:eastAsiaTheme="minorEastAsia"/>
          <w:sz w:val="24"/>
          <w:szCs w:val="24"/>
          <w:lang w:val="en-US"/>
        </w:rPr>
        <w:t>,</w:t>
      </w:r>
      <w:r w:rsidR="00B64217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B64217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w:r w:rsidR="00B64217" w:rsidRPr="00130CC9">
        <w:rPr>
          <w:rFonts w:eastAsiaTheme="minorEastAsia"/>
          <w:sz w:val="24"/>
          <w:szCs w:val="24"/>
          <w:lang w:val="en-US"/>
        </w:rPr>
        <w:t>and</w:t>
      </w:r>
      <w:r w:rsidR="00B64217" w:rsidRPr="00130CC9">
        <w:rPr>
          <w:rFonts w:eastAsiaTheme="minorEastAsia"/>
          <w:b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B64217" w:rsidRPr="00130CC9">
        <w:rPr>
          <w:rFonts w:eastAsiaTheme="minorEastAsia"/>
          <w:sz w:val="24"/>
          <w:szCs w:val="24"/>
          <w:lang w:val="en-US"/>
        </w:rPr>
        <w:t xml:space="preserve"> were </w:t>
      </w:r>
      <w:r w:rsidR="008271F5" w:rsidRPr="00130CC9">
        <w:rPr>
          <w:rFonts w:eastAsiaTheme="minorEastAsia"/>
          <w:sz w:val="24"/>
          <w:szCs w:val="24"/>
          <w:lang w:val="en-US"/>
        </w:rPr>
        <w:t xml:space="preserve">forced </w:t>
      </w:r>
      <w:r w:rsidR="00B64217" w:rsidRPr="00130CC9">
        <w:rPr>
          <w:rFonts w:eastAsiaTheme="minorEastAsia"/>
          <w:sz w:val="24"/>
          <w:szCs w:val="24"/>
          <w:lang w:val="en-US"/>
        </w:rPr>
        <w:t xml:space="preserve">to </w:t>
      </w:r>
      <w:r w:rsidR="008271F5" w:rsidRPr="00130CC9">
        <w:rPr>
          <w:rFonts w:eastAsiaTheme="minorEastAsia"/>
          <w:sz w:val="24"/>
          <w:szCs w:val="24"/>
          <w:lang w:val="en-US"/>
        </w:rPr>
        <w:t xml:space="preserve">be </w:t>
      </w:r>
      <w:r w:rsidR="00B64217" w:rsidRPr="00130CC9">
        <w:rPr>
          <w:rFonts w:eastAsiaTheme="minorEastAsia"/>
          <w:sz w:val="24"/>
          <w:szCs w:val="24"/>
          <w:lang w:val="en-US"/>
        </w:rPr>
        <w:t xml:space="preserve">equal across gender. </w:t>
      </w:r>
      <w:r w:rsidR="009416DC" w:rsidRPr="00130CC9">
        <w:rPr>
          <w:rFonts w:eastAsiaTheme="minorEastAsia"/>
          <w:sz w:val="24"/>
          <w:szCs w:val="24"/>
          <w:lang w:val="en-US"/>
        </w:rPr>
        <w:t>In the table of parameter estimates</w:t>
      </w:r>
      <w:r w:rsidR="00536D66" w:rsidRPr="00130CC9">
        <w:rPr>
          <w:rFonts w:eastAsiaTheme="minorEastAsia"/>
          <w:sz w:val="24"/>
          <w:szCs w:val="24"/>
          <w:lang w:val="en-US"/>
        </w:rPr>
        <w:t xml:space="preserve"> in the </w:t>
      </w:r>
      <w:r w:rsidR="00B41C7C" w:rsidRPr="00130CC9">
        <w:rPr>
          <w:rFonts w:eastAsiaTheme="minorEastAsia"/>
          <w:sz w:val="24"/>
          <w:szCs w:val="24"/>
          <w:lang w:val="en-US"/>
        </w:rPr>
        <w:t>section</w:t>
      </w:r>
      <w:r w:rsidR="009416DC" w:rsidRPr="00130CC9">
        <w:rPr>
          <w:rFonts w:eastAsiaTheme="minorEastAsia"/>
          <w:sz w:val="24"/>
          <w:szCs w:val="24"/>
          <w:lang w:val="en-US"/>
        </w:rPr>
        <w:t xml:space="preserve"> below, </w:t>
      </w:r>
      <w:r w:rsidR="00DD1477" w:rsidRPr="00130CC9">
        <w:rPr>
          <w:rFonts w:eastAsiaTheme="minorEastAsia"/>
          <w:sz w:val="24"/>
          <w:szCs w:val="24"/>
          <w:lang w:val="en-US"/>
        </w:rPr>
        <w:t>parameters</w:t>
      </w:r>
      <w:r w:rsidR="00B9781E" w:rsidRPr="00130CC9">
        <w:rPr>
          <w:rFonts w:eastAsiaTheme="minorEastAsia"/>
          <w:sz w:val="24"/>
          <w:szCs w:val="24"/>
          <w:lang w:val="en-US"/>
        </w:rPr>
        <w:t xml:space="preserve"> are referenced with respec</w:t>
      </w:r>
      <w:r w:rsidR="0066581D" w:rsidRPr="00130CC9">
        <w:rPr>
          <w:rFonts w:eastAsiaTheme="minorEastAsia"/>
          <w:sz w:val="24"/>
          <w:szCs w:val="24"/>
          <w:lang w:val="en-US"/>
        </w:rPr>
        <w:t>t to their position in the</w:t>
      </w:r>
      <w:r w:rsidR="00B9781E" w:rsidRPr="00130CC9">
        <w:rPr>
          <w:rFonts w:eastAsiaTheme="minorEastAsia"/>
          <w:sz w:val="24"/>
          <w:szCs w:val="24"/>
          <w:lang w:val="en-US"/>
        </w:rPr>
        <w:t xml:space="preserve"> matrices</w:t>
      </w:r>
      <w:r w:rsidR="0066581D" w:rsidRPr="00130CC9">
        <w:rPr>
          <w:rFonts w:eastAsiaTheme="minorEastAsia"/>
          <w:sz w:val="24"/>
          <w:szCs w:val="24"/>
          <w:lang w:val="en-US"/>
        </w:rPr>
        <w:t xml:space="preserve"> described</w:t>
      </w:r>
      <w:r w:rsidR="001F056F" w:rsidRPr="00130CC9">
        <w:rPr>
          <w:rFonts w:eastAsiaTheme="minorEastAsia"/>
          <w:sz w:val="24"/>
          <w:szCs w:val="24"/>
          <w:lang w:val="en-US"/>
        </w:rPr>
        <w:t xml:space="preserve"> above</w:t>
      </w:r>
      <w:r w:rsidR="00B9781E" w:rsidRPr="00130CC9">
        <w:rPr>
          <w:rFonts w:eastAsiaTheme="minorEastAsia"/>
          <w:sz w:val="24"/>
          <w:szCs w:val="24"/>
          <w:lang w:val="en-US"/>
        </w:rPr>
        <w:t>.</w:t>
      </w:r>
    </w:p>
    <w:p w14:paraId="75694D72" w14:textId="0499E392" w:rsidR="00BD7BC2" w:rsidRPr="00130CC9" w:rsidRDefault="00E45B15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t>The model was specified as a multi-group structural equation model</w:t>
      </w:r>
      <w:r w:rsidR="00861511" w:rsidRPr="00130CC9">
        <w:rPr>
          <w:rFonts w:eastAsiaTheme="minorEastAsia"/>
          <w:sz w:val="24"/>
          <w:szCs w:val="24"/>
          <w:lang w:val="en-US"/>
        </w:rPr>
        <w:t xml:space="preserve"> with </w:t>
      </w:r>
      <w:r w:rsidR="00192535" w:rsidRPr="00130CC9">
        <w:rPr>
          <w:rFonts w:eastAsiaTheme="minorEastAsia"/>
          <w:sz w:val="24"/>
          <w:szCs w:val="24"/>
          <w:lang w:val="en-US"/>
        </w:rPr>
        <w:t xml:space="preserve">14 </w:t>
      </w:r>
      <w:r w:rsidR="00861511" w:rsidRPr="00130CC9">
        <w:rPr>
          <w:rFonts w:eastAsiaTheme="minorEastAsia"/>
          <w:sz w:val="24"/>
          <w:szCs w:val="24"/>
          <w:lang w:val="en-US"/>
        </w:rPr>
        <w:t>separate groups</w:t>
      </w:r>
      <w:r w:rsidR="007D6C95" w:rsidRPr="00130CC9">
        <w:rPr>
          <w:rFonts w:eastAsiaTheme="minorEastAsia"/>
          <w:sz w:val="24"/>
          <w:szCs w:val="24"/>
          <w:lang w:val="en-US"/>
        </w:rPr>
        <w:t xml:space="preserve"> depending </w:t>
      </w:r>
      <w:r w:rsidR="00784D77" w:rsidRPr="00130CC9">
        <w:rPr>
          <w:rFonts w:eastAsiaTheme="minorEastAsia"/>
          <w:sz w:val="24"/>
          <w:szCs w:val="24"/>
          <w:lang w:val="en-US"/>
        </w:rPr>
        <w:t xml:space="preserve">on the </w:t>
      </w:r>
      <w:r w:rsidR="00305844" w:rsidRPr="00130CC9">
        <w:rPr>
          <w:rFonts w:eastAsiaTheme="minorEastAsia"/>
          <w:sz w:val="24"/>
          <w:szCs w:val="24"/>
          <w:lang w:val="en-US"/>
        </w:rPr>
        <w:t xml:space="preserve">type of </w:t>
      </w:r>
      <w:r w:rsidR="0064496A" w:rsidRPr="00130CC9">
        <w:rPr>
          <w:rFonts w:eastAsiaTheme="minorEastAsia"/>
          <w:sz w:val="24"/>
          <w:szCs w:val="24"/>
          <w:lang w:val="en-US"/>
        </w:rPr>
        <w:t xml:space="preserve">sibling relationship </w:t>
      </w:r>
      <w:r w:rsidR="007D3BC2" w:rsidRPr="00130CC9">
        <w:rPr>
          <w:rFonts w:eastAsiaTheme="minorEastAsia"/>
          <w:sz w:val="24"/>
          <w:szCs w:val="24"/>
          <w:lang w:val="en-US"/>
        </w:rPr>
        <w:t>(</w:t>
      </w:r>
      <w:r w:rsidR="00C90453" w:rsidRPr="00130CC9">
        <w:rPr>
          <w:rFonts w:eastAsiaTheme="minorEastAsia"/>
          <w:sz w:val="24"/>
          <w:szCs w:val="24"/>
          <w:lang w:val="en-US"/>
        </w:rPr>
        <w:t>MZ, DZ, FS, MH and PH)</w:t>
      </w:r>
      <w:r w:rsidR="00692DE8" w:rsidRPr="00130CC9">
        <w:rPr>
          <w:rFonts w:eastAsiaTheme="minorEastAsia"/>
          <w:sz w:val="24"/>
          <w:szCs w:val="24"/>
          <w:lang w:val="en-US"/>
        </w:rPr>
        <w:t xml:space="preserve"> and</w:t>
      </w:r>
      <w:r w:rsidR="0003705E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882A97" w:rsidRPr="00130CC9">
        <w:rPr>
          <w:rFonts w:eastAsiaTheme="minorEastAsia"/>
          <w:sz w:val="24"/>
          <w:szCs w:val="24"/>
          <w:lang w:val="en-US"/>
        </w:rPr>
        <w:t>gender</w:t>
      </w:r>
      <w:r w:rsidR="00F905BF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BB6A54" w:rsidRPr="00130CC9">
        <w:rPr>
          <w:rFonts w:eastAsiaTheme="minorEastAsia"/>
          <w:sz w:val="24"/>
          <w:szCs w:val="24"/>
          <w:lang w:val="en-US"/>
        </w:rPr>
        <w:t>(male-male</w:t>
      </w:r>
      <w:r w:rsidR="00882A97" w:rsidRPr="00130CC9">
        <w:rPr>
          <w:rFonts w:eastAsiaTheme="minorEastAsia"/>
          <w:sz w:val="24"/>
          <w:szCs w:val="24"/>
          <w:lang w:val="en-US"/>
        </w:rPr>
        <w:t xml:space="preserve">, </w:t>
      </w:r>
      <w:r w:rsidR="00BB6A54" w:rsidRPr="00130CC9">
        <w:rPr>
          <w:rFonts w:eastAsiaTheme="minorEastAsia"/>
          <w:sz w:val="24"/>
          <w:szCs w:val="24"/>
          <w:lang w:val="en-US"/>
        </w:rPr>
        <w:t>female-female and opposite sex</w:t>
      </w:r>
      <w:r w:rsidR="00882A97" w:rsidRPr="00130CC9">
        <w:rPr>
          <w:rFonts w:eastAsiaTheme="minorEastAsia"/>
          <w:sz w:val="24"/>
          <w:szCs w:val="24"/>
          <w:lang w:val="en-US"/>
        </w:rPr>
        <w:t>)</w:t>
      </w:r>
      <w:r w:rsidR="007A596F" w:rsidRPr="00130CC9">
        <w:rPr>
          <w:rFonts w:eastAsiaTheme="minorEastAsia"/>
          <w:sz w:val="24"/>
          <w:szCs w:val="24"/>
          <w:lang w:val="en-US"/>
        </w:rPr>
        <w:t xml:space="preserve">. </w:t>
      </w:r>
      <w:r w:rsidR="0048315F" w:rsidRPr="00130CC9">
        <w:rPr>
          <w:rFonts w:eastAsiaTheme="minorEastAsia"/>
          <w:sz w:val="24"/>
          <w:szCs w:val="24"/>
          <w:lang w:val="en-US"/>
        </w:rPr>
        <w:t xml:space="preserve">Parameters differed across </w:t>
      </w:r>
      <w:r w:rsidR="00195C33" w:rsidRPr="00130CC9">
        <w:rPr>
          <w:rFonts w:eastAsiaTheme="minorEastAsia"/>
          <w:sz w:val="24"/>
          <w:szCs w:val="24"/>
          <w:lang w:val="en-US"/>
        </w:rPr>
        <w:t>gender</w:t>
      </w:r>
      <w:r w:rsidR="009C5595" w:rsidRPr="00130CC9">
        <w:rPr>
          <w:rFonts w:eastAsiaTheme="minorEastAsia"/>
          <w:sz w:val="24"/>
          <w:szCs w:val="24"/>
          <w:lang w:val="en-US"/>
        </w:rPr>
        <w:t xml:space="preserve">, but </w:t>
      </w:r>
      <w:r w:rsidR="00305844" w:rsidRPr="00130CC9">
        <w:rPr>
          <w:rFonts w:eastAsiaTheme="minorEastAsia"/>
          <w:sz w:val="24"/>
          <w:szCs w:val="24"/>
          <w:lang w:val="en-US"/>
        </w:rPr>
        <w:t>were forced</w:t>
      </w:r>
      <w:bookmarkStart w:id="0" w:name="_GoBack"/>
      <w:bookmarkEnd w:id="0"/>
      <w:r w:rsidR="00305844" w:rsidRPr="00130CC9">
        <w:rPr>
          <w:rFonts w:eastAsiaTheme="minorEastAsia"/>
          <w:sz w:val="24"/>
          <w:szCs w:val="24"/>
          <w:lang w:val="en-US"/>
        </w:rPr>
        <w:t xml:space="preserve"> to be </w:t>
      </w:r>
      <w:r w:rsidR="00195C33" w:rsidRPr="00130CC9">
        <w:rPr>
          <w:rFonts w:eastAsiaTheme="minorEastAsia"/>
          <w:sz w:val="24"/>
          <w:szCs w:val="24"/>
          <w:lang w:val="en-US"/>
        </w:rPr>
        <w:t>equal across sibling relationships</w:t>
      </w:r>
      <w:r w:rsidR="002239F5" w:rsidRPr="00130CC9">
        <w:rPr>
          <w:rFonts w:eastAsiaTheme="minorEastAsia"/>
          <w:sz w:val="24"/>
          <w:szCs w:val="24"/>
          <w:lang w:val="en-US"/>
        </w:rPr>
        <w:t>.</w:t>
      </w:r>
      <w:r w:rsidR="00195C33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2E53D8" w:rsidRPr="00130CC9">
        <w:rPr>
          <w:rFonts w:eastAsiaTheme="minorEastAsia"/>
          <w:sz w:val="24"/>
          <w:szCs w:val="24"/>
          <w:lang w:val="en-US"/>
        </w:rPr>
        <w:t>The sibling relationship groups</w:t>
      </w:r>
      <w:r w:rsidR="00833876" w:rsidRPr="00130CC9">
        <w:rPr>
          <w:rFonts w:eastAsiaTheme="minorEastAsia"/>
          <w:sz w:val="24"/>
          <w:szCs w:val="24"/>
          <w:lang w:val="en-US"/>
        </w:rPr>
        <w:t xml:space="preserve"> </w:t>
      </w:r>
      <w:r w:rsidR="002E53D8" w:rsidRPr="00130CC9">
        <w:rPr>
          <w:rFonts w:eastAsiaTheme="minorEastAsia"/>
          <w:sz w:val="24"/>
          <w:szCs w:val="24"/>
          <w:lang w:val="en-US"/>
        </w:rPr>
        <w:t xml:space="preserve">only </w:t>
      </w:r>
      <w:r w:rsidR="00833876" w:rsidRPr="00130CC9">
        <w:rPr>
          <w:rFonts w:eastAsiaTheme="minorEastAsia"/>
          <w:sz w:val="24"/>
          <w:szCs w:val="24"/>
          <w:lang w:val="en-US"/>
        </w:rPr>
        <w:t>differ</w:t>
      </w:r>
      <w:r w:rsidR="002E53D8" w:rsidRPr="00130CC9">
        <w:rPr>
          <w:rFonts w:eastAsiaTheme="minorEastAsia"/>
          <w:sz w:val="24"/>
          <w:szCs w:val="24"/>
          <w:lang w:val="en-US"/>
        </w:rPr>
        <w:t>ed</w:t>
      </w:r>
      <w:r w:rsidR="00833876" w:rsidRPr="00130CC9">
        <w:rPr>
          <w:rFonts w:eastAsiaTheme="minorEastAsia"/>
          <w:sz w:val="24"/>
          <w:szCs w:val="24"/>
          <w:lang w:val="en-US"/>
        </w:rPr>
        <w:t xml:space="preserve"> in </w:t>
      </w:r>
      <w:r w:rsidR="009C5595" w:rsidRPr="00130CC9">
        <w:rPr>
          <w:rFonts w:eastAsiaTheme="minorEastAsia"/>
          <w:sz w:val="24"/>
          <w:szCs w:val="24"/>
          <w:lang w:val="en-US"/>
        </w:rPr>
        <w:t>the within</w:t>
      </w:r>
      <w:r w:rsidR="002E5B20" w:rsidRPr="00130CC9">
        <w:rPr>
          <w:rFonts w:eastAsiaTheme="minorEastAsia"/>
          <w:sz w:val="24"/>
          <w:szCs w:val="24"/>
          <w:lang w:val="en-US"/>
        </w:rPr>
        <w:t>-pair covariance structure</w:t>
      </w:r>
      <w:r w:rsidR="00FE3EE9" w:rsidRPr="00130CC9">
        <w:rPr>
          <w:rFonts w:eastAsiaTheme="minorEastAsia"/>
          <w:sz w:val="24"/>
          <w:szCs w:val="24"/>
          <w:lang w:val="en-US"/>
        </w:rPr>
        <w:t xml:space="preserve"> as </w:t>
      </w:r>
      <w:r w:rsidR="00584AAA" w:rsidRPr="00130CC9">
        <w:rPr>
          <w:rFonts w:eastAsiaTheme="minorEastAsia"/>
          <w:sz w:val="24"/>
          <w:szCs w:val="24"/>
          <w:lang w:val="en-US"/>
        </w:rPr>
        <w:t>described</w:t>
      </w:r>
      <w:r w:rsidR="00FE3EE9" w:rsidRPr="00130CC9">
        <w:rPr>
          <w:rFonts w:eastAsiaTheme="minorEastAsia"/>
          <w:sz w:val="24"/>
          <w:szCs w:val="24"/>
          <w:lang w:val="en-US"/>
        </w:rPr>
        <w:t xml:space="preserve"> in the m</w:t>
      </w:r>
      <w:r w:rsidR="00584AAA" w:rsidRPr="00130CC9">
        <w:rPr>
          <w:rFonts w:eastAsiaTheme="minorEastAsia"/>
          <w:sz w:val="24"/>
          <w:szCs w:val="24"/>
          <w:lang w:val="en-US"/>
        </w:rPr>
        <w:t>a</w:t>
      </w:r>
      <w:r w:rsidR="00FE3EE9" w:rsidRPr="00130CC9">
        <w:rPr>
          <w:rFonts w:eastAsiaTheme="minorEastAsia"/>
          <w:sz w:val="24"/>
          <w:szCs w:val="24"/>
          <w:lang w:val="en-US"/>
        </w:rPr>
        <w:t>in paper.</w:t>
      </w:r>
    </w:p>
    <w:p w14:paraId="63CCFA4F" w14:textId="77777777" w:rsidR="00B94FB5" w:rsidRPr="00130CC9" w:rsidRDefault="00C805BA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b/>
          <w:sz w:val="24"/>
          <w:szCs w:val="24"/>
          <w:lang w:val="en-US"/>
        </w:rPr>
        <w:t>Parameter estimates</w:t>
      </w:r>
    </w:p>
    <w:p w14:paraId="49AB981E" w14:textId="4C358571" w:rsidR="00884B13" w:rsidRPr="00130CC9" w:rsidRDefault="00DC5F2D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t>Table A1</w:t>
      </w:r>
      <w:r w:rsidR="007235CE" w:rsidRPr="00130CC9">
        <w:rPr>
          <w:rFonts w:eastAsiaTheme="minorEastAsia"/>
          <w:sz w:val="24"/>
          <w:szCs w:val="24"/>
          <w:lang w:val="en-US"/>
        </w:rPr>
        <w:t xml:space="preserve">. </w:t>
      </w:r>
      <w:r w:rsidR="00AF5FA1" w:rsidRPr="00130CC9">
        <w:rPr>
          <w:rFonts w:eastAsiaTheme="minorEastAsia"/>
          <w:sz w:val="24"/>
          <w:szCs w:val="24"/>
          <w:lang w:val="en-US"/>
        </w:rPr>
        <w:t>Esti</w:t>
      </w:r>
      <w:r w:rsidR="009D5EF4" w:rsidRPr="00130CC9">
        <w:rPr>
          <w:rFonts w:eastAsiaTheme="minorEastAsia"/>
          <w:sz w:val="24"/>
          <w:szCs w:val="24"/>
          <w:lang w:val="en-US"/>
        </w:rPr>
        <w:t>mated</w:t>
      </w:r>
      <w:r w:rsidR="00175A8A" w:rsidRPr="00130CC9">
        <w:rPr>
          <w:rFonts w:eastAsiaTheme="minorEastAsia"/>
          <w:sz w:val="24"/>
          <w:szCs w:val="24"/>
          <w:lang w:val="en-US"/>
        </w:rPr>
        <w:t xml:space="preserve"> parameters and standard errors for the longitudinal </w:t>
      </w:r>
      <w:r w:rsidR="00F002C6" w:rsidRPr="00130CC9">
        <w:rPr>
          <w:rFonts w:eastAsiaTheme="minorEastAsia"/>
          <w:sz w:val="24"/>
          <w:szCs w:val="24"/>
          <w:lang w:val="en-US"/>
        </w:rPr>
        <w:t xml:space="preserve">models </w:t>
      </w:r>
      <w:r w:rsidR="001D5DD4" w:rsidRPr="00130CC9">
        <w:rPr>
          <w:rFonts w:eastAsiaTheme="minorEastAsia"/>
          <w:sz w:val="24"/>
          <w:szCs w:val="24"/>
          <w:lang w:val="en-US"/>
        </w:rPr>
        <w:t>for ADHD symptoms.</w:t>
      </w:r>
      <w:r w:rsidR="000903B4" w:rsidRPr="00130CC9">
        <w:rPr>
          <w:rFonts w:eastAsiaTheme="minorEastAsia"/>
          <w:sz w:val="24"/>
          <w:szCs w:val="24"/>
          <w:lang w:val="en-US"/>
        </w:rPr>
        <w:t xml:space="preserve"> M1 is the most general model, whereas M2 </w:t>
      </w:r>
      <w:r w:rsidR="00AC28A0" w:rsidRPr="00130CC9">
        <w:rPr>
          <w:rFonts w:eastAsiaTheme="minorEastAsia"/>
          <w:sz w:val="24"/>
          <w:szCs w:val="24"/>
          <w:lang w:val="en-US"/>
        </w:rPr>
        <w:t>constrains</w:t>
      </w:r>
      <w:r w:rsidR="006B242B" w:rsidRPr="00130CC9">
        <w:rPr>
          <w:rFonts w:eastAsiaTheme="minorEastAsia"/>
          <w:sz w:val="24"/>
          <w:szCs w:val="24"/>
          <w:lang w:val="en-US"/>
        </w:rPr>
        <w:t xml:space="preserve"> the effect</w:t>
      </w:r>
      <w:r w:rsidR="00453909" w:rsidRPr="00130CC9">
        <w:rPr>
          <w:rFonts w:eastAsiaTheme="minorEastAsia"/>
          <w:sz w:val="24"/>
          <w:szCs w:val="24"/>
          <w:lang w:val="en-US"/>
        </w:rPr>
        <w:t>s</w:t>
      </w:r>
      <w:r w:rsidR="006B242B" w:rsidRPr="00130CC9">
        <w:rPr>
          <w:rFonts w:eastAsiaTheme="minorEastAsia"/>
          <w:sz w:val="24"/>
          <w:szCs w:val="24"/>
          <w:lang w:val="en-US"/>
        </w:rPr>
        <w:t xml:space="preserve"> of the biometrical latent </w:t>
      </w:r>
      <w:r w:rsidR="00AC28A0" w:rsidRPr="00130CC9">
        <w:rPr>
          <w:rFonts w:eastAsiaTheme="minorEastAsia"/>
          <w:sz w:val="24"/>
          <w:szCs w:val="24"/>
          <w:lang w:val="en-US"/>
        </w:rPr>
        <w:t>variables</w:t>
      </w:r>
      <w:r w:rsidR="006B242B" w:rsidRPr="00130CC9">
        <w:rPr>
          <w:rFonts w:eastAsiaTheme="minorEastAsia"/>
          <w:sz w:val="24"/>
          <w:szCs w:val="24"/>
          <w:lang w:val="en-US"/>
        </w:rPr>
        <w:t xml:space="preserve"> associated with the ADHD factors to equality for males and females.</w:t>
      </w:r>
    </w:p>
    <w:p w14:paraId="3C4D1A7D" w14:textId="77777777" w:rsidR="00884B13" w:rsidRPr="00130CC9" w:rsidRDefault="00884B13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130CC9">
        <w:rPr>
          <w:rFonts w:eastAsiaTheme="minorEastAsia"/>
          <w:sz w:val="24"/>
          <w:szCs w:val="24"/>
          <w:lang w:val="en-US"/>
        </w:rPr>
        <w:br w:type="page"/>
      </w:r>
    </w:p>
    <w:p w14:paraId="7A95499A" w14:textId="77777777" w:rsidR="00FB1D3C" w:rsidRPr="00130CC9" w:rsidRDefault="00FB1D3C" w:rsidP="00130CC9">
      <w:pPr>
        <w:spacing w:line="480" w:lineRule="auto"/>
        <w:rPr>
          <w:rFonts w:eastAsiaTheme="minorEastAsia"/>
          <w:sz w:val="24"/>
          <w:szCs w:val="24"/>
          <w:lang w:val="en-US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98"/>
        <w:gridCol w:w="1014"/>
        <w:gridCol w:w="908"/>
        <w:gridCol w:w="1014"/>
        <w:gridCol w:w="908"/>
        <w:gridCol w:w="555"/>
        <w:gridCol w:w="1014"/>
        <w:gridCol w:w="908"/>
        <w:gridCol w:w="1014"/>
        <w:gridCol w:w="908"/>
      </w:tblGrid>
      <w:tr w:rsidR="00E83D3C" w:rsidRPr="00130CC9" w14:paraId="3BD86BD1" w14:textId="77777777" w:rsidTr="00884B1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48F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nb-N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DBC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nb-N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2B2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M1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14:paraId="280D7E33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B1A2" w14:textId="781711A9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M2</w:t>
            </w:r>
          </w:p>
        </w:tc>
      </w:tr>
      <w:tr w:rsidR="00E83D3C" w:rsidRPr="00130CC9" w14:paraId="460FBCA1" w14:textId="77777777" w:rsidTr="00884B13">
        <w:trPr>
          <w:trHeight w:val="30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434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0295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D2FC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Male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1130AFB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Female</w:t>
            </w:r>
            <w:proofErr w:type="spellEnd"/>
          </w:p>
        </w:tc>
        <w:tc>
          <w:tcPr>
            <w:tcW w:w="794" w:type="dxa"/>
            <w:tcBorders>
              <w:left w:val="nil"/>
            </w:tcBorders>
          </w:tcPr>
          <w:p w14:paraId="66BC1D5F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55C" w14:textId="28AF4378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Male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8A69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Female</w:t>
            </w:r>
            <w:proofErr w:type="spellEnd"/>
          </w:p>
        </w:tc>
      </w:tr>
      <w:tr w:rsidR="003D6E77" w:rsidRPr="00130CC9" w14:paraId="16A89AB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4833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Par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B2F4" w14:textId="0ED266B1" w:rsidR="00E83D3C" w:rsidRPr="00130CC9" w:rsidRDefault="006B16C9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Pos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2018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Estimate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104F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8D80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Estimate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96E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</w:tcBorders>
          </w:tcPr>
          <w:p w14:paraId="28E93F01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EA4F" w14:textId="59BFA9FD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Estimate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C187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1003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Estimate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9373B" w14:textId="77777777" w:rsidR="00E83D3C" w:rsidRPr="00130CC9" w:rsidRDefault="00E83D3C" w:rsidP="00130CC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SE</w:t>
            </w:r>
          </w:p>
        </w:tc>
      </w:tr>
      <w:tr w:rsidR="003D6E77" w:rsidRPr="00130CC9" w14:paraId="784C211D" w14:textId="77777777" w:rsidTr="003D6E77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95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36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985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181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1B3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B16F1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14:paraId="2EEC2527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923" w14:textId="1722D904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FC2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BAF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9FB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202DFC1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B0F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1C4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5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2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4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95E1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ADB00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88F" w14:textId="345A139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E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7A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B8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47D12F0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13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514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19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FC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A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5B4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86F0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8470" w14:textId="68474DF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8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2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B5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21DEB35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9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F04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6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57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27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A7E8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FDC69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2E3" w14:textId="5DD6433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5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221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F9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52AD8CF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A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02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4F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9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09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DB62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9265BC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B95" w14:textId="45B5C3D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5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03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B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5D14656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A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8E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C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8D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5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7328D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7B6D2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7B85" w14:textId="7F9BD13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9F2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06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4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2900B01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7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CA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8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3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0D7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6FC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63BE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C8A" w14:textId="5BC49A6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4E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4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2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7EB17C8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9F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29D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E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1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7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62B2A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34951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6A0" w14:textId="2DA15B3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41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6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86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79881E8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DE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30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BD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2B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9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64D0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EC8C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EC10" w14:textId="5648338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065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4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4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7A568DA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B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0F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B28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0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0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1BB2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79331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87D" w14:textId="4FD3B35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9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D9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4F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7F0FAF7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4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19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BB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0B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7C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8DC7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0086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A59" w14:textId="34DCC86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B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F6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9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23CAAA5C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6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89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F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185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F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C03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D6D71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6B78" w14:textId="502E5B3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7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A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05E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0533A29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D9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A3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4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94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F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6A97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DA500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C3D" w14:textId="0AB0708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A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F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6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13C9430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5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72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DF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9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279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-1.01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7BE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8F1B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EB2" w14:textId="2B3CD39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CC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2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2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0BF7637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85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9F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1A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E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3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18D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F4F3D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01A" w14:textId="28166C8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EC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1A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23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76E0514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2F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21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49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1A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0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1EA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FEC1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A59" w14:textId="1DF4877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7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E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1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15D233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1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2A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B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C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3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14D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D59F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992" w14:textId="7047500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5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2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8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7CD66E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0E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051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2E02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1F5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F1C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96FB8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23ED41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AEB" w14:textId="70423624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9A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B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07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5025D73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1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878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A3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F2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48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D0D6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648C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420" w14:textId="785198E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5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3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2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</w:tr>
      <w:tr w:rsidR="003D6E77" w:rsidRPr="00130CC9" w14:paraId="7BF01BF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FB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6B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36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DF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5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601B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A1EE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64C" w14:textId="456BDA4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F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71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E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691CFB9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2F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B7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1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C7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37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73BF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41D9A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1B1" w14:textId="403EBF6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4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9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D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52C6887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5189" w14:textId="6B4D7CB5" w:rsidR="00E83D3C" w:rsidRPr="00130CC9" w:rsidRDefault="00C26D82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1A6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EB7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246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192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93538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17E3070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49D" w14:textId="73482346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A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8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99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1ADC718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0A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03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4A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661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6C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92E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4130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0AF" w14:textId="511503D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9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C8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FC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2C1D805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12F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806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CA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7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F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D43D8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4E7A8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8CC" w14:textId="15DDB14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290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E9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8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02F8C1E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3C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1A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56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3B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DB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AC85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F006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037A" w14:textId="7637DB9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6E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83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9A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5B696BB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75A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DD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1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7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89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B46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2B40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594" w14:textId="2E32491A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F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E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D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23E1684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27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16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C6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E8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CC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88B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1A22F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9B52" w14:textId="484F1D0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403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D33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9D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058CBF7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B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6C0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2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A5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5B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C59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C73D6B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4BD" w14:textId="6BBCFE4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41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F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0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1EBD3A7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5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32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04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51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3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CF50A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C2EFA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6A2" w14:textId="1301EEB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3A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E57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F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6B4E1FC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A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AB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1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55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8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A7A5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9C5B7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70B" w14:textId="415D554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4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0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36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1AD2CDD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C9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FC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8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A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A6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8FE1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7B6B0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D467" w14:textId="6D6D5DD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41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31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4F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0909A1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3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7E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B4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7F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6D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D0A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BE97D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B1F1" w14:textId="5694F78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13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5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AB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4AF013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02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F97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C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4F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A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F9F9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7730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AAB" w14:textId="377A576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F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7D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9C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1D3D8C0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E1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52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AE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6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31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87F68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C587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25C" w14:textId="5681206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3A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F59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8B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31E9DED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8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5C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7A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25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67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0AC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9CD04C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509C" w14:textId="5EEC498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12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5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0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40D60F2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F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8F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B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27B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D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8614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52116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55F" w14:textId="393D062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6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A2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93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4B8463F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8F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9E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F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0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16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890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0EB6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A80" w14:textId="1178598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9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0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6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0EC69D5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A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F34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E2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93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361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73E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97CF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004A" w14:textId="3C6B0B2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8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C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93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551A211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7F3" w14:textId="2269F2BF" w:rsidR="00E83D3C" w:rsidRPr="00130CC9" w:rsidRDefault="00130CC9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91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B38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411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2C7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AFD6D9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E0989E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267" w14:textId="6808F65F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5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0F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1F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2D75A7C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7A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F5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8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F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458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CE11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43C8C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5E1E" w14:textId="554BB3C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6AF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C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5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1E844B8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89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6A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FE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23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F6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E91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BAB0C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3E3" w14:textId="31EB738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F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8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2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3082D6F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3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E1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A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84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63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1B030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44CF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14E" w14:textId="051C430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9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E5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1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311E4B9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7F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13C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E5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CA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1F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BA4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04C572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BDC" w14:textId="72E46D9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8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F4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F2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3A6BC1F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27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D3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9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68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7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4BF2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AB98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D491" w14:textId="4BB92AC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E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B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6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43D3276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C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07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49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0D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5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307A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FF5A4D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626" w14:textId="6709D9C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35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7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D0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D76897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4D72" w14:textId="5C262D0A" w:rsidR="00E83D3C" w:rsidRPr="00130CC9" w:rsidRDefault="00130CC9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DCA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4B5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C7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FD7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97ACA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4A52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128E" w14:textId="0DC12F9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98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E6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622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105DD39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05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2C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DE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04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1A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A393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57F2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C41" w14:textId="095ED68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7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7E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56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68A0436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020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82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8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32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3DC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DF5C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7835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114" w14:textId="470C3C7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2C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41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B7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71E639B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E3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02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F2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4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3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2BEB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5DF5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680B" w14:textId="0D9F2BB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504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FC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F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6DDD2B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F2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067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7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5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8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8B4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E4F2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A1F" w14:textId="65AFB5F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34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D8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E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E1D2BD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E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4F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58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01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0F6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E97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641D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40C3" w14:textId="0A3787D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C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95F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2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543A86A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F4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41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86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0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73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2CF2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B4BF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CB6E" w14:textId="0EBB478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56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45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A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190BB1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4573" w14:textId="04F8C414" w:rsidR="00E83D3C" w:rsidRPr="00130CC9" w:rsidRDefault="00130CC9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40F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1F8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1E7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B4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C969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9FD1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263C" w14:textId="4E16B16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B4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B6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59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44C0ED2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B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A66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9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9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C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189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CD0B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58D8" w14:textId="2934C74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FC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08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95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1B702E8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A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BB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53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58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81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373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24251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FD9" w14:textId="1D4B066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F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1C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9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E72A3A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52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D5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22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C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2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E00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063F1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9B4D" w14:textId="254137C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A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E7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78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66A172E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3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8D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BE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5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FD4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527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D5BAD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940" w14:textId="54AF0EC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C4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27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4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02DF659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C1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D8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D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6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2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9615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9A8FC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AC7" w14:textId="546D6A7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7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51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3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0D89F0F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4F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2E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20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C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C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886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3833C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E5E" w14:textId="388AADB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267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E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AD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75C77DE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ED4D" w14:textId="46F0C192" w:rsidR="00E83D3C" w:rsidRPr="00130CC9" w:rsidRDefault="00130CC9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A98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1C0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0C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34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BA23C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15BFE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48B7" w14:textId="7628413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54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DD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A89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3D6E77" w:rsidRPr="00130CC9" w14:paraId="18298A7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E6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01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30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9A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98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6D6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9216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B00A" w14:textId="414AF47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22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9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8D3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30D9F78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04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72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6F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E66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2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AB3E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5F8DC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D54" w14:textId="4667060A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5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09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8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3193EE1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2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86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1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C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B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22F5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3BFE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AA1" w14:textId="61CE73C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25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A4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56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EEE846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9D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C6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F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F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9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D064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C7164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477" w14:textId="40AC79B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A0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7F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72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60B9A1E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6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C0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5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BE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99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681BA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2274EC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AE91" w14:textId="77ADD09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7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7C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AB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364B76F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D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9B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7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CF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9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82E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25D6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B1F" w14:textId="1905E4C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F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A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EA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0AE7535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8C9" w14:textId="097EEC61" w:rsidR="00E83D3C" w:rsidRPr="00130CC9" w:rsidRDefault="00130CC9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80D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C7E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1B1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DED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4F2C9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2106C7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9A6" w14:textId="50AB2E6E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A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7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3A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0C65B3F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C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AA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3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AC2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42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3F4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02732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096" w14:textId="580DF1C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A2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5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37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B76945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B8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82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08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3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F2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951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160E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22C0" w14:textId="3B08A10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9A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0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8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1B42A6A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5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0E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D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9A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27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06D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B674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B17" w14:textId="4A30EB0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6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6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2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553DDD2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A2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E36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4D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B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1C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4D72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3BD03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6B3" w14:textId="5FB0265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AD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CC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5E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03594FE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18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79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8D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4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C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2D4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AC6D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833" w14:textId="054B4BE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8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2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C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3022669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59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1F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A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31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0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21F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C2D20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AD8" w14:textId="55F1E6B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F4E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69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B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4201D0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C2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BB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5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8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D99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DA9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B076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D2B" w14:textId="2A457BF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F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4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C7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374B221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8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9F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2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0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45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04D7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9239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9B8" w14:textId="7AAE0F6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E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E9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DA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F45BA4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E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B99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AC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8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F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11775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BFC1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B80" w14:textId="3EC488C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C4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9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35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6B95215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8B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66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8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680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F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E85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462DCA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DD1" w14:textId="1B68F3E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C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F0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66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0459F8D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C6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1F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55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4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3F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41B8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6C0FBF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964" w14:textId="7FB8FCA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51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A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F8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454A9BE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D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38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0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B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3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6DA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AE51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E72" w14:textId="648F0B3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C2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8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5C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4DBCB77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E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78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A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FD3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B87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386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60950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961" w14:textId="606AA35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AB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99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1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6E3B92D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4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B1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46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4DC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55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C2ED9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B1F3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4832" w14:textId="5E697B7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D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60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66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1E85BA4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2A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00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1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07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D3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E2D3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14AEB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AB7" w14:textId="38D2625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0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6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3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36317CE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60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F2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F8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1A3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A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4C0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5E5B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350" w14:textId="067F013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8D9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4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61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619FBAE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2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E4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2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9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A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F36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99FC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C07" w14:textId="2BFA18E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BF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1F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88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56ADA61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3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CB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5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57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DE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EEC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1ADDA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633" w14:textId="1267906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7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3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3A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74621D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3E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FD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1B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6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2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50DA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27DD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A62" w14:textId="63B58E7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1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0E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42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1CB5955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F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E5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6E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4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01A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F93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8B67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0C9" w14:textId="5F684E2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D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38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4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6733A0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5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B9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F7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F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F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F09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5D1C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105" w14:textId="6212E16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9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2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99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06B2377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26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AA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41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2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E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8C72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0021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0B0" w14:textId="542BB65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9F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FB7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E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B0D5A4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D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69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6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B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F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B7B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36035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1F3" w14:textId="1C05537A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C8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C2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5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4F9AA22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9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D5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2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2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29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4FE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F7E3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072" w14:textId="6CF25D7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1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23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8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40E40AE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D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0F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C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16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5F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6EB5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65FD5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27A1" w14:textId="48E79C5A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1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0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5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7DFFA01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7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10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4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5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9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3B4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60825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DDF1" w14:textId="7BB5BC5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6A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4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3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</w:tr>
      <w:tr w:rsidR="003D6E77" w:rsidRPr="00130CC9" w14:paraId="7F14FF3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F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BB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9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72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CF1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96E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30BC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066" w14:textId="0182923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6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3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2E7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</w:tr>
      <w:tr w:rsidR="003D6E77" w:rsidRPr="00130CC9" w14:paraId="2D16F7E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B3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B2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5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0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0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8D4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5B00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C0D" w14:textId="2DC99B6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0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B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0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503C4B0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7D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E23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4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C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17E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EDCC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A085D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009" w14:textId="001D646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B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FC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D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0046BE8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8F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08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364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B9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4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8931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4126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D78A" w14:textId="633A50F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781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61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D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</w:tr>
      <w:tr w:rsidR="003D6E77" w:rsidRPr="00130CC9" w14:paraId="0E7B4FE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3CA" w14:textId="57F75279" w:rsidR="00E83D3C" w:rsidRPr="00130CC9" w:rsidRDefault="00130CC9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CE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8CD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15B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493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4C769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92E2E5E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24C" w14:textId="117BE5DE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E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C5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8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69D2FEA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B51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13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0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C3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3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0AF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906B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2B2" w14:textId="5BB5B93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C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09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31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00EF0A7C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7D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F2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2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81E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BE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C6A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8AA5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DDF" w14:textId="7072F76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D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DCF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9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0E8E33C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07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9A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C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1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7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1B4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0E77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976" w14:textId="3301D32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04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A1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6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62E7C20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5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34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4B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7E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AF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31F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98C7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6C9" w14:textId="0DFA1F8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7C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D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9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7E82338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6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6C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A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A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41E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C64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0C224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3831" w14:textId="332E29F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E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6A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72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340B629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04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14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3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A9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2F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C1F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1657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77E" w14:textId="258CA15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E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3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A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6DD626CC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A4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16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B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F8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25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8F08D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6063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B2A" w14:textId="3722F6B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56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96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6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6CFCFDD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63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BD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9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0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B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FA2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A11E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71A" w14:textId="33DA454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31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F9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CED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787538D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14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19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9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0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07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62EED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9CA40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4B3" w14:textId="5B0D56D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C24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8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7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504111A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3C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343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14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7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E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0EB5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36FE9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5CA" w14:textId="4F20891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8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A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02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39EAC38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1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984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BB4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95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D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75BD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C7FD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A7E" w14:textId="0ED176D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9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8B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15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04CDAC7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081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7E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7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BE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223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96A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59A272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A60" w14:textId="57626A7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E6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4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D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69863E7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5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6B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A7B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F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C93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4B5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02C60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DFA" w14:textId="35DCBC3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77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6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7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</w:tr>
      <w:tr w:rsidR="003D6E77" w:rsidRPr="00130CC9" w14:paraId="171E5A9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5B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E9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A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6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0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E5F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824D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913" w14:textId="7170413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9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F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47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</w:tr>
      <w:tr w:rsidR="003D6E77" w:rsidRPr="00130CC9" w14:paraId="3664AA2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E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E3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B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4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A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3CB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2B462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A8D" w14:textId="73EC5FF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3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9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96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2214C43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A3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A9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D7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E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626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CEFD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01A6A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641" w14:textId="6D2F068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4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67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8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2DD0D50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E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B9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E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83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7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EE5C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16BA67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E56" w14:textId="506F85C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7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17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18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05C8C2F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433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D4A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E7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08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2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8F97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FA1D31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88A" w14:textId="79DD08A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01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6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6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5423474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4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8C8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BE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2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6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720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CA947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17A" w14:textId="6E2B42A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21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4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A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4FB5BAD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7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54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AB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5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1C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68A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F1AD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FC4" w14:textId="5529E2E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1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CE0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E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1CABAE4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1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CF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24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F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69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38C4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19B32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307" w14:textId="4C9DBAF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17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ED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4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7435922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60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B29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E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993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14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0B1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20A5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0C9" w14:textId="26F9AAF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2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8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9E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184C617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2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3C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6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B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09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004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E94DD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710" w14:textId="26798B7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26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0D8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62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</w:tr>
      <w:tr w:rsidR="003D6E77" w:rsidRPr="00130CC9" w14:paraId="745C8AA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61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6F7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7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50D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6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CF8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0CC9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EC0B" w14:textId="545D297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58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4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7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</w:tr>
      <w:tr w:rsidR="003D6E77" w:rsidRPr="00130CC9" w14:paraId="767A5AF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9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30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7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99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F4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BE8A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EA89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04F" w14:textId="26898CC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7A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A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78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6271827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6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7E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2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6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A6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9D5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9F39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673" w14:textId="11B1AF5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10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7C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38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4F7363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6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0EF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632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2E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13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156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04CB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BEEB" w14:textId="3F65088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A5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1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F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</w:tr>
      <w:tr w:rsidR="003D6E77" w:rsidRPr="00130CC9" w14:paraId="59FA3AD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D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D0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00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2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C3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21D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8B3B6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F74" w14:textId="2CF4718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D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72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C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430F8B6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1F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30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BF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4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F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28CA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D7EB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EAC" w14:textId="6179059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6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79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97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131F7AA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2F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42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9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34C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0A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DB62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73B3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94B" w14:textId="4874C34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7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23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B5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</w:tr>
      <w:tr w:rsidR="003D6E77" w:rsidRPr="00130CC9" w14:paraId="5B16905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04E" w14:textId="7325432A" w:rsidR="00E83D3C" w:rsidRPr="00130CC9" w:rsidRDefault="00130CC9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D8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C34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048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F9A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38141E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CDC47D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8F66" w14:textId="6BCCB1CC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75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5B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F3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43DDA8A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6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B3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1F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7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8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718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91BDB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A744" w14:textId="3EF7C01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F3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AF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6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1D21956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2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E5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D9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7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75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B644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9FF1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BE8" w14:textId="0F2759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7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A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9B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466C484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EF3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C00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43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1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8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A2A7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95062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B13" w14:textId="59F1B8E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AB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3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F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319B78E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0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52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38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B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84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EA9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2C70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D7A" w14:textId="0BE8FC8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E6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B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3A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30F16DB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C7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02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1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8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D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EA6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3AFE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9EE" w14:textId="37F5228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7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3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59B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1FAC350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F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71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777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F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07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731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A429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990" w14:textId="3C3A6E3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F9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B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B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213F4AA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9C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69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0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9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71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F05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6FFB7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E4A" w14:textId="3CC79A1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CE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19D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9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</w:tr>
      <w:tr w:rsidR="003D6E77" w:rsidRPr="00130CC9" w14:paraId="6621CCD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5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D6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5F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14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06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7505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A2E23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C10" w14:textId="730ECF2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7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78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3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7329F9F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1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7A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A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5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14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A9D3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37C29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D90" w14:textId="7725E2D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2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D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8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1807A8C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02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485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0B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1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D8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D6AB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44D13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9F56" w14:textId="4D4FD90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A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D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6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2E43AC4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B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3C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6D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C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C0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D7C4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7F6A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F2D" w14:textId="6A1BA46A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069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1E8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4D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2F1CFC1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E1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19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A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4A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5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619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81B39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5E4D" w14:textId="50256AD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5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E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E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343FCF4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FE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55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1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C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92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A294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7E52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463" w14:textId="78D3AC1A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3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03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8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1F24813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E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060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C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A8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7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FD18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1126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F70" w14:textId="6821E9B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6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E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6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1433129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B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11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2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B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2F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130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C415E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F4F" w14:textId="450ED9B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7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4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9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29146C1E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CA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0BA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E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E5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86C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A35A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25BCA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119" w14:textId="2E8839F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F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0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9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0CB0DEA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43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07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9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3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9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D069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CD8DC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BAC" w14:textId="31C27A4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B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2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F0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1C7F53F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91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62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B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0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52D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ABB57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586" w14:textId="76926F0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4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4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EE0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6C92D3D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1F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69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7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3D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69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3AC2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CABEC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C961" w14:textId="3022881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621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3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1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5AE9A5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56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0E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60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0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C1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6E0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54F4A3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38B" w14:textId="7806BB6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6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DC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2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B0CCBC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B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A3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DDD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C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EA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6A8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C513C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879" w14:textId="3DDEC8A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90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65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2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65558CF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21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E1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8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AD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A1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099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3CA7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BAE" w14:textId="7195647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9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0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9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51818B0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6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F8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E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1C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1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883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F001C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EA1" w14:textId="30F9DF1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DB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8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D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7AA88EF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7BA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EBDD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A6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2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8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277E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F275C2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27D7" w14:textId="1E81A86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D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F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17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A2F565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E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ED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DE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A3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3F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A29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E372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53F" w14:textId="540715F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95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D2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6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0CB511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D4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6C8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6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8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CD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D8A9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82DB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7CF8" w14:textId="66A2542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A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27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0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3B189F71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25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48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D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88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6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379C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69A3DD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08EA" w14:textId="433C97D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DC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D9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24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416E20B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4B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C3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5F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EF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5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28BE1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43AFA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39C" w14:textId="664445E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21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5B2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A9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D3FB91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6A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32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CA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FF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A2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A80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20B4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CC2" w14:textId="45B4475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52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E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D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F04C95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5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63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FF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CB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CE5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B9C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A472B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E16" w14:textId="71C44BF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77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67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D8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21A6CE7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481A" w14:textId="380E7EC1" w:rsidR="00E83D3C" w:rsidRPr="00130CC9" w:rsidRDefault="00130CC9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3D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A5D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63E8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81E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C792C2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AD34E25" w14:textId="77777777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0D6" w14:textId="49D0D049" w:rsidR="00E83D3C" w:rsidRPr="00130CC9" w:rsidRDefault="00E83D3C" w:rsidP="00130C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E5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C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AF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6E77" w:rsidRPr="00130CC9" w14:paraId="3A61433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E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9CD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FD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9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28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D493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4AFF0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25F" w14:textId="4769C22C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C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4D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70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72B5212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9D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F0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9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4A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B2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C60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F9960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5B71" w14:textId="3B25AE3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C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B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AF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3C0F29A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24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02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6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45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2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84CE1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E18196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22C" w14:textId="2A19E2A2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B40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CC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7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6C2D4CEC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C9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D1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F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72C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1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CAB2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71EA7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4F1" w14:textId="3D94236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03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9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F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25E1A06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36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4D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DF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73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5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351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963E85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6A0" w14:textId="6E088F0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2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99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2A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354AD75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EC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11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79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8E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0CE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CC362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DB2ED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B1F" w14:textId="68D63C7B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2A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3F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51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31E1560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1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108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09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E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F9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2D20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83C7C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E11" w14:textId="5CA01CF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57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2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38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035B1AAD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8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7D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73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1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A8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9415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FFAE8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4F1" w14:textId="2B942943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9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D4B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5D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4DF5080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20B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2F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20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62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3BC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B4DA1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97371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A95B" w14:textId="04D6696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B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D2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75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03F59BEF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B7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3F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3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D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C4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609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BA63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D5A" w14:textId="3428510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5E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8A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DD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</w:tr>
      <w:tr w:rsidR="003D6E77" w:rsidRPr="00130CC9" w14:paraId="5E9D935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45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0D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7C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F26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F0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0F11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8F85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5D8" w14:textId="4E8E924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DE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10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F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12B654CA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1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D5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597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5A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5B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A59E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9F0AA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082" w14:textId="7300ED5D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8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9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F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287F9FE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3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62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F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1A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6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3491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9285D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4B3" w14:textId="4167E0D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F1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4F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91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5305A7D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37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9B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89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AD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1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DF46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07429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E970" w14:textId="2CAA5EE5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53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7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38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6F6A39FC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EC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5B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DEF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A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48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0145C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3483F4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DB4" w14:textId="7491AA89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31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1F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3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677D3E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87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B003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3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09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5E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05E4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CA550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5B1" w14:textId="55AF999F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05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0B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EA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27118EE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66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884B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25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25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D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D99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E3943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BF7" w14:textId="7CFB68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684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61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1B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12F6D170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BBD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A8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9B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A2C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1C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9780D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C23B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975E" w14:textId="5CB9ECE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F5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A6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8E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63C8427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7A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42F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3B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80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8ED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D455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9804E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0E0" w14:textId="2D707DD4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02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D5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38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7CC1FCA5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3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1B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8D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8A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40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7073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AA451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429E" w14:textId="1602134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A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22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C5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26C262C2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51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6C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B8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C4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26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9233D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FB061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D2C" w14:textId="672942F8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37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9AA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CA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4113C1D8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B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F1C9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C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09F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D9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2C70C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AB769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E65" w14:textId="1D25DD6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7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85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AA9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0.09</w:t>
            </w:r>
          </w:p>
        </w:tc>
      </w:tr>
      <w:tr w:rsidR="003D6E77" w:rsidRPr="00130CC9" w14:paraId="622CDC29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48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657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336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0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A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8681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D447B0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A5E" w14:textId="5CF20F5E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F1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0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0C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0.03</w:t>
            </w:r>
          </w:p>
        </w:tc>
      </w:tr>
      <w:tr w:rsidR="003D6E77" w:rsidRPr="00130CC9" w14:paraId="4AC245A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A2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102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78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EF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F0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3DE3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A8D5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21D" w14:textId="57310C1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14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69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40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</w:tr>
      <w:tr w:rsidR="003D6E77" w:rsidRPr="00130CC9" w14:paraId="510D6C44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14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BA1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5B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336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93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3404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CAF7B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A59" w14:textId="5B1063A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CA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8C6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6C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6E6952FB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5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596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238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23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1D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04B8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64348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607" w14:textId="6B8D4A31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58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99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8E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</w:tr>
      <w:tr w:rsidR="003D6E77" w:rsidRPr="00130CC9" w14:paraId="2D48DF83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8C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055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C4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02B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27F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8059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0962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9A9" w14:textId="6D4033A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B6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9B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0A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130A8846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8B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924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2F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8F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AF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63A20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DF06B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25F" w14:textId="2A101AC0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1E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46D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48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1FBEB7F7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35C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04E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15,15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6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FB4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56F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6FB05B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14:paraId="47BCDD4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72F" w14:textId="7511D24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C6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48A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-0.20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C33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</w:tr>
      <w:tr w:rsidR="003D6E77" w:rsidRPr="00130CC9" w14:paraId="5A5B732C" w14:textId="77777777" w:rsidTr="003D6E7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46E2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0493C" w14:textId="77777777" w:rsidR="00E83D3C" w:rsidRPr="00130CC9" w:rsidRDefault="00E83D3C" w:rsidP="00130CC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437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D657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A4B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E65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</w:tcBorders>
          </w:tcPr>
          <w:p w14:paraId="21CB6F79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AC92" w14:textId="33821E26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3BC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FF01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A36E" w14:textId="77777777" w:rsidR="00E83D3C" w:rsidRPr="00130CC9" w:rsidRDefault="00E83D3C" w:rsidP="00130CC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30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0.07</w:t>
            </w:r>
          </w:p>
        </w:tc>
      </w:tr>
    </w:tbl>
    <w:p w14:paraId="015E5261" w14:textId="7E30DE39" w:rsidR="00AC43E2" w:rsidRPr="00130CC9" w:rsidRDefault="00E00B3F" w:rsidP="00130CC9">
      <w:pPr>
        <w:spacing w:line="480" w:lineRule="auto"/>
        <w:rPr>
          <w:sz w:val="24"/>
          <w:szCs w:val="24"/>
          <w:lang w:val="en-US"/>
        </w:rPr>
      </w:pPr>
      <w:r w:rsidRPr="00130CC9">
        <w:rPr>
          <w:sz w:val="24"/>
          <w:szCs w:val="24"/>
          <w:lang w:val="en-US"/>
        </w:rPr>
        <w:t>Pa</w:t>
      </w:r>
      <w:r w:rsidR="00CE3B12" w:rsidRPr="00130CC9">
        <w:rPr>
          <w:sz w:val="24"/>
          <w:szCs w:val="24"/>
          <w:lang w:val="en-US"/>
        </w:rPr>
        <w:t>r</w:t>
      </w:r>
      <w:r w:rsidR="00D97699" w:rsidRPr="00130CC9">
        <w:rPr>
          <w:sz w:val="24"/>
          <w:szCs w:val="24"/>
          <w:lang w:val="en-US"/>
        </w:rPr>
        <w:t xml:space="preserve"> = parameter</w:t>
      </w:r>
      <w:r w:rsidR="0033679D" w:rsidRPr="00130CC9">
        <w:rPr>
          <w:sz w:val="24"/>
          <w:szCs w:val="24"/>
          <w:lang w:val="en-US"/>
        </w:rPr>
        <w:t xml:space="preserve"> matrix</w:t>
      </w:r>
      <w:r w:rsidR="00D97699" w:rsidRPr="00130CC9">
        <w:rPr>
          <w:sz w:val="24"/>
          <w:szCs w:val="24"/>
          <w:lang w:val="en-US"/>
        </w:rPr>
        <w:t>;</w:t>
      </w:r>
      <w:r w:rsidRPr="00130CC9">
        <w:rPr>
          <w:sz w:val="24"/>
          <w:szCs w:val="24"/>
          <w:lang w:val="en-US"/>
        </w:rPr>
        <w:t xml:space="preserve"> Position = parameter position in the </w:t>
      </w:r>
      <w:r w:rsidR="00884B13" w:rsidRPr="00130CC9">
        <w:rPr>
          <w:sz w:val="24"/>
          <w:szCs w:val="24"/>
          <w:lang w:val="en-US"/>
        </w:rPr>
        <w:t xml:space="preserve">parameter </w:t>
      </w:r>
      <w:r w:rsidRPr="00130CC9">
        <w:rPr>
          <w:sz w:val="24"/>
          <w:szCs w:val="24"/>
          <w:lang w:val="en-US"/>
        </w:rPr>
        <w:t>matrices described above;</w:t>
      </w:r>
      <w:r w:rsidR="00D97699" w:rsidRPr="00130CC9">
        <w:rPr>
          <w:sz w:val="24"/>
          <w:szCs w:val="24"/>
          <w:lang w:val="en-US"/>
        </w:rPr>
        <w:t xml:space="preserve"> </w:t>
      </w:r>
      <w:r w:rsidR="005B1C24" w:rsidRPr="00130CC9">
        <w:rPr>
          <w:sz w:val="24"/>
          <w:szCs w:val="24"/>
          <w:lang w:val="en-US"/>
        </w:rPr>
        <w:t>Estimate = par</w:t>
      </w:r>
      <w:r w:rsidR="00D920D5" w:rsidRPr="00130CC9">
        <w:rPr>
          <w:sz w:val="24"/>
          <w:szCs w:val="24"/>
          <w:lang w:val="en-US"/>
        </w:rPr>
        <w:t>a</w:t>
      </w:r>
      <w:r w:rsidR="005B1C24" w:rsidRPr="00130CC9">
        <w:rPr>
          <w:sz w:val="24"/>
          <w:szCs w:val="24"/>
          <w:lang w:val="en-US"/>
        </w:rPr>
        <w:t>m</w:t>
      </w:r>
      <w:r w:rsidR="00D920D5" w:rsidRPr="00130CC9">
        <w:rPr>
          <w:sz w:val="24"/>
          <w:szCs w:val="24"/>
          <w:lang w:val="en-US"/>
        </w:rPr>
        <w:t>e</w:t>
      </w:r>
      <w:r w:rsidR="005B1C24" w:rsidRPr="00130CC9">
        <w:rPr>
          <w:sz w:val="24"/>
          <w:szCs w:val="24"/>
          <w:lang w:val="en-US"/>
        </w:rPr>
        <w:t>ter estimate</w:t>
      </w:r>
      <w:r w:rsidR="00D2583E" w:rsidRPr="00130CC9">
        <w:rPr>
          <w:sz w:val="24"/>
          <w:szCs w:val="24"/>
          <w:lang w:val="en-US"/>
        </w:rPr>
        <w:t xml:space="preserve">; </w:t>
      </w:r>
      <w:r w:rsidR="003F5CD3" w:rsidRPr="00130CC9">
        <w:rPr>
          <w:sz w:val="24"/>
          <w:szCs w:val="24"/>
          <w:lang w:val="en-US"/>
        </w:rPr>
        <w:t>SE = standard error.</w:t>
      </w:r>
    </w:p>
    <w:sectPr w:rsidR="00AC43E2" w:rsidRPr="00130CC9" w:rsidSect="00C53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7FB7" w14:textId="77777777" w:rsidR="00B376D9" w:rsidRDefault="00B376D9" w:rsidP="00B376D9">
      <w:pPr>
        <w:spacing w:after="0" w:line="240" w:lineRule="auto"/>
      </w:pPr>
      <w:r>
        <w:separator/>
      </w:r>
    </w:p>
  </w:endnote>
  <w:endnote w:type="continuationSeparator" w:id="0">
    <w:p w14:paraId="7586AA67" w14:textId="77777777" w:rsidR="00B376D9" w:rsidRDefault="00B376D9" w:rsidP="00B3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3E30" w14:textId="77777777" w:rsidR="00B376D9" w:rsidRDefault="00B376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9385" w14:textId="77777777" w:rsidR="00B376D9" w:rsidRDefault="00B376D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76C6" w14:textId="77777777" w:rsidR="00B376D9" w:rsidRDefault="00B376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67A2C" w14:textId="77777777" w:rsidR="00B376D9" w:rsidRDefault="00B376D9" w:rsidP="00B376D9">
      <w:pPr>
        <w:spacing w:after="0" w:line="240" w:lineRule="auto"/>
      </w:pPr>
      <w:r>
        <w:separator/>
      </w:r>
    </w:p>
  </w:footnote>
  <w:footnote w:type="continuationSeparator" w:id="0">
    <w:p w14:paraId="2C10B961" w14:textId="77777777" w:rsidR="00B376D9" w:rsidRDefault="00B376D9" w:rsidP="00B3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F0D4" w14:textId="77777777" w:rsidR="00B376D9" w:rsidRDefault="00B376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308943"/>
      <w:docPartObj>
        <w:docPartGallery w:val="Page Numbers (Top of Page)"/>
        <w:docPartUnique/>
      </w:docPartObj>
    </w:sdtPr>
    <w:sdtEndPr/>
    <w:sdtContent>
      <w:p w14:paraId="631D603F" w14:textId="649DE2B0" w:rsidR="00B376D9" w:rsidRDefault="00B376D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C9">
          <w:rPr>
            <w:noProof/>
          </w:rPr>
          <w:t>11</w:t>
        </w:r>
        <w:r>
          <w:fldChar w:fldCharType="end"/>
        </w:r>
      </w:p>
    </w:sdtContent>
  </w:sdt>
  <w:p w14:paraId="6345CC0E" w14:textId="77777777" w:rsidR="00B376D9" w:rsidRDefault="00B376D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4397" w14:textId="77777777" w:rsidR="00B376D9" w:rsidRDefault="00B376D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A6"/>
    <w:rsid w:val="00002030"/>
    <w:rsid w:val="0000263A"/>
    <w:rsid w:val="00012CCE"/>
    <w:rsid w:val="000166A9"/>
    <w:rsid w:val="00020587"/>
    <w:rsid w:val="00024197"/>
    <w:rsid w:val="0003705E"/>
    <w:rsid w:val="00043778"/>
    <w:rsid w:val="00045D54"/>
    <w:rsid w:val="00051257"/>
    <w:rsid w:val="00052A5F"/>
    <w:rsid w:val="0005363D"/>
    <w:rsid w:val="0005495E"/>
    <w:rsid w:val="000632DD"/>
    <w:rsid w:val="00073763"/>
    <w:rsid w:val="00076F56"/>
    <w:rsid w:val="000903B4"/>
    <w:rsid w:val="0009183C"/>
    <w:rsid w:val="000B0581"/>
    <w:rsid w:val="000B0ACA"/>
    <w:rsid w:val="000B1B35"/>
    <w:rsid w:val="000C47B3"/>
    <w:rsid w:val="000C7F72"/>
    <w:rsid w:val="000D0B25"/>
    <w:rsid w:val="000E288B"/>
    <w:rsid w:val="000F20D9"/>
    <w:rsid w:val="000F3BBD"/>
    <w:rsid w:val="000F69EE"/>
    <w:rsid w:val="000F6C39"/>
    <w:rsid w:val="00111F78"/>
    <w:rsid w:val="00130CC9"/>
    <w:rsid w:val="001328DA"/>
    <w:rsid w:val="00137016"/>
    <w:rsid w:val="00145F9B"/>
    <w:rsid w:val="00160F97"/>
    <w:rsid w:val="00163217"/>
    <w:rsid w:val="00172ACA"/>
    <w:rsid w:val="00173B79"/>
    <w:rsid w:val="00174AEB"/>
    <w:rsid w:val="00175A8A"/>
    <w:rsid w:val="001764DA"/>
    <w:rsid w:val="0018133B"/>
    <w:rsid w:val="00184FF6"/>
    <w:rsid w:val="001914C8"/>
    <w:rsid w:val="00192535"/>
    <w:rsid w:val="00195C33"/>
    <w:rsid w:val="001A6E7C"/>
    <w:rsid w:val="001B3BDC"/>
    <w:rsid w:val="001D2400"/>
    <w:rsid w:val="001D5DD4"/>
    <w:rsid w:val="001E4244"/>
    <w:rsid w:val="001F03C5"/>
    <w:rsid w:val="001F056F"/>
    <w:rsid w:val="001F6911"/>
    <w:rsid w:val="00202EC4"/>
    <w:rsid w:val="00205BD9"/>
    <w:rsid w:val="002149B0"/>
    <w:rsid w:val="002239F5"/>
    <w:rsid w:val="00237299"/>
    <w:rsid w:val="00243457"/>
    <w:rsid w:val="0025008D"/>
    <w:rsid w:val="00252EE0"/>
    <w:rsid w:val="00254DD5"/>
    <w:rsid w:val="00255D1C"/>
    <w:rsid w:val="00257C2D"/>
    <w:rsid w:val="0026253A"/>
    <w:rsid w:val="00291E49"/>
    <w:rsid w:val="0029489F"/>
    <w:rsid w:val="002A1AE3"/>
    <w:rsid w:val="002B4E49"/>
    <w:rsid w:val="002D0DCF"/>
    <w:rsid w:val="002E0471"/>
    <w:rsid w:val="002E1C60"/>
    <w:rsid w:val="002E53D8"/>
    <w:rsid w:val="002E5B20"/>
    <w:rsid w:val="002F36B8"/>
    <w:rsid w:val="002F702A"/>
    <w:rsid w:val="003026F9"/>
    <w:rsid w:val="00305844"/>
    <w:rsid w:val="00307679"/>
    <w:rsid w:val="00312B5D"/>
    <w:rsid w:val="00330692"/>
    <w:rsid w:val="0033679D"/>
    <w:rsid w:val="0034538E"/>
    <w:rsid w:val="00362089"/>
    <w:rsid w:val="00367FDD"/>
    <w:rsid w:val="00373297"/>
    <w:rsid w:val="00376229"/>
    <w:rsid w:val="00386CE1"/>
    <w:rsid w:val="00397280"/>
    <w:rsid w:val="003A7F86"/>
    <w:rsid w:val="003B42EA"/>
    <w:rsid w:val="003B4E4A"/>
    <w:rsid w:val="003D272E"/>
    <w:rsid w:val="003D6E77"/>
    <w:rsid w:val="003D7B62"/>
    <w:rsid w:val="003E09DA"/>
    <w:rsid w:val="003E2821"/>
    <w:rsid w:val="003E547B"/>
    <w:rsid w:val="003F161C"/>
    <w:rsid w:val="003F5CD3"/>
    <w:rsid w:val="003F62DB"/>
    <w:rsid w:val="004068F7"/>
    <w:rsid w:val="00407FDF"/>
    <w:rsid w:val="00412F92"/>
    <w:rsid w:val="00415918"/>
    <w:rsid w:val="00421EAF"/>
    <w:rsid w:val="004247B9"/>
    <w:rsid w:val="00425FF3"/>
    <w:rsid w:val="00426330"/>
    <w:rsid w:val="004331DF"/>
    <w:rsid w:val="00440014"/>
    <w:rsid w:val="00453909"/>
    <w:rsid w:val="00456E31"/>
    <w:rsid w:val="00462843"/>
    <w:rsid w:val="00480080"/>
    <w:rsid w:val="004814AE"/>
    <w:rsid w:val="0048315F"/>
    <w:rsid w:val="00491C9A"/>
    <w:rsid w:val="0049703C"/>
    <w:rsid w:val="004A3531"/>
    <w:rsid w:val="004B2C0B"/>
    <w:rsid w:val="004B3E50"/>
    <w:rsid w:val="004B7B0D"/>
    <w:rsid w:val="004D7979"/>
    <w:rsid w:val="004E53CA"/>
    <w:rsid w:val="004E6A13"/>
    <w:rsid w:val="004F1201"/>
    <w:rsid w:val="004F70CD"/>
    <w:rsid w:val="005109EA"/>
    <w:rsid w:val="005113A6"/>
    <w:rsid w:val="0051334B"/>
    <w:rsid w:val="00525D06"/>
    <w:rsid w:val="0053226A"/>
    <w:rsid w:val="00536D66"/>
    <w:rsid w:val="00540F99"/>
    <w:rsid w:val="00541CE1"/>
    <w:rsid w:val="00541DD1"/>
    <w:rsid w:val="00550193"/>
    <w:rsid w:val="00567089"/>
    <w:rsid w:val="00577BA8"/>
    <w:rsid w:val="005832BB"/>
    <w:rsid w:val="00584AAA"/>
    <w:rsid w:val="00586814"/>
    <w:rsid w:val="00592853"/>
    <w:rsid w:val="005942F5"/>
    <w:rsid w:val="005B1C24"/>
    <w:rsid w:val="005C6D6B"/>
    <w:rsid w:val="005D322E"/>
    <w:rsid w:val="005D5A14"/>
    <w:rsid w:val="005D5EF1"/>
    <w:rsid w:val="005F75E9"/>
    <w:rsid w:val="006156D6"/>
    <w:rsid w:val="00632E85"/>
    <w:rsid w:val="0064496A"/>
    <w:rsid w:val="0064505A"/>
    <w:rsid w:val="00646861"/>
    <w:rsid w:val="00650720"/>
    <w:rsid w:val="00652EE8"/>
    <w:rsid w:val="00654AE7"/>
    <w:rsid w:val="006573A7"/>
    <w:rsid w:val="00657A0D"/>
    <w:rsid w:val="0066581D"/>
    <w:rsid w:val="00682EFC"/>
    <w:rsid w:val="00686E9E"/>
    <w:rsid w:val="00692DE8"/>
    <w:rsid w:val="00694771"/>
    <w:rsid w:val="006A37F8"/>
    <w:rsid w:val="006B16C9"/>
    <w:rsid w:val="006B242B"/>
    <w:rsid w:val="006C745B"/>
    <w:rsid w:val="006D0B8F"/>
    <w:rsid w:val="006D1B1D"/>
    <w:rsid w:val="006D5BC5"/>
    <w:rsid w:val="006D7040"/>
    <w:rsid w:val="006E4016"/>
    <w:rsid w:val="006E4260"/>
    <w:rsid w:val="006F0EB6"/>
    <w:rsid w:val="006F4B9C"/>
    <w:rsid w:val="007045EB"/>
    <w:rsid w:val="00706711"/>
    <w:rsid w:val="007162EF"/>
    <w:rsid w:val="007235CE"/>
    <w:rsid w:val="00723A22"/>
    <w:rsid w:val="0072603B"/>
    <w:rsid w:val="0073518E"/>
    <w:rsid w:val="00753E38"/>
    <w:rsid w:val="00753E84"/>
    <w:rsid w:val="007613D3"/>
    <w:rsid w:val="00767B29"/>
    <w:rsid w:val="0077074D"/>
    <w:rsid w:val="007728FD"/>
    <w:rsid w:val="00784D77"/>
    <w:rsid w:val="00791068"/>
    <w:rsid w:val="007956EC"/>
    <w:rsid w:val="00797744"/>
    <w:rsid w:val="007A3115"/>
    <w:rsid w:val="007A596F"/>
    <w:rsid w:val="007C0827"/>
    <w:rsid w:val="007C2B9D"/>
    <w:rsid w:val="007C3BEF"/>
    <w:rsid w:val="007C6198"/>
    <w:rsid w:val="007C7020"/>
    <w:rsid w:val="007D3BC2"/>
    <w:rsid w:val="007D5093"/>
    <w:rsid w:val="007D53B9"/>
    <w:rsid w:val="007D6C95"/>
    <w:rsid w:val="007E2CAD"/>
    <w:rsid w:val="007E65BD"/>
    <w:rsid w:val="00822E75"/>
    <w:rsid w:val="008271F5"/>
    <w:rsid w:val="00830098"/>
    <w:rsid w:val="00832B27"/>
    <w:rsid w:val="00833876"/>
    <w:rsid w:val="00842102"/>
    <w:rsid w:val="00843C55"/>
    <w:rsid w:val="00852FF5"/>
    <w:rsid w:val="008535F5"/>
    <w:rsid w:val="00857376"/>
    <w:rsid w:val="00861511"/>
    <w:rsid w:val="00863BFB"/>
    <w:rsid w:val="008821A3"/>
    <w:rsid w:val="00882A97"/>
    <w:rsid w:val="00883E5C"/>
    <w:rsid w:val="008842C0"/>
    <w:rsid w:val="00884B13"/>
    <w:rsid w:val="00887A9D"/>
    <w:rsid w:val="008930FF"/>
    <w:rsid w:val="008B4AA8"/>
    <w:rsid w:val="008B4AE8"/>
    <w:rsid w:val="008E4FB6"/>
    <w:rsid w:val="008F3B58"/>
    <w:rsid w:val="008F7434"/>
    <w:rsid w:val="0090037E"/>
    <w:rsid w:val="00912D2D"/>
    <w:rsid w:val="00921A4A"/>
    <w:rsid w:val="00922447"/>
    <w:rsid w:val="00924D69"/>
    <w:rsid w:val="00934817"/>
    <w:rsid w:val="009416DC"/>
    <w:rsid w:val="00945B96"/>
    <w:rsid w:val="00953BF2"/>
    <w:rsid w:val="0096447E"/>
    <w:rsid w:val="00964744"/>
    <w:rsid w:val="0097136F"/>
    <w:rsid w:val="00985372"/>
    <w:rsid w:val="009877B4"/>
    <w:rsid w:val="009B38BE"/>
    <w:rsid w:val="009B468B"/>
    <w:rsid w:val="009C2BC6"/>
    <w:rsid w:val="009C5595"/>
    <w:rsid w:val="009C722C"/>
    <w:rsid w:val="009D12EA"/>
    <w:rsid w:val="009D5EF4"/>
    <w:rsid w:val="009D6B52"/>
    <w:rsid w:val="009E16BE"/>
    <w:rsid w:val="009E21D8"/>
    <w:rsid w:val="009F0B81"/>
    <w:rsid w:val="009F547E"/>
    <w:rsid w:val="00A06D3B"/>
    <w:rsid w:val="00A23B4E"/>
    <w:rsid w:val="00A406F8"/>
    <w:rsid w:val="00A413F0"/>
    <w:rsid w:val="00A43FB5"/>
    <w:rsid w:val="00A555E2"/>
    <w:rsid w:val="00A607C9"/>
    <w:rsid w:val="00A77DB6"/>
    <w:rsid w:val="00A77F81"/>
    <w:rsid w:val="00A82F58"/>
    <w:rsid w:val="00A84C38"/>
    <w:rsid w:val="00A867E2"/>
    <w:rsid w:val="00AB13C6"/>
    <w:rsid w:val="00AC28A0"/>
    <w:rsid w:val="00AC43E2"/>
    <w:rsid w:val="00AC6B14"/>
    <w:rsid w:val="00AD167F"/>
    <w:rsid w:val="00AD72FB"/>
    <w:rsid w:val="00AD7932"/>
    <w:rsid w:val="00AF05C6"/>
    <w:rsid w:val="00AF09EF"/>
    <w:rsid w:val="00AF25D8"/>
    <w:rsid w:val="00AF5FA1"/>
    <w:rsid w:val="00B0305B"/>
    <w:rsid w:val="00B1332B"/>
    <w:rsid w:val="00B251EC"/>
    <w:rsid w:val="00B376D9"/>
    <w:rsid w:val="00B41C7C"/>
    <w:rsid w:val="00B5092A"/>
    <w:rsid w:val="00B60218"/>
    <w:rsid w:val="00B61AD2"/>
    <w:rsid w:val="00B64217"/>
    <w:rsid w:val="00B70607"/>
    <w:rsid w:val="00B71F5E"/>
    <w:rsid w:val="00B828B8"/>
    <w:rsid w:val="00B94FB5"/>
    <w:rsid w:val="00B9781E"/>
    <w:rsid w:val="00BB059E"/>
    <w:rsid w:val="00BB1264"/>
    <w:rsid w:val="00BB3A5F"/>
    <w:rsid w:val="00BB6A54"/>
    <w:rsid w:val="00BB7C5D"/>
    <w:rsid w:val="00BC71E5"/>
    <w:rsid w:val="00BD6F07"/>
    <w:rsid w:val="00BD7BC2"/>
    <w:rsid w:val="00C13492"/>
    <w:rsid w:val="00C23B90"/>
    <w:rsid w:val="00C26D82"/>
    <w:rsid w:val="00C3203F"/>
    <w:rsid w:val="00C327A1"/>
    <w:rsid w:val="00C34C00"/>
    <w:rsid w:val="00C37FF6"/>
    <w:rsid w:val="00C433A4"/>
    <w:rsid w:val="00C5347A"/>
    <w:rsid w:val="00C54DE7"/>
    <w:rsid w:val="00C551ED"/>
    <w:rsid w:val="00C5593A"/>
    <w:rsid w:val="00C618EC"/>
    <w:rsid w:val="00C62A38"/>
    <w:rsid w:val="00C64F04"/>
    <w:rsid w:val="00C805BA"/>
    <w:rsid w:val="00C8083F"/>
    <w:rsid w:val="00C8173F"/>
    <w:rsid w:val="00C90453"/>
    <w:rsid w:val="00C90A26"/>
    <w:rsid w:val="00C93480"/>
    <w:rsid w:val="00C93AB6"/>
    <w:rsid w:val="00C963C1"/>
    <w:rsid w:val="00CA052B"/>
    <w:rsid w:val="00CA1788"/>
    <w:rsid w:val="00CA1EC9"/>
    <w:rsid w:val="00CA3D90"/>
    <w:rsid w:val="00CA4374"/>
    <w:rsid w:val="00CA6D57"/>
    <w:rsid w:val="00CB1DF2"/>
    <w:rsid w:val="00CB5BBD"/>
    <w:rsid w:val="00CD3F9A"/>
    <w:rsid w:val="00CE3B12"/>
    <w:rsid w:val="00CF6A93"/>
    <w:rsid w:val="00CF6C08"/>
    <w:rsid w:val="00CF7C64"/>
    <w:rsid w:val="00D21920"/>
    <w:rsid w:val="00D24939"/>
    <w:rsid w:val="00D2583E"/>
    <w:rsid w:val="00D37824"/>
    <w:rsid w:val="00D43F8E"/>
    <w:rsid w:val="00D920D5"/>
    <w:rsid w:val="00D931AE"/>
    <w:rsid w:val="00D97699"/>
    <w:rsid w:val="00D977FE"/>
    <w:rsid w:val="00DC498B"/>
    <w:rsid w:val="00DC5F2D"/>
    <w:rsid w:val="00DD1477"/>
    <w:rsid w:val="00DE38BE"/>
    <w:rsid w:val="00DE4716"/>
    <w:rsid w:val="00DE60D2"/>
    <w:rsid w:val="00DE7181"/>
    <w:rsid w:val="00DF5ABD"/>
    <w:rsid w:val="00E00B3F"/>
    <w:rsid w:val="00E0489C"/>
    <w:rsid w:val="00E05B1C"/>
    <w:rsid w:val="00E107F5"/>
    <w:rsid w:val="00E130D1"/>
    <w:rsid w:val="00E25A3D"/>
    <w:rsid w:val="00E34728"/>
    <w:rsid w:val="00E40AB5"/>
    <w:rsid w:val="00E40C34"/>
    <w:rsid w:val="00E4211F"/>
    <w:rsid w:val="00E45B15"/>
    <w:rsid w:val="00E5561A"/>
    <w:rsid w:val="00E6777D"/>
    <w:rsid w:val="00E733C5"/>
    <w:rsid w:val="00E83D3C"/>
    <w:rsid w:val="00E86CEB"/>
    <w:rsid w:val="00E8718D"/>
    <w:rsid w:val="00E87E95"/>
    <w:rsid w:val="00EA0BDA"/>
    <w:rsid w:val="00EB31A6"/>
    <w:rsid w:val="00EC671E"/>
    <w:rsid w:val="00ED07DF"/>
    <w:rsid w:val="00ED7EAC"/>
    <w:rsid w:val="00EE018E"/>
    <w:rsid w:val="00EE078F"/>
    <w:rsid w:val="00EE5399"/>
    <w:rsid w:val="00EF3E11"/>
    <w:rsid w:val="00EF7E0F"/>
    <w:rsid w:val="00F002C6"/>
    <w:rsid w:val="00F02F2A"/>
    <w:rsid w:val="00F04E4B"/>
    <w:rsid w:val="00F06295"/>
    <w:rsid w:val="00F10959"/>
    <w:rsid w:val="00F16E5A"/>
    <w:rsid w:val="00F215B7"/>
    <w:rsid w:val="00F25D8B"/>
    <w:rsid w:val="00F34DA2"/>
    <w:rsid w:val="00F50EB7"/>
    <w:rsid w:val="00F5313F"/>
    <w:rsid w:val="00F637A7"/>
    <w:rsid w:val="00F67BBC"/>
    <w:rsid w:val="00F7130E"/>
    <w:rsid w:val="00F74533"/>
    <w:rsid w:val="00F74828"/>
    <w:rsid w:val="00F8029D"/>
    <w:rsid w:val="00F905BF"/>
    <w:rsid w:val="00F906F4"/>
    <w:rsid w:val="00F972BF"/>
    <w:rsid w:val="00FB1D3C"/>
    <w:rsid w:val="00FC380C"/>
    <w:rsid w:val="00FD15C3"/>
    <w:rsid w:val="00FD208B"/>
    <w:rsid w:val="00FD542C"/>
    <w:rsid w:val="00FD6A87"/>
    <w:rsid w:val="00FE3EE9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9199"/>
  <w15:chartTrackingRefBased/>
  <w15:docId w15:val="{165C2C55-98D9-4E1D-9FC1-103F242D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87E95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C3203F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203F"/>
    <w:rPr>
      <w:color w:val="954F72"/>
      <w:u w:val="single"/>
    </w:rPr>
  </w:style>
  <w:style w:type="paragraph" w:customStyle="1" w:styleId="xl66">
    <w:name w:val="xl66"/>
    <w:basedOn w:val="Normal"/>
    <w:rsid w:val="00C320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C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C32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F9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72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728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72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72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7280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3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6D9"/>
  </w:style>
  <w:style w:type="paragraph" w:styleId="Bunntekst">
    <w:name w:val="footer"/>
    <w:basedOn w:val="Normal"/>
    <w:link w:val="BunntekstTegn"/>
    <w:uiPriority w:val="99"/>
    <w:unhideWhenUsed/>
    <w:rsid w:val="00B3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6D9"/>
  </w:style>
  <w:style w:type="character" w:styleId="Linjenummer">
    <w:name w:val="line number"/>
    <w:basedOn w:val="Standardskriftforavsnitt"/>
    <w:uiPriority w:val="99"/>
    <w:semiHidden/>
    <w:unhideWhenUsed/>
    <w:rsid w:val="00C5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1884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Eilertsen, Espen Moen</dc:creator>
  <cp:keywords/>
  <dc:description/>
  <cp:lastModifiedBy>Eilertsen, Espen Moen</cp:lastModifiedBy>
  <cp:revision>68</cp:revision>
  <dcterms:created xsi:type="dcterms:W3CDTF">2017-10-15T10:26:00Z</dcterms:created>
  <dcterms:modified xsi:type="dcterms:W3CDTF">2017-11-08T22:43:00Z</dcterms:modified>
</cp:coreProperties>
</file>