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3A" w:rsidRPr="002D21B6" w:rsidRDefault="004A6B3A" w:rsidP="004A6B3A">
      <w:pPr>
        <w:spacing w:line="480" w:lineRule="auto"/>
        <w:rPr>
          <w:rFonts w:ascii="Arial" w:hAnsi="Arial" w:cs="Arial"/>
          <w:b/>
          <w:sz w:val="24"/>
          <w:szCs w:val="24"/>
        </w:rPr>
      </w:pPr>
      <w:r w:rsidRPr="002D21B6">
        <w:rPr>
          <w:rFonts w:ascii="Arial" w:hAnsi="Arial" w:cs="Arial"/>
          <w:b/>
          <w:sz w:val="24"/>
          <w:szCs w:val="24"/>
        </w:rPr>
        <w:t>Title page</w:t>
      </w:r>
    </w:p>
    <w:p w:rsidR="002E1B02" w:rsidRPr="002D21B6" w:rsidRDefault="004A6B3A" w:rsidP="00E55972">
      <w:pPr>
        <w:spacing w:line="480" w:lineRule="auto"/>
        <w:rPr>
          <w:rFonts w:ascii="Arial" w:hAnsi="Arial" w:cs="Arial"/>
          <w:b/>
          <w:sz w:val="24"/>
          <w:szCs w:val="24"/>
        </w:rPr>
      </w:pPr>
      <w:r w:rsidRPr="002D21B6">
        <w:rPr>
          <w:rFonts w:ascii="Arial" w:hAnsi="Arial" w:cs="Arial"/>
          <w:b/>
          <w:sz w:val="24"/>
          <w:szCs w:val="24"/>
        </w:rPr>
        <w:t>’</w:t>
      </w:r>
      <w:r w:rsidR="00395390" w:rsidRPr="002D21B6">
        <w:t xml:space="preserve"> </w:t>
      </w:r>
      <w:r w:rsidR="00395390" w:rsidRPr="002D21B6">
        <w:rPr>
          <w:rFonts w:ascii="Arial" w:hAnsi="Arial" w:cs="Arial"/>
          <w:b/>
          <w:sz w:val="24"/>
          <w:szCs w:val="24"/>
        </w:rPr>
        <w:t>Original Paper</w:t>
      </w:r>
      <w:r w:rsidRPr="002D21B6">
        <w:rPr>
          <w:rFonts w:ascii="Arial" w:hAnsi="Arial" w:cs="Arial"/>
          <w:b/>
          <w:sz w:val="24"/>
          <w:szCs w:val="24"/>
        </w:rPr>
        <w:t>’</w:t>
      </w:r>
    </w:p>
    <w:p w:rsidR="00135612" w:rsidRPr="002D21B6" w:rsidRDefault="00135612" w:rsidP="004A6B3A">
      <w:pPr>
        <w:spacing w:line="480" w:lineRule="auto"/>
        <w:rPr>
          <w:rFonts w:ascii="Arial" w:hAnsi="Arial" w:cs="Arial"/>
          <w:b/>
          <w:sz w:val="24"/>
          <w:szCs w:val="24"/>
        </w:rPr>
      </w:pPr>
      <w:r w:rsidRPr="002D21B6">
        <w:rPr>
          <w:rFonts w:ascii="Arial" w:hAnsi="Arial" w:cs="Arial"/>
          <w:b/>
          <w:sz w:val="24"/>
          <w:szCs w:val="24"/>
        </w:rPr>
        <w:t>Application of a fast and cost effective ‘three-in-one’ MMR ELISA as a tool for surveying anti-MMR humoral immunity – the Hungarian experience</w:t>
      </w:r>
    </w:p>
    <w:p w:rsidR="00E73175" w:rsidRPr="002D21B6" w:rsidRDefault="00E73175" w:rsidP="004A6B3A">
      <w:pPr>
        <w:spacing w:line="480" w:lineRule="auto"/>
        <w:rPr>
          <w:rFonts w:ascii="Arial" w:hAnsi="Arial" w:cs="Arial"/>
          <w:b/>
          <w:sz w:val="24"/>
          <w:szCs w:val="24"/>
        </w:rPr>
      </w:pPr>
    </w:p>
    <w:p w:rsidR="005627F4" w:rsidRPr="002D21B6" w:rsidRDefault="004A6B3A" w:rsidP="00301427">
      <w:pPr>
        <w:spacing w:line="480" w:lineRule="auto"/>
        <w:rPr>
          <w:rFonts w:ascii="Arial" w:hAnsi="Arial" w:cs="Arial"/>
          <w:b/>
          <w:sz w:val="24"/>
          <w:szCs w:val="24"/>
        </w:rPr>
      </w:pPr>
      <w:r w:rsidRPr="002D21B6">
        <w:rPr>
          <w:rFonts w:ascii="Arial" w:hAnsi="Arial" w:cs="Arial"/>
          <w:b/>
          <w:sz w:val="24"/>
          <w:szCs w:val="24"/>
        </w:rPr>
        <w:t xml:space="preserve">Short title: </w:t>
      </w:r>
      <w:r w:rsidR="00301427" w:rsidRPr="002D21B6">
        <w:rPr>
          <w:rFonts w:ascii="Arial" w:hAnsi="Arial" w:cs="Arial"/>
          <w:b/>
          <w:sz w:val="24"/>
          <w:szCs w:val="24"/>
        </w:rPr>
        <w:t>Anti-MMR humoral immunity</w:t>
      </w:r>
      <w:r w:rsidR="00301427" w:rsidRPr="002D21B6">
        <w:t xml:space="preserve"> </w:t>
      </w:r>
      <w:r w:rsidR="00301427" w:rsidRPr="002D21B6">
        <w:rPr>
          <w:rFonts w:ascii="Arial" w:hAnsi="Arial" w:cs="Arial"/>
          <w:b/>
          <w:sz w:val="24"/>
          <w:szCs w:val="24"/>
        </w:rPr>
        <w:t>in Hungary</w:t>
      </w:r>
    </w:p>
    <w:p w:rsidR="00E73175" w:rsidRPr="002D21B6" w:rsidRDefault="00E73175" w:rsidP="00301427">
      <w:pPr>
        <w:spacing w:line="480" w:lineRule="auto"/>
        <w:rPr>
          <w:rFonts w:ascii="Arial" w:hAnsi="Arial" w:cs="Arial"/>
          <w:b/>
          <w:sz w:val="24"/>
          <w:szCs w:val="24"/>
        </w:rPr>
      </w:pPr>
    </w:p>
    <w:p w:rsidR="004A6B3A" w:rsidRPr="002D21B6" w:rsidRDefault="004A6B3A" w:rsidP="004A6B3A">
      <w:pPr>
        <w:spacing w:line="480" w:lineRule="auto"/>
        <w:rPr>
          <w:rFonts w:ascii="Arial" w:hAnsi="Arial" w:cs="Arial"/>
          <w:sz w:val="24"/>
          <w:szCs w:val="24"/>
        </w:rPr>
      </w:pPr>
      <w:proofErr w:type="spellStart"/>
      <w:r w:rsidRPr="002D21B6">
        <w:rPr>
          <w:rFonts w:ascii="Arial" w:hAnsi="Arial" w:cs="Arial"/>
          <w:sz w:val="24"/>
          <w:szCs w:val="24"/>
        </w:rPr>
        <w:t>Böröcz</w:t>
      </w:r>
      <w:proofErr w:type="spellEnd"/>
      <w:r w:rsidRPr="002D21B6">
        <w:rPr>
          <w:rFonts w:ascii="Arial" w:hAnsi="Arial" w:cs="Arial"/>
          <w:sz w:val="24"/>
          <w:szCs w:val="24"/>
        </w:rPr>
        <w:t xml:space="preserve"> K*</w:t>
      </w:r>
      <w:r w:rsidRPr="002D21B6">
        <w:rPr>
          <w:rFonts w:ascii="Arial" w:hAnsi="Arial" w:cs="Arial"/>
          <w:sz w:val="24"/>
          <w:szCs w:val="24"/>
          <w:vertAlign w:val="superscript"/>
        </w:rPr>
        <w:t>1</w:t>
      </w:r>
      <w:r w:rsidR="00301427" w:rsidRPr="002D21B6">
        <w:rPr>
          <w:rFonts w:ascii="Arial" w:hAnsi="Arial" w:cs="Arial"/>
          <w:sz w:val="24"/>
          <w:szCs w:val="24"/>
        </w:rPr>
        <w:t xml:space="preserve">, </w:t>
      </w:r>
      <w:proofErr w:type="spellStart"/>
      <w:r w:rsidRPr="002D21B6">
        <w:rPr>
          <w:rFonts w:ascii="Arial" w:hAnsi="Arial" w:cs="Arial"/>
          <w:sz w:val="24"/>
          <w:szCs w:val="24"/>
        </w:rPr>
        <w:t>Csizmadia</w:t>
      </w:r>
      <w:proofErr w:type="spellEnd"/>
      <w:r w:rsidR="005627F4" w:rsidRPr="002D21B6">
        <w:rPr>
          <w:rFonts w:ascii="Arial" w:hAnsi="Arial" w:cs="Arial"/>
          <w:sz w:val="24"/>
          <w:szCs w:val="24"/>
        </w:rPr>
        <w:t xml:space="preserve"> Z</w:t>
      </w:r>
      <w:r w:rsidRPr="002D21B6">
        <w:rPr>
          <w:rFonts w:ascii="Arial" w:hAnsi="Arial" w:cs="Arial"/>
          <w:sz w:val="24"/>
          <w:szCs w:val="24"/>
          <w:vertAlign w:val="superscript"/>
        </w:rPr>
        <w:t>1</w:t>
      </w:r>
      <w:r w:rsidRPr="002D21B6">
        <w:rPr>
          <w:rFonts w:ascii="Arial" w:hAnsi="Arial" w:cs="Arial"/>
          <w:sz w:val="24"/>
          <w:szCs w:val="24"/>
        </w:rPr>
        <w:t xml:space="preserve">, </w:t>
      </w:r>
      <w:proofErr w:type="spellStart"/>
      <w:r w:rsidRPr="002D21B6">
        <w:rPr>
          <w:rFonts w:ascii="Arial" w:hAnsi="Arial" w:cs="Arial"/>
          <w:sz w:val="24"/>
          <w:szCs w:val="24"/>
        </w:rPr>
        <w:t>Markovics</w:t>
      </w:r>
      <w:proofErr w:type="spellEnd"/>
      <w:r w:rsidRPr="002D21B6">
        <w:rPr>
          <w:rFonts w:ascii="Arial" w:hAnsi="Arial" w:cs="Arial"/>
          <w:sz w:val="24"/>
          <w:szCs w:val="24"/>
        </w:rPr>
        <w:t xml:space="preserve"> Á</w:t>
      </w:r>
      <w:r w:rsidR="009E7A08" w:rsidRPr="002D21B6">
        <w:rPr>
          <w:rFonts w:ascii="Arial" w:hAnsi="Arial" w:cs="Arial"/>
          <w:sz w:val="24"/>
          <w:szCs w:val="24"/>
          <w:vertAlign w:val="superscript"/>
        </w:rPr>
        <w:t>2</w:t>
      </w:r>
      <w:r w:rsidRPr="002D21B6">
        <w:rPr>
          <w:rFonts w:ascii="Arial" w:hAnsi="Arial" w:cs="Arial"/>
          <w:sz w:val="24"/>
          <w:szCs w:val="24"/>
        </w:rPr>
        <w:t xml:space="preserve">, </w:t>
      </w:r>
      <w:proofErr w:type="spellStart"/>
      <w:r w:rsidRPr="002D21B6">
        <w:rPr>
          <w:rFonts w:ascii="Arial" w:hAnsi="Arial" w:cs="Arial"/>
          <w:sz w:val="24"/>
          <w:szCs w:val="24"/>
        </w:rPr>
        <w:t>Farkas</w:t>
      </w:r>
      <w:proofErr w:type="spellEnd"/>
      <w:r w:rsidR="00774B6F" w:rsidRPr="002D21B6">
        <w:rPr>
          <w:rFonts w:ascii="Arial" w:hAnsi="Arial" w:cs="Arial"/>
          <w:sz w:val="24"/>
          <w:szCs w:val="24"/>
        </w:rPr>
        <w:t xml:space="preserve"> N</w:t>
      </w:r>
      <w:r w:rsidR="009E7A08" w:rsidRPr="002D21B6">
        <w:rPr>
          <w:rFonts w:ascii="Arial" w:hAnsi="Arial" w:cs="Arial"/>
          <w:sz w:val="24"/>
          <w:szCs w:val="24"/>
          <w:vertAlign w:val="superscript"/>
        </w:rPr>
        <w:t>3</w:t>
      </w:r>
      <w:r w:rsidRPr="002D21B6">
        <w:rPr>
          <w:rFonts w:ascii="Arial" w:hAnsi="Arial" w:cs="Arial"/>
          <w:sz w:val="24"/>
          <w:szCs w:val="24"/>
        </w:rPr>
        <w:t xml:space="preserve">, </w:t>
      </w:r>
      <w:proofErr w:type="spellStart"/>
      <w:r w:rsidRPr="002D21B6">
        <w:rPr>
          <w:rFonts w:ascii="Arial" w:hAnsi="Arial" w:cs="Arial"/>
          <w:sz w:val="24"/>
          <w:szCs w:val="24"/>
        </w:rPr>
        <w:t>Najbauer</w:t>
      </w:r>
      <w:proofErr w:type="spellEnd"/>
      <w:r w:rsidRPr="002D21B6">
        <w:rPr>
          <w:rFonts w:ascii="Arial" w:hAnsi="Arial" w:cs="Arial"/>
          <w:sz w:val="24"/>
          <w:szCs w:val="24"/>
        </w:rPr>
        <w:t xml:space="preserve"> J</w:t>
      </w:r>
      <w:r w:rsidRPr="002D21B6">
        <w:rPr>
          <w:rFonts w:ascii="Arial" w:hAnsi="Arial" w:cs="Arial"/>
          <w:sz w:val="24"/>
          <w:szCs w:val="24"/>
          <w:vertAlign w:val="superscript"/>
        </w:rPr>
        <w:t>1</w:t>
      </w:r>
      <w:r w:rsidRPr="002D21B6">
        <w:rPr>
          <w:rFonts w:ascii="Arial" w:hAnsi="Arial" w:cs="Arial"/>
          <w:sz w:val="24"/>
          <w:szCs w:val="24"/>
        </w:rPr>
        <w:t xml:space="preserve">, </w:t>
      </w:r>
      <w:proofErr w:type="spellStart"/>
      <w:r w:rsidRPr="002D21B6">
        <w:rPr>
          <w:rFonts w:ascii="Arial" w:hAnsi="Arial" w:cs="Arial"/>
          <w:sz w:val="24"/>
          <w:szCs w:val="24"/>
        </w:rPr>
        <w:t>Berki</w:t>
      </w:r>
      <w:proofErr w:type="spellEnd"/>
      <w:r w:rsidRPr="002D21B6">
        <w:rPr>
          <w:rFonts w:ascii="Arial" w:hAnsi="Arial" w:cs="Arial"/>
          <w:sz w:val="24"/>
          <w:szCs w:val="24"/>
        </w:rPr>
        <w:t xml:space="preserve"> T</w:t>
      </w:r>
      <w:r w:rsidRPr="002D21B6">
        <w:rPr>
          <w:rFonts w:ascii="Arial" w:hAnsi="Arial" w:cs="Arial"/>
          <w:sz w:val="24"/>
          <w:szCs w:val="24"/>
          <w:vertAlign w:val="superscript"/>
        </w:rPr>
        <w:t>1</w:t>
      </w:r>
      <w:r w:rsidRPr="002D21B6">
        <w:rPr>
          <w:rFonts w:ascii="Arial" w:hAnsi="Arial" w:cs="Arial"/>
          <w:sz w:val="24"/>
          <w:szCs w:val="24"/>
        </w:rPr>
        <w:t xml:space="preserve">, </w:t>
      </w:r>
      <w:proofErr w:type="spellStart"/>
      <w:r w:rsidRPr="002D21B6">
        <w:rPr>
          <w:rFonts w:ascii="Arial" w:hAnsi="Arial" w:cs="Arial"/>
          <w:sz w:val="24"/>
          <w:szCs w:val="24"/>
        </w:rPr>
        <w:t>Németh</w:t>
      </w:r>
      <w:proofErr w:type="spellEnd"/>
      <w:r w:rsidRPr="002D21B6">
        <w:rPr>
          <w:rFonts w:ascii="Arial" w:hAnsi="Arial" w:cs="Arial"/>
          <w:sz w:val="24"/>
          <w:szCs w:val="24"/>
        </w:rPr>
        <w:t xml:space="preserve"> P</w:t>
      </w:r>
      <w:r w:rsidRPr="002D21B6">
        <w:rPr>
          <w:rFonts w:ascii="Arial" w:hAnsi="Arial" w:cs="Arial"/>
          <w:sz w:val="24"/>
          <w:szCs w:val="24"/>
          <w:vertAlign w:val="superscript"/>
        </w:rPr>
        <w:t>1</w:t>
      </w:r>
    </w:p>
    <w:p w:rsidR="00301427" w:rsidRPr="002D21B6" w:rsidRDefault="004A6B3A" w:rsidP="004A6B3A">
      <w:pPr>
        <w:spacing w:line="480" w:lineRule="auto"/>
        <w:rPr>
          <w:rFonts w:ascii="Arial" w:hAnsi="Arial" w:cs="Arial"/>
          <w:sz w:val="24"/>
          <w:szCs w:val="24"/>
        </w:rPr>
      </w:pPr>
      <w:r w:rsidRPr="002D21B6">
        <w:rPr>
          <w:rFonts w:ascii="Arial" w:hAnsi="Arial" w:cs="Arial"/>
          <w:sz w:val="24"/>
          <w:szCs w:val="24"/>
          <w:vertAlign w:val="superscript"/>
        </w:rPr>
        <w:t>1</w:t>
      </w:r>
      <w:r w:rsidRPr="002D21B6">
        <w:rPr>
          <w:rFonts w:ascii="Arial" w:hAnsi="Arial" w:cs="Arial"/>
          <w:sz w:val="24"/>
          <w:szCs w:val="24"/>
        </w:rPr>
        <w:t>Department of Immunology and Biotechnology, Clinical Centre, Uni</w:t>
      </w:r>
      <w:r w:rsidR="008F5EA0" w:rsidRPr="002D21B6">
        <w:rPr>
          <w:rFonts w:ascii="Arial" w:hAnsi="Arial" w:cs="Arial"/>
          <w:sz w:val="24"/>
          <w:szCs w:val="24"/>
        </w:rPr>
        <w:t>versity of Pécs</w:t>
      </w:r>
      <w:r w:rsidR="009E7A08" w:rsidRPr="002D21B6">
        <w:rPr>
          <w:rFonts w:ascii="Arial" w:hAnsi="Arial" w:cs="Arial"/>
          <w:sz w:val="24"/>
          <w:szCs w:val="24"/>
        </w:rPr>
        <w:t xml:space="preserve"> </w:t>
      </w:r>
      <w:r w:rsidR="0084383C" w:rsidRPr="002D21B6">
        <w:rPr>
          <w:rFonts w:ascii="Arial" w:hAnsi="Arial" w:cs="Arial"/>
          <w:sz w:val="24"/>
          <w:szCs w:val="24"/>
        </w:rPr>
        <w:t xml:space="preserve">Medical School, </w:t>
      </w:r>
      <w:r w:rsidR="009E7A08" w:rsidRPr="002D21B6">
        <w:rPr>
          <w:rFonts w:ascii="Arial" w:hAnsi="Arial" w:cs="Arial"/>
          <w:sz w:val="24"/>
          <w:szCs w:val="24"/>
        </w:rPr>
        <w:t>Pécs,</w:t>
      </w:r>
      <w:r w:rsidR="0084383C" w:rsidRPr="002D21B6">
        <w:rPr>
          <w:rFonts w:ascii="Arial" w:hAnsi="Arial" w:cs="Arial"/>
          <w:sz w:val="24"/>
          <w:szCs w:val="24"/>
        </w:rPr>
        <w:t xml:space="preserve"> </w:t>
      </w:r>
      <w:r w:rsidR="009E7A08" w:rsidRPr="002D21B6">
        <w:rPr>
          <w:rFonts w:ascii="Arial" w:hAnsi="Arial" w:cs="Arial"/>
          <w:sz w:val="24"/>
          <w:szCs w:val="24"/>
        </w:rPr>
        <w:t xml:space="preserve">Hungary </w:t>
      </w:r>
    </w:p>
    <w:p w:rsidR="004A6B3A" w:rsidRPr="002D21B6" w:rsidRDefault="009E7A08" w:rsidP="004A6B3A">
      <w:pPr>
        <w:spacing w:line="480" w:lineRule="auto"/>
        <w:rPr>
          <w:rFonts w:ascii="Arial" w:hAnsi="Arial" w:cs="Arial"/>
          <w:sz w:val="24"/>
          <w:szCs w:val="24"/>
        </w:rPr>
      </w:pPr>
      <w:r w:rsidRPr="002D21B6">
        <w:rPr>
          <w:rFonts w:ascii="Arial" w:hAnsi="Arial" w:cs="Arial"/>
          <w:sz w:val="24"/>
          <w:szCs w:val="24"/>
          <w:vertAlign w:val="superscript"/>
        </w:rPr>
        <w:t>2</w:t>
      </w:r>
      <w:r w:rsidR="004A6B3A" w:rsidRPr="002D21B6">
        <w:rPr>
          <w:rFonts w:ascii="Arial" w:hAnsi="Arial" w:cs="Arial"/>
          <w:sz w:val="24"/>
          <w:szCs w:val="24"/>
        </w:rPr>
        <w:t xml:space="preserve">Department of General and Physical Chemistry, Faculty of Natural Sciences, University of Pécs, Pécs, Hungary  </w:t>
      </w:r>
    </w:p>
    <w:p w:rsidR="004A6B3A" w:rsidRPr="002D21B6" w:rsidRDefault="009E7A08" w:rsidP="004A6B3A">
      <w:pPr>
        <w:spacing w:line="480" w:lineRule="auto"/>
        <w:rPr>
          <w:rFonts w:ascii="Arial" w:hAnsi="Arial" w:cs="Arial"/>
          <w:sz w:val="24"/>
          <w:szCs w:val="24"/>
        </w:rPr>
      </w:pPr>
      <w:r w:rsidRPr="002D21B6">
        <w:rPr>
          <w:rFonts w:ascii="Arial" w:hAnsi="Arial" w:cs="Arial"/>
          <w:sz w:val="24"/>
          <w:szCs w:val="24"/>
          <w:vertAlign w:val="superscript"/>
        </w:rPr>
        <w:t>3</w:t>
      </w:r>
      <w:r w:rsidR="004A6B3A" w:rsidRPr="002D21B6">
        <w:rPr>
          <w:rFonts w:ascii="Arial" w:hAnsi="Arial" w:cs="Arial"/>
          <w:sz w:val="24"/>
          <w:szCs w:val="24"/>
        </w:rPr>
        <w:t xml:space="preserve">Department of Bioanalysis, </w:t>
      </w:r>
      <w:r w:rsidR="008F5EA0" w:rsidRPr="002D21B6">
        <w:rPr>
          <w:rFonts w:ascii="Arial" w:hAnsi="Arial" w:cs="Arial"/>
          <w:sz w:val="24"/>
          <w:szCs w:val="24"/>
        </w:rPr>
        <w:t xml:space="preserve">University of Pécs </w:t>
      </w:r>
      <w:r w:rsidR="004A6B3A" w:rsidRPr="002D21B6">
        <w:rPr>
          <w:rFonts w:ascii="Arial" w:hAnsi="Arial" w:cs="Arial"/>
          <w:sz w:val="24"/>
          <w:szCs w:val="24"/>
        </w:rPr>
        <w:t xml:space="preserve">Medical School, Pécs, Hungary </w:t>
      </w:r>
    </w:p>
    <w:p w:rsidR="004A6B3A" w:rsidRPr="002D21B6" w:rsidRDefault="004A6B3A" w:rsidP="004A6B3A">
      <w:pPr>
        <w:spacing w:line="480" w:lineRule="auto"/>
        <w:rPr>
          <w:rFonts w:ascii="Arial" w:hAnsi="Arial" w:cs="Arial"/>
          <w:sz w:val="24"/>
          <w:szCs w:val="24"/>
        </w:rPr>
      </w:pPr>
    </w:p>
    <w:p w:rsidR="004A6B3A" w:rsidRPr="002D21B6" w:rsidRDefault="004A6B3A" w:rsidP="004A6B3A">
      <w:pPr>
        <w:spacing w:line="480" w:lineRule="auto"/>
        <w:rPr>
          <w:rFonts w:ascii="Arial" w:hAnsi="Arial" w:cs="Arial"/>
          <w:sz w:val="24"/>
          <w:szCs w:val="24"/>
        </w:rPr>
      </w:pPr>
      <w:r w:rsidRPr="002D21B6">
        <w:rPr>
          <w:rFonts w:ascii="Arial" w:hAnsi="Arial" w:cs="Arial"/>
          <w:sz w:val="24"/>
          <w:szCs w:val="24"/>
        </w:rPr>
        <w:t xml:space="preserve">*Corresponding author: </w:t>
      </w:r>
      <w:proofErr w:type="spellStart"/>
      <w:r w:rsidRPr="002D21B6">
        <w:rPr>
          <w:rFonts w:ascii="Arial" w:hAnsi="Arial" w:cs="Arial"/>
          <w:sz w:val="24"/>
          <w:szCs w:val="24"/>
        </w:rPr>
        <w:t>Katalin</w:t>
      </w:r>
      <w:proofErr w:type="spellEnd"/>
      <w:r w:rsidRPr="002D21B6">
        <w:rPr>
          <w:rFonts w:ascii="Arial" w:hAnsi="Arial" w:cs="Arial"/>
          <w:sz w:val="24"/>
          <w:szCs w:val="24"/>
        </w:rPr>
        <w:t xml:space="preserve"> </w:t>
      </w:r>
      <w:proofErr w:type="spellStart"/>
      <w:r w:rsidRPr="002D21B6">
        <w:rPr>
          <w:rFonts w:ascii="Arial" w:hAnsi="Arial" w:cs="Arial"/>
          <w:sz w:val="24"/>
          <w:szCs w:val="24"/>
        </w:rPr>
        <w:t>Böröcz</w:t>
      </w:r>
      <w:proofErr w:type="spellEnd"/>
      <w:r w:rsidRPr="002D21B6">
        <w:rPr>
          <w:rFonts w:ascii="Arial" w:hAnsi="Arial" w:cs="Arial"/>
          <w:sz w:val="24"/>
          <w:szCs w:val="24"/>
        </w:rPr>
        <w:t>, Department of Immunology and Bi</w:t>
      </w:r>
      <w:r w:rsidR="008F5EA0" w:rsidRPr="002D21B6">
        <w:rPr>
          <w:rFonts w:ascii="Arial" w:hAnsi="Arial" w:cs="Arial"/>
          <w:sz w:val="24"/>
          <w:szCs w:val="24"/>
        </w:rPr>
        <w:t>otechnology, University of Pécs</w:t>
      </w:r>
      <w:r w:rsidRPr="002D21B6">
        <w:rPr>
          <w:rFonts w:ascii="Arial" w:hAnsi="Arial" w:cs="Arial"/>
          <w:sz w:val="24"/>
          <w:szCs w:val="24"/>
        </w:rPr>
        <w:t xml:space="preserve"> Medical School, Clinical </w:t>
      </w:r>
      <w:r w:rsidR="00C13D0F" w:rsidRPr="002D21B6">
        <w:rPr>
          <w:rFonts w:ascii="Arial" w:hAnsi="Arial" w:cs="Arial"/>
          <w:sz w:val="24"/>
          <w:szCs w:val="24"/>
        </w:rPr>
        <w:t>Centre</w:t>
      </w:r>
      <w:r w:rsidRPr="002D21B6">
        <w:rPr>
          <w:rFonts w:ascii="Arial" w:hAnsi="Arial" w:cs="Arial"/>
          <w:sz w:val="24"/>
          <w:szCs w:val="24"/>
        </w:rPr>
        <w:t xml:space="preserve">, Szigeti </w:t>
      </w:r>
      <w:proofErr w:type="spellStart"/>
      <w:r w:rsidRPr="002D21B6">
        <w:rPr>
          <w:rFonts w:ascii="Arial" w:hAnsi="Arial" w:cs="Arial"/>
          <w:sz w:val="24"/>
          <w:szCs w:val="24"/>
        </w:rPr>
        <w:t>út</w:t>
      </w:r>
      <w:proofErr w:type="spellEnd"/>
      <w:r w:rsidRPr="002D21B6">
        <w:rPr>
          <w:rFonts w:ascii="Arial" w:hAnsi="Arial" w:cs="Arial"/>
          <w:sz w:val="24"/>
          <w:szCs w:val="24"/>
        </w:rPr>
        <w:t xml:space="preserve"> 12, 7624 Pécs, Hungary </w:t>
      </w:r>
    </w:p>
    <w:p w:rsidR="004A6B3A" w:rsidRPr="002D21B6" w:rsidRDefault="004A6B3A" w:rsidP="004A6B3A">
      <w:pPr>
        <w:spacing w:line="480" w:lineRule="auto"/>
        <w:rPr>
          <w:rFonts w:ascii="Arial" w:hAnsi="Arial" w:cs="Arial"/>
          <w:sz w:val="24"/>
          <w:szCs w:val="24"/>
        </w:rPr>
      </w:pPr>
      <w:r w:rsidRPr="002D21B6">
        <w:rPr>
          <w:rFonts w:ascii="Arial" w:hAnsi="Arial" w:cs="Arial"/>
          <w:sz w:val="24"/>
          <w:szCs w:val="24"/>
        </w:rPr>
        <w:t>Tel.: +36-72-536-001 x36307</w:t>
      </w:r>
    </w:p>
    <w:p w:rsidR="0000457F" w:rsidRPr="002D21B6" w:rsidRDefault="004A6B3A" w:rsidP="00E73175">
      <w:pPr>
        <w:spacing w:line="480" w:lineRule="auto"/>
        <w:rPr>
          <w:rFonts w:ascii="Arial" w:hAnsi="Arial" w:cs="Arial"/>
          <w:sz w:val="24"/>
          <w:szCs w:val="24"/>
        </w:rPr>
      </w:pPr>
      <w:r w:rsidRPr="002D21B6">
        <w:rPr>
          <w:rFonts w:ascii="Arial" w:hAnsi="Arial" w:cs="Arial"/>
          <w:sz w:val="24"/>
          <w:szCs w:val="24"/>
        </w:rPr>
        <w:t>E-mail: borocz.katalin@pte.hu</w:t>
      </w:r>
    </w:p>
    <w:p w:rsidR="000148C0" w:rsidRPr="002D21B6" w:rsidRDefault="000148C0" w:rsidP="000148C0">
      <w:pPr>
        <w:spacing w:line="480" w:lineRule="auto"/>
        <w:rPr>
          <w:rFonts w:ascii="Arial" w:hAnsi="Arial" w:cs="Arial"/>
          <w:b/>
          <w:sz w:val="32"/>
          <w:szCs w:val="32"/>
        </w:rPr>
      </w:pPr>
      <w:r w:rsidRPr="002D21B6">
        <w:rPr>
          <w:rFonts w:ascii="Arial" w:hAnsi="Arial" w:cs="Arial"/>
          <w:b/>
          <w:sz w:val="24"/>
          <w:szCs w:val="24"/>
        </w:rPr>
        <w:lastRenderedPageBreak/>
        <w:t>Summary</w:t>
      </w:r>
    </w:p>
    <w:p w:rsidR="0000457F" w:rsidRPr="002D21B6" w:rsidRDefault="000148C0" w:rsidP="000148C0">
      <w:pPr>
        <w:spacing w:line="480" w:lineRule="auto"/>
        <w:rPr>
          <w:rFonts w:ascii="Arial" w:hAnsi="Arial" w:cs="Arial"/>
          <w:sz w:val="24"/>
          <w:szCs w:val="24"/>
        </w:rPr>
      </w:pPr>
      <w:r w:rsidRPr="002D21B6">
        <w:rPr>
          <w:rFonts w:ascii="Arial" w:hAnsi="Arial" w:cs="Arial"/>
          <w:sz w:val="24"/>
          <w:szCs w:val="24"/>
        </w:rPr>
        <w:t xml:space="preserve">In Hungary between February 2017 and </w:t>
      </w:r>
      <w:r w:rsidR="00A4098E" w:rsidRPr="002D21B6">
        <w:rPr>
          <w:rFonts w:ascii="Arial" w:hAnsi="Arial" w:cs="Arial"/>
          <w:sz w:val="24"/>
          <w:szCs w:val="24"/>
        </w:rPr>
        <w:t>July</w:t>
      </w:r>
      <w:r w:rsidRPr="002D21B6">
        <w:rPr>
          <w:rFonts w:ascii="Arial" w:hAnsi="Arial" w:cs="Arial"/>
          <w:sz w:val="24"/>
          <w:szCs w:val="24"/>
        </w:rPr>
        <w:t xml:space="preserve"> 2019 </w:t>
      </w:r>
      <w:r w:rsidR="00A4098E" w:rsidRPr="002D21B6">
        <w:rPr>
          <w:rFonts w:ascii="Arial" w:hAnsi="Arial" w:cs="Arial"/>
          <w:sz w:val="24"/>
          <w:szCs w:val="24"/>
        </w:rPr>
        <w:t>70</w:t>
      </w:r>
      <w:r w:rsidRPr="002D21B6">
        <w:rPr>
          <w:rFonts w:ascii="Arial" w:hAnsi="Arial" w:cs="Arial"/>
          <w:sz w:val="24"/>
          <w:szCs w:val="24"/>
        </w:rPr>
        <w:t xml:space="preserve"> confirmed measles cases were reported, although the assumed vaccination coverage is </w:t>
      </w:r>
      <w:r w:rsidR="00263EA4" w:rsidRPr="002D21B6">
        <w:rPr>
          <w:rFonts w:ascii="Arial" w:hAnsi="Arial" w:cs="Arial"/>
          <w:sz w:val="24"/>
          <w:szCs w:val="24"/>
        </w:rPr>
        <w:t>≥</w:t>
      </w:r>
      <w:r w:rsidR="002D21B6" w:rsidRPr="002D21B6">
        <w:rPr>
          <w:rFonts w:ascii="Arial" w:hAnsi="Arial" w:cs="Arial"/>
          <w:sz w:val="24"/>
          <w:szCs w:val="24"/>
        </w:rPr>
        <w:t xml:space="preserve"> </w:t>
      </w:r>
      <w:r w:rsidRPr="002D21B6">
        <w:rPr>
          <w:rFonts w:ascii="Arial" w:hAnsi="Arial" w:cs="Arial"/>
          <w:sz w:val="24"/>
          <w:szCs w:val="24"/>
        </w:rPr>
        <w:t xml:space="preserve">99%. In a recent study, we detected potential gaps in the anti-measles humoral immunity. Here we present the results obtained using </w:t>
      </w:r>
      <w:r w:rsidR="00F059B4" w:rsidRPr="002D21B6">
        <w:rPr>
          <w:rFonts w:ascii="Arial" w:hAnsi="Arial" w:cs="Arial"/>
          <w:sz w:val="24"/>
          <w:szCs w:val="24"/>
        </w:rPr>
        <w:t>a</w:t>
      </w:r>
      <w:r w:rsidR="00404637" w:rsidRPr="002D21B6">
        <w:rPr>
          <w:rFonts w:ascii="Arial" w:hAnsi="Arial" w:cs="Arial"/>
          <w:sz w:val="24"/>
          <w:szCs w:val="24"/>
        </w:rPr>
        <w:t xml:space="preserve"> ‘three-in-one’</w:t>
      </w:r>
      <w:r w:rsidRPr="002D21B6">
        <w:rPr>
          <w:rFonts w:ascii="Arial" w:hAnsi="Arial" w:cs="Arial"/>
          <w:sz w:val="24"/>
          <w:szCs w:val="24"/>
        </w:rPr>
        <w:t xml:space="preserve"> MMR (measles, mumps, and rubella) indirect ELISA (IgG)</w:t>
      </w:r>
      <w:r w:rsidR="00C13D0F">
        <w:rPr>
          <w:rFonts w:ascii="Arial" w:hAnsi="Arial" w:cs="Arial"/>
          <w:sz w:val="24"/>
          <w:szCs w:val="24"/>
        </w:rPr>
        <w:t>,</w:t>
      </w:r>
      <w:r w:rsidR="00263EA4" w:rsidRPr="002D21B6">
        <w:rPr>
          <w:rFonts w:ascii="Arial" w:hAnsi="Arial" w:cs="Arial"/>
          <w:sz w:val="24"/>
          <w:szCs w:val="24"/>
        </w:rPr>
        <w:t xml:space="preserve"> </w:t>
      </w:r>
      <w:r w:rsidRPr="002D21B6">
        <w:rPr>
          <w:rFonts w:ascii="Arial" w:hAnsi="Arial" w:cs="Arial"/>
          <w:sz w:val="24"/>
          <w:szCs w:val="24"/>
        </w:rPr>
        <w:t xml:space="preserve">an assay format that is currently not available commercially. A serum bank of anonymous patient sera </w:t>
      </w:r>
      <w:r w:rsidR="00CE36B4" w:rsidRPr="002D21B6">
        <w:rPr>
          <w:rFonts w:ascii="Arial" w:hAnsi="Arial" w:cs="Arial"/>
          <w:sz w:val="24"/>
          <w:szCs w:val="24"/>
        </w:rPr>
        <w:t xml:space="preserve">including </w:t>
      </w:r>
      <w:r w:rsidRPr="002D21B6">
        <w:rPr>
          <w:rFonts w:ascii="Arial" w:hAnsi="Arial" w:cs="Arial"/>
          <w:sz w:val="24"/>
          <w:szCs w:val="24"/>
        </w:rPr>
        <w:t xml:space="preserve">all age-groups </w:t>
      </w:r>
      <w:r w:rsidR="0006226A" w:rsidRPr="002D21B6">
        <w:rPr>
          <w:rFonts w:ascii="Arial" w:hAnsi="Arial" w:cs="Arial"/>
          <w:sz w:val="24"/>
          <w:szCs w:val="24"/>
        </w:rPr>
        <w:t xml:space="preserve">was established (N </w:t>
      </w:r>
      <w:r w:rsidR="0006226A" w:rsidRPr="002D21B6">
        <w:rPr>
          <w:rFonts w:ascii="Arial" w:hAnsi="Arial" w:cs="Arial"/>
          <w:sz w:val="24"/>
          <w:szCs w:val="24"/>
          <w:vertAlign w:val="subscript"/>
        </w:rPr>
        <w:t>total</w:t>
      </w:r>
      <w:r w:rsidR="001002FC" w:rsidRPr="002D21B6">
        <w:rPr>
          <w:rFonts w:ascii="Arial" w:hAnsi="Arial" w:cs="Arial"/>
          <w:sz w:val="24"/>
          <w:szCs w:val="24"/>
          <w:vertAlign w:val="subscript"/>
        </w:rPr>
        <w:t xml:space="preserve"> </w:t>
      </w:r>
      <w:r w:rsidR="0006226A" w:rsidRPr="002D21B6">
        <w:rPr>
          <w:rFonts w:ascii="Arial" w:hAnsi="Arial" w:cs="Arial"/>
          <w:sz w:val="24"/>
          <w:szCs w:val="24"/>
          <w:vertAlign w:val="subscript"/>
        </w:rPr>
        <w:t xml:space="preserve">measles </w:t>
      </w:r>
      <w:r w:rsidRPr="002D21B6">
        <w:rPr>
          <w:rFonts w:ascii="Arial" w:hAnsi="Arial" w:cs="Arial"/>
          <w:sz w:val="24"/>
          <w:szCs w:val="24"/>
        </w:rPr>
        <w:t xml:space="preserve">= 3523, N </w:t>
      </w:r>
      <w:r w:rsidR="00C13D0F">
        <w:rPr>
          <w:rFonts w:ascii="Arial" w:hAnsi="Arial" w:cs="Arial"/>
          <w:sz w:val="24"/>
          <w:szCs w:val="24"/>
          <w:vertAlign w:val="subscript"/>
        </w:rPr>
        <w:t xml:space="preserve">mumps </w:t>
      </w:r>
      <w:r w:rsidRPr="002D21B6">
        <w:rPr>
          <w:rFonts w:ascii="Arial" w:hAnsi="Arial" w:cs="Arial"/>
          <w:sz w:val="24"/>
          <w:szCs w:val="24"/>
        </w:rPr>
        <w:t>= 1736</w:t>
      </w:r>
      <w:r w:rsidR="00C13D0F">
        <w:rPr>
          <w:rFonts w:ascii="Arial" w:hAnsi="Arial" w:cs="Arial"/>
          <w:sz w:val="24"/>
          <w:szCs w:val="24"/>
        </w:rPr>
        <w:t>,</w:t>
      </w:r>
      <w:r w:rsidR="00C13D0F" w:rsidRPr="00C13D0F">
        <w:t xml:space="preserve"> </w:t>
      </w:r>
      <w:r w:rsidR="00C13D0F" w:rsidRPr="00C13D0F">
        <w:rPr>
          <w:rFonts w:ascii="Arial" w:hAnsi="Arial" w:cs="Arial"/>
          <w:sz w:val="24"/>
          <w:szCs w:val="24"/>
        </w:rPr>
        <w:t>N</w:t>
      </w:r>
      <w:r w:rsidR="00C13D0F" w:rsidRPr="00C13D0F">
        <w:rPr>
          <w:rFonts w:ascii="Arial" w:hAnsi="Arial" w:cs="Arial"/>
          <w:sz w:val="24"/>
          <w:szCs w:val="24"/>
          <w:vertAlign w:val="subscript"/>
        </w:rPr>
        <w:t>, rubella</w:t>
      </w:r>
      <w:r w:rsidR="00C13D0F" w:rsidRPr="00C13D0F">
        <w:rPr>
          <w:rFonts w:ascii="Arial" w:hAnsi="Arial" w:cs="Arial"/>
          <w:sz w:val="24"/>
          <w:szCs w:val="24"/>
        </w:rPr>
        <w:t xml:space="preserve"> = 1736</w:t>
      </w:r>
      <w:r w:rsidRPr="002D21B6">
        <w:rPr>
          <w:rFonts w:ascii="Arial" w:hAnsi="Arial" w:cs="Arial"/>
          <w:sz w:val="24"/>
          <w:szCs w:val="24"/>
        </w:rPr>
        <w:t xml:space="preserve">). </w:t>
      </w:r>
      <w:r w:rsidR="00C047AC">
        <w:rPr>
          <w:rFonts w:ascii="Arial" w:hAnsi="Arial" w:cs="Arial"/>
          <w:sz w:val="24"/>
          <w:szCs w:val="24"/>
        </w:rPr>
        <w:t>V</w:t>
      </w:r>
      <w:r w:rsidR="00C047AC" w:rsidRPr="002D21B6">
        <w:rPr>
          <w:rFonts w:ascii="Arial" w:hAnsi="Arial" w:cs="Arial"/>
          <w:sz w:val="24"/>
          <w:szCs w:val="24"/>
        </w:rPr>
        <w:t xml:space="preserve">erification </w:t>
      </w:r>
      <w:r w:rsidR="00C047AC">
        <w:rPr>
          <w:rFonts w:ascii="Arial" w:hAnsi="Arial" w:cs="Arial"/>
          <w:sz w:val="24"/>
          <w:szCs w:val="24"/>
        </w:rPr>
        <w:t xml:space="preserve">of our </w:t>
      </w:r>
      <w:r w:rsidRPr="002D21B6">
        <w:rPr>
          <w:rFonts w:ascii="Arial" w:hAnsi="Arial" w:cs="Arial"/>
          <w:sz w:val="24"/>
          <w:szCs w:val="24"/>
        </w:rPr>
        <w:t>MMR ELISA assay was performed by compari</w:t>
      </w:r>
      <w:r w:rsidR="00C047AC">
        <w:rPr>
          <w:rFonts w:ascii="Arial" w:hAnsi="Arial" w:cs="Arial"/>
          <w:sz w:val="24"/>
          <w:szCs w:val="24"/>
        </w:rPr>
        <w:t>son</w:t>
      </w:r>
      <w:r w:rsidRPr="002D21B6">
        <w:rPr>
          <w:rFonts w:ascii="Arial" w:hAnsi="Arial" w:cs="Arial"/>
          <w:sz w:val="24"/>
          <w:szCs w:val="24"/>
        </w:rPr>
        <w:t xml:space="preserve"> </w:t>
      </w:r>
      <w:r w:rsidR="00C047AC">
        <w:rPr>
          <w:rFonts w:ascii="Arial" w:hAnsi="Arial" w:cs="Arial"/>
          <w:sz w:val="24"/>
          <w:szCs w:val="24"/>
        </w:rPr>
        <w:t>to</w:t>
      </w:r>
      <w:r w:rsidRPr="002D21B6">
        <w:rPr>
          <w:rFonts w:ascii="Arial" w:hAnsi="Arial" w:cs="Arial"/>
          <w:sz w:val="24"/>
          <w:szCs w:val="24"/>
        </w:rPr>
        <w:t xml:space="preserve"> re</w:t>
      </w:r>
      <w:r w:rsidR="00C047AC">
        <w:rPr>
          <w:rFonts w:ascii="Arial" w:hAnsi="Arial" w:cs="Arial"/>
          <w:sz w:val="24"/>
          <w:szCs w:val="24"/>
        </w:rPr>
        <w:t>combinant viral antigen-based (in-house) assays</w:t>
      </w:r>
      <w:r w:rsidRPr="002D21B6">
        <w:rPr>
          <w:rFonts w:ascii="Arial" w:hAnsi="Arial" w:cs="Arial"/>
          <w:sz w:val="24"/>
          <w:szCs w:val="24"/>
        </w:rPr>
        <w:t xml:space="preserve">, </w:t>
      </w:r>
      <w:r w:rsidR="00C047AC">
        <w:rPr>
          <w:rFonts w:ascii="Arial" w:hAnsi="Arial" w:cs="Arial"/>
          <w:sz w:val="24"/>
          <w:szCs w:val="24"/>
        </w:rPr>
        <w:t xml:space="preserve">to </w:t>
      </w:r>
      <w:r w:rsidRPr="002D21B6">
        <w:rPr>
          <w:rFonts w:ascii="Arial" w:hAnsi="Arial" w:cs="Arial"/>
          <w:sz w:val="24"/>
          <w:szCs w:val="24"/>
        </w:rPr>
        <w:t xml:space="preserve">well-established commercially available kits, and </w:t>
      </w:r>
      <w:r w:rsidR="00C047AC">
        <w:rPr>
          <w:rFonts w:ascii="Arial" w:hAnsi="Arial" w:cs="Arial"/>
          <w:sz w:val="24"/>
          <w:szCs w:val="24"/>
        </w:rPr>
        <w:t xml:space="preserve">to </w:t>
      </w:r>
      <w:r w:rsidRPr="002D21B6">
        <w:rPr>
          <w:rFonts w:ascii="Arial" w:hAnsi="Arial" w:cs="Arial"/>
          <w:sz w:val="24"/>
          <w:szCs w:val="24"/>
        </w:rPr>
        <w:t xml:space="preserve">indirect </w:t>
      </w:r>
      <w:r w:rsidR="008400A6">
        <w:rPr>
          <w:rFonts w:ascii="Arial" w:hAnsi="Arial" w:cs="Arial"/>
          <w:sz w:val="24"/>
          <w:szCs w:val="24"/>
        </w:rPr>
        <w:t>immunofluorescence-based assays</w:t>
      </w:r>
      <w:r w:rsidRPr="002D21B6">
        <w:rPr>
          <w:rFonts w:ascii="Arial" w:hAnsi="Arial" w:cs="Arial"/>
          <w:sz w:val="24"/>
          <w:szCs w:val="24"/>
        </w:rPr>
        <w:t xml:space="preserve">. Data were </w:t>
      </w:r>
      <w:r w:rsidR="00CE36B4" w:rsidRPr="002D21B6">
        <w:rPr>
          <w:rFonts w:ascii="Arial" w:hAnsi="Arial" w:cs="Arial"/>
          <w:sz w:val="24"/>
          <w:szCs w:val="24"/>
        </w:rPr>
        <w:t>analysed</w:t>
      </w:r>
      <w:r w:rsidRPr="002D21B6">
        <w:rPr>
          <w:rFonts w:ascii="Arial" w:hAnsi="Arial" w:cs="Arial"/>
          <w:sz w:val="24"/>
          <w:szCs w:val="24"/>
        </w:rPr>
        <w:t xml:space="preserve"> using </w:t>
      </w:r>
      <w:proofErr w:type="spellStart"/>
      <w:r w:rsidRPr="002D21B6">
        <w:rPr>
          <w:rFonts w:ascii="Arial" w:hAnsi="Arial" w:cs="Arial"/>
          <w:sz w:val="24"/>
          <w:szCs w:val="24"/>
        </w:rPr>
        <w:t>OriginLab</w:t>
      </w:r>
      <w:proofErr w:type="spellEnd"/>
      <w:r w:rsidRPr="002D21B6">
        <w:rPr>
          <w:rFonts w:ascii="Arial" w:hAnsi="Arial" w:cs="Arial"/>
          <w:sz w:val="24"/>
          <w:szCs w:val="24"/>
        </w:rPr>
        <w:t>, IBM SPSS</w:t>
      </w:r>
      <w:r w:rsidR="006023F0">
        <w:rPr>
          <w:rFonts w:ascii="Arial" w:hAnsi="Arial" w:cs="Arial"/>
          <w:sz w:val="24"/>
          <w:szCs w:val="24"/>
        </w:rPr>
        <w:t xml:space="preserve">, </w:t>
      </w:r>
      <w:proofErr w:type="spellStart"/>
      <w:r w:rsidRPr="002D21B6">
        <w:rPr>
          <w:rFonts w:ascii="Arial" w:hAnsi="Arial" w:cs="Arial"/>
          <w:sz w:val="24"/>
          <w:szCs w:val="24"/>
        </w:rPr>
        <w:t>RStudio</w:t>
      </w:r>
      <w:proofErr w:type="spellEnd"/>
      <w:r w:rsidR="00647C27">
        <w:rPr>
          <w:rFonts w:ascii="Arial" w:hAnsi="Arial" w:cs="Arial"/>
          <w:sz w:val="24"/>
          <w:szCs w:val="24"/>
        </w:rPr>
        <w:t>,</w:t>
      </w:r>
      <w:r w:rsidRPr="002D21B6">
        <w:rPr>
          <w:rFonts w:ascii="Arial" w:hAnsi="Arial" w:cs="Arial"/>
          <w:sz w:val="24"/>
          <w:szCs w:val="24"/>
        </w:rPr>
        <w:t xml:space="preserve"> and </w:t>
      </w:r>
      <w:proofErr w:type="spellStart"/>
      <w:r w:rsidRPr="002D21B6">
        <w:rPr>
          <w:rFonts w:ascii="Arial" w:hAnsi="Arial" w:cs="Arial"/>
          <w:sz w:val="24"/>
          <w:szCs w:val="24"/>
        </w:rPr>
        <w:t>MedCalc</w:t>
      </w:r>
      <w:proofErr w:type="spellEnd"/>
      <w:r w:rsidRPr="002D21B6">
        <w:rPr>
          <w:rFonts w:ascii="Arial" w:hAnsi="Arial" w:cs="Arial"/>
          <w:sz w:val="24"/>
          <w:szCs w:val="24"/>
        </w:rPr>
        <w:t xml:space="preserve">. </w:t>
      </w:r>
      <w:r w:rsidR="003158DB" w:rsidRPr="002D21B6">
        <w:rPr>
          <w:rFonts w:ascii="Arial" w:hAnsi="Arial" w:cs="Arial"/>
          <w:sz w:val="24"/>
          <w:szCs w:val="24"/>
        </w:rPr>
        <w:t xml:space="preserve">Considering the antigen-specific </w:t>
      </w:r>
      <w:proofErr w:type="spellStart"/>
      <w:r w:rsidR="003158DB" w:rsidRPr="002D21B6">
        <w:rPr>
          <w:rFonts w:ascii="Arial" w:hAnsi="Arial" w:cs="Arial"/>
          <w:sz w:val="24"/>
          <w:szCs w:val="24"/>
        </w:rPr>
        <w:t>seropositivity</w:t>
      </w:r>
      <w:proofErr w:type="spellEnd"/>
      <w:r w:rsidR="003158DB" w:rsidRPr="002D21B6">
        <w:rPr>
          <w:rFonts w:ascii="Arial" w:hAnsi="Arial" w:cs="Arial"/>
          <w:sz w:val="24"/>
          <w:szCs w:val="24"/>
        </w:rPr>
        <w:t xml:space="preserve"> ratios of all samples measured, </w:t>
      </w:r>
      <w:r w:rsidR="00263EA4" w:rsidRPr="002D21B6">
        <w:rPr>
          <w:rFonts w:ascii="Arial" w:hAnsi="Arial" w:cs="Arial"/>
          <w:sz w:val="24"/>
          <w:szCs w:val="24"/>
        </w:rPr>
        <w:t xml:space="preserve">anti-measles, </w:t>
      </w:r>
      <w:r w:rsidR="003158DB" w:rsidRPr="002D21B6">
        <w:rPr>
          <w:rFonts w:ascii="Arial" w:hAnsi="Arial" w:cs="Arial"/>
          <w:sz w:val="24"/>
          <w:szCs w:val="24"/>
        </w:rPr>
        <w:t>-</w:t>
      </w:r>
      <w:r w:rsidR="00263EA4" w:rsidRPr="002D21B6">
        <w:rPr>
          <w:rFonts w:ascii="Arial" w:hAnsi="Arial" w:cs="Arial"/>
          <w:sz w:val="24"/>
          <w:szCs w:val="24"/>
        </w:rPr>
        <w:t xml:space="preserve">mumps, and </w:t>
      </w:r>
      <w:r w:rsidR="003158DB" w:rsidRPr="002D21B6">
        <w:rPr>
          <w:rFonts w:ascii="Arial" w:hAnsi="Arial" w:cs="Arial"/>
          <w:sz w:val="24"/>
          <w:szCs w:val="24"/>
        </w:rPr>
        <w:t>-</w:t>
      </w:r>
      <w:r w:rsidR="00263EA4" w:rsidRPr="002D21B6">
        <w:rPr>
          <w:rFonts w:ascii="Arial" w:hAnsi="Arial" w:cs="Arial"/>
          <w:sz w:val="24"/>
          <w:szCs w:val="24"/>
        </w:rPr>
        <w:t xml:space="preserve">rubella IgG antibody titres </w:t>
      </w:r>
      <w:r w:rsidR="003158DB" w:rsidRPr="002D21B6">
        <w:rPr>
          <w:rFonts w:ascii="Arial" w:hAnsi="Arial" w:cs="Arial"/>
          <w:sz w:val="24"/>
          <w:szCs w:val="24"/>
        </w:rPr>
        <w:t>were</w:t>
      </w:r>
      <w:r w:rsidR="00263EA4" w:rsidRPr="002D21B6">
        <w:rPr>
          <w:rFonts w:ascii="Arial" w:hAnsi="Arial" w:cs="Arial"/>
          <w:sz w:val="24"/>
          <w:szCs w:val="24"/>
        </w:rPr>
        <w:t xml:space="preserve"> adequate in 89.84%, 91.82%, and 92.28%, respectively. Taking the following </w:t>
      </w:r>
      <w:r w:rsidR="002C18BC" w:rsidRPr="002D21B6">
        <w:rPr>
          <w:rFonts w:ascii="Arial" w:hAnsi="Arial" w:cs="Arial"/>
          <w:sz w:val="24"/>
          <w:szCs w:val="24"/>
        </w:rPr>
        <w:t xml:space="preserve">herd </w:t>
      </w:r>
      <w:r w:rsidR="00263EA4" w:rsidRPr="002D21B6">
        <w:rPr>
          <w:rFonts w:ascii="Arial" w:hAnsi="Arial" w:cs="Arial"/>
          <w:sz w:val="24"/>
          <w:szCs w:val="24"/>
        </w:rPr>
        <w:t xml:space="preserve">immunity threshold (HIT) values as a base; HIT </w:t>
      </w:r>
      <w:r w:rsidR="00263EA4" w:rsidRPr="002D21B6">
        <w:rPr>
          <w:rFonts w:ascii="Arial" w:hAnsi="Arial" w:cs="Arial"/>
          <w:sz w:val="24"/>
          <w:szCs w:val="24"/>
          <w:vertAlign w:val="subscript"/>
        </w:rPr>
        <w:t>Measles</w:t>
      </w:r>
      <w:r w:rsidR="00263EA4" w:rsidRPr="002D21B6">
        <w:rPr>
          <w:rFonts w:ascii="Arial" w:hAnsi="Arial" w:cs="Arial"/>
          <w:sz w:val="24"/>
          <w:szCs w:val="24"/>
        </w:rPr>
        <w:t xml:space="preserve"> = 92–95%, HIT </w:t>
      </w:r>
      <w:r w:rsidR="00263EA4" w:rsidRPr="002D21B6">
        <w:rPr>
          <w:rFonts w:ascii="Arial" w:hAnsi="Arial" w:cs="Arial"/>
          <w:sz w:val="24"/>
          <w:szCs w:val="24"/>
          <w:vertAlign w:val="subscript"/>
        </w:rPr>
        <w:t>Mumps</w:t>
      </w:r>
      <w:r w:rsidR="00263EA4" w:rsidRPr="002D21B6">
        <w:rPr>
          <w:rFonts w:ascii="Arial" w:hAnsi="Arial" w:cs="Arial"/>
          <w:sz w:val="24"/>
          <w:szCs w:val="24"/>
        </w:rPr>
        <w:t xml:space="preserve"> = 75–86%, HIT </w:t>
      </w:r>
      <w:r w:rsidR="00263EA4" w:rsidRPr="002D21B6">
        <w:rPr>
          <w:rFonts w:ascii="Arial" w:hAnsi="Arial" w:cs="Arial"/>
          <w:sz w:val="24"/>
          <w:szCs w:val="24"/>
          <w:vertAlign w:val="subscript"/>
        </w:rPr>
        <w:t>Rubella</w:t>
      </w:r>
      <w:r w:rsidR="00456F9C" w:rsidRPr="002D21B6">
        <w:rPr>
          <w:rFonts w:ascii="Arial" w:hAnsi="Arial" w:cs="Arial"/>
          <w:sz w:val="24"/>
          <w:szCs w:val="24"/>
        </w:rPr>
        <w:t xml:space="preserve"> = 83–86,</w:t>
      </w:r>
      <w:r w:rsidR="00263EA4" w:rsidRPr="002D21B6">
        <w:rPr>
          <w:rFonts w:ascii="Arial" w:hAnsi="Arial" w:cs="Arial"/>
          <w:sz w:val="24"/>
          <w:szCs w:val="24"/>
        </w:rPr>
        <w:t xml:space="preserve"> </w:t>
      </w:r>
      <w:r w:rsidR="0067319B" w:rsidRPr="002D21B6">
        <w:rPr>
          <w:rFonts w:ascii="Arial" w:hAnsi="Arial" w:cs="Arial"/>
          <w:sz w:val="24"/>
          <w:szCs w:val="24"/>
        </w:rPr>
        <w:t>it can be stated that regarding measles,</w:t>
      </w:r>
      <w:r w:rsidR="00876F56">
        <w:rPr>
          <w:rFonts w:ascii="Arial" w:hAnsi="Arial" w:cs="Arial"/>
          <w:sz w:val="24"/>
          <w:szCs w:val="24"/>
        </w:rPr>
        <w:t xml:space="preserve"> the</w:t>
      </w:r>
      <w:r w:rsidR="0067319B" w:rsidRPr="002D21B6">
        <w:rPr>
          <w:rFonts w:ascii="Arial" w:hAnsi="Arial" w:cs="Arial"/>
          <w:sz w:val="24"/>
          <w:szCs w:val="24"/>
        </w:rPr>
        <w:t xml:space="preserve"> levels of humoral immunity may be inadequate in certain age clusters of the population</w:t>
      </w:r>
      <w:r w:rsidR="00876F56">
        <w:rPr>
          <w:rFonts w:ascii="Arial" w:hAnsi="Arial" w:cs="Arial"/>
          <w:sz w:val="24"/>
          <w:szCs w:val="24"/>
        </w:rPr>
        <w:t>. A</w:t>
      </w:r>
      <w:r w:rsidRPr="002D21B6">
        <w:rPr>
          <w:rFonts w:ascii="Arial" w:hAnsi="Arial" w:cs="Arial"/>
          <w:sz w:val="24"/>
          <w:szCs w:val="24"/>
        </w:rPr>
        <w:t xml:space="preserve">nti-measles antibody results showed significant differences between </w:t>
      </w:r>
      <w:r w:rsidR="00757043" w:rsidRPr="002D21B6">
        <w:rPr>
          <w:rFonts w:ascii="Arial" w:hAnsi="Arial" w:cs="Arial"/>
          <w:sz w:val="24"/>
          <w:szCs w:val="24"/>
        </w:rPr>
        <w:t>vaccination</w:t>
      </w:r>
      <w:r w:rsidRPr="002D21B6">
        <w:rPr>
          <w:rFonts w:ascii="Arial" w:hAnsi="Arial" w:cs="Arial"/>
          <w:sz w:val="24"/>
          <w:szCs w:val="24"/>
        </w:rPr>
        <w:t xml:space="preserve"> groups: the lowest </w:t>
      </w:r>
      <w:proofErr w:type="spellStart"/>
      <w:r w:rsidRPr="002D21B6">
        <w:rPr>
          <w:rFonts w:ascii="Arial" w:hAnsi="Arial" w:cs="Arial"/>
          <w:sz w:val="24"/>
          <w:szCs w:val="24"/>
        </w:rPr>
        <w:t>seropositvity</w:t>
      </w:r>
      <w:proofErr w:type="spellEnd"/>
      <w:r w:rsidRPr="002D21B6">
        <w:rPr>
          <w:rFonts w:ascii="Arial" w:hAnsi="Arial" w:cs="Arial"/>
          <w:sz w:val="24"/>
          <w:szCs w:val="24"/>
        </w:rPr>
        <w:t xml:space="preserve"> (79.3%) was found in sera of individuals vaccinated between 1978 and 1987. </w:t>
      </w:r>
      <w:r w:rsidR="004D1379" w:rsidRPr="002D21B6">
        <w:rPr>
          <w:rFonts w:ascii="Arial" w:hAnsi="Arial" w:cs="Arial"/>
          <w:sz w:val="24"/>
          <w:szCs w:val="24"/>
        </w:rPr>
        <w:t>The</w:t>
      </w:r>
      <w:r w:rsidR="00263EA4" w:rsidRPr="002D21B6">
        <w:rPr>
          <w:rFonts w:ascii="Arial" w:hAnsi="Arial" w:cs="Arial"/>
          <w:sz w:val="24"/>
          <w:szCs w:val="24"/>
        </w:rPr>
        <w:t xml:space="preserve"> </w:t>
      </w:r>
      <w:r w:rsidR="00757043" w:rsidRPr="002D21B6">
        <w:rPr>
          <w:rFonts w:ascii="Arial" w:hAnsi="Arial" w:cs="Arial"/>
          <w:sz w:val="24"/>
          <w:szCs w:val="24"/>
        </w:rPr>
        <w:t>s</w:t>
      </w:r>
      <w:r w:rsidR="004D1379" w:rsidRPr="002D21B6">
        <w:rPr>
          <w:rFonts w:ascii="Arial" w:hAnsi="Arial" w:cs="Arial"/>
          <w:sz w:val="24"/>
          <w:szCs w:val="24"/>
        </w:rPr>
        <w:t xml:space="preserve">uboptimal humoral antibody levels </w:t>
      </w:r>
      <w:r w:rsidR="00757043" w:rsidRPr="002D21B6">
        <w:rPr>
          <w:rFonts w:ascii="Arial" w:hAnsi="Arial" w:cs="Arial"/>
          <w:sz w:val="24"/>
          <w:szCs w:val="24"/>
        </w:rPr>
        <w:t>emphasize</w:t>
      </w:r>
      <w:r w:rsidR="004D1379" w:rsidRPr="002D21B6">
        <w:rPr>
          <w:rFonts w:ascii="Arial" w:hAnsi="Arial" w:cs="Arial"/>
          <w:sz w:val="24"/>
          <w:szCs w:val="24"/>
        </w:rPr>
        <w:t xml:space="preserve"> </w:t>
      </w:r>
      <w:r w:rsidRPr="002D21B6">
        <w:rPr>
          <w:rFonts w:ascii="Arial" w:hAnsi="Arial" w:cs="Arial"/>
          <w:sz w:val="24"/>
          <w:szCs w:val="24"/>
        </w:rPr>
        <w:t xml:space="preserve">the </w:t>
      </w:r>
      <w:r w:rsidR="00757043" w:rsidRPr="002D21B6">
        <w:rPr>
          <w:rFonts w:ascii="Arial" w:hAnsi="Arial" w:cs="Arial"/>
          <w:sz w:val="24"/>
          <w:szCs w:val="24"/>
        </w:rPr>
        <w:t>importance</w:t>
      </w:r>
      <w:r w:rsidRPr="002D21B6">
        <w:rPr>
          <w:rFonts w:ascii="Arial" w:hAnsi="Arial" w:cs="Arial"/>
          <w:sz w:val="24"/>
          <w:szCs w:val="24"/>
        </w:rPr>
        <w:t xml:space="preserve"> of serological surveys.</w:t>
      </w:r>
      <w:r w:rsidRPr="002D21B6">
        <w:t xml:space="preserve"> </w:t>
      </w:r>
      <w:r w:rsidRPr="002D21B6">
        <w:rPr>
          <w:rFonts w:ascii="Arial" w:hAnsi="Arial" w:cs="Arial"/>
          <w:sz w:val="24"/>
          <w:szCs w:val="24"/>
        </w:rPr>
        <w:t xml:space="preserve">Despite the potential gaps </w:t>
      </w:r>
      <w:r w:rsidR="00842810" w:rsidRPr="002D21B6">
        <w:rPr>
          <w:rFonts w:ascii="Arial" w:hAnsi="Arial" w:cs="Arial"/>
          <w:sz w:val="24"/>
          <w:szCs w:val="24"/>
        </w:rPr>
        <w:t>in</w:t>
      </w:r>
      <w:r w:rsidRPr="002D21B6">
        <w:rPr>
          <w:rFonts w:ascii="Arial" w:hAnsi="Arial" w:cs="Arial"/>
          <w:sz w:val="24"/>
          <w:szCs w:val="24"/>
        </w:rPr>
        <w:t xml:space="preserve"> </w:t>
      </w:r>
      <w:r w:rsidR="00CE36B4" w:rsidRPr="002D21B6">
        <w:rPr>
          <w:rFonts w:ascii="Arial" w:hAnsi="Arial" w:cs="Arial"/>
          <w:sz w:val="24"/>
          <w:szCs w:val="24"/>
        </w:rPr>
        <w:t xml:space="preserve">herd </w:t>
      </w:r>
      <w:r w:rsidRPr="002D21B6">
        <w:rPr>
          <w:rFonts w:ascii="Arial" w:hAnsi="Arial" w:cs="Arial"/>
          <w:sz w:val="24"/>
          <w:szCs w:val="24"/>
        </w:rPr>
        <w:t>immunity, MMR vaccine remains a</w:t>
      </w:r>
      <w:r w:rsidR="00842810" w:rsidRPr="002D21B6">
        <w:rPr>
          <w:rFonts w:ascii="Arial" w:hAnsi="Arial" w:cs="Arial"/>
          <w:sz w:val="24"/>
          <w:szCs w:val="24"/>
        </w:rPr>
        <w:t>n effective and low-</w:t>
      </w:r>
      <w:r w:rsidRPr="002D21B6">
        <w:rPr>
          <w:rFonts w:ascii="Arial" w:hAnsi="Arial" w:cs="Arial"/>
          <w:sz w:val="24"/>
          <w:szCs w:val="24"/>
        </w:rPr>
        <w:t>cost approach for prevention of infections.</w:t>
      </w:r>
      <w:r w:rsidR="0000457F" w:rsidRPr="002D21B6">
        <w:rPr>
          <w:rFonts w:ascii="Arial" w:hAnsi="Arial" w:cs="Arial"/>
          <w:b/>
          <w:sz w:val="24"/>
          <w:szCs w:val="24"/>
        </w:rPr>
        <w:br w:type="page"/>
      </w:r>
    </w:p>
    <w:p w:rsidR="000C6338" w:rsidRPr="002D21B6" w:rsidRDefault="000C6338" w:rsidP="000C6338">
      <w:pPr>
        <w:spacing w:line="480" w:lineRule="auto"/>
        <w:rPr>
          <w:rFonts w:ascii="Arial" w:hAnsi="Arial" w:cs="Arial"/>
          <w:b/>
          <w:sz w:val="24"/>
          <w:szCs w:val="24"/>
        </w:rPr>
      </w:pPr>
      <w:r w:rsidRPr="002D21B6">
        <w:rPr>
          <w:rFonts w:ascii="Arial" w:hAnsi="Arial" w:cs="Arial"/>
          <w:b/>
          <w:sz w:val="24"/>
          <w:szCs w:val="24"/>
        </w:rPr>
        <w:lastRenderedPageBreak/>
        <w:t>Abstract</w:t>
      </w:r>
    </w:p>
    <w:p w:rsidR="000C6338" w:rsidRPr="002D21B6" w:rsidRDefault="000C6338" w:rsidP="000C6338">
      <w:pPr>
        <w:spacing w:line="480" w:lineRule="auto"/>
        <w:rPr>
          <w:rFonts w:ascii="Arial" w:hAnsi="Arial" w:cs="Arial"/>
          <w:sz w:val="24"/>
          <w:szCs w:val="24"/>
        </w:rPr>
      </w:pPr>
      <w:r w:rsidRPr="002D21B6">
        <w:rPr>
          <w:rFonts w:ascii="Arial" w:hAnsi="Arial" w:cs="Arial"/>
          <w:sz w:val="24"/>
          <w:szCs w:val="24"/>
        </w:rPr>
        <w:t xml:space="preserve">In Hungary between </w:t>
      </w:r>
      <w:r w:rsidR="00A0501D" w:rsidRPr="002D21B6">
        <w:rPr>
          <w:rFonts w:ascii="Arial" w:hAnsi="Arial" w:cs="Arial"/>
          <w:sz w:val="24"/>
          <w:szCs w:val="24"/>
        </w:rPr>
        <w:t>February</w:t>
      </w:r>
      <w:r w:rsidRPr="002D21B6">
        <w:rPr>
          <w:rFonts w:ascii="Arial" w:hAnsi="Arial" w:cs="Arial"/>
          <w:sz w:val="24"/>
          <w:szCs w:val="24"/>
        </w:rPr>
        <w:t xml:space="preserve"> 2017 and </w:t>
      </w:r>
      <w:r w:rsidR="00A4098E" w:rsidRPr="002D21B6">
        <w:rPr>
          <w:rFonts w:ascii="Arial" w:hAnsi="Arial" w:cs="Arial"/>
          <w:sz w:val="24"/>
          <w:szCs w:val="24"/>
        </w:rPr>
        <w:t xml:space="preserve">July 2019 70 </w:t>
      </w:r>
      <w:r w:rsidRPr="002D21B6">
        <w:rPr>
          <w:rFonts w:ascii="Arial" w:hAnsi="Arial" w:cs="Arial"/>
          <w:sz w:val="24"/>
          <w:szCs w:val="24"/>
        </w:rPr>
        <w:t>confirmed measles cases were reported, raising questions about the ade</w:t>
      </w:r>
      <w:r w:rsidR="00A81CE2" w:rsidRPr="002D21B6">
        <w:rPr>
          <w:rFonts w:ascii="Arial" w:hAnsi="Arial" w:cs="Arial"/>
          <w:sz w:val="24"/>
          <w:szCs w:val="24"/>
        </w:rPr>
        <w:t>qua</w:t>
      </w:r>
      <w:r w:rsidR="0036230C" w:rsidRPr="002D21B6">
        <w:rPr>
          <w:rFonts w:ascii="Arial" w:hAnsi="Arial" w:cs="Arial"/>
          <w:sz w:val="24"/>
          <w:szCs w:val="24"/>
        </w:rPr>
        <w:t>cy of</w:t>
      </w:r>
      <w:r w:rsidR="00A81CE2" w:rsidRPr="002D21B6">
        <w:rPr>
          <w:rFonts w:ascii="Arial" w:hAnsi="Arial" w:cs="Arial"/>
          <w:sz w:val="24"/>
          <w:szCs w:val="24"/>
        </w:rPr>
        <w:t xml:space="preserve"> population-level immunity. A</w:t>
      </w:r>
      <w:r w:rsidRPr="002D21B6">
        <w:rPr>
          <w:rFonts w:ascii="Arial" w:hAnsi="Arial" w:cs="Arial"/>
          <w:sz w:val="24"/>
          <w:szCs w:val="24"/>
        </w:rPr>
        <w:t xml:space="preserve">lthough the assumed vaccination coverage is </w:t>
      </w:r>
      <w:r w:rsidR="00FF4C10" w:rsidRPr="002D21B6">
        <w:rPr>
          <w:rFonts w:ascii="Arial" w:hAnsi="Arial" w:cs="Arial"/>
          <w:sz w:val="24"/>
          <w:szCs w:val="24"/>
        </w:rPr>
        <w:t>≥</w:t>
      </w:r>
      <w:r w:rsidR="002D21B6" w:rsidRPr="002D21B6">
        <w:rPr>
          <w:rFonts w:ascii="Arial" w:hAnsi="Arial" w:cs="Arial"/>
          <w:sz w:val="24"/>
          <w:szCs w:val="24"/>
        </w:rPr>
        <w:t xml:space="preserve"> </w:t>
      </w:r>
      <w:r w:rsidR="00A81CE2" w:rsidRPr="002D21B6">
        <w:rPr>
          <w:rFonts w:ascii="Arial" w:hAnsi="Arial" w:cs="Arial"/>
          <w:sz w:val="24"/>
          <w:szCs w:val="24"/>
        </w:rPr>
        <w:t xml:space="preserve">99%, in a recent study </w:t>
      </w:r>
      <w:r w:rsidRPr="002D21B6">
        <w:rPr>
          <w:rFonts w:ascii="Arial" w:hAnsi="Arial" w:cs="Arial"/>
          <w:sz w:val="24"/>
          <w:szCs w:val="24"/>
        </w:rPr>
        <w:t>we detected</w:t>
      </w:r>
      <w:r w:rsidR="008E194E" w:rsidRPr="002D21B6">
        <w:rPr>
          <w:rFonts w:ascii="Arial" w:hAnsi="Arial" w:cs="Arial"/>
          <w:sz w:val="24"/>
          <w:szCs w:val="24"/>
        </w:rPr>
        <w:t xml:space="preserve"> potential</w:t>
      </w:r>
      <w:r w:rsidRPr="002D21B6">
        <w:rPr>
          <w:rFonts w:ascii="Arial" w:hAnsi="Arial" w:cs="Arial"/>
          <w:sz w:val="24"/>
          <w:szCs w:val="24"/>
        </w:rPr>
        <w:t xml:space="preserve"> gaps in the anti-measles humoral immunity. </w:t>
      </w:r>
      <w:r w:rsidR="000B4A88" w:rsidRPr="002D21B6">
        <w:rPr>
          <w:rFonts w:ascii="Arial" w:hAnsi="Arial" w:cs="Arial"/>
          <w:sz w:val="24"/>
          <w:szCs w:val="24"/>
        </w:rPr>
        <w:t>In Hungary, a</w:t>
      </w:r>
      <w:r w:rsidR="00672BA8" w:rsidRPr="002D21B6">
        <w:rPr>
          <w:rFonts w:ascii="Arial" w:hAnsi="Arial" w:cs="Arial"/>
          <w:sz w:val="24"/>
          <w:szCs w:val="24"/>
        </w:rPr>
        <w:t xml:space="preserve">ccording to </w:t>
      </w:r>
      <w:r w:rsidR="00A73D30" w:rsidRPr="002D21B6">
        <w:rPr>
          <w:rFonts w:ascii="Arial" w:hAnsi="Arial" w:cs="Arial"/>
          <w:sz w:val="24"/>
          <w:szCs w:val="24"/>
        </w:rPr>
        <w:t>a</w:t>
      </w:r>
      <w:r w:rsidR="000B4A88" w:rsidRPr="002D21B6">
        <w:rPr>
          <w:rFonts w:ascii="Arial" w:hAnsi="Arial" w:cs="Arial"/>
          <w:sz w:val="24"/>
          <w:szCs w:val="24"/>
        </w:rPr>
        <w:t xml:space="preserve"> decree</w:t>
      </w:r>
      <w:r w:rsidR="00A73D30" w:rsidRPr="002D21B6">
        <w:rPr>
          <w:rFonts w:ascii="Arial" w:hAnsi="Arial" w:cs="Arial"/>
          <w:sz w:val="24"/>
          <w:szCs w:val="24"/>
        </w:rPr>
        <w:t xml:space="preserve"> by the Ministry of Public Welfare</w:t>
      </w:r>
      <w:r w:rsidR="000B4A88" w:rsidRPr="002D21B6">
        <w:rPr>
          <w:rFonts w:ascii="Arial" w:hAnsi="Arial" w:cs="Arial"/>
          <w:sz w:val="24"/>
          <w:szCs w:val="24"/>
        </w:rPr>
        <w:t xml:space="preserve">, beginning from 2021, </w:t>
      </w:r>
      <w:r w:rsidR="00A81CE2" w:rsidRPr="002D21B6">
        <w:rPr>
          <w:rFonts w:ascii="Arial" w:hAnsi="Arial" w:cs="Arial"/>
          <w:sz w:val="24"/>
          <w:szCs w:val="24"/>
        </w:rPr>
        <w:t>the health</w:t>
      </w:r>
      <w:r w:rsidR="000B4A88" w:rsidRPr="002D21B6">
        <w:rPr>
          <w:rFonts w:ascii="Arial" w:hAnsi="Arial" w:cs="Arial"/>
          <w:sz w:val="24"/>
          <w:szCs w:val="24"/>
        </w:rPr>
        <w:t xml:space="preserve">care provider </w:t>
      </w:r>
      <w:r w:rsidR="00A73D30" w:rsidRPr="002D21B6">
        <w:rPr>
          <w:rFonts w:ascii="Arial" w:hAnsi="Arial" w:cs="Arial"/>
          <w:sz w:val="24"/>
          <w:szCs w:val="24"/>
        </w:rPr>
        <w:t>should</w:t>
      </w:r>
      <w:r w:rsidR="000B4A88" w:rsidRPr="002D21B6">
        <w:rPr>
          <w:rFonts w:ascii="Arial" w:hAnsi="Arial" w:cs="Arial"/>
          <w:sz w:val="24"/>
          <w:szCs w:val="24"/>
        </w:rPr>
        <w:t xml:space="preserve"> conduct </w:t>
      </w:r>
      <w:r w:rsidR="00A81CE2" w:rsidRPr="002D21B6">
        <w:rPr>
          <w:rFonts w:ascii="Arial" w:hAnsi="Arial" w:cs="Arial"/>
          <w:sz w:val="24"/>
          <w:szCs w:val="24"/>
        </w:rPr>
        <w:t>a</w:t>
      </w:r>
      <w:r w:rsidR="000B4A88" w:rsidRPr="002D21B6">
        <w:rPr>
          <w:rFonts w:ascii="Arial" w:hAnsi="Arial" w:cs="Arial"/>
          <w:sz w:val="24"/>
          <w:szCs w:val="24"/>
        </w:rPr>
        <w:t xml:space="preserve"> </w:t>
      </w:r>
      <w:r w:rsidR="00A73D30" w:rsidRPr="002D21B6">
        <w:rPr>
          <w:rFonts w:ascii="Arial" w:hAnsi="Arial" w:cs="Arial"/>
          <w:sz w:val="24"/>
          <w:szCs w:val="24"/>
        </w:rPr>
        <w:t>sero</w:t>
      </w:r>
      <w:r w:rsidR="000B4A88" w:rsidRPr="002D21B6">
        <w:rPr>
          <w:rFonts w:ascii="Arial" w:hAnsi="Arial" w:cs="Arial"/>
          <w:sz w:val="24"/>
          <w:szCs w:val="24"/>
        </w:rPr>
        <w:t>survey o</w:t>
      </w:r>
      <w:r w:rsidR="00A73D30" w:rsidRPr="002D21B6">
        <w:rPr>
          <w:rFonts w:ascii="Arial" w:hAnsi="Arial" w:cs="Arial"/>
          <w:sz w:val="24"/>
          <w:szCs w:val="24"/>
        </w:rPr>
        <w:t>f</w:t>
      </w:r>
      <w:r w:rsidR="000B4A88" w:rsidRPr="002D21B6">
        <w:rPr>
          <w:rFonts w:ascii="Arial" w:hAnsi="Arial" w:cs="Arial"/>
          <w:sz w:val="24"/>
          <w:szCs w:val="24"/>
        </w:rPr>
        <w:t xml:space="preserve"> </w:t>
      </w:r>
      <w:r w:rsidR="00B325F6" w:rsidRPr="002D21B6">
        <w:rPr>
          <w:rFonts w:ascii="Arial" w:hAnsi="Arial" w:cs="Arial"/>
          <w:sz w:val="24"/>
          <w:szCs w:val="24"/>
        </w:rPr>
        <w:t xml:space="preserve">anti-measles protection levels </w:t>
      </w:r>
      <w:r w:rsidR="000B4A88" w:rsidRPr="002D21B6">
        <w:rPr>
          <w:rFonts w:ascii="Arial" w:hAnsi="Arial" w:cs="Arial"/>
          <w:sz w:val="24"/>
          <w:szCs w:val="24"/>
        </w:rPr>
        <w:t>of health</w:t>
      </w:r>
      <w:r w:rsidR="00B325F6" w:rsidRPr="002D21B6">
        <w:rPr>
          <w:rFonts w:ascii="Arial" w:hAnsi="Arial" w:cs="Arial"/>
          <w:sz w:val="24"/>
          <w:szCs w:val="24"/>
        </w:rPr>
        <w:t>care</w:t>
      </w:r>
      <w:r w:rsidR="000B4A88" w:rsidRPr="002D21B6">
        <w:rPr>
          <w:rFonts w:ascii="Arial" w:hAnsi="Arial" w:cs="Arial"/>
          <w:sz w:val="24"/>
          <w:szCs w:val="24"/>
        </w:rPr>
        <w:t xml:space="preserve"> </w:t>
      </w:r>
      <w:r w:rsidR="005D36C2" w:rsidRPr="005D36C2">
        <w:rPr>
          <w:rFonts w:ascii="Arial" w:hAnsi="Arial" w:cs="Arial"/>
          <w:sz w:val="24"/>
          <w:szCs w:val="24"/>
        </w:rPr>
        <w:t>professionals</w:t>
      </w:r>
      <w:r w:rsidR="000B4A88" w:rsidRPr="002D21B6">
        <w:rPr>
          <w:rFonts w:ascii="Arial" w:hAnsi="Arial" w:cs="Arial"/>
          <w:sz w:val="24"/>
          <w:szCs w:val="24"/>
        </w:rPr>
        <w:t xml:space="preserve">. </w:t>
      </w:r>
      <w:r w:rsidR="00FA0FEA" w:rsidRPr="002D21B6">
        <w:rPr>
          <w:rFonts w:ascii="Arial" w:hAnsi="Arial" w:cs="Arial"/>
          <w:sz w:val="24"/>
          <w:szCs w:val="24"/>
        </w:rPr>
        <w:t xml:space="preserve">To </w:t>
      </w:r>
      <w:r w:rsidR="00240E15" w:rsidRPr="002D21B6">
        <w:rPr>
          <w:rFonts w:ascii="Arial" w:hAnsi="Arial" w:cs="Arial"/>
          <w:sz w:val="24"/>
          <w:szCs w:val="24"/>
        </w:rPr>
        <w:t xml:space="preserve">facilitate the </w:t>
      </w:r>
      <w:r w:rsidR="00FA0FEA" w:rsidRPr="002D21B6">
        <w:rPr>
          <w:rFonts w:ascii="Arial" w:hAnsi="Arial" w:cs="Arial"/>
          <w:sz w:val="24"/>
          <w:szCs w:val="24"/>
        </w:rPr>
        <w:t>compl</w:t>
      </w:r>
      <w:r w:rsidR="00240E15" w:rsidRPr="002D21B6">
        <w:rPr>
          <w:rFonts w:ascii="Arial" w:hAnsi="Arial" w:cs="Arial"/>
          <w:sz w:val="24"/>
          <w:szCs w:val="24"/>
        </w:rPr>
        <w:t>iance</w:t>
      </w:r>
      <w:r w:rsidR="00FA0FEA" w:rsidRPr="002D21B6">
        <w:rPr>
          <w:rFonts w:ascii="Arial" w:hAnsi="Arial" w:cs="Arial"/>
          <w:sz w:val="24"/>
          <w:szCs w:val="24"/>
        </w:rPr>
        <w:t xml:space="preserve"> with this requirement,</w:t>
      </w:r>
      <w:r w:rsidRPr="002D21B6">
        <w:rPr>
          <w:rFonts w:ascii="Arial" w:hAnsi="Arial" w:cs="Arial"/>
          <w:sz w:val="24"/>
          <w:szCs w:val="24"/>
        </w:rPr>
        <w:t xml:space="preserve"> we</w:t>
      </w:r>
      <w:r w:rsidR="007E4007" w:rsidRPr="002D21B6">
        <w:rPr>
          <w:rFonts w:ascii="Arial" w:hAnsi="Arial" w:cs="Arial"/>
          <w:sz w:val="24"/>
          <w:szCs w:val="24"/>
        </w:rPr>
        <w:t xml:space="preserve"> developed</w:t>
      </w:r>
      <w:r w:rsidRPr="002D21B6">
        <w:rPr>
          <w:rFonts w:ascii="Arial" w:hAnsi="Arial" w:cs="Arial"/>
          <w:sz w:val="24"/>
          <w:szCs w:val="24"/>
        </w:rPr>
        <w:t xml:space="preserve"> a quick</w:t>
      </w:r>
      <w:r w:rsidR="00902992" w:rsidRPr="002D21B6">
        <w:rPr>
          <w:rFonts w:ascii="Arial" w:hAnsi="Arial" w:cs="Arial"/>
          <w:sz w:val="24"/>
          <w:szCs w:val="24"/>
        </w:rPr>
        <w:t xml:space="preserve"> ‘three-in-one’ </w:t>
      </w:r>
      <w:r w:rsidR="006D6D7D" w:rsidRPr="002D21B6">
        <w:rPr>
          <w:rFonts w:ascii="Arial" w:hAnsi="Arial" w:cs="Arial"/>
          <w:sz w:val="24"/>
          <w:szCs w:val="24"/>
        </w:rPr>
        <w:t xml:space="preserve">or </w:t>
      </w:r>
      <w:r w:rsidR="00250B29">
        <w:rPr>
          <w:rFonts w:ascii="Arial" w:hAnsi="Arial" w:cs="Arial"/>
          <w:sz w:val="24"/>
          <w:szCs w:val="24"/>
        </w:rPr>
        <w:t>‘</w:t>
      </w:r>
      <w:r w:rsidR="006D6D7D" w:rsidRPr="002D21B6">
        <w:rPr>
          <w:rFonts w:ascii="Arial" w:hAnsi="Arial" w:cs="Arial"/>
          <w:sz w:val="24"/>
          <w:szCs w:val="24"/>
        </w:rPr>
        <w:t>triple</w:t>
      </w:r>
      <w:r w:rsidR="00250B29">
        <w:rPr>
          <w:rFonts w:ascii="Arial" w:hAnsi="Arial" w:cs="Arial"/>
          <w:sz w:val="24"/>
          <w:szCs w:val="24"/>
        </w:rPr>
        <w:t>’</w:t>
      </w:r>
      <w:r w:rsidR="006D6D7D" w:rsidRPr="002D21B6">
        <w:rPr>
          <w:rFonts w:ascii="Arial" w:hAnsi="Arial" w:cs="Arial"/>
          <w:sz w:val="24"/>
          <w:szCs w:val="24"/>
        </w:rPr>
        <w:t xml:space="preserve"> </w:t>
      </w:r>
      <w:r w:rsidRPr="002D21B6">
        <w:rPr>
          <w:rFonts w:ascii="Arial" w:hAnsi="Arial" w:cs="Arial"/>
          <w:sz w:val="24"/>
          <w:szCs w:val="24"/>
        </w:rPr>
        <w:t>MMR (measles, mumps, and rubella) indirect ELISA (IgG); an assay format that is curren</w:t>
      </w:r>
      <w:r w:rsidR="003C2021" w:rsidRPr="002D21B6">
        <w:rPr>
          <w:rFonts w:ascii="Arial" w:hAnsi="Arial" w:cs="Arial"/>
          <w:sz w:val="24"/>
          <w:szCs w:val="24"/>
        </w:rPr>
        <w:t xml:space="preserve">tly not available commercially. </w:t>
      </w:r>
      <w:r w:rsidR="00A81CE2" w:rsidRPr="002D21B6">
        <w:rPr>
          <w:rFonts w:ascii="Arial" w:hAnsi="Arial" w:cs="Arial"/>
          <w:sz w:val="24"/>
          <w:szCs w:val="24"/>
        </w:rPr>
        <w:t>High throughput applicability of the ‘three-in-one’ ELISA was verified using 1736 ser</w:t>
      </w:r>
      <w:r w:rsidR="00DE53B6" w:rsidRPr="002D21B6">
        <w:rPr>
          <w:rFonts w:ascii="Arial" w:hAnsi="Arial" w:cs="Arial"/>
          <w:sz w:val="24"/>
          <w:szCs w:val="24"/>
        </w:rPr>
        <w:t>a</w:t>
      </w:r>
      <w:r w:rsidR="00A81CE2" w:rsidRPr="002D21B6">
        <w:rPr>
          <w:rFonts w:ascii="Arial" w:hAnsi="Arial" w:cs="Arial"/>
          <w:sz w:val="24"/>
          <w:szCs w:val="24"/>
        </w:rPr>
        <w:t xml:space="preserve"> </w:t>
      </w:r>
      <w:r w:rsidRPr="002D21B6">
        <w:rPr>
          <w:rFonts w:ascii="Arial" w:hAnsi="Arial" w:cs="Arial"/>
          <w:sz w:val="24"/>
          <w:szCs w:val="24"/>
        </w:rPr>
        <w:t xml:space="preserve">from routine laboratory </w:t>
      </w:r>
      <w:r w:rsidR="00A81CE2" w:rsidRPr="002476AD">
        <w:rPr>
          <w:rFonts w:ascii="Arial" w:hAnsi="Arial" w:cs="Arial"/>
          <w:sz w:val="24"/>
          <w:szCs w:val="24"/>
        </w:rPr>
        <w:t>residual</w:t>
      </w:r>
      <w:r w:rsidR="00A81CE2" w:rsidRPr="002D21B6">
        <w:rPr>
          <w:rFonts w:ascii="Arial" w:hAnsi="Arial" w:cs="Arial"/>
          <w:sz w:val="24"/>
          <w:szCs w:val="24"/>
        </w:rPr>
        <w:t xml:space="preserve"> </w:t>
      </w:r>
      <w:r w:rsidRPr="002D21B6">
        <w:rPr>
          <w:rFonts w:ascii="Arial" w:hAnsi="Arial" w:cs="Arial"/>
          <w:sz w:val="24"/>
          <w:szCs w:val="24"/>
        </w:rPr>
        <w:t>samples</w:t>
      </w:r>
      <w:r w:rsidR="00DD1E5A" w:rsidRPr="002D21B6">
        <w:rPr>
          <w:rFonts w:ascii="Arial" w:hAnsi="Arial" w:cs="Arial"/>
          <w:sz w:val="24"/>
          <w:szCs w:val="24"/>
        </w:rPr>
        <w:t xml:space="preserve">, </w:t>
      </w:r>
      <w:r w:rsidRPr="002D21B6">
        <w:rPr>
          <w:rFonts w:ascii="Arial" w:hAnsi="Arial" w:cs="Arial"/>
          <w:sz w:val="24"/>
          <w:szCs w:val="24"/>
        </w:rPr>
        <w:t>using a</w:t>
      </w:r>
      <w:r w:rsidR="007A455D" w:rsidRPr="002D21B6">
        <w:rPr>
          <w:rFonts w:ascii="Arial" w:hAnsi="Arial" w:cs="Arial"/>
          <w:sz w:val="24"/>
          <w:szCs w:val="24"/>
        </w:rPr>
        <w:t xml:space="preserve">n automated </w:t>
      </w:r>
      <w:r w:rsidR="00250B29" w:rsidRPr="002D21B6">
        <w:rPr>
          <w:rFonts w:ascii="Arial" w:hAnsi="Arial" w:cs="Arial"/>
          <w:sz w:val="24"/>
          <w:szCs w:val="24"/>
        </w:rPr>
        <w:t xml:space="preserve">platform </w:t>
      </w:r>
      <w:r w:rsidR="00A81CE2" w:rsidRPr="002D21B6">
        <w:rPr>
          <w:rFonts w:ascii="Arial" w:hAnsi="Arial" w:cs="Arial"/>
          <w:sz w:val="24"/>
          <w:szCs w:val="24"/>
        </w:rPr>
        <w:t>(</w:t>
      </w:r>
      <w:r w:rsidRPr="002D21B6">
        <w:rPr>
          <w:rFonts w:ascii="Arial" w:hAnsi="Arial" w:cs="Arial"/>
          <w:sz w:val="24"/>
          <w:szCs w:val="24"/>
        </w:rPr>
        <w:t>Siemens BEP 2000 Advance</w:t>
      </w:r>
      <w:r w:rsidR="00A81CE2" w:rsidRPr="002D21B6">
        <w:rPr>
          <w:rFonts w:ascii="Arial" w:hAnsi="Arial" w:cs="Arial"/>
          <w:sz w:val="24"/>
          <w:szCs w:val="24"/>
        </w:rPr>
        <w:t>)</w:t>
      </w:r>
      <w:r w:rsidRPr="002D21B6">
        <w:rPr>
          <w:rFonts w:ascii="Arial" w:hAnsi="Arial" w:cs="Arial"/>
          <w:sz w:val="24"/>
          <w:szCs w:val="24"/>
        </w:rPr>
        <w:t xml:space="preserve">. Assay verification was performed by comparing the full antigen repertoire-based </w:t>
      </w:r>
      <w:r w:rsidR="00DE53B6" w:rsidRPr="002D21B6">
        <w:rPr>
          <w:rFonts w:ascii="Arial" w:hAnsi="Arial" w:cs="Arial"/>
          <w:sz w:val="24"/>
          <w:szCs w:val="24"/>
        </w:rPr>
        <w:t>‘</w:t>
      </w:r>
      <w:r w:rsidRPr="002D21B6">
        <w:rPr>
          <w:rFonts w:ascii="Arial" w:hAnsi="Arial" w:cs="Arial"/>
          <w:sz w:val="24"/>
          <w:szCs w:val="24"/>
        </w:rPr>
        <w:t>target</w:t>
      </w:r>
      <w:r w:rsidR="00DE53B6" w:rsidRPr="002D21B6">
        <w:rPr>
          <w:rFonts w:ascii="Arial" w:hAnsi="Arial" w:cs="Arial"/>
          <w:sz w:val="24"/>
          <w:szCs w:val="24"/>
        </w:rPr>
        <w:t>’</w:t>
      </w:r>
      <w:r w:rsidRPr="002D21B6">
        <w:rPr>
          <w:rFonts w:ascii="Arial" w:hAnsi="Arial" w:cs="Arial"/>
          <w:sz w:val="24"/>
          <w:szCs w:val="24"/>
        </w:rPr>
        <w:t xml:space="preserve"> assay with in-house </w:t>
      </w:r>
      <w:r w:rsidR="00DE53B6" w:rsidRPr="002D21B6">
        <w:rPr>
          <w:rFonts w:ascii="Arial" w:hAnsi="Arial" w:cs="Arial"/>
          <w:sz w:val="24"/>
          <w:szCs w:val="24"/>
        </w:rPr>
        <w:t>‘</w:t>
      </w:r>
      <w:r w:rsidRPr="002D21B6">
        <w:rPr>
          <w:rFonts w:ascii="Arial" w:hAnsi="Arial" w:cs="Arial"/>
          <w:sz w:val="24"/>
          <w:szCs w:val="24"/>
        </w:rPr>
        <w:t>control</w:t>
      </w:r>
      <w:r w:rsidR="00DE53B6" w:rsidRPr="002D21B6">
        <w:rPr>
          <w:rFonts w:ascii="Arial" w:hAnsi="Arial" w:cs="Arial"/>
          <w:sz w:val="24"/>
          <w:szCs w:val="24"/>
        </w:rPr>
        <w:t>’</w:t>
      </w:r>
      <w:r w:rsidRPr="002D21B6">
        <w:rPr>
          <w:rFonts w:ascii="Arial" w:hAnsi="Arial" w:cs="Arial"/>
          <w:sz w:val="24"/>
          <w:szCs w:val="24"/>
        </w:rPr>
        <w:t xml:space="preserve"> assays using recombinant viral antigen coatings, and by </w:t>
      </w:r>
      <w:r w:rsidR="00A81CE2" w:rsidRPr="002D21B6">
        <w:rPr>
          <w:rFonts w:ascii="Arial" w:hAnsi="Arial" w:cs="Arial"/>
          <w:sz w:val="24"/>
          <w:szCs w:val="24"/>
        </w:rPr>
        <w:t xml:space="preserve">validated </w:t>
      </w:r>
      <w:r w:rsidRPr="002D21B6">
        <w:rPr>
          <w:rFonts w:ascii="Arial" w:hAnsi="Arial" w:cs="Arial"/>
          <w:sz w:val="24"/>
          <w:szCs w:val="24"/>
        </w:rPr>
        <w:t xml:space="preserve">commercially available kits. Indirect immunofluorescence was used as an independent reference method. Data were </w:t>
      </w:r>
      <w:r w:rsidR="0041622D" w:rsidRPr="002D21B6">
        <w:rPr>
          <w:rFonts w:ascii="Arial" w:hAnsi="Arial" w:cs="Arial"/>
          <w:sz w:val="24"/>
          <w:szCs w:val="24"/>
        </w:rPr>
        <w:t>analysed</w:t>
      </w:r>
      <w:r w:rsidRPr="002D21B6">
        <w:rPr>
          <w:rFonts w:ascii="Arial" w:hAnsi="Arial" w:cs="Arial"/>
          <w:sz w:val="24"/>
          <w:szCs w:val="24"/>
        </w:rPr>
        <w:t xml:space="preserve"> using </w:t>
      </w:r>
      <w:proofErr w:type="spellStart"/>
      <w:r w:rsidRPr="002D21B6">
        <w:rPr>
          <w:rFonts w:ascii="Arial" w:hAnsi="Arial" w:cs="Arial"/>
          <w:sz w:val="24"/>
          <w:szCs w:val="24"/>
        </w:rPr>
        <w:t>OriginLab</w:t>
      </w:r>
      <w:proofErr w:type="spellEnd"/>
      <w:r w:rsidRPr="002D21B6">
        <w:rPr>
          <w:rFonts w:ascii="Arial" w:hAnsi="Arial" w:cs="Arial"/>
          <w:sz w:val="24"/>
          <w:szCs w:val="24"/>
        </w:rPr>
        <w:t xml:space="preserve">, IBM SPSS, </w:t>
      </w:r>
      <w:proofErr w:type="spellStart"/>
      <w:r w:rsidRPr="002D21B6">
        <w:rPr>
          <w:rFonts w:ascii="Arial" w:hAnsi="Arial" w:cs="Arial"/>
          <w:sz w:val="24"/>
          <w:szCs w:val="24"/>
        </w:rPr>
        <w:t>RStudio</w:t>
      </w:r>
      <w:proofErr w:type="spellEnd"/>
      <w:r w:rsidR="00D461EB">
        <w:rPr>
          <w:rFonts w:ascii="Arial" w:hAnsi="Arial" w:cs="Arial"/>
          <w:sz w:val="24"/>
          <w:szCs w:val="24"/>
        </w:rPr>
        <w:t>,</w:t>
      </w:r>
      <w:r w:rsidRPr="002D21B6">
        <w:rPr>
          <w:rFonts w:ascii="Arial" w:hAnsi="Arial" w:cs="Arial"/>
          <w:sz w:val="24"/>
          <w:szCs w:val="24"/>
        </w:rPr>
        <w:t xml:space="preserve"> and </w:t>
      </w:r>
      <w:proofErr w:type="spellStart"/>
      <w:r w:rsidRPr="002D21B6">
        <w:rPr>
          <w:rFonts w:ascii="Arial" w:hAnsi="Arial" w:cs="Arial"/>
          <w:sz w:val="24"/>
          <w:szCs w:val="24"/>
        </w:rPr>
        <w:t>MedCalc</w:t>
      </w:r>
      <w:proofErr w:type="spellEnd"/>
      <w:r w:rsidRPr="002D21B6">
        <w:rPr>
          <w:rFonts w:ascii="Arial" w:hAnsi="Arial" w:cs="Arial"/>
          <w:sz w:val="24"/>
          <w:szCs w:val="24"/>
        </w:rPr>
        <w:t xml:space="preserve">. </w:t>
      </w:r>
      <w:r w:rsidR="00A86783">
        <w:rPr>
          <w:rFonts w:ascii="Arial" w:hAnsi="Arial" w:cs="Arial"/>
          <w:sz w:val="24"/>
          <w:szCs w:val="24"/>
        </w:rPr>
        <w:t>In case of measles, we combined our current results with previously published data (</w:t>
      </w:r>
      <w:r w:rsidR="00A86783" w:rsidRPr="00A86783">
        <w:rPr>
          <w:rFonts w:ascii="Arial" w:hAnsi="Arial" w:cs="Arial"/>
          <w:sz w:val="24"/>
          <w:szCs w:val="24"/>
        </w:rPr>
        <w:t xml:space="preserve">N </w:t>
      </w:r>
      <w:r w:rsidR="00A86783" w:rsidRPr="00A86783">
        <w:rPr>
          <w:rFonts w:ascii="Arial" w:hAnsi="Arial" w:cs="Arial"/>
          <w:sz w:val="24"/>
          <w:szCs w:val="24"/>
          <w:vertAlign w:val="subscript"/>
        </w:rPr>
        <w:t xml:space="preserve">total measles </w:t>
      </w:r>
      <w:r w:rsidR="00A86783" w:rsidRPr="00A86783">
        <w:rPr>
          <w:rFonts w:ascii="Arial" w:hAnsi="Arial" w:cs="Arial"/>
          <w:sz w:val="24"/>
          <w:szCs w:val="24"/>
        </w:rPr>
        <w:t>= 3523</w:t>
      </w:r>
      <w:r w:rsidR="00A86783">
        <w:rPr>
          <w:rFonts w:ascii="Arial" w:hAnsi="Arial" w:cs="Arial"/>
          <w:sz w:val="24"/>
          <w:szCs w:val="24"/>
        </w:rPr>
        <w:t xml:space="preserve">). </w:t>
      </w:r>
      <w:r w:rsidR="00DE53B6" w:rsidRPr="002D21B6">
        <w:rPr>
          <w:rFonts w:ascii="Arial" w:hAnsi="Arial" w:cs="Arial"/>
          <w:sz w:val="24"/>
          <w:szCs w:val="24"/>
        </w:rPr>
        <w:t>Evaluation of anti-mumps and anti-rubella humoral antibody levels was based on the measurement of 1736 samples.</w:t>
      </w:r>
      <w:r w:rsidR="007A455D" w:rsidRPr="002D21B6">
        <w:rPr>
          <w:rFonts w:ascii="Arial" w:hAnsi="Arial" w:cs="Arial"/>
          <w:sz w:val="24"/>
          <w:szCs w:val="24"/>
        </w:rPr>
        <w:t xml:space="preserve"> T</w:t>
      </w:r>
      <w:r w:rsidR="00A81CE2" w:rsidRPr="002D21B6">
        <w:rPr>
          <w:rFonts w:ascii="Arial" w:hAnsi="Arial" w:cs="Arial"/>
          <w:sz w:val="24"/>
          <w:szCs w:val="24"/>
        </w:rPr>
        <w:t xml:space="preserve">he lowest </w:t>
      </w:r>
      <w:r w:rsidR="007A455D" w:rsidRPr="002D21B6">
        <w:rPr>
          <w:rFonts w:ascii="Arial" w:hAnsi="Arial" w:cs="Arial"/>
          <w:sz w:val="24"/>
          <w:szCs w:val="24"/>
        </w:rPr>
        <w:t xml:space="preserve">anti-measles </w:t>
      </w:r>
      <w:proofErr w:type="spellStart"/>
      <w:r w:rsidR="00A81CE2" w:rsidRPr="002D21B6">
        <w:rPr>
          <w:rFonts w:ascii="Arial" w:hAnsi="Arial" w:cs="Arial"/>
          <w:sz w:val="24"/>
          <w:szCs w:val="24"/>
        </w:rPr>
        <w:t>seropositvity</w:t>
      </w:r>
      <w:proofErr w:type="spellEnd"/>
      <w:r w:rsidR="00A81CE2" w:rsidRPr="002D21B6">
        <w:rPr>
          <w:rFonts w:ascii="Arial" w:hAnsi="Arial" w:cs="Arial"/>
          <w:sz w:val="24"/>
          <w:szCs w:val="24"/>
        </w:rPr>
        <w:t xml:space="preserve"> (79.3%) was </w:t>
      </w:r>
      <w:r w:rsidR="007A455D" w:rsidRPr="002D21B6">
        <w:rPr>
          <w:rFonts w:ascii="Arial" w:hAnsi="Arial" w:cs="Arial"/>
          <w:sz w:val="24"/>
          <w:szCs w:val="24"/>
        </w:rPr>
        <w:t>detect</w:t>
      </w:r>
      <w:r w:rsidR="007C475A" w:rsidRPr="002D21B6">
        <w:rPr>
          <w:rFonts w:ascii="Arial" w:hAnsi="Arial" w:cs="Arial"/>
          <w:sz w:val="24"/>
          <w:szCs w:val="24"/>
        </w:rPr>
        <w:t>ed</w:t>
      </w:r>
      <w:r w:rsidR="007A455D" w:rsidRPr="002D21B6">
        <w:rPr>
          <w:rFonts w:ascii="Arial" w:hAnsi="Arial" w:cs="Arial"/>
          <w:sz w:val="24"/>
          <w:szCs w:val="24"/>
        </w:rPr>
        <w:t xml:space="preserve"> </w:t>
      </w:r>
      <w:r w:rsidR="00A81CE2" w:rsidRPr="002D21B6">
        <w:rPr>
          <w:rFonts w:ascii="Arial" w:hAnsi="Arial" w:cs="Arial"/>
          <w:sz w:val="24"/>
          <w:szCs w:val="24"/>
        </w:rPr>
        <w:t>in sera of individuals vaccinated between 1978 and 1987.</w:t>
      </w:r>
      <w:r w:rsidR="00A81CE2" w:rsidRPr="002D21B6">
        <w:t xml:space="preserve"> </w:t>
      </w:r>
      <w:r w:rsidR="007C475A" w:rsidRPr="002D21B6">
        <w:rPr>
          <w:rFonts w:ascii="Arial" w:hAnsi="Arial" w:cs="Arial"/>
          <w:sz w:val="24"/>
          <w:szCs w:val="24"/>
        </w:rPr>
        <w:t xml:space="preserve">Considering the antigen-specific </w:t>
      </w:r>
      <w:proofErr w:type="spellStart"/>
      <w:r w:rsidR="007C475A" w:rsidRPr="002D21B6">
        <w:rPr>
          <w:rFonts w:ascii="Arial" w:hAnsi="Arial" w:cs="Arial"/>
          <w:sz w:val="24"/>
          <w:szCs w:val="24"/>
        </w:rPr>
        <w:t>seropositivity</w:t>
      </w:r>
      <w:proofErr w:type="spellEnd"/>
      <w:r w:rsidR="007C475A" w:rsidRPr="002D21B6">
        <w:rPr>
          <w:rFonts w:ascii="Arial" w:hAnsi="Arial" w:cs="Arial"/>
          <w:sz w:val="24"/>
          <w:szCs w:val="24"/>
        </w:rPr>
        <w:t xml:space="preserve"> ratios of all samples measured, anti-measles, -mumps, and -rubella IgG antibody titres were adequate in 89.84%, 91.82%, and 92.28%, respectively. </w:t>
      </w:r>
      <w:r w:rsidR="007C2E36" w:rsidRPr="002D21B6">
        <w:rPr>
          <w:rFonts w:ascii="Arial" w:hAnsi="Arial" w:cs="Arial"/>
          <w:sz w:val="24"/>
          <w:szCs w:val="24"/>
        </w:rPr>
        <w:t>Based on the virus-specific</w:t>
      </w:r>
      <w:r w:rsidR="00934108" w:rsidRPr="002D21B6">
        <w:rPr>
          <w:rFonts w:ascii="Arial" w:hAnsi="Arial" w:cs="Arial"/>
          <w:sz w:val="24"/>
          <w:szCs w:val="24"/>
        </w:rPr>
        <w:t xml:space="preserve"> herd </w:t>
      </w:r>
      <w:r w:rsidR="007C2E36" w:rsidRPr="002D21B6">
        <w:rPr>
          <w:rFonts w:ascii="Arial" w:hAnsi="Arial" w:cs="Arial"/>
          <w:sz w:val="24"/>
          <w:szCs w:val="24"/>
        </w:rPr>
        <w:t xml:space="preserve">immunity threshold (HIT) values (HIT </w:t>
      </w:r>
      <w:r w:rsidR="007C2E36" w:rsidRPr="002D21B6">
        <w:rPr>
          <w:rFonts w:ascii="Arial" w:hAnsi="Arial" w:cs="Arial"/>
          <w:sz w:val="24"/>
          <w:szCs w:val="24"/>
          <w:vertAlign w:val="subscript"/>
        </w:rPr>
        <w:lastRenderedPageBreak/>
        <w:t>Measles</w:t>
      </w:r>
      <w:r w:rsidR="007C2E36" w:rsidRPr="002D21B6">
        <w:rPr>
          <w:rFonts w:ascii="Arial" w:hAnsi="Arial" w:cs="Arial"/>
          <w:sz w:val="24"/>
          <w:szCs w:val="24"/>
        </w:rPr>
        <w:t xml:space="preserve"> = 92–95%, HIT </w:t>
      </w:r>
      <w:r w:rsidR="007C2E36" w:rsidRPr="002D21B6">
        <w:rPr>
          <w:rFonts w:ascii="Arial" w:hAnsi="Arial" w:cs="Arial"/>
          <w:sz w:val="24"/>
          <w:szCs w:val="24"/>
          <w:vertAlign w:val="subscript"/>
        </w:rPr>
        <w:t>Mumps</w:t>
      </w:r>
      <w:r w:rsidR="007C2E36" w:rsidRPr="002D21B6">
        <w:rPr>
          <w:rFonts w:ascii="Arial" w:hAnsi="Arial" w:cs="Arial"/>
          <w:sz w:val="24"/>
          <w:szCs w:val="24"/>
        </w:rPr>
        <w:t xml:space="preserve"> = 75–86%, HIT </w:t>
      </w:r>
      <w:r w:rsidR="007C2E36" w:rsidRPr="002D21B6">
        <w:rPr>
          <w:rFonts w:ascii="Arial" w:hAnsi="Arial" w:cs="Arial"/>
          <w:sz w:val="24"/>
          <w:szCs w:val="24"/>
          <w:vertAlign w:val="subscript"/>
        </w:rPr>
        <w:t>Rubella</w:t>
      </w:r>
      <w:r w:rsidR="007C2E36" w:rsidRPr="002D21B6">
        <w:rPr>
          <w:rFonts w:ascii="Arial" w:hAnsi="Arial" w:cs="Arial"/>
          <w:sz w:val="24"/>
          <w:szCs w:val="24"/>
        </w:rPr>
        <w:t xml:space="preserve"> = 83–86), it can be stated that regarding </w:t>
      </w:r>
      <w:r w:rsidR="003C6D76" w:rsidRPr="002D21B6">
        <w:rPr>
          <w:rFonts w:ascii="Arial" w:hAnsi="Arial" w:cs="Arial"/>
          <w:sz w:val="24"/>
          <w:szCs w:val="24"/>
        </w:rPr>
        <w:t>anti-</w:t>
      </w:r>
      <w:r w:rsidR="007C2E36" w:rsidRPr="002D21B6">
        <w:rPr>
          <w:rFonts w:ascii="Arial" w:hAnsi="Arial" w:cs="Arial"/>
          <w:sz w:val="24"/>
          <w:szCs w:val="24"/>
        </w:rPr>
        <w:t>measles</w:t>
      </w:r>
      <w:r w:rsidR="003C6D76" w:rsidRPr="002D21B6">
        <w:rPr>
          <w:rFonts w:ascii="Arial" w:hAnsi="Arial" w:cs="Arial"/>
          <w:sz w:val="24"/>
          <w:szCs w:val="24"/>
        </w:rPr>
        <w:t xml:space="preserve"> immunity</w:t>
      </w:r>
      <w:r w:rsidR="007C2E36" w:rsidRPr="002D21B6">
        <w:rPr>
          <w:rFonts w:ascii="Arial" w:hAnsi="Arial" w:cs="Arial"/>
          <w:sz w:val="24"/>
          <w:szCs w:val="24"/>
        </w:rPr>
        <w:t xml:space="preserve">, </w:t>
      </w:r>
      <w:r w:rsidR="003C6D76" w:rsidRPr="002D21B6">
        <w:rPr>
          <w:rFonts w:ascii="Arial" w:hAnsi="Arial" w:cs="Arial"/>
          <w:sz w:val="24"/>
          <w:szCs w:val="24"/>
        </w:rPr>
        <w:t xml:space="preserve">certain age clusters of the </w:t>
      </w:r>
      <w:r w:rsidR="007C2E36" w:rsidRPr="002D21B6">
        <w:rPr>
          <w:rFonts w:ascii="Arial" w:hAnsi="Arial" w:cs="Arial"/>
          <w:sz w:val="24"/>
          <w:szCs w:val="24"/>
        </w:rPr>
        <w:t xml:space="preserve">population </w:t>
      </w:r>
      <w:r w:rsidR="003C6D76" w:rsidRPr="002D21B6">
        <w:rPr>
          <w:rFonts w:ascii="Arial" w:hAnsi="Arial" w:cs="Arial"/>
          <w:sz w:val="24"/>
          <w:szCs w:val="24"/>
        </w:rPr>
        <w:t xml:space="preserve">may have inadequate </w:t>
      </w:r>
      <w:r w:rsidR="007C2E36" w:rsidRPr="002D21B6">
        <w:rPr>
          <w:rFonts w:ascii="Arial" w:hAnsi="Arial" w:cs="Arial"/>
          <w:sz w:val="24"/>
          <w:szCs w:val="24"/>
        </w:rPr>
        <w:t>level</w:t>
      </w:r>
      <w:r w:rsidR="003C6D76" w:rsidRPr="002D21B6">
        <w:rPr>
          <w:rFonts w:ascii="Arial" w:hAnsi="Arial" w:cs="Arial"/>
          <w:sz w:val="24"/>
          <w:szCs w:val="24"/>
        </w:rPr>
        <w:t>s of humoral immunity.</w:t>
      </w:r>
      <w:r w:rsidR="007C2E36" w:rsidRPr="002D21B6">
        <w:t xml:space="preserve"> </w:t>
      </w:r>
      <w:r w:rsidRPr="002D21B6">
        <w:rPr>
          <w:rFonts w:ascii="Arial" w:hAnsi="Arial" w:cs="Arial"/>
          <w:sz w:val="24"/>
          <w:szCs w:val="24"/>
        </w:rPr>
        <w:t xml:space="preserve">Despite the </w:t>
      </w:r>
      <w:r w:rsidRPr="002476AD">
        <w:rPr>
          <w:rFonts w:ascii="Arial" w:hAnsi="Arial" w:cs="Arial"/>
          <w:sz w:val="24"/>
          <w:szCs w:val="24"/>
        </w:rPr>
        <w:t xml:space="preserve">potential gaps </w:t>
      </w:r>
      <w:r w:rsidR="003C6D76" w:rsidRPr="002476AD">
        <w:rPr>
          <w:rFonts w:ascii="Arial" w:hAnsi="Arial" w:cs="Arial"/>
          <w:sz w:val="24"/>
          <w:szCs w:val="24"/>
        </w:rPr>
        <w:t>in</w:t>
      </w:r>
      <w:r w:rsidRPr="002476AD">
        <w:rPr>
          <w:rFonts w:ascii="Arial" w:hAnsi="Arial" w:cs="Arial"/>
          <w:sz w:val="24"/>
          <w:szCs w:val="24"/>
        </w:rPr>
        <w:t xml:space="preserve"> </w:t>
      </w:r>
      <w:r w:rsidR="002A5029" w:rsidRPr="002476AD">
        <w:rPr>
          <w:rFonts w:ascii="Arial" w:hAnsi="Arial" w:cs="Arial"/>
          <w:sz w:val="24"/>
          <w:szCs w:val="24"/>
        </w:rPr>
        <w:t>herd</w:t>
      </w:r>
      <w:r w:rsidR="002A5029" w:rsidRPr="002D21B6">
        <w:rPr>
          <w:rFonts w:ascii="Arial" w:hAnsi="Arial" w:cs="Arial"/>
          <w:sz w:val="24"/>
          <w:szCs w:val="24"/>
        </w:rPr>
        <w:t xml:space="preserve"> </w:t>
      </w:r>
      <w:r w:rsidR="007A455D" w:rsidRPr="002D21B6">
        <w:rPr>
          <w:rFonts w:ascii="Arial" w:hAnsi="Arial" w:cs="Arial"/>
          <w:sz w:val="24"/>
          <w:szCs w:val="24"/>
        </w:rPr>
        <w:t>immunity</w:t>
      </w:r>
      <w:r w:rsidRPr="002D21B6">
        <w:rPr>
          <w:rFonts w:ascii="Arial" w:hAnsi="Arial" w:cs="Arial"/>
          <w:sz w:val="24"/>
          <w:szCs w:val="24"/>
        </w:rPr>
        <w:t>, the use of MMR vaccine remains an effective and low cost approach for prevention of measles, mumps and rubella infections.</w:t>
      </w:r>
    </w:p>
    <w:p w:rsidR="002539BD" w:rsidRPr="002D21B6" w:rsidRDefault="00EE7D57" w:rsidP="00550481">
      <w:pPr>
        <w:spacing w:line="480" w:lineRule="auto"/>
        <w:rPr>
          <w:rFonts w:ascii="Arial" w:hAnsi="Arial" w:cs="Arial"/>
          <w:b/>
          <w:sz w:val="24"/>
          <w:szCs w:val="24"/>
        </w:rPr>
      </w:pPr>
      <w:r w:rsidRPr="002D21B6">
        <w:rPr>
          <w:rFonts w:ascii="Arial" w:hAnsi="Arial" w:cs="Arial"/>
          <w:i/>
          <w:sz w:val="24"/>
          <w:szCs w:val="24"/>
        </w:rPr>
        <w:t>Key</w:t>
      </w:r>
      <w:r w:rsidR="00D23B06" w:rsidRPr="002D21B6">
        <w:rPr>
          <w:rFonts w:ascii="Arial" w:hAnsi="Arial" w:cs="Arial"/>
          <w:i/>
          <w:sz w:val="24"/>
          <w:szCs w:val="24"/>
        </w:rPr>
        <w:t>words</w:t>
      </w:r>
      <w:r w:rsidR="00D23B06" w:rsidRPr="002D21B6">
        <w:rPr>
          <w:rFonts w:ascii="Arial" w:hAnsi="Arial" w:cs="Arial"/>
          <w:b/>
          <w:sz w:val="24"/>
          <w:szCs w:val="24"/>
        </w:rPr>
        <w:t xml:space="preserve">: </w:t>
      </w:r>
      <w:r w:rsidR="00187C7D" w:rsidRPr="002D21B6">
        <w:rPr>
          <w:rFonts w:ascii="Arial" w:hAnsi="Arial" w:cs="Arial"/>
          <w:sz w:val="24"/>
          <w:szCs w:val="24"/>
        </w:rPr>
        <w:t xml:space="preserve">IgG, immunity, indirect ELISA, measles, MMR, </w:t>
      </w:r>
      <w:r w:rsidR="00D23B06" w:rsidRPr="002D21B6">
        <w:rPr>
          <w:rFonts w:ascii="Arial" w:hAnsi="Arial" w:cs="Arial"/>
          <w:sz w:val="24"/>
          <w:szCs w:val="24"/>
        </w:rPr>
        <w:t>mumps</w:t>
      </w:r>
      <w:r w:rsidR="00187C7D" w:rsidRPr="002D21B6">
        <w:rPr>
          <w:rFonts w:ascii="Arial" w:hAnsi="Arial" w:cs="Arial"/>
          <w:sz w:val="24"/>
          <w:szCs w:val="24"/>
        </w:rPr>
        <w:t>, rubella, vaccine</w:t>
      </w:r>
      <w:r w:rsidR="00D23B06" w:rsidRPr="002D21B6">
        <w:rPr>
          <w:rFonts w:ascii="Arial" w:hAnsi="Arial" w:cs="Arial"/>
          <w:sz w:val="24"/>
          <w:szCs w:val="24"/>
        </w:rPr>
        <w:t xml:space="preserve"> </w:t>
      </w:r>
    </w:p>
    <w:p w:rsidR="00AA3297" w:rsidRPr="002D21B6" w:rsidRDefault="002539BD" w:rsidP="00A86918">
      <w:pPr>
        <w:rPr>
          <w:rFonts w:ascii="Arial" w:hAnsi="Arial" w:cs="Arial"/>
          <w:b/>
          <w:noProof/>
          <w:sz w:val="24"/>
          <w:szCs w:val="24"/>
        </w:rPr>
      </w:pPr>
      <w:r w:rsidRPr="002D21B6">
        <w:rPr>
          <w:rFonts w:ascii="Arial" w:hAnsi="Arial" w:cs="Arial"/>
          <w:b/>
          <w:sz w:val="24"/>
          <w:szCs w:val="24"/>
        </w:rPr>
        <w:br w:type="page"/>
      </w:r>
      <w:r w:rsidR="00AA3297" w:rsidRPr="002D21B6">
        <w:rPr>
          <w:rFonts w:ascii="Arial" w:hAnsi="Arial" w:cs="Arial"/>
          <w:b/>
          <w:sz w:val="24"/>
          <w:szCs w:val="24"/>
        </w:rPr>
        <w:lastRenderedPageBreak/>
        <w:t>Introduction</w:t>
      </w:r>
      <w:r w:rsidR="00E67F72" w:rsidRPr="002D21B6">
        <w:rPr>
          <w:rFonts w:ascii="Arial" w:hAnsi="Arial" w:cs="Arial"/>
          <w:b/>
          <w:noProof/>
          <w:sz w:val="24"/>
          <w:szCs w:val="24"/>
        </w:rPr>
        <w:t xml:space="preserve"> </w:t>
      </w:r>
    </w:p>
    <w:p w:rsidR="000A59DF" w:rsidRDefault="009B164F">
      <w:pPr>
        <w:spacing w:line="480" w:lineRule="auto"/>
        <w:rPr>
          <w:rFonts w:ascii="Arial" w:hAnsi="Arial" w:cs="Arial"/>
          <w:sz w:val="24"/>
          <w:szCs w:val="24"/>
        </w:rPr>
      </w:pPr>
      <w:r w:rsidRPr="002D21B6">
        <w:rPr>
          <w:rFonts w:ascii="Arial" w:hAnsi="Arial" w:cs="Arial"/>
          <w:sz w:val="24"/>
          <w:szCs w:val="24"/>
        </w:rPr>
        <w:t xml:space="preserve">Despite the existence of effective measles </w:t>
      </w:r>
      <w:r w:rsidR="00DE7609" w:rsidRPr="002D21B6">
        <w:rPr>
          <w:rFonts w:ascii="Arial" w:hAnsi="Arial" w:cs="Arial"/>
          <w:sz w:val="24"/>
          <w:szCs w:val="24"/>
        </w:rPr>
        <w:t>(M) and</w:t>
      </w:r>
      <w:r w:rsidR="002C2BAC" w:rsidRPr="002D21B6">
        <w:rPr>
          <w:rFonts w:ascii="Arial" w:hAnsi="Arial" w:cs="Arial"/>
          <w:sz w:val="24"/>
          <w:szCs w:val="24"/>
        </w:rPr>
        <w:t xml:space="preserve"> measles containing vaccines (MCV)</w:t>
      </w:r>
      <w:r w:rsidRPr="002D21B6">
        <w:rPr>
          <w:rFonts w:ascii="Arial" w:hAnsi="Arial" w:cs="Arial"/>
          <w:sz w:val="24"/>
          <w:szCs w:val="24"/>
        </w:rPr>
        <w:t xml:space="preserve">, resurgence </w:t>
      </w:r>
      <w:r w:rsidR="000714F4" w:rsidRPr="002D21B6">
        <w:rPr>
          <w:rFonts w:ascii="Arial" w:hAnsi="Arial" w:cs="Arial"/>
          <w:sz w:val="24"/>
          <w:szCs w:val="24"/>
        </w:rPr>
        <w:t xml:space="preserve">of </w:t>
      </w:r>
      <w:r w:rsidRPr="002D21B6">
        <w:rPr>
          <w:rFonts w:ascii="Arial" w:hAnsi="Arial" w:cs="Arial"/>
          <w:sz w:val="24"/>
          <w:szCs w:val="24"/>
        </w:rPr>
        <w:t>measles cases in the United States and across Europe has occurred, including  individuals vaccinated with two doses of the vaccine</w:t>
      </w:r>
      <w:r w:rsidR="00641CA9" w:rsidRPr="002D21B6">
        <w:rPr>
          <w:rFonts w:ascii="Arial" w:hAnsi="Arial" w:cs="Arial"/>
          <w:sz w:val="24"/>
          <w:szCs w:val="24"/>
        </w:rPr>
        <w:t xml:space="preserve"> </w:t>
      </w:r>
      <w:r w:rsidRPr="002D21B6">
        <w:rPr>
          <w:rFonts w:ascii="Arial" w:hAnsi="Arial" w:cs="Arial"/>
          <w:sz w:val="24"/>
          <w:szCs w:val="24"/>
        </w:rPr>
        <w:fldChar w:fldCharType="begin" w:fldLock="1"/>
      </w:r>
      <w:r w:rsidRPr="002D21B6">
        <w:rPr>
          <w:rFonts w:ascii="Arial" w:hAnsi="Arial" w:cs="Arial"/>
          <w:sz w:val="24"/>
          <w:szCs w:val="24"/>
        </w:rPr>
        <w:instrText>ADDIN CSL_CITATION {"citationItems":[{"id":"ITEM-1","itemData":{"DOI":"10.1016/j.molmed.2015.10.005","ISSN":"1471-499X","PMID":"26602762","abstract":"Despite the existence of an effective measles vaccine, resurgence in measles cases in the USA and across Europe has occurred, including in individuals vaccinated with two doses of the vaccine. Host genetic factors result in inter-individual variation in measles vaccine-induced antibodies, and play a role in vaccine failure. Studies have identified HLA (human leukocyte antigen) and non-HLA genetic influences that individually or jointly contribute to the observed variability in the humoral response to vaccination among healthy individuals. In this exciting era, new high-dimensional approaches and techniques including vaccinomics, systems biology, GWAS, epitope prediction and sophisticated bioinformatics/statistical algorithms provide powerful tools to investigate immune response mechanisms to the measles vaccine. These might predict, on an individual basis, outcomes of acquired immunity post measles vaccination.","author":[{"dropping-particle":"","family":"Haralambieva","given":"Iana H","non-dropping-particle":"","parse-names":false,"suffix":""},{"dropping-particle":"","family":"Kennedy","given":"Richard B","non-dropping-particle":"","parse-names":false,"suffix":""},{"dropping-particle":"","family":"Ovsyannikova","given":"Inna G","non-dropping-particle":"","parse-names":false,"suffix":""},{"dropping-particle":"","family":"Whitaker","given":"Jennifer A","non-dropping-particle":"","parse-names":false,"suffix":""},{"dropping-particle":"","family":"Poland","given":"Gregory A","non-dropping-particle":"","parse-names":false,"suffix":""}],"container-title":"Trends in molecular medicine","id":"ITEM-1","issue":"12","issued":{"date-parts":[["2015","12"]]},"page":"789-801","publisher":"NIH Public Access","title":"Variability in Humoral Immunity to Measles Vaccine: New Developments.","type":"article-journal","volume":"21"},"uris":["http://www.mendeley.com/documents/?uuid=c035a64d-cccc-3723-b9a9-56deed9ae993"]}],"mendeley":{"formattedCitation":"[1]","plainTextFormattedCitation":"[1]","previouslyFormattedCitation":"[1]"},"properties":{"noteIndex":0},"schema":"https://github.com/citation-style-language/schema/raw/master/csl-citation.json"}</w:instrText>
      </w:r>
      <w:r w:rsidRPr="002D21B6">
        <w:rPr>
          <w:rFonts w:ascii="Arial" w:hAnsi="Arial" w:cs="Arial"/>
          <w:sz w:val="24"/>
          <w:szCs w:val="24"/>
        </w:rPr>
        <w:fldChar w:fldCharType="separate"/>
      </w:r>
      <w:r w:rsidRPr="002D21B6">
        <w:rPr>
          <w:rFonts w:ascii="Arial" w:hAnsi="Arial" w:cs="Arial"/>
          <w:noProof/>
          <w:sz w:val="24"/>
          <w:szCs w:val="24"/>
        </w:rPr>
        <w:t>[1]</w:t>
      </w:r>
      <w:r w:rsidRPr="002D21B6">
        <w:rPr>
          <w:rFonts w:ascii="Arial" w:hAnsi="Arial" w:cs="Arial"/>
          <w:sz w:val="24"/>
          <w:szCs w:val="24"/>
        </w:rPr>
        <w:fldChar w:fldCharType="end"/>
      </w:r>
      <w:r w:rsidR="00641CA9" w:rsidRPr="002D21B6">
        <w:rPr>
          <w:rFonts w:ascii="Arial" w:hAnsi="Arial" w:cs="Arial"/>
          <w:sz w:val="24"/>
          <w:szCs w:val="24"/>
        </w:rPr>
        <w:t>.</w:t>
      </w:r>
      <w:r w:rsidRPr="002D21B6">
        <w:t xml:space="preserve"> </w:t>
      </w:r>
      <w:r w:rsidR="0092514B" w:rsidRPr="002D21B6">
        <w:rPr>
          <w:rFonts w:ascii="Arial" w:hAnsi="Arial" w:cs="Arial"/>
          <w:sz w:val="24"/>
          <w:szCs w:val="24"/>
        </w:rPr>
        <w:t>In Europe</w:t>
      </w:r>
      <w:r w:rsidR="00891F86" w:rsidRPr="002D21B6">
        <w:rPr>
          <w:rFonts w:ascii="Arial" w:hAnsi="Arial" w:cs="Arial"/>
          <w:sz w:val="24"/>
          <w:szCs w:val="24"/>
        </w:rPr>
        <w:t xml:space="preserve"> a safe and effective two-dose vaccination schedule has been </w:t>
      </w:r>
      <w:r w:rsidR="004D0A7E" w:rsidRPr="002D21B6">
        <w:rPr>
          <w:rFonts w:ascii="Arial" w:hAnsi="Arial" w:cs="Arial"/>
          <w:sz w:val="24"/>
          <w:szCs w:val="24"/>
        </w:rPr>
        <w:t xml:space="preserve">made available since the 1960s. </w:t>
      </w:r>
      <w:r w:rsidR="00B70BAC" w:rsidRPr="002D21B6">
        <w:rPr>
          <w:rFonts w:ascii="Arial" w:hAnsi="Arial" w:cs="Arial"/>
          <w:sz w:val="24"/>
          <w:szCs w:val="24"/>
        </w:rPr>
        <w:t>T</w:t>
      </w:r>
      <w:r w:rsidR="00092D9D" w:rsidRPr="002D21B6">
        <w:rPr>
          <w:rFonts w:ascii="Arial" w:hAnsi="Arial" w:cs="Arial"/>
          <w:sz w:val="24"/>
          <w:szCs w:val="24"/>
        </w:rPr>
        <w:t xml:space="preserve">he introduction of the trivalent </w:t>
      </w:r>
      <w:r w:rsidR="00B70BAC" w:rsidRPr="002D21B6">
        <w:rPr>
          <w:rFonts w:ascii="Arial" w:hAnsi="Arial" w:cs="Arial"/>
          <w:sz w:val="24"/>
          <w:szCs w:val="24"/>
        </w:rPr>
        <w:t>measles, mumps, rubella (</w:t>
      </w:r>
      <w:r w:rsidR="00092D9D" w:rsidRPr="002D21B6">
        <w:rPr>
          <w:rFonts w:ascii="Arial" w:hAnsi="Arial" w:cs="Arial"/>
          <w:sz w:val="24"/>
          <w:szCs w:val="24"/>
        </w:rPr>
        <w:t>MMR</w:t>
      </w:r>
      <w:r w:rsidR="00B70BAC" w:rsidRPr="002D21B6">
        <w:rPr>
          <w:rFonts w:ascii="Arial" w:hAnsi="Arial" w:cs="Arial"/>
          <w:sz w:val="24"/>
          <w:szCs w:val="24"/>
        </w:rPr>
        <w:t>)</w:t>
      </w:r>
      <w:r w:rsidR="00092D9D" w:rsidRPr="002D21B6">
        <w:rPr>
          <w:rFonts w:ascii="Arial" w:hAnsi="Arial" w:cs="Arial"/>
          <w:sz w:val="24"/>
          <w:szCs w:val="24"/>
        </w:rPr>
        <w:t xml:space="preserve"> vaccine</w:t>
      </w:r>
      <w:r w:rsidR="006575EE" w:rsidRPr="002D21B6">
        <w:rPr>
          <w:rFonts w:ascii="Arial" w:hAnsi="Arial" w:cs="Arial"/>
          <w:sz w:val="24"/>
          <w:szCs w:val="24"/>
        </w:rPr>
        <w:t>s</w:t>
      </w:r>
      <w:r w:rsidR="00092D9D" w:rsidRPr="002D21B6">
        <w:rPr>
          <w:rFonts w:ascii="Arial" w:hAnsi="Arial" w:cs="Arial"/>
          <w:sz w:val="24"/>
          <w:szCs w:val="24"/>
        </w:rPr>
        <w:t xml:space="preserve"> </w:t>
      </w:r>
      <w:r w:rsidR="00B70BAC" w:rsidRPr="002D21B6">
        <w:rPr>
          <w:rFonts w:ascii="Arial" w:hAnsi="Arial" w:cs="Arial"/>
          <w:sz w:val="24"/>
          <w:szCs w:val="24"/>
        </w:rPr>
        <w:t xml:space="preserve">started </w:t>
      </w:r>
      <w:r w:rsidR="00092D9D" w:rsidRPr="002D21B6">
        <w:rPr>
          <w:rFonts w:ascii="Arial" w:hAnsi="Arial" w:cs="Arial"/>
          <w:sz w:val="24"/>
          <w:szCs w:val="24"/>
        </w:rPr>
        <w:t>in the 1970s</w:t>
      </w:r>
      <w:r w:rsidR="00641CA9" w:rsidRPr="002D21B6">
        <w:rPr>
          <w:rFonts w:ascii="Arial" w:hAnsi="Arial" w:cs="Arial"/>
          <w:sz w:val="24"/>
          <w:szCs w:val="24"/>
        </w:rPr>
        <w:t xml:space="preserve"> </w:t>
      </w:r>
      <w:r w:rsidR="006575EE" w:rsidRPr="002D21B6">
        <w:rPr>
          <w:rFonts w:ascii="Arial" w:hAnsi="Arial" w:cs="Arial"/>
          <w:sz w:val="24"/>
          <w:szCs w:val="24"/>
        </w:rPr>
        <w:fldChar w:fldCharType="begin" w:fldLock="1"/>
      </w:r>
      <w:r w:rsidR="00D06B10" w:rsidRPr="002D21B6">
        <w:rPr>
          <w:rFonts w:ascii="Arial" w:hAnsi="Arial" w:cs="Arial"/>
          <w:sz w:val="24"/>
          <w:szCs w:val="24"/>
        </w:rPr>
        <w:instrText>ADDIN CSL_CITATION {"citationItems":[{"id":"ITEM-1","itemData":{"DOI":"10.1080/21645515.2016.1151990","abstract":"on behalf of the ESCULAPIO working group Ã ABSTRACT Low measles, mumps and rubella (MMR) immunization levels in European children highlight the importance of identifying determinants of parental vaccine uptake to implement policies for increasing vaccine compliance. The aim of this paper is to identify the main factors associated with partial and full MMR vaccination uptake in European parents, and combine the different studies to obtain overall quantitative measures. This activity is included within the ESCULAPIO project, funded by the Italian Ministry of Health. ORs and CIs were extracted, sources of heterogeneity explored and publication bias assessed. Forty-five papers were retrieved for the qualitative study, 26 of which were included in the meta-analysis. The following factors were associated with lower MMR vaccine uptake: misleading knowledge, beliefs and perceptions on vaccines (OR 0.57, CI 0.37-0.87); negative attitudes and behaviors toward vaccination (OR 0.71, CI 0.52-0.98); demographic characteristics, such as different ethnicity in Southern populations (OR 0.44, CI 0.31-0.61), higher child's age (OR 0.80, CI 0.76-0.85); low socioeconomic status (OR 0.64, CI 0.51-0.80), especially low income (OR 0.39, CI 0.25-0.60) and education (OR 0.64, CI 0.48-0.84), high number of children (OR 0.54, CI 0.42-0.69), irregular marital status (OR 0.80, CI 0.66-0.96). The factors explaining heterogeneity were country location, administration modality, collection setting and responses reported on MMR alone or in combination. Findings from this study suggest policy makers to focus communication strategies on providing better knowledge, correct beliefs and perceptions on vaccines, and improving attitudes and behaviors in parents; and to target policies to people of ethnic minority from Southern Europe, low educated and deprived, with higher number of children and non-married marital status.","author":[{"dropping-particle":"","family":"Tabacchi","given":"Garden","non-dropping-particle":"","parse-names":false,"suffix":""},{"dropping-particle":"","family":"Costantino","given":"Claudio","non-dropping-particle":"","parse-names":false,"suffix":""},{"dropping-particle":"","family":"Napoli","given":"Giuseppe","non-dropping-particle":"","parse-names":false,"suffix":""},{"dropping-particle":"","family":"Marchese","given":"Valentina","non-dropping-particle":"","parse-names":false,"suffix":""},{"dropping-particle":"","family":"Cracchiolo","given":"Manuela","non-dropping-particle":"","parse-names":false,"suffix":""},{"dropping-particle":"","family":"Casuccio","given":"Alessandra","non-dropping-particle":"","parse-names":false,"suffix":""},{"dropping-particle":"","family":"Vitale","given":"Francesco","non-dropping-particle":"","parse-names":false,"suffix":""}],"container-title":"Human Vaccines &amp; Immunotherapeutics","id":"ITEM-1","issued":{"date-parts":[["2016"]]},"title":"Determinants of European parents' decision on the vaccination of their children against measles, mumps and rubella: A systematic review and meta-analysis","type":"article-journal","volume":"12"},"uris":["http://www.mendeley.com/documents/?uuid=64117fdb-ffa6-3abd-9340-760277a495b4"]}],"mendeley":{"formattedCitation":"[2]","plainTextFormattedCitation":"[2]","previouslyFormattedCitation":"[2]"},"properties":{"noteIndex":0},"schema":"https://github.com/citation-style-language/schema/raw/master/csl-citation.json"}</w:instrText>
      </w:r>
      <w:r w:rsidR="006575EE" w:rsidRPr="002D21B6">
        <w:rPr>
          <w:rFonts w:ascii="Arial" w:hAnsi="Arial" w:cs="Arial"/>
          <w:sz w:val="24"/>
          <w:szCs w:val="24"/>
        </w:rPr>
        <w:fldChar w:fldCharType="separate"/>
      </w:r>
      <w:r w:rsidR="006575EE" w:rsidRPr="002D21B6">
        <w:rPr>
          <w:rFonts w:ascii="Arial" w:hAnsi="Arial" w:cs="Arial"/>
          <w:noProof/>
          <w:sz w:val="24"/>
          <w:szCs w:val="24"/>
        </w:rPr>
        <w:t>[2]</w:t>
      </w:r>
      <w:r w:rsidR="006575EE" w:rsidRPr="002D21B6">
        <w:rPr>
          <w:rFonts w:ascii="Arial" w:hAnsi="Arial" w:cs="Arial"/>
          <w:sz w:val="24"/>
          <w:szCs w:val="24"/>
        </w:rPr>
        <w:fldChar w:fldCharType="end"/>
      </w:r>
      <w:r w:rsidR="006575EE" w:rsidRPr="002D21B6">
        <w:rPr>
          <w:rFonts w:ascii="Arial" w:hAnsi="Arial" w:cs="Arial"/>
          <w:sz w:val="24"/>
          <w:szCs w:val="24"/>
        </w:rPr>
        <w:t xml:space="preserve"> (in Hungary</w:t>
      </w:r>
      <w:r w:rsidR="00F46C7D" w:rsidRPr="00F46C7D">
        <w:rPr>
          <w:rFonts w:ascii="Arial" w:hAnsi="Arial" w:cs="Arial"/>
          <w:sz w:val="24"/>
          <w:szCs w:val="24"/>
        </w:rPr>
        <w:t xml:space="preserve"> </w:t>
      </w:r>
      <w:r w:rsidR="00F46C7D" w:rsidRPr="002D21B6">
        <w:rPr>
          <w:rFonts w:ascii="Arial" w:hAnsi="Arial" w:cs="Arial"/>
          <w:sz w:val="24"/>
          <w:szCs w:val="24"/>
        </w:rPr>
        <w:t>in 199</w:t>
      </w:r>
      <w:r w:rsidR="00CB3A8B">
        <w:rPr>
          <w:rFonts w:ascii="Arial" w:hAnsi="Arial" w:cs="Arial"/>
          <w:sz w:val="24"/>
          <w:szCs w:val="24"/>
        </w:rPr>
        <w:t>1</w:t>
      </w:r>
      <w:r w:rsidR="006575EE" w:rsidRPr="002D21B6">
        <w:rPr>
          <w:rFonts w:ascii="Arial" w:hAnsi="Arial" w:cs="Arial"/>
          <w:sz w:val="24"/>
          <w:szCs w:val="24"/>
        </w:rPr>
        <w:t>), and</w:t>
      </w:r>
      <w:r w:rsidR="00641CA9" w:rsidRPr="002D21B6">
        <w:rPr>
          <w:rFonts w:ascii="Arial" w:hAnsi="Arial" w:cs="Arial"/>
          <w:sz w:val="24"/>
          <w:szCs w:val="24"/>
        </w:rPr>
        <w:t xml:space="preserve"> it</w:t>
      </w:r>
      <w:r w:rsidR="006575EE" w:rsidRPr="002D21B6">
        <w:rPr>
          <w:rFonts w:ascii="Arial" w:hAnsi="Arial" w:cs="Arial"/>
          <w:sz w:val="24"/>
          <w:szCs w:val="24"/>
        </w:rPr>
        <w:t xml:space="preserve"> is </w:t>
      </w:r>
      <w:r w:rsidR="000E15E9" w:rsidRPr="002D21B6">
        <w:rPr>
          <w:rFonts w:ascii="Arial" w:hAnsi="Arial" w:cs="Arial"/>
          <w:sz w:val="24"/>
          <w:szCs w:val="24"/>
        </w:rPr>
        <w:t xml:space="preserve">still </w:t>
      </w:r>
      <w:r w:rsidR="006575EE" w:rsidRPr="002D21B6">
        <w:rPr>
          <w:rFonts w:ascii="Arial" w:hAnsi="Arial" w:cs="Arial"/>
          <w:sz w:val="24"/>
          <w:szCs w:val="24"/>
        </w:rPr>
        <w:t xml:space="preserve">in practice, in the form of modern and safe tri-and tetravalent </w:t>
      </w:r>
      <w:r w:rsidR="004976C7" w:rsidRPr="002D21B6">
        <w:rPr>
          <w:rFonts w:ascii="Arial" w:hAnsi="Arial" w:cs="Arial"/>
          <w:sz w:val="24"/>
          <w:szCs w:val="24"/>
        </w:rPr>
        <w:t xml:space="preserve">(measles, mumps, rubella, and varicella; MMRV) </w:t>
      </w:r>
      <w:r w:rsidR="006575EE" w:rsidRPr="002D21B6">
        <w:rPr>
          <w:rFonts w:ascii="Arial" w:hAnsi="Arial" w:cs="Arial"/>
          <w:sz w:val="24"/>
          <w:szCs w:val="24"/>
        </w:rPr>
        <w:t xml:space="preserve">vaccines. </w:t>
      </w:r>
      <w:r w:rsidR="007F579B" w:rsidRPr="002D21B6">
        <w:rPr>
          <w:rFonts w:ascii="Arial" w:hAnsi="Arial" w:cs="Arial"/>
          <w:sz w:val="24"/>
          <w:szCs w:val="24"/>
        </w:rPr>
        <w:t>However</w:t>
      </w:r>
      <w:r w:rsidR="00C35B03" w:rsidRPr="002D21B6">
        <w:rPr>
          <w:rFonts w:ascii="Arial" w:hAnsi="Arial" w:cs="Arial"/>
          <w:sz w:val="24"/>
          <w:szCs w:val="24"/>
        </w:rPr>
        <w:t xml:space="preserve">, the risk of continued widespread circulation of measles in EU/EEA </w:t>
      </w:r>
      <w:r w:rsidR="00106D68" w:rsidRPr="002D21B6">
        <w:rPr>
          <w:rFonts w:ascii="Arial" w:hAnsi="Arial" w:cs="Arial"/>
          <w:sz w:val="24"/>
          <w:szCs w:val="24"/>
        </w:rPr>
        <w:t>still exists</w:t>
      </w:r>
      <w:r w:rsidR="00C35B03" w:rsidRPr="002D21B6">
        <w:rPr>
          <w:rFonts w:ascii="Arial" w:hAnsi="Arial" w:cs="Arial"/>
          <w:sz w:val="24"/>
          <w:szCs w:val="24"/>
        </w:rPr>
        <w:t xml:space="preserve">, </w:t>
      </w:r>
      <w:r w:rsidR="00106D68" w:rsidRPr="002D21B6">
        <w:rPr>
          <w:rFonts w:ascii="Arial" w:hAnsi="Arial" w:cs="Arial"/>
          <w:sz w:val="24"/>
          <w:szCs w:val="24"/>
        </w:rPr>
        <w:t>since</w:t>
      </w:r>
      <w:r w:rsidR="00C35B03" w:rsidRPr="002D21B6">
        <w:rPr>
          <w:rFonts w:ascii="Arial" w:hAnsi="Arial" w:cs="Arial"/>
          <w:sz w:val="24"/>
          <w:szCs w:val="24"/>
        </w:rPr>
        <w:t xml:space="preserve"> significant immunity gaps </w:t>
      </w:r>
      <w:r w:rsidR="004C4F45" w:rsidRPr="002D21B6">
        <w:rPr>
          <w:rFonts w:ascii="Arial" w:hAnsi="Arial" w:cs="Arial"/>
          <w:sz w:val="24"/>
          <w:szCs w:val="24"/>
        </w:rPr>
        <w:t>persist</w:t>
      </w:r>
      <w:r w:rsidR="004C4F45">
        <w:rPr>
          <w:rFonts w:ascii="Arial" w:hAnsi="Arial" w:cs="Arial"/>
          <w:sz w:val="24"/>
          <w:szCs w:val="24"/>
        </w:rPr>
        <w:t>,</w:t>
      </w:r>
      <w:r w:rsidR="00C35B03" w:rsidRPr="002D21B6">
        <w:t xml:space="preserve"> </w:t>
      </w:r>
      <w:r w:rsidR="00C35B03" w:rsidRPr="002D21B6">
        <w:rPr>
          <w:rFonts w:ascii="Arial" w:hAnsi="Arial" w:cs="Arial"/>
          <w:sz w:val="24"/>
          <w:szCs w:val="24"/>
        </w:rPr>
        <w:t xml:space="preserve">due to suboptimal historical and current vaccination coverage </w:t>
      </w:r>
      <w:r w:rsidR="00C35B03" w:rsidRPr="002D21B6">
        <w:rPr>
          <w:rFonts w:ascii="Arial" w:hAnsi="Arial" w:cs="Arial"/>
          <w:sz w:val="24"/>
          <w:szCs w:val="24"/>
        </w:rPr>
        <w:fldChar w:fldCharType="begin" w:fldLock="1"/>
      </w:r>
      <w:r w:rsidR="00D06B10" w:rsidRPr="002D21B6">
        <w:rPr>
          <w:rFonts w:ascii="Arial" w:hAnsi="Arial" w:cs="Arial"/>
          <w:sz w:val="24"/>
          <w:szCs w:val="24"/>
        </w:rPr>
        <w:instrText>ADDIN CSL_CITATION {"citationItems":[{"id":"ITEM-1","itemData":{"URL":"https://ecdc.europa.eu/en/news-events/ecdc-insufficient-vaccination-coverage-eueea-fuels-continued-measles-circulation","accessed":{"date-parts":[["2019","7","24"]]},"id":"ITEM-1","issued":{"date-parts":[["0"]]},"title":"ECDC: Insufficient vaccination coverage in EU/EEA fuels continued measles circulation","type":"webpage"},"uris":["http://www.mendeley.com/documents/?uuid=6308af9f-fa7e-3a1e-acc9-e28e6209b380"]}],"mendeley":{"formattedCitation":"[3]","plainTextFormattedCitation":"[3]","previouslyFormattedCitation":"[3]"},"properties":{"noteIndex":0},"schema":"https://github.com/citation-style-language/schema/raw/master/csl-citation.json"}</w:instrText>
      </w:r>
      <w:r w:rsidR="00C35B03" w:rsidRPr="002D21B6">
        <w:rPr>
          <w:rFonts w:ascii="Arial" w:hAnsi="Arial" w:cs="Arial"/>
          <w:sz w:val="24"/>
          <w:szCs w:val="24"/>
        </w:rPr>
        <w:fldChar w:fldCharType="separate"/>
      </w:r>
      <w:r w:rsidR="006575EE" w:rsidRPr="002D21B6">
        <w:rPr>
          <w:rFonts w:ascii="Arial" w:hAnsi="Arial" w:cs="Arial"/>
          <w:noProof/>
          <w:sz w:val="24"/>
          <w:szCs w:val="24"/>
        </w:rPr>
        <w:t>[3]</w:t>
      </w:r>
      <w:r w:rsidR="00C35B03" w:rsidRPr="002D21B6">
        <w:rPr>
          <w:rFonts w:ascii="Arial" w:hAnsi="Arial" w:cs="Arial"/>
          <w:sz w:val="24"/>
          <w:szCs w:val="24"/>
        </w:rPr>
        <w:fldChar w:fldCharType="end"/>
      </w:r>
      <w:r w:rsidR="00BB60F9" w:rsidRPr="002D21B6">
        <w:rPr>
          <w:rFonts w:ascii="Arial" w:hAnsi="Arial" w:cs="Arial"/>
          <w:sz w:val="24"/>
          <w:szCs w:val="24"/>
        </w:rPr>
        <w:t>.</w:t>
      </w:r>
      <w:r w:rsidR="00090A26" w:rsidRPr="002D21B6">
        <w:rPr>
          <w:rFonts w:ascii="Arial" w:hAnsi="Arial" w:cs="Arial"/>
          <w:sz w:val="24"/>
          <w:szCs w:val="24"/>
        </w:rPr>
        <w:t xml:space="preserve"> </w:t>
      </w:r>
      <w:r w:rsidR="006D6C17" w:rsidRPr="002D21B6">
        <w:rPr>
          <w:rFonts w:ascii="Arial" w:hAnsi="Arial" w:cs="Arial"/>
          <w:sz w:val="24"/>
          <w:szCs w:val="24"/>
        </w:rPr>
        <w:t xml:space="preserve">Despite regional </w:t>
      </w:r>
      <w:r w:rsidR="00632D1D" w:rsidRPr="002D21B6">
        <w:rPr>
          <w:rFonts w:ascii="Arial" w:hAnsi="Arial" w:cs="Arial"/>
          <w:sz w:val="24"/>
          <w:szCs w:val="24"/>
        </w:rPr>
        <w:t>outbreaks</w:t>
      </w:r>
      <w:r w:rsidR="006D6C17" w:rsidRPr="002D21B6">
        <w:rPr>
          <w:rFonts w:ascii="Arial" w:hAnsi="Arial" w:cs="Arial"/>
          <w:sz w:val="24"/>
          <w:szCs w:val="24"/>
        </w:rPr>
        <w:t xml:space="preserve"> of measles</w:t>
      </w:r>
      <w:r w:rsidR="006924D9" w:rsidRPr="002D21B6">
        <w:rPr>
          <w:rFonts w:ascii="Arial" w:hAnsi="Arial" w:cs="Arial"/>
          <w:sz w:val="24"/>
          <w:szCs w:val="24"/>
        </w:rPr>
        <w:t xml:space="preserve"> infections</w:t>
      </w:r>
      <w:r w:rsidR="006D6C17" w:rsidRPr="002D21B6">
        <w:rPr>
          <w:rFonts w:ascii="Arial" w:hAnsi="Arial" w:cs="Arial"/>
          <w:sz w:val="24"/>
          <w:szCs w:val="24"/>
        </w:rPr>
        <w:t xml:space="preserve">, </w:t>
      </w:r>
      <w:r w:rsidR="008C7E3D" w:rsidRPr="002D21B6">
        <w:rPr>
          <w:rFonts w:ascii="Arial" w:hAnsi="Arial" w:cs="Arial"/>
          <w:sz w:val="24"/>
          <w:szCs w:val="24"/>
        </w:rPr>
        <w:t>in</w:t>
      </w:r>
      <w:r w:rsidR="00BF0FAE" w:rsidRPr="002D21B6">
        <w:rPr>
          <w:rFonts w:ascii="Arial" w:hAnsi="Arial" w:cs="Arial"/>
          <w:sz w:val="24"/>
          <w:szCs w:val="24"/>
        </w:rPr>
        <w:t xml:space="preserve"> 2016</w:t>
      </w:r>
      <w:r w:rsidR="004D0A7E" w:rsidRPr="002D21B6">
        <w:rPr>
          <w:rFonts w:ascii="Arial" w:hAnsi="Arial" w:cs="Arial"/>
          <w:sz w:val="24"/>
          <w:szCs w:val="24"/>
        </w:rPr>
        <w:t xml:space="preserve"> </w:t>
      </w:r>
      <w:r w:rsidR="004A429E" w:rsidRPr="002D21B6">
        <w:rPr>
          <w:rFonts w:ascii="Arial" w:hAnsi="Arial" w:cs="Arial"/>
          <w:sz w:val="24"/>
          <w:szCs w:val="24"/>
        </w:rPr>
        <w:t xml:space="preserve">globally </w:t>
      </w:r>
      <w:r w:rsidR="004D0A7E" w:rsidRPr="002D21B6">
        <w:rPr>
          <w:rFonts w:ascii="Arial" w:hAnsi="Arial" w:cs="Arial"/>
          <w:sz w:val="24"/>
          <w:szCs w:val="24"/>
        </w:rPr>
        <w:t xml:space="preserve">fewer than 100 </w:t>
      </w:r>
      <w:r w:rsidR="00BF0FAE" w:rsidRPr="002D21B6">
        <w:rPr>
          <w:rFonts w:ascii="Arial" w:hAnsi="Arial" w:cs="Arial"/>
          <w:sz w:val="24"/>
          <w:szCs w:val="24"/>
        </w:rPr>
        <w:t>000</w:t>
      </w:r>
      <w:r w:rsidR="004D0A7E" w:rsidRPr="002D21B6">
        <w:rPr>
          <w:rFonts w:ascii="Arial" w:hAnsi="Arial" w:cs="Arial"/>
          <w:sz w:val="24"/>
          <w:szCs w:val="24"/>
        </w:rPr>
        <w:t xml:space="preserve"> individuals</w:t>
      </w:r>
      <w:r w:rsidR="00BF0FAE" w:rsidRPr="002D21B6">
        <w:rPr>
          <w:rFonts w:ascii="Arial" w:hAnsi="Arial" w:cs="Arial"/>
          <w:sz w:val="24"/>
          <w:szCs w:val="24"/>
        </w:rPr>
        <w:t xml:space="preserve"> died from measles</w:t>
      </w:r>
      <w:r w:rsidR="0062031E" w:rsidRPr="002D21B6">
        <w:rPr>
          <w:rFonts w:ascii="Arial" w:hAnsi="Arial" w:cs="Arial"/>
          <w:sz w:val="24"/>
          <w:szCs w:val="24"/>
        </w:rPr>
        <w:t xml:space="preserve">, as a result of recent improvements of </w:t>
      </w:r>
      <w:r w:rsidR="00D05E00" w:rsidRPr="002D21B6">
        <w:rPr>
          <w:rFonts w:ascii="Arial" w:hAnsi="Arial" w:cs="Arial"/>
          <w:sz w:val="24"/>
          <w:szCs w:val="24"/>
        </w:rPr>
        <w:t>national</w:t>
      </w:r>
      <w:r w:rsidR="0062031E" w:rsidRPr="002D21B6">
        <w:rPr>
          <w:rFonts w:ascii="Arial" w:hAnsi="Arial" w:cs="Arial"/>
          <w:sz w:val="24"/>
          <w:szCs w:val="24"/>
        </w:rPr>
        <w:t xml:space="preserve"> immunization program</w:t>
      </w:r>
      <w:r w:rsidR="00E4409D" w:rsidRPr="002D21B6">
        <w:rPr>
          <w:rFonts w:ascii="Arial" w:hAnsi="Arial" w:cs="Arial"/>
          <w:sz w:val="24"/>
          <w:szCs w:val="24"/>
        </w:rPr>
        <w:t>mes</w:t>
      </w:r>
      <w:r w:rsidR="00BF0FAE" w:rsidRPr="002D21B6">
        <w:rPr>
          <w:rFonts w:ascii="Arial" w:hAnsi="Arial" w:cs="Arial"/>
          <w:sz w:val="24"/>
          <w:szCs w:val="24"/>
        </w:rPr>
        <w:t xml:space="preserve">. </w:t>
      </w:r>
      <w:r w:rsidR="00C034EB" w:rsidRPr="002D21B6">
        <w:rPr>
          <w:rFonts w:ascii="Arial" w:hAnsi="Arial" w:cs="Arial"/>
          <w:sz w:val="24"/>
          <w:szCs w:val="24"/>
        </w:rPr>
        <w:t>In the</w:t>
      </w:r>
      <w:r w:rsidR="00C034EB" w:rsidRPr="002D21B6">
        <w:t xml:space="preserve"> </w:t>
      </w:r>
      <w:r w:rsidR="002B6A43" w:rsidRPr="002D21B6">
        <w:rPr>
          <w:rFonts w:ascii="Arial" w:hAnsi="Arial" w:cs="Arial"/>
          <w:sz w:val="24"/>
          <w:szCs w:val="24"/>
        </w:rPr>
        <w:t xml:space="preserve">WHO </w:t>
      </w:r>
      <w:r w:rsidR="00C034EB" w:rsidRPr="002D21B6">
        <w:rPr>
          <w:rFonts w:ascii="Arial" w:hAnsi="Arial" w:cs="Arial"/>
          <w:sz w:val="24"/>
          <w:szCs w:val="24"/>
        </w:rPr>
        <w:t>European Region (</w:t>
      </w:r>
      <w:r w:rsidR="00AC2A84" w:rsidRPr="002D21B6">
        <w:rPr>
          <w:rFonts w:ascii="Arial" w:hAnsi="Arial" w:cs="Arial"/>
          <w:sz w:val="24"/>
          <w:szCs w:val="24"/>
        </w:rPr>
        <w:t xml:space="preserve">WHO </w:t>
      </w:r>
      <w:r w:rsidR="00C034EB" w:rsidRPr="002D21B6">
        <w:rPr>
          <w:rFonts w:ascii="Arial" w:hAnsi="Arial" w:cs="Arial"/>
          <w:sz w:val="24"/>
          <w:szCs w:val="24"/>
        </w:rPr>
        <w:t xml:space="preserve">EUR) </w:t>
      </w:r>
      <w:r w:rsidR="004744B8" w:rsidRPr="002D21B6">
        <w:rPr>
          <w:rFonts w:ascii="Arial" w:hAnsi="Arial" w:cs="Arial"/>
          <w:sz w:val="24"/>
          <w:szCs w:val="24"/>
        </w:rPr>
        <w:t xml:space="preserve">between </w:t>
      </w:r>
      <w:r w:rsidR="00AC2A84" w:rsidRPr="002D21B6">
        <w:rPr>
          <w:rFonts w:ascii="Arial" w:hAnsi="Arial" w:cs="Arial"/>
          <w:sz w:val="24"/>
          <w:szCs w:val="24"/>
        </w:rPr>
        <w:t>2009</w:t>
      </w:r>
      <w:r w:rsidR="004744B8" w:rsidRPr="002D21B6">
        <w:rPr>
          <w:rFonts w:ascii="Arial" w:hAnsi="Arial" w:cs="Arial"/>
          <w:sz w:val="24"/>
          <w:szCs w:val="24"/>
        </w:rPr>
        <w:t xml:space="preserve"> and </w:t>
      </w:r>
      <w:r w:rsidR="00AC2A84" w:rsidRPr="002D21B6">
        <w:rPr>
          <w:rFonts w:ascii="Arial" w:hAnsi="Arial" w:cs="Arial"/>
          <w:sz w:val="24"/>
          <w:szCs w:val="24"/>
        </w:rPr>
        <w:t>2017 the estimated regional</w:t>
      </w:r>
      <w:r w:rsidR="00CF3CD3" w:rsidRPr="002D21B6">
        <w:rPr>
          <w:rFonts w:ascii="Arial" w:hAnsi="Arial" w:cs="Arial"/>
          <w:sz w:val="24"/>
          <w:szCs w:val="24"/>
        </w:rPr>
        <w:t xml:space="preserve"> </w:t>
      </w:r>
      <w:r w:rsidR="00AC2A84" w:rsidRPr="002D21B6">
        <w:rPr>
          <w:rFonts w:ascii="Arial" w:hAnsi="Arial" w:cs="Arial"/>
          <w:sz w:val="24"/>
          <w:szCs w:val="24"/>
        </w:rPr>
        <w:t xml:space="preserve">coverage was 93%–95% for the first dose of measles-containing vaccines (MCV1), and increased from 73% to </w:t>
      </w:r>
      <w:r w:rsidR="0092514B" w:rsidRPr="002D21B6">
        <w:rPr>
          <w:rFonts w:ascii="Arial" w:hAnsi="Arial" w:cs="Arial"/>
          <w:sz w:val="24"/>
          <w:szCs w:val="24"/>
        </w:rPr>
        <w:t>90% for the second dose (MCV2)</w:t>
      </w:r>
      <w:r w:rsidR="00CF3CD3" w:rsidRPr="002D21B6">
        <w:rPr>
          <w:rFonts w:ascii="Arial" w:hAnsi="Arial" w:cs="Arial"/>
          <w:sz w:val="24"/>
          <w:szCs w:val="24"/>
        </w:rPr>
        <w:t xml:space="preserve"> </w:t>
      </w:r>
      <w:r w:rsidR="00C034EB" w:rsidRPr="002D21B6">
        <w:rPr>
          <w:rFonts w:ascii="Arial" w:hAnsi="Arial" w:cs="Arial"/>
          <w:sz w:val="24"/>
          <w:szCs w:val="24"/>
        </w:rPr>
        <w:fldChar w:fldCharType="begin" w:fldLock="1"/>
      </w:r>
      <w:r w:rsidR="00D06B10" w:rsidRPr="002D21B6">
        <w:rPr>
          <w:rFonts w:ascii="Arial" w:hAnsi="Arial" w:cs="Arial"/>
          <w:sz w:val="24"/>
          <w:szCs w:val="24"/>
        </w:rPr>
        <w:instrText>ADDIN CSL_CITATION {"citationItems":[{"id":"ITEM-1","itemData":{"DOI":"10.15585/mmwr.mm6817a4","ISSN":"1545-861X","PMID":"31048675","abstract":"In 2010, all 53 countries* in the World Health Organization (WHO) European Region (EUR) reconfirmed their commitment to eliminating measles and rubella and congenital rubella syndrome (1); this goal was included as a priority in the European Vaccine Action Plan 2015-2020 (2). The WHO-recommended elimination strategies in EUR include 1) achieving and maintaining ≥95% coverage with 2 doses of measles-containing vaccine (MCV) through routine immunization services; 2) providing measles and rubella vaccination opportunities, including supplementary immunization activities (SIAs), to populations susceptible to measles or rubella; 3) strengthening surveillance by conducting case investigations and confirming suspected cases and outbreaks with laboratory results; and 4) improving the availability and use of evidence for the benefits and risks associated with vaccination (3). This report updates a previous report (4) and describes progress toward measles elimination in EUR during 2009-2018. During 2009-2017, estimated regional coverage with the first MCV dose (MCV1) was 93%-95%, and coverage with the second dose (MCV2) increased from 73% to 90%. In 2017, 30 (57%) countries achieved ≥95% MCV1 coverage, and 15 (28%) achieved ≥95% coverage with both doses. During 2009-2018, &gt;16 million persons were vaccinated during SIAs in 13 (24%) countries. Measles incidence declined to 5.8 per 1 million population in 2016, but increased to 89.5 in 2018, because of large outbreaks in several EUR countries. To achieve measles elimination in EUR, measures are needed to strengthen immunization programs by ensuring ≥95% 2-dose MCV coverage in every district of each country, offering supplemental measles vaccination to susceptible adults, maintaining high-quality surveillance for rapid case detection and confirmation, and ensuring effective outbreak preparedness and response.","author":[{"dropping-particle":"","family":"Zimmerman","given":"Laura A","non-dropping-particle":"","parse-names":false,"suffix":""},{"dropping-particle":"","family":"Muscat","given":"Mark","non-dropping-particle":"","parse-names":false,"suffix":""},{"dropping-particle":"","family":"Singh","given":"Simarjit","non-dropping-particle":"","parse-names":false,"suffix":""},{"dropping-particle":"","family":"Mamou","given":"Myriam","non-dropping-particle":"Ben","parse-names":false,"suffix":""},{"dropping-particle":"","family":"Jankovic","given":"Dragan","non-dropping-particle":"","parse-names":false,"suffix":""},{"dropping-particle":"","family":"Datta","given":"Siddhartha","non-dropping-particle":"","parse-names":false,"suffix":""},{"dropping-particle":"","family":"Alexander","given":"James P","non-dropping-particle":"","parse-names":false,"suffix":""},{"dropping-particle":"","family":"Goodson","given":"James L","non-dropping-particle":"","parse-names":false,"suffix":""},{"dropping-particle":"","family":"O'Connor","given":"Patrick","non-dropping-particle":"","parse-names":false,"suffix":""}],"container-title":"MMWR. Morbidity and mortality weekly report","id":"ITEM-1","issue":"17","issued":{"date-parts":[["2019","5","3"]]},"page":"396-401","publisher":"Centers for Disease Control and Prevention","title":"Progress Toward Measles Elimination - European Region, 2009-2018.","type":"article-journal","volume":"68"},"uris":["http://www.mendeley.com/documents/?uuid=6a627ea0-5eb4-3982-9532-af0122cf2607"]}],"mendeley":{"formattedCitation":"[4]","plainTextFormattedCitation":"[4]","previouslyFormattedCitation":"[4]"},"properties":{"noteIndex":0},"schema":"https://github.com/citation-style-language/schema/raw/master/csl-citation.json"}</w:instrText>
      </w:r>
      <w:r w:rsidR="00C034EB" w:rsidRPr="002D21B6">
        <w:rPr>
          <w:rFonts w:ascii="Arial" w:hAnsi="Arial" w:cs="Arial"/>
          <w:sz w:val="24"/>
          <w:szCs w:val="24"/>
        </w:rPr>
        <w:fldChar w:fldCharType="separate"/>
      </w:r>
      <w:r w:rsidR="006575EE" w:rsidRPr="002D21B6">
        <w:rPr>
          <w:rFonts w:ascii="Arial" w:hAnsi="Arial" w:cs="Arial"/>
          <w:noProof/>
          <w:sz w:val="24"/>
          <w:szCs w:val="24"/>
        </w:rPr>
        <w:t>[4]</w:t>
      </w:r>
      <w:r w:rsidR="00C034EB" w:rsidRPr="002D21B6">
        <w:rPr>
          <w:rFonts w:ascii="Arial" w:hAnsi="Arial" w:cs="Arial"/>
          <w:sz w:val="24"/>
          <w:szCs w:val="24"/>
        </w:rPr>
        <w:fldChar w:fldCharType="end"/>
      </w:r>
      <w:r w:rsidR="00CF3CD3" w:rsidRPr="002D21B6">
        <w:rPr>
          <w:rFonts w:ascii="Arial" w:hAnsi="Arial" w:cs="Arial"/>
          <w:sz w:val="24"/>
          <w:szCs w:val="24"/>
        </w:rPr>
        <w:t>.</w:t>
      </w:r>
      <w:r w:rsidR="00C034EB" w:rsidRPr="002D21B6">
        <w:rPr>
          <w:rFonts w:ascii="Arial" w:hAnsi="Arial" w:cs="Arial"/>
          <w:sz w:val="24"/>
          <w:szCs w:val="24"/>
        </w:rPr>
        <w:t xml:space="preserve"> </w:t>
      </w:r>
      <w:r w:rsidR="00F96FF3" w:rsidRPr="002D21B6">
        <w:rPr>
          <w:rFonts w:ascii="Arial" w:hAnsi="Arial" w:cs="Arial"/>
          <w:sz w:val="24"/>
          <w:szCs w:val="24"/>
        </w:rPr>
        <w:t xml:space="preserve">In spite of </w:t>
      </w:r>
      <w:r w:rsidR="00011FCD" w:rsidRPr="002D21B6">
        <w:rPr>
          <w:rFonts w:ascii="Arial" w:hAnsi="Arial" w:cs="Arial"/>
          <w:sz w:val="24"/>
          <w:szCs w:val="24"/>
        </w:rPr>
        <w:t>the improving vaccine coverage tendencies, measles incidence increased again to 89.5 per 1 mi</w:t>
      </w:r>
      <w:r w:rsidR="002D284E" w:rsidRPr="002D21B6">
        <w:rPr>
          <w:rFonts w:ascii="Arial" w:hAnsi="Arial" w:cs="Arial"/>
          <w:sz w:val="24"/>
          <w:szCs w:val="24"/>
        </w:rPr>
        <w:t>llion population in 2018 in the EU region</w:t>
      </w:r>
      <w:r w:rsidR="00B92206" w:rsidRPr="002D21B6">
        <w:rPr>
          <w:rFonts w:ascii="Arial" w:hAnsi="Arial" w:cs="Arial"/>
          <w:sz w:val="24"/>
          <w:szCs w:val="24"/>
        </w:rPr>
        <w:t xml:space="preserve"> </w:t>
      </w:r>
      <w:r w:rsidR="00011FCD" w:rsidRPr="002D21B6">
        <w:rPr>
          <w:rFonts w:ascii="Arial" w:hAnsi="Arial" w:cs="Arial"/>
          <w:sz w:val="24"/>
          <w:szCs w:val="24"/>
        </w:rPr>
        <w:fldChar w:fldCharType="begin" w:fldLock="1"/>
      </w:r>
      <w:r w:rsidR="00D06B10" w:rsidRPr="002D21B6">
        <w:rPr>
          <w:rFonts w:ascii="Arial" w:hAnsi="Arial" w:cs="Arial"/>
          <w:sz w:val="24"/>
          <w:szCs w:val="24"/>
        </w:rPr>
        <w:instrText>ADDIN CSL_CITATION {"citationItems":[{"id":"ITEM-1","itemData":{"DOI":"10.15585/mmwr.mm6817a4","ISSN":"1545-861X","PMID":"31048675","abstract":"In 2010, all 53 countries* in the World Health Organization (WHO) European Region (EUR) reconfirmed their commitment to eliminating measles and rubella and congenital rubella syndrome (1); this goal was included as a priority in the European Vaccine Action Plan 2015-2020 (2). The WHO-recommended elimination strategies in EUR include 1) achieving and maintaining ≥95% coverage with 2 doses of measles-containing vaccine (MCV) through routine immunization services; 2) providing measles and rubella vaccination opportunities, including supplementary immunization activities (SIAs), to populations susceptible to measles or rubella; 3) strengthening surveillance by conducting case investigations and confirming suspected cases and outbreaks with laboratory results; and 4) improving the availability and use of evidence for the benefits and risks associated with vaccination (3). This report updates a previous report (4) and describes progress toward measles elimination in EUR during 2009-2018. During 2009-2017, estimated regional coverage with the first MCV dose (MCV1) was 93%-95%, and coverage with the second dose (MCV2) increased from 73% to 90%. In 2017, 30 (57%) countries achieved ≥95% MCV1 coverage, and 15 (28%) achieved ≥95% coverage with both doses. During 2009-2018, &gt;16 million persons were vaccinated during SIAs in 13 (24%) countries. Measles incidence declined to 5.8 per 1 million population in 2016, but increased to 89.5 in 2018, because of large outbreaks in several EUR countries. To achieve measles elimination in EUR, measures are needed to strengthen immunization programs by ensuring ≥95% 2-dose MCV coverage in every district of each country, offering supplemental measles vaccination to susceptible adults, maintaining high-quality surveillance for rapid case detection and confirmation, and ensuring effective outbreak preparedness and response.","author":[{"dropping-particle":"","family":"Zimmerman","given":"Laura A","non-dropping-particle":"","parse-names":false,"suffix":""},{"dropping-particle":"","family":"Muscat","given":"Mark","non-dropping-particle":"","parse-names":false,"suffix":""},{"dropping-particle":"","family":"Singh","given":"Simarjit","non-dropping-particle":"","parse-names":false,"suffix":""},{"dropping-particle":"","family":"Mamou","given":"Myriam","non-dropping-particle":"Ben","parse-names":false,"suffix":""},{"dropping-particle":"","family":"Jankovic","given":"Dragan","non-dropping-particle":"","parse-names":false,"suffix":""},{"dropping-particle":"","family":"Datta","given":"Siddhartha","non-dropping-particle":"","parse-names":false,"suffix":""},{"dropping-particle":"","family":"Alexander","given":"James P","non-dropping-particle":"","parse-names":false,"suffix":""},{"dropping-particle":"","family":"Goodson","given":"James L","non-dropping-particle":"","parse-names":false,"suffix":""},{"dropping-particle":"","family":"O'Connor","given":"Patrick","non-dropping-particle":"","parse-names":false,"suffix":""}],"container-title":"MMWR. Morbidity and mortality weekly report","id":"ITEM-1","issue":"17","issued":{"date-parts":[["2019","5","3"]]},"page":"396-401","publisher":"Centers for Disease Control and Prevention","title":"Progress Toward Measles Elimination - European Region, 2009-2018.","type":"article-journal","volume":"68"},"uris":["http://www.mendeley.com/documents/?uuid=6a627ea0-5eb4-3982-9532-af0122cf2607"]}],"mendeley":{"formattedCitation":"[4]","plainTextFormattedCitation":"[4]","previouslyFormattedCitation":"[4]"},"properties":{"noteIndex":0},"schema":"https://github.com/citation-style-language/schema/raw/master/csl-citation.json"}</w:instrText>
      </w:r>
      <w:r w:rsidR="00011FCD" w:rsidRPr="002D21B6">
        <w:rPr>
          <w:rFonts w:ascii="Arial" w:hAnsi="Arial" w:cs="Arial"/>
          <w:sz w:val="24"/>
          <w:szCs w:val="24"/>
        </w:rPr>
        <w:fldChar w:fldCharType="separate"/>
      </w:r>
      <w:r w:rsidR="006575EE" w:rsidRPr="002D21B6">
        <w:rPr>
          <w:rFonts w:ascii="Arial" w:hAnsi="Arial" w:cs="Arial"/>
          <w:noProof/>
          <w:sz w:val="24"/>
          <w:szCs w:val="24"/>
        </w:rPr>
        <w:t>[4]</w:t>
      </w:r>
      <w:r w:rsidR="00011FCD" w:rsidRPr="002D21B6">
        <w:rPr>
          <w:rFonts w:ascii="Arial" w:hAnsi="Arial" w:cs="Arial"/>
          <w:sz w:val="24"/>
          <w:szCs w:val="24"/>
        </w:rPr>
        <w:fldChar w:fldCharType="end"/>
      </w:r>
      <w:r w:rsidR="00B92206" w:rsidRPr="002D21B6">
        <w:rPr>
          <w:rFonts w:ascii="Arial" w:hAnsi="Arial" w:cs="Arial"/>
          <w:sz w:val="24"/>
          <w:szCs w:val="24"/>
        </w:rPr>
        <w:t>.</w:t>
      </w:r>
      <w:r w:rsidR="002810C3" w:rsidRPr="002D21B6">
        <w:t xml:space="preserve">  </w:t>
      </w:r>
      <w:r w:rsidR="00092D9D" w:rsidRPr="002D21B6">
        <w:rPr>
          <w:rFonts w:ascii="Arial" w:hAnsi="Arial" w:cs="Arial"/>
          <w:sz w:val="24"/>
          <w:szCs w:val="24"/>
        </w:rPr>
        <w:t xml:space="preserve">From 1 July 2018–30 June 2019, 30 EU/EEA Member States </w:t>
      </w:r>
      <w:r w:rsidR="001D718C" w:rsidRPr="002D21B6">
        <w:rPr>
          <w:rFonts w:ascii="Arial" w:hAnsi="Arial" w:cs="Arial"/>
          <w:sz w:val="24"/>
          <w:szCs w:val="24"/>
        </w:rPr>
        <w:t>reported 13</w:t>
      </w:r>
      <w:r w:rsidR="004275C4" w:rsidRPr="002D21B6">
        <w:rPr>
          <w:rFonts w:ascii="Arial" w:hAnsi="Arial" w:cs="Arial"/>
          <w:sz w:val="24"/>
          <w:szCs w:val="24"/>
        </w:rPr>
        <w:t xml:space="preserve"> </w:t>
      </w:r>
      <w:r w:rsidR="001D718C" w:rsidRPr="002D21B6">
        <w:rPr>
          <w:rFonts w:ascii="Arial" w:hAnsi="Arial" w:cs="Arial"/>
          <w:sz w:val="24"/>
          <w:szCs w:val="24"/>
        </w:rPr>
        <w:t>102 cases of measles</w:t>
      </w:r>
      <w:r w:rsidR="00092D9D" w:rsidRPr="002D21B6">
        <w:rPr>
          <w:rFonts w:ascii="Arial" w:hAnsi="Arial" w:cs="Arial"/>
          <w:sz w:val="24"/>
          <w:szCs w:val="24"/>
        </w:rPr>
        <w:t xml:space="preserve">, </w:t>
      </w:r>
      <w:r w:rsidR="00DE7609" w:rsidRPr="002D21B6">
        <w:rPr>
          <w:rFonts w:ascii="Arial" w:hAnsi="Arial" w:cs="Arial"/>
          <w:sz w:val="24"/>
          <w:szCs w:val="24"/>
        </w:rPr>
        <w:t xml:space="preserve">also </w:t>
      </w:r>
      <w:r w:rsidR="00092D9D" w:rsidRPr="002D21B6">
        <w:rPr>
          <w:rFonts w:ascii="Arial" w:hAnsi="Arial" w:cs="Arial"/>
          <w:sz w:val="24"/>
          <w:szCs w:val="24"/>
        </w:rPr>
        <w:t>including fatalities</w:t>
      </w:r>
      <w:r w:rsidR="008A124A" w:rsidRPr="002D21B6">
        <w:rPr>
          <w:rFonts w:ascii="Arial" w:hAnsi="Arial" w:cs="Arial"/>
          <w:sz w:val="24"/>
          <w:szCs w:val="24"/>
        </w:rPr>
        <w:t xml:space="preserve"> </w:t>
      </w:r>
      <w:r w:rsidR="00092D9D" w:rsidRPr="002D21B6">
        <w:rPr>
          <w:rFonts w:ascii="Arial" w:hAnsi="Arial" w:cs="Arial"/>
          <w:sz w:val="24"/>
          <w:szCs w:val="24"/>
        </w:rPr>
        <w:fldChar w:fldCharType="begin" w:fldLock="1"/>
      </w:r>
      <w:r w:rsidR="00D06B10" w:rsidRPr="002D21B6">
        <w:rPr>
          <w:rFonts w:ascii="Arial" w:hAnsi="Arial" w:cs="Arial"/>
          <w:sz w:val="24"/>
          <w:szCs w:val="24"/>
        </w:rPr>
        <w:instrText>ADDIN CSL_CITATION {"citationItems":[{"id":"ITEM-1","itemData":{"author":[{"dropping-particle":"","family":"Ecdc","given":"","non-dropping-particle":"","parse-names":false,"suffix":""}],"id":"ITEM-1","issued":{"date-parts":[["2019"]]},"title":"Monthly measles and rubella monitoring report – August 2019","type":"report"},"uris":["http://www.mendeley.com/documents/?uuid=ffa9b82d-560b-3104-80ce-aef2c221a29a"]}],"mendeley":{"formattedCitation":"[5]","plainTextFormattedCitation":"[5]","previouslyFormattedCitation":"[5]"},"properties":{"noteIndex":0},"schema":"https://github.com/citation-style-language/schema/raw/master/csl-citation.json"}</w:instrText>
      </w:r>
      <w:r w:rsidR="00092D9D" w:rsidRPr="002D21B6">
        <w:rPr>
          <w:rFonts w:ascii="Arial" w:hAnsi="Arial" w:cs="Arial"/>
          <w:sz w:val="24"/>
          <w:szCs w:val="24"/>
        </w:rPr>
        <w:fldChar w:fldCharType="separate"/>
      </w:r>
      <w:r w:rsidR="006575EE" w:rsidRPr="002D21B6">
        <w:rPr>
          <w:rFonts w:ascii="Arial" w:hAnsi="Arial" w:cs="Arial"/>
          <w:noProof/>
          <w:sz w:val="24"/>
          <w:szCs w:val="24"/>
        </w:rPr>
        <w:t>[5]</w:t>
      </w:r>
      <w:r w:rsidR="00092D9D" w:rsidRPr="002D21B6">
        <w:rPr>
          <w:rFonts w:ascii="Arial" w:hAnsi="Arial" w:cs="Arial"/>
          <w:sz w:val="24"/>
          <w:szCs w:val="24"/>
        </w:rPr>
        <w:fldChar w:fldCharType="end"/>
      </w:r>
      <w:r w:rsidR="008A124A" w:rsidRPr="002D21B6">
        <w:rPr>
          <w:rFonts w:ascii="Arial" w:hAnsi="Arial" w:cs="Arial"/>
          <w:sz w:val="24"/>
          <w:szCs w:val="24"/>
        </w:rPr>
        <w:t xml:space="preserve">. </w:t>
      </w:r>
      <w:r w:rsidR="00093C2E" w:rsidRPr="002D21B6">
        <w:rPr>
          <w:rFonts w:ascii="Arial" w:hAnsi="Arial" w:cs="Arial"/>
          <w:sz w:val="24"/>
          <w:szCs w:val="24"/>
        </w:rPr>
        <w:t>According to WHO reports</w:t>
      </w:r>
      <w:r w:rsidR="00093151" w:rsidRPr="002D21B6">
        <w:rPr>
          <w:rFonts w:ascii="Arial" w:hAnsi="Arial" w:cs="Arial"/>
          <w:sz w:val="24"/>
          <w:szCs w:val="24"/>
        </w:rPr>
        <w:t>, the</w:t>
      </w:r>
      <w:r w:rsidR="00093C2E" w:rsidRPr="002D21B6">
        <w:rPr>
          <w:rFonts w:ascii="Arial" w:hAnsi="Arial" w:cs="Arial"/>
          <w:sz w:val="24"/>
          <w:szCs w:val="24"/>
        </w:rPr>
        <w:t xml:space="preserve"> largest outbreaks occur in countries with low measles vaccination coverage. </w:t>
      </w:r>
      <w:r w:rsidR="005B39CD">
        <w:rPr>
          <w:rFonts w:ascii="Arial" w:hAnsi="Arial" w:cs="Arial"/>
          <w:sz w:val="24"/>
          <w:szCs w:val="24"/>
        </w:rPr>
        <w:t>However</w:t>
      </w:r>
      <w:r w:rsidR="00093C2E" w:rsidRPr="002D21B6">
        <w:rPr>
          <w:rFonts w:ascii="Arial" w:hAnsi="Arial" w:cs="Arial"/>
          <w:sz w:val="24"/>
          <w:szCs w:val="24"/>
        </w:rPr>
        <w:t>, outbreaks occurred even in countries with high national vaccination rates</w:t>
      </w:r>
      <w:r w:rsidR="003E0E23" w:rsidRPr="002D21B6">
        <w:rPr>
          <w:rFonts w:ascii="Arial" w:hAnsi="Arial" w:cs="Arial"/>
          <w:sz w:val="24"/>
          <w:szCs w:val="24"/>
        </w:rPr>
        <w:t xml:space="preserve"> </w:t>
      </w:r>
      <w:r w:rsidR="00093C2E" w:rsidRPr="002D21B6">
        <w:rPr>
          <w:rFonts w:ascii="Arial" w:hAnsi="Arial" w:cs="Arial"/>
          <w:sz w:val="24"/>
          <w:szCs w:val="24"/>
        </w:rPr>
        <w:fldChar w:fldCharType="begin" w:fldLock="1"/>
      </w:r>
      <w:r w:rsidR="008714E4" w:rsidRPr="002D21B6">
        <w:rPr>
          <w:rFonts w:ascii="Arial" w:hAnsi="Arial" w:cs="Arial"/>
          <w:sz w:val="24"/>
          <w:szCs w:val="24"/>
        </w:rPr>
        <w:instrText>ADDIN CSL_CITATION {"citationItems":[{"id":"ITEM-1","itemData":{"container-title":"WHO","id":"ITEM-1","issued":{"date-parts":[["2019"]]},"publisher":"World Health Organization","title":"WHO | New measles surveillance data from WHO","type":"article-journal"},"uris":["http://www.mendeley.com/documents/?uuid=d6f4ab44-22a3-34da-ac11-be0b72876610"]}],"mendeley":{"formattedCitation":"[6]","plainTextFormattedCitation":"[6]","previouslyFormattedCitation":"[6]"},"properties":{"noteIndex":0},"schema":"https://github.com/citation-style-language/schema/raw/master/csl-citation.json"}</w:instrText>
      </w:r>
      <w:r w:rsidR="00093C2E" w:rsidRPr="002D21B6">
        <w:rPr>
          <w:rFonts w:ascii="Arial" w:hAnsi="Arial" w:cs="Arial"/>
          <w:sz w:val="24"/>
          <w:szCs w:val="24"/>
        </w:rPr>
        <w:fldChar w:fldCharType="separate"/>
      </w:r>
      <w:r w:rsidR="00093C2E" w:rsidRPr="002D21B6">
        <w:rPr>
          <w:rFonts w:ascii="Arial" w:hAnsi="Arial" w:cs="Arial"/>
          <w:noProof/>
          <w:sz w:val="24"/>
          <w:szCs w:val="24"/>
        </w:rPr>
        <w:t>[6]</w:t>
      </w:r>
      <w:r w:rsidR="00093C2E" w:rsidRPr="002D21B6">
        <w:rPr>
          <w:rFonts w:ascii="Arial" w:hAnsi="Arial" w:cs="Arial"/>
          <w:sz w:val="24"/>
          <w:szCs w:val="24"/>
        </w:rPr>
        <w:fldChar w:fldCharType="end"/>
      </w:r>
      <w:r w:rsidR="003E0E23" w:rsidRPr="002D21B6">
        <w:rPr>
          <w:rFonts w:ascii="Arial" w:hAnsi="Arial" w:cs="Arial"/>
          <w:sz w:val="24"/>
          <w:szCs w:val="24"/>
        </w:rPr>
        <w:t>.</w:t>
      </w:r>
      <w:r w:rsidR="002C2BAC" w:rsidRPr="002D21B6">
        <w:rPr>
          <w:rFonts w:ascii="Arial" w:hAnsi="Arial" w:cs="Arial"/>
          <w:sz w:val="24"/>
          <w:szCs w:val="24"/>
        </w:rPr>
        <w:t xml:space="preserve"> </w:t>
      </w:r>
      <w:r w:rsidR="00467201" w:rsidRPr="002D21B6">
        <w:rPr>
          <w:rFonts w:ascii="Arial" w:hAnsi="Arial" w:cs="Arial"/>
          <w:sz w:val="24"/>
          <w:szCs w:val="24"/>
        </w:rPr>
        <w:t xml:space="preserve">Lately, an alarming surge of measles cases was experienced in countries </w:t>
      </w:r>
      <w:r w:rsidR="00180F2E" w:rsidRPr="002D21B6">
        <w:rPr>
          <w:rFonts w:ascii="Arial" w:hAnsi="Arial" w:cs="Arial"/>
          <w:sz w:val="24"/>
          <w:szCs w:val="24"/>
        </w:rPr>
        <w:t>neighbouring</w:t>
      </w:r>
      <w:r w:rsidR="00467201" w:rsidRPr="002D21B6">
        <w:rPr>
          <w:rFonts w:ascii="Arial" w:hAnsi="Arial" w:cs="Arial"/>
          <w:sz w:val="24"/>
          <w:szCs w:val="24"/>
        </w:rPr>
        <w:t xml:space="preserve"> Hungary. </w:t>
      </w:r>
      <w:r w:rsidR="00D34021" w:rsidRPr="002D21B6">
        <w:rPr>
          <w:rFonts w:ascii="Arial" w:hAnsi="Arial" w:cs="Arial"/>
          <w:sz w:val="24"/>
          <w:szCs w:val="24"/>
        </w:rPr>
        <w:t xml:space="preserve">From 2017 to 2018 </w:t>
      </w:r>
      <w:r w:rsidR="00467201" w:rsidRPr="002D21B6">
        <w:rPr>
          <w:rFonts w:ascii="Arial" w:hAnsi="Arial" w:cs="Arial"/>
          <w:sz w:val="24"/>
          <w:szCs w:val="24"/>
        </w:rPr>
        <w:t xml:space="preserve">Ukraine had the largest increase of measles cases worldwide </w:t>
      </w:r>
      <w:r w:rsidR="00467201" w:rsidRPr="002D21B6">
        <w:rPr>
          <w:rStyle w:val="Lbjegyzet-hivatkozs"/>
          <w:rFonts w:ascii="Arial" w:hAnsi="Arial" w:cs="Arial"/>
          <w:sz w:val="24"/>
          <w:szCs w:val="24"/>
        </w:rPr>
        <w:fldChar w:fldCharType="begin" w:fldLock="1"/>
      </w:r>
      <w:r w:rsidR="00F01A42" w:rsidRPr="002D21B6">
        <w:rPr>
          <w:rFonts w:ascii="Arial" w:hAnsi="Arial" w:cs="Arial"/>
          <w:sz w:val="24"/>
          <w:szCs w:val="24"/>
        </w:rPr>
        <w:instrText>ADDIN CSL_CITATION {"citationItems":[{"id":"ITEM-1","itemData":{"DOI":"10.1126/science.363.6428.677","ISSN":"0036-8075","PMID":"30765543","author":[{"dropping-particle":"","family":"Wadman","given":"Meredith","non-dropping-particle":"","parse-names":false,"suffix":""}],"container-title":"Science","id":"ITEM-1","issue":"6428","issued":{"date-parts":[["2019","2","15"]]},"page":"677-678","title":"Measles epidemic in Ukraine drove troubling European year","type":"article-journal","volume":"363"},"uris":["http://www.mendeley.com/documents/?uuid=cbea95c8-e06d-3da0-bd86-7ae8ca8aaf6a"]},{"id":"ITEM-2","itemData":{"DOI":"10.1016/S0140-6736(18)31984-6","ISSN":"01406736","PMID":"30191812","author":[{"dropping-particle":"","family":"The Lancet","given":"","non-dropping-particle":"","parse-names":false,"suffix":""}],"container-title":"The Lancet","id":"ITEM-2","issue":"10149","issued":{"date-parts":[["2018","9","1"]]},"page":"711","title":"Measles, war, and health-care reforms in Ukraine","type":"article-journal","volume":"392"},"uris":["http://www.mendeley.com/documents/?uuid=0e0d0d0c-101b-3c38-8573-ab0033e5d361"]}],"mendeley":{"formattedCitation":"[7,8]","plainTextFormattedCitation":"[7,8]","previouslyFormattedCitation":"[7,8]"},"properties":{"noteIndex":0},"schema":"https://github.com/citation-style-language/schema/raw/master/csl-citation.json"}</w:instrText>
      </w:r>
      <w:r w:rsidR="00467201" w:rsidRPr="002D21B6">
        <w:rPr>
          <w:rStyle w:val="Lbjegyzet-hivatkozs"/>
          <w:rFonts w:ascii="Arial" w:hAnsi="Arial" w:cs="Arial"/>
          <w:sz w:val="24"/>
          <w:szCs w:val="24"/>
        </w:rPr>
        <w:fldChar w:fldCharType="separate"/>
      </w:r>
      <w:r w:rsidR="008B1116" w:rsidRPr="002D21B6">
        <w:rPr>
          <w:rFonts w:ascii="Arial" w:hAnsi="Arial" w:cs="Arial"/>
          <w:noProof/>
          <w:sz w:val="24"/>
          <w:szCs w:val="24"/>
        </w:rPr>
        <w:t>[7,8]</w:t>
      </w:r>
      <w:r w:rsidR="00467201" w:rsidRPr="002D21B6">
        <w:rPr>
          <w:rStyle w:val="Lbjegyzet-hivatkozs"/>
          <w:rFonts w:ascii="Arial" w:hAnsi="Arial" w:cs="Arial"/>
          <w:sz w:val="24"/>
          <w:szCs w:val="24"/>
        </w:rPr>
        <w:fldChar w:fldCharType="end"/>
      </w:r>
      <w:r w:rsidR="00467201" w:rsidRPr="002D21B6">
        <w:rPr>
          <w:rFonts w:ascii="Arial" w:hAnsi="Arial" w:cs="Arial"/>
          <w:sz w:val="24"/>
          <w:szCs w:val="24"/>
        </w:rPr>
        <w:t>.</w:t>
      </w:r>
      <w:r w:rsidR="00D34021" w:rsidRPr="002D21B6">
        <w:rPr>
          <w:rFonts w:ascii="Arial" w:hAnsi="Arial" w:cs="Arial"/>
          <w:sz w:val="24"/>
          <w:szCs w:val="24"/>
        </w:rPr>
        <w:t xml:space="preserve"> </w:t>
      </w:r>
      <w:r w:rsidR="008714E4" w:rsidRPr="002D21B6">
        <w:rPr>
          <w:rFonts w:ascii="Arial" w:hAnsi="Arial" w:cs="Arial"/>
          <w:sz w:val="24"/>
          <w:szCs w:val="24"/>
        </w:rPr>
        <w:t xml:space="preserve">In 2018, Ukraine reported </w:t>
      </w:r>
      <w:r w:rsidR="00093151" w:rsidRPr="002D21B6">
        <w:rPr>
          <w:rFonts w:ascii="Arial" w:hAnsi="Arial" w:cs="Arial"/>
          <w:sz w:val="24"/>
          <w:szCs w:val="24"/>
        </w:rPr>
        <w:t xml:space="preserve">&gt;54 000 measles cases; </w:t>
      </w:r>
      <w:r w:rsidR="008714E4" w:rsidRPr="002D21B6">
        <w:rPr>
          <w:rFonts w:ascii="Arial" w:hAnsi="Arial" w:cs="Arial"/>
          <w:sz w:val="24"/>
          <w:szCs w:val="24"/>
        </w:rPr>
        <w:t xml:space="preserve">more than </w:t>
      </w:r>
      <w:r w:rsidR="00A833AA" w:rsidRPr="002D21B6">
        <w:rPr>
          <w:rFonts w:ascii="Arial" w:hAnsi="Arial" w:cs="Arial"/>
          <w:sz w:val="24"/>
          <w:szCs w:val="24"/>
        </w:rPr>
        <w:t>the entire</w:t>
      </w:r>
      <w:r w:rsidR="008714E4" w:rsidRPr="002D21B6">
        <w:rPr>
          <w:rFonts w:ascii="Arial" w:hAnsi="Arial" w:cs="Arial"/>
          <w:sz w:val="24"/>
          <w:szCs w:val="24"/>
        </w:rPr>
        <w:t xml:space="preserve"> E</w:t>
      </w:r>
      <w:r w:rsidR="00093151" w:rsidRPr="002D21B6">
        <w:rPr>
          <w:rFonts w:ascii="Arial" w:hAnsi="Arial" w:cs="Arial"/>
          <w:sz w:val="24"/>
          <w:szCs w:val="24"/>
        </w:rPr>
        <w:t>U</w:t>
      </w:r>
      <w:r w:rsidR="008714E4" w:rsidRPr="002D21B6">
        <w:rPr>
          <w:rFonts w:ascii="Arial" w:hAnsi="Arial" w:cs="Arial"/>
          <w:sz w:val="24"/>
          <w:szCs w:val="24"/>
        </w:rPr>
        <w:t xml:space="preserve">. The </w:t>
      </w:r>
      <w:r w:rsidR="004275C4" w:rsidRPr="002D21B6">
        <w:rPr>
          <w:rFonts w:ascii="Arial" w:hAnsi="Arial" w:cs="Arial"/>
          <w:sz w:val="24"/>
          <w:szCs w:val="24"/>
        </w:rPr>
        <w:t xml:space="preserve">total </w:t>
      </w:r>
      <w:r w:rsidR="00C24C7C" w:rsidRPr="002D21B6">
        <w:rPr>
          <w:rFonts w:ascii="Arial" w:hAnsi="Arial" w:cs="Arial"/>
          <w:sz w:val="24"/>
          <w:szCs w:val="24"/>
        </w:rPr>
        <w:t xml:space="preserve">estimated </w:t>
      </w:r>
      <w:r w:rsidR="008714E4" w:rsidRPr="002D21B6">
        <w:rPr>
          <w:rFonts w:ascii="Arial" w:hAnsi="Arial" w:cs="Arial"/>
          <w:sz w:val="24"/>
          <w:szCs w:val="24"/>
        </w:rPr>
        <w:t xml:space="preserve">number </w:t>
      </w:r>
      <w:r w:rsidR="008714E4" w:rsidRPr="002D21B6">
        <w:rPr>
          <w:rFonts w:ascii="Arial" w:hAnsi="Arial" w:cs="Arial"/>
          <w:sz w:val="24"/>
          <w:szCs w:val="24"/>
        </w:rPr>
        <w:lastRenderedPageBreak/>
        <w:t xml:space="preserve">of measles cases for the first five months of 2019 </w:t>
      </w:r>
      <w:r w:rsidR="00C24C7C" w:rsidRPr="002D21B6">
        <w:rPr>
          <w:rFonts w:ascii="Arial" w:hAnsi="Arial" w:cs="Arial"/>
          <w:sz w:val="24"/>
          <w:szCs w:val="24"/>
        </w:rPr>
        <w:t>was</w:t>
      </w:r>
      <w:r w:rsidR="008714E4" w:rsidRPr="002D21B6">
        <w:rPr>
          <w:rFonts w:ascii="Arial" w:hAnsi="Arial" w:cs="Arial"/>
          <w:sz w:val="24"/>
          <w:szCs w:val="24"/>
        </w:rPr>
        <w:t xml:space="preserve"> 52 034, including 17 deaths </w:t>
      </w:r>
      <w:r w:rsidR="008714E4" w:rsidRPr="002D21B6">
        <w:rPr>
          <w:rFonts w:ascii="Arial" w:hAnsi="Arial" w:cs="Arial"/>
          <w:sz w:val="24"/>
          <w:szCs w:val="24"/>
        </w:rPr>
        <w:fldChar w:fldCharType="begin" w:fldLock="1"/>
      </w:r>
      <w:r w:rsidR="00F01A42" w:rsidRPr="002D21B6">
        <w:rPr>
          <w:rFonts w:ascii="Arial" w:hAnsi="Arial" w:cs="Arial"/>
          <w:sz w:val="24"/>
          <w:szCs w:val="24"/>
        </w:rPr>
        <w:instrText>ADDIN CSL_CITATION {"citationItems":[{"id":"ITEM-1","itemData":{"abstract":"Vaccination status Vaccination status and age was known in 18 419 cases (82%). Of these 15 018 cases were unvaccinated (82%): 2202 cases (15%) were &lt;1 year old, 4150 cases (28%) were 1-4 years old, 2257 cases (15%) were 5-9 years old, 1867 cases (12%) were 10-19 years old and 4542 cases (30%) were ≥20 years old. Of the 18 419 cases with data on vaccination status and age, 2030 cases (11%) were reportedly vaccinated with at least one measles-containing vaccine dose. Hospitalization Data on hospitalization status was available for 63% (n=14 034) of all reported measles cases. Of these, 11 228 were hospitalized, amounting to 80% of all cases with known hospitalization status. Of all the hospitalized cases, most were reported from Romania (n=4806; 43%) and Ukraine (3057; 27%). Measles-related deaths Measles-related deaths were reported in 36 cases in 11 countries: Bulgaria (, Switzerland (1) and Ukraine (5). Most deaths (61%, n=22) occurred in children under 10 years of age: 10 cases were &lt;1 year old and 12 cases were 1-9 years old. Of the remaining deaths 6 cases were 10-19 years old and 8 cases were ≥25 years old. Of the fatal WHO EPI-BRIEF No. 1/2018 WHO EpiBrief Fig. 1. The number of sequences of measles virus in the WHO European Region reported to MeaNS by genotype, 2015 up to week 11, 2018 cases in Romania, 8 cases were &lt;1 year old and 7 cases were in children 1-3 years of age. All 36 deaths were laboratory-confirmed cases of measles. 31 fatal cases were unvaccinated, 3 cases had received one measles-containing vaccine dose, 1 case had received two measles-containing vaccine doses and in 1 case the vaccination status was unknown. Number of sequences of measles virus reported to MeaNS Week and year of specimen collection H1 D9 D8 D4 B3 11% 25% 15% 7% 7%","id":"ITEM-1","issued":{"date-parts":[["2018"]]},"title":"WHO EpiBrief A report on the epidemiology of selected vaccine-preventable diseases in the European Region","type":"report"},"uris":["http://www.mendeley.com/documents/?uuid=c24ab6e7-2283-300d-a30c-35c367301944"]},{"id":"ITEM-2","itemData":{"URL":"https://reliefweb.int/disaster/ep-2019-000017-ukr","accessed":{"date-parts":[["2019","8","22"]]},"id":"ITEM-2","issued":{"date-parts":[["0"]]},"title":"Ukraine: Measles Outbreak - Jan 2019 | ReliefWeb","type":"webpage"},"uris":["http://www.mendeley.com/documents/?uuid=375f6ee4-09eb-3b2d-ba71-6f3de4f46cf4"]}],"mendeley":{"formattedCitation":"[9,10]","plainTextFormattedCitation":"[9,10]","previouslyFormattedCitation":"[9,10]"},"properties":{"noteIndex":0},"schema":"https://github.com/citation-style-language/schema/raw/master/csl-citation.json"}</w:instrText>
      </w:r>
      <w:r w:rsidR="008714E4" w:rsidRPr="002D21B6">
        <w:rPr>
          <w:rFonts w:ascii="Arial" w:hAnsi="Arial" w:cs="Arial"/>
          <w:sz w:val="24"/>
          <w:szCs w:val="24"/>
        </w:rPr>
        <w:fldChar w:fldCharType="separate"/>
      </w:r>
      <w:r w:rsidR="008B1116" w:rsidRPr="002D21B6">
        <w:rPr>
          <w:rFonts w:ascii="Arial" w:hAnsi="Arial" w:cs="Arial"/>
          <w:noProof/>
          <w:sz w:val="24"/>
          <w:szCs w:val="24"/>
        </w:rPr>
        <w:t>[9,10]</w:t>
      </w:r>
      <w:r w:rsidR="008714E4" w:rsidRPr="002D21B6">
        <w:rPr>
          <w:rFonts w:ascii="Arial" w:hAnsi="Arial" w:cs="Arial"/>
          <w:sz w:val="24"/>
          <w:szCs w:val="24"/>
        </w:rPr>
        <w:fldChar w:fldCharType="end"/>
      </w:r>
      <w:r w:rsidR="004275C4" w:rsidRPr="002D21B6">
        <w:rPr>
          <w:rFonts w:ascii="Arial" w:hAnsi="Arial" w:cs="Arial"/>
          <w:sz w:val="24"/>
          <w:szCs w:val="24"/>
        </w:rPr>
        <w:t xml:space="preserve">. </w:t>
      </w:r>
      <w:r w:rsidR="008714E4" w:rsidRPr="002D21B6">
        <w:rPr>
          <w:rFonts w:ascii="Arial" w:hAnsi="Arial" w:cs="Arial"/>
          <w:sz w:val="24"/>
          <w:szCs w:val="24"/>
        </w:rPr>
        <w:t xml:space="preserve">Romania </w:t>
      </w:r>
      <w:r w:rsidR="00FD467E">
        <w:rPr>
          <w:rFonts w:ascii="Arial" w:hAnsi="Arial" w:cs="Arial"/>
          <w:sz w:val="24"/>
          <w:szCs w:val="24"/>
        </w:rPr>
        <w:t>a</w:t>
      </w:r>
      <w:r w:rsidR="00FD467E" w:rsidRPr="002D21B6">
        <w:rPr>
          <w:rFonts w:ascii="Arial" w:hAnsi="Arial" w:cs="Arial"/>
          <w:sz w:val="24"/>
          <w:szCs w:val="24"/>
        </w:rPr>
        <w:t xml:space="preserve">lso </w:t>
      </w:r>
      <w:r w:rsidR="008714E4" w:rsidRPr="002D21B6">
        <w:rPr>
          <w:rFonts w:ascii="Arial" w:hAnsi="Arial" w:cs="Arial"/>
          <w:sz w:val="24"/>
          <w:szCs w:val="24"/>
        </w:rPr>
        <w:t xml:space="preserve">bears high burden of the disease; </w:t>
      </w:r>
      <w:r w:rsidR="00207F80" w:rsidRPr="002D21B6">
        <w:rPr>
          <w:rFonts w:ascii="Arial" w:hAnsi="Arial" w:cs="Arial"/>
          <w:sz w:val="24"/>
          <w:szCs w:val="24"/>
        </w:rPr>
        <w:t>between</w:t>
      </w:r>
      <w:r w:rsidR="008714E4" w:rsidRPr="002D21B6">
        <w:rPr>
          <w:rFonts w:ascii="Arial" w:hAnsi="Arial" w:cs="Arial"/>
          <w:sz w:val="24"/>
          <w:szCs w:val="24"/>
        </w:rPr>
        <w:t xml:space="preserve"> the </w:t>
      </w:r>
      <w:r w:rsidR="00207F80" w:rsidRPr="002D21B6">
        <w:rPr>
          <w:rFonts w:ascii="Arial" w:hAnsi="Arial" w:cs="Arial"/>
          <w:sz w:val="24"/>
          <w:szCs w:val="24"/>
        </w:rPr>
        <w:t>first</w:t>
      </w:r>
      <w:r w:rsidR="008714E4" w:rsidRPr="002D21B6">
        <w:rPr>
          <w:rFonts w:ascii="Arial" w:hAnsi="Arial" w:cs="Arial"/>
          <w:sz w:val="24"/>
          <w:szCs w:val="24"/>
        </w:rPr>
        <w:t xml:space="preserve"> outbreak (late 2016)</w:t>
      </w:r>
      <w:r w:rsidR="00207F80" w:rsidRPr="002D21B6">
        <w:rPr>
          <w:rFonts w:ascii="Arial" w:hAnsi="Arial" w:cs="Arial"/>
          <w:sz w:val="24"/>
          <w:szCs w:val="24"/>
        </w:rPr>
        <w:t xml:space="preserve"> and May 2019</w:t>
      </w:r>
      <w:r w:rsidR="00797DE6">
        <w:rPr>
          <w:rFonts w:ascii="Arial" w:hAnsi="Arial" w:cs="Arial"/>
          <w:sz w:val="24"/>
          <w:szCs w:val="24"/>
        </w:rPr>
        <w:t>,</w:t>
      </w:r>
      <w:r w:rsidR="00753DDA" w:rsidRPr="002D21B6">
        <w:rPr>
          <w:rFonts w:ascii="Arial" w:hAnsi="Arial" w:cs="Arial"/>
          <w:sz w:val="24"/>
          <w:szCs w:val="24"/>
        </w:rPr>
        <w:t xml:space="preserve"> Romania has reported 16 </w:t>
      </w:r>
      <w:r w:rsidR="008714E4" w:rsidRPr="002D21B6">
        <w:rPr>
          <w:rFonts w:ascii="Arial" w:hAnsi="Arial" w:cs="Arial"/>
          <w:sz w:val="24"/>
          <w:szCs w:val="24"/>
        </w:rPr>
        <w:t xml:space="preserve">627 cases and 63 deaths. </w:t>
      </w:r>
      <w:r w:rsidR="00753DDA" w:rsidRPr="002D21B6">
        <w:rPr>
          <w:rFonts w:ascii="Arial" w:hAnsi="Arial" w:cs="Arial"/>
          <w:sz w:val="24"/>
          <w:szCs w:val="24"/>
        </w:rPr>
        <w:t>94</w:t>
      </w:r>
      <w:r w:rsidR="008714E4" w:rsidRPr="002D21B6">
        <w:rPr>
          <w:rFonts w:ascii="Arial" w:hAnsi="Arial" w:cs="Arial"/>
          <w:sz w:val="24"/>
          <w:szCs w:val="24"/>
        </w:rPr>
        <w:t xml:space="preserve">% of the </w:t>
      </w:r>
      <w:r w:rsidR="005159DC" w:rsidRPr="002D21B6">
        <w:rPr>
          <w:rFonts w:ascii="Arial" w:hAnsi="Arial" w:cs="Arial"/>
          <w:sz w:val="24"/>
          <w:szCs w:val="24"/>
        </w:rPr>
        <w:t xml:space="preserve">reported </w:t>
      </w:r>
      <w:r w:rsidR="008714E4" w:rsidRPr="002D21B6">
        <w:rPr>
          <w:rFonts w:ascii="Arial" w:hAnsi="Arial" w:cs="Arial"/>
          <w:sz w:val="24"/>
          <w:szCs w:val="24"/>
        </w:rPr>
        <w:t xml:space="preserve">cases </w:t>
      </w:r>
      <w:r w:rsidR="00BA132D" w:rsidRPr="002D21B6">
        <w:rPr>
          <w:rFonts w:ascii="Arial" w:hAnsi="Arial" w:cs="Arial"/>
          <w:sz w:val="24"/>
          <w:szCs w:val="24"/>
        </w:rPr>
        <w:t>were</w:t>
      </w:r>
      <w:r w:rsidR="008714E4" w:rsidRPr="002D21B6">
        <w:rPr>
          <w:rFonts w:ascii="Arial" w:hAnsi="Arial" w:cs="Arial"/>
          <w:sz w:val="24"/>
          <w:szCs w:val="24"/>
        </w:rPr>
        <w:t xml:space="preserve"> unvaccinated individuals, and </w:t>
      </w:r>
      <w:r w:rsidR="00464986" w:rsidRPr="002D21B6">
        <w:rPr>
          <w:rFonts w:ascii="Arial" w:hAnsi="Arial" w:cs="Arial"/>
          <w:sz w:val="24"/>
          <w:szCs w:val="24"/>
        </w:rPr>
        <w:t>4%</w:t>
      </w:r>
      <w:r w:rsidR="008714E4" w:rsidRPr="002D21B6">
        <w:rPr>
          <w:rFonts w:ascii="Arial" w:hAnsi="Arial" w:cs="Arial"/>
          <w:sz w:val="24"/>
          <w:szCs w:val="24"/>
        </w:rPr>
        <w:t xml:space="preserve"> received </w:t>
      </w:r>
      <w:r w:rsidR="000F6347" w:rsidRPr="002D21B6">
        <w:rPr>
          <w:rFonts w:ascii="Arial" w:hAnsi="Arial" w:cs="Arial"/>
          <w:sz w:val="24"/>
          <w:szCs w:val="24"/>
        </w:rPr>
        <w:t xml:space="preserve">only </w:t>
      </w:r>
      <w:r w:rsidR="008714E4" w:rsidRPr="002D21B6">
        <w:rPr>
          <w:rFonts w:ascii="Arial" w:hAnsi="Arial" w:cs="Arial"/>
          <w:sz w:val="24"/>
          <w:szCs w:val="24"/>
        </w:rPr>
        <w:t xml:space="preserve">one of the two-shot vaccination series. </w:t>
      </w:r>
      <w:r w:rsidR="00F86C1E" w:rsidRPr="002D21B6">
        <w:rPr>
          <w:rFonts w:ascii="Arial" w:hAnsi="Arial" w:cs="Arial"/>
          <w:sz w:val="24"/>
          <w:szCs w:val="24"/>
        </w:rPr>
        <w:t xml:space="preserve">Regarding </w:t>
      </w:r>
      <w:proofErr w:type="spellStart"/>
      <w:r w:rsidR="00E84A03" w:rsidRPr="002D21B6">
        <w:rPr>
          <w:rFonts w:ascii="Arial" w:hAnsi="Arial" w:cs="Arial"/>
          <w:sz w:val="24"/>
          <w:szCs w:val="24"/>
        </w:rPr>
        <w:t>parotitis</w:t>
      </w:r>
      <w:proofErr w:type="spellEnd"/>
      <w:r w:rsidR="00E84A03" w:rsidRPr="002D21B6">
        <w:rPr>
          <w:rFonts w:ascii="Arial" w:hAnsi="Arial" w:cs="Arial"/>
          <w:sz w:val="24"/>
          <w:szCs w:val="24"/>
        </w:rPr>
        <w:t xml:space="preserve"> </w:t>
      </w:r>
      <w:proofErr w:type="spellStart"/>
      <w:r w:rsidR="00E84A03" w:rsidRPr="002D21B6">
        <w:rPr>
          <w:rFonts w:ascii="Arial" w:hAnsi="Arial" w:cs="Arial"/>
          <w:sz w:val="24"/>
          <w:szCs w:val="24"/>
        </w:rPr>
        <w:t>epidemica</w:t>
      </w:r>
      <w:proofErr w:type="spellEnd"/>
      <w:r w:rsidR="00E84A03" w:rsidRPr="002D21B6">
        <w:rPr>
          <w:rFonts w:ascii="Arial" w:hAnsi="Arial" w:cs="Arial"/>
          <w:sz w:val="24"/>
          <w:szCs w:val="24"/>
        </w:rPr>
        <w:t xml:space="preserve"> (mumps)</w:t>
      </w:r>
      <w:r w:rsidR="00F86C1E" w:rsidRPr="002D21B6">
        <w:rPr>
          <w:rFonts w:ascii="Arial" w:hAnsi="Arial" w:cs="Arial"/>
          <w:sz w:val="24"/>
          <w:szCs w:val="24"/>
        </w:rPr>
        <w:t>, the last accessible ECDC surveillance report is from 2016</w:t>
      </w:r>
      <w:r w:rsidR="002143FA" w:rsidRPr="002D21B6">
        <w:rPr>
          <w:rFonts w:ascii="Arial" w:hAnsi="Arial" w:cs="Arial"/>
          <w:sz w:val="24"/>
          <w:szCs w:val="24"/>
        </w:rPr>
        <w:t xml:space="preserve">; </w:t>
      </w:r>
      <w:r w:rsidR="00F86C1E" w:rsidRPr="002D21B6">
        <w:rPr>
          <w:rFonts w:ascii="Arial" w:hAnsi="Arial" w:cs="Arial"/>
          <w:sz w:val="24"/>
          <w:szCs w:val="24"/>
        </w:rPr>
        <w:t xml:space="preserve">28 EU/EEA countries reported 14 795 cases of mumps, </w:t>
      </w:r>
      <w:r w:rsidR="00C423A1" w:rsidRPr="002D21B6">
        <w:rPr>
          <w:rFonts w:ascii="Arial" w:hAnsi="Arial" w:cs="Arial"/>
          <w:sz w:val="24"/>
          <w:szCs w:val="24"/>
        </w:rPr>
        <w:t>of which</w:t>
      </w:r>
      <w:r w:rsidR="00F86C1E" w:rsidRPr="002D21B6">
        <w:rPr>
          <w:rFonts w:ascii="Arial" w:hAnsi="Arial" w:cs="Arial"/>
          <w:sz w:val="24"/>
          <w:szCs w:val="24"/>
        </w:rPr>
        <w:t xml:space="preserve"> the Czech Republic, Poland, Spain and the United Kingdom </w:t>
      </w:r>
      <w:r w:rsidR="00C423A1" w:rsidRPr="002D21B6">
        <w:rPr>
          <w:rFonts w:ascii="Arial" w:hAnsi="Arial" w:cs="Arial"/>
          <w:sz w:val="24"/>
          <w:szCs w:val="24"/>
        </w:rPr>
        <w:t>were</w:t>
      </w:r>
      <w:r w:rsidR="00F86C1E" w:rsidRPr="002D21B6">
        <w:rPr>
          <w:rFonts w:ascii="Arial" w:hAnsi="Arial" w:cs="Arial"/>
          <w:sz w:val="24"/>
          <w:szCs w:val="24"/>
        </w:rPr>
        <w:t xml:space="preserve"> responsible for 77% of these cases. </w:t>
      </w:r>
      <w:r w:rsidR="008D0668" w:rsidRPr="002D21B6">
        <w:rPr>
          <w:rFonts w:ascii="Arial" w:hAnsi="Arial" w:cs="Arial"/>
          <w:sz w:val="24"/>
          <w:szCs w:val="24"/>
        </w:rPr>
        <w:t>The m</w:t>
      </w:r>
      <w:r w:rsidR="00E84A03" w:rsidRPr="002D21B6">
        <w:rPr>
          <w:rFonts w:ascii="Arial" w:hAnsi="Arial" w:cs="Arial"/>
          <w:sz w:val="24"/>
          <w:szCs w:val="24"/>
        </w:rPr>
        <w:t xml:space="preserve">umps </w:t>
      </w:r>
      <w:r w:rsidR="00F624E6" w:rsidRPr="002D21B6">
        <w:rPr>
          <w:rFonts w:ascii="Arial" w:hAnsi="Arial" w:cs="Arial"/>
          <w:sz w:val="24"/>
          <w:szCs w:val="24"/>
        </w:rPr>
        <w:t xml:space="preserve">childhood vaccination coverage </w:t>
      </w:r>
      <w:r w:rsidR="00D13314" w:rsidRPr="002D21B6">
        <w:rPr>
          <w:rFonts w:ascii="Arial" w:hAnsi="Arial" w:cs="Arial"/>
          <w:sz w:val="24"/>
          <w:szCs w:val="24"/>
        </w:rPr>
        <w:t>in</w:t>
      </w:r>
      <w:r w:rsidR="00F624E6" w:rsidRPr="002D21B6">
        <w:rPr>
          <w:rFonts w:ascii="Arial" w:hAnsi="Arial" w:cs="Arial"/>
          <w:sz w:val="24"/>
          <w:szCs w:val="24"/>
        </w:rPr>
        <w:t xml:space="preserve"> Hungary is ≥</w:t>
      </w:r>
      <w:r w:rsidR="002D21B6" w:rsidRPr="002D21B6">
        <w:rPr>
          <w:rFonts w:ascii="Arial" w:hAnsi="Arial" w:cs="Arial"/>
          <w:sz w:val="24"/>
          <w:szCs w:val="24"/>
        </w:rPr>
        <w:t xml:space="preserve"> </w:t>
      </w:r>
      <w:r w:rsidR="00F624E6" w:rsidRPr="002D21B6">
        <w:rPr>
          <w:rFonts w:ascii="Arial" w:hAnsi="Arial" w:cs="Arial"/>
          <w:sz w:val="24"/>
          <w:szCs w:val="24"/>
        </w:rPr>
        <w:t>99%</w:t>
      </w:r>
      <w:r w:rsidR="000065B7" w:rsidRPr="002D21B6">
        <w:rPr>
          <w:rFonts w:ascii="Arial" w:hAnsi="Arial" w:cs="Arial"/>
          <w:sz w:val="24"/>
          <w:szCs w:val="24"/>
        </w:rPr>
        <w:t xml:space="preserve"> (MCV1 and MCV2 are equivalent to </w:t>
      </w:r>
      <w:r w:rsidR="001D5921" w:rsidRPr="002D21B6">
        <w:rPr>
          <w:rFonts w:ascii="Arial" w:hAnsi="Arial" w:cs="Arial"/>
          <w:sz w:val="24"/>
          <w:szCs w:val="24"/>
        </w:rPr>
        <w:t>MMR1 and MMR2 in Suppl. Fig. S1</w:t>
      </w:r>
      <w:r w:rsidR="00FD14CF" w:rsidRPr="002D21B6">
        <w:rPr>
          <w:rFonts w:ascii="Arial" w:hAnsi="Arial" w:cs="Arial"/>
          <w:sz w:val="24"/>
          <w:szCs w:val="24"/>
        </w:rPr>
        <w:t>. Supplementary materials are</w:t>
      </w:r>
      <w:r w:rsidR="00FD14CF" w:rsidRPr="002D21B6">
        <w:t xml:space="preserve"> </w:t>
      </w:r>
      <w:r w:rsidR="00FD14CF" w:rsidRPr="002D21B6">
        <w:rPr>
          <w:rFonts w:ascii="Arial" w:hAnsi="Arial" w:cs="Arial"/>
          <w:sz w:val="24"/>
          <w:szCs w:val="24"/>
        </w:rPr>
        <w:t>available on the Cambridge Core website</w:t>
      </w:r>
      <w:r w:rsidR="000065B7" w:rsidRPr="002D21B6">
        <w:rPr>
          <w:rFonts w:ascii="Arial" w:hAnsi="Arial" w:cs="Arial"/>
          <w:sz w:val="24"/>
          <w:szCs w:val="24"/>
        </w:rPr>
        <w:t>)</w:t>
      </w:r>
      <w:r w:rsidR="00F624E6" w:rsidRPr="002D21B6">
        <w:rPr>
          <w:rFonts w:ascii="Arial" w:hAnsi="Arial" w:cs="Arial"/>
          <w:sz w:val="24"/>
          <w:szCs w:val="24"/>
        </w:rPr>
        <w:t xml:space="preserve">, consequently, the risk of infection is predominantly by virus importation </w:t>
      </w:r>
      <w:r w:rsidR="00F624E6" w:rsidRPr="002D21B6">
        <w:rPr>
          <w:rFonts w:ascii="Arial" w:hAnsi="Arial" w:cs="Arial"/>
          <w:sz w:val="24"/>
          <w:szCs w:val="24"/>
        </w:rPr>
        <w:fldChar w:fldCharType="begin" w:fldLock="1"/>
      </w:r>
      <w:r w:rsidR="00F01A42" w:rsidRPr="002D21B6">
        <w:rPr>
          <w:rFonts w:ascii="Arial" w:hAnsi="Arial" w:cs="Arial"/>
          <w:sz w:val="24"/>
          <w:szCs w:val="24"/>
        </w:rPr>
        <w:instrText>ADDIN CSL_CITATION {"citationItems":[{"id":"ITEM-1","itemData":{"DOI":"10.2807/esw.12.13.03167-en","ISSN":"9999-1233","abstract":"Nine cases of mumps have been reported recently in a village in Heves County in northern Hungary. The illnesses occurred between 5 January and 24 February 2007, and were epidemiologically related and laboratory-confirmed.","author":[{"dropping-particle":"","family":"Molnár","given":"Z","non-dropping-particle":"","parse-names":false,"suffix":""},{"dropping-particle":"","family":"Szomor","given":"K","non-dropping-particle":"","parse-names":false,"suffix":""},{"dropping-particle":"","family":"Huszti","given":"G","non-dropping-particle":"","parse-names":false,"suffix":""},{"dropping-particle":"","family":"Ozsvárné Csepregi","given":"É","non-dropping-particle":"","parse-names":false,"suffix":""}],"container-title":"Weekly releases (1997–2007)","id":"ITEM-1","issue":"13","issued":{"date-parts":[["2007","3","29"]]},"page":"3167","publisher":"European Centre for Disease Prevention and Control","title":"Local mumps outbreak in Hungary, 2007","type":"article-journal","volume":"12"},"uris":["http://www.mendeley.com/documents/?uuid=ff0e8054-bf14-3bfd-a7a3-a5fccbb1fe23"]}],"mendeley":{"formattedCitation":"[11]","plainTextFormattedCitation":"[11]","previouslyFormattedCitation":"[11]"},"properties":{"noteIndex":0},"schema":"https://github.com/citation-style-language/schema/raw/master/csl-citation.json"}</w:instrText>
      </w:r>
      <w:r w:rsidR="00F624E6" w:rsidRPr="002D21B6">
        <w:rPr>
          <w:rFonts w:ascii="Arial" w:hAnsi="Arial" w:cs="Arial"/>
          <w:sz w:val="24"/>
          <w:szCs w:val="24"/>
        </w:rPr>
        <w:fldChar w:fldCharType="separate"/>
      </w:r>
      <w:r w:rsidR="008B1116" w:rsidRPr="002D21B6">
        <w:rPr>
          <w:rFonts w:ascii="Arial" w:hAnsi="Arial" w:cs="Arial"/>
          <w:noProof/>
          <w:sz w:val="24"/>
          <w:szCs w:val="24"/>
        </w:rPr>
        <w:t>[11]</w:t>
      </w:r>
      <w:r w:rsidR="00F624E6" w:rsidRPr="002D21B6">
        <w:rPr>
          <w:rFonts w:ascii="Arial" w:hAnsi="Arial" w:cs="Arial"/>
          <w:sz w:val="24"/>
          <w:szCs w:val="24"/>
        </w:rPr>
        <w:fldChar w:fldCharType="end"/>
      </w:r>
      <w:r w:rsidR="00951868" w:rsidRPr="002D21B6">
        <w:rPr>
          <w:rFonts w:ascii="Arial" w:hAnsi="Arial" w:cs="Arial"/>
          <w:sz w:val="24"/>
          <w:szCs w:val="24"/>
        </w:rPr>
        <w:t>.</w:t>
      </w:r>
      <w:r w:rsidR="00F624E6" w:rsidRPr="002D21B6">
        <w:rPr>
          <w:rFonts w:ascii="Arial" w:hAnsi="Arial" w:cs="Arial"/>
          <w:sz w:val="24"/>
          <w:szCs w:val="24"/>
        </w:rPr>
        <w:t xml:space="preserve"> In Hungary the rubella vaccine was introduced in 1990 in the form of measles-rubella </w:t>
      </w:r>
      <w:r w:rsidR="002F2B25" w:rsidRPr="002D21B6">
        <w:rPr>
          <w:rFonts w:ascii="Arial" w:hAnsi="Arial" w:cs="Arial"/>
          <w:sz w:val="24"/>
          <w:szCs w:val="24"/>
        </w:rPr>
        <w:t>(MR</w:t>
      </w:r>
      <w:r w:rsidR="002F2B25">
        <w:rPr>
          <w:rFonts w:ascii="Arial" w:hAnsi="Arial" w:cs="Arial"/>
          <w:sz w:val="24"/>
          <w:szCs w:val="24"/>
        </w:rPr>
        <w:t>)</w:t>
      </w:r>
      <w:r w:rsidR="002F2B25" w:rsidRPr="002D21B6">
        <w:rPr>
          <w:rFonts w:ascii="Arial" w:hAnsi="Arial" w:cs="Arial"/>
          <w:sz w:val="24"/>
          <w:szCs w:val="24"/>
        </w:rPr>
        <w:t xml:space="preserve"> </w:t>
      </w:r>
      <w:r w:rsidR="00F624E6" w:rsidRPr="002D21B6">
        <w:rPr>
          <w:rFonts w:ascii="Arial" w:hAnsi="Arial" w:cs="Arial"/>
          <w:sz w:val="24"/>
          <w:szCs w:val="24"/>
        </w:rPr>
        <w:t xml:space="preserve">bivalent vaccine. A year later, in 1991 it was replaced by the measles- mumps- rubella </w:t>
      </w:r>
      <w:r w:rsidR="00357B90" w:rsidRPr="002D21B6">
        <w:rPr>
          <w:rFonts w:ascii="Arial" w:hAnsi="Arial" w:cs="Arial"/>
          <w:sz w:val="24"/>
          <w:szCs w:val="24"/>
        </w:rPr>
        <w:t xml:space="preserve">(MMR) </w:t>
      </w:r>
      <w:r w:rsidR="00F624E6" w:rsidRPr="002D21B6">
        <w:rPr>
          <w:rFonts w:ascii="Arial" w:hAnsi="Arial" w:cs="Arial"/>
          <w:sz w:val="24"/>
          <w:szCs w:val="24"/>
        </w:rPr>
        <w:t>trivalent vaccine that is still in use today. From 1 July 2018–30 June 2019, EU/EEA Member States reported 483 cases of rubella. The highest number of cases were reported by Poland (372), Germany (57), Italy (24), Spain (12) and Romania (4)</w:t>
      </w:r>
      <w:r w:rsidR="00D90821" w:rsidRPr="002D21B6">
        <w:rPr>
          <w:rFonts w:ascii="Arial" w:hAnsi="Arial" w:cs="Arial"/>
          <w:sz w:val="24"/>
          <w:szCs w:val="24"/>
        </w:rPr>
        <w:t xml:space="preserve"> </w:t>
      </w:r>
      <w:r w:rsidR="00F624E6" w:rsidRPr="002D21B6">
        <w:rPr>
          <w:rFonts w:ascii="Arial" w:hAnsi="Arial" w:cs="Arial"/>
          <w:sz w:val="24"/>
          <w:szCs w:val="24"/>
        </w:rPr>
        <w:fldChar w:fldCharType="begin" w:fldLock="1"/>
      </w:r>
      <w:r w:rsidR="00F624E6" w:rsidRPr="002D21B6">
        <w:rPr>
          <w:rFonts w:ascii="Arial" w:hAnsi="Arial" w:cs="Arial"/>
          <w:sz w:val="24"/>
          <w:szCs w:val="24"/>
        </w:rPr>
        <w:instrText>ADDIN CSL_CITATION {"citationItems":[{"id":"ITEM-1","itemData":{"author":[{"dropping-particle":"","family":"Ecdc","given":"","non-dropping-particle":"","parse-names":false,"suffix":""}],"id":"ITEM-1","issued":{"date-parts":[["2019"]]},"title":"Monthly measles and rubella monitoring report – August 2019","type":"report"},"uris":["http://www.mendeley.com/documents/?uuid=ffa9b82d-560b-3104-80ce-aef2c221a29a"]}],"mendeley":{"formattedCitation":"[5]","plainTextFormattedCitation":"[5]","previouslyFormattedCitation":"[5]"},"properties":{"noteIndex":0},"schema":"https://github.com/citation-style-language/schema/raw/master/csl-citation.json"}</w:instrText>
      </w:r>
      <w:r w:rsidR="00F624E6" w:rsidRPr="002D21B6">
        <w:rPr>
          <w:rFonts w:ascii="Arial" w:hAnsi="Arial" w:cs="Arial"/>
          <w:sz w:val="24"/>
          <w:szCs w:val="24"/>
        </w:rPr>
        <w:fldChar w:fldCharType="separate"/>
      </w:r>
      <w:r w:rsidR="00F624E6" w:rsidRPr="002D21B6">
        <w:rPr>
          <w:rFonts w:ascii="Arial" w:hAnsi="Arial" w:cs="Arial"/>
          <w:noProof/>
          <w:sz w:val="24"/>
          <w:szCs w:val="24"/>
        </w:rPr>
        <w:t>[5]</w:t>
      </w:r>
      <w:r w:rsidR="00F624E6" w:rsidRPr="002D21B6">
        <w:rPr>
          <w:rFonts w:ascii="Arial" w:hAnsi="Arial" w:cs="Arial"/>
          <w:sz w:val="24"/>
          <w:szCs w:val="24"/>
        </w:rPr>
        <w:fldChar w:fldCharType="end"/>
      </w:r>
      <w:r w:rsidR="00D90821" w:rsidRPr="002D21B6">
        <w:rPr>
          <w:rFonts w:ascii="Arial" w:hAnsi="Arial" w:cs="Arial"/>
          <w:sz w:val="24"/>
          <w:szCs w:val="24"/>
        </w:rPr>
        <w:t>.</w:t>
      </w:r>
      <w:r w:rsidR="00F624E6" w:rsidRPr="002D21B6">
        <w:rPr>
          <w:rFonts w:ascii="Arial" w:hAnsi="Arial" w:cs="Arial"/>
          <w:sz w:val="24"/>
          <w:szCs w:val="24"/>
        </w:rPr>
        <w:t xml:space="preserve"> </w:t>
      </w:r>
      <w:r w:rsidR="00180F2E" w:rsidRPr="002D21B6">
        <w:rPr>
          <w:rFonts w:ascii="Arial" w:hAnsi="Arial" w:cs="Arial"/>
          <w:sz w:val="24"/>
          <w:szCs w:val="24"/>
        </w:rPr>
        <w:t>For</w:t>
      </w:r>
      <w:r w:rsidR="00F624E6" w:rsidRPr="002D21B6">
        <w:rPr>
          <w:rFonts w:ascii="Arial" w:hAnsi="Arial" w:cs="Arial"/>
          <w:sz w:val="24"/>
          <w:szCs w:val="24"/>
        </w:rPr>
        <w:t xml:space="preserve"> Hungary between 2007-2018 WHO report</w:t>
      </w:r>
      <w:r w:rsidR="00180F2E" w:rsidRPr="002D21B6">
        <w:rPr>
          <w:rFonts w:ascii="Arial" w:hAnsi="Arial" w:cs="Arial"/>
          <w:sz w:val="24"/>
          <w:szCs w:val="24"/>
        </w:rPr>
        <w:t>s</w:t>
      </w:r>
      <w:r w:rsidR="00F624E6" w:rsidRPr="002D21B6">
        <w:rPr>
          <w:rFonts w:ascii="Arial" w:hAnsi="Arial" w:cs="Arial"/>
          <w:sz w:val="24"/>
          <w:szCs w:val="24"/>
        </w:rPr>
        <w:t xml:space="preserve"> only 10 cases</w:t>
      </w:r>
      <w:r w:rsidR="008F7F69" w:rsidRPr="002D21B6">
        <w:rPr>
          <w:rFonts w:ascii="Arial" w:hAnsi="Arial" w:cs="Arial"/>
          <w:sz w:val="24"/>
          <w:szCs w:val="24"/>
        </w:rPr>
        <w:t xml:space="preserve"> </w:t>
      </w:r>
      <w:r w:rsidR="00F37AEE" w:rsidRPr="002D21B6">
        <w:rPr>
          <w:rFonts w:ascii="Arial" w:hAnsi="Arial" w:cs="Arial"/>
          <w:sz w:val="24"/>
          <w:szCs w:val="24"/>
        </w:rPr>
        <w:fldChar w:fldCharType="begin" w:fldLock="1"/>
      </w:r>
      <w:r w:rsidR="009E6D33" w:rsidRPr="002D21B6">
        <w:rPr>
          <w:rFonts w:ascii="Arial" w:hAnsi="Arial" w:cs="Arial"/>
          <w:sz w:val="24"/>
          <w:szCs w:val="24"/>
        </w:rPr>
        <w:instrText>ADDIN CSL_CITATION {"citationItems":[{"id":"ITEM-1","itemData":{"abstract":"Measles and rubella elimination country profile Hungary Measles and rubella immunization schedule, 2017 Source: Immunization schedule, WHO, Data and Statistics, Immunization Monitoring and Surveillance (http://www.who.int/immunization/monitoring_surveillance/data/en/) MMR = measles-mumps-rubella vaccine; MCV1 = first dose measles-containing vaccine; MCV2 = second dose measles-containing vaccine; RCV = rubella-containing vaccine Measles and rubella cases and immunization coverage, 2008-2017 Source: Disease incidence and immunization coverage (WUENIC), WHO, Data and Statistics, Immunization Monitoring and Surveillance","author":[{"dropping-particle":"","family":"Office","given":"Europe","non-dropping-particle":"","parse-names":false,"suffix":""},{"dropping-particle":"","family":"Office","given":"Regional","non-dropping-particle":"","parse-names":false,"suffix":""}],"id":"ITEM-1","issued":{"date-parts":[["2017"]]},"title":"Measles and rubella elimination country profile Hungary","type":"report"},"uris":["http://www.mendeley.com/documents/?uuid=c8287240-8906-3b14-99f7-d42a33676316"]}],"mendeley":{"formattedCitation":"[12]","plainTextFormattedCitation":"[12]","previouslyFormattedCitation":"[12]"},"properties":{"noteIndex":0},"schema":"https://github.com/citation-style-language/schema/raw/master/csl-citation.json"}</w:instrText>
      </w:r>
      <w:r w:rsidR="00F37AEE" w:rsidRPr="002D21B6">
        <w:rPr>
          <w:rFonts w:ascii="Arial" w:hAnsi="Arial" w:cs="Arial"/>
          <w:sz w:val="24"/>
          <w:szCs w:val="24"/>
        </w:rPr>
        <w:fldChar w:fldCharType="separate"/>
      </w:r>
      <w:r w:rsidR="00D8279F" w:rsidRPr="002D21B6">
        <w:rPr>
          <w:rFonts w:ascii="Arial" w:hAnsi="Arial" w:cs="Arial"/>
          <w:noProof/>
          <w:sz w:val="24"/>
          <w:szCs w:val="24"/>
        </w:rPr>
        <w:t>[12]</w:t>
      </w:r>
      <w:r w:rsidR="00F37AEE" w:rsidRPr="002D21B6">
        <w:rPr>
          <w:rFonts w:ascii="Arial" w:hAnsi="Arial" w:cs="Arial"/>
          <w:sz w:val="24"/>
          <w:szCs w:val="24"/>
        </w:rPr>
        <w:fldChar w:fldCharType="end"/>
      </w:r>
      <w:r w:rsidR="008F7F69" w:rsidRPr="002D21B6">
        <w:rPr>
          <w:rFonts w:ascii="Arial" w:hAnsi="Arial" w:cs="Arial"/>
          <w:sz w:val="24"/>
          <w:szCs w:val="24"/>
        </w:rPr>
        <w:t>.</w:t>
      </w:r>
      <w:r w:rsidR="00F37AEE" w:rsidRPr="002D21B6">
        <w:rPr>
          <w:rFonts w:ascii="Arial" w:hAnsi="Arial" w:cs="Arial"/>
          <w:sz w:val="24"/>
          <w:szCs w:val="24"/>
        </w:rPr>
        <w:t xml:space="preserve"> Measles, mumps and rubella statistics (cases per year) based on ‘WHO Measles and rubella </w:t>
      </w:r>
      <w:r w:rsidR="00580326" w:rsidRPr="002D21B6">
        <w:rPr>
          <w:rFonts w:ascii="Arial" w:hAnsi="Arial" w:cs="Arial"/>
          <w:i/>
          <w:sz w:val="24"/>
          <w:szCs w:val="24"/>
        </w:rPr>
        <w:t>‘</w:t>
      </w:r>
      <w:r w:rsidR="00F37AEE" w:rsidRPr="002D21B6">
        <w:rPr>
          <w:rFonts w:ascii="Arial" w:hAnsi="Arial" w:cs="Arial"/>
          <w:i/>
          <w:sz w:val="24"/>
          <w:szCs w:val="24"/>
        </w:rPr>
        <w:t>elimination country profile for Hungary’</w:t>
      </w:r>
      <w:r w:rsidR="00F37AEE" w:rsidRPr="002D21B6">
        <w:rPr>
          <w:rFonts w:ascii="Arial" w:hAnsi="Arial" w:cs="Arial"/>
          <w:sz w:val="24"/>
          <w:szCs w:val="24"/>
        </w:rPr>
        <w:t xml:space="preserve"> data</w:t>
      </w:r>
      <w:r w:rsidR="00580326" w:rsidRPr="002D21B6">
        <w:rPr>
          <w:rFonts w:ascii="Arial" w:hAnsi="Arial" w:cs="Arial"/>
          <w:sz w:val="24"/>
          <w:szCs w:val="24"/>
        </w:rPr>
        <w:t xml:space="preserve"> (i.e. the number of reported infections of the last decades)</w:t>
      </w:r>
      <w:r w:rsidR="00F37AEE" w:rsidRPr="002D21B6">
        <w:rPr>
          <w:rFonts w:ascii="Arial" w:hAnsi="Arial" w:cs="Arial"/>
          <w:sz w:val="24"/>
          <w:szCs w:val="24"/>
        </w:rPr>
        <w:t xml:space="preserve"> are </w:t>
      </w:r>
      <w:r w:rsidR="00347637" w:rsidRPr="002D21B6">
        <w:rPr>
          <w:rFonts w:ascii="Arial" w:hAnsi="Arial" w:cs="Arial"/>
          <w:sz w:val="24"/>
          <w:szCs w:val="24"/>
        </w:rPr>
        <w:t>shown</w:t>
      </w:r>
      <w:r w:rsidR="00F37AEE" w:rsidRPr="002D21B6">
        <w:rPr>
          <w:rFonts w:ascii="Arial" w:hAnsi="Arial" w:cs="Arial"/>
          <w:sz w:val="24"/>
          <w:szCs w:val="24"/>
        </w:rPr>
        <w:t xml:space="preserve"> in Suppl.</w:t>
      </w:r>
      <w:r w:rsidR="00347637" w:rsidRPr="002D21B6">
        <w:rPr>
          <w:rFonts w:ascii="Arial" w:hAnsi="Arial" w:cs="Arial"/>
          <w:sz w:val="24"/>
          <w:szCs w:val="24"/>
        </w:rPr>
        <w:t xml:space="preserve"> </w:t>
      </w:r>
      <w:r w:rsidR="00F37AEE" w:rsidRPr="002D21B6">
        <w:rPr>
          <w:rFonts w:ascii="Arial" w:hAnsi="Arial" w:cs="Arial"/>
          <w:sz w:val="24"/>
          <w:szCs w:val="24"/>
        </w:rPr>
        <w:t>Fig</w:t>
      </w:r>
      <w:r w:rsidR="0077282D" w:rsidRPr="002D21B6">
        <w:rPr>
          <w:rFonts w:ascii="Arial" w:hAnsi="Arial" w:cs="Arial"/>
          <w:sz w:val="24"/>
          <w:szCs w:val="24"/>
        </w:rPr>
        <w:t>.</w:t>
      </w:r>
      <w:r w:rsidR="00147B60" w:rsidRPr="002D21B6">
        <w:rPr>
          <w:rFonts w:ascii="Arial" w:hAnsi="Arial" w:cs="Arial"/>
          <w:sz w:val="24"/>
          <w:szCs w:val="24"/>
        </w:rPr>
        <w:t xml:space="preserve"> </w:t>
      </w:r>
      <w:r w:rsidR="003D0FAB" w:rsidRPr="002D21B6">
        <w:rPr>
          <w:rFonts w:ascii="Arial" w:hAnsi="Arial" w:cs="Arial"/>
          <w:sz w:val="24"/>
          <w:szCs w:val="24"/>
        </w:rPr>
        <w:t>S</w:t>
      </w:r>
      <w:r w:rsidR="00C43609" w:rsidRPr="002D21B6">
        <w:rPr>
          <w:rFonts w:ascii="Arial" w:hAnsi="Arial" w:cs="Arial"/>
          <w:sz w:val="24"/>
          <w:szCs w:val="24"/>
        </w:rPr>
        <w:t>2</w:t>
      </w:r>
      <w:r w:rsidR="00F37AEE" w:rsidRPr="002D21B6">
        <w:rPr>
          <w:rFonts w:ascii="Arial" w:hAnsi="Arial" w:cs="Arial"/>
          <w:sz w:val="24"/>
          <w:szCs w:val="24"/>
        </w:rPr>
        <w:t>.</w:t>
      </w:r>
      <w:r w:rsidR="00942595" w:rsidRPr="002D21B6">
        <w:rPr>
          <w:rFonts w:ascii="Arial" w:hAnsi="Arial" w:cs="Arial"/>
          <w:sz w:val="24"/>
          <w:szCs w:val="24"/>
        </w:rPr>
        <w:t xml:space="preserve"> </w:t>
      </w:r>
      <w:r w:rsidR="00467201" w:rsidRPr="002D21B6">
        <w:rPr>
          <w:rFonts w:ascii="Arial" w:hAnsi="Arial" w:cs="Arial"/>
          <w:sz w:val="24"/>
          <w:szCs w:val="24"/>
        </w:rPr>
        <w:t xml:space="preserve">WHO-UNICEF estimates of national immunization coverage show that only four EU/EEA countries, including Hungary, Portugal, Slovakia and Sweden, reported at least 95% coverage for both doses </w:t>
      </w:r>
      <w:r w:rsidR="00747981">
        <w:rPr>
          <w:rFonts w:ascii="Arial" w:hAnsi="Arial" w:cs="Arial"/>
          <w:sz w:val="24"/>
          <w:szCs w:val="24"/>
        </w:rPr>
        <w:t xml:space="preserve">of MCV </w:t>
      </w:r>
      <w:r w:rsidR="00467201" w:rsidRPr="002D21B6">
        <w:rPr>
          <w:rFonts w:ascii="Arial" w:hAnsi="Arial" w:cs="Arial"/>
          <w:sz w:val="24"/>
          <w:szCs w:val="24"/>
        </w:rPr>
        <w:t xml:space="preserve">in 2017 </w:t>
      </w:r>
      <w:r w:rsidR="00467201" w:rsidRPr="002D21B6">
        <w:rPr>
          <w:rStyle w:val="Lbjegyzet-hivatkozs"/>
          <w:rFonts w:ascii="Arial" w:hAnsi="Arial" w:cs="Arial"/>
          <w:sz w:val="24"/>
          <w:szCs w:val="24"/>
        </w:rPr>
        <w:fldChar w:fldCharType="begin" w:fldLock="1"/>
      </w:r>
      <w:r w:rsidR="007E3432" w:rsidRPr="002D21B6">
        <w:rPr>
          <w:rFonts w:ascii="Arial" w:hAnsi="Arial" w:cs="Arial"/>
          <w:sz w:val="24"/>
          <w:szCs w:val="24"/>
        </w:rPr>
        <w:instrText>ADDIN CSL_CITATION {"citationItems":[{"id":"ITEM-1","itemData":{"author":[{"dropping-particle":"","family":"Ecdc","given":"","non-dropping-particle":"","parse-names":false,"suffix":""}],"id":"ITEM-1","issued":{"date-parts":[["0"]]},"title":"Monthly measles and rubella monitoring report – April 2019","type":"report"},"uris":["http://www.mendeley.com/documents/?uuid=16827b51-d6fd-3c85-bf3c-bad09ce3b702"]}],"mendeley":{"formattedCitation":"[13]","plainTextFormattedCitation":"[13]","previouslyFormattedCitation":"[13]"},"properties":{"noteIndex":0},"schema":"https://github.com/citation-style-language/schema/raw/master/csl-citation.json"}</w:instrText>
      </w:r>
      <w:r w:rsidR="00467201" w:rsidRPr="002D21B6">
        <w:rPr>
          <w:rStyle w:val="Lbjegyzet-hivatkozs"/>
          <w:rFonts w:ascii="Arial" w:hAnsi="Arial" w:cs="Arial"/>
          <w:sz w:val="24"/>
          <w:szCs w:val="24"/>
        </w:rPr>
        <w:fldChar w:fldCharType="separate"/>
      </w:r>
      <w:r w:rsidR="00D8279F" w:rsidRPr="002D21B6">
        <w:rPr>
          <w:rFonts w:ascii="Arial" w:hAnsi="Arial" w:cs="Arial"/>
          <w:noProof/>
          <w:sz w:val="24"/>
          <w:szCs w:val="24"/>
        </w:rPr>
        <w:t>[13]</w:t>
      </w:r>
      <w:r w:rsidR="00467201" w:rsidRPr="002D21B6">
        <w:rPr>
          <w:rStyle w:val="Lbjegyzet-hivatkozs"/>
          <w:rFonts w:ascii="Arial" w:hAnsi="Arial" w:cs="Arial"/>
          <w:sz w:val="24"/>
          <w:szCs w:val="24"/>
        </w:rPr>
        <w:fldChar w:fldCharType="end"/>
      </w:r>
      <w:r w:rsidR="00467201" w:rsidRPr="002D21B6">
        <w:rPr>
          <w:rFonts w:ascii="Arial" w:hAnsi="Arial" w:cs="Arial"/>
          <w:sz w:val="24"/>
          <w:szCs w:val="24"/>
        </w:rPr>
        <w:t xml:space="preserve">. Despite </w:t>
      </w:r>
      <w:r w:rsidR="000D2F4B" w:rsidRPr="002D21B6">
        <w:rPr>
          <w:rFonts w:ascii="Arial" w:hAnsi="Arial" w:cs="Arial"/>
          <w:sz w:val="24"/>
          <w:szCs w:val="24"/>
        </w:rPr>
        <w:t xml:space="preserve">the estimated </w:t>
      </w:r>
      <w:r w:rsidR="00467201" w:rsidRPr="002D21B6">
        <w:rPr>
          <w:rFonts w:ascii="Arial" w:hAnsi="Arial" w:cs="Arial"/>
          <w:sz w:val="24"/>
          <w:szCs w:val="24"/>
        </w:rPr>
        <w:t>99% measles vaccination coverage in Hungary</w:t>
      </w:r>
      <w:r w:rsidR="0077282D" w:rsidRPr="002D21B6">
        <w:rPr>
          <w:rFonts w:ascii="Arial" w:hAnsi="Arial" w:cs="Arial"/>
          <w:sz w:val="24"/>
          <w:szCs w:val="24"/>
        </w:rPr>
        <w:t xml:space="preserve"> </w:t>
      </w:r>
      <w:r w:rsidR="00467201" w:rsidRPr="002D21B6">
        <w:rPr>
          <w:rFonts w:ascii="Arial" w:hAnsi="Arial" w:cs="Arial"/>
          <w:sz w:val="24"/>
          <w:szCs w:val="24"/>
        </w:rPr>
        <w:fldChar w:fldCharType="begin" w:fldLock="1"/>
      </w:r>
      <w:r w:rsidR="009E6D33" w:rsidRPr="002D21B6">
        <w:rPr>
          <w:rFonts w:ascii="Arial" w:hAnsi="Arial" w:cs="Arial"/>
          <w:sz w:val="24"/>
          <w:szCs w:val="24"/>
        </w:rPr>
        <w:instrText>ADDIN CSL_CITATION {"citationItems":[{"id":"ITEM-1","itemData":{"id":"ITEM-1","issued":{"date-parts":[["0"]]},"publisher":"World Health Organization","title":"WHO | Immunization Country Profile","type":"article-journal"},"uris":["http://www.mendeley.com/documents/?uuid=900c834c-0933-3a6e-acd2-daf7d222e8f9"]},{"id":"ITEM-2","itemData":{"abstract":"Measles and rubella elimination country profile Hungary Measles and rubella immunization schedule, 2017 Source: Immunization schedule, WHO, Data and Statistics, Immunization Monitoring and Surveillance (http://www.who.int/immunization/monitoring_surveillance/data/en/) MMR = measles-mumps-rubella vaccine; MCV1 = first dose measles-containing vaccine; MCV2 = second dose measles-containing vaccine; RCV = rubella-containing vaccine Measles and rubella cases and immunization coverage, 2008-2017 Source: Disease incidence and immunization coverage (WUENIC), WHO, Data and Statistics, Immunization Monitoring and Surveillance","author":[{"dropping-particle":"","family":"Office","given":"Europe","non-dropping-particle":"","parse-names":false,"suffix":""},{"dropping-particle":"","family":"Office","given":"Regional","non-dropping-particle":"","parse-names":false,"suffix":""}],"id":"ITEM-2","issued":{"date-parts":[["2017"]]},"title":"Measles and rubella elimination country profile Hungary","type":"report"},"uris":["http://www.mendeley.com/documents/?uuid=c8287240-8906-3b14-99f7-d42a33676316"]}],"mendeley":{"formattedCitation":"[12,14]","plainTextFormattedCitation":"[12,14]","previouslyFormattedCitation":"[12,14]"},"properties":{"noteIndex":0},"schema":"https://github.com/citation-style-language/schema/raw/master/csl-citation.json"}</w:instrText>
      </w:r>
      <w:r w:rsidR="00467201" w:rsidRPr="002D21B6">
        <w:rPr>
          <w:rFonts w:ascii="Arial" w:hAnsi="Arial" w:cs="Arial"/>
          <w:sz w:val="24"/>
          <w:szCs w:val="24"/>
        </w:rPr>
        <w:fldChar w:fldCharType="separate"/>
      </w:r>
      <w:r w:rsidR="00D8279F" w:rsidRPr="002D21B6">
        <w:rPr>
          <w:rFonts w:ascii="Arial" w:hAnsi="Arial" w:cs="Arial"/>
          <w:noProof/>
          <w:sz w:val="24"/>
          <w:szCs w:val="24"/>
        </w:rPr>
        <w:t>[12,14]</w:t>
      </w:r>
      <w:r w:rsidR="00467201" w:rsidRPr="002D21B6">
        <w:rPr>
          <w:rFonts w:ascii="Arial" w:hAnsi="Arial" w:cs="Arial"/>
          <w:sz w:val="24"/>
          <w:szCs w:val="24"/>
        </w:rPr>
        <w:fldChar w:fldCharType="end"/>
      </w:r>
      <w:r w:rsidR="00615917" w:rsidRPr="002D21B6">
        <w:rPr>
          <w:rFonts w:ascii="Arial" w:hAnsi="Arial" w:cs="Arial"/>
          <w:sz w:val="24"/>
          <w:szCs w:val="24"/>
        </w:rPr>
        <w:t xml:space="preserve"> (Suppl. Fig</w:t>
      </w:r>
      <w:r w:rsidR="0077282D" w:rsidRPr="002D21B6">
        <w:rPr>
          <w:rFonts w:ascii="Arial" w:hAnsi="Arial" w:cs="Arial"/>
          <w:sz w:val="24"/>
          <w:szCs w:val="24"/>
        </w:rPr>
        <w:t>.</w:t>
      </w:r>
      <w:r w:rsidR="00147B60" w:rsidRPr="002D21B6">
        <w:rPr>
          <w:rFonts w:ascii="Arial" w:hAnsi="Arial" w:cs="Arial"/>
          <w:sz w:val="24"/>
          <w:szCs w:val="24"/>
        </w:rPr>
        <w:t xml:space="preserve"> </w:t>
      </w:r>
      <w:r w:rsidR="003D0FAB" w:rsidRPr="002D21B6">
        <w:rPr>
          <w:rFonts w:ascii="Arial" w:hAnsi="Arial" w:cs="Arial"/>
          <w:sz w:val="24"/>
          <w:szCs w:val="24"/>
        </w:rPr>
        <w:t>S</w:t>
      </w:r>
      <w:r w:rsidR="004B5A24" w:rsidRPr="002D21B6">
        <w:rPr>
          <w:rFonts w:ascii="Arial" w:hAnsi="Arial" w:cs="Arial"/>
          <w:sz w:val="24"/>
          <w:szCs w:val="24"/>
        </w:rPr>
        <w:t>1</w:t>
      </w:r>
      <w:r w:rsidR="00615917" w:rsidRPr="002D21B6">
        <w:rPr>
          <w:rFonts w:ascii="Arial" w:hAnsi="Arial" w:cs="Arial"/>
          <w:sz w:val="24"/>
          <w:szCs w:val="24"/>
        </w:rPr>
        <w:t>)</w:t>
      </w:r>
      <w:r w:rsidR="00467201" w:rsidRPr="002D21B6">
        <w:rPr>
          <w:rFonts w:ascii="Arial" w:hAnsi="Arial" w:cs="Arial"/>
          <w:sz w:val="24"/>
          <w:szCs w:val="24"/>
        </w:rPr>
        <w:t xml:space="preserve">, </w:t>
      </w:r>
      <w:r w:rsidR="00467201" w:rsidRPr="002D21B6">
        <w:rPr>
          <w:rFonts w:ascii="Arial" w:hAnsi="Arial" w:cs="Arial"/>
          <w:sz w:val="24"/>
          <w:szCs w:val="24"/>
        </w:rPr>
        <w:lastRenderedPageBreak/>
        <w:t xml:space="preserve">from February 2017 to </w:t>
      </w:r>
      <w:r w:rsidR="00A4098E" w:rsidRPr="002D21B6">
        <w:rPr>
          <w:rFonts w:ascii="Arial" w:hAnsi="Arial" w:cs="Arial"/>
          <w:sz w:val="24"/>
          <w:szCs w:val="24"/>
        </w:rPr>
        <w:t>July</w:t>
      </w:r>
      <w:r w:rsidR="00467201" w:rsidRPr="002D21B6">
        <w:rPr>
          <w:rFonts w:ascii="Arial" w:hAnsi="Arial" w:cs="Arial"/>
          <w:sz w:val="24"/>
          <w:szCs w:val="24"/>
        </w:rPr>
        <w:t xml:space="preserve"> 2019 </w:t>
      </w:r>
      <w:r w:rsidR="00A4098E" w:rsidRPr="002D21B6">
        <w:rPr>
          <w:rFonts w:ascii="Arial" w:hAnsi="Arial" w:cs="Arial"/>
          <w:sz w:val="24"/>
          <w:szCs w:val="24"/>
        </w:rPr>
        <w:t>7</w:t>
      </w:r>
      <w:r w:rsidR="00467201" w:rsidRPr="002D21B6">
        <w:rPr>
          <w:rFonts w:ascii="Arial" w:hAnsi="Arial" w:cs="Arial"/>
          <w:sz w:val="24"/>
          <w:szCs w:val="24"/>
        </w:rPr>
        <w:t>0 measles cases were laboratory confirmed according to</w:t>
      </w:r>
      <w:r w:rsidR="00600E54">
        <w:rPr>
          <w:rFonts w:ascii="Arial" w:hAnsi="Arial" w:cs="Arial"/>
          <w:sz w:val="24"/>
          <w:szCs w:val="24"/>
        </w:rPr>
        <w:t xml:space="preserve"> the</w:t>
      </w:r>
      <w:r w:rsidR="00467201" w:rsidRPr="002D21B6">
        <w:rPr>
          <w:rFonts w:ascii="Arial" w:hAnsi="Arial" w:cs="Arial"/>
          <w:sz w:val="24"/>
          <w:szCs w:val="24"/>
        </w:rPr>
        <w:t xml:space="preserve"> European Centre for Disease Prevention and Control (ECDC) reports.</w:t>
      </w:r>
    </w:p>
    <w:p w:rsidR="007810FF" w:rsidRPr="002D21B6" w:rsidRDefault="00467201" w:rsidP="000A59DF">
      <w:pPr>
        <w:spacing w:line="480" w:lineRule="auto"/>
        <w:ind w:firstLine="510"/>
        <w:rPr>
          <w:rFonts w:ascii="Arial" w:hAnsi="Arial" w:cs="Arial"/>
          <w:sz w:val="24"/>
          <w:szCs w:val="24"/>
        </w:rPr>
      </w:pPr>
      <w:r w:rsidRPr="002D21B6">
        <w:rPr>
          <w:rFonts w:ascii="Arial" w:hAnsi="Arial" w:cs="Arial"/>
          <w:sz w:val="24"/>
          <w:szCs w:val="24"/>
        </w:rPr>
        <w:t xml:space="preserve"> </w:t>
      </w:r>
      <w:r w:rsidR="005759CF" w:rsidRPr="002D21B6">
        <w:rPr>
          <w:rFonts w:ascii="Arial" w:hAnsi="Arial" w:cs="Arial"/>
          <w:sz w:val="24"/>
          <w:szCs w:val="24"/>
        </w:rPr>
        <w:t>These data</w:t>
      </w:r>
      <w:r w:rsidR="00AF4669" w:rsidRPr="002D21B6">
        <w:rPr>
          <w:rFonts w:ascii="Arial" w:hAnsi="Arial" w:cs="Arial"/>
          <w:sz w:val="24"/>
          <w:szCs w:val="24"/>
        </w:rPr>
        <w:t xml:space="preserve"> raise the question </w:t>
      </w:r>
      <w:r w:rsidR="001B1407" w:rsidRPr="002D21B6">
        <w:rPr>
          <w:rFonts w:ascii="Arial" w:hAnsi="Arial" w:cs="Arial"/>
          <w:sz w:val="24"/>
          <w:szCs w:val="24"/>
        </w:rPr>
        <w:t xml:space="preserve">concerning </w:t>
      </w:r>
      <w:r w:rsidR="00AF4669" w:rsidRPr="002D21B6">
        <w:rPr>
          <w:rFonts w:ascii="Arial" w:hAnsi="Arial" w:cs="Arial"/>
          <w:sz w:val="24"/>
          <w:szCs w:val="24"/>
        </w:rPr>
        <w:t xml:space="preserve">the reliability of the </w:t>
      </w:r>
      <w:r w:rsidR="00D37A18" w:rsidRPr="002D21B6">
        <w:rPr>
          <w:rFonts w:ascii="Arial" w:hAnsi="Arial" w:cs="Arial"/>
          <w:sz w:val="24"/>
          <w:szCs w:val="24"/>
        </w:rPr>
        <w:t xml:space="preserve">Hungarian </w:t>
      </w:r>
      <w:r w:rsidR="00AF4669" w:rsidRPr="002D21B6">
        <w:rPr>
          <w:rFonts w:ascii="Arial" w:hAnsi="Arial" w:cs="Arial"/>
          <w:sz w:val="24"/>
          <w:szCs w:val="24"/>
        </w:rPr>
        <w:t xml:space="preserve">population’s </w:t>
      </w:r>
      <w:r w:rsidR="008A1D86" w:rsidRPr="002D21B6">
        <w:rPr>
          <w:rFonts w:ascii="Arial" w:hAnsi="Arial" w:cs="Arial"/>
          <w:sz w:val="24"/>
          <w:szCs w:val="24"/>
        </w:rPr>
        <w:t xml:space="preserve">herd </w:t>
      </w:r>
      <w:r w:rsidR="00AF4669" w:rsidRPr="002D21B6">
        <w:rPr>
          <w:rFonts w:ascii="Arial" w:hAnsi="Arial" w:cs="Arial"/>
          <w:sz w:val="24"/>
          <w:szCs w:val="24"/>
        </w:rPr>
        <w:t xml:space="preserve">immunity. </w:t>
      </w:r>
      <w:r w:rsidR="00531CEA" w:rsidRPr="002D21B6">
        <w:rPr>
          <w:rFonts w:ascii="Arial" w:hAnsi="Arial" w:cs="Arial"/>
          <w:sz w:val="24"/>
          <w:szCs w:val="24"/>
        </w:rPr>
        <w:t xml:space="preserve">Because of recent outbreaks </w:t>
      </w:r>
      <w:r w:rsidR="003A7344" w:rsidRPr="002D21B6">
        <w:rPr>
          <w:rFonts w:ascii="Arial" w:hAnsi="Arial" w:cs="Arial"/>
          <w:sz w:val="24"/>
          <w:szCs w:val="24"/>
        </w:rPr>
        <w:t>worldwide</w:t>
      </w:r>
      <w:r w:rsidR="00D97FE6" w:rsidRPr="002D21B6">
        <w:rPr>
          <w:rFonts w:ascii="Arial" w:hAnsi="Arial" w:cs="Arial"/>
          <w:sz w:val="24"/>
          <w:szCs w:val="24"/>
        </w:rPr>
        <w:t>,</w:t>
      </w:r>
      <w:r w:rsidR="00530FBA" w:rsidRPr="002D21B6">
        <w:rPr>
          <w:rFonts w:ascii="Arial" w:hAnsi="Arial" w:cs="Arial"/>
          <w:sz w:val="24"/>
          <w:szCs w:val="24"/>
        </w:rPr>
        <w:t xml:space="preserve"> </w:t>
      </w:r>
      <w:r w:rsidR="00436778" w:rsidRPr="002D21B6">
        <w:rPr>
          <w:rFonts w:ascii="Arial" w:hAnsi="Arial" w:cs="Arial"/>
          <w:sz w:val="24"/>
          <w:szCs w:val="24"/>
        </w:rPr>
        <w:t xml:space="preserve">not only </w:t>
      </w:r>
      <w:r w:rsidR="00833665" w:rsidRPr="002D21B6">
        <w:rPr>
          <w:rFonts w:ascii="Arial" w:hAnsi="Arial" w:cs="Arial"/>
          <w:sz w:val="24"/>
          <w:szCs w:val="24"/>
        </w:rPr>
        <w:t xml:space="preserve">of </w:t>
      </w:r>
      <w:r w:rsidR="00531CEA" w:rsidRPr="002D21B6">
        <w:rPr>
          <w:rFonts w:ascii="Arial" w:hAnsi="Arial" w:cs="Arial"/>
          <w:sz w:val="24"/>
          <w:szCs w:val="24"/>
        </w:rPr>
        <w:t xml:space="preserve">measles, </w:t>
      </w:r>
      <w:r w:rsidR="00436778" w:rsidRPr="002D21B6">
        <w:rPr>
          <w:rFonts w:ascii="Arial" w:hAnsi="Arial" w:cs="Arial"/>
          <w:sz w:val="24"/>
          <w:szCs w:val="24"/>
        </w:rPr>
        <w:t>but also mumps</w:t>
      </w:r>
      <w:r w:rsidR="00531CEA" w:rsidRPr="002D21B6">
        <w:rPr>
          <w:rFonts w:ascii="Arial" w:hAnsi="Arial" w:cs="Arial"/>
          <w:sz w:val="24"/>
          <w:szCs w:val="24"/>
        </w:rPr>
        <w:t xml:space="preserve"> and rubella</w:t>
      </w:r>
      <w:r w:rsidR="00130C1E" w:rsidRPr="002D21B6">
        <w:rPr>
          <w:rFonts w:ascii="Arial" w:hAnsi="Arial" w:cs="Arial"/>
          <w:sz w:val="24"/>
          <w:szCs w:val="24"/>
        </w:rPr>
        <w:t xml:space="preserve"> (MMR)</w:t>
      </w:r>
      <w:r w:rsidR="00531CEA" w:rsidRPr="002D21B6">
        <w:rPr>
          <w:rFonts w:ascii="Arial" w:hAnsi="Arial" w:cs="Arial"/>
          <w:sz w:val="24"/>
          <w:szCs w:val="24"/>
        </w:rPr>
        <w:t xml:space="preserve"> infections</w:t>
      </w:r>
      <w:r w:rsidR="00F94754" w:rsidRPr="002D21B6">
        <w:rPr>
          <w:rFonts w:ascii="Arial" w:hAnsi="Arial" w:cs="Arial"/>
          <w:sz w:val="24"/>
          <w:szCs w:val="24"/>
        </w:rPr>
        <w:t xml:space="preserve"> </w:t>
      </w:r>
      <w:r w:rsidR="002D0C77" w:rsidRPr="002D21B6">
        <w:rPr>
          <w:rStyle w:val="Lbjegyzet-hivatkozs"/>
          <w:rFonts w:ascii="Arial" w:hAnsi="Arial" w:cs="Arial"/>
          <w:sz w:val="24"/>
          <w:szCs w:val="24"/>
        </w:rPr>
        <w:fldChar w:fldCharType="begin" w:fldLock="1"/>
      </w:r>
      <w:r w:rsidR="007E3432" w:rsidRPr="002D21B6">
        <w:rPr>
          <w:rFonts w:ascii="Arial" w:hAnsi="Arial" w:cs="Arial"/>
          <w:sz w:val="24"/>
          <w:szCs w:val="24"/>
        </w:rPr>
        <w:instrText>ADDIN CSL_CITATION {"citationItems":[{"id":"ITEM-1","itemData":{"DOI":"10.1016/S0140-6736(14)60539-0","ISSN":"01406736","author":[{"dropping-particle":"","family":"Lambert","given":"Nathaniel","non-dropping-particle":"","parse-names":false,"suffix":""},{"dropping-particle":"","family":"Strebel","given":"Peter","non-dropping-particle":"","parse-names":false,"suffix":""},{"dropping-particle":"","family":"Orenstein","given":"Walter","non-dropping-particle":"","parse-names":false,"suffix":""},{"dropping-particle":"","family":"Icenogle","given":"Joseph","non-dropping-particle":"","parse-names":false,"suffix":""},{"dropping-particle":"","family":"Poland","given":"Gregory A","non-dropping-particle":"","parse-names":false,"suffix":""}],"container-title":"The Lancet","id":"ITEM-1","issue":"9984","issued":{"date-parts":[["2015"]]},"page":"2297-2307","title":"Rubella","type":"article-journal","volume":"385"},"uris":["http://www.mendeley.com/documents/?uuid=ca1159f8-91c9-4d17-9bb9-acac5ca8ffe0"]},{"id":"ITEM-2","itemData":{"DOI":"10.1016/S0140-6736(17)31463-0","ISSN":"0140-6736","abstract":"Measles is a highly contagious disease that results from infection with measles virus and is still responsible for more than 100 000 deaths every year, down from more than 2 million deaths annually before the introduction and widespread use of measles vaccine. Measles virus is transmitted by the respiratory route and illness begins with fever, cough, coryza, and conjunctivitis followed by a characteristic rash. Complications of measles affect most organ systems, with pneumonia accounting for most measles-associated morbidity and mortality. The management of patients with measles includes provision of vitamin A. Measles is best prevented through vaccination, and the major reductions in measles incidence and mortality have renewed interest in regional elimination and global eradication. However, urgent efforts are needed to increase stagnating global coverage with two doses of measles vaccine through advocacy, education, and the strengthening of routine immunisation systems. Use of combined measles-rubella vaccines provides an opportunity to eliminate rubella and congenital rubella syndrome. Ongoing research efforts, including the development of point-of-care diagnostics and microneedle patches, will facilitate progress towards measles elimination and eradication.","author":[{"dropping-particle":"","family":"Moss","given":"William J","non-dropping-particle":"","parse-names":false,"suffix":""}],"container-title":"The Lancet","id":"ITEM-2","issue":"10111","issued":{"date-parts":[["2017","12","2"]]},"page":"2490-2502","publisher":"Elsevier","title":"Measles","type":"article-journal","volume":"390"},"uris":["http://www.mendeley.com/documents/?uuid=bce38997-1c76-3ab4-b064-7c84fda24f76"]},{"id":"ITEM-3","itemData":{"DOI":"10.1126/SCITRANSLMED.AAO5945","ISSN":"1946-6234","PMID":"29563321","abstract":"Rising mumps cases in vaccinated populations in the United States over the past decade have raised doubts about mumps vaccine efficacy. Here, Lewnard et al . examined these outbreaks using mumps vaccine effectiveness data and dynamic transmission modeling. They found that the increase in mumps cases is more consistent with loss of vaccine protection over time, rather than incomplete protection against an evolving virus population or lack of immune response to the vaccine. Their work also suggested that a third vaccine dose may extend protection, which could prove useful in designing a clinical action plan to prevent the spread of mumps.\n\nAfter decades of declining mumps incidence amid widespread vaccination, the United States and other developed countries have experienced a resurgence in mumps cases over the last decade. Outbreaks affecting vaccinated individuals and communities with high vaccine coverage have prompted concerns about the effectiveness of the live attenuated vaccine currently in use. It is unclear whether immune protection wanes or whether the vaccine protects inadequately against currently circulating mumps virus lineages. Synthesizing data from six studies of mumps vaccine effectiveness, we estimated that vaccine-derived immune protection against mumps wanes on average 27 years (95% confidence interval, 16 to 51 years) after vaccination. After accounting for this waning, we found no evidence that the emergence of heterologous virus genotypes contributed to changes in vaccine effectiveness over time. A mathematical model of mumps transmission confirmed the central role of waning immunity to the vaccine in the re-emergence of mumps cases. Outbreaks from 2006 to the present among young adults, and outbreaks in the late 1980s and early 1990s among adolescents, aligned with peaks in mumps susceptibility of these age groups predicted to be due to loss of vaccine-derived protection. In contrast, evolution of mumps virus strains escaping immune pressure would be expected to cause a higher proportion of cases among children, not adolescents and young adults as observed. Routine use of a third vaccine dose at 18 years of age, or booster dosing throughout adulthood, may be a strategy to prevent mumps re-emergence and should be assessed in clinical trials.","author":[{"dropping-particle":"","family":"Lewnard","given":"Joseph A.","non-dropping-particle":"","parse-names":false,"suffix":""},{"dropping-particle":"","family":"Grad","given":"Yonatan H.","non-dropping-particle":"","parse-names":false,"suffix":""}],"container-title":"Science Translational Medicine","id":"ITEM-3","issue":"433","issued":{"date-parts":[["2018","3","21"]]},"page":"eaao5945","publisher":"American Association for the Advancement of Science","title":"Vaccine waning and mumps re-emergence in the United States","type":"article-journal","volume":"10"},"uris":["http://www.mendeley.com/documents/?uuid=b826fc62-f4c1-3bb5-87db-d0a7f2c01562"]},{"id":"ITEM-4","itemData":{"DOI":"10.1016/S0140-6736(08)60419-5","ISSN":"0140-6736","abstract":"Mumps is a common childhood infection caused by the mumps virus. The hallmark of infection is swelling of the parotid gland. Aseptic meningitis and encephalitis are common complications of mumps together with orchitis and oophoritis, which can arise in adult men and women, respectively; other complications include deafness and pancreatitis. Clinical diagnosis can be based on the classic parotid swelling; however, this feature is not present in all cases of mumps and can also occur in various other disorders. Laboratory diagnosis is based on isolation of virus, detection of viral nucleic acid, or serological confirmation (generally presence of IgM mumps antibodies). Mumps is vaccine-preventable, and one dose of mumps vaccine is about 80% effective against the disease. Routine vaccination has proven highly effective in reducing the incidence of mumps, and is presently used by most developed countries; however, there have been outbreaks of disease in vaccinated populations. In 2005, a large epidemic peaked in the UK, and in 2006 the American midwest had several outbreaks. In both countries, the largest proportion of cases was in young adults. In the UK, susceptible cohorts too old to have been vaccinated and too young to have been exposed to natural infections were the primary cause of the mumps epidemic. In the USA, effectiveness and uptake in combination appear not to have been sufficient to obtain herd immunity for mumps in populations such as college students.","author":[{"dropping-particle":"","family":"Hviid","given":"Anders","non-dropping-particle":"","parse-names":false,"suffix":""},{"dropping-particle":"","family":"Rubin","given":"Steven","non-dropping-particle":"","parse-names":false,"suffix":""},{"dropping-particle":"","family":"Mühlemann","given":"Kathrin","non-dropping-particle":"","parse-names":false,"suffix":""}],"container-title":"The Lancet","id":"ITEM-4","issue":"9616","issued":{"date-parts":[["2008","3","15"]]},"page":"932-944","publisher":"Elsevier","title":"Mumps","type":"article-journal","volume":"371"},"uris":["http://www.mendeley.com/documents/?uuid=99ab34ca-f7ba-324a-b5ce-70b8b88071b7"]},{"id":"ITEM-5","itemData":{"URL":"https://www.cdc.gov/mmwr/publications/index.html","accessed":{"date-parts":[["2019","5","5"]]},"author":[{"dropping-particle":"","family":"MMWR  Weekly","given":"","non-dropping-particle":"","parse-names":false,"suffix":""}],"id":"ITEM-5","issued":{"date-parts":[["0"]]},"title":"MMWR Publications | MMWR","type":"webpage"},"uris":["http://www.mendeley.com/documents/?uuid=68730c60-5184-325f-b319-4690dbe1078b"]}],"mendeley":{"formattedCitation":"[15–19]","plainTextFormattedCitation":"[15–19]","previouslyFormattedCitation":"[15–19]"},"properties":{"noteIndex":0},"schema":"https://github.com/citation-style-language/schema/raw/master/csl-citation.json"}</w:instrText>
      </w:r>
      <w:r w:rsidR="002D0C77" w:rsidRPr="002D21B6">
        <w:rPr>
          <w:rStyle w:val="Lbjegyzet-hivatkozs"/>
          <w:rFonts w:ascii="Arial" w:hAnsi="Arial" w:cs="Arial"/>
          <w:sz w:val="24"/>
          <w:szCs w:val="24"/>
        </w:rPr>
        <w:fldChar w:fldCharType="separate"/>
      </w:r>
      <w:r w:rsidR="00D8279F" w:rsidRPr="002D21B6">
        <w:rPr>
          <w:rFonts w:ascii="Arial" w:hAnsi="Arial" w:cs="Arial"/>
          <w:bCs/>
          <w:noProof/>
          <w:sz w:val="24"/>
          <w:szCs w:val="24"/>
          <w:lang w:val="hu-HU"/>
        </w:rPr>
        <w:t>[15–19]</w:t>
      </w:r>
      <w:r w:rsidR="002D0C77" w:rsidRPr="002D21B6">
        <w:rPr>
          <w:rStyle w:val="Lbjegyzet-hivatkozs"/>
          <w:rFonts w:ascii="Arial" w:hAnsi="Arial" w:cs="Arial"/>
          <w:sz w:val="24"/>
          <w:szCs w:val="24"/>
        </w:rPr>
        <w:fldChar w:fldCharType="end"/>
      </w:r>
      <w:r w:rsidR="00531CEA" w:rsidRPr="002D21B6">
        <w:rPr>
          <w:rFonts w:ascii="Arial" w:hAnsi="Arial" w:cs="Arial"/>
          <w:sz w:val="24"/>
          <w:szCs w:val="24"/>
        </w:rPr>
        <w:t>,</w:t>
      </w:r>
      <w:r w:rsidR="00363A3E" w:rsidRPr="002D21B6">
        <w:rPr>
          <w:rFonts w:ascii="Arial" w:hAnsi="Arial" w:cs="Arial"/>
          <w:sz w:val="24"/>
          <w:szCs w:val="24"/>
        </w:rPr>
        <w:t xml:space="preserve"> and because of </w:t>
      </w:r>
      <w:r w:rsidR="00531CEA" w:rsidRPr="002D21B6">
        <w:rPr>
          <w:rFonts w:ascii="Arial" w:hAnsi="Arial" w:cs="Arial"/>
          <w:sz w:val="24"/>
          <w:szCs w:val="24"/>
        </w:rPr>
        <w:t>waning of immunity</w:t>
      </w:r>
      <w:r w:rsidR="00833665" w:rsidRPr="002D21B6">
        <w:rPr>
          <w:rFonts w:ascii="Arial" w:hAnsi="Arial" w:cs="Arial"/>
          <w:sz w:val="24"/>
          <w:szCs w:val="24"/>
        </w:rPr>
        <w:t xml:space="preserve"> </w:t>
      </w:r>
      <w:r w:rsidR="00531CEA" w:rsidRPr="002D21B6">
        <w:rPr>
          <w:rFonts w:ascii="Arial" w:hAnsi="Arial" w:cs="Arial"/>
          <w:sz w:val="24"/>
          <w:szCs w:val="24"/>
        </w:rPr>
        <w:t>over time after vaccination</w:t>
      </w:r>
      <w:r w:rsidR="00BF1DF4" w:rsidRPr="002D21B6">
        <w:rPr>
          <w:rFonts w:ascii="Arial" w:hAnsi="Arial" w:cs="Arial"/>
          <w:sz w:val="24"/>
          <w:szCs w:val="24"/>
        </w:rPr>
        <w:t xml:space="preserve"> </w:t>
      </w:r>
      <w:r w:rsidR="002D0C77" w:rsidRPr="002D21B6">
        <w:rPr>
          <w:rStyle w:val="Lbjegyzet-hivatkozs"/>
          <w:rFonts w:ascii="Arial" w:hAnsi="Arial" w:cs="Arial"/>
          <w:sz w:val="24"/>
          <w:szCs w:val="24"/>
        </w:rPr>
        <w:fldChar w:fldCharType="begin" w:fldLock="1"/>
      </w:r>
      <w:r w:rsidR="007E3432" w:rsidRPr="002D21B6">
        <w:rPr>
          <w:rFonts w:ascii="Arial" w:hAnsi="Arial" w:cs="Arial"/>
          <w:sz w:val="24"/>
          <w:szCs w:val="24"/>
        </w:rPr>
        <w:instrText>ADDIN CSL_CITATION {"citationItems":[{"id":"ITEM-1","itemData":{"DOI":"10.1080/14760584.2018.1445529","ISSN":"1476-0584","PMID":"29478347","abstract":"BACKGROUND In China, one dose measles-mumps-rubella vaccine (MMR) was administered to children aged 18-24 months. The mumps incidence was still high. Data on the waning immunity to mumps after MMR vaccination are limited. This study aimed to describe the waning immunity to mumps in kindergarten and primary school children to provide a scientific basis for confirming an optimal age for a second dose. METHODS An observational, prospective study on one-dose MMR in children in kindergarten and primary school was conducted from 2015 to 2016. Waning immunity to mumps in terms of seropositivity and geometric antibody concentration (GMC) with time was analyzed. RESULTS In total, 7436 eligible subjects in kindergarten (3435) and primary school (4001) were included in 2015. The overall GMC (201.7 U/ml) and seropositivity (75.4%) to mumps antibodies in 2016 were significantly lower compared to those in 2015 (218.7 U/ml, 78.4%). Asymptomatic infection occurred within one year in 8.8% of children who received one-dose MMR. CONCLUSIONS Children who received one-dose MMR in kindergarten and primary school were at high risk of mumps infection, and waning immunity occurred with time. Determining the optimal age for the second dose of MMR in children should be prioritized to prevent mumps epidemics.","author":[{"dropping-particle":"","family":"Liu","given":"Yuanbao","non-dropping-particle":"","parse-names":false,"suffix":""},{"dropping-particle":"","family":"Liu","given":"Zhihao","non-dropping-particle":"","parse-names":false,"suffix":""},{"dropping-particle":"","family":"Deng","given":"Xiuying","non-dropping-particle":"","parse-names":false,"suffix":""},{"dropping-particle":"","family":"Hu","given":"Ying","non-dropping-particle":"","parse-names":false,"suffix":""},{"dropping-particle":"","family":"Wang","given":"Zhiguo","non-dropping-particle":"","parse-names":false,"suffix":""},{"dropping-particle":"","family":"Lu","given":"Peishan","non-dropping-particle":"","parse-names":false,"suffix":""},{"dropping-particle":"","family":"Guo","given":"Hongxiong","non-dropping-particle":"","parse-names":false,"suffix":""},{"dropping-particle":"","family":"Sun","given":"Xiang","non-dropping-particle":"","parse-names":false,"suffix":""},{"dropping-particle":"","family":"Xu","given":"Yan","non-dropping-particle":"","parse-names":false,"suffix":""},{"dropping-particle":"","family":"Tang","given":"Fenyang","non-dropping-particle":"","parse-names":false,"suffix":""},{"dropping-particle":"","family":"Zhu","given":"Feng-Cai","non-dropping-particle":"","parse-names":false,"suffix":""}],"container-title":"Expert Review of Vaccines","id":"ITEM-1","issue":"5","issued":{"date-parts":[["2018","5","4"]]},"page":"445-452","title":"Waning immunity of one-dose measles-mumps-rubella vaccine to mumps in children from kindergarten to early school age: a prospective study","type":"article-journal","volume":"17"},"uris":["http://www.mendeley.com/documents/?uuid=13042ed8-0671-3039-89eb-88a7fbc71f32"]},{"id":"ITEM-2","itemData":{"DOI":"10.1016/j.coviro.2019.01.002","ISSN":"18796257","PMID":"30852425","abstract":"The measles, mumps and rubella (MMR) vaccine has an outstanding safety record and is highly efficacious. High coverage with MMR has led to the elimination of endemic measles, rubella, and congenital rubella syndrome in the US. The biggest challenges to global measles and rubella control and elimination are insufficient vaccination coverage globally and increasing hesitancy. Despite high two dose coverage rates, mumps has made a resurgence in the US and other countries. Mumps outbreaks have occurred primarily in close contact, high-density settings and most cases had received a second dose 10 or more years previously. Waning humoral immunity and antigenic variation of circulating wild-type mumps strains may play a role in the mumps resurgence.","author":[{"dropping-particle":"","family":"Bankamp","given":"Bettina","non-dropping-particle":"","parse-names":false,"suffix":""},{"dropping-particle":"","family":"Hickman","given":"Carole","non-dropping-particle":"","parse-names":false,"suffix":""},{"dropping-particle":"","family":"Icenogle","given":"Joseph P","non-dropping-particle":"","parse-names":false,"suffix":""},{"dropping-particle":"","family":"Rota","given":"Paul A","non-dropping-particle":"","parse-names":false,"suffix":""}],"container-title":"Current Opinion in Virology","id":"ITEM-2","issued":{"date-parts":[["2019","2"]]},"page":"110-116","title":"Successes and challenges for preventing measles, mumps and rubella by vaccination","type":"article-journal","volume":"34"},"uris":["http://www.mendeley.com/documents/?uuid=5b56d098-8b14-3735-9a92-20eac7449fe9"]},{"id":"ITEM-3","itemData":{"DOI":"10.1093/infdis/jis568","ISSN":"0022-1899","PMID":"22966129","abstract":"BACKGROUND The measles-mumps-rubella (MMR) vaccine is effective in eliciting a good antibody response. In addition to the amount of antibodies, the avidity of these antibodies might be important in protecting against disease. METHODS The amount of circulating antibodies for measles, mumps, and rubella was measured with enzyme immunoassays, and the avidity of these antibodies was determined by urea dissociation. Three groups of twice-MMR-vaccinated individuals and 1 group of naturally infected individuals were studied. One vaccinated group (n = 71) was studied 6 months and 20 years after a second MMR vaccination. RESULTS The antibody avidity indexes were high for measles and rubella but low for mumps. Twenty years after a second MMR vaccination, antibody levels for all 3 viruses waned. Also, the mean avidity index decreased by 8% for measles, 24% for mumps, and remained unchanged for rubella. Antibody avidity correlated with antibody concentration for measles. There was partial correlation for rubella and no correlation for mumps. CONCLUSIONS Measles and rubella induced high-avidity antibodies and mumps induced low-avidity antibodies after both vaccination and natural infection. Waning of both the concentration as well as the avidity of antibodies might contribute to measles and mumps infections in twice-MMR-vaccinated individuals.","author":[{"dropping-particle":"","family":"Kontio","given":"M.","non-dropping-particle":"","parse-names":false,"suffix":""},{"dropping-particle":"","family":"Jokinen","given":"S.","non-dropping-particle":"","parse-names":false,"suffix":""},{"dropping-particle":"","family":"Paunio","given":"M.","non-dropping-particle":"","parse-names":false,"suffix":""},{"dropping-particle":"","family":"Peltola","given":"H.","non-dropping-particle":"","parse-names":false,"suffix":""},{"dropping-particle":"","family":"Davidkin","given":"I.","non-dropping-particle":"","parse-names":false,"suffix":""}],"container-title":"Journal of Infectious Diseases","id":"ITEM-3","issue":"10","issued":{"date-parts":[["2012","11","15"]]},"page":"1542-1548","title":"Waning Antibody Levels and Avidity: Implications for MMR Vaccine-Induced Protection","type":"article-journal","volume":"206"},"uris":["http://www.mendeley.com/documents/?uuid=e07a7c5c-20b7-3c2b-8bae-f49f6056bfe0"]},{"id":"ITEM-4","itemData":{"DOI":"10.1093/cid/ciz363","ISSN":"1058-4838","PMID":"31056637","abstract":"BACKGROUND Waning measles immunity among vaccinated individuals may result in an attenuated illness and is considered less infectious. This study aims to compare the epidemiological, clinical, and laboratory profile of measles cases with waning immunity to other measles cases. METHODS PCR-positive (+) measles cases notified to Victoria's Department of Health and Human Services (DHHS) from 2008-2017 with immunoglobulin (Ig)M and IgG tested at diagnosis were classified according to serology at diagnosis: IgG negative (-) [non-immune]; IgM+/IgG+ [indeterminate]; or IgM-/IgG+ [waning immunity]. RESULTS Between 2008-2017, 297 measles cases were notified of whom 190 (64%) were included in this analysis; 151/190 (80%) were non-immune at diagnosis, 26 (4%) were indeterminate and 13 (7%) had waning immunity. Between 2008-13 and 2014-17, the proportion of cases with waning immunity increased from 0/87 (0%) to 13/103 (13%) (p&lt;0.001) and the diagnostic sensitivity of initial IgM fell from 93% to 81% (p=0.012), respectively. Seven (54%) waning immunity cases reported receiving measles-containing vaccines; one case had two documented doses and three cases had one documented dose. Compared to non-immune and indeterminate cases, waning immunity cases were more likely to be male; less likely to report fever, coryza, and cough; and had lower burden of virus (higher Ct values on respiratory specimens). Among IgG+ cases, waning immunity cases had higher IgG titres than indeterminate cases (mean optical density [OD] values 1.96 vs. 0.71, p=0.004). Onward transmission from one waning immunity case to two infant household contacts too young for vaccination was documented. CONCLUSIONS Waning immunity among measles cases (IgM-/IgG+ at diagnosis), associated with secondary vaccine failure and modified clinical illness, is emerging in Victoria with transmission potential.","author":[{"dropping-particle":"","family":"Gibney","given":"K B","non-dropping-particle":"","parse-names":false,"suffix":""},{"dropping-particle":"","family":"Attwood","given":"L O","non-dropping-particle":"","parse-names":false,"suffix":""},{"dropping-particle":"","family":"Nicholson","given":"S","non-dropping-particle":"","parse-names":false,"suffix":""},{"dropping-particle":"","family":"Tran","given":"T","non-dropping-particle":"","parse-names":false,"suffix":""},{"dropping-particle":"","family":"Druce","given":"J","non-dropping-particle":"","parse-names":false,"suffix":""},{"dropping-particle":"","family":"Healy","given":"J","non-dropping-particle":"","parse-names":false,"suffix":""},{"dropping-particle":"","family":"Strachan","given":"J","non-dropping-particle":"","parse-names":false,"suffix":""},{"dropping-particle":"","family":"Franklin","given":"L","non-dropping-particle":"","parse-names":false,"suffix":""},{"dropping-particle":"","family":"Hall","given":"R","non-dropping-particle":"","parse-names":false,"suffix":""},{"dropping-particle":"","family":"Cross","given":"G B","non-dropping-particle":"","parse-names":false,"suffix":""}],"container-title":"Clinical Infectious Diseases","id":"ITEM-4","issued":{"date-parts":[["2019","5","6"]]},"title":"Emergence of attenuated measles illness among IgG positive/IgM negative measles cases, Victoria​, Australia 2008–2017","type":"article-journal"},"uris":["http://www.mendeley.com/documents/?uuid=3136c347-8710-3327-8f0d-57a3a4811b42"]}],"mendeley":{"formattedCitation":"[20–23]","plainTextFormattedCitation":"[20–23]","previouslyFormattedCitation":"[20–23]"},"properties":{"noteIndex":0},"schema":"https://github.com/citation-style-language/schema/raw/master/csl-citation.json"}</w:instrText>
      </w:r>
      <w:r w:rsidR="002D0C77" w:rsidRPr="002D21B6">
        <w:rPr>
          <w:rStyle w:val="Lbjegyzet-hivatkozs"/>
          <w:rFonts w:ascii="Arial" w:hAnsi="Arial" w:cs="Arial"/>
          <w:sz w:val="24"/>
          <w:szCs w:val="24"/>
        </w:rPr>
        <w:fldChar w:fldCharType="separate"/>
      </w:r>
      <w:r w:rsidR="00D8279F" w:rsidRPr="002D21B6">
        <w:rPr>
          <w:rFonts w:ascii="Arial" w:hAnsi="Arial" w:cs="Arial"/>
          <w:bCs/>
          <w:noProof/>
          <w:sz w:val="24"/>
          <w:szCs w:val="24"/>
          <w:lang w:val="hu-HU"/>
        </w:rPr>
        <w:t>[20–23]</w:t>
      </w:r>
      <w:r w:rsidR="002D0C77" w:rsidRPr="002D21B6">
        <w:rPr>
          <w:rStyle w:val="Lbjegyzet-hivatkozs"/>
          <w:rFonts w:ascii="Arial" w:hAnsi="Arial" w:cs="Arial"/>
          <w:sz w:val="24"/>
          <w:szCs w:val="24"/>
        </w:rPr>
        <w:fldChar w:fldCharType="end"/>
      </w:r>
      <w:r w:rsidR="00531CEA" w:rsidRPr="002D21B6">
        <w:rPr>
          <w:rFonts w:ascii="Arial" w:hAnsi="Arial" w:cs="Arial"/>
          <w:sz w:val="24"/>
          <w:szCs w:val="24"/>
        </w:rPr>
        <w:t>,</w:t>
      </w:r>
      <w:r w:rsidR="00436778" w:rsidRPr="002D21B6">
        <w:rPr>
          <w:rFonts w:ascii="Arial" w:hAnsi="Arial" w:cs="Arial"/>
          <w:sz w:val="24"/>
          <w:szCs w:val="24"/>
        </w:rPr>
        <w:t xml:space="preserve"> </w:t>
      </w:r>
      <w:r w:rsidR="00DF0523" w:rsidRPr="002D21B6">
        <w:rPr>
          <w:rFonts w:ascii="Arial" w:hAnsi="Arial" w:cs="Arial"/>
          <w:sz w:val="24"/>
          <w:szCs w:val="24"/>
        </w:rPr>
        <w:t>t</w:t>
      </w:r>
      <w:r w:rsidR="00531CEA" w:rsidRPr="002D21B6">
        <w:rPr>
          <w:rFonts w:ascii="Arial" w:hAnsi="Arial" w:cs="Arial"/>
          <w:sz w:val="24"/>
          <w:szCs w:val="24"/>
        </w:rPr>
        <w:t>here is an urgent need for reliable and affordable laboratory</w:t>
      </w:r>
      <w:r w:rsidR="00833665" w:rsidRPr="002D21B6">
        <w:rPr>
          <w:rFonts w:ascii="Arial" w:hAnsi="Arial" w:cs="Arial"/>
          <w:sz w:val="24"/>
          <w:szCs w:val="24"/>
        </w:rPr>
        <w:t xml:space="preserve"> test</w:t>
      </w:r>
      <w:r w:rsidR="00AB02A4" w:rsidRPr="002D21B6">
        <w:rPr>
          <w:rFonts w:ascii="Arial" w:hAnsi="Arial" w:cs="Arial"/>
          <w:sz w:val="24"/>
          <w:szCs w:val="24"/>
        </w:rPr>
        <w:t>s</w:t>
      </w:r>
      <w:r w:rsidR="00F31614" w:rsidRPr="002D21B6">
        <w:rPr>
          <w:rFonts w:ascii="Arial" w:hAnsi="Arial" w:cs="Arial"/>
          <w:sz w:val="24"/>
          <w:szCs w:val="24"/>
        </w:rPr>
        <w:t xml:space="preserve"> for monitoring</w:t>
      </w:r>
      <w:r w:rsidR="00833665" w:rsidRPr="002D21B6">
        <w:rPr>
          <w:rFonts w:ascii="Arial" w:hAnsi="Arial" w:cs="Arial"/>
          <w:sz w:val="24"/>
          <w:szCs w:val="24"/>
        </w:rPr>
        <w:t xml:space="preserve"> </w:t>
      </w:r>
      <w:r w:rsidR="00363A3E" w:rsidRPr="002D21B6">
        <w:rPr>
          <w:rFonts w:ascii="Arial" w:hAnsi="Arial" w:cs="Arial"/>
          <w:sz w:val="24"/>
          <w:szCs w:val="24"/>
        </w:rPr>
        <w:t>anti-</w:t>
      </w:r>
      <w:r w:rsidR="00833665" w:rsidRPr="002D21B6">
        <w:rPr>
          <w:rFonts w:ascii="Arial" w:hAnsi="Arial" w:cs="Arial"/>
          <w:sz w:val="24"/>
          <w:szCs w:val="24"/>
        </w:rPr>
        <w:t>MMR antibody</w:t>
      </w:r>
      <w:r w:rsidR="00AB02A4" w:rsidRPr="002D21B6">
        <w:rPr>
          <w:rFonts w:ascii="Arial" w:hAnsi="Arial" w:cs="Arial"/>
          <w:sz w:val="24"/>
          <w:szCs w:val="24"/>
        </w:rPr>
        <w:t xml:space="preserve"> (IgG) </w:t>
      </w:r>
      <w:r w:rsidR="00D97FE6" w:rsidRPr="002D21B6">
        <w:rPr>
          <w:rFonts w:ascii="Arial" w:hAnsi="Arial" w:cs="Arial"/>
          <w:sz w:val="24"/>
          <w:szCs w:val="24"/>
        </w:rPr>
        <w:t>titres</w:t>
      </w:r>
      <w:r w:rsidR="00C8210A" w:rsidRPr="002D21B6">
        <w:rPr>
          <w:rFonts w:ascii="Arial" w:hAnsi="Arial" w:cs="Arial"/>
          <w:sz w:val="24"/>
          <w:szCs w:val="24"/>
        </w:rPr>
        <w:t>. For this purpose, we</w:t>
      </w:r>
      <w:r w:rsidR="00833665" w:rsidRPr="002D21B6">
        <w:rPr>
          <w:rFonts w:ascii="Arial" w:hAnsi="Arial" w:cs="Arial"/>
          <w:sz w:val="24"/>
          <w:szCs w:val="24"/>
        </w:rPr>
        <w:t xml:space="preserve"> developed</w:t>
      </w:r>
      <w:r w:rsidR="005530B0" w:rsidRPr="002D21B6">
        <w:rPr>
          <w:rFonts w:ascii="Arial" w:hAnsi="Arial" w:cs="Arial"/>
          <w:sz w:val="24"/>
          <w:szCs w:val="24"/>
        </w:rPr>
        <w:t xml:space="preserve"> a new, </w:t>
      </w:r>
      <w:r w:rsidR="00F53D16" w:rsidRPr="002D21B6">
        <w:rPr>
          <w:rFonts w:ascii="Arial" w:hAnsi="Arial" w:cs="Arial"/>
          <w:sz w:val="24"/>
          <w:szCs w:val="24"/>
        </w:rPr>
        <w:t xml:space="preserve">‘three-in-one’ </w:t>
      </w:r>
      <w:r w:rsidR="00833665" w:rsidRPr="002D21B6">
        <w:rPr>
          <w:rFonts w:ascii="Arial" w:hAnsi="Arial" w:cs="Arial"/>
          <w:sz w:val="24"/>
          <w:szCs w:val="24"/>
        </w:rPr>
        <w:t xml:space="preserve">immunoassay </w:t>
      </w:r>
      <w:r w:rsidR="00AB02A4" w:rsidRPr="002D21B6">
        <w:rPr>
          <w:rFonts w:ascii="Arial" w:hAnsi="Arial" w:cs="Arial"/>
          <w:sz w:val="24"/>
          <w:szCs w:val="24"/>
        </w:rPr>
        <w:t xml:space="preserve">for quick measurement of all three anti-viral antibodies within a single run. To our knowledge, this triple format of MMR ELISA is currently not available on the market. The ELISA </w:t>
      </w:r>
      <w:r w:rsidR="0034391F" w:rsidRPr="002D21B6">
        <w:rPr>
          <w:rFonts w:ascii="Arial" w:hAnsi="Arial" w:cs="Arial"/>
          <w:sz w:val="24"/>
          <w:szCs w:val="24"/>
        </w:rPr>
        <w:t xml:space="preserve">protocol </w:t>
      </w:r>
      <w:r w:rsidR="00AB02A4" w:rsidRPr="002D21B6">
        <w:rPr>
          <w:rFonts w:ascii="Arial" w:hAnsi="Arial" w:cs="Arial"/>
          <w:sz w:val="24"/>
          <w:szCs w:val="24"/>
        </w:rPr>
        <w:t xml:space="preserve">described </w:t>
      </w:r>
      <w:r w:rsidR="001E6D12" w:rsidRPr="002D21B6">
        <w:rPr>
          <w:rFonts w:ascii="Arial" w:hAnsi="Arial" w:cs="Arial"/>
          <w:sz w:val="24"/>
          <w:szCs w:val="24"/>
        </w:rPr>
        <w:t>herein</w:t>
      </w:r>
      <w:r w:rsidR="00046D77" w:rsidRPr="002D21B6">
        <w:rPr>
          <w:rFonts w:ascii="Arial" w:hAnsi="Arial" w:cs="Arial"/>
          <w:sz w:val="24"/>
          <w:szCs w:val="24"/>
        </w:rPr>
        <w:t xml:space="preserve"> incorporate</w:t>
      </w:r>
      <w:r w:rsidR="0034391F" w:rsidRPr="002D21B6">
        <w:rPr>
          <w:rFonts w:ascii="Arial" w:hAnsi="Arial" w:cs="Arial"/>
          <w:sz w:val="24"/>
          <w:szCs w:val="24"/>
        </w:rPr>
        <w:t>s</w:t>
      </w:r>
      <w:r w:rsidR="00D94B5E" w:rsidRPr="002D21B6">
        <w:rPr>
          <w:rFonts w:ascii="Arial" w:hAnsi="Arial" w:cs="Arial"/>
          <w:sz w:val="24"/>
          <w:szCs w:val="24"/>
        </w:rPr>
        <w:t xml:space="preserve"> our previous method </w:t>
      </w:r>
      <w:r w:rsidR="00731681" w:rsidRPr="002D21B6">
        <w:rPr>
          <w:rFonts w:ascii="Arial" w:hAnsi="Arial" w:cs="Arial"/>
          <w:sz w:val="24"/>
          <w:szCs w:val="24"/>
        </w:rPr>
        <w:fldChar w:fldCharType="begin" w:fldLock="1"/>
      </w:r>
      <w:r w:rsidR="00120EB6" w:rsidRPr="002D21B6">
        <w:rPr>
          <w:rFonts w:ascii="Arial" w:hAnsi="Arial" w:cs="Arial"/>
          <w:sz w:val="24"/>
          <w:szCs w:val="24"/>
        </w:rPr>
        <w:instrText>ADDIN CSL_CITATION {"citationItems":[{"id":"ITEM-1","itemData":{"DOI":"10.1016/j.jim.2018.07.009","ISSN":"00221759","PMID":"30056035","abstract":"Because of measles outbreaks there is a need for continuous monitoring of immunological protection against infection at population level. For such monitoring to be feasible, a cost-effective, reliable and high-throughput assay is necessary. Herein we describe an ELISA protocol for assessment of anti-measles antibody levels in human serum samples that fulfills the above criteria and is easily adaptable by various laboratories. A serum bank of anonymous patient sera was established (N &gt; 3000 samples). Sera were grouped based on measles immunization schedules and/or changes in vaccine components since the introduction of the first measles vaccine in Hungary in 1969. Newly designed ELISA was performed by using Siemens BEP 2000 Advance System and data were confirmed using commercially available kits. Our indirect ELISA was compared to indirect immunfluoresence and to anti-measles nucleocapsid (N) monoclonal antibody-based sandwich ELISA. The results obtained are in high agreement with the confirmatory methods, and reflect measles vaccination history in Hungary ranging from pre-vaccination era, through the initial period of measles vaccination, to present. Based on measurement of 1985 sera, the highest ratio of low/questionable antibody level samples was detected in cluster '1978-1987' (~25.4%), followed by cluster '1969-1977' (~15.4%).Our assay is suitable for assessment of anti-measles immunity in a large cohort of subjects. The assay is cost-effective, allows high-throughput screening and has superior signal-to-noise ratio. This assay can serve as a first step in assessment of the effectiveness of all three components of the MMR vaccine.","author":[{"dropping-particle":"","family":"Böröcz","given":"Katalin","non-dropping-particle":"","parse-names":false,"suffix":""},{"dropping-particle":"","family":"Csizmadia","given":"Zsuzsanna","non-dropping-particle":"","parse-names":false,"suffix":""},{"dropping-particle":"","family":"Markovics","given":"Ákos","non-dropping-particle":"","parse-names":false,"suffix":""},{"dropping-particle":"","family":"Mészáros","given":"Viktória","non-dropping-particle":"","parse-names":false,"suffix":""},{"dropping-particle":"","family":"Farkas","given":"Kornélia","non-dropping-particle":"","parse-names":false,"suffix":""},{"dropping-particle":"","family":"Telek","given":"Vivien","non-dropping-particle":"","parse-names":false,"suffix":""},{"dropping-particle":"","family":"Varga","given":"Vivien","non-dropping-particle":"","parse-names":false,"suffix":""},{"dropping-particle":"","family":"Maloba","given":"Geofrey Ouma","non-dropping-particle":"","parse-names":false,"suffix":""},{"dropping-particle":"","family":"Bodó","given":"Kornélia","non-dropping-particle":"","parse-names":false,"suffix":""},{"dropping-particle":"","family":"Najbauer","given":"József","non-dropping-particle":"","parse-names":false,"suffix":""},{"dropping-particle":"","family":"Berki","given":"Tímea","non-dropping-particle":"","parse-names":false,"suffix":""},{"dropping-particle":"","family":"Németh","given":"Péter","non-dropping-particle":"","parse-names":false,"suffix":""}],"container-title":"Journal of Immunological Methods","id":"ITEM-1","issued":{"date-parts":[["2019","1"]]},"page":"1-8","title":"Development of a robust and standardized immunoserological assay for detection of anti-measles IgG antibodies in human sera","type":"article-journal","volume":"464"},"uris":["http://www.mendeley.com/documents/?uuid=a2e32bc7-84cd-3cda-8f75-6fc5c3feefc1"]}],"mendeley":{"formattedCitation":"[24]","plainTextFormattedCitation":"[24]","previouslyFormattedCitation":"[24]"},"properties":{"noteIndex":0},"schema":"https://github.com/citation-style-language/schema/raw/master/csl-citation.json"}</w:instrText>
      </w:r>
      <w:r w:rsidR="00731681" w:rsidRPr="002D21B6">
        <w:rPr>
          <w:rFonts w:ascii="Arial" w:hAnsi="Arial" w:cs="Arial"/>
          <w:sz w:val="24"/>
          <w:szCs w:val="24"/>
        </w:rPr>
        <w:fldChar w:fldCharType="separate"/>
      </w:r>
      <w:r w:rsidR="00731681" w:rsidRPr="002D21B6">
        <w:rPr>
          <w:rFonts w:ascii="Arial" w:hAnsi="Arial" w:cs="Arial"/>
          <w:noProof/>
          <w:sz w:val="24"/>
          <w:szCs w:val="24"/>
        </w:rPr>
        <w:t>[24]</w:t>
      </w:r>
      <w:r w:rsidR="00731681" w:rsidRPr="002D21B6">
        <w:rPr>
          <w:rFonts w:ascii="Arial" w:hAnsi="Arial" w:cs="Arial"/>
          <w:sz w:val="24"/>
          <w:szCs w:val="24"/>
        </w:rPr>
        <w:fldChar w:fldCharType="end"/>
      </w:r>
      <w:r w:rsidR="00731681" w:rsidRPr="002D21B6">
        <w:rPr>
          <w:rFonts w:ascii="Arial" w:hAnsi="Arial" w:cs="Arial"/>
          <w:sz w:val="24"/>
          <w:szCs w:val="24"/>
        </w:rPr>
        <w:t xml:space="preserve"> </w:t>
      </w:r>
      <w:r w:rsidR="00302A84" w:rsidRPr="002D21B6">
        <w:rPr>
          <w:rFonts w:ascii="Arial" w:hAnsi="Arial" w:cs="Arial"/>
          <w:sz w:val="24"/>
          <w:szCs w:val="24"/>
        </w:rPr>
        <w:t>that has been</w:t>
      </w:r>
      <w:r w:rsidR="00D96F36" w:rsidRPr="002D21B6">
        <w:rPr>
          <w:rFonts w:ascii="Arial" w:hAnsi="Arial" w:cs="Arial"/>
          <w:sz w:val="24"/>
          <w:szCs w:val="24"/>
        </w:rPr>
        <w:t xml:space="preserve"> </w:t>
      </w:r>
      <w:r w:rsidR="003A7344" w:rsidRPr="002D21B6">
        <w:rPr>
          <w:rFonts w:ascii="Arial" w:hAnsi="Arial" w:cs="Arial"/>
          <w:sz w:val="24"/>
          <w:szCs w:val="24"/>
        </w:rPr>
        <w:t xml:space="preserve">further </w:t>
      </w:r>
      <w:r w:rsidR="00AB02A4" w:rsidRPr="002D21B6">
        <w:rPr>
          <w:rFonts w:ascii="Arial" w:hAnsi="Arial" w:cs="Arial"/>
          <w:sz w:val="24"/>
          <w:szCs w:val="24"/>
        </w:rPr>
        <w:t>improved to enable</w:t>
      </w:r>
      <w:r w:rsidR="009E50BF" w:rsidRPr="002D21B6">
        <w:rPr>
          <w:rFonts w:ascii="Arial" w:hAnsi="Arial" w:cs="Arial"/>
          <w:sz w:val="24"/>
          <w:szCs w:val="24"/>
        </w:rPr>
        <w:t xml:space="preserve"> the use of the</w:t>
      </w:r>
      <w:r w:rsidR="00130C1E" w:rsidRPr="002D21B6">
        <w:rPr>
          <w:rFonts w:ascii="Arial" w:hAnsi="Arial" w:cs="Arial"/>
          <w:sz w:val="24"/>
          <w:szCs w:val="24"/>
        </w:rPr>
        <w:t xml:space="preserve"> </w:t>
      </w:r>
      <w:r w:rsidR="009E50BF" w:rsidRPr="002D21B6">
        <w:rPr>
          <w:rFonts w:ascii="Arial" w:hAnsi="Arial" w:cs="Arial"/>
          <w:sz w:val="24"/>
          <w:szCs w:val="24"/>
        </w:rPr>
        <w:t>same</w:t>
      </w:r>
      <w:r w:rsidR="00CF25C7" w:rsidRPr="002D21B6">
        <w:rPr>
          <w:rFonts w:ascii="Arial" w:hAnsi="Arial" w:cs="Arial"/>
          <w:sz w:val="24"/>
          <w:szCs w:val="24"/>
        </w:rPr>
        <w:t xml:space="preserve"> </w:t>
      </w:r>
      <w:r w:rsidR="009E50BF" w:rsidRPr="002D21B6">
        <w:rPr>
          <w:rFonts w:ascii="Arial" w:hAnsi="Arial" w:cs="Arial"/>
          <w:sz w:val="24"/>
          <w:szCs w:val="24"/>
        </w:rPr>
        <w:t>assay</w:t>
      </w:r>
      <w:r w:rsidR="00CF25C7" w:rsidRPr="002D21B6">
        <w:rPr>
          <w:rFonts w:ascii="Arial" w:hAnsi="Arial" w:cs="Arial"/>
          <w:sz w:val="24"/>
          <w:szCs w:val="24"/>
        </w:rPr>
        <w:t xml:space="preserve"> cond</w:t>
      </w:r>
      <w:r w:rsidR="009E50BF" w:rsidRPr="002D21B6">
        <w:rPr>
          <w:rFonts w:ascii="Arial" w:hAnsi="Arial" w:cs="Arial"/>
          <w:sz w:val="24"/>
          <w:szCs w:val="24"/>
        </w:rPr>
        <w:t xml:space="preserve">itions for all three </w:t>
      </w:r>
      <w:r w:rsidR="00C8210A" w:rsidRPr="002D21B6">
        <w:rPr>
          <w:rFonts w:ascii="Arial" w:hAnsi="Arial" w:cs="Arial"/>
          <w:sz w:val="24"/>
          <w:szCs w:val="24"/>
        </w:rPr>
        <w:t xml:space="preserve">anti-viral </w:t>
      </w:r>
      <w:r w:rsidR="009E50BF" w:rsidRPr="002D21B6">
        <w:rPr>
          <w:rFonts w:ascii="Arial" w:hAnsi="Arial" w:cs="Arial"/>
          <w:sz w:val="24"/>
          <w:szCs w:val="24"/>
        </w:rPr>
        <w:t>antibodies</w:t>
      </w:r>
      <w:r w:rsidR="00AB02A4" w:rsidRPr="002D21B6">
        <w:rPr>
          <w:rFonts w:ascii="Arial" w:hAnsi="Arial" w:cs="Arial"/>
          <w:sz w:val="24"/>
          <w:szCs w:val="24"/>
        </w:rPr>
        <w:t>. We demonstrate the high-throughput applicability of this assay using 1736 serum samples from patients of diverse age groups,</w:t>
      </w:r>
      <w:r w:rsidR="00AB02A4" w:rsidRPr="002D21B6">
        <w:rPr>
          <w:rFonts w:ascii="Arial" w:hAnsi="Arial" w:cs="Arial"/>
          <w:b/>
          <w:sz w:val="24"/>
          <w:szCs w:val="24"/>
        </w:rPr>
        <w:t xml:space="preserve"> </w:t>
      </w:r>
      <w:r w:rsidR="00AB02A4" w:rsidRPr="002D21B6">
        <w:rPr>
          <w:rFonts w:ascii="Arial" w:hAnsi="Arial" w:cs="Arial"/>
          <w:sz w:val="24"/>
          <w:szCs w:val="24"/>
        </w:rPr>
        <w:t xml:space="preserve">and </w:t>
      </w:r>
      <w:r w:rsidR="00C8210A" w:rsidRPr="002D21B6">
        <w:rPr>
          <w:rFonts w:ascii="Arial" w:hAnsi="Arial" w:cs="Arial"/>
          <w:sz w:val="24"/>
          <w:szCs w:val="24"/>
        </w:rPr>
        <w:t>provide</w:t>
      </w:r>
      <w:r w:rsidR="00AB02A4" w:rsidRPr="002D21B6">
        <w:rPr>
          <w:rFonts w:ascii="Arial" w:hAnsi="Arial" w:cs="Arial"/>
          <w:sz w:val="24"/>
          <w:szCs w:val="24"/>
        </w:rPr>
        <w:t xml:space="preserve"> an estimation of the population-level </w:t>
      </w:r>
      <w:r w:rsidR="00130C1E" w:rsidRPr="002D21B6">
        <w:rPr>
          <w:rFonts w:ascii="Arial" w:hAnsi="Arial" w:cs="Arial"/>
          <w:sz w:val="24"/>
          <w:szCs w:val="24"/>
        </w:rPr>
        <w:t xml:space="preserve">MMR </w:t>
      </w:r>
      <w:proofErr w:type="spellStart"/>
      <w:r w:rsidR="000572B0" w:rsidRPr="002D21B6">
        <w:rPr>
          <w:rFonts w:ascii="Arial" w:hAnsi="Arial" w:cs="Arial"/>
          <w:sz w:val="24"/>
          <w:szCs w:val="24"/>
        </w:rPr>
        <w:t>seropositivity</w:t>
      </w:r>
      <w:proofErr w:type="spellEnd"/>
      <w:r w:rsidR="00AB02A4" w:rsidRPr="002D21B6">
        <w:rPr>
          <w:rFonts w:ascii="Arial" w:hAnsi="Arial" w:cs="Arial"/>
          <w:sz w:val="24"/>
          <w:szCs w:val="24"/>
        </w:rPr>
        <w:t>.</w:t>
      </w:r>
      <w:r w:rsidR="001E313B" w:rsidRPr="002D21B6">
        <w:rPr>
          <w:rFonts w:ascii="Arial" w:hAnsi="Arial" w:cs="Arial"/>
          <w:sz w:val="24"/>
          <w:szCs w:val="24"/>
        </w:rPr>
        <w:t xml:space="preserve"> We present and discuss our results in the context of both assay development and </w:t>
      </w:r>
      <w:proofErr w:type="spellStart"/>
      <w:r w:rsidR="00E1473D" w:rsidRPr="002D21B6">
        <w:rPr>
          <w:rFonts w:ascii="Arial" w:hAnsi="Arial" w:cs="Arial"/>
          <w:sz w:val="24"/>
          <w:szCs w:val="24"/>
        </w:rPr>
        <w:t>immuno</w:t>
      </w:r>
      <w:r w:rsidR="001E313B" w:rsidRPr="002D21B6">
        <w:rPr>
          <w:rFonts w:ascii="Arial" w:hAnsi="Arial" w:cs="Arial"/>
          <w:sz w:val="24"/>
          <w:szCs w:val="24"/>
        </w:rPr>
        <w:t>survey</w:t>
      </w:r>
      <w:proofErr w:type="spellEnd"/>
      <w:r w:rsidR="001E313B" w:rsidRPr="002D21B6">
        <w:rPr>
          <w:rFonts w:ascii="Arial" w:hAnsi="Arial" w:cs="Arial"/>
          <w:sz w:val="24"/>
          <w:szCs w:val="24"/>
        </w:rPr>
        <w:t xml:space="preserve"> </w:t>
      </w:r>
      <w:r w:rsidR="00E1473D" w:rsidRPr="002D21B6">
        <w:rPr>
          <w:rFonts w:ascii="Arial" w:hAnsi="Arial" w:cs="Arial"/>
          <w:sz w:val="24"/>
          <w:szCs w:val="24"/>
        </w:rPr>
        <w:t>evaluation in relation</w:t>
      </w:r>
      <w:r w:rsidR="001E313B" w:rsidRPr="002D21B6">
        <w:rPr>
          <w:rFonts w:ascii="Arial" w:hAnsi="Arial" w:cs="Arial"/>
          <w:sz w:val="24"/>
          <w:szCs w:val="24"/>
        </w:rPr>
        <w:t xml:space="preserve"> </w:t>
      </w:r>
      <w:r w:rsidR="00E1473D" w:rsidRPr="002D21B6">
        <w:rPr>
          <w:rFonts w:ascii="Arial" w:hAnsi="Arial" w:cs="Arial"/>
          <w:sz w:val="24"/>
          <w:szCs w:val="24"/>
        </w:rPr>
        <w:t xml:space="preserve">to the history of </w:t>
      </w:r>
      <w:r w:rsidR="001E313B" w:rsidRPr="002D21B6">
        <w:rPr>
          <w:rFonts w:ascii="Arial" w:hAnsi="Arial" w:cs="Arial"/>
          <w:sz w:val="24"/>
          <w:szCs w:val="24"/>
        </w:rPr>
        <w:t xml:space="preserve">M/MMR vaccination </w:t>
      </w:r>
      <w:r w:rsidR="00E1473D" w:rsidRPr="002D21B6">
        <w:rPr>
          <w:rFonts w:ascii="Arial" w:hAnsi="Arial" w:cs="Arial"/>
          <w:sz w:val="24"/>
          <w:szCs w:val="24"/>
        </w:rPr>
        <w:t xml:space="preserve">in Hungary </w:t>
      </w:r>
      <w:r w:rsidR="001E313B" w:rsidRPr="002D21B6">
        <w:rPr>
          <w:rFonts w:ascii="Arial" w:hAnsi="Arial" w:cs="Arial"/>
          <w:sz w:val="24"/>
          <w:szCs w:val="24"/>
        </w:rPr>
        <w:t>from 1969 to present</w:t>
      </w:r>
      <w:r w:rsidR="00E1473D" w:rsidRPr="002D21B6">
        <w:rPr>
          <w:rFonts w:ascii="Arial" w:hAnsi="Arial" w:cs="Arial"/>
          <w:sz w:val="24"/>
          <w:szCs w:val="24"/>
        </w:rPr>
        <w:t>.</w:t>
      </w:r>
    </w:p>
    <w:p w:rsidR="00DE3A84" w:rsidRPr="002D21B6" w:rsidRDefault="00DE3A84" w:rsidP="00272AA1">
      <w:pPr>
        <w:rPr>
          <w:rFonts w:ascii="Arial" w:hAnsi="Arial" w:cs="Arial"/>
          <w:sz w:val="24"/>
          <w:szCs w:val="24"/>
        </w:rPr>
      </w:pPr>
    </w:p>
    <w:p w:rsidR="008F3473" w:rsidRPr="002D21B6" w:rsidRDefault="008F3473">
      <w:pPr>
        <w:rPr>
          <w:rFonts w:ascii="Arial" w:hAnsi="Arial" w:cs="Arial"/>
          <w:b/>
          <w:sz w:val="24"/>
          <w:szCs w:val="24"/>
        </w:rPr>
      </w:pPr>
      <w:r w:rsidRPr="002D21B6">
        <w:rPr>
          <w:rFonts w:ascii="Arial" w:hAnsi="Arial" w:cs="Arial"/>
          <w:b/>
          <w:sz w:val="24"/>
          <w:szCs w:val="24"/>
        </w:rPr>
        <w:br w:type="page"/>
      </w:r>
    </w:p>
    <w:p w:rsidR="00F20C67" w:rsidRPr="002D21B6" w:rsidRDefault="00F20C67" w:rsidP="00C2139D">
      <w:pPr>
        <w:spacing w:line="480" w:lineRule="auto"/>
        <w:rPr>
          <w:rFonts w:ascii="Arial" w:hAnsi="Arial" w:cs="Arial"/>
          <w:b/>
          <w:sz w:val="24"/>
          <w:szCs w:val="24"/>
        </w:rPr>
      </w:pPr>
      <w:r w:rsidRPr="002D21B6">
        <w:rPr>
          <w:rFonts w:ascii="Arial" w:hAnsi="Arial" w:cs="Arial"/>
          <w:b/>
          <w:sz w:val="24"/>
          <w:szCs w:val="24"/>
        </w:rPr>
        <w:lastRenderedPageBreak/>
        <w:t>Materials and methods</w:t>
      </w:r>
    </w:p>
    <w:p w:rsidR="003C78AB" w:rsidRPr="002D21B6" w:rsidRDefault="003C78AB" w:rsidP="00C2139D">
      <w:pPr>
        <w:spacing w:line="480" w:lineRule="auto"/>
        <w:rPr>
          <w:rFonts w:ascii="Arial" w:hAnsi="Arial" w:cs="Arial"/>
          <w:i/>
          <w:sz w:val="24"/>
          <w:szCs w:val="24"/>
        </w:rPr>
      </w:pPr>
      <w:r w:rsidRPr="002D21B6">
        <w:rPr>
          <w:rFonts w:ascii="Arial" w:hAnsi="Arial" w:cs="Arial"/>
          <w:i/>
          <w:sz w:val="24"/>
          <w:szCs w:val="24"/>
        </w:rPr>
        <w:t>Samples</w:t>
      </w:r>
    </w:p>
    <w:p w:rsidR="00562C0C" w:rsidRPr="002D21B6" w:rsidRDefault="00923DAD" w:rsidP="00272AA1">
      <w:pPr>
        <w:spacing w:line="480" w:lineRule="auto"/>
        <w:rPr>
          <w:rFonts w:ascii="Arial" w:hAnsi="Arial" w:cs="Arial"/>
          <w:sz w:val="24"/>
          <w:szCs w:val="24"/>
        </w:rPr>
      </w:pPr>
      <w:r w:rsidRPr="002D21B6">
        <w:rPr>
          <w:rFonts w:ascii="Arial" w:hAnsi="Arial" w:cs="Arial"/>
          <w:sz w:val="24"/>
          <w:szCs w:val="24"/>
        </w:rPr>
        <w:t>A serum bank consisting of anonymous patient sera was established (</w:t>
      </w:r>
      <w:r w:rsidR="00772E91" w:rsidRPr="002D21B6">
        <w:rPr>
          <w:rFonts w:ascii="Arial" w:hAnsi="Arial" w:cs="Arial"/>
          <w:sz w:val="24"/>
          <w:szCs w:val="24"/>
        </w:rPr>
        <w:t xml:space="preserve">N </w:t>
      </w:r>
      <w:r w:rsidR="00772E91" w:rsidRPr="002D21B6">
        <w:rPr>
          <w:rFonts w:ascii="Arial" w:hAnsi="Arial" w:cs="Arial"/>
          <w:sz w:val="24"/>
          <w:szCs w:val="24"/>
          <w:vertAlign w:val="subscript"/>
        </w:rPr>
        <w:t xml:space="preserve">total measles </w:t>
      </w:r>
      <w:r w:rsidR="00772E91" w:rsidRPr="002D21B6">
        <w:rPr>
          <w:rFonts w:ascii="Arial" w:hAnsi="Arial" w:cs="Arial"/>
          <w:sz w:val="24"/>
          <w:szCs w:val="24"/>
        </w:rPr>
        <w:t xml:space="preserve">= </w:t>
      </w:r>
      <w:r w:rsidRPr="002D21B6">
        <w:rPr>
          <w:rFonts w:ascii="Arial" w:hAnsi="Arial" w:cs="Arial"/>
          <w:sz w:val="24"/>
          <w:szCs w:val="24"/>
        </w:rPr>
        <w:t xml:space="preserve">3523 measles, N </w:t>
      </w:r>
      <w:r w:rsidR="00503A01" w:rsidRPr="00503A01">
        <w:rPr>
          <w:rFonts w:ascii="Arial" w:hAnsi="Arial" w:cs="Arial"/>
          <w:sz w:val="24"/>
          <w:szCs w:val="24"/>
          <w:vertAlign w:val="subscript"/>
        </w:rPr>
        <w:t>mumps</w:t>
      </w:r>
      <w:r w:rsidR="00503A01" w:rsidRPr="002D21B6">
        <w:rPr>
          <w:rFonts w:ascii="Arial" w:hAnsi="Arial" w:cs="Arial"/>
          <w:sz w:val="24"/>
          <w:szCs w:val="24"/>
        </w:rPr>
        <w:t xml:space="preserve"> </w:t>
      </w:r>
      <w:r w:rsidRPr="002D21B6">
        <w:rPr>
          <w:rFonts w:ascii="Arial" w:hAnsi="Arial" w:cs="Arial"/>
          <w:sz w:val="24"/>
          <w:szCs w:val="24"/>
        </w:rPr>
        <w:t xml:space="preserve">= 1736 mumps, </w:t>
      </w:r>
      <w:r w:rsidR="00AA3297" w:rsidRPr="002D21B6">
        <w:rPr>
          <w:rFonts w:ascii="Arial" w:hAnsi="Arial" w:cs="Arial"/>
          <w:sz w:val="24"/>
          <w:szCs w:val="24"/>
        </w:rPr>
        <w:t xml:space="preserve">and </w:t>
      </w:r>
      <w:r w:rsidR="00503A01" w:rsidRPr="002D21B6">
        <w:rPr>
          <w:rFonts w:ascii="Arial" w:hAnsi="Arial" w:cs="Arial"/>
          <w:sz w:val="24"/>
          <w:szCs w:val="24"/>
        </w:rPr>
        <w:t xml:space="preserve">N </w:t>
      </w:r>
      <w:r w:rsidR="00503A01" w:rsidRPr="00503A01">
        <w:rPr>
          <w:rFonts w:ascii="Arial" w:hAnsi="Arial" w:cs="Arial"/>
          <w:sz w:val="24"/>
          <w:szCs w:val="24"/>
          <w:vertAlign w:val="subscript"/>
        </w:rPr>
        <w:t>rubella</w:t>
      </w:r>
      <w:r w:rsidR="00863818">
        <w:rPr>
          <w:rFonts w:ascii="Arial" w:hAnsi="Arial" w:cs="Arial"/>
          <w:sz w:val="24"/>
          <w:szCs w:val="24"/>
          <w:vertAlign w:val="subscript"/>
        </w:rPr>
        <w:t xml:space="preserve"> </w:t>
      </w:r>
      <w:r w:rsidR="00863818" w:rsidRPr="002D21B6">
        <w:rPr>
          <w:rFonts w:ascii="Arial" w:hAnsi="Arial" w:cs="Arial"/>
          <w:sz w:val="24"/>
          <w:szCs w:val="24"/>
        </w:rPr>
        <w:t xml:space="preserve">= </w:t>
      </w:r>
      <w:r w:rsidR="00D31A6F" w:rsidRPr="002D21B6">
        <w:rPr>
          <w:rFonts w:ascii="Arial" w:hAnsi="Arial" w:cs="Arial"/>
          <w:sz w:val="24"/>
          <w:szCs w:val="24"/>
        </w:rPr>
        <w:t>1736</w:t>
      </w:r>
      <w:r w:rsidRPr="002D21B6">
        <w:rPr>
          <w:rFonts w:ascii="Arial" w:hAnsi="Arial" w:cs="Arial"/>
          <w:sz w:val="24"/>
          <w:szCs w:val="24"/>
        </w:rPr>
        <w:t>) from routine laboratory samples at University of Pécs, Clinical Centre (Eth</w:t>
      </w:r>
      <w:r w:rsidR="00DF0523" w:rsidRPr="002D21B6">
        <w:rPr>
          <w:rFonts w:ascii="Arial" w:hAnsi="Arial" w:cs="Arial"/>
          <w:sz w:val="24"/>
          <w:szCs w:val="24"/>
        </w:rPr>
        <w:t>ical License number 2015/5726). The</w:t>
      </w:r>
      <w:r w:rsidR="0064110E" w:rsidRPr="002D21B6">
        <w:rPr>
          <w:rFonts w:ascii="Arial" w:hAnsi="Arial" w:cs="Arial"/>
          <w:sz w:val="24"/>
          <w:szCs w:val="24"/>
        </w:rPr>
        <w:t xml:space="preserve"> samples</w:t>
      </w:r>
      <w:r w:rsidR="007D282B" w:rsidRPr="002D21B6">
        <w:rPr>
          <w:rFonts w:ascii="Arial" w:hAnsi="Arial" w:cs="Arial"/>
          <w:sz w:val="24"/>
          <w:szCs w:val="24"/>
        </w:rPr>
        <w:t xml:space="preserve"> are</w:t>
      </w:r>
      <w:r w:rsidR="00DF0523" w:rsidRPr="002D21B6">
        <w:rPr>
          <w:rFonts w:ascii="Arial" w:hAnsi="Arial" w:cs="Arial"/>
          <w:sz w:val="24"/>
          <w:szCs w:val="24"/>
        </w:rPr>
        <w:t xml:space="preserve"> considered representative, as clinical residual samples were randomly selected (with the exclusion of seriously </w:t>
      </w:r>
      <w:r w:rsidR="0064110E" w:rsidRPr="002D21B6">
        <w:rPr>
          <w:rFonts w:ascii="Arial" w:hAnsi="Arial" w:cs="Arial"/>
          <w:sz w:val="24"/>
          <w:szCs w:val="24"/>
        </w:rPr>
        <w:t>immuno</w:t>
      </w:r>
      <w:r w:rsidR="001518F0" w:rsidRPr="002D21B6">
        <w:rPr>
          <w:rFonts w:ascii="Arial" w:hAnsi="Arial" w:cs="Arial"/>
          <w:sz w:val="24"/>
          <w:szCs w:val="24"/>
        </w:rPr>
        <w:t>compromised patients)</w:t>
      </w:r>
      <w:r w:rsidR="00DF0523" w:rsidRPr="002D21B6">
        <w:rPr>
          <w:rFonts w:ascii="Arial" w:hAnsi="Arial" w:cs="Arial"/>
          <w:sz w:val="24"/>
          <w:szCs w:val="24"/>
        </w:rPr>
        <w:t xml:space="preserve"> from the</w:t>
      </w:r>
      <w:r w:rsidR="00870DD1" w:rsidRPr="002D21B6">
        <w:rPr>
          <w:rFonts w:ascii="Arial" w:hAnsi="Arial" w:cs="Arial"/>
          <w:sz w:val="24"/>
          <w:szCs w:val="24"/>
        </w:rPr>
        <w:t xml:space="preserve"> Department of Laboratory Medicine</w:t>
      </w:r>
      <w:r w:rsidR="001518F0" w:rsidRPr="002D21B6">
        <w:rPr>
          <w:rFonts w:ascii="Arial" w:hAnsi="Arial" w:cs="Arial"/>
          <w:sz w:val="24"/>
          <w:szCs w:val="24"/>
        </w:rPr>
        <w:t xml:space="preserve">, </w:t>
      </w:r>
      <w:r w:rsidR="00870DD1" w:rsidRPr="002D21B6">
        <w:rPr>
          <w:rFonts w:ascii="Arial" w:hAnsi="Arial" w:cs="Arial"/>
          <w:sz w:val="24"/>
          <w:szCs w:val="24"/>
        </w:rPr>
        <w:t xml:space="preserve">University of Pécs, Medical School, </w:t>
      </w:r>
      <w:r w:rsidR="001518F0" w:rsidRPr="002D21B6">
        <w:rPr>
          <w:rFonts w:ascii="Arial" w:hAnsi="Arial" w:cs="Arial"/>
          <w:sz w:val="24"/>
          <w:szCs w:val="24"/>
        </w:rPr>
        <w:t>which serves</w:t>
      </w:r>
      <w:r w:rsidR="00DF0523" w:rsidRPr="002D21B6">
        <w:rPr>
          <w:rFonts w:ascii="Arial" w:hAnsi="Arial" w:cs="Arial"/>
          <w:sz w:val="24"/>
          <w:szCs w:val="24"/>
        </w:rPr>
        <w:t xml:space="preserve"> three counties (</w:t>
      </w:r>
      <w:r w:rsidR="006C4514" w:rsidRPr="002D21B6">
        <w:rPr>
          <w:rFonts w:ascii="Arial" w:hAnsi="Arial" w:cs="Arial"/>
          <w:sz w:val="24"/>
          <w:szCs w:val="24"/>
        </w:rPr>
        <w:t xml:space="preserve">Baranya, </w:t>
      </w:r>
      <w:proofErr w:type="spellStart"/>
      <w:r w:rsidR="006C4514" w:rsidRPr="002D21B6">
        <w:rPr>
          <w:rFonts w:ascii="Arial" w:hAnsi="Arial" w:cs="Arial"/>
          <w:sz w:val="24"/>
          <w:szCs w:val="24"/>
        </w:rPr>
        <w:t>Somogy</w:t>
      </w:r>
      <w:proofErr w:type="spellEnd"/>
      <w:r w:rsidR="006C4514" w:rsidRPr="002D21B6">
        <w:rPr>
          <w:rFonts w:ascii="Arial" w:hAnsi="Arial" w:cs="Arial"/>
          <w:sz w:val="24"/>
          <w:szCs w:val="24"/>
        </w:rPr>
        <w:t xml:space="preserve">, and </w:t>
      </w:r>
      <w:proofErr w:type="spellStart"/>
      <w:r w:rsidR="006C4514" w:rsidRPr="002D21B6">
        <w:rPr>
          <w:rFonts w:ascii="Arial" w:hAnsi="Arial" w:cs="Arial"/>
          <w:sz w:val="24"/>
          <w:szCs w:val="24"/>
        </w:rPr>
        <w:t>Tolna</w:t>
      </w:r>
      <w:proofErr w:type="spellEnd"/>
      <w:r w:rsidR="006C4514" w:rsidRPr="002D21B6">
        <w:rPr>
          <w:rFonts w:ascii="Arial" w:hAnsi="Arial" w:cs="Arial"/>
          <w:sz w:val="24"/>
          <w:szCs w:val="24"/>
        </w:rPr>
        <w:t xml:space="preserve">, </w:t>
      </w:r>
      <w:r w:rsidR="00793EE9" w:rsidRPr="002D21B6">
        <w:rPr>
          <w:rFonts w:ascii="Arial" w:hAnsi="Arial" w:cs="Arial"/>
          <w:sz w:val="24"/>
          <w:szCs w:val="24"/>
        </w:rPr>
        <w:t>with a population of ~</w:t>
      </w:r>
      <w:r w:rsidR="007D0DEE" w:rsidRPr="002D21B6">
        <w:rPr>
          <w:rFonts w:ascii="Arial" w:hAnsi="Arial" w:cs="Arial"/>
          <w:sz w:val="24"/>
          <w:szCs w:val="24"/>
        </w:rPr>
        <w:t>887 000</w:t>
      </w:r>
      <w:r w:rsidR="00F11446" w:rsidRPr="002D21B6">
        <w:rPr>
          <w:rFonts w:ascii="Arial" w:hAnsi="Arial" w:cs="Arial"/>
          <w:sz w:val="24"/>
          <w:szCs w:val="24"/>
        </w:rPr>
        <w:t>), and receives</w:t>
      </w:r>
      <w:r w:rsidR="00DF0523" w:rsidRPr="002D21B6">
        <w:rPr>
          <w:rFonts w:ascii="Arial" w:hAnsi="Arial" w:cs="Arial"/>
          <w:sz w:val="24"/>
          <w:szCs w:val="24"/>
        </w:rPr>
        <w:t xml:space="preserve"> </w:t>
      </w:r>
      <w:r w:rsidR="00D52ADC" w:rsidRPr="002D21B6">
        <w:rPr>
          <w:rFonts w:ascii="Arial" w:hAnsi="Arial" w:cs="Arial"/>
          <w:sz w:val="24"/>
          <w:szCs w:val="24"/>
        </w:rPr>
        <w:t xml:space="preserve">laboratory examination </w:t>
      </w:r>
      <w:r w:rsidR="00F11446" w:rsidRPr="002D21B6">
        <w:rPr>
          <w:rFonts w:ascii="Arial" w:hAnsi="Arial" w:cs="Arial"/>
          <w:sz w:val="24"/>
          <w:szCs w:val="24"/>
        </w:rPr>
        <w:t>requests from all over Hungary</w:t>
      </w:r>
      <w:r w:rsidR="00DF0523" w:rsidRPr="002D21B6">
        <w:rPr>
          <w:rFonts w:ascii="Arial" w:hAnsi="Arial" w:cs="Arial"/>
          <w:sz w:val="24"/>
          <w:szCs w:val="24"/>
        </w:rPr>
        <w:t xml:space="preserve">. </w:t>
      </w:r>
      <w:r w:rsidR="00746B6C" w:rsidRPr="002D21B6">
        <w:rPr>
          <w:rFonts w:ascii="Arial" w:hAnsi="Arial" w:cs="Arial"/>
          <w:sz w:val="24"/>
          <w:szCs w:val="24"/>
        </w:rPr>
        <w:t xml:space="preserve">In case </w:t>
      </w:r>
      <w:r w:rsidR="00BF4FD4" w:rsidRPr="002D21B6">
        <w:rPr>
          <w:rFonts w:ascii="Arial" w:hAnsi="Arial" w:cs="Arial"/>
          <w:sz w:val="24"/>
          <w:szCs w:val="24"/>
        </w:rPr>
        <w:t xml:space="preserve">of </w:t>
      </w:r>
      <w:r w:rsidR="00746B6C" w:rsidRPr="002D21B6">
        <w:rPr>
          <w:rFonts w:ascii="Arial" w:hAnsi="Arial" w:cs="Arial"/>
          <w:sz w:val="24"/>
          <w:szCs w:val="24"/>
        </w:rPr>
        <w:t xml:space="preserve">measles serosurvey, in order </w:t>
      </w:r>
      <w:r w:rsidR="004E2EE0" w:rsidRPr="002D21B6">
        <w:rPr>
          <w:rFonts w:ascii="Arial" w:hAnsi="Arial" w:cs="Arial"/>
          <w:sz w:val="24"/>
          <w:szCs w:val="24"/>
        </w:rPr>
        <w:t xml:space="preserve">to </w:t>
      </w:r>
      <w:r w:rsidR="00746B6C" w:rsidRPr="002D21B6">
        <w:rPr>
          <w:rFonts w:ascii="Arial" w:hAnsi="Arial" w:cs="Arial"/>
          <w:sz w:val="24"/>
          <w:szCs w:val="24"/>
        </w:rPr>
        <w:t xml:space="preserve">give </w:t>
      </w:r>
      <w:r w:rsidR="004E2EE0" w:rsidRPr="002D21B6">
        <w:rPr>
          <w:rFonts w:ascii="Arial" w:hAnsi="Arial" w:cs="Arial"/>
          <w:sz w:val="24"/>
          <w:szCs w:val="24"/>
        </w:rPr>
        <w:t>a more accurate estimate at</w:t>
      </w:r>
      <w:r w:rsidR="00DA349A">
        <w:rPr>
          <w:rFonts w:ascii="Arial" w:hAnsi="Arial" w:cs="Arial"/>
          <w:sz w:val="24"/>
          <w:szCs w:val="24"/>
        </w:rPr>
        <w:t xml:space="preserve"> population level, </w:t>
      </w:r>
      <w:r w:rsidR="00746B6C" w:rsidRPr="002D21B6">
        <w:rPr>
          <w:rFonts w:ascii="Arial" w:hAnsi="Arial" w:cs="Arial"/>
          <w:sz w:val="24"/>
          <w:szCs w:val="24"/>
        </w:rPr>
        <w:t xml:space="preserve">we </w:t>
      </w:r>
      <w:r w:rsidR="009233C9" w:rsidRPr="002D21B6">
        <w:rPr>
          <w:rFonts w:ascii="Arial" w:hAnsi="Arial" w:cs="Arial"/>
          <w:sz w:val="24"/>
          <w:szCs w:val="24"/>
        </w:rPr>
        <w:t xml:space="preserve">combined </w:t>
      </w:r>
      <w:r w:rsidR="007F6635" w:rsidRPr="002D21B6">
        <w:rPr>
          <w:rFonts w:ascii="Arial" w:hAnsi="Arial" w:cs="Arial"/>
          <w:sz w:val="24"/>
          <w:szCs w:val="24"/>
        </w:rPr>
        <w:t>our recently published</w:t>
      </w:r>
      <w:r w:rsidR="00746B6C" w:rsidRPr="002D21B6">
        <w:rPr>
          <w:rFonts w:ascii="Arial" w:hAnsi="Arial" w:cs="Arial"/>
          <w:sz w:val="24"/>
          <w:szCs w:val="24"/>
        </w:rPr>
        <w:t xml:space="preserve"> </w:t>
      </w:r>
      <w:r w:rsidR="007F6635" w:rsidRPr="002D21B6">
        <w:rPr>
          <w:rFonts w:ascii="Arial" w:hAnsi="Arial" w:cs="Arial"/>
          <w:sz w:val="24"/>
          <w:szCs w:val="24"/>
        </w:rPr>
        <w:t xml:space="preserve">data </w:t>
      </w:r>
      <w:r w:rsidR="00746B6C" w:rsidRPr="002D21B6">
        <w:rPr>
          <w:rFonts w:ascii="Arial" w:hAnsi="Arial" w:cs="Arial"/>
          <w:sz w:val="24"/>
          <w:szCs w:val="24"/>
        </w:rPr>
        <w:t xml:space="preserve">with results of </w:t>
      </w:r>
      <w:r w:rsidR="007F6635" w:rsidRPr="002D21B6">
        <w:rPr>
          <w:rFonts w:ascii="Arial" w:hAnsi="Arial" w:cs="Arial"/>
          <w:sz w:val="24"/>
          <w:szCs w:val="24"/>
        </w:rPr>
        <w:t>current</w:t>
      </w:r>
      <w:r w:rsidR="00746B6C" w:rsidRPr="002D21B6">
        <w:rPr>
          <w:rFonts w:ascii="Arial" w:hAnsi="Arial" w:cs="Arial"/>
          <w:sz w:val="24"/>
          <w:szCs w:val="24"/>
        </w:rPr>
        <w:t xml:space="preserve"> </w:t>
      </w:r>
      <w:r w:rsidR="00CD12A7" w:rsidRPr="002D21B6">
        <w:rPr>
          <w:rFonts w:ascii="Arial" w:hAnsi="Arial" w:cs="Arial"/>
          <w:sz w:val="24"/>
          <w:szCs w:val="24"/>
        </w:rPr>
        <w:t>measurements</w:t>
      </w:r>
      <w:r w:rsidR="00746B6C" w:rsidRPr="002D21B6">
        <w:rPr>
          <w:rFonts w:ascii="Arial" w:hAnsi="Arial" w:cs="Arial"/>
          <w:sz w:val="24"/>
          <w:szCs w:val="24"/>
        </w:rPr>
        <w:t xml:space="preserve"> (</w:t>
      </w:r>
      <w:r w:rsidR="007F6635" w:rsidRPr="002D21B6">
        <w:rPr>
          <w:rFonts w:ascii="Arial" w:hAnsi="Arial" w:cs="Arial"/>
          <w:sz w:val="24"/>
          <w:szCs w:val="24"/>
        </w:rPr>
        <w:t>p</w:t>
      </w:r>
      <w:r w:rsidR="00C32B8C" w:rsidRPr="002D21B6">
        <w:rPr>
          <w:rFonts w:ascii="Arial" w:hAnsi="Arial" w:cs="Arial"/>
          <w:sz w:val="24"/>
          <w:szCs w:val="24"/>
        </w:rPr>
        <w:t xml:space="preserve">reviously we tested 1985 serum samples for measles </w:t>
      </w:r>
      <w:r w:rsidR="00C32B8C" w:rsidRPr="002D21B6">
        <w:rPr>
          <w:rStyle w:val="Lbjegyzet-hivatkozs"/>
          <w:rFonts w:ascii="Arial" w:hAnsi="Arial" w:cs="Arial"/>
          <w:sz w:val="24"/>
          <w:szCs w:val="24"/>
        </w:rPr>
        <w:fldChar w:fldCharType="begin" w:fldLock="1"/>
      </w:r>
      <w:r w:rsidR="00120EB6" w:rsidRPr="002D21B6">
        <w:rPr>
          <w:rFonts w:ascii="Arial" w:hAnsi="Arial" w:cs="Arial"/>
          <w:sz w:val="24"/>
          <w:szCs w:val="24"/>
        </w:rPr>
        <w:instrText>ADDIN CSL_CITATION {"citationItems":[{"id":"ITEM-1","itemData":{"DOI":"10.1016/j.jim.2018.07.009","ISSN":"00221759","PMID":"30056035","abstract":"Because of measles outbreaks there is a need for continuous monitoring of immunological protection against infection at population level. For such monitoring to be feasible, a cost-effective, reliable and high-throughput assay is necessary. Herein we describe an ELISA protocol for assessment of anti-measles antibody levels in human serum samples that fulfills the above criteria and is easily adaptable by various laboratories. A serum bank of anonymous patient sera was established (N &gt; 3000 samples). Sera were grouped based on measles immunization schedules and/or changes in vaccine components since the introduction of the first measles vaccine in Hungary in 1969. Newly designed ELISA was performed by using Siemens BEP 2000 Advance System and data were confirmed using commercially available kits. Our indirect ELISA was compared to indirect immunfluoresence and to anti-measles nucleocapsid (N) monoclonal antibody-based sandwich ELISA. The results obtained are in high agreement with the confirmatory methods, and reflect measles vaccination history in Hungary ranging from pre-vaccination era, through the initial period of measles vaccination, to present. Based on measurement of 1985 sera, the highest ratio of low/questionable antibody level samples was detected in cluster '1978-1987' (~25.4%), followed by cluster '1969-1977' (~15.4%).Our assay is suitable for assessment of anti-measles immunity in a large cohort of subjects. The assay is cost-effective, allows high-throughput screening and has superior signal-to-noise ratio. This assay can serve as a first step in assessment of the effectiveness of all three components of the MMR vaccine.","author":[{"dropping-particle":"","family":"Böröcz","given":"Katalin","non-dropping-particle":"","parse-names":false,"suffix":""},{"dropping-particle":"","family":"Csizmadia","given":"Zsuzsanna","non-dropping-particle":"","parse-names":false,"suffix":""},{"dropping-particle":"","family":"Markovics","given":"Ákos","non-dropping-particle":"","parse-names":false,"suffix":""},{"dropping-particle":"","family":"Mészáros","given":"Viktória","non-dropping-particle":"","parse-names":false,"suffix":""},{"dropping-particle":"","family":"Farkas","given":"Kornélia","non-dropping-particle":"","parse-names":false,"suffix":""},{"dropping-particle":"","family":"Telek","given":"Vivien","non-dropping-particle":"","parse-names":false,"suffix":""},{"dropping-particle":"","family":"Varga","given":"Vivien","non-dropping-particle":"","parse-names":false,"suffix":""},{"dropping-particle":"","family":"Maloba","given":"Geofrey Ouma","non-dropping-particle":"","parse-names":false,"suffix":""},{"dropping-particle":"","family":"Bodó","given":"Kornélia","non-dropping-particle":"","parse-names":false,"suffix":""},{"dropping-particle":"","family":"Najbauer","given":"József","non-dropping-particle":"","parse-names":false,"suffix":""},{"dropping-particle":"","family":"Berki","given":"Tímea","non-dropping-particle":"","parse-names":false,"suffix":""},{"dropping-particle":"","family":"Németh","given":"Péter","non-dropping-particle":"","parse-names":false,"suffix":""}],"container-title":"Journal of Immunological Methods","id":"ITEM-1","issued":{"date-parts":[["2019","1"]]},"page":"1-8","title":"Development of a robust and standardized immunoserological assay for detection of anti-measles IgG antibodies in human sera","type":"article-journal","volume":"464"},"uris":["http://www.mendeley.com/documents/?uuid=a2e32bc7-84cd-3cda-8f75-6fc5c3feefc1"]}],"mendeley":{"formattedCitation":"[24]","plainTextFormattedCitation":"[24]","previouslyFormattedCitation":"[24]"},"properties":{"noteIndex":0},"schema":"https://github.com/citation-style-language/schema/raw/master/csl-citation.json"}</w:instrText>
      </w:r>
      <w:r w:rsidR="00C32B8C" w:rsidRPr="002D21B6">
        <w:rPr>
          <w:rStyle w:val="Lbjegyzet-hivatkozs"/>
          <w:rFonts w:ascii="Arial" w:hAnsi="Arial" w:cs="Arial"/>
          <w:sz w:val="24"/>
          <w:szCs w:val="24"/>
        </w:rPr>
        <w:fldChar w:fldCharType="separate"/>
      </w:r>
      <w:r w:rsidR="00120EB6" w:rsidRPr="002D21B6">
        <w:rPr>
          <w:rFonts w:ascii="Arial" w:hAnsi="Arial" w:cs="Arial"/>
          <w:noProof/>
          <w:sz w:val="24"/>
          <w:szCs w:val="24"/>
        </w:rPr>
        <w:t>[24]</w:t>
      </w:r>
      <w:r w:rsidR="00C32B8C" w:rsidRPr="002D21B6">
        <w:rPr>
          <w:rStyle w:val="Lbjegyzet-hivatkozs"/>
          <w:rFonts w:ascii="Arial" w:hAnsi="Arial" w:cs="Arial"/>
          <w:sz w:val="24"/>
          <w:szCs w:val="24"/>
        </w:rPr>
        <w:fldChar w:fldCharType="end"/>
      </w:r>
      <w:r w:rsidR="00C32B8C" w:rsidRPr="002D21B6">
        <w:rPr>
          <w:rFonts w:ascii="Arial" w:hAnsi="Arial" w:cs="Arial"/>
          <w:sz w:val="24"/>
          <w:szCs w:val="24"/>
        </w:rPr>
        <w:t>, of which the data of 1787 samples have been pooled together with the current data</w:t>
      </w:r>
      <w:r w:rsidR="00E91A5C" w:rsidRPr="002D21B6">
        <w:rPr>
          <w:rFonts w:ascii="Arial" w:hAnsi="Arial" w:cs="Arial"/>
          <w:sz w:val="24"/>
          <w:szCs w:val="24"/>
        </w:rPr>
        <w:t xml:space="preserve">; ‘cumulative’ data for measles, N </w:t>
      </w:r>
      <w:r w:rsidR="00E91A5C" w:rsidRPr="002D21B6">
        <w:rPr>
          <w:rFonts w:ascii="Arial" w:hAnsi="Arial" w:cs="Arial"/>
          <w:sz w:val="24"/>
          <w:szCs w:val="24"/>
          <w:vertAlign w:val="subscript"/>
        </w:rPr>
        <w:t xml:space="preserve">total measles </w:t>
      </w:r>
      <w:r w:rsidR="00E91A5C" w:rsidRPr="002D21B6">
        <w:rPr>
          <w:rFonts w:ascii="Arial" w:hAnsi="Arial" w:cs="Arial"/>
          <w:sz w:val="24"/>
          <w:szCs w:val="24"/>
        </w:rPr>
        <w:t xml:space="preserve"> = 3523).</w:t>
      </w:r>
      <w:r w:rsidR="00C32B8C" w:rsidRPr="002D21B6">
        <w:rPr>
          <w:rFonts w:ascii="Arial" w:hAnsi="Arial" w:cs="Arial"/>
          <w:sz w:val="24"/>
          <w:szCs w:val="24"/>
        </w:rPr>
        <w:t xml:space="preserve"> </w:t>
      </w:r>
      <w:r w:rsidR="0062409B" w:rsidRPr="002D21B6">
        <w:rPr>
          <w:rFonts w:ascii="Arial" w:hAnsi="Arial" w:cs="Arial"/>
          <w:sz w:val="24"/>
          <w:szCs w:val="24"/>
        </w:rPr>
        <w:t>Serum</w:t>
      </w:r>
      <w:r w:rsidR="00F81E03" w:rsidRPr="002D21B6">
        <w:rPr>
          <w:rFonts w:ascii="Arial" w:hAnsi="Arial" w:cs="Arial"/>
          <w:sz w:val="24"/>
          <w:szCs w:val="24"/>
        </w:rPr>
        <w:t xml:space="preserve"> samples were from all age groups</w:t>
      </w:r>
      <w:r w:rsidR="00F81E03" w:rsidRPr="002D21B6" w:rsidDel="00F81E03">
        <w:rPr>
          <w:rFonts w:ascii="Arial" w:hAnsi="Arial" w:cs="Arial"/>
          <w:sz w:val="24"/>
          <w:szCs w:val="24"/>
        </w:rPr>
        <w:t xml:space="preserve"> </w:t>
      </w:r>
      <w:r w:rsidR="003D497A" w:rsidRPr="002D21B6">
        <w:rPr>
          <w:rFonts w:ascii="Arial" w:hAnsi="Arial" w:cs="Arial"/>
          <w:sz w:val="24"/>
          <w:szCs w:val="24"/>
        </w:rPr>
        <w:t xml:space="preserve">(beginning from the era before the implementation of measles vaccine, through </w:t>
      </w:r>
      <w:r w:rsidR="00C113F3">
        <w:rPr>
          <w:rFonts w:ascii="Arial" w:hAnsi="Arial" w:cs="Arial"/>
          <w:sz w:val="24"/>
          <w:szCs w:val="24"/>
        </w:rPr>
        <w:t>several</w:t>
      </w:r>
      <w:r w:rsidR="003D497A" w:rsidRPr="002D21B6">
        <w:rPr>
          <w:rFonts w:ascii="Arial" w:hAnsi="Arial" w:cs="Arial"/>
          <w:sz w:val="24"/>
          <w:szCs w:val="24"/>
        </w:rPr>
        <w:t xml:space="preserve"> different vaccine types, manufacturers and vaccination schedules</w:t>
      </w:r>
      <w:r w:rsidR="00FF42B1">
        <w:rPr>
          <w:rFonts w:ascii="Arial" w:hAnsi="Arial" w:cs="Arial"/>
          <w:sz w:val="24"/>
          <w:szCs w:val="24"/>
        </w:rPr>
        <w:t xml:space="preserve">, </w:t>
      </w:r>
      <w:r w:rsidR="003D497A" w:rsidRPr="002D21B6">
        <w:rPr>
          <w:rFonts w:ascii="Arial" w:hAnsi="Arial" w:cs="Arial"/>
          <w:sz w:val="24"/>
          <w:szCs w:val="24"/>
        </w:rPr>
        <w:t xml:space="preserve">up to </w:t>
      </w:r>
      <w:r w:rsidR="005159DC" w:rsidRPr="002D21B6">
        <w:rPr>
          <w:rFonts w:ascii="Arial" w:hAnsi="Arial" w:cs="Arial"/>
          <w:sz w:val="24"/>
          <w:szCs w:val="24"/>
        </w:rPr>
        <w:t>present</w:t>
      </w:r>
      <w:r w:rsidR="003D497A" w:rsidRPr="002D21B6">
        <w:rPr>
          <w:rFonts w:ascii="Arial" w:hAnsi="Arial" w:cs="Arial"/>
          <w:sz w:val="24"/>
          <w:szCs w:val="24"/>
        </w:rPr>
        <w:t>)</w:t>
      </w:r>
      <w:r w:rsidRPr="002D21B6">
        <w:rPr>
          <w:rFonts w:ascii="Arial" w:hAnsi="Arial" w:cs="Arial"/>
          <w:sz w:val="24"/>
          <w:szCs w:val="24"/>
        </w:rPr>
        <w:t xml:space="preserve">, and were categorized based on </w:t>
      </w:r>
      <w:r w:rsidR="00E30EB1" w:rsidRPr="002D21B6">
        <w:rPr>
          <w:rFonts w:ascii="Arial" w:hAnsi="Arial" w:cs="Arial"/>
          <w:sz w:val="24"/>
          <w:szCs w:val="24"/>
        </w:rPr>
        <w:t xml:space="preserve">past </w:t>
      </w:r>
      <w:r w:rsidR="00D31A6F" w:rsidRPr="002D21B6">
        <w:rPr>
          <w:rFonts w:ascii="Arial" w:hAnsi="Arial" w:cs="Arial"/>
          <w:sz w:val="24"/>
          <w:szCs w:val="24"/>
        </w:rPr>
        <w:t xml:space="preserve">changes introduced in </w:t>
      </w:r>
      <w:r w:rsidR="00F75D43" w:rsidRPr="002D21B6">
        <w:rPr>
          <w:rFonts w:ascii="Arial" w:hAnsi="Arial" w:cs="Arial"/>
          <w:sz w:val="24"/>
          <w:szCs w:val="24"/>
        </w:rPr>
        <w:t xml:space="preserve">measles and </w:t>
      </w:r>
      <w:r w:rsidR="000C2269" w:rsidRPr="002D21B6">
        <w:rPr>
          <w:rFonts w:ascii="Arial" w:hAnsi="Arial" w:cs="Arial"/>
          <w:sz w:val="24"/>
          <w:szCs w:val="24"/>
        </w:rPr>
        <w:t>MMR</w:t>
      </w:r>
      <w:r w:rsidR="00AA3297" w:rsidRPr="002D21B6">
        <w:rPr>
          <w:rFonts w:ascii="Arial" w:hAnsi="Arial" w:cs="Arial"/>
          <w:sz w:val="24"/>
          <w:szCs w:val="24"/>
        </w:rPr>
        <w:t xml:space="preserve"> immunization schedules</w:t>
      </w:r>
      <w:r w:rsidR="007B3303" w:rsidRPr="002D21B6">
        <w:rPr>
          <w:rFonts w:ascii="Arial" w:hAnsi="Arial" w:cs="Arial"/>
          <w:sz w:val="24"/>
          <w:szCs w:val="24"/>
        </w:rPr>
        <w:t xml:space="preserve"> (Table 1)</w:t>
      </w:r>
      <w:r w:rsidR="00AA3297" w:rsidRPr="002D21B6">
        <w:rPr>
          <w:rFonts w:ascii="Arial" w:hAnsi="Arial" w:cs="Arial"/>
          <w:sz w:val="24"/>
          <w:szCs w:val="24"/>
        </w:rPr>
        <w:t>.</w:t>
      </w:r>
      <w:r w:rsidR="00F81E03" w:rsidRPr="002D21B6">
        <w:t xml:space="preserve"> </w:t>
      </w:r>
      <w:r w:rsidR="00AB5256" w:rsidRPr="002D21B6">
        <w:rPr>
          <w:rFonts w:ascii="Arial" w:hAnsi="Arial" w:cs="Arial"/>
          <w:sz w:val="24"/>
          <w:szCs w:val="24"/>
        </w:rPr>
        <w:t xml:space="preserve">The age group determination in our current study has been based on the </w:t>
      </w:r>
      <w:r w:rsidR="008C7657" w:rsidRPr="002D21B6">
        <w:rPr>
          <w:rFonts w:ascii="Arial" w:hAnsi="Arial" w:cs="Arial"/>
          <w:sz w:val="24"/>
          <w:szCs w:val="24"/>
        </w:rPr>
        <w:t xml:space="preserve">landmarks </w:t>
      </w:r>
      <w:r w:rsidR="00AB5256" w:rsidRPr="002D21B6">
        <w:rPr>
          <w:rFonts w:ascii="Arial" w:hAnsi="Arial" w:cs="Arial"/>
          <w:sz w:val="24"/>
          <w:szCs w:val="24"/>
        </w:rPr>
        <w:t>in the history of measles and MMR va</w:t>
      </w:r>
      <w:r w:rsidR="0056257A">
        <w:rPr>
          <w:rFonts w:ascii="Arial" w:hAnsi="Arial" w:cs="Arial"/>
          <w:sz w:val="24"/>
          <w:szCs w:val="24"/>
        </w:rPr>
        <w:t xml:space="preserve">ccination schedules in Hungary, as </w:t>
      </w:r>
      <w:r w:rsidR="008C7657" w:rsidRPr="002D21B6">
        <w:rPr>
          <w:rFonts w:ascii="Arial" w:hAnsi="Arial" w:cs="Arial"/>
          <w:sz w:val="24"/>
          <w:szCs w:val="24"/>
        </w:rPr>
        <w:t xml:space="preserve">detailed in </w:t>
      </w:r>
      <w:r w:rsidR="0056257A">
        <w:rPr>
          <w:rFonts w:ascii="Arial" w:hAnsi="Arial" w:cs="Arial"/>
          <w:sz w:val="24"/>
          <w:szCs w:val="24"/>
        </w:rPr>
        <w:t>Table 1</w:t>
      </w:r>
      <w:r w:rsidR="00AB5256" w:rsidRPr="002D21B6">
        <w:rPr>
          <w:rFonts w:ascii="Arial" w:hAnsi="Arial" w:cs="Arial"/>
          <w:sz w:val="24"/>
          <w:szCs w:val="24"/>
        </w:rPr>
        <w:t>.</w:t>
      </w:r>
      <w:r w:rsidR="00562C0C" w:rsidRPr="002D21B6">
        <w:rPr>
          <w:rFonts w:ascii="Arial" w:hAnsi="Arial" w:cs="Arial"/>
          <w:sz w:val="24"/>
          <w:szCs w:val="24"/>
        </w:rPr>
        <w:t xml:space="preserve"> </w:t>
      </w:r>
    </w:p>
    <w:p w:rsidR="00DA1DB4" w:rsidRDefault="00215B34" w:rsidP="00272AA1">
      <w:pPr>
        <w:spacing w:line="480" w:lineRule="auto"/>
        <w:ind w:firstLine="510"/>
        <w:rPr>
          <w:rFonts w:ascii="Arial" w:hAnsi="Arial" w:cs="Arial"/>
          <w:sz w:val="24"/>
          <w:szCs w:val="24"/>
        </w:rPr>
      </w:pPr>
      <w:r w:rsidRPr="002D21B6">
        <w:rPr>
          <w:rFonts w:ascii="Arial" w:hAnsi="Arial" w:cs="Arial"/>
          <w:sz w:val="24"/>
          <w:szCs w:val="24"/>
        </w:rPr>
        <w:t xml:space="preserve">Given the anonymous nature of samples, the only </w:t>
      </w:r>
      <w:r w:rsidR="00F81E03" w:rsidRPr="002D21B6">
        <w:rPr>
          <w:rFonts w:ascii="Arial" w:hAnsi="Arial" w:cs="Arial"/>
          <w:sz w:val="24"/>
          <w:szCs w:val="24"/>
        </w:rPr>
        <w:t xml:space="preserve">known data </w:t>
      </w:r>
      <w:r w:rsidRPr="002D21B6">
        <w:rPr>
          <w:rFonts w:ascii="Arial" w:hAnsi="Arial" w:cs="Arial"/>
          <w:sz w:val="24"/>
          <w:szCs w:val="24"/>
        </w:rPr>
        <w:t xml:space="preserve">was the date of birth of the patients. Considering that we were interested in the differences between the </w:t>
      </w:r>
      <w:r w:rsidRPr="002D21B6">
        <w:rPr>
          <w:rFonts w:ascii="Arial" w:hAnsi="Arial" w:cs="Arial"/>
          <w:sz w:val="24"/>
          <w:szCs w:val="24"/>
        </w:rPr>
        <w:lastRenderedPageBreak/>
        <w:t xml:space="preserve">various vaccination periods, dates of vaccination (instead of dates of birth) </w:t>
      </w:r>
      <w:r w:rsidR="00E2449A" w:rsidRPr="002D21B6">
        <w:rPr>
          <w:rFonts w:ascii="Arial" w:hAnsi="Arial" w:cs="Arial"/>
          <w:sz w:val="24"/>
          <w:szCs w:val="24"/>
        </w:rPr>
        <w:t xml:space="preserve">were chosen </w:t>
      </w:r>
      <w:r w:rsidR="002440AB">
        <w:rPr>
          <w:rFonts w:ascii="Arial" w:hAnsi="Arial" w:cs="Arial"/>
          <w:sz w:val="24"/>
          <w:szCs w:val="24"/>
        </w:rPr>
        <w:t>to define</w:t>
      </w:r>
      <w:r w:rsidRPr="002D21B6">
        <w:rPr>
          <w:rFonts w:ascii="Arial" w:hAnsi="Arial" w:cs="Arial"/>
          <w:sz w:val="24"/>
          <w:szCs w:val="24"/>
        </w:rPr>
        <w:t xml:space="preserve"> </w:t>
      </w:r>
      <w:r w:rsidR="00F81E03" w:rsidRPr="002D21B6">
        <w:rPr>
          <w:rFonts w:ascii="Arial" w:hAnsi="Arial" w:cs="Arial"/>
          <w:sz w:val="24"/>
          <w:szCs w:val="24"/>
        </w:rPr>
        <w:t>age group</w:t>
      </w:r>
      <w:r w:rsidRPr="002D21B6">
        <w:rPr>
          <w:rFonts w:ascii="Arial" w:hAnsi="Arial" w:cs="Arial"/>
          <w:sz w:val="24"/>
          <w:szCs w:val="24"/>
        </w:rPr>
        <w:t xml:space="preserve"> boundaries. </w:t>
      </w:r>
      <w:r w:rsidR="00F81E03" w:rsidRPr="002D21B6">
        <w:rPr>
          <w:rFonts w:ascii="Arial" w:hAnsi="Arial" w:cs="Arial"/>
          <w:sz w:val="24"/>
          <w:szCs w:val="24"/>
        </w:rPr>
        <w:t>By knowing the dates of birth and the important milestones of the Hungarian vaccination history</w:t>
      </w:r>
      <w:r w:rsidR="00AB5256" w:rsidRPr="002D21B6">
        <w:rPr>
          <w:rFonts w:ascii="Arial" w:hAnsi="Arial" w:cs="Arial"/>
          <w:sz w:val="24"/>
          <w:szCs w:val="24"/>
        </w:rPr>
        <w:t xml:space="preserve"> (</w:t>
      </w:r>
      <w:r w:rsidR="00954C0C" w:rsidRPr="002D21B6">
        <w:rPr>
          <w:rFonts w:ascii="Arial" w:hAnsi="Arial" w:cs="Arial"/>
          <w:sz w:val="24"/>
          <w:szCs w:val="24"/>
        </w:rPr>
        <w:t xml:space="preserve">e.g. </w:t>
      </w:r>
      <w:r w:rsidR="00AB5256" w:rsidRPr="002D21B6">
        <w:rPr>
          <w:rFonts w:ascii="Arial" w:hAnsi="Arial" w:cs="Arial"/>
          <w:sz w:val="24"/>
          <w:szCs w:val="24"/>
        </w:rPr>
        <w:t xml:space="preserve">the first measles vaccine was introduced in Hungary in 1969, </w:t>
      </w:r>
      <w:r w:rsidR="00954C0C" w:rsidRPr="002D21B6">
        <w:rPr>
          <w:rFonts w:ascii="Arial" w:hAnsi="Arial" w:cs="Arial"/>
          <w:sz w:val="24"/>
          <w:szCs w:val="24"/>
        </w:rPr>
        <w:t>in 199</w:t>
      </w:r>
      <w:r w:rsidR="00CB3A8B">
        <w:rPr>
          <w:rFonts w:ascii="Arial" w:hAnsi="Arial" w:cs="Arial"/>
          <w:sz w:val="24"/>
          <w:szCs w:val="24"/>
        </w:rPr>
        <w:t>0</w:t>
      </w:r>
      <w:r w:rsidR="00954C0C" w:rsidRPr="002D21B6">
        <w:rPr>
          <w:rFonts w:ascii="Arial" w:hAnsi="Arial" w:cs="Arial"/>
          <w:sz w:val="24"/>
          <w:szCs w:val="24"/>
        </w:rPr>
        <w:t xml:space="preserve"> the measles-rubella bivalent vaccines were introduced, </w:t>
      </w:r>
      <w:r w:rsidR="00D52ADC" w:rsidRPr="002D21B6">
        <w:rPr>
          <w:rFonts w:ascii="Arial" w:hAnsi="Arial" w:cs="Arial"/>
          <w:sz w:val="24"/>
          <w:szCs w:val="24"/>
        </w:rPr>
        <w:t xml:space="preserve">and </w:t>
      </w:r>
      <w:r w:rsidR="00954C0C" w:rsidRPr="002D21B6">
        <w:rPr>
          <w:rFonts w:ascii="Arial" w:hAnsi="Arial" w:cs="Arial"/>
          <w:sz w:val="24"/>
          <w:szCs w:val="24"/>
        </w:rPr>
        <w:t xml:space="preserve">in 1991 the measles-mumps-rubella trivalent vaccine was introduced; for further details see Table 1), </w:t>
      </w:r>
      <w:r w:rsidR="00875755" w:rsidRPr="002D21B6">
        <w:rPr>
          <w:rFonts w:ascii="Arial" w:hAnsi="Arial" w:cs="Arial"/>
          <w:sz w:val="24"/>
          <w:szCs w:val="24"/>
        </w:rPr>
        <w:t xml:space="preserve">establishment of the </w:t>
      </w:r>
      <w:r w:rsidR="00242B37" w:rsidRPr="002D21B6">
        <w:rPr>
          <w:rFonts w:ascii="Arial" w:hAnsi="Arial" w:cs="Arial"/>
          <w:sz w:val="24"/>
          <w:szCs w:val="24"/>
        </w:rPr>
        <w:t xml:space="preserve">vaccination based </w:t>
      </w:r>
      <w:r w:rsidR="00875755" w:rsidRPr="002D21B6">
        <w:rPr>
          <w:rFonts w:ascii="Arial" w:hAnsi="Arial" w:cs="Arial"/>
          <w:sz w:val="24"/>
          <w:szCs w:val="24"/>
        </w:rPr>
        <w:t xml:space="preserve">age-group matrix became feasible. </w:t>
      </w:r>
      <w:r w:rsidR="00B91C05" w:rsidRPr="002D21B6">
        <w:rPr>
          <w:rFonts w:ascii="Arial" w:hAnsi="Arial" w:cs="Arial"/>
          <w:sz w:val="24"/>
          <w:szCs w:val="24"/>
        </w:rPr>
        <w:t>N</w:t>
      </w:r>
      <w:r w:rsidR="00DA1DB4" w:rsidRPr="002D21B6">
        <w:rPr>
          <w:rFonts w:ascii="Arial" w:hAnsi="Arial" w:cs="Arial"/>
          <w:sz w:val="24"/>
          <w:szCs w:val="24"/>
        </w:rPr>
        <w:t>eonates and children under the age of vaccination were excluded from our study. As mentioned above,</w:t>
      </w:r>
      <w:r w:rsidR="00DA1DB4" w:rsidRPr="002D21B6">
        <w:t xml:space="preserve"> </w:t>
      </w:r>
      <w:r w:rsidR="00DA1DB4" w:rsidRPr="002D21B6">
        <w:rPr>
          <w:rFonts w:ascii="Arial" w:hAnsi="Arial" w:cs="Arial"/>
          <w:sz w:val="24"/>
          <w:szCs w:val="24"/>
        </w:rPr>
        <w:t xml:space="preserve">seriously immunocompromised patients were </w:t>
      </w:r>
      <w:r w:rsidR="009351E5" w:rsidRPr="002D21B6">
        <w:rPr>
          <w:rFonts w:ascii="Arial" w:hAnsi="Arial" w:cs="Arial"/>
          <w:sz w:val="24"/>
          <w:szCs w:val="24"/>
        </w:rPr>
        <w:t xml:space="preserve">also </w:t>
      </w:r>
      <w:proofErr w:type="gramStart"/>
      <w:r w:rsidR="00DA1DB4" w:rsidRPr="002D21B6">
        <w:rPr>
          <w:rFonts w:ascii="Arial" w:hAnsi="Arial" w:cs="Arial"/>
          <w:sz w:val="24"/>
          <w:szCs w:val="24"/>
        </w:rPr>
        <w:t>exclud</w:t>
      </w:r>
      <w:r w:rsidR="009351E5" w:rsidRPr="002D21B6">
        <w:rPr>
          <w:rFonts w:ascii="Arial" w:hAnsi="Arial" w:cs="Arial"/>
          <w:sz w:val="24"/>
          <w:szCs w:val="24"/>
        </w:rPr>
        <w:t>ed,</w:t>
      </w:r>
      <w:proofErr w:type="gramEnd"/>
      <w:r w:rsidR="009351E5" w:rsidRPr="002D21B6">
        <w:rPr>
          <w:rFonts w:ascii="Arial" w:hAnsi="Arial" w:cs="Arial"/>
          <w:sz w:val="24"/>
          <w:szCs w:val="24"/>
        </w:rPr>
        <w:t xml:space="preserve"> h</w:t>
      </w:r>
      <w:r w:rsidR="00DA1DB4" w:rsidRPr="002D21B6">
        <w:rPr>
          <w:rFonts w:ascii="Arial" w:hAnsi="Arial" w:cs="Arial"/>
          <w:sz w:val="24"/>
          <w:szCs w:val="24"/>
        </w:rPr>
        <w:t xml:space="preserve">owever, patients with mild immunocompromised conditions may have been included. </w:t>
      </w:r>
    </w:p>
    <w:p w:rsidR="00CB3A8B" w:rsidRPr="002D21B6" w:rsidRDefault="00CB3A8B" w:rsidP="00272AA1">
      <w:pPr>
        <w:spacing w:line="480" w:lineRule="auto"/>
        <w:ind w:firstLine="510"/>
        <w:rPr>
          <w:rFonts w:ascii="Arial" w:hAnsi="Arial" w:cs="Arial"/>
          <w:sz w:val="24"/>
          <w:szCs w:val="24"/>
        </w:rPr>
      </w:pPr>
    </w:p>
    <w:p w:rsidR="00AA2C73" w:rsidRPr="002D21B6" w:rsidRDefault="00AB47F6" w:rsidP="00C2139D">
      <w:pPr>
        <w:spacing w:line="480" w:lineRule="auto"/>
        <w:rPr>
          <w:rFonts w:ascii="Arial" w:hAnsi="Arial" w:cs="Arial"/>
          <w:i/>
          <w:sz w:val="24"/>
          <w:szCs w:val="24"/>
        </w:rPr>
      </w:pPr>
      <w:r w:rsidRPr="002D21B6">
        <w:rPr>
          <w:rFonts w:ascii="Arial" w:hAnsi="Arial" w:cs="Arial"/>
          <w:i/>
          <w:sz w:val="24"/>
          <w:szCs w:val="24"/>
        </w:rPr>
        <w:t>Antigen coating</w:t>
      </w:r>
    </w:p>
    <w:p w:rsidR="00BC6A3E" w:rsidRPr="002D21B6" w:rsidRDefault="007071B9" w:rsidP="005C54DD">
      <w:pPr>
        <w:tabs>
          <w:tab w:val="left" w:pos="322"/>
        </w:tabs>
        <w:spacing w:line="480" w:lineRule="auto"/>
        <w:rPr>
          <w:rFonts w:ascii="Arial" w:hAnsi="Arial" w:cs="Arial"/>
          <w:sz w:val="24"/>
          <w:szCs w:val="24"/>
        </w:rPr>
      </w:pPr>
      <w:r w:rsidRPr="002D21B6">
        <w:rPr>
          <w:rFonts w:ascii="Arial" w:hAnsi="Arial" w:cs="Arial"/>
          <w:sz w:val="24"/>
          <w:szCs w:val="24"/>
        </w:rPr>
        <w:t xml:space="preserve">For </w:t>
      </w:r>
      <w:r w:rsidR="00BC6A3E" w:rsidRPr="002D21B6">
        <w:rPr>
          <w:rFonts w:ascii="Arial" w:hAnsi="Arial" w:cs="Arial"/>
          <w:sz w:val="24"/>
          <w:szCs w:val="24"/>
        </w:rPr>
        <w:t xml:space="preserve">our </w:t>
      </w:r>
      <w:r w:rsidRPr="002D21B6">
        <w:rPr>
          <w:rFonts w:ascii="Arial" w:hAnsi="Arial" w:cs="Arial"/>
          <w:sz w:val="24"/>
          <w:szCs w:val="24"/>
        </w:rPr>
        <w:t>‘target’ assay we used purified, inactivated native virus preparations, derived from disrupted cells</w:t>
      </w:r>
      <w:r w:rsidR="00A748D5" w:rsidRPr="002D21B6">
        <w:rPr>
          <w:rFonts w:ascii="Arial" w:hAnsi="Arial" w:cs="Arial"/>
          <w:sz w:val="24"/>
          <w:szCs w:val="24"/>
        </w:rPr>
        <w:t>;</w:t>
      </w:r>
      <w:r w:rsidRPr="002D21B6">
        <w:rPr>
          <w:rFonts w:ascii="Arial" w:hAnsi="Arial" w:cs="Arial"/>
          <w:sz w:val="24"/>
          <w:szCs w:val="24"/>
        </w:rPr>
        <w:t xml:space="preserve"> measles </w:t>
      </w:r>
      <w:proofErr w:type="spellStart"/>
      <w:r w:rsidRPr="002D21B6">
        <w:rPr>
          <w:rFonts w:ascii="Arial" w:hAnsi="Arial" w:cs="Arial"/>
          <w:sz w:val="24"/>
          <w:szCs w:val="24"/>
        </w:rPr>
        <w:t>Edmonston</w:t>
      </w:r>
      <w:proofErr w:type="spellEnd"/>
      <w:r w:rsidRPr="002D21B6">
        <w:rPr>
          <w:rFonts w:ascii="Arial" w:hAnsi="Arial" w:cs="Arial"/>
          <w:i/>
          <w:sz w:val="24"/>
          <w:szCs w:val="24"/>
        </w:rPr>
        <w:t xml:space="preserve"> </w:t>
      </w:r>
      <w:r w:rsidRPr="002D21B6">
        <w:rPr>
          <w:rFonts w:ascii="Arial" w:hAnsi="Arial" w:cs="Arial"/>
          <w:sz w:val="24"/>
          <w:szCs w:val="24"/>
        </w:rPr>
        <w:t>strain cultured in Vero cells (PIP013 Bio-Rad), mumps Enders strain cultured in BSC-1 cells</w:t>
      </w:r>
      <w:r w:rsidRPr="002D21B6">
        <w:t xml:space="preserve"> </w:t>
      </w:r>
      <w:r w:rsidRPr="002D21B6">
        <w:rPr>
          <w:rFonts w:ascii="Arial" w:hAnsi="Arial" w:cs="Arial"/>
          <w:sz w:val="24"/>
          <w:szCs w:val="24"/>
        </w:rPr>
        <w:t>(PIP014 Bio-Rad), rubella HPV-77 strain cultured in Vero cells (PIP044 Bio-Rad).</w:t>
      </w:r>
      <w:r w:rsidRPr="002D21B6">
        <w:t xml:space="preserve"> </w:t>
      </w:r>
      <w:r w:rsidRPr="002D21B6">
        <w:rPr>
          <w:rFonts w:ascii="Arial" w:hAnsi="Arial" w:cs="Arial"/>
          <w:sz w:val="24"/>
          <w:szCs w:val="24"/>
        </w:rPr>
        <w:t>Antigen preparations were sonicated before use</w:t>
      </w:r>
      <w:r w:rsidR="0092654C">
        <w:rPr>
          <w:rFonts w:ascii="Arial" w:hAnsi="Arial" w:cs="Arial"/>
          <w:sz w:val="24"/>
          <w:szCs w:val="24"/>
        </w:rPr>
        <w:t>,</w:t>
      </w:r>
      <w:r w:rsidRPr="002D21B6">
        <w:rPr>
          <w:rFonts w:ascii="Arial" w:hAnsi="Arial" w:cs="Arial"/>
          <w:sz w:val="24"/>
          <w:szCs w:val="24"/>
        </w:rPr>
        <w:t xml:space="preserve"> as per manufacturer’s instruction. </w:t>
      </w:r>
      <w:r w:rsidR="00B96AA9" w:rsidRPr="002D21B6">
        <w:rPr>
          <w:rFonts w:ascii="Arial" w:hAnsi="Arial" w:cs="Arial"/>
          <w:sz w:val="24"/>
          <w:szCs w:val="24"/>
        </w:rPr>
        <w:t xml:space="preserve">ELISA 96-well </w:t>
      </w:r>
      <w:proofErr w:type="spellStart"/>
      <w:r w:rsidR="00B96AA9" w:rsidRPr="002D21B6">
        <w:rPr>
          <w:rFonts w:ascii="Arial" w:hAnsi="Arial" w:cs="Arial"/>
          <w:sz w:val="24"/>
          <w:szCs w:val="24"/>
        </w:rPr>
        <w:t>Maxisorp</w:t>
      </w:r>
      <w:proofErr w:type="spellEnd"/>
      <w:r w:rsidR="00B96AA9" w:rsidRPr="002D21B6">
        <w:rPr>
          <w:rFonts w:ascii="Arial" w:hAnsi="Arial" w:cs="Arial"/>
          <w:sz w:val="24"/>
          <w:szCs w:val="24"/>
        </w:rPr>
        <w:t xml:space="preserve"> plates (Nunc) were </w:t>
      </w:r>
      <w:r w:rsidR="0007327D" w:rsidRPr="002D21B6">
        <w:rPr>
          <w:rFonts w:ascii="Arial" w:hAnsi="Arial" w:cs="Arial"/>
          <w:sz w:val="24"/>
          <w:szCs w:val="24"/>
        </w:rPr>
        <w:t xml:space="preserve">divided </w:t>
      </w:r>
      <w:r w:rsidR="0087260D">
        <w:rPr>
          <w:rFonts w:ascii="Arial" w:hAnsi="Arial" w:cs="Arial"/>
          <w:sz w:val="24"/>
          <w:szCs w:val="24"/>
        </w:rPr>
        <w:t>vertically</w:t>
      </w:r>
      <w:r w:rsidR="007A513F" w:rsidRPr="002D21B6">
        <w:rPr>
          <w:rFonts w:ascii="Arial" w:hAnsi="Arial" w:cs="Arial"/>
          <w:sz w:val="24"/>
          <w:szCs w:val="24"/>
        </w:rPr>
        <w:t xml:space="preserve"> </w:t>
      </w:r>
      <w:r w:rsidR="00F12892" w:rsidRPr="002D21B6">
        <w:rPr>
          <w:rFonts w:ascii="Arial" w:hAnsi="Arial" w:cs="Arial"/>
          <w:sz w:val="24"/>
          <w:szCs w:val="24"/>
        </w:rPr>
        <w:t>in</w:t>
      </w:r>
      <w:r w:rsidR="007A513F" w:rsidRPr="002D21B6">
        <w:rPr>
          <w:rFonts w:ascii="Arial" w:hAnsi="Arial" w:cs="Arial"/>
          <w:sz w:val="24"/>
          <w:szCs w:val="24"/>
        </w:rPr>
        <w:t xml:space="preserve">to three equal </w:t>
      </w:r>
      <w:r w:rsidR="0007327D" w:rsidRPr="002D21B6">
        <w:rPr>
          <w:rFonts w:ascii="Arial" w:hAnsi="Arial" w:cs="Arial"/>
          <w:sz w:val="24"/>
          <w:szCs w:val="24"/>
        </w:rPr>
        <w:t>parts</w:t>
      </w:r>
      <w:r w:rsidR="007A513F" w:rsidRPr="002D21B6">
        <w:rPr>
          <w:rFonts w:ascii="Arial" w:hAnsi="Arial" w:cs="Arial"/>
          <w:sz w:val="24"/>
          <w:szCs w:val="24"/>
        </w:rPr>
        <w:t xml:space="preserve"> and each </w:t>
      </w:r>
      <w:r w:rsidR="00A459D0" w:rsidRPr="002D21B6">
        <w:rPr>
          <w:rFonts w:ascii="Arial" w:hAnsi="Arial" w:cs="Arial"/>
          <w:sz w:val="24"/>
          <w:szCs w:val="24"/>
        </w:rPr>
        <w:t>third</w:t>
      </w:r>
      <w:r w:rsidR="007A513F" w:rsidRPr="002D21B6">
        <w:rPr>
          <w:rFonts w:ascii="Arial" w:hAnsi="Arial" w:cs="Arial"/>
          <w:sz w:val="24"/>
          <w:szCs w:val="24"/>
        </w:rPr>
        <w:t xml:space="preserve"> </w:t>
      </w:r>
      <w:r w:rsidR="00B96AA9" w:rsidRPr="002D21B6">
        <w:rPr>
          <w:rFonts w:ascii="Arial" w:hAnsi="Arial" w:cs="Arial"/>
          <w:sz w:val="24"/>
          <w:szCs w:val="24"/>
        </w:rPr>
        <w:t xml:space="preserve">was </w:t>
      </w:r>
      <w:r w:rsidR="007A513F" w:rsidRPr="002D21B6">
        <w:rPr>
          <w:rFonts w:ascii="Arial" w:hAnsi="Arial" w:cs="Arial"/>
          <w:sz w:val="24"/>
          <w:szCs w:val="24"/>
        </w:rPr>
        <w:t>incubated</w:t>
      </w:r>
      <w:r w:rsidR="00B96AA9" w:rsidRPr="002D21B6">
        <w:rPr>
          <w:rFonts w:ascii="Arial" w:hAnsi="Arial" w:cs="Arial"/>
          <w:sz w:val="24"/>
          <w:szCs w:val="24"/>
        </w:rPr>
        <w:t xml:space="preserve"> overnight at 4-6 °C with </w:t>
      </w:r>
      <w:r w:rsidR="000B48E4" w:rsidRPr="002D21B6">
        <w:rPr>
          <w:rFonts w:ascii="Arial" w:hAnsi="Arial" w:cs="Arial"/>
          <w:sz w:val="24"/>
          <w:szCs w:val="24"/>
        </w:rPr>
        <w:t xml:space="preserve">measles, mumps and rubella </w:t>
      </w:r>
      <w:r w:rsidR="00B96AA9" w:rsidRPr="002D21B6">
        <w:rPr>
          <w:rFonts w:ascii="Arial" w:hAnsi="Arial" w:cs="Arial"/>
          <w:sz w:val="24"/>
          <w:szCs w:val="24"/>
        </w:rPr>
        <w:t>antigen</w:t>
      </w:r>
      <w:r w:rsidR="000B48E4" w:rsidRPr="002D21B6">
        <w:rPr>
          <w:rFonts w:ascii="Arial" w:hAnsi="Arial" w:cs="Arial"/>
          <w:sz w:val="24"/>
          <w:szCs w:val="24"/>
        </w:rPr>
        <w:t>s</w:t>
      </w:r>
      <w:r w:rsidR="00926E79" w:rsidRPr="002D21B6">
        <w:rPr>
          <w:rFonts w:ascii="Arial" w:hAnsi="Arial" w:cs="Arial"/>
          <w:sz w:val="24"/>
          <w:szCs w:val="24"/>
        </w:rPr>
        <w:t xml:space="preserve"> </w:t>
      </w:r>
      <w:r w:rsidR="00F12892" w:rsidRPr="002D21B6">
        <w:rPr>
          <w:rFonts w:ascii="Arial" w:hAnsi="Arial" w:cs="Arial"/>
          <w:sz w:val="24"/>
          <w:szCs w:val="24"/>
        </w:rPr>
        <w:t>(</w:t>
      </w:r>
      <w:r w:rsidR="00926E79" w:rsidRPr="002D21B6">
        <w:rPr>
          <w:rFonts w:ascii="Arial" w:hAnsi="Arial" w:cs="Arial"/>
          <w:sz w:val="24"/>
          <w:szCs w:val="24"/>
        </w:rPr>
        <w:t>100 µL/well</w:t>
      </w:r>
      <w:r w:rsidR="00F12892" w:rsidRPr="002D21B6">
        <w:rPr>
          <w:rFonts w:ascii="Arial" w:hAnsi="Arial" w:cs="Arial"/>
          <w:sz w:val="24"/>
          <w:szCs w:val="24"/>
        </w:rPr>
        <w:t>)</w:t>
      </w:r>
      <w:r w:rsidR="00082403" w:rsidRPr="002D21B6">
        <w:rPr>
          <w:rFonts w:ascii="Arial" w:hAnsi="Arial" w:cs="Arial"/>
          <w:sz w:val="24"/>
          <w:szCs w:val="24"/>
        </w:rPr>
        <w:t xml:space="preserve">, respectively </w:t>
      </w:r>
      <w:r w:rsidR="00EA4D45" w:rsidRPr="002D21B6">
        <w:rPr>
          <w:rFonts w:ascii="Arial" w:hAnsi="Arial" w:cs="Arial"/>
          <w:sz w:val="24"/>
          <w:szCs w:val="24"/>
        </w:rPr>
        <w:t>(</w:t>
      </w:r>
      <w:r w:rsidR="003E5145" w:rsidRPr="002D21B6">
        <w:rPr>
          <w:rFonts w:ascii="Arial" w:hAnsi="Arial" w:cs="Arial"/>
          <w:sz w:val="24"/>
          <w:szCs w:val="24"/>
        </w:rPr>
        <w:t xml:space="preserve">Fig. 2, </w:t>
      </w:r>
      <w:r w:rsidR="00EA4D45" w:rsidRPr="002D21B6">
        <w:rPr>
          <w:rFonts w:ascii="Arial" w:hAnsi="Arial" w:cs="Arial"/>
          <w:sz w:val="24"/>
          <w:szCs w:val="24"/>
        </w:rPr>
        <w:t>Table</w:t>
      </w:r>
      <w:r w:rsidR="00C225AC" w:rsidRPr="002D21B6">
        <w:rPr>
          <w:rFonts w:ascii="Arial" w:hAnsi="Arial" w:cs="Arial"/>
          <w:sz w:val="24"/>
          <w:szCs w:val="24"/>
        </w:rPr>
        <w:t xml:space="preserve"> </w:t>
      </w:r>
      <w:r w:rsidR="007B3303" w:rsidRPr="002D21B6">
        <w:rPr>
          <w:rFonts w:ascii="Arial" w:hAnsi="Arial" w:cs="Arial"/>
          <w:sz w:val="24"/>
          <w:szCs w:val="24"/>
        </w:rPr>
        <w:t>2</w:t>
      </w:r>
      <w:r w:rsidR="00EA4D45" w:rsidRPr="002D21B6">
        <w:rPr>
          <w:rFonts w:ascii="Arial" w:hAnsi="Arial" w:cs="Arial"/>
          <w:sz w:val="24"/>
          <w:szCs w:val="24"/>
        </w:rPr>
        <w:t>).</w:t>
      </w:r>
      <w:r w:rsidR="005A23F6" w:rsidRPr="002D21B6">
        <w:rPr>
          <w:rFonts w:ascii="Arial" w:hAnsi="Arial" w:cs="Arial"/>
          <w:sz w:val="24"/>
          <w:szCs w:val="24"/>
        </w:rPr>
        <w:t xml:space="preserve"> </w:t>
      </w:r>
      <w:r w:rsidR="00A424C2" w:rsidRPr="002D21B6">
        <w:rPr>
          <w:rFonts w:ascii="Arial" w:hAnsi="Arial" w:cs="Arial"/>
          <w:sz w:val="24"/>
          <w:szCs w:val="24"/>
        </w:rPr>
        <w:t>Testing of blocking reagents was</w:t>
      </w:r>
      <w:r w:rsidR="00BC6A3E" w:rsidRPr="002D21B6">
        <w:rPr>
          <w:rFonts w:ascii="Arial" w:hAnsi="Arial" w:cs="Arial"/>
          <w:sz w:val="24"/>
          <w:szCs w:val="24"/>
        </w:rPr>
        <w:t xml:space="preserve"> performed using bovine gelatine, milk powder, Block ACE (Bio-Rad)</w:t>
      </w:r>
      <w:r w:rsidR="00A424C2" w:rsidRPr="002D21B6">
        <w:rPr>
          <w:rFonts w:ascii="Arial" w:hAnsi="Arial" w:cs="Arial"/>
          <w:sz w:val="24"/>
          <w:szCs w:val="24"/>
        </w:rPr>
        <w:t>,</w:t>
      </w:r>
      <w:r w:rsidR="00BC6A3E" w:rsidRPr="002D21B6">
        <w:rPr>
          <w:rFonts w:ascii="Arial" w:hAnsi="Arial" w:cs="Arial"/>
          <w:sz w:val="24"/>
          <w:szCs w:val="24"/>
        </w:rPr>
        <w:t xml:space="preserve"> and our in-house </w:t>
      </w:r>
      <w:r w:rsidR="00A424C2" w:rsidRPr="002D21B6">
        <w:rPr>
          <w:rFonts w:ascii="Arial" w:hAnsi="Arial" w:cs="Arial"/>
          <w:sz w:val="24"/>
          <w:szCs w:val="24"/>
        </w:rPr>
        <w:t>polyvinyl alcohol (</w:t>
      </w:r>
      <w:r w:rsidR="00BC6A3E" w:rsidRPr="002D21B6">
        <w:rPr>
          <w:rFonts w:ascii="Arial" w:hAnsi="Arial" w:cs="Arial"/>
          <w:sz w:val="24"/>
          <w:szCs w:val="24"/>
        </w:rPr>
        <w:t>PVA</w:t>
      </w:r>
      <w:r w:rsidR="00A424C2" w:rsidRPr="002D21B6">
        <w:rPr>
          <w:rFonts w:ascii="Arial" w:hAnsi="Arial" w:cs="Arial"/>
          <w:sz w:val="24"/>
          <w:szCs w:val="24"/>
        </w:rPr>
        <w:t>)</w:t>
      </w:r>
      <w:r w:rsidR="00BC6A3E" w:rsidRPr="002D21B6">
        <w:rPr>
          <w:rFonts w:ascii="Arial" w:hAnsi="Arial" w:cs="Arial"/>
          <w:sz w:val="24"/>
          <w:szCs w:val="24"/>
        </w:rPr>
        <w:t xml:space="preserve">-based purely synthetic </w:t>
      </w:r>
      <w:r w:rsidR="00BC6A3E" w:rsidRPr="002D21B6">
        <w:rPr>
          <w:rFonts w:ascii="Arial" w:hAnsi="Arial" w:cs="Arial"/>
          <w:sz w:val="24"/>
          <w:szCs w:val="24"/>
        </w:rPr>
        <w:lastRenderedPageBreak/>
        <w:t xml:space="preserve">blocking </w:t>
      </w:r>
      <w:r w:rsidR="00B6120F" w:rsidRPr="002D21B6">
        <w:rPr>
          <w:rFonts w:ascii="Arial" w:hAnsi="Arial" w:cs="Arial"/>
          <w:sz w:val="24"/>
          <w:szCs w:val="24"/>
        </w:rPr>
        <w:t>buffer. Detail</w:t>
      </w:r>
      <w:r w:rsidR="00046D64" w:rsidRPr="002D21B6">
        <w:rPr>
          <w:rFonts w:ascii="Arial" w:hAnsi="Arial" w:cs="Arial"/>
          <w:sz w:val="24"/>
          <w:szCs w:val="24"/>
        </w:rPr>
        <w:t>s</w:t>
      </w:r>
      <w:r w:rsidR="00B6120F" w:rsidRPr="002D21B6">
        <w:rPr>
          <w:rFonts w:ascii="Arial" w:hAnsi="Arial" w:cs="Arial"/>
          <w:sz w:val="24"/>
          <w:szCs w:val="24"/>
        </w:rPr>
        <w:t xml:space="preserve"> </w:t>
      </w:r>
      <w:r w:rsidR="00046D64" w:rsidRPr="002D21B6">
        <w:rPr>
          <w:rFonts w:ascii="Arial" w:hAnsi="Arial" w:cs="Arial"/>
          <w:sz w:val="24"/>
          <w:szCs w:val="24"/>
        </w:rPr>
        <w:t xml:space="preserve">of sample pre-treatment </w:t>
      </w:r>
      <w:r w:rsidR="00B6120F" w:rsidRPr="002D21B6">
        <w:rPr>
          <w:rFonts w:ascii="Arial" w:hAnsi="Arial" w:cs="Arial"/>
          <w:sz w:val="24"/>
          <w:szCs w:val="24"/>
        </w:rPr>
        <w:t xml:space="preserve">and assay preparation steps have been described earlier </w:t>
      </w:r>
      <w:r w:rsidR="00B6120F" w:rsidRPr="002D21B6">
        <w:rPr>
          <w:rFonts w:ascii="Arial" w:hAnsi="Arial" w:cs="Arial"/>
          <w:sz w:val="24"/>
          <w:szCs w:val="24"/>
        </w:rPr>
        <w:fldChar w:fldCharType="begin" w:fldLock="1"/>
      </w:r>
      <w:r w:rsidR="0095736C" w:rsidRPr="002D21B6">
        <w:rPr>
          <w:rFonts w:ascii="Arial" w:hAnsi="Arial" w:cs="Arial"/>
          <w:sz w:val="24"/>
          <w:szCs w:val="24"/>
        </w:rPr>
        <w:instrText>ADDIN CSL_CITATION {"citationItems":[{"id":"ITEM-1","itemData":{"DOI":"10.1016/j.jim.2018.07.009","ISSN":"00221759","PMID":"30056035","abstract":"Because of measles outbreaks there is a need for continuous monitoring of immunological protection against infection at population level. For such monitoring to be feasible, a cost-effective, reliable and high-throughput assay is necessary. Herein we describe an ELISA protocol for assessment of anti-measles antibody levels in human serum samples that fulfills the above criteria and is easily adaptable by various laboratories. A serum bank of anonymous patient sera was established (N &gt; 3000 samples). Sera were grouped based on measles immunization schedules and/or changes in vaccine components since the introduction of the first measles vaccine in Hungary in 1969. Newly designed ELISA was performed by using Siemens BEP 2000 Advance System and data were confirmed using commercially available kits. Our indirect ELISA was compared to indirect immunfluoresence and to anti-measles nucleocapsid (N) monoclonal antibody-based sandwich ELISA. The results obtained are in high agreement with the confirmatory methods, and reflect measles vaccination history in Hungary ranging from pre-vaccination era, through the initial period of measles vaccination, to present. Based on measurement of 1985 sera, the highest ratio of low/questionable antibody level samples was detected in cluster '1978-1987' (~25.4%), followed by cluster '1969-1977' (~15.4%).Our assay is suitable for assessment of anti-measles immunity in a large cohort of subjects. The assay is cost-effective, allows high-throughput screening and has superior signal-to-noise ratio. This assay can serve as a first step in assessment of the effectiveness of all three components of the MMR vaccine.","author":[{"dropping-particle":"","family":"Böröcz","given":"Katalin","non-dropping-particle":"","parse-names":false,"suffix":""},{"dropping-particle":"","family":"Csizmadia","given":"Zsuzsanna","non-dropping-particle":"","parse-names":false,"suffix":""},{"dropping-particle":"","family":"Markovics","given":"Ákos","non-dropping-particle":"","parse-names":false,"suffix":""},{"dropping-particle":"","family":"Mészáros","given":"Viktória","non-dropping-particle":"","parse-names":false,"suffix":""},{"dropping-particle":"","family":"Farkas","given":"Kornélia","non-dropping-particle":"","parse-names":false,"suffix":""},{"dropping-particle":"","family":"Telek","given":"Vivien","non-dropping-particle":"","parse-names":false,"suffix":""},{"dropping-particle":"","family":"Varga","given":"Vivien","non-dropping-particle":"","parse-names":false,"suffix":""},{"dropping-particle":"","family":"Maloba","given":"Geofrey Ouma","non-dropping-particle":"","parse-names":false,"suffix":""},{"dropping-particle":"","family":"Bodó","given":"Kornélia","non-dropping-particle":"","parse-names":false,"suffix":""},{"dropping-particle":"","family":"Najbauer","given":"József","non-dropping-particle":"","parse-names":false,"suffix":""},{"dropping-particle":"","family":"Berki","given":"Tímea","non-dropping-particle":"","parse-names":false,"suffix":""},{"dropping-particle":"","family":"Németh","given":"Péter","non-dropping-particle":"","parse-names":false,"suffix":""}],"container-title":"Journal of Immunological Methods","id":"ITEM-1","issued":{"date-parts":[["2019","1"]]},"page":"1-8","title":"Development of a robust and standardized immunoserological assay for detection of anti-measles IgG antibodies in human sera","type":"article-journal","volume":"464"},"uris":["http://www.mendeley.com/documents/?uuid=a2e32bc7-84cd-3cda-8f75-6fc5c3feefc1"]}],"mendeley":{"formattedCitation":"[24]","plainTextFormattedCitation":"[24]","previouslyFormattedCitation":"[24]"},"properties":{"noteIndex":0},"schema":"https://github.com/citation-style-language/schema/raw/master/csl-citation.json"}</w:instrText>
      </w:r>
      <w:r w:rsidR="00B6120F" w:rsidRPr="002D21B6">
        <w:rPr>
          <w:rFonts w:ascii="Arial" w:hAnsi="Arial" w:cs="Arial"/>
          <w:sz w:val="24"/>
          <w:szCs w:val="24"/>
        </w:rPr>
        <w:fldChar w:fldCharType="separate"/>
      </w:r>
      <w:r w:rsidR="00B6120F" w:rsidRPr="002D21B6">
        <w:rPr>
          <w:rFonts w:ascii="Arial" w:hAnsi="Arial" w:cs="Arial"/>
          <w:noProof/>
          <w:sz w:val="24"/>
          <w:szCs w:val="24"/>
        </w:rPr>
        <w:t>[24]</w:t>
      </w:r>
      <w:r w:rsidR="00B6120F" w:rsidRPr="002D21B6">
        <w:rPr>
          <w:rFonts w:ascii="Arial" w:hAnsi="Arial" w:cs="Arial"/>
          <w:sz w:val="24"/>
          <w:szCs w:val="24"/>
        </w:rPr>
        <w:fldChar w:fldCharType="end"/>
      </w:r>
      <w:r w:rsidR="00B6120F" w:rsidRPr="002D21B6">
        <w:rPr>
          <w:rFonts w:ascii="Arial" w:hAnsi="Arial" w:cs="Arial"/>
          <w:sz w:val="24"/>
          <w:szCs w:val="24"/>
        </w:rPr>
        <w:t>.</w:t>
      </w:r>
    </w:p>
    <w:p w:rsidR="00351D3A" w:rsidRDefault="000A0716" w:rsidP="005C54DD">
      <w:pPr>
        <w:tabs>
          <w:tab w:val="left" w:pos="322"/>
        </w:tabs>
        <w:spacing w:line="480" w:lineRule="auto"/>
        <w:rPr>
          <w:rFonts w:ascii="Arial" w:hAnsi="Arial" w:cs="Arial"/>
          <w:sz w:val="24"/>
          <w:szCs w:val="24"/>
        </w:rPr>
      </w:pPr>
      <w:r w:rsidRPr="002D21B6">
        <w:rPr>
          <w:rFonts w:ascii="Arial" w:hAnsi="Arial" w:cs="Arial"/>
          <w:sz w:val="24"/>
          <w:szCs w:val="24"/>
        </w:rPr>
        <w:tab/>
      </w:r>
      <w:r w:rsidR="00857872" w:rsidRPr="002D21B6">
        <w:rPr>
          <w:rFonts w:ascii="Arial" w:hAnsi="Arial" w:cs="Arial"/>
          <w:sz w:val="24"/>
          <w:szCs w:val="24"/>
        </w:rPr>
        <w:t xml:space="preserve">To demonstrate the lack of interference when using </w:t>
      </w:r>
      <w:r w:rsidR="008D40C1" w:rsidRPr="002D21B6">
        <w:rPr>
          <w:rFonts w:ascii="Arial" w:hAnsi="Arial" w:cs="Arial"/>
          <w:sz w:val="24"/>
          <w:szCs w:val="24"/>
        </w:rPr>
        <w:t>cell culture-derived</w:t>
      </w:r>
      <w:r w:rsidR="00A748D5" w:rsidRPr="002D21B6">
        <w:rPr>
          <w:rFonts w:ascii="Arial" w:hAnsi="Arial" w:cs="Arial"/>
          <w:sz w:val="24"/>
          <w:szCs w:val="24"/>
        </w:rPr>
        <w:t xml:space="preserve"> </w:t>
      </w:r>
      <w:r w:rsidR="00857872" w:rsidRPr="002D21B6">
        <w:rPr>
          <w:rFonts w:ascii="Arial" w:hAnsi="Arial" w:cs="Arial"/>
          <w:sz w:val="24"/>
          <w:szCs w:val="24"/>
        </w:rPr>
        <w:t>antigen</w:t>
      </w:r>
      <w:r w:rsidR="005C54DD" w:rsidRPr="002D21B6">
        <w:rPr>
          <w:rFonts w:ascii="Arial" w:hAnsi="Arial" w:cs="Arial"/>
          <w:sz w:val="24"/>
          <w:szCs w:val="24"/>
        </w:rPr>
        <w:t xml:space="preserve"> </w:t>
      </w:r>
      <w:r w:rsidR="00A748D5" w:rsidRPr="002D21B6">
        <w:rPr>
          <w:rFonts w:ascii="Arial" w:hAnsi="Arial" w:cs="Arial"/>
          <w:sz w:val="24"/>
          <w:szCs w:val="24"/>
        </w:rPr>
        <w:t>coatings,</w:t>
      </w:r>
      <w:r w:rsidR="00513948" w:rsidRPr="002D21B6">
        <w:rPr>
          <w:rFonts w:ascii="Arial" w:hAnsi="Arial" w:cs="Arial"/>
          <w:sz w:val="24"/>
          <w:szCs w:val="24"/>
        </w:rPr>
        <w:t xml:space="preserve"> </w:t>
      </w:r>
      <w:r w:rsidR="00857872" w:rsidRPr="002D21B6">
        <w:rPr>
          <w:rFonts w:ascii="Arial" w:hAnsi="Arial" w:cs="Arial"/>
          <w:sz w:val="24"/>
          <w:szCs w:val="24"/>
        </w:rPr>
        <w:t>we compared our</w:t>
      </w:r>
      <w:r w:rsidR="00A748D5" w:rsidRPr="002D21B6">
        <w:rPr>
          <w:rFonts w:ascii="Arial" w:hAnsi="Arial" w:cs="Arial"/>
          <w:sz w:val="24"/>
          <w:szCs w:val="24"/>
        </w:rPr>
        <w:t xml:space="preserve"> ‘target’</w:t>
      </w:r>
      <w:r w:rsidR="00857872" w:rsidRPr="002D21B6">
        <w:rPr>
          <w:rFonts w:ascii="Arial" w:hAnsi="Arial" w:cs="Arial"/>
          <w:sz w:val="24"/>
          <w:szCs w:val="24"/>
        </w:rPr>
        <w:t xml:space="preserve"> assay </w:t>
      </w:r>
      <w:r w:rsidR="006D126A" w:rsidRPr="002D21B6">
        <w:rPr>
          <w:rFonts w:ascii="Arial" w:hAnsi="Arial" w:cs="Arial"/>
          <w:sz w:val="24"/>
          <w:szCs w:val="24"/>
        </w:rPr>
        <w:t>to</w:t>
      </w:r>
      <w:r w:rsidR="00857872" w:rsidRPr="002D21B6">
        <w:rPr>
          <w:rFonts w:ascii="Arial" w:hAnsi="Arial" w:cs="Arial"/>
          <w:sz w:val="24"/>
          <w:szCs w:val="24"/>
        </w:rPr>
        <w:t xml:space="preserve"> purified recombinant viral capsid protein antigen-based assays. </w:t>
      </w:r>
      <w:r w:rsidR="005A0B26" w:rsidRPr="002D21B6">
        <w:rPr>
          <w:rFonts w:ascii="Arial" w:hAnsi="Arial" w:cs="Arial"/>
          <w:sz w:val="24"/>
          <w:szCs w:val="24"/>
        </w:rPr>
        <w:t>Purity of</w:t>
      </w:r>
      <w:r w:rsidR="00F110B1" w:rsidRPr="002D21B6">
        <w:rPr>
          <w:rFonts w:ascii="Arial" w:hAnsi="Arial" w:cs="Arial"/>
          <w:sz w:val="24"/>
          <w:szCs w:val="24"/>
        </w:rPr>
        <w:t xml:space="preserve"> </w:t>
      </w:r>
      <w:r w:rsidR="00E534E1">
        <w:rPr>
          <w:rFonts w:ascii="Arial" w:hAnsi="Arial" w:cs="Arial"/>
          <w:sz w:val="24"/>
          <w:szCs w:val="24"/>
        </w:rPr>
        <w:t xml:space="preserve">cell </w:t>
      </w:r>
      <w:r w:rsidR="00A748D5" w:rsidRPr="002D21B6">
        <w:rPr>
          <w:rFonts w:ascii="Arial" w:hAnsi="Arial" w:cs="Arial"/>
          <w:sz w:val="24"/>
          <w:szCs w:val="24"/>
        </w:rPr>
        <w:t xml:space="preserve">culture-derived, </w:t>
      </w:r>
      <w:r w:rsidR="008D40C1" w:rsidRPr="002D21B6">
        <w:rPr>
          <w:rFonts w:ascii="Arial" w:hAnsi="Arial" w:cs="Arial"/>
          <w:sz w:val="24"/>
          <w:szCs w:val="24"/>
        </w:rPr>
        <w:t xml:space="preserve">native virus-based </w:t>
      </w:r>
      <w:r w:rsidR="00C37454" w:rsidRPr="002D21B6">
        <w:rPr>
          <w:rFonts w:ascii="Arial" w:hAnsi="Arial" w:cs="Arial"/>
          <w:sz w:val="24"/>
          <w:szCs w:val="24"/>
        </w:rPr>
        <w:t>coating</w:t>
      </w:r>
      <w:r w:rsidR="008D40C1" w:rsidRPr="002D21B6">
        <w:rPr>
          <w:rFonts w:ascii="Arial" w:hAnsi="Arial" w:cs="Arial"/>
          <w:sz w:val="24"/>
          <w:szCs w:val="24"/>
        </w:rPr>
        <w:t>s</w:t>
      </w:r>
      <w:r w:rsidR="00A748D5" w:rsidRPr="002D21B6">
        <w:rPr>
          <w:rFonts w:ascii="Arial" w:hAnsi="Arial" w:cs="Arial"/>
          <w:sz w:val="24"/>
          <w:szCs w:val="24"/>
        </w:rPr>
        <w:t xml:space="preserve"> </w:t>
      </w:r>
      <w:r w:rsidR="00C37454" w:rsidRPr="002D21B6">
        <w:rPr>
          <w:rFonts w:ascii="Arial" w:hAnsi="Arial" w:cs="Arial"/>
          <w:sz w:val="24"/>
          <w:szCs w:val="24"/>
        </w:rPr>
        <w:t>was verified</w:t>
      </w:r>
      <w:r w:rsidR="00DF36AC" w:rsidRPr="002D21B6">
        <w:rPr>
          <w:rFonts w:ascii="Arial" w:hAnsi="Arial" w:cs="Arial"/>
          <w:sz w:val="24"/>
          <w:szCs w:val="24"/>
        </w:rPr>
        <w:t xml:space="preserve"> by </w:t>
      </w:r>
      <w:r w:rsidR="00EB2893" w:rsidRPr="002D21B6">
        <w:rPr>
          <w:rFonts w:ascii="Arial" w:hAnsi="Arial" w:cs="Arial"/>
          <w:sz w:val="24"/>
          <w:szCs w:val="24"/>
        </w:rPr>
        <w:t>plate-to-plate comparisons to</w:t>
      </w:r>
      <w:r w:rsidR="005A0B26" w:rsidRPr="002D21B6">
        <w:rPr>
          <w:rFonts w:ascii="Arial" w:hAnsi="Arial" w:cs="Arial"/>
          <w:sz w:val="24"/>
          <w:szCs w:val="24"/>
        </w:rPr>
        <w:t xml:space="preserve"> </w:t>
      </w:r>
      <w:r w:rsidR="00C328F0" w:rsidRPr="002D21B6">
        <w:rPr>
          <w:rFonts w:ascii="Arial" w:hAnsi="Arial" w:cs="Arial"/>
          <w:sz w:val="24"/>
          <w:szCs w:val="24"/>
        </w:rPr>
        <w:t>recombinant</w:t>
      </w:r>
      <w:r w:rsidR="005423A7" w:rsidRPr="002D21B6">
        <w:rPr>
          <w:rFonts w:ascii="Arial" w:hAnsi="Arial" w:cs="Arial"/>
          <w:sz w:val="24"/>
          <w:szCs w:val="24"/>
        </w:rPr>
        <w:t xml:space="preserve"> </w:t>
      </w:r>
      <w:r w:rsidR="005A0B26" w:rsidRPr="002D21B6">
        <w:rPr>
          <w:rFonts w:ascii="Arial" w:hAnsi="Arial" w:cs="Arial"/>
          <w:sz w:val="24"/>
          <w:szCs w:val="24"/>
        </w:rPr>
        <w:t>antigen</w:t>
      </w:r>
      <w:r w:rsidR="00EB2893" w:rsidRPr="002D21B6">
        <w:rPr>
          <w:rFonts w:ascii="Arial" w:hAnsi="Arial" w:cs="Arial"/>
          <w:sz w:val="24"/>
          <w:szCs w:val="24"/>
        </w:rPr>
        <w:t>-based</w:t>
      </w:r>
      <w:r w:rsidR="005A0B26" w:rsidRPr="002D21B6">
        <w:rPr>
          <w:rFonts w:ascii="Arial" w:hAnsi="Arial" w:cs="Arial"/>
          <w:sz w:val="24"/>
          <w:szCs w:val="24"/>
        </w:rPr>
        <w:t xml:space="preserve"> coating</w:t>
      </w:r>
      <w:r w:rsidR="00EB2893" w:rsidRPr="002D21B6">
        <w:rPr>
          <w:rFonts w:ascii="Arial" w:hAnsi="Arial" w:cs="Arial"/>
          <w:sz w:val="24"/>
          <w:szCs w:val="24"/>
        </w:rPr>
        <w:t>s</w:t>
      </w:r>
      <w:r w:rsidR="00935D3C" w:rsidRPr="002D21B6">
        <w:rPr>
          <w:rFonts w:ascii="Arial" w:hAnsi="Arial" w:cs="Arial"/>
          <w:sz w:val="24"/>
          <w:szCs w:val="24"/>
        </w:rPr>
        <w:t>,</w:t>
      </w:r>
      <w:r w:rsidR="00A93ACF" w:rsidRPr="002D21B6">
        <w:rPr>
          <w:rFonts w:ascii="Arial" w:hAnsi="Arial" w:cs="Arial"/>
          <w:sz w:val="24"/>
          <w:szCs w:val="24"/>
        </w:rPr>
        <w:t xml:space="preserve"> as described below:</w:t>
      </w:r>
      <w:r w:rsidR="001F2540" w:rsidRPr="002D21B6">
        <w:rPr>
          <w:rFonts w:ascii="Arial" w:hAnsi="Arial" w:cs="Arial"/>
          <w:sz w:val="24"/>
          <w:szCs w:val="24"/>
        </w:rPr>
        <w:t xml:space="preserve"> </w:t>
      </w:r>
      <w:r w:rsidR="00935D3C" w:rsidRPr="002D21B6">
        <w:rPr>
          <w:rFonts w:ascii="Arial" w:hAnsi="Arial" w:cs="Arial"/>
          <w:sz w:val="24"/>
          <w:szCs w:val="24"/>
        </w:rPr>
        <w:t xml:space="preserve">‘control’ </w:t>
      </w:r>
      <w:r w:rsidR="001F2540" w:rsidRPr="002D21B6">
        <w:rPr>
          <w:rFonts w:ascii="Arial" w:hAnsi="Arial" w:cs="Arial"/>
          <w:sz w:val="24"/>
          <w:szCs w:val="24"/>
        </w:rPr>
        <w:t>m</w:t>
      </w:r>
      <w:r w:rsidR="00A93ACF" w:rsidRPr="002D21B6">
        <w:rPr>
          <w:rFonts w:ascii="Arial" w:hAnsi="Arial" w:cs="Arial"/>
          <w:sz w:val="24"/>
          <w:szCs w:val="24"/>
        </w:rPr>
        <w:t>icroplates</w:t>
      </w:r>
      <w:r w:rsidR="001F2540" w:rsidRPr="002D21B6">
        <w:rPr>
          <w:rFonts w:ascii="Arial" w:hAnsi="Arial" w:cs="Arial"/>
          <w:sz w:val="24"/>
          <w:szCs w:val="24"/>
        </w:rPr>
        <w:t xml:space="preserve"> </w:t>
      </w:r>
      <w:r w:rsidR="00F110B1" w:rsidRPr="002D21B6">
        <w:rPr>
          <w:rFonts w:ascii="Arial" w:hAnsi="Arial" w:cs="Arial"/>
          <w:sz w:val="24"/>
          <w:szCs w:val="24"/>
        </w:rPr>
        <w:t xml:space="preserve">were coated with </w:t>
      </w:r>
      <w:r w:rsidR="00EB3E9E" w:rsidRPr="002D21B6">
        <w:rPr>
          <w:rFonts w:ascii="Arial" w:hAnsi="Arial" w:cs="Arial"/>
          <w:sz w:val="24"/>
          <w:szCs w:val="24"/>
        </w:rPr>
        <w:t xml:space="preserve">series of </w:t>
      </w:r>
      <w:r w:rsidR="00EC1BC7" w:rsidRPr="002D21B6">
        <w:rPr>
          <w:rFonts w:ascii="Arial" w:hAnsi="Arial" w:cs="Arial"/>
          <w:sz w:val="24"/>
          <w:szCs w:val="24"/>
        </w:rPr>
        <w:t xml:space="preserve">doubling, </w:t>
      </w:r>
      <w:r w:rsidR="00CD78B3" w:rsidRPr="002D21B6">
        <w:rPr>
          <w:rFonts w:ascii="Arial" w:hAnsi="Arial" w:cs="Arial"/>
          <w:sz w:val="24"/>
          <w:szCs w:val="24"/>
        </w:rPr>
        <w:t>4</w:t>
      </w:r>
      <w:r w:rsidR="00EC1BC7" w:rsidRPr="002D21B6">
        <w:rPr>
          <w:rFonts w:ascii="Arial" w:hAnsi="Arial" w:cs="Arial"/>
          <w:sz w:val="24"/>
          <w:szCs w:val="24"/>
        </w:rPr>
        <w:t xml:space="preserve">-point </w:t>
      </w:r>
      <w:r w:rsidR="00F110B1" w:rsidRPr="002D21B6">
        <w:rPr>
          <w:rFonts w:ascii="Arial" w:hAnsi="Arial" w:cs="Arial"/>
          <w:sz w:val="24"/>
          <w:szCs w:val="24"/>
        </w:rPr>
        <w:t>d</w:t>
      </w:r>
      <w:r w:rsidR="00EC1BC7" w:rsidRPr="002D21B6">
        <w:rPr>
          <w:rFonts w:ascii="Arial" w:hAnsi="Arial" w:cs="Arial"/>
          <w:sz w:val="24"/>
          <w:szCs w:val="24"/>
        </w:rPr>
        <w:t xml:space="preserve">ilutions </w:t>
      </w:r>
      <w:r w:rsidR="00F110B1" w:rsidRPr="002D21B6">
        <w:rPr>
          <w:rFonts w:ascii="Arial" w:hAnsi="Arial" w:cs="Arial"/>
          <w:sz w:val="24"/>
          <w:szCs w:val="24"/>
        </w:rPr>
        <w:t>of recombinant antigens</w:t>
      </w:r>
      <w:r w:rsidR="00EC1BC7" w:rsidRPr="002D21B6">
        <w:rPr>
          <w:rFonts w:ascii="Arial" w:hAnsi="Arial" w:cs="Arial"/>
          <w:sz w:val="24"/>
          <w:szCs w:val="24"/>
        </w:rPr>
        <w:t>; m</w:t>
      </w:r>
      <w:r w:rsidR="00765F20" w:rsidRPr="002D21B6">
        <w:rPr>
          <w:rFonts w:ascii="Arial" w:hAnsi="Arial" w:cs="Arial"/>
          <w:sz w:val="24"/>
          <w:szCs w:val="24"/>
        </w:rPr>
        <w:t xml:space="preserve">easles virus </w:t>
      </w:r>
      <w:proofErr w:type="spellStart"/>
      <w:r w:rsidR="00765F20" w:rsidRPr="002D21B6">
        <w:rPr>
          <w:rFonts w:ascii="Arial" w:hAnsi="Arial" w:cs="Arial"/>
          <w:sz w:val="24"/>
          <w:szCs w:val="24"/>
        </w:rPr>
        <w:t>Priorix</w:t>
      </w:r>
      <w:proofErr w:type="spellEnd"/>
      <w:r w:rsidR="00765F20" w:rsidRPr="002D21B6">
        <w:rPr>
          <w:rFonts w:ascii="Arial" w:hAnsi="Arial" w:cs="Arial"/>
          <w:sz w:val="24"/>
          <w:szCs w:val="24"/>
        </w:rPr>
        <w:t xml:space="preserve">, Schwarz strain nucleocapsid protein </w:t>
      </w:r>
      <w:r w:rsidR="00EC1BC7" w:rsidRPr="002D21B6">
        <w:rPr>
          <w:rFonts w:ascii="Arial" w:hAnsi="Arial" w:cs="Arial"/>
          <w:sz w:val="24"/>
          <w:szCs w:val="24"/>
        </w:rPr>
        <w:t>(</w:t>
      </w:r>
      <w:proofErr w:type="spellStart"/>
      <w:r w:rsidR="00EC1BC7" w:rsidRPr="002D21B6">
        <w:rPr>
          <w:rFonts w:ascii="Arial" w:hAnsi="Arial" w:cs="Arial"/>
          <w:sz w:val="24"/>
          <w:szCs w:val="24"/>
        </w:rPr>
        <w:t>Abcam</w:t>
      </w:r>
      <w:proofErr w:type="spellEnd"/>
      <w:r w:rsidR="00EC1BC7" w:rsidRPr="002D21B6">
        <w:rPr>
          <w:rFonts w:ascii="Arial" w:hAnsi="Arial" w:cs="Arial"/>
          <w:sz w:val="24"/>
          <w:szCs w:val="24"/>
        </w:rPr>
        <w:t xml:space="preserve"> ab</w:t>
      </w:r>
      <w:r w:rsidR="00765F20" w:rsidRPr="002D21B6">
        <w:rPr>
          <w:rFonts w:ascii="Arial" w:hAnsi="Arial" w:cs="Arial"/>
          <w:sz w:val="24"/>
          <w:szCs w:val="24"/>
        </w:rPr>
        <w:t>74559</w:t>
      </w:r>
      <w:r w:rsidR="003C78AB" w:rsidRPr="002D21B6">
        <w:rPr>
          <w:rFonts w:ascii="Arial" w:hAnsi="Arial" w:cs="Arial"/>
          <w:sz w:val="24"/>
          <w:szCs w:val="24"/>
        </w:rPr>
        <w:t xml:space="preserve">, source: </w:t>
      </w:r>
      <w:r w:rsidR="003C78AB" w:rsidRPr="002D21B6">
        <w:rPr>
          <w:rFonts w:ascii="Arial" w:hAnsi="Arial" w:cs="Arial"/>
          <w:i/>
          <w:sz w:val="24"/>
          <w:szCs w:val="24"/>
        </w:rPr>
        <w:t>Saccharomyces cerevisiae</w:t>
      </w:r>
      <w:r w:rsidR="00EC1BC7" w:rsidRPr="002D21B6">
        <w:rPr>
          <w:rFonts w:ascii="Arial" w:hAnsi="Arial" w:cs="Arial"/>
          <w:sz w:val="24"/>
          <w:szCs w:val="24"/>
        </w:rPr>
        <w:t>)</w:t>
      </w:r>
      <w:r w:rsidR="00765F20" w:rsidRPr="002D21B6">
        <w:rPr>
          <w:rFonts w:ascii="Arial" w:hAnsi="Arial" w:cs="Arial"/>
          <w:sz w:val="24"/>
          <w:szCs w:val="24"/>
        </w:rPr>
        <w:t xml:space="preserve"> </w:t>
      </w:r>
      <w:r w:rsidR="00B531CF" w:rsidRPr="002D21B6">
        <w:rPr>
          <w:rFonts w:ascii="Arial" w:hAnsi="Arial" w:cs="Arial"/>
          <w:sz w:val="24"/>
          <w:szCs w:val="24"/>
        </w:rPr>
        <w:t>1.66</w:t>
      </w:r>
      <w:r w:rsidR="009B323A" w:rsidRPr="002D21B6">
        <w:rPr>
          <w:rFonts w:ascii="Arial" w:hAnsi="Arial" w:cs="Arial"/>
          <w:sz w:val="24"/>
          <w:szCs w:val="24"/>
        </w:rPr>
        <w:t xml:space="preserve"> - </w:t>
      </w:r>
      <w:r w:rsidR="00EC1BC7" w:rsidRPr="002D21B6">
        <w:rPr>
          <w:rFonts w:ascii="Arial" w:hAnsi="Arial" w:cs="Arial"/>
          <w:sz w:val="24"/>
          <w:szCs w:val="24"/>
        </w:rPr>
        <w:t>0</w:t>
      </w:r>
      <w:r w:rsidR="009B323A" w:rsidRPr="002D21B6">
        <w:rPr>
          <w:rFonts w:ascii="Arial" w:hAnsi="Arial" w:cs="Arial"/>
          <w:sz w:val="24"/>
          <w:szCs w:val="24"/>
        </w:rPr>
        <w:t>.</w:t>
      </w:r>
      <w:r w:rsidR="00B531CF" w:rsidRPr="002D21B6">
        <w:rPr>
          <w:rFonts w:ascii="Arial" w:hAnsi="Arial" w:cs="Arial"/>
          <w:sz w:val="24"/>
          <w:szCs w:val="24"/>
        </w:rPr>
        <w:t>207</w:t>
      </w:r>
      <w:r w:rsidR="003C78AB" w:rsidRPr="002D21B6">
        <w:rPr>
          <w:rFonts w:ascii="Arial" w:hAnsi="Arial" w:cs="Arial"/>
          <w:sz w:val="24"/>
          <w:szCs w:val="24"/>
        </w:rPr>
        <w:t xml:space="preserve"> </w:t>
      </w:r>
      <w:r w:rsidR="00EC1BC7" w:rsidRPr="002D21B6">
        <w:rPr>
          <w:rFonts w:ascii="Arial" w:hAnsi="Arial" w:cs="Arial"/>
          <w:sz w:val="24"/>
          <w:szCs w:val="24"/>
        </w:rPr>
        <w:t>µg/mL, m</w:t>
      </w:r>
      <w:r w:rsidR="00765F20" w:rsidRPr="002D21B6">
        <w:rPr>
          <w:rFonts w:ascii="Arial" w:hAnsi="Arial" w:cs="Arial"/>
          <w:sz w:val="24"/>
          <w:szCs w:val="24"/>
        </w:rPr>
        <w:t>umps virus wild-type, Glouceste</w:t>
      </w:r>
      <w:r w:rsidR="00EC1BC7" w:rsidRPr="002D21B6">
        <w:rPr>
          <w:rFonts w:ascii="Arial" w:hAnsi="Arial" w:cs="Arial"/>
          <w:sz w:val="24"/>
          <w:szCs w:val="24"/>
        </w:rPr>
        <w:t>r strain, nucleocapsid protein (</w:t>
      </w:r>
      <w:proofErr w:type="spellStart"/>
      <w:r w:rsidR="00EC1BC7" w:rsidRPr="002D21B6">
        <w:rPr>
          <w:rFonts w:ascii="Arial" w:hAnsi="Arial" w:cs="Arial"/>
          <w:sz w:val="24"/>
          <w:szCs w:val="24"/>
        </w:rPr>
        <w:t>Abcam</w:t>
      </w:r>
      <w:proofErr w:type="spellEnd"/>
      <w:r w:rsidR="00EC1BC7" w:rsidRPr="002D21B6">
        <w:rPr>
          <w:rFonts w:ascii="Arial" w:hAnsi="Arial" w:cs="Arial"/>
          <w:sz w:val="24"/>
          <w:szCs w:val="24"/>
        </w:rPr>
        <w:t xml:space="preserve"> </w:t>
      </w:r>
      <w:r w:rsidR="00765F20" w:rsidRPr="002D21B6">
        <w:rPr>
          <w:rFonts w:ascii="Arial" w:hAnsi="Arial" w:cs="Arial"/>
          <w:sz w:val="24"/>
          <w:szCs w:val="24"/>
        </w:rPr>
        <w:t>ab74560</w:t>
      </w:r>
      <w:r w:rsidR="003C78AB" w:rsidRPr="002D21B6">
        <w:rPr>
          <w:rFonts w:ascii="Arial" w:hAnsi="Arial" w:cs="Arial"/>
          <w:sz w:val="24"/>
          <w:szCs w:val="24"/>
        </w:rPr>
        <w:t xml:space="preserve">, source: </w:t>
      </w:r>
      <w:r w:rsidR="003C78AB" w:rsidRPr="002D21B6">
        <w:rPr>
          <w:rFonts w:ascii="Arial" w:hAnsi="Arial" w:cs="Arial"/>
          <w:i/>
          <w:sz w:val="24"/>
          <w:szCs w:val="24"/>
        </w:rPr>
        <w:t>Saccharomyces cerevisiae</w:t>
      </w:r>
      <w:r w:rsidR="00EC1BC7" w:rsidRPr="002D21B6">
        <w:rPr>
          <w:rFonts w:ascii="Arial" w:hAnsi="Arial" w:cs="Arial"/>
          <w:sz w:val="24"/>
          <w:szCs w:val="24"/>
        </w:rPr>
        <w:t xml:space="preserve">) </w:t>
      </w:r>
      <w:r w:rsidR="00B531CF" w:rsidRPr="002D21B6">
        <w:rPr>
          <w:rFonts w:ascii="Arial" w:hAnsi="Arial" w:cs="Arial"/>
          <w:sz w:val="24"/>
          <w:szCs w:val="24"/>
        </w:rPr>
        <w:t>0.832</w:t>
      </w:r>
      <w:r w:rsidR="009B323A" w:rsidRPr="002D21B6">
        <w:rPr>
          <w:rFonts w:ascii="Arial" w:hAnsi="Arial" w:cs="Arial"/>
          <w:sz w:val="24"/>
          <w:szCs w:val="24"/>
        </w:rPr>
        <w:t xml:space="preserve"> </w:t>
      </w:r>
      <w:r w:rsidR="00EC1BC7" w:rsidRPr="002D21B6">
        <w:rPr>
          <w:rFonts w:ascii="Arial" w:hAnsi="Arial" w:cs="Arial"/>
          <w:sz w:val="24"/>
          <w:szCs w:val="24"/>
        </w:rPr>
        <w:t>-</w:t>
      </w:r>
      <w:r w:rsidR="009B323A" w:rsidRPr="002D21B6">
        <w:rPr>
          <w:rFonts w:ascii="Arial" w:hAnsi="Arial" w:cs="Arial"/>
          <w:sz w:val="24"/>
          <w:szCs w:val="24"/>
        </w:rPr>
        <w:t xml:space="preserve"> </w:t>
      </w:r>
      <w:r w:rsidR="00EC1BC7" w:rsidRPr="002D21B6">
        <w:rPr>
          <w:rFonts w:ascii="Arial" w:hAnsi="Arial" w:cs="Arial"/>
          <w:sz w:val="24"/>
          <w:szCs w:val="24"/>
        </w:rPr>
        <w:t>0.</w:t>
      </w:r>
      <w:r w:rsidR="00B531CF" w:rsidRPr="002D21B6">
        <w:rPr>
          <w:rFonts w:ascii="Arial" w:hAnsi="Arial" w:cs="Arial"/>
          <w:sz w:val="24"/>
          <w:szCs w:val="24"/>
        </w:rPr>
        <w:t>104</w:t>
      </w:r>
      <w:r w:rsidR="003C78AB" w:rsidRPr="002D21B6">
        <w:rPr>
          <w:rFonts w:ascii="Arial" w:hAnsi="Arial" w:cs="Arial"/>
          <w:sz w:val="24"/>
          <w:szCs w:val="24"/>
        </w:rPr>
        <w:t xml:space="preserve"> </w:t>
      </w:r>
      <w:r w:rsidR="00EC1BC7" w:rsidRPr="002D21B6">
        <w:rPr>
          <w:rFonts w:ascii="Arial" w:hAnsi="Arial" w:cs="Arial"/>
          <w:sz w:val="24"/>
          <w:szCs w:val="24"/>
        </w:rPr>
        <w:t>µg/mL, recombinant rubella virus capsid protein (</w:t>
      </w:r>
      <w:proofErr w:type="spellStart"/>
      <w:r w:rsidR="00EC1BC7" w:rsidRPr="002D21B6">
        <w:rPr>
          <w:rFonts w:ascii="Arial" w:hAnsi="Arial" w:cs="Arial"/>
          <w:sz w:val="24"/>
          <w:szCs w:val="24"/>
        </w:rPr>
        <w:t>Abcam</w:t>
      </w:r>
      <w:proofErr w:type="spellEnd"/>
      <w:r w:rsidR="00EC1BC7" w:rsidRPr="002D21B6">
        <w:rPr>
          <w:rFonts w:ascii="Arial" w:hAnsi="Arial" w:cs="Arial"/>
          <w:sz w:val="24"/>
          <w:szCs w:val="24"/>
        </w:rPr>
        <w:t xml:space="preserve"> </w:t>
      </w:r>
      <w:r w:rsidR="00765F20" w:rsidRPr="002D21B6">
        <w:rPr>
          <w:rFonts w:ascii="Arial" w:hAnsi="Arial" w:cs="Arial"/>
          <w:sz w:val="24"/>
          <w:szCs w:val="24"/>
        </w:rPr>
        <w:t>ab43034</w:t>
      </w:r>
      <w:r w:rsidR="003C78AB" w:rsidRPr="002D21B6">
        <w:rPr>
          <w:rFonts w:ascii="Arial" w:hAnsi="Arial" w:cs="Arial"/>
          <w:sz w:val="24"/>
          <w:szCs w:val="24"/>
        </w:rPr>
        <w:t xml:space="preserve">, source: </w:t>
      </w:r>
      <w:r w:rsidR="003C78AB" w:rsidRPr="002D21B6">
        <w:rPr>
          <w:rFonts w:ascii="Arial" w:hAnsi="Arial" w:cs="Arial"/>
          <w:i/>
          <w:sz w:val="24"/>
          <w:szCs w:val="24"/>
        </w:rPr>
        <w:t>E. coli</w:t>
      </w:r>
      <w:r w:rsidR="00EC1BC7" w:rsidRPr="002D21B6">
        <w:rPr>
          <w:rFonts w:ascii="Arial" w:hAnsi="Arial" w:cs="Arial"/>
          <w:sz w:val="24"/>
          <w:szCs w:val="24"/>
        </w:rPr>
        <w:t xml:space="preserve">) </w:t>
      </w:r>
      <w:r w:rsidR="00B531CF" w:rsidRPr="002D21B6">
        <w:rPr>
          <w:rFonts w:ascii="Arial" w:hAnsi="Arial" w:cs="Arial"/>
          <w:sz w:val="24"/>
          <w:szCs w:val="24"/>
        </w:rPr>
        <w:t>2</w:t>
      </w:r>
      <w:r w:rsidR="009B323A" w:rsidRPr="002D21B6">
        <w:rPr>
          <w:rFonts w:ascii="Arial" w:hAnsi="Arial" w:cs="Arial"/>
          <w:sz w:val="24"/>
          <w:szCs w:val="24"/>
        </w:rPr>
        <w:t xml:space="preserve"> </w:t>
      </w:r>
      <w:r w:rsidR="00EC1BC7" w:rsidRPr="002D21B6">
        <w:rPr>
          <w:rFonts w:ascii="Arial" w:hAnsi="Arial" w:cs="Arial"/>
          <w:sz w:val="24"/>
          <w:szCs w:val="24"/>
        </w:rPr>
        <w:t>-</w:t>
      </w:r>
      <w:r w:rsidR="009B323A" w:rsidRPr="002D21B6">
        <w:rPr>
          <w:rFonts w:ascii="Arial" w:hAnsi="Arial" w:cs="Arial"/>
          <w:sz w:val="24"/>
          <w:szCs w:val="24"/>
        </w:rPr>
        <w:t xml:space="preserve"> </w:t>
      </w:r>
      <w:r w:rsidR="00B531CF" w:rsidRPr="002D21B6">
        <w:rPr>
          <w:rFonts w:ascii="Arial" w:hAnsi="Arial" w:cs="Arial"/>
          <w:sz w:val="24"/>
          <w:szCs w:val="24"/>
        </w:rPr>
        <w:t>0.</w:t>
      </w:r>
      <w:r w:rsidR="00EC1BC7" w:rsidRPr="002D21B6">
        <w:rPr>
          <w:rFonts w:ascii="Arial" w:hAnsi="Arial" w:cs="Arial"/>
          <w:sz w:val="24"/>
          <w:szCs w:val="24"/>
        </w:rPr>
        <w:t>25</w:t>
      </w:r>
      <w:r w:rsidR="003C78AB" w:rsidRPr="002D21B6">
        <w:rPr>
          <w:rFonts w:ascii="Arial" w:hAnsi="Arial" w:cs="Arial"/>
          <w:sz w:val="24"/>
          <w:szCs w:val="24"/>
        </w:rPr>
        <w:t xml:space="preserve"> </w:t>
      </w:r>
      <w:r w:rsidR="00EC1BC7" w:rsidRPr="002D21B6">
        <w:rPr>
          <w:rFonts w:ascii="Arial" w:hAnsi="Arial" w:cs="Arial"/>
          <w:sz w:val="24"/>
          <w:szCs w:val="24"/>
        </w:rPr>
        <w:t>µg/</w:t>
      </w:r>
      <w:proofErr w:type="spellStart"/>
      <w:r w:rsidR="00EC1BC7" w:rsidRPr="002D21B6">
        <w:rPr>
          <w:rFonts w:ascii="Arial" w:hAnsi="Arial" w:cs="Arial"/>
          <w:sz w:val="24"/>
          <w:szCs w:val="24"/>
        </w:rPr>
        <w:t>mL.</w:t>
      </w:r>
      <w:proofErr w:type="spellEnd"/>
      <w:r w:rsidR="00CD78B3" w:rsidRPr="002D21B6">
        <w:rPr>
          <w:rFonts w:ascii="Arial" w:hAnsi="Arial" w:cs="Arial"/>
          <w:sz w:val="24"/>
          <w:szCs w:val="24"/>
        </w:rPr>
        <w:t xml:space="preserve"> </w:t>
      </w:r>
      <w:r w:rsidR="00885EF3">
        <w:rPr>
          <w:rFonts w:ascii="Arial" w:hAnsi="Arial" w:cs="Arial"/>
          <w:sz w:val="24"/>
          <w:szCs w:val="24"/>
        </w:rPr>
        <w:t>T</w:t>
      </w:r>
      <w:r w:rsidR="00885EF3" w:rsidRPr="002D21B6">
        <w:rPr>
          <w:rFonts w:ascii="Arial" w:hAnsi="Arial" w:cs="Arial"/>
          <w:sz w:val="24"/>
          <w:szCs w:val="24"/>
        </w:rPr>
        <w:t>o confirm the lack of interference by off-target molecules in whole virus-based assays</w:t>
      </w:r>
      <w:r w:rsidR="00885EF3">
        <w:rPr>
          <w:rFonts w:ascii="Arial" w:hAnsi="Arial" w:cs="Arial"/>
          <w:sz w:val="24"/>
          <w:szCs w:val="24"/>
        </w:rPr>
        <w:t>,</w:t>
      </w:r>
      <w:r w:rsidR="00885EF3" w:rsidRPr="002D21B6">
        <w:rPr>
          <w:rFonts w:ascii="Arial" w:hAnsi="Arial" w:cs="Arial"/>
          <w:sz w:val="24"/>
          <w:szCs w:val="24"/>
        </w:rPr>
        <w:t xml:space="preserve"> </w:t>
      </w:r>
      <w:r w:rsidR="00885EF3">
        <w:rPr>
          <w:rFonts w:ascii="Arial" w:hAnsi="Arial" w:cs="Arial"/>
          <w:sz w:val="24"/>
          <w:szCs w:val="24"/>
        </w:rPr>
        <w:t>r</w:t>
      </w:r>
      <w:r w:rsidR="00361CE1" w:rsidRPr="002D21B6">
        <w:rPr>
          <w:rFonts w:ascii="Arial" w:hAnsi="Arial" w:cs="Arial"/>
          <w:sz w:val="24"/>
          <w:szCs w:val="24"/>
        </w:rPr>
        <w:t>esults of n</w:t>
      </w:r>
      <w:r w:rsidR="00BD3839" w:rsidRPr="002D21B6">
        <w:rPr>
          <w:rFonts w:ascii="Arial" w:hAnsi="Arial" w:cs="Arial"/>
          <w:sz w:val="24"/>
          <w:szCs w:val="24"/>
        </w:rPr>
        <w:t>egative and low</w:t>
      </w:r>
      <w:r w:rsidR="00316B9B" w:rsidRPr="002D21B6">
        <w:rPr>
          <w:rFonts w:ascii="Arial" w:hAnsi="Arial" w:cs="Arial"/>
          <w:sz w:val="24"/>
          <w:szCs w:val="24"/>
        </w:rPr>
        <w:t xml:space="preserve"> </w:t>
      </w:r>
      <w:r w:rsidR="00EB3E9E" w:rsidRPr="002D21B6">
        <w:rPr>
          <w:rFonts w:ascii="Arial" w:hAnsi="Arial" w:cs="Arial"/>
          <w:sz w:val="24"/>
          <w:szCs w:val="24"/>
        </w:rPr>
        <w:t>positive sample pools, international measles and rubella standards (3</w:t>
      </w:r>
      <w:r w:rsidR="00EB3E9E" w:rsidRPr="002D21B6">
        <w:rPr>
          <w:rFonts w:ascii="Arial" w:hAnsi="Arial" w:cs="Arial"/>
          <w:sz w:val="24"/>
          <w:szCs w:val="24"/>
          <w:vertAlign w:val="superscript"/>
        </w:rPr>
        <w:t>rd</w:t>
      </w:r>
      <w:r w:rsidR="00EB3E9E" w:rsidRPr="002D21B6">
        <w:rPr>
          <w:rFonts w:ascii="Arial" w:hAnsi="Arial" w:cs="Arial"/>
          <w:sz w:val="24"/>
          <w:szCs w:val="24"/>
        </w:rPr>
        <w:t xml:space="preserve"> WHO International Standard for A</w:t>
      </w:r>
      <w:r w:rsidR="009374DC" w:rsidRPr="002D21B6">
        <w:rPr>
          <w:rFonts w:ascii="Arial" w:hAnsi="Arial" w:cs="Arial"/>
          <w:sz w:val="24"/>
          <w:szCs w:val="24"/>
        </w:rPr>
        <w:t xml:space="preserve">nti-Measles, NIBSC code 97/648, </w:t>
      </w:r>
      <w:r w:rsidR="00EB3E9E" w:rsidRPr="002D21B6">
        <w:rPr>
          <w:rFonts w:ascii="Arial" w:hAnsi="Arial" w:cs="Arial"/>
          <w:sz w:val="24"/>
          <w:szCs w:val="24"/>
        </w:rPr>
        <w:t>Anti Rubella Immunoglobulin 1</w:t>
      </w:r>
      <w:r w:rsidR="00EB3E9E" w:rsidRPr="002D21B6">
        <w:rPr>
          <w:rFonts w:ascii="Arial" w:hAnsi="Arial" w:cs="Arial"/>
          <w:sz w:val="24"/>
          <w:szCs w:val="24"/>
          <w:vertAlign w:val="superscript"/>
        </w:rPr>
        <w:t>st</w:t>
      </w:r>
      <w:r w:rsidR="00EB3E9E" w:rsidRPr="002D21B6">
        <w:rPr>
          <w:rFonts w:ascii="Arial" w:hAnsi="Arial" w:cs="Arial"/>
          <w:sz w:val="24"/>
          <w:szCs w:val="24"/>
        </w:rPr>
        <w:t xml:space="preserve"> WHO International Standa</w:t>
      </w:r>
      <w:r w:rsidR="005423A7" w:rsidRPr="002D21B6">
        <w:rPr>
          <w:rFonts w:ascii="Arial" w:hAnsi="Arial" w:cs="Arial"/>
          <w:sz w:val="24"/>
          <w:szCs w:val="24"/>
        </w:rPr>
        <w:t xml:space="preserve">rd Human, NIBSC code RUBI-1-94), </w:t>
      </w:r>
      <w:r w:rsidR="00D74CD1" w:rsidRPr="002D21B6">
        <w:rPr>
          <w:rFonts w:ascii="Arial" w:hAnsi="Arial" w:cs="Arial"/>
          <w:sz w:val="24"/>
          <w:szCs w:val="24"/>
        </w:rPr>
        <w:t>and</w:t>
      </w:r>
      <w:r w:rsidR="00EB3E9E" w:rsidRPr="002D21B6">
        <w:rPr>
          <w:rFonts w:ascii="Arial" w:hAnsi="Arial" w:cs="Arial"/>
          <w:sz w:val="24"/>
          <w:szCs w:val="24"/>
        </w:rPr>
        <w:t xml:space="preserve"> </w:t>
      </w:r>
      <w:r w:rsidR="00361CE1" w:rsidRPr="002D21B6">
        <w:rPr>
          <w:rFonts w:ascii="Arial" w:hAnsi="Arial" w:cs="Arial"/>
          <w:sz w:val="24"/>
          <w:szCs w:val="24"/>
        </w:rPr>
        <w:t xml:space="preserve">the </w:t>
      </w:r>
      <w:r w:rsidR="00EB3E9E" w:rsidRPr="002D21B6">
        <w:rPr>
          <w:rFonts w:ascii="Arial" w:hAnsi="Arial" w:cs="Arial"/>
          <w:sz w:val="24"/>
          <w:szCs w:val="24"/>
        </w:rPr>
        <w:t>mumps quality control reagent (Anti-Mumps Quality Contr</w:t>
      </w:r>
      <w:r w:rsidR="003040CB" w:rsidRPr="002D21B6">
        <w:rPr>
          <w:rFonts w:ascii="Arial" w:hAnsi="Arial" w:cs="Arial"/>
          <w:sz w:val="24"/>
          <w:szCs w:val="24"/>
        </w:rPr>
        <w:t>ol Reagent Sample1)</w:t>
      </w:r>
      <w:r w:rsidR="00361CE1" w:rsidRPr="002D21B6">
        <w:rPr>
          <w:rFonts w:ascii="Arial" w:hAnsi="Arial" w:cs="Arial"/>
          <w:sz w:val="24"/>
          <w:szCs w:val="24"/>
        </w:rPr>
        <w:t xml:space="preserve"> </w:t>
      </w:r>
      <w:r w:rsidR="009374DC" w:rsidRPr="002D21B6">
        <w:rPr>
          <w:rFonts w:ascii="Arial" w:hAnsi="Arial" w:cs="Arial"/>
          <w:sz w:val="24"/>
          <w:szCs w:val="24"/>
        </w:rPr>
        <w:t xml:space="preserve">obtained </w:t>
      </w:r>
      <w:r w:rsidR="00580667" w:rsidRPr="002D21B6">
        <w:rPr>
          <w:rFonts w:ascii="Arial" w:hAnsi="Arial" w:cs="Arial"/>
          <w:sz w:val="24"/>
          <w:szCs w:val="24"/>
        </w:rPr>
        <w:t>for</w:t>
      </w:r>
      <w:r w:rsidR="00AA2C73" w:rsidRPr="002D21B6">
        <w:rPr>
          <w:rFonts w:ascii="Arial" w:hAnsi="Arial" w:cs="Arial"/>
          <w:sz w:val="24"/>
          <w:szCs w:val="24"/>
        </w:rPr>
        <w:t xml:space="preserve"> </w:t>
      </w:r>
      <w:r w:rsidR="00885EF3">
        <w:rPr>
          <w:rFonts w:ascii="Arial" w:hAnsi="Arial" w:cs="Arial"/>
          <w:sz w:val="24"/>
          <w:szCs w:val="24"/>
        </w:rPr>
        <w:t>native virus-</w:t>
      </w:r>
      <w:r w:rsidR="00F04D0B" w:rsidRPr="002D21B6">
        <w:rPr>
          <w:rFonts w:ascii="Arial" w:hAnsi="Arial" w:cs="Arial"/>
          <w:sz w:val="24"/>
          <w:szCs w:val="24"/>
        </w:rPr>
        <w:t>derived coating</w:t>
      </w:r>
      <w:r w:rsidR="005206AA" w:rsidRPr="002D21B6">
        <w:rPr>
          <w:rFonts w:ascii="Arial" w:hAnsi="Arial" w:cs="Arial"/>
          <w:sz w:val="24"/>
          <w:szCs w:val="24"/>
        </w:rPr>
        <w:t>s</w:t>
      </w:r>
      <w:r w:rsidR="00F04D0B" w:rsidRPr="002D21B6">
        <w:rPr>
          <w:rFonts w:ascii="Arial" w:hAnsi="Arial" w:cs="Arial"/>
          <w:sz w:val="24"/>
          <w:szCs w:val="24"/>
        </w:rPr>
        <w:t xml:space="preserve"> </w:t>
      </w:r>
      <w:r w:rsidR="00580667" w:rsidRPr="002D21B6">
        <w:rPr>
          <w:rFonts w:ascii="Arial" w:hAnsi="Arial" w:cs="Arial"/>
          <w:sz w:val="24"/>
          <w:szCs w:val="24"/>
        </w:rPr>
        <w:t xml:space="preserve">were compared </w:t>
      </w:r>
      <w:r w:rsidR="00885EF3">
        <w:rPr>
          <w:rFonts w:ascii="Arial" w:hAnsi="Arial" w:cs="Arial"/>
          <w:sz w:val="24"/>
          <w:szCs w:val="24"/>
        </w:rPr>
        <w:t>to</w:t>
      </w:r>
      <w:r w:rsidR="00580667" w:rsidRPr="002D21B6">
        <w:rPr>
          <w:rFonts w:ascii="Arial" w:hAnsi="Arial" w:cs="Arial"/>
          <w:sz w:val="24"/>
          <w:szCs w:val="24"/>
        </w:rPr>
        <w:t xml:space="preserve"> </w:t>
      </w:r>
      <w:r w:rsidR="00524081" w:rsidRPr="002D21B6">
        <w:rPr>
          <w:rFonts w:ascii="Arial" w:hAnsi="Arial" w:cs="Arial"/>
          <w:sz w:val="24"/>
          <w:szCs w:val="24"/>
        </w:rPr>
        <w:t>results</w:t>
      </w:r>
      <w:r w:rsidR="00580667" w:rsidRPr="002D21B6">
        <w:rPr>
          <w:rFonts w:ascii="Arial" w:hAnsi="Arial" w:cs="Arial"/>
          <w:sz w:val="24"/>
          <w:szCs w:val="24"/>
        </w:rPr>
        <w:t xml:space="preserve"> obtained for </w:t>
      </w:r>
      <w:r w:rsidR="006A3779" w:rsidRPr="002D21B6">
        <w:rPr>
          <w:rFonts w:ascii="Arial" w:hAnsi="Arial" w:cs="Arial"/>
          <w:sz w:val="24"/>
          <w:szCs w:val="24"/>
        </w:rPr>
        <w:t xml:space="preserve">different coating concentrations of </w:t>
      </w:r>
      <w:r w:rsidR="00580667" w:rsidRPr="002D21B6">
        <w:rPr>
          <w:rFonts w:ascii="Arial" w:hAnsi="Arial" w:cs="Arial"/>
          <w:sz w:val="24"/>
          <w:szCs w:val="24"/>
        </w:rPr>
        <w:t>recombinant antigens</w:t>
      </w:r>
      <w:r w:rsidR="00885EF3">
        <w:rPr>
          <w:rFonts w:ascii="Arial" w:hAnsi="Arial" w:cs="Arial"/>
          <w:sz w:val="24"/>
          <w:szCs w:val="24"/>
        </w:rPr>
        <w:t xml:space="preserve">. </w:t>
      </w:r>
      <w:r w:rsidR="00935D3C" w:rsidRPr="002D21B6">
        <w:rPr>
          <w:rFonts w:ascii="Arial" w:hAnsi="Arial" w:cs="Arial"/>
          <w:sz w:val="24"/>
          <w:szCs w:val="24"/>
        </w:rPr>
        <w:t xml:space="preserve">Parallelism was tested to ascertain that the binding characteristic of the </w:t>
      </w:r>
      <w:proofErr w:type="spellStart"/>
      <w:r w:rsidR="00935D3C" w:rsidRPr="002D21B6">
        <w:rPr>
          <w:rFonts w:ascii="Arial" w:hAnsi="Arial" w:cs="Arial"/>
          <w:sz w:val="24"/>
          <w:szCs w:val="24"/>
        </w:rPr>
        <w:t>analyte</w:t>
      </w:r>
      <w:proofErr w:type="spellEnd"/>
      <w:r w:rsidR="00935D3C" w:rsidRPr="002D21B6">
        <w:rPr>
          <w:rFonts w:ascii="Arial" w:hAnsi="Arial" w:cs="Arial"/>
          <w:sz w:val="24"/>
          <w:szCs w:val="24"/>
        </w:rPr>
        <w:t xml:space="preserve"> (high and low antigen-</w:t>
      </w:r>
      <w:proofErr w:type="spellStart"/>
      <w:r w:rsidR="00935D3C" w:rsidRPr="002D21B6">
        <w:rPr>
          <w:rFonts w:ascii="Arial" w:hAnsi="Arial" w:cs="Arial"/>
          <w:sz w:val="24"/>
          <w:szCs w:val="24"/>
        </w:rPr>
        <w:t>tit</w:t>
      </w:r>
      <w:r w:rsidR="00885EF3">
        <w:rPr>
          <w:rFonts w:ascii="Arial" w:hAnsi="Arial" w:cs="Arial"/>
          <w:sz w:val="24"/>
          <w:szCs w:val="24"/>
        </w:rPr>
        <w:t>r</w:t>
      </w:r>
      <w:r w:rsidR="00935D3C" w:rsidRPr="002D21B6">
        <w:rPr>
          <w:rFonts w:ascii="Arial" w:hAnsi="Arial" w:cs="Arial"/>
          <w:sz w:val="24"/>
          <w:szCs w:val="24"/>
        </w:rPr>
        <w:t>ed</w:t>
      </w:r>
      <w:proofErr w:type="spellEnd"/>
      <w:r w:rsidR="00935D3C" w:rsidRPr="002D21B6">
        <w:rPr>
          <w:rFonts w:ascii="Arial" w:hAnsi="Arial" w:cs="Arial"/>
          <w:sz w:val="24"/>
          <w:szCs w:val="24"/>
        </w:rPr>
        <w:t xml:space="preserve"> sample pools) was the same, independent of the type of coating. For graphical representation, </w:t>
      </w:r>
      <w:r w:rsidR="00CD78B3" w:rsidRPr="002D21B6">
        <w:rPr>
          <w:rFonts w:ascii="Arial" w:hAnsi="Arial" w:cs="Arial"/>
          <w:sz w:val="24"/>
          <w:szCs w:val="24"/>
        </w:rPr>
        <w:t>o</w:t>
      </w:r>
      <w:r w:rsidR="00D90192" w:rsidRPr="002D21B6">
        <w:rPr>
          <w:rFonts w:ascii="Arial" w:hAnsi="Arial" w:cs="Arial"/>
          <w:sz w:val="24"/>
          <w:szCs w:val="24"/>
        </w:rPr>
        <w:t>ptical density</w:t>
      </w:r>
      <w:r w:rsidR="0060052F" w:rsidRPr="002D21B6">
        <w:rPr>
          <w:rFonts w:ascii="Arial" w:hAnsi="Arial" w:cs="Arial"/>
          <w:sz w:val="24"/>
          <w:szCs w:val="24"/>
        </w:rPr>
        <w:t xml:space="preserve"> (OD)</w:t>
      </w:r>
      <w:r w:rsidR="004A19E4" w:rsidRPr="002D21B6">
        <w:rPr>
          <w:rFonts w:ascii="Arial" w:hAnsi="Arial" w:cs="Arial"/>
          <w:sz w:val="24"/>
          <w:szCs w:val="24"/>
        </w:rPr>
        <w:t xml:space="preserve"> valu</w:t>
      </w:r>
      <w:r w:rsidR="003B2BD9" w:rsidRPr="002D21B6">
        <w:rPr>
          <w:rFonts w:ascii="Arial" w:hAnsi="Arial" w:cs="Arial"/>
          <w:sz w:val="24"/>
          <w:szCs w:val="24"/>
        </w:rPr>
        <w:t>es were linearized</w:t>
      </w:r>
      <w:r w:rsidR="00935D3C" w:rsidRPr="002D21B6">
        <w:rPr>
          <w:rFonts w:ascii="Arial" w:hAnsi="Arial" w:cs="Arial"/>
          <w:sz w:val="24"/>
          <w:szCs w:val="24"/>
        </w:rPr>
        <w:t xml:space="preserve">; </w:t>
      </w:r>
      <w:r w:rsidR="00E65502" w:rsidRPr="002D21B6">
        <w:rPr>
          <w:rFonts w:ascii="Arial" w:hAnsi="Arial" w:cs="Arial"/>
          <w:sz w:val="24"/>
          <w:szCs w:val="24"/>
        </w:rPr>
        <w:t xml:space="preserve">dilution series of </w:t>
      </w:r>
      <w:proofErr w:type="spellStart"/>
      <w:r w:rsidR="00F04D0B" w:rsidRPr="002D21B6">
        <w:rPr>
          <w:rFonts w:ascii="Arial" w:hAnsi="Arial" w:cs="Arial"/>
          <w:sz w:val="24"/>
          <w:szCs w:val="24"/>
        </w:rPr>
        <w:t>analytes</w:t>
      </w:r>
      <w:proofErr w:type="spellEnd"/>
      <w:r w:rsidR="00E65502" w:rsidRPr="002D21B6">
        <w:rPr>
          <w:rFonts w:ascii="Arial" w:hAnsi="Arial" w:cs="Arial"/>
          <w:sz w:val="24"/>
          <w:szCs w:val="24"/>
        </w:rPr>
        <w:t xml:space="preserve"> were depicted as a function of common logarithm of both </w:t>
      </w:r>
      <w:r w:rsidR="00F04D0B" w:rsidRPr="002D21B6">
        <w:rPr>
          <w:rFonts w:ascii="Arial" w:hAnsi="Arial" w:cs="Arial"/>
          <w:sz w:val="24"/>
          <w:szCs w:val="24"/>
        </w:rPr>
        <w:t>r</w:t>
      </w:r>
      <w:r w:rsidR="00935D3C" w:rsidRPr="002D21B6">
        <w:rPr>
          <w:rFonts w:ascii="Arial" w:hAnsi="Arial" w:cs="Arial"/>
          <w:sz w:val="24"/>
          <w:szCs w:val="24"/>
        </w:rPr>
        <w:t>elative dilutions and OD values</w:t>
      </w:r>
      <w:r w:rsidRPr="002D21B6">
        <w:rPr>
          <w:rFonts w:ascii="Arial" w:hAnsi="Arial" w:cs="Arial"/>
          <w:sz w:val="24"/>
          <w:szCs w:val="24"/>
        </w:rPr>
        <w:t xml:space="preserve">. </w:t>
      </w:r>
      <w:r w:rsidR="00F04D0B" w:rsidRPr="002D21B6">
        <w:rPr>
          <w:rFonts w:ascii="Arial" w:hAnsi="Arial" w:cs="Arial"/>
          <w:sz w:val="24"/>
          <w:szCs w:val="24"/>
        </w:rPr>
        <w:t xml:space="preserve">Coating </w:t>
      </w:r>
      <w:r w:rsidR="00F04D0B" w:rsidRPr="002D21B6">
        <w:rPr>
          <w:rFonts w:ascii="Arial" w:hAnsi="Arial" w:cs="Arial"/>
          <w:sz w:val="24"/>
          <w:szCs w:val="24"/>
        </w:rPr>
        <w:lastRenderedPageBreak/>
        <w:t>combinations</w:t>
      </w:r>
      <w:r w:rsidR="00E65502" w:rsidRPr="002D21B6">
        <w:rPr>
          <w:rFonts w:ascii="Arial" w:hAnsi="Arial" w:cs="Arial"/>
          <w:sz w:val="24"/>
          <w:szCs w:val="24"/>
        </w:rPr>
        <w:t xml:space="preserve"> with sufficiently high R</w:t>
      </w:r>
      <w:r w:rsidR="00E65502" w:rsidRPr="002D21B6">
        <w:rPr>
          <w:rFonts w:ascii="Arial" w:hAnsi="Arial" w:cs="Arial"/>
          <w:sz w:val="24"/>
          <w:szCs w:val="24"/>
          <w:vertAlign w:val="superscript"/>
        </w:rPr>
        <w:t>2</w:t>
      </w:r>
      <w:r w:rsidR="00E65502" w:rsidRPr="002D21B6">
        <w:rPr>
          <w:rFonts w:ascii="Arial" w:hAnsi="Arial" w:cs="Arial"/>
          <w:sz w:val="24"/>
          <w:szCs w:val="24"/>
        </w:rPr>
        <w:t xml:space="preserve"> values</w:t>
      </w:r>
      <w:r w:rsidR="008B5C77" w:rsidRPr="002D21B6">
        <w:rPr>
          <w:rFonts w:ascii="Arial" w:hAnsi="Arial" w:cs="Arial"/>
          <w:sz w:val="24"/>
          <w:szCs w:val="24"/>
        </w:rPr>
        <w:t xml:space="preserve"> </w:t>
      </w:r>
      <w:r w:rsidR="00F04D0B" w:rsidRPr="002D21B6">
        <w:rPr>
          <w:rFonts w:ascii="Arial" w:hAnsi="Arial" w:cs="Arial"/>
          <w:sz w:val="24"/>
          <w:szCs w:val="24"/>
        </w:rPr>
        <w:t>of the</w:t>
      </w:r>
      <w:r w:rsidR="005206AA" w:rsidRPr="002D21B6">
        <w:rPr>
          <w:rFonts w:ascii="Arial" w:hAnsi="Arial" w:cs="Arial"/>
          <w:sz w:val="24"/>
          <w:szCs w:val="24"/>
        </w:rPr>
        <w:t xml:space="preserve"> linear fittings</w:t>
      </w:r>
      <w:r w:rsidR="00F82AF0" w:rsidRPr="002D21B6">
        <w:rPr>
          <w:rFonts w:ascii="Arial" w:hAnsi="Arial" w:cs="Arial"/>
          <w:sz w:val="24"/>
          <w:szCs w:val="24"/>
        </w:rPr>
        <w:t xml:space="preserve"> </w:t>
      </w:r>
      <w:r w:rsidR="00351D3A" w:rsidRPr="002D21B6">
        <w:rPr>
          <w:rFonts w:ascii="Arial" w:hAnsi="Arial" w:cs="Arial"/>
          <w:sz w:val="24"/>
          <w:szCs w:val="24"/>
        </w:rPr>
        <w:t>(</w:t>
      </w:r>
      <w:r w:rsidR="00F82AF0" w:rsidRPr="002D21B6">
        <w:rPr>
          <w:rFonts w:ascii="Arial" w:hAnsi="Arial" w:cs="Arial"/>
          <w:sz w:val="24"/>
          <w:szCs w:val="24"/>
        </w:rPr>
        <w:t>with the same slope</w:t>
      </w:r>
      <w:r w:rsidR="00351D3A" w:rsidRPr="002D21B6">
        <w:rPr>
          <w:rFonts w:ascii="Arial" w:hAnsi="Arial" w:cs="Arial"/>
          <w:sz w:val="24"/>
          <w:szCs w:val="24"/>
        </w:rPr>
        <w:t xml:space="preserve">) </w:t>
      </w:r>
      <w:r w:rsidR="00E65502" w:rsidRPr="002D21B6">
        <w:rPr>
          <w:rFonts w:ascii="Arial" w:hAnsi="Arial" w:cs="Arial"/>
          <w:sz w:val="24"/>
          <w:szCs w:val="24"/>
        </w:rPr>
        <w:t xml:space="preserve">were </w:t>
      </w:r>
      <w:r w:rsidR="00935D3C" w:rsidRPr="002D21B6">
        <w:rPr>
          <w:rFonts w:ascii="Arial" w:hAnsi="Arial" w:cs="Arial"/>
          <w:sz w:val="24"/>
          <w:szCs w:val="24"/>
        </w:rPr>
        <w:t>selected for further analysis</w:t>
      </w:r>
      <w:r w:rsidR="00935D3C" w:rsidRPr="002D21B6">
        <w:t xml:space="preserve"> </w:t>
      </w:r>
      <w:r w:rsidR="00935D3C" w:rsidRPr="002D21B6">
        <w:rPr>
          <w:rFonts w:ascii="Arial" w:hAnsi="Arial" w:cs="Arial"/>
          <w:sz w:val="24"/>
          <w:szCs w:val="24"/>
        </w:rPr>
        <w:t>of</w:t>
      </w:r>
      <w:r w:rsidR="00351D3A" w:rsidRPr="002D21B6">
        <w:rPr>
          <w:rFonts w:ascii="Arial" w:hAnsi="Arial" w:cs="Arial"/>
          <w:sz w:val="24"/>
          <w:szCs w:val="24"/>
        </w:rPr>
        <w:t xml:space="preserve"> correlation </w:t>
      </w:r>
      <w:r w:rsidR="00935D3C" w:rsidRPr="002D21B6">
        <w:rPr>
          <w:rFonts w:ascii="Arial" w:hAnsi="Arial" w:cs="Arial"/>
          <w:sz w:val="24"/>
          <w:szCs w:val="24"/>
        </w:rPr>
        <w:t xml:space="preserve">between ‘target’ and ‘control’ </w:t>
      </w:r>
      <w:r w:rsidR="00351D3A" w:rsidRPr="002D21B6">
        <w:rPr>
          <w:rFonts w:ascii="Arial" w:hAnsi="Arial" w:cs="Arial"/>
          <w:sz w:val="24"/>
          <w:szCs w:val="24"/>
        </w:rPr>
        <w:t xml:space="preserve">assays, </w:t>
      </w:r>
      <w:r w:rsidR="00935D3C" w:rsidRPr="002D21B6">
        <w:rPr>
          <w:rFonts w:ascii="Arial" w:hAnsi="Arial" w:cs="Arial"/>
          <w:sz w:val="24"/>
          <w:szCs w:val="24"/>
        </w:rPr>
        <w:t>using</w:t>
      </w:r>
      <w:r w:rsidR="00CD78B3" w:rsidRPr="002D21B6">
        <w:rPr>
          <w:rFonts w:ascii="Arial" w:hAnsi="Arial" w:cs="Arial"/>
          <w:sz w:val="24"/>
          <w:szCs w:val="24"/>
        </w:rPr>
        <w:t xml:space="preserve"> </w:t>
      </w:r>
      <w:r w:rsidR="006C4211" w:rsidRPr="002D21B6">
        <w:rPr>
          <w:rFonts w:ascii="Arial" w:hAnsi="Arial" w:cs="Arial"/>
          <w:sz w:val="24"/>
          <w:szCs w:val="24"/>
        </w:rPr>
        <w:t>Bland-Altman plots</w:t>
      </w:r>
      <w:r w:rsidR="00351D3A" w:rsidRPr="002D21B6">
        <w:rPr>
          <w:rFonts w:ascii="Arial" w:hAnsi="Arial" w:cs="Arial"/>
          <w:sz w:val="24"/>
          <w:szCs w:val="24"/>
        </w:rPr>
        <w:t>.</w:t>
      </w:r>
    </w:p>
    <w:p w:rsidR="006C5231" w:rsidRPr="002D21B6" w:rsidRDefault="006C5231" w:rsidP="005C54DD">
      <w:pPr>
        <w:tabs>
          <w:tab w:val="left" w:pos="322"/>
        </w:tabs>
        <w:spacing w:line="480" w:lineRule="auto"/>
        <w:rPr>
          <w:rFonts w:ascii="Arial" w:hAnsi="Arial" w:cs="Arial"/>
          <w:sz w:val="24"/>
          <w:szCs w:val="24"/>
        </w:rPr>
      </w:pPr>
    </w:p>
    <w:p w:rsidR="00087BE8" w:rsidRPr="002D21B6" w:rsidRDefault="00087BE8" w:rsidP="0034652A">
      <w:pPr>
        <w:tabs>
          <w:tab w:val="left" w:pos="322"/>
        </w:tabs>
        <w:spacing w:line="480" w:lineRule="auto"/>
        <w:rPr>
          <w:rFonts w:ascii="Arial" w:hAnsi="Arial" w:cs="Arial"/>
          <w:i/>
          <w:sz w:val="24"/>
          <w:szCs w:val="24"/>
        </w:rPr>
      </w:pPr>
      <w:r w:rsidRPr="002D21B6">
        <w:rPr>
          <w:rFonts w:ascii="Arial" w:hAnsi="Arial" w:cs="Arial"/>
          <w:i/>
          <w:sz w:val="24"/>
          <w:szCs w:val="24"/>
        </w:rPr>
        <w:t xml:space="preserve">Cut-off </w:t>
      </w:r>
    </w:p>
    <w:p w:rsidR="00CF18A7" w:rsidRPr="002D21B6" w:rsidRDefault="00351D3A" w:rsidP="0034652A">
      <w:pPr>
        <w:tabs>
          <w:tab w:val="left" w:pos="322"/>
        </w:tabs>
        <w:spacing w:line="480" w:lineRule="auto"/>
        <w:rPr>
          <w:rFonts w:ascii="Arial" w:hAnsi="Arial" w:cs="Arial"/>
          <w:sz w:val="24"/>
          <w:szCs w:val="24"/>
        </w:rPr>
      </w:pPr>
      <w:r w:rsidRPr="002D21B6">
        <w:rPr>
          <w:rFonts w:ascii="Arial" w:hAnsi="Arial" w:cs="Arial"/>
          <w:sz w:val="24"/>
          <w:szCs w:val="24"/>
        </w:rPr>
        <w:t>Determination of cut-off values was based o</w:t>
      </w:r>
      <w:r w:rsidR="0033047A">
        <w:rPr>
          <w:rFonts w:ascii="Arial" w:hAnsi="Arial" w:cs="Arial"/>
          <w:sz w:val="24"/>
          <w:szCs w:val="24"/>
        </w:rPr>
        <w:t>n</w:t>
      </w:r>
      <w:r w:rsidR="00886820">
        <w:rPr>
          <w:rFonts w:ascii="Arial" w:hAnsi="Arial" w:cs="Arial"/>
          <w:sz w:val="24"/>
          <w:szCs w:val="24"/>
        </w:rPr>
        <w:t xml:space="preserve"> (a)</w:t>
      </w:r>
      <w:r w:rsidR="0033047A">
        <w:rPr>
          <w:rFonts w:ascii="Arial" w:hAnsi="Arial" w:cs="Arial"/>
          <w:sz w:val="24"/>
          <w:szCs w:val="24"/>
        </w:rPr>
        <w:t xml:space="preserve"> Cohen’s kappa statistics (κ),</w:t>
      </w:r>
      <w:r w:rsidRPr="002D21B6">
        <w:rPr>
          <w:rFonts w:ascii="Arial" w:hAnsi="Arial" w:cs="Arial"/>
          <w:sz w:val="24"/>
          <w:szCs w:val="24"/>
        </w:rPr>
        <w:t xml:space="preserve"> as an index of agreement between our assay and commercially available kits</w:t>
      </w:r>
      <w:r w:rsidR="00C37D23" w:rsidRPr="002D21B6">
        <w:rPr>
          <w:rFonts w:ascii="Arial" w:hAnsi="Arial" w:cs="Arial"/>
          <w:sz w:val="24"/>
          <w:szCs w:val="24"/>
        </w:rPr>
        <w:t>,</w:t>
      </w:r>
      <w:r w:rsidRPr="002D21B6">
        <w:rPr>
          <w:rFonts w:ascii="Arial" w:hAnsi="Arial" w:cs="Arial"/>
          <w:sz w:val="24"/>
          <w:szCs w:val="24"/>
        </w:rPr>
        <w:t xml:space="preserve"> </w:t>
      </w:r>
      <w:r w:rsidR="00886820">
        <w:rPr>
          <w:rFonts w:ascii="Arial" w:hAnsi="Arial" w:cs="Arial"/>
          <w:sz w:val="24"/>
          <w:szCs w:val="24"/>
        </w:rPr>
        <w:t xml:space="preserve">(b) </w:t>
      </w:r>
      <w:r w:rsidRPr="002D21B6">
        <w:rPr>
          <w:rFonts w:ascii="Arial" w:hAnsi="Arial" w:cs="Arial"/>
          <w:sz w:val="24"/>
          <w:szCs w:val="24"/>
        </w:rPr>
        <w:t xml:space="preserve">Area Under the Curve Receiver Operating Characteristics (AUROC) analysis (combined with </w:t>
      </w:r>
      <w:proofErr w:type="spellStart"/>
      <w:r w:rsidRPr="002D21B6">
        <w:rPr>
          <w:rFonts w:ascii="Arial" w:hAnsi="Arial" w:cs="Arial"/>
          <w:sz w:val="24"/>
          <w:szCs w:val="24"/>
        </w:rPr>
        <w:t>Youden’s</w:t>
      </w:r>
      <w:proofErr w:type="spellEnd"/>
      <w:r w:rsidRPr="002D21B6">
        <w:rPr>
          <w:rFonts w:ascii="Arial" w:hAnsi="Arial" w:cs="Arial"/>
          <w:sz w:val="24"/>
          <w:szCs w:val="24"/>
        </w:rPr>
        <w:t xml:space="preserve"> </w:t>
      </w:r>
      <w:r w:rsidRPr="002D21B6">
        <w:rPr>
          <w:rFonts w:ascii="Arial" w:hAnsi="Arial" w:cs="Arial"/>
          <w:i/>
          <w:sz w:val="24"/>
          <w:szCs w:val="24"/>
        </w:rPr>
        <w:t>J</w:t>
      </w:r>
      <w:r w:rsidRPr="002D21B6">
        <w:rPr>
          <w:rFonts w:ascii="Arial" w:hAnsi="Arial" w:cs="Arial"/>
          <w:sz w:val="24"/>
          <w:szCs w:val="24"/>
        </w:rPr>
        <w:t xml:space="preserve"> equation</w:t>
      </w:r>
      <w:r w:rsidR="0003162E">
        <w:rPr>
          <w:rFonts w:ascii="Arial" w:hAnsi="Arial" w:cs="Arial"/>
          <w:sz w:val="24"/>
          <w:szCs w:val="24"/>
        </w:rPr>
        <w:t>) - which in this case was u</w:t>
      </w:r>
      <w:r w:rsidR="0066458A" w:rsidRPr="002D21B6">
        <w:rPr>
          <w:rFonts w:ascii="Arial" w:hAnsi="Arial" w:cs="Arial"/>
          <w:sz w:val="24"/>
          <w:szCs w:val="24"/>
        </w:rPr>
        <w:t>sed for compari</w:t>
      </w:r>
      <w:r w:rsidR="0003162E">
        <w:rPr>
          <w:rFonts w:ascii="Arial" w:hAnsi="Arial" w:cs="Arial"/>
          <w:sz w:val="24"/>
          <w:szCs w:val="24"/>
        </w:rPr>
        <w:t>ng</w:t>
      </w:r>
      <w:r w:rsidR="0066458A" w:rsidRPr="002D21B6">
        <w:rPr>
          <w:rFonts w:ascii="Arial" w:hAnsi="Arial" w:cs="Arial"/>
          <w:sz w:val="24"/>
          <w:szCs w:val="24"/>
        </w:rPr>
        <w:t xml:space="preserve"> the </w:t>
      </w:r>
      <w:r w:rsidR="0003162E" w:rsidRPr="002D21B6">
        <w:rPr>
          <w:rFonts w:ascii="Arial" w:hAnsi="Arial" w:cs="Arial"/>
          <w:sz w:val="24"/>
          <w:szCs w:val="24"/>
        </w:rPr>
        <w:t xml:space="preserve">performance of </w:t>
      </w:r>
      <w:r w:rsidR="0066458A" w:rsidRPr="002D21B6">
        <w:rPr>
          <w:rFonts w:ascii="Arial" w:hAnsi="Arial" w:cs="Arial"/>
          <w:sz w:val="24"/>
          <w:szCs w:val="24"/>
        </w:rPr>
        <w:t>diagnostic tests</w:t>
      </w:r>
      <w:r w:rsidR="00FA346C" w:rsidRPr="002D21B6">
        <w:rPr>
          <w:rFonts w:ascii="Arial" w:hAnsi="Arial" w:cs="Arial"/>
          <w:sz w:val="24"/>
          <w:szCs w:val="24"/>
        </w:rPr>
        <w:t xml:space="preserve"> </w:t>
      </w:r>
      <w:r w:rsidR="00FA346C" w:rsidRPr="002D21B6">
        <w:rPr>
          <w:rFonts w:ascii="Arial" w:hAnsi="Arial" w:cs="Arial"/>
          <w:sz w:val="24"/>
          <w:szCs w:val="24"/>
        </w:rPr>
        <w:fldChar w:fldCharType="begin" w:fldLock="1"/>
      </w:r>
      <w:r w:rsidR="009E6D33" w:rsidRPr="002D21B6">
        <w:rPr>
          <w:rFonts w:ascii="Arial" w:hAnsi="Arial" w:cs="Arial"/>
          <w:sz w:val="24"/>
          <w:szCs w:val="24"/>
        </w:rPr>
        <w:instrText>ADDIN CSL_CITATION {"citationItems":[{"id":"ITEM-1","itemData":{"author":[{"dropping-particle":"","family":"Griner PF, Mayewski RJ, Mushlin AI","given":"Greenland P.","non-dropping-particle":"","parse-names":false,"suffix":""}],"container-title":"Annals of Internal Medicine","id":"ITEM-1","issue":"4","issued":{"date-parts":[["1981"]]},"page":"557-592","title":"Selection and interpretation of diagnostic tests and procedures. Principles and applications. - PubMed - NCBI","type":"article-journal","volume":"94"},"uris":["http://www.mendeley.com/documents/?uuid=b46d73fb-cda8-3fc8-af67-867758407e93"]}],"mendeley":{"formattedCitation":"[25]","plainTextFormattedCitation":"[25]","previouslyFormattedCitation":"[25]"},"properties":{"noteIndex":0},"schema":"https://github.com/citation-style-language/schema/raw/master/csl-citation.json"}</w:instrText>
      </w:r>
      <w:r w:rsidR="00FA346C" w:rsidRPr="002D21B6">
        <w:rPr>
          <w:rFonts w:ascii="Arial" w:hAnsi="Arial" w:cs="Arial"/>
          <w:sz w:val="24"/>
          <w:szCs w:val="24"/>
        </w:rPr>
        <w:fldChar w:fldCharType="separate"/>
      </w:r>
      <w:r w:rsidR="00FA346C" w:rsidRPr="002D21B6">
        <w:rPr>
          <w:rFonts w:ascii="Arial" w:hAnsi="Arial" w:cs="Arial"/>
          <w:noProof/>
          <w:sz w:val="24"/>
          <w:szCs w:val="24"/>
        </w:rPr>
        <w:t>[25]</w:t>
      </w:r>
      <w:r w:rsidR="00FA346C" w:rsidRPr="002D21B6">
        <w:rPr>
          <w:rFonts w:ascii="Arial" w:hAnsi="Arial" w:cs="Arial"/>
          <w:sz w:val="24"/>
          <w:szCs w:val="24"/>
        </w:rPr>
        <w:fldChar w:fldCharType="end"/>
      </w:r>
      <w:r w:rsidR="0003162E">
        <w:rPr>
          <w:rFonts w:ascii="Arial" w:hAnsi="Arial" w:cs="Arial"/>
          <w:sz w:val="24"/>
          <w:szCs w:val="24"/>
        </w:rPr>
        <w:t xml:space="preserve"> -</w:t>
      </w:r>
      <w:r w:rsidR="00FA346C" w:rsidRPr="002D21B6">
        <w:rPr>
          <w:rFonts w:ascii="Arial" w:hAnsi="Arial" w:cs="Arial"/>
          <w:sz w:val="24"/>
          <w:szCs w:val="24"/>
        </w:rPr>
        <w:t>,</w:t>
      </w:r>
      <w:r w:rsidR="0003162E">
        <w:rPr>
          <w:rFonts w:ascii="Arial" w:hAnsi="Arial" w:cs="Arial"/>
          <w:sz w:val="24"/>
          <w:szCs w:val="24"/>
        </w:rPr>
        <w:t xml:space="preserve"> </w:t>
      </w:r>
      <w:r w:rsidR="00FA346C" w:rsidRPr="002D21B6">
        <w:rPr>
          <w:rFonts w:ascii="Arial" w:hAnsi="Arial" w:cs="Arial"/>
          <w:sz w:val="24"/>
          <w:szCs w:val="24"/>
        </w:rPr>
        <w:t xml:space="preserve">and </w:t>
      </w:r>
      <w:r w:rsidR="00886820">
        <w:rPr>
          <w:rFonts w:ascii="Arial" w:hAnsi="Arial" w:cs="Arial"/>
          <w:sz w:val="24"/>
          <w:szCs w:val="24"/>
        </w:rPr>
        <w:t xml:space="preserve">(c) </w:t>
      </w:r>
      <w:r w:rsidR="00FA346C" w:rsidRPr="002D21B6">
        <w:rPr>
          <w:rFonts w:ascii="Arial" w:hAnsi="Arial" w:cs="Arial"/>
          <w:sz w:val="24"/>
          <w:szCs w:val="24"/>
        </w:rPr>
        <w:t xml:space="preserve">the </w:t>
      </w:r>
      <w:r w:rsidR="00FA346C" w:rsidRPr="002D21B6">
        <w:rPr>
          <w:rFonts w:ascii="Arial" w:hAnsi="Arial" w:cs="Arial"/>
          <w:i/>
          <w:sz w:val="24"/>
          <w:szCs w:val="24"/>
        </w:rPr>
        <w:t>‘experimental approach’</w:t>
      </w:r>
      <w:r w:rsidR="00C74C93">
        <w:rPr>
          <w:rFonts w:ascii="Arial" w:hAnsi="Arial" w:cs="Arial"/>
          <w:sz w:val="24"/>
          <w:szCs w:val="24"/>
        </w:rPr>
        <w:t xml:space="preserve">. The </w:t>
      </w:r>
      <w:r w:rsidR="00FA346C" w:rsidRPr="002D21B6">
        <w:rPr>
          <w:rFonts w:ascii="Arial" w:hAnsi="Arial" w:cs="Arial"/>
          <w:sz w:val="24"/>
          <w:szCs w:val="24"/>
        </w:rPr>
        <w:t>latter one was based on the mean OD and IU-transformed values yielded by our tests, belonging to selected serum samples that had been</w:t>
      </w:r>
      <w:r w:rsidR="006D0F8C" w:rsidRPr="002D21B6">
        <w:rPr>
          <w:rFonts w:ascii="Arial" w:hAnsi="Arial" w:cs="Arial"/>
          <w:sz w:val="24"/>
          <w:szCs w:val="24"/>
        </w:rPr>
        <w:t xml:space="preserve"> previously</w:t>
      </w:r>
      <w:r w:rsidR="00FA346C" w:rsidRPr="002D21B6">
        <w:rPr>
          <w:rFonts w:ascii="Arial" w:hAnsi="Arial" w:cs="Arial"/>
          <w:sz w:val="24"/>
          <w:szCs w:val="24"/>
        </w:rPr>
        <w:t xml:space="preserve"> found negative by </w:t>
      </w:r>
      <w:r w:rsidR="00D905A3">
        <w:rPr>
          <w:rFonts w:ascii="Arial" w:hAnsi="Arial" w:cs="Arial"/>
          <w:sz w:val="24"/>
          <w:szCs w:val="24"/>
        </w:rPr>
        <w:t>validated</w:t>
      </w:r>
      <w:r w:rsidR="00BC6A3E" w:rsidRPr="002D21B6">
        <w:rPr>
          <w:rFonts w:ascii="Arial" w:hAnsi="Arial" w:cs="Arial"/>
          <w:sz w:val="24"/>
          <w:szCs w:val="24"/>
        </w:rPr>
        <w:t xml:space="preserve"> </w:t>
      </w:r>
      <w:r w:rsidR="00FA346C" w:rsidRPr="002D21B6">
        <w:rPr>
          <w:rFonts w:ascii="Arial" w:hAnsi="Arial" w:cs="Arial"/>
          <w:sz w:val="24"/>
          <w:szCs w:val="24"/>
        </w:rPr>
        <w:t xml:space="preserve">commercial </w:t>
      </w:r>
      <w:r w:rsidR="00CF18A7" w:rsidRPr="002D21B6">
        <w:rPr>
          <w:rFonts w:ascii="Arial" w:hAnsi="Arial" w:cs="Arial"/>
          <w:sz w:val="24"/>
          <w:szCs w:val="24"/>
        </w:rPr>
        <w:t>kits.</w:t>
      </w:r>
      <w:r w:rsidR="00943E1C" w:rsidRPr="002D21B6">
        <w:rPr>
          <w:rFonts w:ascii="Arial" w:hAnsi="Arial" w:cs="Arial"/>
          <w:sz w:val="24"/>
          <w:szCs w:val="24"/>
        </w:rPr>
        <w:t xml:space="preserve"> </w:t>
      </w:r>
      <w:r w:rsidR="00CF18A7" w:rsidRPr="002D21B6">
        <w:rPr>
          <w:rFonts w:ascii="Arial" w:hAnsi="Arial" w:cs="Arial"/>
          <w:sz w:val="24"/>
          <w:szCs w:val="24"/>
        </w:rPr>
        <w:t>For assay testing, optimization and comparisons</w:t>
      </w:r>
      <w:r w:rsidR="00C1491D">
        <w:rPr>
          <w:rFonts w:ascii="Arial" w:hAnsi="Arial" w:cs="Arial"/>
          <w:sz w:val="24"/>
          <w:szCs w:val="24"/>
        </w:rPr>
        <w:t>,</w:t>
      </w:r>
      <w:r w:rsidR="00CF18A7" w:rsidRPr="002D21B6">
        <w:rPr>
          <w:rFonts w:ascii="Arial" w:hAnsi="Arial" w:cs="Arial"/>
          <w:sz w:val="24"/>
          <w:szCs w:val="24"/>
        </w:rPr>
        <w:t xml:space="preserve"> the following validated</w:t>
      </w:r>
      <w:r w:rsidR="00943E1C" w:rsidRPr="002D21B6">
        <w:rPr>
          <w:rFonts w:ascii="Arial" w:hAnsi="Arial" w:cs="Arial"/>
          <w:sz w:val="24"/>
          <w:szCs w:val="24"/>
        </w:rPr>
        <w:t xml:space="preserve"> kits were used: measles IgG: </w:t>
      </w:r>
      <w:proofErr w:type="spellStart"/>
      <w:r w:rsidR="00943E1C" w:rsidRPr="002D21B6">
        <w:rPr>
          <w:rFonts w:ascii="Arial" w:hAnsi="Arial" w:cs="Arial"/>
          <w:sz w:val="24"/>
          <w:szCs w:val="24"/>
        </w:rPr>
        <w:t>Novalisa</w:t>
      </w:r>
      <w:proofErr w:type="spellEnd"/>
      <w:r w:rsidR="00943E1C" w:rsidRPr="002D21B6">
        <w:rPr>
          <w:rFonts w:ascii="Arial" w:hAnsi="Arial" w:cs="Arial"/>
          <w:sz w:val="24"/>
          <w:szCs w:val="24"/>
        </w:rPr>
        <w:t xml:space="preserve">, Immunolab, </w:t>
      </w:r>
      <w:proofErr w:type="spellStart"/>
      <w:r w:rsidR="00943E1C" w:rsidRPr="002D21B6">
        <w:rPr>
          <w:rFonts w:ascii="Arial" w:hAnsi="Arial" w:cs="Arial"/>
          <w:sz w:val="24"/>
          <w:szCs w:val="24"/>
        </w:rPr>
        <w:t>Euroimmun</w:t>
      </w:r>
      <w:proofErr w:type="spellEnd"/>
      <w:r w:rsidR="00943E1C" w:rsidRPr="002D21B6">
        <w:rPr>
          <w:rFonts w:ascii="Arial" w:hAnsi="Arial" w:cs="Arial"/>
          <w:sz w:val="24"/>
          <w:szCs w:val="24"/>
        </w:rPr>
        <w:t xml:space="preserve">, Sekisui-Virotech, </w:t>
      </w:r>
      <w:proofErr w:type="spellStart"/>
      <w:r w:rsidR="00943E1C" w:rsidRPr="002D21B6">
        <w:rPr>
          <w:rFonts w:ascii="Arial" w:hAnsi="Arial" w:cs="Arial"/>
          <w:sz w:val="24"/>
          <w:szCs w:val="24"/>
        </w:rPr>
        <w:t>Serion</w:t>
      </w:r>
      <w:proofErr w:type="spellEnd"/>
      <w:r w:rsidR="00943E1C" w:rsidRPr="002D21B6">
        <w:rPr>
          <w:rFonts w:ascii="Arial" w:hAnsi="Arial" w:cs="Arial"/>
          <w:sz w:val="24"/>
          <w:szCs w:val="24"/>
        </w:rPr>
        <w:t xml:space="preserve">, Siemens Enzygnost; mumps IgG: </w:t>
      </w:r>
      <w:proofErr w:type="spellStart"/>
      <w:r w:rsidR="00943E1C" w:rsidRPr="002D21B6">
        <w:rPr>
          <w:rFonts w:ascii="Arial" w:hAnsi="Arial" w:cs="Arial"/>
          <w:sz w:val="24"/>
          <w:szCs w:val="24"/>
        </w:rPr>
        <w:t>Novalisa</w:t>
      </w:r>
      <w:proofErr w:type="spellEnd"/>
      <w:r w:rsidR="00943E1C" w:rsidRPr="002D21B6">
        <w:rPr>
          <w:rFonts w:ascii="Arial" w:hAnsi="Arial" w:cs="Arial"/>
          <w:sz w:val="24"/>
          <w:szCs w:val="24"/>
        </w:rPr>
        <w:t xml:space="preserve">, Immunolab, </w:t>
      </w:r>
      <w:proofErr w:type="spellStart"/>
      <w:r w:rsidR="00943E1C" w:rsidRPr="002D21B6">
        <w:rPr>
          <w:rFonts w:ascii="Arial" w:hAnsi="Arial" w:cs="Arial"/>
          <w:sz w:val="24"/>
          <w:szCs w:val="24"/>
        </w:rPr>
        <w:t>Euroimmun</w:t>
      </w:r>
      <w:proofErr w:type="spellEnd"/>
      <w:r w:rsidR="00943E1C" w:rsidRPr="002D21B6">
        <w:rPr>
          <w:rFonts w:ascii="Arial" w:hAnsi="Arial" w:cs="Arial"/>
          <w:sz w:val="24"/>
          <w:szCs w:val="24"/>
        </w:rPr>
        <w:t xml:space="preserve">, Sekisui-Virotech, </w:t>
      </w:r>
      <w:proofErr w:type="spellStart"/>
      <w:r w:rsidR="00943E1C" w:rsidRPr="002D21B6">
        <w:rPr>
          <w:rFonts w:ascii="Arial" w:hAnsi="Arial" w:cs="Arial"/>
          <w:sz w:val="24"/>
          <w:szCs w:val="24"/>
        </w:rPr>
        <w:t>Vircell</w:t>
      </w:r>
      <w:proofErr w:type="spellEnd"/>
      <w:r w:rsidR="00943E1C" w:rsidRPr="002D21B6">
        <w:rPr>
          <w:rFonts w:ascii="Arial" w:hAnsi="Arial" w:cs="Arial"/>
          <w:sz w:val="24"/>
          <w:szCs w:val="24"/>
        </w:rPr>
        <w:t xml:space="preserve">; rubella IgG: </w:t>
      </w:r>
      <w:proofErr w:type="spellStart"/>
      <w:r w:rsidR="00943E1C" w:rsidRPr="002D21B6">
        <w:rPr>
          <w:rFonts w:ascii="Arial" w:hAnsi="Arial" w:cs="Arial"/>
          <w:sz w:val="24"/>
          <w:szCs w:val="24"/>
        </w:rPr>
        <w:t>Novatec</w:t>
      </w:r>
      <w:proofErr w:type="spellEnd"/>
      <w:r w:rsidR="00943E1C" w:rsidRPr="002D21B6">
        <w:rPr>
          <w:rFonts w:ascii="Arial" w:hAnsi="Arial" w:cs="Arial"/>
          <w:sz w:val="24"/>
          <w:szCs w:val="24"/>
        </w:rPr>
        <w:t xml:space="preserve">, Immunolab, </w:t>
      </w:r>
      <w:proofErr w:type="spellStart"/>
      <w:r w:rsidR="00943E1C" w:rsidRPr="002D21B6">
        <w:rPr>
          <w:rFonts w:ascii="Arial" w:hAnsi="Arial" w:cs="Arial"/>
          <w:sz w:val="24"/>
          <w:szCs w:val="24"/>
        </w:rPr>
        <w:t>Euroimmun</w:t>
      </w:r>
      <w:proofErr w:type="spellEnd"/>
      <w:r w:rsidR="00943E1C" w:rsidRPr="002D21B6">
        <w:rPr>
          <w:rFonts w:ascii="Arial" w:hAnsi="Arial" w:cs="Arial"/>
          <w:sz w:val="24"/>
          <w:szCs w:val="24"/>
        </w:rPr>
        <w:t xml:space="preserve">, </w:t>
      </w:r>
      <w:proofErr w:type="spellStart"/>
      <w:r w:rsidR="00943E1C" w:rsidRPr="002D21B6">
        <w:rPr>
          <w:rFonts w:ascii="Arial" w:hAnsi="Arial" w:cs="Arial"/>
          <w:sz w:val="24"/>
          <w:szCs w:val="24"/>
        </w:rPr>
        <w:t>DiaPro</w:t>
      </w:r>
      <w:proofErr w:type="spellEnd"/>
      <w:r w:rsidR="00943E1C" w:rsidRPr="002D21B6">
        <w:rPr>
          <w:rFonts w:ascii="Arial" w:hAnsi="Arial" w:cs="Arial"/>
          <w:sz w:val="24"/>
          <w:szCs w:val="24"/>
        </w:rPr>
        <w:t xml:space="preserve">, </w:t>
      </w:r>
      <w:proofErr w:type="spellStart"/>
      <w:r w:rsidR="00943E1C" w:rsidRPr="002D21B6">
        <w:rPr>
          <w:rFonts w:ascii="Arial" w:hAnsi="Arial" w:cs="Arial"/>
          <w:sz w:val="24"/>
          <w:szCs w:val="24"/>
        </w:rPr>
        <w:t>Vircell</w:t>
      </w:r>
      <w:proofErr w:type="spellEnd"/>
      <w:r w:rsidR="00943E1C" w:rsidRPr="002D21B6">
        <w:rPr>
          <w:rFonts w:ascii="Arial" w:hAnsi="Arial" w:cs="Arial"/>
          <w:sz w:val="24"/>
          <w:szCs w:val="24"/>
        </w:rPr>
        <w:t>.</w:t>
      </w:r>
    </w:p>
    <w:p w:rsidR="00943E1C" w:rsidRPr="002D21B6" w:rsidRDefault="00943E1C" w:rsidP="000A0716">
      <w:pPr>
        <w:spacing w:line="480" w:lineRule="auto"/>
        <w:ind w:firstLine="510"/>
        <w:rPr>
          <w:rFonts w:ascii="Arial" w:hAnsi="Arial" w:cs="Arial"/>
          <w:sz w:val="24"/>
          <w:szCs w:val="24"/>
        </w:rPr>
      </w:pPr>
      <w:r w:rsidRPr="002D21B6">
        <w:rPr>
          <w:rFonts w:ascii="Arial" w:hAnsi="Arial" w:cs="Arial"/>
          <w:sz w:val="24"/>
          <w:szCs w:val="24"/>
        </w:rPr>
        <w:t>Because our samples were anonymous (and consequently lacked clinical background), f</w:t>
      </w:r>
      <w:r w:rsidR="00351D3A" w:rsidRPr="002D21B6">
        <w:rPr>
          <w:rFonts w:ascii="Arial" w:hAnsi="Arial" w:cs="Arial"/>
          <w:sz w:val="24"/>
          <w:szCs w:val="24"/>
        </w:rPr>
        <w:t>or the generation of AUROC curves</w:t>
      </w:r>
      <w:r w:rsidRPr="002D21B6">
        <w:rPr>
          <w:rFonts w:ascii="Arial" w:hAnsi="Arial" w:cs="Arial"/>
          <w:sz w:val="24"/>
          <w:szCs w:val="24"/>
        </w:rPr>
        <w:t>,</w:t>
      </w:r>
      <w:r w:rsidR="00351D3A" w:rsidRPr="002D21B6">
        <w:rPr>
          <w:rFonts w:ascii="Arial" w:hAnsi="Arial" w:cs="Arial"/>
          <w:sz w:val="24"/>
          <w:szCs w:val="24"/>
        </w:rPr>
        <w:t xml:space="preserve"> the establishment of the binary classifier system was based on averaged qualitative (positive, negative) results of commercial </w:t>
      </w:r>
      <w:r w:rsidRPr="002D21B6">
        <w:rPr>
          <w:rFonts w:ascii="Arial" w:hAnsi="Arial" w:cs="Arial"/>
          <w:sz w:val="24"/>
          <w:szCs w:val="24"/>
        </w:rPr>
        <w:t>ELISAs.</w:t>
      </w:r>
    </w:p>
    <w:p w:rsidR="00EA5111" w:rsidRPr="002D21B6" w:rsidRDefault="00EA5111" w:rsidP="00902721">
      <w:pPr>
        <w:spacing w:line="480" w:lineRule="auto"/>
        <w:rPr>
          <w:rFonts w:ascii="Arial" w:hAnsi="Arial" w:cs="Arial"/>
          <w:sz w:val="24"/>
          <w:szCs w:val="24"/>
        </w:rPr>
      </w:pPr>
    </w:p>
    <w:p w:rsidR="00902721" w:rsidRDefault="00F330D0" w:rsidP="000A0716">
      <w:pPr>
        <w:spacing w:line="480" w:lineRule="auto"/>
        <w:ind w:firstLine="510"/>
        <w:rPr>
          <w:rFonts w:ascii="Arial" w:hAnsi="Arial" w:cs="Arial"/>
          <w:sz w:val="24"/>
          <w:szCs w:val="24"/>
        </w:rPr>
      </w:pPr>
      <w:r w:rsidRPr="002D21B6">
        <w:rPr>
          <w:rFonts w:ascii="Arial" w:hAnsi="Arial" w:cs="Arial"/>
          <w:sz w:val="24"/>
          <w:szCs w:val="24"/>
        </w:rPr>
        <w:lastRenderedPageBreak/>
        <w:t xml:space="preserve">In </w:t>
      </w:r>
      <w:r w:rsidR="003A1A78" w:rsidRPr="002D21B6">
        <w:rPr>
          <w:rFonts w:ascii="Arial" w:hAnsi="Arial" w:cs="Arial"/>
          <w:sz w:val="24"/>
          <w:szCs w:val="24"/>
        </w:rPr>
        <w:t>equivocal</w:t>
      </w:r>
      <w:r w:rsidRPr="002D21B6">
        <w:rPr>
          <w:rFonts w:ascii="Arial" w:hAnsi="Arial" w:cs="Arial"/>
          <w:sz w:val="24"/>
          <w:szCs w:val="24"/>
        </w:rPr>
        <w:t xml:space="preserve"> cases</w:t>
      </w:r>
      <w:r w:rsidR="00BC6A3E" w:rsidRPr="002D21B6">
        <w:rPr>
          <w:rFonts w:ascii="Arial" w:hAnsi="Arial" w:cs="Arial"/>
          <w:sz w:val="24"/>
          <w:szCs w:val="24"/>
        </w:rPr>
        <w:t xml:space="preserve"> (</w:t>
      </w:r>
      <w:r w:rsidRPr="002D21B6">
        <w:rPr>
          <w:rFonts w:ascii="Arial" w:hAnsi="Arial" w:cs="Arial"/>
          <w:sz w:val="24"/>
          <w:szCs w:val="24"/>
        </w:rPr>
        <w:t xml:space="preserve">and </w:t>
      </w:r>
      <w:r w:rsidR="00BC6A3E" w:rsidRPr="002D21B6">
        <w:rPr>
          <w:rFonts w:ascii="Arial" w:hAnsi="Arial" w:cs="Arial"/>
          <w:sz w:val="24"/>
          <w:szCs w:val="24"/>
        </w:rPr>
        <w:t xml:space="preserve">also </w:t>
      </w:r>
      <w:r w:rsidRPr="002D21B6">
        <w:rPr>
          <w:rFonts w:ascii="Arial" w:hAnsi="Arial" w:cs="Arial"/>
          <w:sz w:val="24"/>
          <w:szCs w:val="24"/>
        </w:rPr>
        <w:t xml:space="preserve">to periodically check </w:t>
      </w:r>
      <w:r w:rsidR="00F72906" w:rsidRPr="002D21B6">
        <w:rPr>
          <w:rFonts w:ascii="Arial" w:hAnsi="Arial" w:cs="Arial"/>
          <w:sz w:val="24"/>
          <w:szCs w:val="24"/>
        </w:rPr>
        <w:t>the</w:t>
      </w:r>
      <w:r w:rsidRPr="002D21B6">
        <w:rPr>
          <w:rFonts w:ascii="Arial" w:hAnsi="Arial" w:cs="Arial"/>
          <w:sz w:val="24"/>
          <w:szCs w:val="24"/>
        </w:rPr>
        <w:t xml:space="preserve"> assay performance</w:t>
      </w:r>
      <w:r w:rsidR="00BC6A3E" w:rsidRPr="002D21B6">
        <w:rPr>
          <w:rFonts w:ascii="Arial" w:hAnsi="Arial" w:cs="Arial"/>
          <w:sz w:val="24"/>
          <w:szCs w:val="24"/>
        </w:rPr>
        <w:t>)</w:t>
      </w:r>
      <w:r w:rsidRPr="002D21B6">
        <w:rPr>
          <w:rFonts w:ascii="Arial" w:hAnsi="Arial" w:cs="Arial"/>
          <w:sz w:val="24"/>
          <w:szCs w:val="24"/>
        </w:rPr>
        <w:t xml:space="preserve">, </w:t>
      </w:r>
      <w:r w:rsidR="00BC6A3E" w:rsidRPr="002D21B6">
        <w:rPr>
          <w:rFonts w:ascii="Arial" w:hAnsi="Arial" w:cs="Arial"/>
          <w:sz w:val="24"/>
          <w:szCs w:val="24"/>
        </w:rPr>
        <w:t>borderline and</w:t>
      </w:r>
      <w:r w:rsidRPr="002D21B6">
        <w:rPr>
          <w:rFonts w:ascii="Arial" w:hAnsi="Arial" w:cs="Arial"/>
          <w:sz w:val="24"/>
          <w:szCs w:val="24"/>
        </w:rPr>
        <w:t xml:space="preserve"> negative samples were </w:t>
      </w:r>
      <w:r w:rsidR="00BC6A3E" w:rsidRPr="002D21B6">
        <w:rPr>
          <w:rFonts w:ascii="Arial" w:hAnsi="Arial" w:cs="Arial"/>
          <w:sz w:val="24"/>
          <w:szCs w:val="24"/>
        </w:rPr>
        <w:t xml:space="preserve">measured </w:t>
      </w:r>
      <w:r w:rsidRPr="002D21B6">
        <w:rPr>
          <w:rFonts w:ascii="Arial" w:hAnsi="Arial" w:cs="Arial"/>
          <w:sz w:val="24"/>
          <w:szCs w:val="24"/>
        </w:rPr>
        <w:t>using indirect immunofluorescence assay</w:t>
      </w:r>
      <w:r w:rsidR="00BC6A3E" w:rsidRPr="002D21B6">
        <w:rPr>
          <w:rFonts w:ascii="Arial" w:hAnsi="Arial" w:cs="Arial"/>
          <w:sz w:val="24"/>
          <w:szCs w:val="24"/>
        </w:rPr>
        <w:t>s</w:t>
      </w:r>
      <w:r w:rsidR="005D794A">
        <w:rPr>
          <w:rFonts w:ascii="Arial" w:hAnsi="Arial" w:cs="Arial"/>
          <w:sz w:val="24"/>
          <w:szCs w:val="24"/>
        </w:rPr>
        <w:t>,</w:t>
      </w:r>
      <w:r w:rsidR="00BC6A3E" w:rsidRPr="002D21B6">
        <w:rPr>
          <w:rFonts w:ascii="Arial" w:hAnsi="Arial" w:cs="Arial"/>
          <w:sz w:val="24"/>
          <w:szCs w:val="24"/>
        </w:rPr>
        <w:t xml:space="preserve"> </w:t>
      </w:r>
      <w:r w:rsidR="005D794A">
        <w:rPr>
          <w:rFonts w:ascii="Arial" w:hAnsi="Arial" w:cs="Arial"/>
          <w:sz w:val="24"/>
          <w:szCs w:val="24"/>
        </w:rPr>
        <w:t xml:space="preserve">using </w:t>
      </w:r>
      <w:r w:rsidR="00451393" w:rsidRPr="002D21B6">
        <w:rPr>
          <w:rFonts w:ascii="Arial" w:hAnsi="Arial" w:cs="Arial"/>
          <w:sz w:val="24"/>
          <w:szCs w:val="24"/>
        </w:rPr>
        <w:t>measle</w:t>
      </w:r>
      <w:r w:rsidR="00BC6A3E" w:rsidRPr="002D21B6">
        <w:rPr>
          <w:rFonts w:ascii="Arial" w:hAnsi="Arial" w:cs="Arial"/>
          <w:sz w:val="24"/>
          <w:szCs w:val="24"/>
        </w:rPr>
        <w:t>s</w:t>
      </w:r>
      <w:r w:rsidR="00451393" w:rsidRPr="002D21B6">
        <w:rPr>
          <w:rFonts w:ascii="Arial" w:hAnsi="Arial" w:cs="Arial"/>
          <w:sz w:val="24"/>
          <w:szCs w:val="24"/>
        </w:rPr>
        <w:t xml:space="preserve">, mumps and rubella </w:t>
      </w:r>
      <w:r w:rsidR="00BC6A3E" w:rsidRPr="002D21B6">
        <w:rPr>
          <w:rFonts w:ascii="Arial" w:hAnsi="Arial" w:cs="Arial"/>
          <w:sz w:val="24"/>
          <w:szCs w:val="24"/>
        </w:rPr>
        <w:t xml:space="preserve">virus </w:t>
      </w:r>
      <w:r w:rsidR="00451393" w:rsidRPr="002D21B6">
        <w:rPr>
          <w:rFonts w:ascii="Arial" w:hAnsi="Arial" w:cs="Arial"/>
          <w:sz w:val="24"/>
          <w:szCs w:val="24"/>
        </w:rPr>
        <w:t>infected cells</w:t>
      </w:r>
      <w:r w:rsidR="00BC6A3E" w:rsidRPr="002D21B6">
        <w:rPr>
          <w:rFonts w:ascii="Arial" w:hAnsi="Arial" w:cs="Arial"/>
          <w:sz w:val="24"/>
          <w:szCs w:val="24"/>
        </w:rPr>
        <w:t>,</w:t>
      </w:r>
      <w:r w:rsidR="00451393" w:rsidRPr="002D21B6">
        <w:rPr>
          <w:rFonts w:ascii="Arial" w:hAnsi="Arial" w:cs="Arial"/>
          <w:sz w:val="24"/>
          <w:szCs w:val="24"/>
        </w:rPr>
        <w:t xml:space="preserve"> </w:t>
      </w:r>
      <w:r w:rsidRPr="002D21B6">
        <w:rPr>
          <w:rFonts w:ascii="Arial" w:hAnsi="Arial" w:cs="Arial"/>
          <w:sz w:val="24"/>
          <w:szCs w:val="24"/>
        </w:rPr>
        <w:t xml:space="preserve">IIF </w:t>
      </w:r>
      <w:r w:rsidR="0008266C">
        <w:rPr>
          <w:rFonts w:ascii="Arial" w:hAnsi="Arial" w:cs="Arial"/>
          <w:sz w:val="24"/>
          <w:szCs w:val="24"/>
        </w:rPr>
        <w:t>(IgG) (</w:t>
      </w:r>
      <w:proofErr w:type="spellStart"/>
      <w:r w:rsidRPr="002D21B6">
        <w:rPr>
          <w:rFonts w:ascii="Arial" w:hAnsi="Arial" w:cs="Arial"/>
          <w:sz w:val="24"/>
          <w:szCs w:val="24"/>
        </w:rPr>
        <w:t>Euroi</w:t>
      </w:r>
      <w:r w:rsidR="00BC6A3E" w:rsidRPr="002D21B6">
        <w:rPr>
          <w:rFonts w:ascii="Arial" w:hAnsi="Arial" w:cs="Arial"/>
          <w:sz w:val="24"/>
          <w:szCs w:val="24"/>
        </w:rPr>
        <w:t>mmun</w:t>
      </w:r>
      <w:proofErr w:type="spellEnd"/>
      <w:r w:rsidR="0008266C">
        <w:rPr>
          <w:rFonts w:ascii="Arial" w:hAnsi="Arial" w:cs="Arial"/>
          <w:sz w:val="24"/>
          <w:szCs w:val="24"/>
        </w:rPr>
        <w:t>)</w:t>
      </w:r>
      <w:r w:rsidRPr="002D21B6">
        <w:rPr>
          <w:rFonts w:ascii="Arial" w:hAnsi="Arial" w:cs="Arial"/>
          <w:sz w:val="24"/>
          <w:szCs w:val="24"/>
        </w:rPr>
        <w:t>.</w:t>
      </w:r>
      <w:r w:rsidR="00942769" w:rsidRPr="002D21B6">
        <w:t xml:space="preserve"> </w:t>
      </w:r>
      <w:r w:rsidR="00942769" w:rsidRPr="002D21B6">
        <w:rPr>
          <w:rFonts w:ascii="Arial" w:hAnsi="Arial" w:cs="Arial"/>
          <w:sz w:val="24"/>
          <w:szCs w:val="24"/>
        </w:rPr>
        <w:t xml:space="preserve">In case of </w:t>
      </w:r>
      <w:r w:rsidR="003A1A78" w:rsidRPr="002D21B6">
        <w:rPr>
          <w:rFonts w:ascii="Arial" w:hAnsi="Arial" w:cs="Arial"/>
          <w:sz w:val="24"/>
          <w:szCs w:val="24"/>
        </w:rPr>
        <w:t>c</w:t>
      </w:r>
      <w:r w:rsidR="00942769" w:rsidRPr="002D21B6">
        <w:rPr>
          <w:rFonts w:ascii="Arial" w:hAnsi="Arial" w:cs="Arial"/>
          <w:sz w:val="24"/>
          <w:szCs w:val="24"/>
        </w:rPr>
        <w:t>ommercial assays</w:t>
      </w:r>
      <w:r w:rsidR="00F72906" w:rsidRPr="002D21B6">
        <w:rPr>
          <w:rFonts w:ascii="Arial" w:hAnsi="Arial" w:cs="Arial"/>
          <w:sz w:val="24"/>
          <w:szCs w:val="24"/>
        </w:rPr>
        <w:t xml:space="preserve">, calculation of qualitative results </w:t>
      </w:r>
      <w:r w:rsidR="00942769" w:rsidRPr="002D21B6">
        <w:rPr>
          <w:rFonts w:ascii="Arial" w:hAnsi="Arial" w:cs="Arial"/>
          <w:sz w:val="24"/>
          <w:szCs w:val="24"/>
        </w:rPr>
        <w:t>was performed according to default thresholds specified by the manufacturer</w:t>
      </w:r>
      <w:r w:rsidR="00F72906" w:rsidRPr="002D21B6">
        <w:rPr>
          <w:rFonts w:ascii="Arial" w:hAnsi="Arial" w:cs="Arial"/>
          <w:sz w:val="24"/>
          <w:szCs w:val="24"/>
        </w:rPr>
        <w:t>s</w:t>
      </w:r>
      <w:r w:rsidR="00942769" w:rsidRPr="002D21B6">
        <w:rPr>
          <w:rFonts w:ascii="Arial" w:hAnsi="Arial" w:cs="Arial"/>
          <w:sz w:val="24"/>
          <w:szCs w:val="24"/>
        </w:rPr>
        <w:t xml:space="preserve">. </w:t>
      </w:r>
      <w:r w:rsidR="00943E1C" w:rsidRPr="002D21B6">
        <w:rPr>
          <w:rFonts w:ascii="Arial" w:hAnsi="Arial" w:cs="Arial"/>
          <w:sz w:val="24"/>
          <w:szCs w:val="24"/>
        </w:rPr>
        <w:t>AUROC</w:t>
      </w:r>
      <w:r w:rsidR="00FB37BE" w:rsidRPr="002D21B6">
        <w:rPr>
          <w:rFonts w:ascii="Arial" w:hAnsi="Arial" w:cs="Arial"/>
          <w:sz w:val="24"/>
          <w:szCs w:val="24"/>
        </w:rPr>
        <w:t xml:space="preserve"> results were </w:t>
      </w:r>
      <w:r w:rsidR="0017342D" w:rsidRPr="002D21B6">
        <w:rPr>
          <w:rFonts w:ascii="Arial" w:hAnsi="Arial" w:cs="Arial"/>
          <w:sz w:val="24"/>
          <w:szCs w:val="24"/>
        </w:rPr>
        <w:t>analysed</w:t>
      </w:r>
      <w:r w:rsidR="00FB37BE" w:rsidRPr="002D21B6">
        <w:rPr>
          <w:rFonts w:ascii="Arial" w:hAnsi="Arial" w:cs="Arial"/>
          <w:sz w:val="24"/>
          <w:szCs w:val="24"/>
        </w:rPr>
        <w:t xml:space="preserve"> using</w:t>
      </w:r>
      <w:r w:rsidR="00087BE8" w:rsidRPr="002D21B6">
        <w:rPr>
          <w:rFonts w:ascii="Arial" w:hAnsi="Arial" w:cs="Arial"/>
          <w:sz w:val="24"/>
          <w:szCs w:val="24"/>
        </w:rPr>
        <w:t xml:space="preserve"> </w:t>
      </w:r>
      <w:proofErr w:type="spellStart"/>
      <w:r w:rsidR="00087BE8" w:rsidRPr="002D21B6">
        <w:rPr>
          <w:rFonts w:ascii="Arial" w:hAnsi="Arial" w:cs="Arial"/>
          <w:sz w:val="24"/>
          <w:szCs w:val="24"/>
        </w:rPr>
        <w:t>Youden’s</w:t>
      </w:r>
      <w:proofErr w:type="spellEnd"/>
      <w:r w:rsidR="00087BE8" w:rsidRPr="002D21B6">
        <w:rPr>
          <w:rFonts w:ascii="Arial" w:hAnsi="Arial" w:cs="Arial"/>
          <w:sz w:val="24"/>
          <w:szCs w:val="24"/>
        </w:rPr>
        <w:t xml:space="preserve"> formula (J</w:t>
      </w:r>
      <w:r w:rsidR="001355D6" w:rsidRPr="002D21B6">
        <w:rPr>
          <w:rFonts w:ascii="Arial" w:hAnsi="Arial" w:cs="Arial"/>
          <w:sz w:val="24"/>
          <w:szCs w:val="24"/>
        </w:rPr>
        <w:t xml:space="preserve"> </w:t>
      </w:r>
      <w:r w:rsidR="00087BE8" w:rsidRPr="002D21B6">
        <w:rPr>
          <w:rFonts w:ascii="Arial" w:hAnsi="Arial" w:cs="Arial"/>
          <w:sz w:val="24"/>
          <w:szCs w:val="24"/>
        </w:rPr>
        <w:t>=</w:t>
      </w:r>
      <w:r w:rsidR="001355D6" w:rsidRPr="002D21B6">
        <w:rPr>
          <w:rFonts w:ascii="Arial" w:hAnsi="Arial" w:cs="Arial"/>
          <w:sz w:val="24"/>
          <w:szCs w:val="24"/>
        </w:rPr>
        <w:t xml:space="preserve"> </w:t>
      </w:r>
      <w:r w:rsidR="00087BE8" w:rsidRPr="002D21B6">
        <w:rPr>
          <w:rFonts w:ascii="Arial" w:hAnsi="Arial" w:cs="Arial"/>
          <w:sz w:val="24"/>
          <w:szCs w:val="24"/>
        </w:rPr>
        <w:t>sensitivity + specificity</w:t>
      </w:r>
      <w:r w:rsidR="00FB37BE" w:rsidRPr="002D21B6">
        <w:rPr>
          <w:rFonts w:ascii="Arial" w:hAnsi="Arial" w:cs="Arial"/>
          <w:sz w:val="24"/>
          <w:szCs w:val="24"/>
        </w:rPr>
        <w:t xml:space="preserve"> -1), and the highest OD values</w:t>
      </w:r>
      <w:r w:rsidR="00087BE8" w:rsidRPr="002D21B6">
        <w:rPr>
          <w:rFonts w:ascii="Arial" w:hAnsi="Arial" w:cs="Arial"/>
          <w:sz w:val="24"/>
          <w:szCs w:val="24"/>
        </w:rPr>
        <w:t xml:space="preserve"> were</w:t>
      </w:r>
      <w:r w:rsidR="00FB37BE" w:rsidRPr="002D21B6">
        <w:rPr>
          <w:rFonts w:ascii="Arial" w:hAnsi="Arial" w:cs="Arial"/>
          <w:sz w:val="24"/>
          <w:szCs w:val="24"/>
        </w:rPr>
        <w:t xml:space="preserve"> selected and</w:t>
      </w:r>
      <w:r w:rsidR="00087BE8" w:rsidRPr="002D21B6">
        <w:rPr>
          <w:rFonts w:ascii="Arial" w:hAnsi="Arial" w:cs="Arial"/>
          <w:sz w:val="24"/>
          <w:szCs w:val="24"/>
        </w:rPr>
        <w:t xml:space="preserve"> transformed </w:t>
      </w:r>
      <w:r w:rsidR="00FB37BE" w:rsidRPr="002D21B6">
        <w:rPr>
          <w:rFonts w:ascii="Arial" w:hAnsi="Arial" w:cs="Arial"/>
          <w:sz w:val="24"/>
          <w:szCs w:val="24"/>
        </w:rPr>
        <w:t>into units based on the</w:t>
      </w:r>
      <w:r w:rsidR="00087BE8" w:rsidRPr="002D21B6">
        <w:rPr>
          <w:rFonts w:ascii="Arial" w:hAnsi="Arial" w:cs="Arial"/>
          <w:sz w:val="24"/>
          <w:szCs w:val="24"/>
        </w:rPr>
        <w:t xml:space="preserve"> standards (3rd WHO International Standard for Anti-Measles, Anti-Mumps Quality Control Reagent Sample 1, 1st WHO International Standard Human).</w:t>
      </w:r>
      <w:r w:rsidR="00902721" w:rsidRPr="002D21B6">
        <w:rPr>
          <w:rFonts w:ascii="Arial" w:hAnsi="Arial" w:cs="Arial"/>
          <w:sz w:val="24"/>
          <w:szCs w:val="24"/>
        </w:rPr>
        <w:t xml:space="preserve"> For these transformations, sigmoid dose-response curves were fitted onto the dilution points of the standards</w:t>
      </w:r>
      <w:r w:rsidR="00F72906" w:rsidRPr="002D21B6">
        <w:rPr>
          <w:rFonts w:ascii="Arial" w:hAnsi="Arial" w:cs="Arial"/>
          <w:sz w:val="24"/>
          <w:szCs w:val="24"/>
        </w:rPr>
        <w:t>.</w:t>
      </w:r>
      <w:r w:rsidR="00902721" w:rsidRPr="002D21B6">
        <w:rPr>
          <w:rFonts w:ascii="Arial" w:hAnsi="Arial" w:cs="Arial"/>
          <w:sz w:val="24"/>
          <w:szCs w:val="24"/>
        </w:rPr>
        <w:t xml:space="preserve"> </w:t>
      </w:r>
    </w:p>
    <w:p w:rsidR="00D87DD7" w:rsidRPr="002D21B6" w:rsidRDefault="00D87DD7" w:rsidP="000A0716">
      <w:pPr>
        <w:spacing w:line="480" w:lineRule="auto"/>
        <w:ind w:firstLine="510"/>
        <w:rPr>
          <w:rFonts w:ascii="Arial" w:hAnsi="Arial" w:cs="Arial"/>
          <w:sz w:val="24"/>
          <w:szCs w:val="24"/>
          <w:highlight w:val="yellow"/>
        </w:rPr>
      </w:pPr>
    </w:p>
    <w:p w:rsidR="008157F9" w:rsidRPr="002D21B6" w:rsidRDefault="007D1A7F" w:rsidP="00902721">
      <w:pPr>
        <w:spacing w:line="480" w:lineRule="auto"/>
        <w:rPr>
          <w:rFonts w:ascii="Arial" w:hAnsi="Arial" w:cs="Arial"/>
          <w:i/>
          <w:sz w:val="24"/>
          <w:szCs w:val="24"/>
          <w:highlight w:val="yellow"/>
        </w:rPr>
      </w:pPr>
      <w:r w:rsidRPr="002D21B6">
        <w:rPr>
          <w:rFonts w:ascii="Arial" w:hAnsi="Arial" w:cs="Arial"/>
          <w:i/>
          <w:sz w:val="24"/>
          <w:szCs w:val="24"/>
        </w:rPr>
        <w:t>Analytical values, a</w:t>
      </w:r>
      <w:r w:rsidR="008157F9" w:rsidRPr="002D21B6">
        <w:rPr>
          <w:rFonts w:ascii="Arial" w:hAnsi="Arial" w:cs="Arial"/>
          <w:i/>
          <w:sz w:val="24"/>
          <w:szCs w:val="24"/>
        </w:rPr>
        <w:t>ssay precision and specific assay characteristics</w:t>
      </w:r>
      <w:r w:rsidR="008157F9" w:rsidRPr="002D21B6">
        <w:rPr>
          <w:rFonts w:ascii="Arial" w:hAnsi="Arial" w:cs="Arial"/>
          <w:i/>
          <w:sz w:val="24"/>
          <w:szCs w:val="24"/>
          <w:highlight w:val="yellow"/>
        </w:rPr>
        <w:t xml:space="preserve"> </w:t>
      </w:r>
    </w:p>
    <w:p w:rsidR="007D1A7F" w:rsidRDefault="009E0C4B" w:rsidP="00902721">
      <w:pPr>
        <w:spacing w:line="480" w:lineRule="auto"/>
        <w:rPr>
          <w:rFonts w:ascii="Arial" w:hAnsi="Arial" w:cs="Arial"/>
          <w:sz w:val="24"/>
          <w:szCs w:val="24"/>
          <w:lang w:val="hu-HU"/>
        </w:rPr>
      </w:pPr>
      <w:r w:rsidRPr="002D21B6">
        <w:rPr>
          <w:rFonts w:ascii="Arial" w:hAnsi="Arial" w:cs="Arial"/>
          <w:sz w:val="24"/>
          <w:szCs w:val="24"/>
        </w:rPr>
        <w:t xml:space="preserve">Analytical values such as lower limit of detection (LOD) and limit of quantification (LOQ) were determined by the mean and standard deviation of blank sample absorbance values; LOD was defined as mean + 3 SD and LOQ as mean + 10 SD (absorbance values), as suggested by the IUPAC Compendium of </w:t>
      </w:r>
      <w:r w:rsidR="002476AD">
        <w:rPr>
          <w:rFonts w:ascii="Arial" w:hAnsi="Arial" w:cs="Arial"/>
          <w:sz w:val="24"/>
          <w:szCs w:val="24"/>
        </w:rPr>
        <w:t xml:space="preserve">Chemical Terminology Gold Book. </w:t>
      </w:r>
      <w:r w:rsidR="007D1A7F" w:rsidRPr="00771D01">
        <w:rPr>
          <w:rFonts w:ascii="Arial" w:hAnsi="Arial" w:cs="Arial"/>
          <w:sz w:val="24"/>
          <w:szCs w:val="24"/>
        </w:rPr>
        <w:t xml:space="preserve">Sensitivity, specificity, positive and negative predictive values were also evaluated using </w:t>
      </w:r>
      <w:r w:rsidR="000554F2" w:rsidRPr="00771D01">
        <w:rPr>
          <w:rFonts w:ascii="Arial" w:hAnsi="Arial" w:cs="Arial"/>
          <w:sz w:val="24"/>
          <w:szCs w:val="24"/>
        </w:rPr>
        <w:t xml:space="preserve">validated </w:t>
      </w:r>
      <w:r w:rsidR="007D1A7F" w:rsidRPr="00771D01">
        <w:rPr>
          <w:rFonts w:ascii="Arial" w:hAnsi="Arial" w:cs="Arial"/>
          <w:sz w:val="24"/>
          <w:szCs w:val="24"/>
        </w:rPr>
        <w:t>the commercial kits (Table 3).</w:t>
      </w:r>
      <w:r w:rsidR="007D1A7F" w:rsidRPr="002D21B6">
        <w:rPr>
          <w:rFonts w:ascii="Arial" w:hAnsi="Arial" w:cs="Arial"/>
          <w:sz w:val="24"/>
          <w:szCs w:val="24"/>
          <w:lang w:val="hu-HU"/>
        </w:rPr>
        <w:t xml:space="preserve"> </w:t>
      </w:r>
    </w:p>
    <w:p w:rsidR="00D21637" w:rsidRPr="002D21B6" w:rsidRDefault="00D21637" w:rsidP="00902721">
      <w:pPr>
        <w:spacing w:line="480" w:lineRule="auto"/>
        <w:rPr>
          <w:rFonts w:ascii="Arial" w:hAnsi="Arial" w:cs="Arial"/>
          <w:sz w:val="24"/>
          <w:szCs w:val="24"/>
          <w:lang w:val="hu-HU"/>
        </w:rPr>
      </w:pPr>
    </w:p>
    <w:p w:rsidR="003E7299" w:rsidRPr="002D21B6" w:rsidRDefault="00D95CD6" w:rsidP="00C2139D">
      <w:pPr>
        <w:spacing w:line="480" w:lineRule="auto"/>
        <w:rPr>
          <w:rFonts w:ascii="Arial" w:hAnsi="Arial" w:cs="Arial"/>
          <w:i/>
          <w:sz w:val="24"/>
          <w:szCs w:val="24"/>
        </w:rPr>
      </w:pPr>
      <w:r w:rsidRPr="002D21B6">
        <w:rPr>
          <w:rFonts w:ascii="Arial" w:hAnsi="Arial" w:cs="Arial"/>
          <w:i/>
          <w:sz w:val="24"/>
          <w:szCs w:val="24"/>
        </w:rPr>
        <w:t>Statistical analysis</w:t>
      </w:r>
    </w:p>
    <w:p w:rsidR="00D21637" w:rsidRDefault="005C347A" w:rsidP="00191A6F">
      <w:pPr>
        <w:spacing w:line="480" w:lineRule="auto"/>
        <w:rPr>
          <w:rFonts w:ascii="Arial" w:hAnsi="Arial" w:cs="Arial"/>
          <w:sz w:val="24"/>
          <w:szCs w:val="24"/>
        </w:rPr>
      </w:pPr>
      <w:r>
        <w:rPr>
          <w:rFonts w:ascii="Arial" w:hAnsi="Arial" w:cs="Arial"/>
          <w:sz w:val="24"/>
          <w:szCs w:val="24"/>
        </w:rPr>
        <w:lastRenderedPageBreak/>
        <w:t>AU</w:t>
      </w:r>
      <w:r w:rsidR="004C6FCF" w:rsidRPr="002D21B6">
        <w:rPr>
          <w:rFonts w:ascii="Arial" w:hAnsi="Arial" w:cs="Arial"/>
          <w:sz w:val="24"/>
          <w:szCs w:val="24"/>
        </w:rPr>
        <w:t>ROC</w:t>
      </w:r>
      <w:r>
        <w:rPr>
          <w:rFonts w:ascii="Arial" w:hAnsi="Arial" w:cs="Arial"/>
          <w:sz w:val="24"/>
          <w:szCs w:val="24"/>
        </w:rPr>
        <w:t xml:space="preserve"> </w:t>
      </w:r>
      <w:r w:rsidR="004C6FCF" w:rsidRPr="002D21B6">
        <w:rPr>
          <w:rFonts w:ascii="Arial" w:hAnsi="Arial" w:cs="Arial"/>
          <w:sz w:val="24"/>
          <w:szCs w:val="24"/>
        </w:rPr>
        <w:t xml:space="preserve">analysis, </w:t>
      </w:r>
      <w:proofErr w:type="spellStart"/>
      <w:r w:rsidR="004C6FCF" w:rsidRPr="002D21B6">
        <w:rPr>
          <w:rFonts w:ascii="Arial" w:hAnsi="Arial" w:cs="Arial"/>
          <w:sz w:val="24"/>
          <w:szCs w:val="24"/>
        </w:rPr>
        <w:t>Youden’s</w:t>
      </w:r>
      <w:proofErr w:type="spellEnd"/>
      <w:r w:rsidR="004C6FCF" w:rsidRPr="002D21B6">
        <w:rPr>
          <w:rFonts w:ascii="Arial" w:hAnsi="Arial" w:cs="Arial"/>
          <w:sz w:val="24"/>
          <w:szCs w:val="24"/>
        </w:rPr>
        <w:t xml:space="preserve"> </w:t>
      </w:r>
      <w:r w:rsidR="004C6FCF" w:rsidRPr="002D21B6">
        <w:rPr>
          <w:rFonts w:ascii="Arial" w:hAnsi="Arial" w:cs="Arial"/>
          <w:i/>
          <w:sz w:val="24"/>
          <w:szCs w:val="24"/>
        </w:rPr>
        <w:t>J</w:t>
      </w:r>
      <w:r w:rsidR="004C6FCF" w:rsidRPr="002D21B6">
        <w:rPr>
          <w:rFonts w:ascii="Arial" w:hAnsi="Arial" w:cs="Arial"/>
          <w:sz w:val="24"/>
          <w:szCs w:val="24"/>
        </w:rPr>
        <w:t xml:space="preserve"> equation, confidence interval comparison </w:t>
      </w:r>
      <w:r w:rsidR="00C966A0" w:rsidRPr="002D21B6">
        <w:rPr>
          <w:rFonts w:ascii="Arial" w:hAnsi="Arial" w:cs="Arial"/>
          <w:sz w:val="24"/>
          <w:szCs w:val="24"/>
        </w:rPr>
        <w:t xml:space="preserve">at 95% confidence level </w:t>
      </w:r>
      <w:r w:rsidR="00891986" w:rsidRPr="002D21B6">
        <w:rPr>
          <w:rFonts w:ascii="Arial" w:hAnsi="Arial" w:cs="Arial"/>
          <w:sz w:val="24"/>
          <w:szCs w:val="24"/>
        </w:rPr>
        <w:t>(</w:t>
      </w:r>
      <w:r w:rsidR="004C6FCF" w:rsidRPr="002D21B6">
        <w:rPr>
          <w:rFonts w:ascii="Arial" w:hAnsi="Arial" w:cs="Arial"/>
          <w:sz w:val="24"/>
          <w:szCs w:val="24"/>
        </w:rPr>
        <w:t>prop test)</w:t>
      </w:r>
      <w:r w:rsidR="000B6EF5" w:rsidRPr="002D21B6">
        <w:rPr>
          <w:rFonts w:ascii="Arial" w:hAnsi="Arial" w:cs="Arial"/>
          <w:sz w:val="24"/>
          <w:szCs w:val="24"/>
        </w:rPr>
        <w:t>, and Bland-Altman plot</w:t>
      </w:r>
      <w:r w:rsidR="004C6FCF" w:rsidRPr="002D21B6">
        <w:rPr>
          <w:rFonts w:ascii="Arial" w:hAnsi="Arial" w:cs="Arial"/>
          <w:sz w:val="24"/>
          <w:szCs w:val="24"/>
        </w:rPr>
        <w:t xml:space="preserve"> were used as statistical methods.</w:t>
      </w:r>
    </w:p>
    <w:p w:rsidR="00D21637" w:rsidRDefault="00D21637">
      <w:pPr>
        <w:rPr>
          <w:rFonts w:ascii="Arial" w:hAnsi="Arial" w:cs="Arial"/>
          <w:sz w:val="24"/>
          <w:szCs w:val="24"/>
        </w:rPr>
      </w:pPr>
      <w:r>
        <w:rPr>
          <w:rFonts w:ascii="Arial" w:hAnsi="Arial" w:cs="Arial"/>
          <w:sz w:val="24"/>
          <w:szCs w:val="24"/>
        </w:rPr>
        <w:br w:type="page"/>
      </w:r>
    </w:p>
    <w:p w:rsidR="00A77661" w:rsidRPr="002D21B6" w:rsidRDefault="00A77661" w:rsidP="00C2139D">
      <w:pPr>
        <w:spacing w:line="480" w:lineRule="auto"/>
        <w:rPr>
          <w:rFonts w:ascii="Arial" w:hAnsi="Arial" w:cs="Arial"/>
          <w:b/>
          <w:sz w:val="24"/>
          <w:szCs w:val="24"/>
        </w:rPr>
      </w:pPr>
      <w:r w:rsidRPr="002D21B6">
        <w:rPr>
          <w:rFonts w:ascii="Arial" w:hAnsi="Arial" w:cs="Arial"/>
          <w:b/>
          <w:sz w:val="24"/>
          <w:szCs w:val="24"/>
        </w:rPr>
        <w:lastRenderedPageBreak/>
        <w:t>Results</w:t>
      </w:r>
    </w:p>
    <w:p w:rsidR="00765F20" w:rsidRPr="002D21B6" w:rsidRDefault="00E03F08" w:rsidP="00C2139D">
      <w:pPr>
        <w:spacing w:line="480" w:lineRule="auto"/>
        <w:rPr>
          <w:rFonts w:ascii="Arial" w:hAnsi="Arial" w:cs="Arial"/>
          <w:i/>
          <w:sz w:val="24"/>
          <w:szCs w:val="24"/>
        </w:rPr>
      </w:pPr>
      <w:r w:rsidRPr="002D21B6">
        <w:rPr>
          <w:rFonts w:ascii="Arial" w:hAnsi="Arial" w:cs="Arial"/>
          <w:i/>
          <w:sz w:val="24"/>
          <w:szCs w:val="24"/>
        </w:rPr>
        <w:t>Testing of a</w:t>
      </w:r>
      <w:r w:rsidR="00EB5FD9" w:rsidRPr="002D21B6">
        <w:rPr>
          <w:rFonts w:ascii="Arial" w:hAnsi="Arial" w:cs="Arial"/>
          <w:i/>
          <w:sz w:val="24"/>
          <w:szCs w:val="24"/>
        </w:rPr>
        <w:t xml:space="preserve">ntigen coating </w:t>
      </w:r>
    </w:p>
    <w:p w:rsidR="00475C6C" w:rsidRDefault="000E368C" w:rsidP="00D8050B">
      <w:pPr>
        <w:tabs>
          <w:tab w:val="left" w:pos="322"/>
        </w:tabs>
        <w:spacing w:line="480" w:lineRule="auto"/>
        <w:rPr>
          <w:rFonts w:ascii="Arial" w:hAnsi="Arial" w:cs="Arial"/>
          <w:sz w:val="24"/>
          <w:szCs w:val="24"/>
        </w:rPr>
      </w:pPr>
      <w:r w:rsidRPr="002D21B6">
        <w:rPr>
          <w:rFonts w:ascii="Arial" w:hAnsi="Arial" w:cs="Arial"/>
          <w:sz w:val="24"/>
          <w:szCs w:val="24"/>
        </w:rPr>
        <w:t xml:space="preserve">To check </w:t>
      </w:r>
      <w:r w:rsidR="0052667E" w:rsidRPr="002D21B6">
        <w:rPr>
          <w:rFonts w:ascii="Arial" w:hAnsi="Arial" w:cs="Arial"/>
          <w:sz w:val="24"/>
          <w:szCs w:val="24"/>
        </w:rPr>
        <w:t xml:space="preserve">whether </w:t>
      </w:r>
      <w:r w:rsidRPr="002D21B6">
        <w:rPr>
          <w:rFonts w:ascii="Arial" w:hAnsi="Arial" w:cs="Arial"/>
          <w:sz w:val="24"/>
          <w:szCs w:val="24"/>
        </w:rPr>
        <w:t xml:space="preserve">the entire virus-based coatings (derived from cell cultures) </w:t>
      </w:r>
      <w:r w:rsidR="00B738C2" w:rsidRPr="002D21B6">
        <w:rPr>
          <w:rFonts w:ascii="Arial" w:hAnsi="Arial" w:cs="Arial"/>
          <w:sz w:val="24"/>
          <w:szCs w:val="24"/>
        </w:rPr>
        <w:t>contain</w:t>
      </w:r>
      <w:r w:rsidR="00C70829" w:rsidRPr="002D21B6">
        <w:rPr>
          <w:rFonts w:ascii="Arial" w:hAnsi="Arial" w:cs="Arial"/>
          <w:sz w:val="24"/>
          <w:szCs w:val="24"/>
        </w:rPr>
        <w:t xml:space="preserve"> </w:t>
      </w:r>
      <w:r w:rsidRPr="002D21B6">
        <w:rPr>
          <w:rFonts w:ascii="Arial" w:hAnsi="Arial" w:cs="Arial"/>
          <w:sz w:val="24"/>
          <w:szCs w:val="24"/>
        </w:rPr>
        <w:t xml:space="preserve">off-target </w:t>
      </w:r>
      <w:r w:rsidR="00C70829" w:rsidRPr="002D21B6">
        <w:rPr>
          <w:rFonts w:ascii="Arial" w:hAnsi="Arial" w:cs="Arial"/>
          <w:sz w:val="24"/>
          <w:szCs w:val="24"/>
        </w:rPr>
        <w:t>m</w:t>
      </w:r>
      <w:r w:rsidR="00B738C2" w:rsidRPr="002D21B6">
        <w:rPr>
          <w:rFonts w:ascii="Arial" w:hAnsi="Arial" w:cs="Arial"/>
          <w:sz w:val="24"/>
          <w:szCs w:val="24"/>
        </w:rPr>
        <w:t xml:space="preserve">olecules, </w:t>
      </w:r>
      <w:r w:rsidR="006D126A" w:rsidRPr="002D21B6">
        <w:rPr>
          <w:rFonts w:ascii="Arial" w:hAnsi="Arial" w:cs="Arial"/>
          <w:sz w:val="24"/>
          <w:szCs w:val="24"/>
        </w:rPr>
        <w:t xml:space="preserve">we compared our assays to </w:t>
      </w:r>
      <w:r w:rsidR="00A04D21" w:rsidRPr="002D21B6">
        <w:rPr>
          <w:rFonts w:ascii="Arial" w:hAnsi="Arial" w:cs="Arial"/>
          <w:sz w:val="24"/>
          <w:szCs w:val="24"/>
        </w:rPr>
        <w:t xml:space="preserve">purified </w:t>
      </w:r>
      <w:r w:rsidR="00CA7EF1" w:rsidRPr="002D21B6">
        <w:rPr>
          <w:rFonts w:ascii="Arial" w:hAnsi="Arial" w:cs="Arial"/>
          <w:sz w:val="24"/>
          <w:szCs w:val="24"/>
        </w:rPr>
        <w:t xml:space="preserve">recombinant viral </w:t>
      </w:r>
      <w:r w:rsidR="001B56FC" w:rsidRPr="002D21B6">
        <w:rPr>
          <w:rFonts w:ascii="Arial" w:hAnsi="Arial" w:cs="Arial"/>
          <w:sz w:val="24"/>
          <w:szCs w:val="24"/>
        </w:rPr>
        <w:t xml:space="preserve">capsid </w:t>
      </w:r>
      <w:r w:rsidR="00CA7EF1" w:rsidRPr="002D21B6">
        <w:rPr>
          <w:rFonts w:ascii="Arial" w:hAnsi="Arial" w:cs="Arial"/>
          <w:sz w:val="24"/>
          <w:szCs w:val="24"/>
        </w:rPr>
        <w:t>protein antigen</w:t>
      </w:r>
      <w:r w:rsidR="00E63FE1" w:rsidRPr="002D21B6">
        <w:rPr>
          <w:rFonts w:ascii="Arial" w:hAnsi="Arial" w:cs="Arial"/>
          <w:sz w:val="24"/>
          <w:szCs w:val="24"/>
        </w:rPr>
        <w:t xml:space="preserve">-based </w:t>
      </w:r>
      <w:r w:rsidR="00B738C2" w:rsidRPr="002D21B6">
        <w:rPr>
          <w:rFonts w:ascii="Arial" w:hAnsi="Arial" w:cs="Arial"/>
          <w:sz w:val="24"/>
          <w:szCs w:val="24"/>
        </w:rPr>
        <w:t xml:space="preserve">(in-house) </w:t>
      </w:r>
      <w:r w:rsidR="00E63FE1" w:rsidRPr="002D21B6">
        <w:rPr>
          <w:rFonts w:ascii="Arial" w:hAnsi="Arial" w:cs="Arial"/>
          <w:sz w:val="24"/>
          <w:szCs w:val="24"/>
        </w:rPr>
        <w:t>assays</w:t>
      </w:r>
      <w:r w:rsidR="00191A6F" w:rsidRPr="002D21B6">
        <w:rPr>
          <w:rFonts w:ascii="Arial" w:hAnsi="Arial" w:cs="Arial"/>
          <w:sz w:val="24"/>
          <w:szCs w:val="24"/>
        </w:rPr>
        <w:t xml:space="preserve">. </w:t>
      </w:r>
      <w:r w:rsidR="005579A5" w:rsidRPr="002D21B6">
        <w:rPr>
          <w:rFonts w:ascii="Arial" w:hAnsi="Arial" w:cs="Arial"/>
          <w:sz w:val="24"/>
          <w:szCs w:val="24"/>
        </w:rPr>
        <w:t>Based on the linearity test</w:t>
      </w:r>
      <w:r w:rsidR="00F76A5C" w:rsidRPr="002D21B6">
        <w:rPr>
          <w:rFonts w:ascii="Arial" w:hAnsi="Arial" w:cs="Arial"/>
          <w:sz w:val="24"/>
          <w:szCs w:val="24"/>
        </w:rPr>
        <w:t>s,</w:t>
      </w:r>
      <w:r w:rsidRPr="002D21B6">
        <w:rPr>
          <w:rFonts w:ascii="Arial" w:hAnsi="Arial" w:cs="Arial"/>
          <w:sz w:val="24"/>
          <w:szCs w:val="24"/>
        </w:rPr>
        <w:t xml:space="preserve"> </w:t>
      </w:r>
      <w:r w:rsidR="005579A5" w:rsidRPr="002D21B6">
        <w:rPr>
          <w:rFonts w:ascii="Arial" w:hAnsi="Arial" w:cs="Arial"/>
          <w:sz w:val="24"/>
          <w:szCs w:val="24"/>
        </w:rPr>
        <w:t xml:space="preserve">the following </w:t>
      </w:r>
      <w:r w:rsidR="00475C6C" w:rsidRPr="002D21B6">
        <w:rPr>
          <w:rFonts w:ascii="Arial" w:hAnsi="Arial" w:cs="Arial"/>
          <w:sz w:val="24"/>
          <w:szCs w:val="24"/>
        </w:rPr>
        <w:t>r</w:t>
      </w:r>
      <w:r w:rsidR="008B5C77" w:rsidRPr="002D21B6">
        <w:rPr>
          <w:rFonts w:ascii="Arial" w:hAnsi="Arial" w:cs="Arial"/>
          <w:sz w:val="24"/>
          <w:szCs w:val="24"/>
        </w:rPr>
        <w:t xml:space="preserve">ecombinant </w:t>
      </w:r>
      <w:r w:rsidR="009F0464" w:rsidRPr="002D21B6">
        <w:rPr>
          <w:rFonts w:ascii="Arial" w:hAnsi="Arial" w:cs="Arial"/>
          <w:sz w:val="24"/>
          <w:szCs w:val="24"/>
        </w:rPr>
        <w:t xml:space="preserve">viral nucleocapsid </w:t>
      </w:r>
      <w:r w:rsidR="008B5C77" w:rsidRPr="002D21B6">
        <w:rPr>
          <w:rFonts w:ascii="Arial" w:hAnsi="Arial" w:cs="Arial"/>
          <w:sz w:val="24"/>
          <w:szCs w:val="24"/>
        </w:rPr>
        <w:t xml:space="preserve">antigen coatings </w:t>
      </w:r>
      <w:r w:rsidR="005579A5" w:rsidRPr="002D21B6">
        <w:rPr>
          <w:rFonts w:ascii="Arial" w:hAnsi="Arial" w:cs="Arial"/>
          <w:sz w:val="24"/>
          <w:szCs w:val="24"/>
        </w:rPr>
        <w:t>were selected</w:t>
      </w:r>
      <w:r w:rsidR="009F0464" w:rsidRPr="002D21B6">
        <w:rPr>
          <w:rFonts w:ascii="Arial" w:hAnsi="Arial" w:cs="Arial"/>
          <w:sz w:val="24"/>
          <w:szCs w:val="24"/>
        </w:rPr>
        <w:t>: measles 0.83 µg/mL</w:t>
      </w:r>
      <w:r w:rsidR="007304E6" w:rsidRPr="002D21B6">
        <w:rPr>
          <w:rFonts w:ascii="Arial" w:hAnsi="Arial" w:cs="Arial"/>
          <w:sz w:val="24"/>
          <w:szCs w:val="24"/>
        </w:rPr>
        <w:t>,</w:t>
      </w:r>
      <w:r w:rsidR="00F10F59" w:rsidRPr="002D21B6">
        <w:rPr>
          <w:rFonts w:ascii="Arial" w:hAnsi="Arial" w:cs="Arial"/>
          <w:sz w:val="24"/>
          <w:szCs w:val="24"/>
        </w:rPr>
        <w:t xml:space="preserve"> mumps</w:t>
      </w:r>
      <w:r w:rsidR="009F0464" w:rsidRPr="002D21B6">
        <w:rPr>
          <w:rFonts w:ascii="Arial" w:hAnsi="Arial" w:cs="Arial"/>
          <w:sz w:val="24"/>
          <w:szCs w:val="24"/>
        </w:rPr>
        <w:t xml:space="preserve"> 0.416</w:t>
      </w:r>
      <w:r w:rsidR="008B5C77" w:rsidRPr="002D21B6">
        <w:rPr>
          <w:rFonts w:ascii="Arial" w:hAnsi="Arial" w:cs="Arial"/>
          <w:sz w:val="24"/>
          <w:szCs w:val="24"/>
        </w:rPr>
        <w:t xml:space="preserve"> </w:t>
      </w:r>
      <w:r w:rsidR="009F0464" w:rsidRPr="002D21B6">
        <w:rPr>
          <w:rFonts w:ascii="Arial" w:hAnsi="Arial" w:cs="Arial"/>
          <w:sz w:val="24"/>
          <w:szCs w:val="24"/>
        </w:rPr>
        <w:t>µg/mL</w:t>
      </w:r>
      <w:r w:rsidR="00F10F59" w:rsidRPr="002D21B6">
        <w:rPr>
          <w:rFonts w:ascii="Arial" w:hAnsi="Arial" w:cs="Arial"/>
          <w:sz w:val="24"/>
          <w:szCs w:val="24"/>
        </w:rPr>
        <w:t xml:space="preserve"> and rubella</w:t>
      </w:r>
      <w:r w:rsidR="009F0464" w:rsidRPr="002D21B6">
        <w:rPr>
          <w:rFonts w:ascii="Arial" w:hAnsi="Arial" w:cs="Arial"/>
          <w:sz w:val="24"/>
          <w:szCs w:val="24"/>
        </w:rPr>
        <w:t xml:space="preserve"> 1.0 µg/mL</w:t>
      </w:r>
      <w:r w:rsidR="00F10F59" w:rsidRPr="002D21B6">
        <w:rPr>
          <w:rFonts w:ascii="Arial" w:hAnsi="Arial" w:cs="Arial"/>
          <w:sz w:val="24"/>
          <w:szCs w:val="24"/>
        </w:rPr>
        <w:t xml:space="preserve"> (R</w:t>
      </w:r>
      <w:r w:rsidR="00F10F59" w:rsidRPr="002D21B6">
        <w:rPr>
          <w:rFonts w:ascii="Arial" w:hAnsi="Arial" w:cs="Arial"/>
          <w:sz w:val="24"/>
          <w:szCs w:val="24"/>
          <w:vertAlign w:val="superscript"/>
        </w:rPr>
        <w:t>2</w:t>
      </w:r>
      <w:r w:rsidR="00F10F59" w:rsidRPr="002D21B6">
        <w:rPr>
          <w:rFonts w:ascii="Arial" w:hAnsi="Arial" w:cs="Arial"/>
          <w:sz w:val="24"/>
          <w:szCs w:val="24"/>
        </w:rPr>
        <w:t xml:space="preserve"> standards ≥</w:t>
      </w:r>
      <w:r w:rsidR="002D21B6" w:rsidRPr="002D21B6">
        <w:rPr>
          <w:rFonts w:ascii="Arial" w:hAnsi="Arial" w:cs="Arial"/>
          <w:sz w:val="24"/>
          <w:szCs w:val="24"/>
        </w:rPr>
        <w:t xml:space="preserve"> </w:t>
      </w:r>
      <w:r w:rsidR="00F10F59" w:rsidRPr="002D21B6">
        <w:rPr>
          <w:rFonts w:ascii="Arial" w:hAnsi="Arial" w:cs="Arial"/>
          <w:sz w:val="24"/>
          <w:szCs w:val="24"/>
        </w:rPr>
        <w:t>0.97, R</w:t>
      </w:r>
      <w:r w:rsidR="00F10F59" w:rsidRPr="002D21B6">
        <w:rPr>
          <w:rFonts w:ascii="Arial" w:hAnsi="Arial" w:cs="Arial"/>
          <w:sz w:val="24"/>
          <w:szCs w:val="24"/>
          <w:vertAlign w:val="superscript"/>
        </w:rPr>
        <w:t>2</w:t>
      </w:r>
      <w:r w:rsidR="00F10F59" w:rsidRPr="002D21B6">
        <w:rPr>
          <w:rFonts w:ascii="Arial" w:hAnsi="Arial" w:cs="Arial"/>
          <w:sz w:val="24"/>
          <w:szCs w:val="24"/>
        </w:rPr>
        <w:t xml:space="preserve"> samples ≥</w:t>
      </w:r>
      <w:r w:rsidR="002D21B6" w:rsidRPr="002D21B6">
        <w:rPr>
          <w:rFonts w:ascii="Arial" w:hAnsi="Arial" w:cs="Arial"/>
          <w:sz w:val="24"/>
          <w:szCs w:val="24"/>
        </w:rPr>
        <w:t xml:space="preserve"> </w:t>
      </w:r>
      <w:r w:rsidR="00F10F59" w:rsidRPr="002D21B6">
        <w:rPr>
          <w:rFonts w:ascii="Arial" w:hAnsi="Arial" w:cs="Arial"/>
          <w:sz w:val="24"/>
          <w:szCs w:val="24"/>
        </w:rPr>
        <w:t>0.93)</w:t>
      </w:r>
      <w:r w:rsidR="00CF5E02" w:rsidRPr="002D21B6">
        <w:rPr>
          <w:rFonts w:ascii="Arial" w:hAnsi="Arial" w:cs="Arial"/>
          <w:sz w:val="24"/>
          <w:szCs w:val="24"/>
        </w:rPr>
        <w:t xml:space="preserve"> (Supplementary Figure S3</w:t>
      </w:r>
      <w:r w:rsidR="0009372E">
        <w:rPr>
          <w:rFonts w:ascii="Arial" w:hAnsi="Arial" w:cs="Arial"/>
          <w:sz w:val="24"/>
          <w:szCs w:val="24"/>
        </w:rPr>
        <w:t>)</w:t>
      </w:r>
      <w:r w:rsidR="009F0464" w:rsidRPr="002D21B6">
        <w:rPr>
          <w:rFonts w:ascii="Arial" w:hAnsi="Arial" w:cs="Arial"/>
          <w:sz w:val="24"/>
          <w:szCs w:val="24"/>
        </w:rPr>
        <w:t>.</w:t>
      </w:r>
      <w:r w:rsidR="00F10F59" w:rsidRPr="002D21B6">
        <w:rPr>
          <w:rFonts w:ascii="Arial" w:hAnsi="Arial" w:cs="Arial"/>
          <w:sz w:val="24"/>
          <w:szCs w:val="24"/>
        </w:rPr>
        <w:t xml:space="preserve"> </w:t>
      </w:r>
      <w:r w:rsidR="00CF5E02" w:rsidRPr="002D21B6">
        <w:rPr>
          <w:rFonts w:ascii="Arial" w:hAnsi="Arial" w:cs="Arial"/>
          <w:sz w:val="24"/>
          <w:szCs w:val="24"/>
        </w:rPr>
        <w:t xml:space="preserve">Bland-Altman plots </w:t>
      </w:r>
      <w:r w:rsidR="00475C6C" w:rsidRPr="002D21B6">
        <w:rPr>
          <w:rFonts w:ascii="Arial" w:hAnsi="Arial" w:cs="Arial"/>
          <w:sz w:val="24"/>
          <w:szCs w:val="24"/>
        </w:rPr>
        <w:t>w</w:t>
      </w:r>
      <w:r w:rsidR="00CF5E02" w:rsidRPr="002D21B6">
        <w:rPr>
          <w:rFonts w:ascii="Arial" w:hAnsi="Arial" w:cs="Arial"/>
          <w:sz w:val="24"/>
          <w:szCs w:val="24"/>
        </w:rPr>
        <w:t>ere</w:t>
      </w:r>
      <w:r w:rsidR="00475C6C" w:rsidRPr="002D21B6">
        <w:rPr>
          <w:rFonts w:ascii="Arial" w:hAnsi="Arial" w:cs="Arial"/>
          <w:sz w:val="24"/>
          <w:szCs w:val="24"/>
        </w:rPr>
        <w:t xml:space="preserve"> </w:t>
      </w:r>
      <w:r w:rsidR="00F10F59" w:rsidRPr="002D21B6">
        <w:rPr>
          <w:rFonts w:ascii="Arial" w:hAnsi="Arial" w:cs="Arial"/>
          <w:sz w:val="24"/>
          <w:szCs w:val="24"/>
        </w:rPr>
        <w:t>then generated</w:t>
      </w:r>
      <w:r w:rsidR="00475C6C" w:rsidRPr="002D21B6">
        <w:rPr>
          <w:rFonts w:ascii="Arial" w:hAnsi="Arial" w:cs="Arial"/>
          <w:sz w:val="24"/>
          <w:szCs w:val="24"/>
        </w:rPr>
        <w:t>;</w:t>
      </w:r>
      <w:r w:rsidR="00F10F59" w:rsidRPr="002D21B6">
        <w:rPr>
          <w:rFonts w:ascii="Arial" w:hAnsi="Arial" w:cs="Arial"/>
          <w:sz w:val="24"/>
          <w:szCs w:val="24"/>
        </w:rPr>
        <w:t xml:space="preserve"> </w:t>
      </w:r>
      <w:r w:rsidR="00475C6C" w:rsidRPr="002D21B6">
        <w:rPr>
          <w:rFonts w:ascii="Arial" w:hAnsi="Arial" w:cs="Arial"/>
          <w:sz w:val="24"/>
          <w:szCs w:val="24"/>
        </w:rPr>
        <w:t xml:space="preserve">ratios </w:t>
      </w:r>
      <w:r w:rsidR="002D0A6F" w:rsidRPr="002D21B6">
        <w:rPr>
          <w:rFonts w:ascii="Arial" w:hAnsi="Arial" w:cs="Arial"/>
          <w:sz w:val="24"/>
          <w:szCs w:val="24"/>
        </w:rPr>
        <w:t xml:space="preserve">of </w:t>
      </w:r>
      <w:r w:rsidR="00202C52" w:rsidRPr="002D21B6">
        <w:rPr>
          <w:rFonts w:ascii="Arial" w:hAnsi="Arial" w:cs="Arial"/>
          <w:sz w:val="24"/>
          <w:szCs w:val="24"/>
        </w:rPr>
        <w:t xml:space="preserve">the results from the </w:t>
      </w:r>
      <w:r w:rsidR="00475C6C" w:rsidRPr="002D21B6">
        <w:rPr>
          <w:rFonts w:ascii="Arial" w:hAnsi="Arial" w:cs="Arial"/>
          <w:sz w:val="24"/>
          <w:szCs w:val="24"/>
        </w:rPr>
        <w:t xml:space="preserve">two techniques </w:t>
      </w:r>
      <w:r w:rsidR="00F10F59" w:rsidRPr="002D21B6">
        <w:rPr>
          <w:rFonts w:ascii="Arial" w:hAnsi="Arial" w:cs="Arial"/>
          <w:sz w:val="24"/>
          <w:szCs w:val="24"/>
        </w:rPr>
        <w:t>(</w:t>
      </w:r>
      <w:r w:rsidR="00947A5D">
        <w:rPr>
          <w:rFonts w:ascii="Arial" w:hAnsi="Arial" w:cs="Arial"/>
          <w:sz w:val="24"/>
          <w:szCs w:val="24"/>
        </w:rPr>
        <w:t xml:space="preserve">‘target’ </w:t>
      </w:r>
      <w:r w:rsidR="00F10F59" w:rsidRPr="002D21B6">
        <w:rPr>
          <w:rFonts w:ascii="Arial" w:hAnsi="Arial" w:cs="Arial"/>
          <w:sz w:val="24"/>
          <w:szCs w:val="24"/>
        </w:rPr>
        <w:t xml:space="preserve">versus </w:t>
      </w:r>
      <w:r w:rsidR="005A5E6F" w:rsidRPr="002D21B6">
        <w:rPr>
          <w:rFonts w:ascii="Arial" w:hAnsi="Arial" w:cs="Arial"/>
          <w:sz w:val="24"/>
          <w:szCs w:val="24"/>
        </w:rPr>
        <w:t>‘</w:t>
      </w:r>
      <w:r w:rsidR="00F10F59" w:rsidRPr="002D21B6">
        <w:rPr>
          <w:rFonts w:ascii="Arial" w:hAnsi="Arial" w:cs="Arial"/>
          <w:sz w:val="24"/>
          <w:szCs w:val="24"/>
        </w:rPr>
        <w:t>control</w:t>
      </w:r>
      <w:r w:rsidR="005A5E6F" w:rsidRPr="002D21B6">
        <w:rPr>
          <w:rFonts w:ascii="Arial" w:hAnsi="Arial" w:cs="Arial"/>
          <w:sz w:val="24"/>
          <w:szCs w:val="24"/>
        </w:rPr>
        <w:t>’ assay</w:t>
      </w:r>
      <w:r w:rsidR="00F10F59" w:rsidRPr="002D21B6">
        <w:rPr>
          <w:rFonts w:ascii="Arial" w:hAnsi="Arial" w:cs="Arial"/>
          <w:sz w:val="24"/>
          <w:szCs w:val="24"/>
        </w:rPr>
        <w:t xml:space="preserve">) </w:t>
      </w:r>
      <w:r w:rsidR="00475C6C" w:rsidRPr="002D21B6">
        <w:rPr>
          <w:rFonts w:ascii="Arial" w:hAnsi="Arial" w:cs="Arial"/>
          <w:sz w:val="24"/>
          <w:szCs w:val="24"/>
        </w:rPr>
        <w:t xml:space="preserve">were plotted against the averages. </w:t>
      </w:r>
      <w:r w:rsidR="00CA7EF1" w:rsidRPr="002D21B6">
        <w:rPr>
          <w:rFonts w:ascii="Arial" w:hAnsi="Arial" w:cs="Arial"/>
          <w:sz w:val="24"/>
          <w:szCs w:val="24"/>
        </w:rPr>
        <w:t xml:space="preserve">As shown in </w:t>
      </w:r>
      <w:r w:rsidR="0020612A" w:rsidRPr="002D21B6">
        <w:rPr>
          <w:rFonts w:ascii="Arial" w:hAnsi="Arial" w:cs="Arial"/>
          <w:sz w:val="24"/>
          <w:szCs w:val="24"/>
        </w:rPr>
        <w:t>Fig</w:t>
      </w:r>
      <w:r w:rsidR="00132635" w:rsidRPr="002D21B6">
        <w:rPr>
          <w:rFonts w:ascii="Arial" w:hAnsi="Arial" w:cs="Arial"/>
          <w:sz w:val="24"/>
          <w:szCs w:val="24"/>
        </w:rPr>
        <w:t>ure</w:t>
      </w:r>
      <w:r w:rsidR="00CA7EF1" w:rsidRPr="002D21B6">
        <w:rPr>
          <w:rFonts w:ascii="Arial" w:hAnsi="Arial" w:cs="Arial"/>
          <w:sz w:val="24"/>
          <w:szCs w:val="24"/>
        </w:rPr>
        <w:t xml:space="preserve"> </w:t>
      </w:r>
      <w:r w:rsidR="00522A90" w:rsidRPr="002D21B6">
        <w:rPr>
          <w:rFonts w:ascii="Arial" w:hAnsi="Arial" w:cs="Arial"/>
          <w:sz w:val="24"/>
          <w:szCs w:val="24"/>
        </w:rPr>
        <w:t>3</w:t>
      </w:r>
      <w:r w:rsidR="00CA7EF1" w:rsidRPr="002D21B6">
        <w:rPr>
          <w:rFonts w:ascii="Arial" w:hAnsi="Arial" w:cs="Arial"/>
          <w:sz w:val="24"/>
          <w:szCs w:val="24"/>
        </w:rPr>
        <w:t xml:space="preserve">, we obtained </w:t>
      </w:r>
      <w:r w:rsidR="00475C6C" w:rsidRPr="002D21B6">
        <w:rPr>
          <w:rFonts w:ascii="Arial" w:hAnsi="Arial" w:cs="Arial"/>
          <w:sz w:val="24"/>
          <w:szCs w:val="24"/>
        </w:rPr>
        <w:t xml:space="preserve">data points </w:t>
      </w:r>
      <w:r w:rsidR="002D0A6F" w:rsidRPr="002D21B6">
        <w:rPr>
          <w:rFonts w:ascii="Arial" w:hAnsi="Arial" w:cs="Arial"/>
          <w:sz w:val="24"/>
          <w:szCs w:val="24"/>
        </w:rPr>
        <w:t xml:space="preserve">that fell within </w:t>
      </w:r>
      <w:r w:rsidR="00475C6C" w:rsidRPr="002D21B6">
        <w:rPr>
          <w:rFonts w:ascii="Arial" w:hAnsi="Arial" w:cs="Arial"/>
          <w:sz w:val="24"/>
          <w:szCs w:val="24"/>
        </w:rPr>
        <w:t>the range ±</w:t>
      </w:r>
      <w:r w:rsidR="004F21B9" w:rsidRPr="002D21B6">
        <w:rPr>
          <w:rFonts w:ascii="Arial" w:hAnsi="Arial" w:cs="Arial"/>
          <w:sz w:val="24"/>
          <w:szCs w:val="24"/>
        </w:rPr>
        <w:t xml:space="preserve"> 1.96</w:t>
      </w:r>
      <w:r w:rsidR="002D0A6F" w:rsidRPr="002D21B6">
        <w:rPr>
          <w:rFonts w:ascii="Arial" w:hAnsi="Arial" w:cs="Arial"/>
          <w:sz w:val="24"/>
          <w:szCs w:val="24"/>
        </w:rPr>
        <w:t xml:space="preserve"> </w:t>
      </w:r>
      <w:r w:rsidR="004F21B9" w:rsidRPr="002D21B6">
        <w:rPr>
          <w:rFonts w:ascii="Arial" w:hAnsi="Arial" w:cs="Arial"/>
          <w:sz w:val="24"/>
          <w:szCs w:val="24"/>
        </w:rPr>
        <w:t>SD</w:t>
      </w:r>
      <w:r w:rsidR="008425A2" w:rsidRPr="002D21B6">
        <w:rPr>
          <w:rFonts w:ascii="Arial" w:hAnsi="Arial" w:cs="Arial"/>
          <w:sz w:val="24"/>
          <w:szCs w:val="24"/>
        </w:rPr>
        <w:t xml:space="preserve"> (confidence interval</w:t>
      </w:r>
      <w:r w:rsidR="002D0A6F" w:rsidRPr="002D21B6">
        <w:rPr>
          <w:rFonts w:ascii="Arial" w:hAnsi="Arial" w:cs="Arial"/>
          <w:sz w:val="24"/>
          <w:szCs w:val="24"/>
        </w:rPr>
        <w:t xml:space="preserve"> 95%)</w:t>
      </w:r>
      <w:r w:rsidR="004F21B9" w:rsidRPr="002D21B6">
        <w:rPr>
          <w:rFonts w:ascii="Arial" w:hAnsi="Arial" w:cs="Arial"/>
          <w:sz w:val="24"/>
          <w:szCs w:val="24"/>
        </w:rPr>
        <w:t xml:space="preserve">, with no observable </w:t>
      </w:r>
      <w:r w:rsidR="002D0A6F" w:rsidRPr="002D21B6">
        <w:rPr>
          <w:rFonts w:ascii="Arial" w:hAnsi="Arial" w:cs="Arial"/>
          <w:sz w:val="24"/>
          <w:szCs w:val="24"/>
        </w:rPr>
        <w:t>trends</w:t>
      </w:r>
      <w:r w:rsidR="00350E25" w:rsidRPr="002D21B6">
        <w:rPr>
          <w:rFonts w:ascii="Arial" w:hAnsi="Arial" w:cs="Arial"/>
          <w:sz w:val="24"/>
          <w:szCs w:val="24"/>
        </w:rPr>
        <w:t xml:space="preserve">, suggesting that </w:t>
      </w:r>
      <w:r w:rsidR="002D0A6F" w:rsidRPr="002D21B6">
        <w:rPr>
          <w:rFonts w:ascii="Arial" w:hAnsi="Arial" w:cs="Arial"/>
          <w:sz w:val="24"/>
          <w:szCs w:val="24"/>
        </w:rPr>
        <w:t>the two methods are in agreement</w:t>
      </w:r>
      <w:r w:rsidR="00497979" w:rsidRPr="002D21B6">
        <w:rPr>
          <w:rFonts w:ascii="Arial" w:hAnsi="Arial" w:cs="Arial"/>
          <w:sz w:val="24"/>
          <w:szCs w:val="24"/>
        </w:rPr>
        <w:t xml:space="preserve">, </w:t>
      </w:r>
      <w:r w:rsidR="008425A2" w:rsidRPr="002D21B6">
        <w:rPr>
          <w:rFonts w:ascii="Arial" w:hAnsi="Arial" w:cs="Arial"/>
          <w:sz w:val="24"/>
          <w:szCs w:val="24"/>
        </w:rPr>
        <w:t xml:space="preserve">thus </w:t>
      </w:r>
      <w:r w:rsidR="00497979" w:rsidRPr="002D21B6">
        <w:rPr>
          <w:rFonts w:ascii="Arial" w:hAnsi="Arial" w:cs="Arial"/>
          <w:sz w:val="24"/>
          <w:szCs w:val="24"/>
        </w:rPr>
        <w:t>demonstrating the adequate purity of the entire virus-based coating system</w:t>
      </w:r>
      <w:r w:rsidR="007F7654" w:rsidRPr="002D21B6">
        <w:rPr>
          <w:rFonts w:ascii="Arial" w:hAnsi="Arial" w:cs="Arial"/>
          <w:sz w:val="24"/>
          <w:szCs w:val="24"/>
        </w:rPr>
        <w:t xml:space="preserve"> used in the ‘target‘ assay</w:t>
      </w:r>
      <w:r w:rsidR="00497979" w:rsidRPr="002D21B6">
        <w:rPr>
          <w:rFonts w:ascii="Arial" w:hAnsi="Arial" w:cs="Arial"/>
          <w:sz w:val="24"/>
          <w:szCs w:val="24"/>
        </w:rPr>
        <w:t>.</w:t>
      </w:r>
    </w:p>
    <w:p w:rsidR="00321F94" w:rsidRPr="002D21B6" w:rsidRDefault="00321F94" w:rsidP="00D8050B">
      <w:pPr>
        <w:tabs>
          <w:tab w:val="left" w:pos="322"/>
        </w:tabs>
        <w:spacing w:line="480" w:lineRule="auto"/>
        <w:rPr>
          <w:rFonts w:ascii="Arial" w:hAnsi="Arial" w:cs="Arial"/>
          <w:sz w:val="24"/>
          <w:szCs w:val="24"/>
        </w:rPr>
      </w:pPr>
    </w:p>
    <w:p w:rsidR="00E3765C" w:rsidRPr="002D21B6" w:rsidRDefault="0039585A" w:rsidP="00C2139D">
      <w:pPr>
        <w:spacing w:line="480" w:lineRule="auto"/>
        <w:rPr>
          <w:rFonts w:ascii="Arial" w:hAnsi="Arial" w:cs="Arial"/>
          <w:i/>
          <w:sz w:val="24"/>
          <w:szCs w:val="24"/>
        </w:rPr>
      </w:pPr>
      <w:r w:rsidRPr="002D21B6">
        <w:rPr>
          <w:rFonts w:ascii="Arial" w:hAnsi="Arial" w:cs="Arial"/>
          <w:i/>
          <w:sz w:val="24"/>
          <w:szCs w:val="24"/>
        </w:rPr>
        <w:t>Cut-off</w:t>
      </w:r>
      <w:r w:rsidR="00782C29" w:rsidRPr="002D21B6">
        <w:rPr>
          <w:rFonts w:ascii="Arial" w:hAnsi="Arial" w:cs="Arial"/>
          <w:i/>
          <w:sz w:val="24"/>
          <w:szCs w:val="24"/>
        </w:rPr>
        <w:t xml:space="preserve"> determination and assay precision</w:t>
      </w:r>
    </w:p>
    <w:p w:rsidR="004D14F1" w:rsidRDefault="006138B6" w:rsidP="00040F6A">
      <w:pPr>
        <w:spacing w:line="480" w:lineRule="auto"/>
        <w:rPr>
          <w:rFonts w:ascii="Arial" w:hAnsi="Arial" w:cs="Arial"/>
          <w:sz w:val="24"/>
          <w:szCs w:val="24"/>
        </w:rPr>
      </w:pPr>
      <w:r w:rsidRPr="002D21B6">
        <w:rPr>
          <w:rFonts w:ascii="Arial" w:hAnsi="Arial" w:cs="Arial"/>
          <w:sz w:val="24"/>
          <w:szCs w:val="24"/>
        </w:rPr>
        <w:t xml:space="preserve">Cohen’s kappa analysis was performed; plate-to-plate κ statistics (using tests described in the </w:t>
      </w:r>
      <w:r w:rsidRPr="00351940">
        <w:rPr>
          <w:rFonts w:ascii="Arial" w:hAnsi="Arial" w:cs="Arial"/>
          <w:sz w:val="24"/>
          <w:szCs w:val="24"/>
        </w:rPr>
        <w:t>Materials and methods</w:t>
      </w:r>
      <w:r w:rsidRPr="002D21B6">
        <w:rPr>
          <w:rFonts w:ascii="Arial" w:hAnsi="Arial" w:cs="Arial"/>
          <w:i/>
          <w:sz w:val="24"/>
          <w:szCs w:val="24"/>
        </w:rPr>
        <w:t xml:space="preserve"> </w:t>
      </w:r>
      <w:r w:rsidRPr="002D21B6">
        <w:rPr>
          <w:rFonts w:ascii="Arial" w:hAnsi="Arial" w:cs="Arial"/>
          <w:sz w:val="24"/>
          <w:szCs w:val="24"/>
        </w:rPr>
        <w:t xml:space="preserve">section) gave </w:t>
      </w:r>
      <w:r w:rsidR="000F0014" w:rsidRPr="00575BFB">
        <w:rPr>
          <w:rFonts w:ascii="Arial" w:hAnsi="Arial" w:cs="Arial"/>
          <w:sz w:val="24"/>
          <w:szCs w:val="24"/>
        </w:rPr>
        <w:t>‘</w:t>
      </w:r>
      <w:r w:rsidR="007A321E" w:rsidRPr="00575BFB">
        <w:rPr>
          <w:rFonts w:ascii="Arial" w:hAnsi="Arial" w:cs="Arial"/>
          <w:sz w:val="24"/>
          <w:szCs w:val="24"/>
        </w:rPr>
        <w:t>substantial</w:t>
      </w:r>
      <w:r w:rsidR="000F0014" w:rsidRPr="00575BFB">
        <w:rPr>
          <w:rFonts w:ascii="Arial" w:hAnsi="Arial" w:cs="Arial"/>
          <w:sz w:val="24"/>
          <w:szCs w:val="24"/>
        </w:rPr>
        <w:t>’</w:t>
      </w:r>
      <w:r w:rsidR="007A321E" w:rsidRPr="002D21B6">
        <w:rPr>
          <w:rFonts w:ascii="Arial" w:hAnsi="Arial" w:cs="Arial"/>
          <w:sz w:val="24"/>
          <w:szCs w:val="24"/>
        </w:rPr>
        <w:t xml:space="preserve"> to </w:t>
      </w:r>
      <w:r w:rsidR="000F0014" w:rsidRPr="00575BFB">
        <w:rPr>
          <w:rFonts w:ascii="Arial" w:hAnsi="Arial" w:cs="Arial"/>
          <w:sz w:val="24"/>
          <w:szCs w:val="24"/>
        </w:rPr>
        <w:t>‘</w:t>
      </w:r>
      <w:r w:rsidR="007A321E" w:rsidRPr="00575BFB">
        <w:rPr>
          <w:rFonts w:ascii="Arial" w:hAnsi="Arial" w:cs="Arial"/>
          <w:sz w:val="24"/>
          <w:szCs w:val="24"/>
        </w:rPr>
        <w:t>near perfect</w:t>
      </w:r>
      <w:r w:rsidR="000F0014" w:rsidRPr="00575BFB">
        <w:rPr>
          <w:rFonts w:ascii="Arial" w:hAnsi="Arial" w:cs="Arial"/>
          <w:sz w:val="24"/>
          <w:szCs w:val="24"/>
        </w:rPr>
        <w:t>’</w:t>
      </w:r>
      <w:r w:rsidR="007A321E" w:rsidRPr="00575BFB">
        <w:rPr>
          <w:rFonts w:ascii="Arial" w:hAnsi="Arial" w:cs="Arial"/>
          <w:sz w:val="24"/>
          <w:szCs w:val="24"/>
        </w:rPr>
        <w:t xml:space="preserve"> </w:t>
      </w:r>
      <w:r w:rsidR="007A321E" w:rsidRPr="002D21B6">
        <w:rPr>
          <w:rFonts w:ascii="Arial" w:hAnsi="Arial" w:cs="Arial"/>
          <w:sz w:val="24"/>
          <w:szCs w:val="24"/>
        </w:rPr>
        <w:t>agreement</w:t>
      </w:r>
      <w:r w:rsidRPr="002D21B6">
        <w:rPr>
          <w:rFonts w:ascii="Arial" w:hAnsi="Arial" w:cs="Arial"/>
          <w:sz w:val="24"/>
          <w:szCs w:val="24"/>
        </w:rPr>
        <w:t xml:space="preserve">; 0.64 ≤ κ ≤ 0.92 (Figure 4). </w:t>
      </w:r>
      <w:r w:rsidR="007A321E" w:rsidRPr="002D21B6">
        <w:rPr>
          <w:rFonts w:ascii="Arial" w:hAnsi="Arial" w:cs="Arial"/>
          <w:sz w:val="24"/>
          <w:szCs w:val="24"/>
        </w:rPr>
        <w:t>AUROC Areas were ≥ 0.92, for all three antigens (Suppl. Fig.</w:t>
      </w:r>
      <w:r w:rsidR="007A321E" w:rsidRPr="002D21B6">
        <w:t xml:space="preserve"> </w:t>
      </w:r>
      <w:r w:rsidR="007A321E" w:rsidRPr="002D21B6">
        <w:rPr>
          <w:rFonts w:ascii="Arial" w:hAnsi="Arial" w:cs="Arial"/>
          <w:sz w:val="24"/>
          <w:szCs w:val="24"/>
        </w:rPr>
        <w:t>S4).</w:t>
      </w:r>
      <w:r w:rsidR="00B13697">
        <w:rPr>
          <w:rFonts w:ascii="Arial" w:hAnsi="Arial" w:cs="Arial"/>
          <w:sz w:val="24"/>
          <w:szCs w:val="24"/>
        </w:rPr>
        <w:t xml:space="preserve"> </w:t>
      </w:r>
      <w:r w:rsidR="000D734F" w:rsidRPr="002D21B6">
        <w:rPr>
          <w:rFonts w:ascii="Arial" w:hAnsi="Arial" w:cs="Arial"/>
          <w:sz w:val="24"/>
          <w:szCs w:val="24"/>
        </w:rPr>
        <w:t>Based on the AUROC analysis, w</w:t>
      </w:r>
      <w:r w:rsidR="007A321E" w:rsidRPr="002D21B6">
        <w:rPr>
          <w:rFonts w:ascii="Arial" w:hAnsi="Arial" w:cs="Arial"/>
          <w:sz w:val="24"/>
          <w:szCs w:val="24"/>
        </w:rPr>
        <w:t xml:space="preserve">ith the help of </w:t>
      </w:r>
      <w:proofErr w:type="spellStart"/>
      <w:r w:rsidR="007A321E" w:rsidRPr="002D21B6">
        <w:rPr>
          <w:rFonts w:ascii="Arial" w:hAnsi="Arial" w:cs="Arial"/>
          <w:sz w:val="24"/>
          <w:szCs w:val="24"/>
        </w:rPr>
        <w:t>Youden’s</w:t>
      </w:r>
      <w:proofErr w:type="spellEnd"/>
      <w:r w:rsidR="007A321E" w:rsidRPr="002D21B6">
        <w:rPr>
          <w:rFonts w:ascii="Arial" w:hAnsi="Arial" w:cs="Arial"/>
          <w:sz w:val="24"/>
          <w:szCs w:val="24"/>
        </w:rPr>
        <w:t xml:space="preserve"> equation</w:t>
      </w:r>
      <w:r w:rsidR="00F85FC4">
        <w:rPr>
          <w:rFonts w:ascii="Arial" w:hAnsi="Arial" w:cs="Arial"/>
          <w:sz w:val="24"/>
          <w:szCs w:val="24"/>
        </w:rPr>
        <w:t>,</w:t>
      </w:r>
      <w:r w:rsidR="007A321E" w:rsidRPr="002D21B6">
        <w:rPr>
          <w:rFonts w:ascii="Arial" w:hAnsi="Arial" w:cs="Arial"/>
          <w:sz w:val="24"/>
          <w:szCs w:val="24"/>
        </w:rPr>
        <w:t xml:space="preserve"> the following sensitivity-specificity </w:t>
      </w:r>
      <w:r w:rsidR="00D609C4" w:rsidRPr="002D21B6">
        <w:rPr>
          <w:rFonts w:ascii="Arial" w:hAnsi="Arial" w:cs="Arial"/>
          <w:sz w:val="24"/>
          <w:szCs w:val="24"/>
        </w:rPr>
        <w:t>pairs were selected 0.</w:t>
      </w:r>
      <w:r w:rsidR="007A321E" w:rsidRPr="002D21B6">
        <w:rPr>
          <w:rFonts w:ascii="Arial" w:hAnsi="Arial" w:cs="Arial"/>
          <w:sz w:val="24"/>
          <w:szCs w:val="24"/>
        </w:rPr>
        <w:t xml:space="preserve">985 </w:t>
      </w:r>
      <w:r w:rsidR="00D609C4" w:rsidRPr="002D21B6">
        <w:rPr>
          <w:rFonts w:ascii="Arial" w:hAnsi="Arial" w:cs="Arial"/>
          <w:sz w:val="24"/>
          <w:szCs w:val="24"/>
        </w:rPr>
        <w:t>–</w:t>
      </w:r>
      <w:r w:rsidR="007A321E" w:rsidRPr="002D21B6">
        <w:rPr>
          <w:rFonts w:ascii="Arial" w:hAnsi="Arial" w:cs="Arial"/>
          <w:sz w:val="24"/>
          <w:szCs w:val="24"/>
        </w:rPr>
        <w:t xml:space="preserve"> 0.975, 0.935 – 0.911, 0.989</w:t>
      </w:r>
      <w:r w:rsidR="00D609C4" w:rsidRPr="002D21B6">
        <w:rPr>
          <w:rFonts w:ascii="Arial" w:hAnsi="Arial" w:cs="Arial"/>
          <w:sz w:val="24"/>
          <w:szCs w:val="24"/>
        </w:rPr>
        <w:t xml:space="preserve"> – </w:t>
      </w:r>
      <w:r w:rsidR="007A321E" w:rsidRPr="002D21B6">
        <w:rPr>
          <w:rFonts w:ascii="Arial" w:hAnsi="Arial" w:cs="Arial"/>
          <w:sz w:val="24"/>
          <w:szCs w:val="24"/>
        </w:rPr>
        <w:t>0.946</w:t>
      </w:r>
      <w:r w:rsidR="00447E71" w:rsidRPr="002D21B6">
        <w:rPr>
          <w:rFonts w:ascii="Arial" w:hAnsi="Arial" w:cs="Arial"/>
          <w:sz w:val="24"/>
          <w:szCs w:val="24"/>
        </w:rPr>
        <w:t xml:space="preserve"> </w:t>
      </w:r>
      <w:r w:rsidR="007A321E" w:rsidRPr="002D21B6">
        <w:rPr>
          <w:rFonts w:ascii="Arial" w:hAnsi="Arial" w:cs="Arial"/>
          <w:sz w:val="24"/>
          <w:szCs w:val="24"/>
        </w:rPr>
        <w:t>for measles, mumps and rubella, respectively</w:t>
      </w:r>
      <w:r w:rsidR="00AE796C" w:rsidRPr="002D21B6">
        <w:rPr>
          <w:rFonts w:ascii="Arial" w:hAnsi="Arial" w:cs="Arial"/>
          <w:sz w:val="24"/>
          <w:szCs w:val="24"/>
        </w:rPr>
        <w:t>.</w:t>
      </w:r>
      <w:r w:rsidR="000F0014" w:rsidRPr="002D21B6">
        <w:rPr>
          <w:rFonts w:ascii="Arial" w:hAnsi="Arial" w:cs="Arial"/>
          <w:sz w:val="24"/>
          <w:szCs w:val="24"/>
        </w:rPr>
        <w:t xml:space="preserve"> </w:t>
      </w:r>
      <w:r w:rsidR="001D2894" w:rsidRPr="002D21B6">
        <w:rPr>
          <w:rFonts w:ascii="Arial" w:hAnsi="Arial" w:cs="Arial"/>
          <w:sz w:val="24"/>
          <w:szCs w:val="24"/>
        </w:rPr>
        <w:t>According to</w:t>
      </w:r>
      <w:r w:rsidR="000F0014" w:rsidRPr="002D21B6">
        <w:rPr>
          <w:rFonts w:ascii="Arial" w:hAnsi="Arial" w:cs="Arial"/>
          <w:sz w:val="24"/>
          <w:szCs w:val="24"/>
        </w:rPr>
        <w:t xml:space="preserve"> the</w:t>
      </w:r>
      <w:r w:rsidR="001D2894" w:rsidRPr="002D21B6">
        <w:rPr>
          <w:rFonts w:ascii="Arial" w:hAnsi="Arial" w:cs="Arial"/>
          <w:sz w:val="24"/>
          <w:szCs w:val="24"/>
        </w:rPr>
        <w:t xml:space="preserve"> ‘experimental</w:t>
      </w:r>
      <w:r w:rsidR="000F0014" w:rsidRPr="002D21B6">
        <w:rPr>
          <w:rFonts w:ascii="Arial" w:hAnsi="Arial" w:cs="Arial"/>
          <w:sz w:val="24"/>
          <w:szCs w:val="24"/>
        </w:rPr>
        <w:t xml:space="preserve"> approach</w:t>
      </w:r>
      <w:r w:rsidR="001D2894" w:rsidRPr="002D21B6">
        <w:rPr>
          <w:rFonts w:ascii="Arial" w:hAnsi="Arial" w:cs="Arial"/>
          <w:sz w:val="24"/>
          <w:szCs w:val="24"/>
        </w:rPr>
        <w:t>’</w:t>
      </w:r>
      <w:r w:rsidR="000F0014" w:rsidRPr="002D21B6">
        <w:rPr>
          <w:rFonts w:ascii="Arial" w:hAnsi="Arial" w:cs="Arial"/>
          <w:sz w:val="24"/>
          <w:szCs w:val="24"/>
        </w:rPr>
        <w:t>,</w:t>
      </w:r>
      <w:r w:rsidR="00404211" w:rsidRPr="002D21B6">
        <w:rPr>
          <w:rFonts w:ascii="Arial" w:hAnsi="Arial" w:cs="Arial"/>
          <w:sz w:val="24"/>
          <w:szCs w:val="24"/>
        </w:rPr>
        <w:t xml:space="preserve"> cut-off values </w:t>
      </w:r>
      <w:r w:rsidR="000F0014" w:rsidRPr="002D21B6">
        <w:rPr>
          <w:rFonts w:ascii="Arial" w:hAnsi="Arial" w:cs="Arial"/>
          <w:sz w:val="24"/>
          <w:szCs w:val="24"/>
        </w:rPr>
        <w:t xml:space="preserve">were </w:t>
      </w:r>
      <w:r w:rsidR="00404211" w:rsidRPr="002D21B6">
        <w:rPr>
          <w:rFonts w:ascii="Arial" w:hAnsi="Arial" w:cs="Arial"/>
          <w:sz w:val="24"/>
          <w:szCs w:val="24"/>
        </w:rPr>
        <w:t xml:space="preserve">set for all antigen types </w:t>
      </w:r>
      <w:r w:rsidR="0035281A" w:rsidRPr="002D21B6">
        <w:rPr>
          <w:rFonts w:ascii="Arial" w:hAnsi="Arial" w:cs="Arial"/>
          <w:sz w:val="24"/>
          <w:szCs w:val="24"/>
        </w:rPr>
        <w:t xml:space="preserve">(measles, mumps, rubella) </w:t>
      </w:r>
      <w:r w:rsidR="00404211" w:rsidRPr="002D21B6">
        <w:rPr>
          <w:rFonts w:ascii="Arial" w:hAnsi="Arial" w:cs="Arial"/>
          <w:sz w:val="24"/>
          <w:szCs w:val="24"/>
        </w:rPr>
        <w:t xml:space="preserve">based on </w:t>
      </w:r>
      <w:r w:rsidR="000D734F" w:rsidRPr="002D21B6">
        <w:rPr>
          <w:rFonts w:ascii="Arial" w:hAnsi="Arial" w:cs="Arial"/>
          <w:sz w:val="24"/>
          <w:szCs w:val="24"/>
        </w:rPr>
        <w:t xml:space="preserve">mean </w:t>
      </w:r>
      <w:r w:rsidR="00A751A9" w:rsidRPr="002D21B6">
        <w:rPr>
          <w:rFonts w:ascii="Arial" w:hAnsi="Arial" w:cs="Arial"/>
          <w:sz w:val="24"/>
          <w:szCs w:val="24"/>
        </w:rPr>
        <w:lastRenderedPageBreak/>
        <w:t xml:space="preserve">observed OD values </w:t>
      </w:r>
      <w:r w:rsidR="00404211" w:rsidRPr="002D21B6">
        <w:rPr>
          <w:rFonts w:ascii="Arial" w:hAnsi="Arial" w:cs="Arial"/>
          <w:sz w:val="24"/>
          <w:szCs w:val="24"/>
        </w:rPr>
        <w:t>belonging to</w:t>
      </w:r>
      <w:r w:rsidR="000F0014" w:rsidRPr="002D21B6">
        <w:rPr>
          <w:rFonts w:ascii="Arial" w:hAnsi="Arial" w:cs="Arial"/>
          <w:sz w:val="24"/>
          <w:szCs w:val="24"/>
        </w:rPr>
        <w:t xml:space="preserve"> </w:t>
      </w:r>
      <w:r w:rsidR="00404211" w:rsidRPr="002D21B6">
        <w:rPr>
          <w:rFonts w:ascii="Arial" w:hAnsi="Arial" w:cs="Arial"/>
          <w:sz w:val="24"/>
          <w:szCs w:val="24"/>
        </w:rPr>
        <w:t>diagnostically</w:t>
      </w:r>
      <w:r w:rsidR="000F0014" w:rsidRPr="002D21B6">
        <w:rPr>
          <w:rFonts w:ascii="Arial" w:hAnsi="Arial" w:cs="Arial"/>
          <w:sz w:val="24"/>
          <w:szCs w:val="24"/>
        </w:rPr>
        <w:t xml:space="preserve"> </w:t>
      </w:r>
      <w:r w:rsidR="00404211" w:rsidRPr="002D21B6">
        <w:rPr>
          <w:rFonts w:ascii="Arial" w:hAnsi="Arial" w:cs="Arial"/>
          <w:sz w:val="24"/>
          <w:szCs w:val="24"/>
        </w:rPr>
        <w:t>seronegative samples</w:t>
      </w:r>
      <w:r w:rsidR="00A751A9" w:rsidRPr="002D21B6">
        <w:rPr>
          <w:rFonts w:ascii="Arial" w:hAnsi="Arial" w:cs="Arial"/>
          <w:sz w:val="24"/>
          <w:szCs w:val="24"/>
        </w:rPr>
        <w:t xml:space="preserve"> (</w:t>
      </w:r>
      <w:r w:rsidR="000D734F" w:rsidRPr="002D21B6">
        <w:rPr>
          <w:rFonts w:ascii="Arial" w:hAnsi="Arial" w:cs="Arial"/>
          <w:sz w:val="24"/>
          <w:szCs w:val="24"/>
        </w:rPr>
        <w:t>3x1</w:t>
      </w:r>
      <w:r w:rsidR="003C00D8">
        <w:rPr>
          <w:rFonts w:ascii="Arial" w:hAnsi="Arial" w:cs="Arial"/>
          <w:sz w:val="24"/>
          <w:szCs w:val="24"/>
        </w:rPr>
        <w:t>5</w:t>
      </w:r>
      <w:r w:rsidR="000D734F" w:rsidRPr="002D21B6">
        <w:rPr>
          <w:rFonts w:ascii="Arial" w:hAnsi="Arial" w:cs="Arial"/>
          <w:sz w:val="24"/>
          <w:szCs w:val="24"/>
        </w:rPr>
        <w:t xml:space="preserve"> samples,  </w:t>
      </w:r>
      <w:r w:rsidR="00A751A9" w:rsidRPr="002D21B6">
        <w:rPr>
          <w:rFonts w:ascii="Arial" w:hAnsi="Arial" w:cs="Arial"/>
          <w:sz w:val="24"/>
          <w:szCs w:val="24"/>
        </w:rPr>
        <w:t xml:space="preserve">OD </w:t>
      </w:r>
      <w:r w:rsidR="00A751A9" w:rsidRPr="002D21B6">
        <w:rPr>
          <w:rFonts w:ascii="Arial" w:hAnsi="Arial" w:cs="Arial"/>
          <w:sz w:val="24"/>
          <w:szCs w:val="24"/>
          <w:vertAlign w:val="subscript"/>
        </w:rPr>
        <w:t>negative sample</w:t>
      </w:r>
      <w:r w:rsidR="00A751A9" w:rsidRPr="002D21B6">
        <w:rPr>
          <w:rFonts w:ascii="Arial" w:hAnsi="Arial" w:cs="Arial"/>
          <w:sz w:val="24"/>
          <w:szCs w:val="24"/>
        </w:rPr>
        <w:t xml:space="preserve">  ≤ 0.28, 0.3</w:t>
      </w:r>
      <w:r w:rsidR="000F0014" w:rsidRPr="002D21B6">
        <w:rPr>
          <w:rFonts w:ascii="Arial" w:hAnsi="Arial" w:cs="Arial"/>
          <w:sz w:val="24"/>
          <w:szCs w:val="24"/>
        </w:rPr>
        <w:t>7</w:t>
      </w:r>
      <w:r w:rsidR="00A751A9" w:rsidRPr="002D21B6">
        <w:rPr>
          <w:rFonts w:ascii="Arial" w:hAnsi="Arial" w:cs="Arial"/>
          <w:sz w:val="24"/>
          <w:szCs w:val="24"/>
        </w:rPr>
        <w:t>, 0.3</w:t>
      </w:r>
      <w:r w:rsidR="000F0014" w:rsidRPr="002D21B6">
        <w:rPr>
          <w:rFonts w:ascii="Arial" w:hAnsi="Arial" w:cs="Arial"/>
          <w:sz w:val="24"/>
          <w:szCs w:val="24"/>
        </w:rPr>
        <w:t>4</w:t>
      </w:r>
      <w:r w:rsidR="00A751A9" w:rsidRPr="002D21B6">
        <w:rPr>
          <w:rFonts w:ascii="Arial" w:hAnsi="Arial" w:cs="Arial"/>
          <w:sz w:val="24"/>
          <w:szCs w:val="24"/>
        </w:rPr>
        <w:t xml:space="preserve"> for measles, mu</w:t>
      </w:r>
      <w:r w:rsidR="00E92E72" w:rsidRPr="002D21B6">
        <w:rPr>
          <w:rFonts w:ascii="Arial" w:hAnsi="Arial" w:cs="Arial"/>
          <w:sz w:val="24"/>
          <w:szCs w:val="24"/>
        </w:rPr>
        <w:t>mps</w:t>
      </w:r>
      <w:r w:rsidR="00F53471" w:rsidRPr="002D21B6">
        <w:rPr>
          <w:rFonts w:ascii="Arial" w:hAnsi="Arial" w:cs="Arial"/>
          <w:sz w:val="24"/>
          <w:szCs w:val="24"/>
        </w:rPr>
        <w:t xml:space="preserve">, and rubella, respectively; </w:t>
      </w:r>
      <w:r w:rsidR="00E92E72" w:rsidRPr="002D21B6">
        <w:rPr>
          <w:rFonts w:ascii="Arial" w:hAnsi="Arial" w:cs="Arial"/>
          <w:sz w:val="24"/>
          <w:szCs w:val="24"/>
        </w:rPr>
        <w:t>data not shown</w:t>
      </w:r>
      <w:r w:rsidR="00A751A9" w:rsidRPr="002D21B6">
        <w:rPr>
          <w:rFonts w:ascii="Arial" w:hAnsi="Arial" w:cs="Arial"/>
          <w:sz w:val="24"/>
          <w:szCs w:val="24"/>
        </w:rPr>
        <w:t>)</w:t>
      </w:r>
      <w:r w:rsidR="001D2894" w:rsidRPr="002D21B6">
        <w:rPr>
          <w:rFonts w:ascii="Arial" w:hAnsi="Arial" w:cs="Arial"/>
          <w:sz w:val="24"/>
          <w:szCs w:val="24"/>
        </w:rPr>
        <w:t>.</w:t>
      </w:r>
      <w:r w:rsidR="00404211" w:rsidRPr="002D21B6">
        <w:rPr>
          <w:rFonts w:ascii="Arial" w:hAnsi="Arial" w:cs="Arial"/>
          <w:sz w:val="24"/>
          <w:szCs w:val="24"/>
        </w:rPr>
        <w:t xml:space="preserve"> </w:t>
      </w:r>
      <w:r w:rsidR="001D2894" w:rsidRPr="002D21B6">
        <w:rPr>
          <w:rFonts w:ascii="Arial" w:hAnsi="Arial" w:cs="Arial"/>
          <w:sz w:val="24"/>
          <w:szCs w:val="24"/>
        </w:rPr>
        <w:t xml:space="preserve">Cut-off values </w:t>
      </w:r>
      <w:r w:rsidR="00F27ED2" w:rsidRPr="002D21B6">
        <w:rPr>
          <w:rFonts w:ascii="Arial" w:hAnsi="Arial" w:cs="Arial"/>
          <w:sz w:val="24"/>
          <w:szCs w:val="24"/>
        </w:rPr>
        <w:t>calculated</w:t>
      </w:r>
      <w:r w:rsidR="001D2894" w:rsidRPr="002D21B6">
        <w:rPr>
          <w:rFonts w:ascii="Arial" w:hAnsi="Arial" w:cs="Arial"/>
          <w:sz w:val="24"/>
          <w:szCs w:val="24"/>
        </w:rPr>
        <w:t xml:space="preserve"> </w:t>
      </w:r>
      <w:r w:rsidR="00F53471" w:rsidRPr="002D21B6">
        <w:rPr>
          <w:rFonts w:ascii="Arial" w:hAnsi="Arial" w:cs="Arial"/>
          <w:sz w:val="24"/>
          <w:szCs w:val="24"/>
        </w:rPr>
        <w:t xml:space="preserve">based </w:t>
      </w:r>
      <w:r w:rsidR="001D2894" w:rsidRPr="002D21B6">
        <w:rPr>
          <w:rFonts w:ascii="Arial" w:hAnsi="Arial" w:cs="Arial"/>
          <w:sz w:val="24"/>
          <w:szCs w:val="24"/>
        </w:rPr>
        <w:t xml:space="preserve">on empirical </w:t>
      </w:r>
      <w:r w:rsidR="00F53471" w:rsidRPr="002D21B6">
        <w:rPr>
          <w:rFonts w:ascii="Arial" w:hAnsi="Arial" w:cs="Arial"/>
          <w:sz w:val="24"/>
          <w:szCs w:val="24"/>
        </w:rPr>
        <w:t xml:space="preserve">results </w:t>
      </w:r>
      <w:r w:rsidR="001D2894" w:rsidRPr="002D21B6">
        <w:rPr>
          <w:rFonts w:ascii="Arial" w:hAnsi="Arial" w:cs="Arial"/>
          <w:sz w:val="24"/>
          <w:szCs w:val="24"/>
        </w:rPr>
        <w:t xml:space="preserve">were concordant with the </w:t>
      </w:r>
      <w:r w:rsidR="00404211" w:rsidRPr="002D21B6">
        <w:rPr>
          <w:rFonts w:ascii="Arial" w:hAnsi="Arial" w:cs="Arial"/>
          <w:sz w:val="24"/>
          <w:szCs w:val="24"/>
        </w:rPr>
        <w:t>statist</w:t>
      </w:r>
      <w:r w:rsidR="001D2894" w:rsidRPr="002D21B6">
        <w:rPr>
          <w:rFonts w:ascii="Arial" w:hAnsi="Arial" w:cs="Arial"/>
          <w:sz w:val="24"/>
          <w:szCs w:val="24"/>
        </w:rPr>
        <w:t xml:space="preserve">ically computed values. </w:t>
      </w:r>
      <w:r w:rsidR="009E0C4B" w:rsidRPr="002D21B6">
        <w:rPr>
          <w:rFonts w:ascii="Arial" w:hAnsi="Arial" w:cs="Arial"/>
          <w:sz w:val="24"/>
          <w:szCs w:val="24"/>
        </w:rPr>
        <w:t xml:space="preserve">Typical dose-response curves obtained for measles, mumps and rubella standards are shown in </w:t>
      </w:r>
      <w:r w:rsidR="00D456AA" w:rsidRPr="002D21B6">
        <w:rPr>
          <w:rFonts w:ascii="Arial" w:hAnsi="Arial" w:cs="Arial"/>
          <w:sz w:val="24"/>
          <w:szCs w:val="24"/>
        </w:rPr>
        <w:t>Figure 5. Analytical values</w:t>
      </w:r>
      <w:r w:rsidR="00F53471" w:rsidRPr="002D21B6">
        <w:rPr>
          <w:rFonts w:ascii="Arial" w:hAnsi="Arial" w:cs="Arial"/>
          <w:sz w:val="24"/>
          <w:szCs w:val="24"/>
        </w:rPr>
        <w:t>,</w:t>
      </w:r>
      <w:r w:rsidR="00D456AA" w:rsidRPr="002D21B6">
        <w:rPr>
          <w:rFonts w:ascii="Arial" w:hAnsi="Arial" w:cs="Arial"/>
          <w:sz w:val="24"/>
          <w:szCs w:val="24"/>
        </w:rPr>
        <w:t xml:space="preserve"> such as lower limit of detection (LOD) and limit of quantification (LOQ) are also represented in Figure 5. </w:t>
      </w:r>
      <w:r w:rsidR="00D07E58" w:rsidRPr="002D21B6">
        <w:rPr>
          <w:rFonts w:ascii="Arial" w:hAnsi="Arial" w:cs="Arial"/>
          <w:sz w:val="24"/>
          <w:szCs w:val="24"/>
        </w:rPr>
        <w:t>Sensitivity, specificity, positive and negative predictive values</w:t>
      </w:r>
      <w:r w:rsidR="007D1A7F" w:rsidRPr="002D21B6">
        <w:rPr>
          <w:rFonts w:ascii="Arial" w:hAnsi="Arial" w:cs="Arial"/>
          <w:sz w:val="24"/>
          <w:szCs w:val="24"/>
        </w:rPr>
        <w:t xml:space="preserve"> are shown in Table 3. </w:t>
      </w:r>
      <w:r w:rsidR="00F53471" w:rsidRPr="002D21B6">
        <w:rPr>
          <w:rFonts w:ascii="Arial" w:hAnsi="Arial" w:cs="Arial"/>
          <w:sz w:val="24"/>
          <w:szCs w:val="24"/>
        </w:rPr>
        <w:t>We selected</w:t>
      </w:r>
      <w:r w:rsidR="00A04D21" w:rsidRPr="002D21B6">
        <w:rPr>
          <w:rFonts w:ascii="Arial" w:hAnsi="Arial" w:cs="Arial"/>
          <w:sz w:val="24"/>
          <w:szCs w:val="24"/>
        </w:rPr>
        <w:t xml:space="preserve"> </w:t>
      </w:r>
      <w:r w:rsidR="00FF044A" w:rsidRPr="002D21B6">
        <w:rPr>
          <w:rFonts w:ascii="Arial" w:hAnsi="Arial" w:cs="Arial"/>
          <w:sz w:val="24"/>
          <w:szCs w:val="24"/>
        </w:rPr>
        <w:t>random</w:t>
      </w:r>
      <w:r w:rsidR="0074413E" w:rsidRPr="002D21B6">
        <w:rPr>
          <w:rFonts w:ascii="Arial" w:hAnsi="Arial" w:cs="Arial"/>
          <w:sz w:val="24"/>
          <w:szCs w:val="24"/>
        </w:rPr>
        <w:t>ly chosen</w:t>
      </w:r>
      <w:r w:rsidR="00FF044A" w:rsidRPr="002D21B6">
        <w:rPr>
          <w:rFonts w:ascii="Arial" w:hAnsi="Arial" w:cs="Arial"/>
          <w:sz w:val="24"/>
          <w:szCs w:val="24"/>
        </w:rPr>
        <w:t xml:space="preserve"> negative</w:t>
      </w:r>
      <w:r w:rsidR="00A04D21" w:rsidRPr="002D21B6">
        <w:rPr>
          <w:rFonts w:ascii="Arial" w:hAnsi="Arial" w:cs="Arial"/>
          <w:sz w:val="24"/>
          <w:szCs w:val="24"/>
        </w:rPr>
        <w:t xml:space="preserve"> samples from</w:t>
      </w:r>
      <w:r w:rsidR="00FF044A" w:rsidRPr="002D21B6">
        <w:rPr>
          <w:rFonts w:ascii="Arial" w:hAnsi="Arial" w:cs="Arial"/>
          <w:sz w:val="24"/>
          <w:szCs w:val="24"/>
        </w:rPr>
        <w:t xml:space="preserve"> the</w:t>
      </w:r>
      <w:r w:rsidR="00A04D21" w:rsidRPr="002D21B6">
        <w:rPr>
          <w:rFonts w:ascii="Arial" w:hAnsi="Arial" w:cs="Arial"/>
          <w:sz w:val="24"/>
          <w:szCs w:val="24"/>
        </w:rPr>
        <w:t xml:space="preserve"> </w:t>
      </w:r>
      <w:r w:rsidR="00C46A47" w:rsidRPr="002D21B6">
        <w:rPr>
          <w:rFonts w:ascii="Arial" w:hAnsi="Arial" w:cs="Arial"/>
          <w:sz w:val="24"/>
          <w:szCs w:val="24"/>
        </w:rPr>
        <w:t>measles, mumps, and</w:t>
      </w:r>
      <w:r w:rsidR="00FF044A" w:rsidRPr="002D21B6">
        <w:rPr>
          <w:rFonts w:ascii="Arial" w:hAnsi="Arial" w:cs="Arial"/>
          <w:sz w:val="24"/>
          <w:szCs w:val="24"/>
        </w:rPr>
        <w:t xml:space="preserve"> rubella </w:t>
      </w:r>
      <w:r w:rsidR="005A3A50" w:rsidRPr="002D21B6">
        <w:rPr>
          <w:rFonts w:ascii="Arial" w:hAnsi="Arial" w:cs="Arial"/>
          <w:sz w:val="24"/>
          <w:szCs w:val="24"/>
        </w:rPr>
        <w:t xml:space="preserve">groups </w:t>
      </w:r>
      <w:r w:rsidR="0074413E" w:rsidRPr="002D21B6">
        <w:rPr>
          <w:rFonts w:ascii="Arial" w:hAnsi="Arial" w:cs="Arial"/>
          <w:sz w:val="24"/>
          <w:szCs w:val="24"/>
        </w:rPr>
        <w:t xml:space="preserve">(30 each) </w:t>
      </w:r>
      <w:r w:rsidR="005A3A50" w:rsidRPr="002D21B6">
        <w:rPr>
          <w:rFonts w:ascii="Arial" w:hAnsi="Arial" w:cs="Arial"/>
          <w:sz w:val="24"/>
          <w:szCs w:val="24"/>
        </w:rPr>
        <w:t>that were verified using</w:t>
      </w:r>
      <w:r w:rsidR="00FF044A" w:rsidRPr="002D21B6">
        <w:rPr>
          <w:rFonts w:ascii="Arial" w:hAnsi="Arial" w:cs="Arial"/>
          <w:sz w:val="24"/>
          <w:szCs w:val="24"/>
        </w:rPr>
        <w:t xml:space="preserve"> indirect immunofluorescen</w:t>
      </w:r>
      <w:r w:rsidR="0074413E" w:rsidRPr="002D21B6">
        <w:rPr>
          <w:rFonts w:ascii="Arial" w:hAnsi="Arial" w:cs="Arial"/>
          <w:sz w:val="24"/>
          <w:szCs w:val="24"/>
        </w:rPr>
        <w:t xml:space="preserve">t microscopy. We found 93%, 90% and 96% </w:t>
      </w:r>
      <w:r w:rsidR="00FF044A" w:rsidRPr="002D21B6">
        <w:rPr>
          <w:rFonts w:ascii="Arial" w:hAnsi="Arial" w:cs="Arial"/>
          <w:sz w:val="24"/>
          <w:szCs w:val="24"/>
        </w:rPr>
        <w:t xml:space="preserve">correspondence </w:t>
      </w:r>
      <w:r w:rsidR="0074413E" w:rsidRPr="002D21B6">
        <w:rPr>
          <w:rFonts w:ascii="Arial" w:hAnsi="Arial" w:cs="Arial"/>
          <w:sz w:val="24"/>
          <w:szCs w:val="24"/>
        </w:rPr>
        <w:t xml:space="preserve">for measles, mumps and rubella, respectively </w:t>
      </w:r>
      <w:r w:rsidR="003558BF" w:rsidRPr="002D21B6">
        <w:rPr>
          <w:rFonts w:ascii="Arial" w:hAnsi="Arial" w:cs="Arial"/>
          <w:sz w:val="24"/>
          <w:szCs w:val="24"/>
        </w:rPr>
        <w:t>(data</w:t>
      </w:r>
      <w:r w:rsidR="00303D78" w:rsidRPr="002D21B6">
        <w:rPr>
          <w:rFonts w:ascii="Arial" w:hAnsi="Arial" w:cs="Arial"/>
          <w:sz w:val="24"/>
          <w:szCs w:val="24"/>
        </w:rPr>
        <w:t xml:space="preserve"> not shown)</w:t>
      </w:r>
      <w:r w:rsidR="00FF044A" w:rsidRPr="002D21B6">
        <w:rPr>
          <w:rFonts w:ascii="Arial" w:hAnsi="Arial" w:cs="Arial"/>
          <w:sz w:val="24"/>
          <w:szCs w:val="24"/>
        </w:rPr>
        <w:t>.</w:t>
      </w:r>
    </w:p>
    <w:p w:rsidR="0005648C" w:rsidRPr="002D21B6" w:rsidRDefault="0005648C" w:rsidP="00040F6A">
      <w:pPr>
        <w:spacing w:line="480" w:lineRule="auto"/>
        <w:rPr>
          <w:rFonts w:ascii="Arial" w:hAnsi="Arial" w:cs="Arial"/>
          <w:sz w:val="24"/>
          <w:szCs w:val="24"/>
        </w:rPr>
      </w:pPr>
    </w:p>
    <w:p w:rsidR="00100B62" w:rsidRPr="002D21B6" w:rsidRDefault="00100B62" w:rsidP="00100B62">
      <w:pPr>
        <w:spacing w:line="480" w:lineRule="auto"/>
        <w:rPr>
          <w:rFonts w:ascii="Arial" w:hAnsi="Arial" w:cs="Arial"/>
          <w:i/>
          <w:strike/>
          <w:sz w:val="24"/>
          <w:szCs w:val="24"/>
        </w:rPr>
      </w:pPr>
      <w:r w:rsidRPr="002D21B6">
        <w:rPr>
          <w:rFonts w:ascii="Arial" w:hAnsi="Arial" w:cs="Arial"/>
          <w:i/>
          <w:sz w:val="24"/>
          <w:szCs w:val="24"/>
        </w:rPr>
        <w:t>Assay characteristics</w:t>
      </w:r>
      <w:r w:rsidR="00AA0F4C" w:rsidRPr="002D21B6">
        <w:rPr>
          <w:rFonts w:ascii="Arial" w:hAnsi="Arial" w:cs="Arial"/>
          <w:i/>
          <w:sz w:val="24"/>
          <w:szCs w:val="24"/>
        </w:rPr>
        <w:t>: cost, ease, and time</w:t>
      </w:r>
      <w:r w:rsidRPr="002D21B6">
        <w:rPr>
          <w:rFonts w:ascii="Arial" w:hAnsi="Arial" w:cs="Arial"/>
          <w:i/>
          <w:sz w:val="24"/>
          <w:szCs w:val="24"/>
        </w:rPr>
        <w:t xml:space="preserve"> </w:t>
      </w:r>
      <w:r w:rsidR="00F15E2B" w:rsidRPr="002D21B6">
        <w:rPr>
          <w:rFonts w:ascii="Arial" w:hAnsi="Arial" w:cs="Arial"/>
          <w:i/>
          <w:sz w:val="24"/>
          <w:szCs w:val="24"/>
        </w:rPr>
        <w:t xml:space="preserve">requirement </w:t>
      </w:r>
    </w:p>
    <w:p w:rsidR="0067319B" w:rsidRDefault="00100B62" w:rsidP="00C46862">
      <w:pPr>
        <w:spacing w:line="480" w:lineRule="auto"/>
        <w:rPr>
          <w:rFonts w:ascii="Arial" w:hAnsi="Arial" w:cs="Arial"/>
          <w:sz w:val="24"/>
          <w:szCs w:val="24"/>
        </w:rPr>
      </w:pPr>
      <w:r w:rsidRPr="002D21B6">
        <w:rPr>
          <w:rFonts w:ascii="Arial" w:hAnsi="Arial" w:cs="Arial"/>
          <w:sz w:val="24"/>
          <w:szCs w:val="24"/>
        </w:rPr>
        <w:t>An important feature of our three-in-one MMR ELISA assay is affordability; it costs only a fraction of the commercially available assays (</w:t>
      </w:r>
      <w:r w:rsidR="007C6813" w:rsidRPr="002D21B6">
        <w:rPr>
          <w:rFonts w:ascii="Arial" w:hAnsi="Arial" w:cs="Arial"/>
          <w:sz w:val="24"/>
          <w:szCs w:val="24"/>
        </w:rPr>
        <w:t>Figure 6 A, B</w:t>
      </w:r>
      <w:r w:rsidRPr="002D21B6">
        <w:rPr>
          <w:rFonts w:ascii="Arial" w:hAnsi="Arial" w:cs="Arial"/>
          <w:sz w:val="24"/>
          <w:szCs w:val="24"/>
        </w:rPr>
        <w:t xml:space="preserve">). </w:t>
      </w:r>
      <w:r w:rsidR="005043B4" w:rsidRPr="002D21B6">
        <w:rPr>
          <w:rFonts w:ascii="Arial" w:hAnsi="Arial" w:cs="Arial"/>
          <w:sz w:val="24"/>
          <w:szCs w:val="24"/>
        </w:rPr>
        <w:t xml:space="preserve">An important component for improving the signal-to-noise ratio (background reduction) </w:t>
      </w:r>
      <w:r w:rsidR="003A5255" w:rsidRPr="002D21B6">
        <w:rPr>
          <w:rFonts w:ascii="Arial" w:hAnsi="Arial" w:cs="Arial"/>
          <w:sz w:val="24"/>
          <w:szCs w:val="24"/>
        </w:rPr>
        <w:t xml:space="preserve">is a </w:t>
      </w:r>
      <w:r w:rsidR="005043B4" w:rsidRPr="002D21B6">
        <w:rPr>
          <w:rFonts w:ascii="Arial" w:hAnsi="Arial" w:cs="Arial"/>
          <w:sz w:val="24"/>
          <w:szCs w:val="24"/>
        </w:rPr>
        <w:t>self-developed, low-cost reagent, a protein-free PVA</w:t>
      </w:r>
      <w:r w:rsidR="00E6074E" w:rsidRPr="002D21B6">
        <w:rPr>
          <w:rFonts w:ascii="Arial" w:hAnsi="Arial" w:cs="Arial"/>
          <w:sz w:val="24"/>
          <w:szCs w:val="24"/>
        </w:rPr>
        <w:t>-</w:t>
      </w:r>
      <w:r w:rsidR="005043B4" w:rsidRPr="002D21B6">
        <w:rPr>
          <w:rFonts w:ascii="Arial" w:hAnsi="Arial" w:cs="Arial"/>
          <w:sz w:val="24"/>
          <w:szCs w:val="24"/>
        </w:rPr>
        <w:t>based blocking buffer</w:t>
      </w:r>
      <w:r w:rsidR="00E6074E" w:rsidRPr="002D21B6">
        <w:rPr>
          <w:rFonts w:ascii="Arial" w:hAnsi="Arial" w:cs="Arial"/>
          <w:sz w:val="24"/>
          <w:szCs w:val="24"/>
        </w:rPr>
        <w:t xml:space="preserve"> </w:t>
      </w:r>
      <w:r w:rsidR="00513948" w:rsidRPr="002D21B6">
        <w:rPr>
          <w:rFonts w:ascii="Arial" w:hAnsi="Arial" w:cs="Arial"/>
          <w:sz w:val="24"/>
          <w:szCs w:val="24"/>
        </w:rPr>
        <w:t>(Suppl. Fig. S5)</w:t>
      </w:r>
      <w:r w:rsidR="003A5255" w:rsidRPr="002D21B6">
        <w:rPr>
          <w:rFonts w:ascii="Arial" w:hAnsi="Arial" w:cs="Arial"/>
          <w:sz w:val="24"/>
          <w:szCs w:val="24"/>
        </w:rPr>
        <w:t>. Another</w:t>
      </w:r>
      <w:r w:rsidR="006C3F3C">
        <w:rPr>
          <w:rFonts w:ascii="Arial" w:hAnsi="Arial" w:cs="Arial"/>
          <w:sz w:val="24"/>
          <w:szCs w:val="24"/>
        </w:rPr>
        <w:t xml:space="preserve"> important feature </w:t>
      </w:r>
      <w:r w:rsidR="003A5255" w:rsidRPr="002D21B6">
        <w:rPr>
          <w:rFonts w:ascii="Arial" w:hAnsi="Arial" w:cs="Arial"/>
          <w:sz w:val="24"/>
          <w:szCs w:val="24"/>
        </w:rPr>
        <w:t>is the reduced assay duration time; compared to the ~ 1.5 / 2.5 hours of timeframe of commercially available tests (used for parallel and justifi</w:t>
      </w:r>
      <w:r w:rsidR="00E6074E" w:rsidRPr="002D21B6">
        <w:rPr>
          <w:rFonts w:ascii="Arial" w:hAnsi="Arial" w:cs="Arial"/>
          <w:sz w:val="24"/>
          <w:szCs w:val="24"/>
        </w:rPr>
        <w:t>catory measurements) our test can be performed with</w:t>
      </w:r>
      <w:r w:rsidR="00B9375F">
        <w:rPr>
          <w:rFonts w:ascii="Arial" w:hAnsi="Arial" w:cs="Arial"/>
          <w:sz w:val="24"/>
          <w:szCs w:val="24"/>
        </w:rPr>
        <w:t>in 1</w:t>
      </w:r>
      <w:r w:rsidR="007412E3" w:rsidRPr="002D21B6">
        <w:rPr>
          <w:rFonts w:ascii="Arial" w:hAnsi="Arial" w:cs="Arial"/>
          <w:sz w:val="24"/>
          <w:szCs w:val="24"/>
        </w:rPr>
        <w:t xml:space="preserve"> hour (Fig. 7)</w:t>
      </w:r>
      <w:r w:rsidR="003A5255" w:rsidRPr="002D21B6">
        <w:rPr>
          <w:rFonts w:ascii="Arial" w:hAnsi="Arial" w:cs="Arial"/>
          <w:sz w:val="24"/>
          <w:szCs w:val="24"/>
        </w:rPr>
        <w:t>.</w:t>
      </w:r>
    </w:p>
    <w:p w:rsidR="006B40D6" w:rsidRPr="002D21B6" w:rsidRDefault="006B40D6" w:rsidP="00C46862">
      <w:pPr>
        <w:spacing w:line="480" w:lineRule="auto"/>
        <w:rPr>
          <w:rFonts w:ascii="Arial" w:hAnsi="Arial" w:cs="Arial"/>
          <w:sz w:val="24"/>
          <w:szCs w:val="24"/>
        </w:rPr>
      </w:pPr>
    </w:p>
    <w:p w:rsidR="00AD2397" w:rsidRPr="002D21B6" w:rsidRDefault="00C46862" w:rsidP="00C46862">
      <w:pPr>
        <w:spacing w:line="480" w:lineRule="auto"/>
        <w:rPr>
          <w:rFonts w:ascii="Arial" w:hAnsi="Arial" w:cs="Arial"/>
          <w:i/>
          <w:sz w:val="24"/>
          <w:szCs w:val="24"/>
        </w:rPr>
      </w:pPr>
      <w:r w:rsidRPr="002D21B6">
        <w:rPr>
          <w:rFonts w:ascii="Arial" w:hAnsi="Arial" w:cs="Arial"/>
          <w:i/>
          <w:sz w:val="24"/>
          <w:szCs w:val="24"/>
        </w:rPr>
        <w:t xml:space="preserve">Determination of age groups with highest frequencies of </w:t>
      </w:r>
      <w:proofErr w:type="spellStart"/>
      <w:r w:rsidRPr="002D21B6">
        <w:rPr>
          <w:rFonts w:ascii="Arial" w:hAnsi="Arial" w:cs="Arial"/>
          <w:i/>
          <w:sz w:val="24"/>
          <w:szCs w:val="24"/>
        </w:rPr>
        <w:t>seronegativity</w:t>
      </w:r>
      <w:proofErr w:type="spellEnd"/>
    </w:p>
    <w:p w:rsidR="000164EC" w:rsidRPr="002D21B6" w:rsidRDefault="0067319B" w:rsidP="00C74672">
      <w:pPr>
        <w:spacing w:line="480" w:lineRule="auto"/>
        <w:rPr>
          <w:rFonts w:ascii="Arial" w:hAnsi="Arial" w:cs="Arial"/>
          <w:sz w:val="24"/>
          <w:szCs w:val="24"/>
        </w:rPr>
      </w:pPr>
      <w:r w:rsidRPr="002D21B6">
        <w:rPr>
          <w:rFonts w:ascii="Arial" w:hAnsi="Arial" w:cs="Arial"/>
          <w:sz w:val="24"/>
          <w:szCs w:val="24"/>
        </w:rPr>
        <w:lastRenderedPageBreak/>
        <w:t xml:space="preserve">Considering the antigen-specific </w:t>
      </w:r>
      <w:proofErr w:type="spellStart"/>
      <w:r w:rsidRPr="002D21B6">
        <w:rPr>
          <w:rFonts w:ascii="Arial" w:hAnsi="Arial" w:cs="Arial"/>
          <w:sz w:val="24"/>
          <w:szCs w:val="24"/>
        </w:rPr>
        <w:t>seropositivity</w:t>
      </w:r>
      <w:proofErr w:type="spellEnd"/>
      <w:r w:rsidRPr="002D21B6">
        <w:rPr>
          <w:rFonts w:ascii="Arial" w:hAnsi="Arial" w:cs="Arial"/>
          <w:sz w:val="24"/>
          <w:szCs w:val="24"/>
        </w:rPr>
        <w:t xml:space="preserve"> ratios of all samples measured, anti-measles, -mumps, and -rubella IgG antibody titres were adequate in 89.84%, 91.82%, and 92.28%, respectively (Fig. 10). Taking the following herd immunity threshold (HIT) values as a base; HIT </w:t>
      </w:r>
      <w:r w:rsidRPr="002D21B6">
        <w:rPr>
          <w:rFonts w:ascii="Arial" w:hAnsi="Arial" w:cs="Arial"/>
          <w:sz w:val="24"/>
          <w:szCs w:val="24"/>
          <w:vertAlign w:val="subscript"/>
        </w:rPr>
        <w:t>Measles</w:t>
      </w:r>
      <w:r w:rsidRPr="002D21B6">
        <w:rPr>
          <w:rFonts w:ascii="Arial" w:hAnsi="Arial" w:cs="Arial"/>
          <w:sz w:val="24"/>
          <w:szCs w:val="24"/>
        </w:rPr>
        <w:t xml:space="preserve"> = 92–95%, HIT </w:t>
      </w:r>
      <w:r w:rsidRPr="002D21B6">
        <w:rPr>
          <w:rFonts w:ascii="Arial" w:hAnsi="Arial" w:cs="Arial"/>
          <w:sz w:val="24"/>
          <w:szCs w:val="24"/>
          <w:vertAlign w:val="subscript"/>
        </w:rPr>
        <w:t>Mumps</w:t>
      </w:r>
      <w:r w:rsidRPr="002D21B6">
        <w:rPr>
          <w:rFonts w:ascii="Arial" w:hAnsi="Arial" w:cs="Arial"/>
          <w:sz w:val="24"/>
          <w:szCs w:val="24"/>
        </w:rPr>
        <w:t xml:space="preserve"> = 75–86%, HIT </w:t>
      </w:r>
      <w:r w:rsidRPr="002D21B6">
        <w:rPr>
          <w:rFonts w:ascii="Arial" w:hAnsi="Arial" w:cs="Arial"/>
          <w:sz w:val="24"/>
          <w:szCs w:val="24"/>
          <w:vertAlign w:val="subscript"/>
        </w:rPr>
        <w:t>Rubella</w:t>
      </w:r>
      <w:r w:rsidRPr="002D21B6">
        <w:rPr>
          <w:rFonts w:ascii="Arial" w:hAnsi="Arial" w:cs="Arial"/>
          <w:sz w:val="24"/>
          <w:szCs w:val="24"/>
        </w:rPr>
        <w:t xml:space="preserve"> = 83–86, it can be stated that regarding measles, levels of humoral immunity may be inadequate in certain age clusters of the population</w:t>
      </w:r>
      <w:r w:rsidR="00EC1772" w:rsidRPr="002D21B6">
        <w:rPr>
          <w:rFonts w:ascii="Arial" w:hAnsi="Arial" w:cs="Arial"/>
          <w:sz w:val="24"/>
          <w:szCs w:val="24"/>
        </w:rPr>
        <w:t>.</w:t>
      </w:r>
      <w:r w:rsidR="00311AB1" w:rsidRPr="002D21B6">
        <w:rPr>
          <w:rFonts w:ascii="Arial" w:hAnsi="Arial" w:cs="Arial"/>
          <w:sz w:val="24"/>
          <w:szCs w:val="24"/>
        </w:rPr>
        <w:t xml:space="preserve"> </w:t>
      </w:r>
      <w:r w:rsidR="00196061" w:rsidRPr="002D21B6">
        <w:rPr>
          <w:rFonts w:ascii="Arial" w:hAnsi="Arial" w:cs="Arial"/>
          <w:sz w:val="24"/>
          <w:szCs w:val="24"/>
        </w:rPr>
        <w:t>Regarding anti-measles antibodies, c</w:t>
      </w:r>
      <w:r w:rsidR="00E21160" w:rsidRPr="002D21B6">
        <w:rPr>
          <w:rFonts w:ascii="Arial" w:hAnsi="Arial" w:cs="Arial"/>
          <w:sz w:val="24"/>
          <w:szCs w:val="24"/>
        </w:rPr>
        <w:t>umulat</w:t>
      </w:r>
      <w:r w:rsidR="00100B62" w:rsidRPr="002D21B6">
        <w:rPr>
          <w:rFonts w:ascii="Arial" w:hAnsi="Arial" w:cs="Arial"/>
          <w:sz w:val="24"/>
          <w:szCs w:val="24"/>
        </w:rPr>
        <w:t>ive</w:t>
      </w:r>
      <w:r w:rsidR="00E21160" w:rsidRPr="002D21B6">
        <w:rPr>
          <w:rFonts w:ascii="Arial" w:hAnsi="Arial" w:cs="Arial"/>
          <w:sz w:val="24"/>
          <w:szCs w:val="24"/>
        </w:rPr>
        <w:t xml:space="preserve"> data</w:t>
      </w:r>
      <w:r w:rsidR="006A74AD" w:rsidRPr="002D21B6">
        <w:rPr>
          <w:rFonts w:ascii="Arial" w:hAnsi="Arial" w:cs="Arial"/>
          <w:sz w:val="24"/>
          <w:szCs w:val="24"/>
        </w:rPr>
        <w:t xml:space="preserve"> (</w:t>
      </w:r>
      <w:r w:rsidR="00772E91" w:rsidRPr="002D21B6">
        <w:rPr>
          <w:rFonts w:ascii="Arial" w:hAnsi="Arial" w:cs="Arial"/>
          <w:sz w:val="24"/>
          <w:szCs w:val="24"/>
        </w:rPr>
        <w:t xml:space="preserve">N </w:t>
      </w:r>
      <w:r w:rsidR="00772E91" w:rsidRPr="002D21B6">
        <w:rPr>
          <w:rFonts w:ascii="Arial" w:hAnsi="Arial" w:cs="Arial"/>
          <w:sz w:val="24"/>
          <w:szCs w:val="24"/>
          <w:vertAlign w:val="subscript"/>
        </w:rPr>
        <w:t xml:space="preserve">total measles </w:t>
      </w:r>
      <w:r w:rsidR="00772E91" w:rsidRPr="002D21B6">
        <w:rPr>
          <w:rFonts w:ascii="Arial" w:hAnsi="Arial" w:cs="Arial"/>
          <w:sz w:val="24"/>
          <w:szCs w:val="24"/>
        </w:rPr>
        <w:t xml:space="preserve">= </w:t>
      </w:r>
      <w:r w:rsidR="006A74AD" w:rsidRPr="002D21B6">
        <w:rPr>
          <w:rFonts w:ascii="Arial" w:hAnsi="Arial" w:cs="Arial"/>
          <w:sz w:val="24"/>
          <w:szCs w:val="24"/>
        </w:rPr>
        <w:t xml:space="preserve">3523 serum samples) </w:t>
      </w:r>
      <w:r w:rsidR="004038A9" w:rsidRPr="002D21B6">
        <w:rPr>
          <w:rFonts w:ascii="Arial" w:hAnsi="Arial" w:cs="Arial"/>
          <w:sz w:val="24"/>
          <w:szCs w:val="24"/>
        </w:rPr>
        <w:t xml:space="preserve">show that the lowest </w:t>
      </w:r>
      <w:proofErr w:type="spellStart"/>
      <w:r w:rsidR="004038A9" w:rsidRPr="002D21B6">
        <w:rPr>
          <w:rFonts w:ascii="Arial" w:hAnsi="Arial" w:cs="Arial"/>
          <w:sz w:val="24"/>
          <w:szCs w:val="24"/>
        </w:rPr>
        <w:t>seropositvity</w:t>
      </w:r>
      <w:proofErr w:type="spellEnd"/>
      <w:r w:rsidR="00196061" w:rsidRPr="002D21B6">
        <w:rPr>
          <w:rFonts w:ascii="Arial" w:hAnsi="Arial" w:cs="Arial"/>
          <w:sz w:val="24"/>
          <w:szCs w:val="24"/>
        </w:rPr>
        <w:t xml:space="preserve"> </w:t>
      </w:r>
      <w:r w:rsidR="004038A9" w:rsidRPr="002D21B6">
        <w:rPr>
          <w:rFonts w:ascii="Arial" w:hAnsi="Arial" w:cs="Arial"/>
          <w:sz w:val="24"/>
          <w:szCs w:val="24"/>
        </w:rPr>
        <w:t xml:space="preserve">(79.3%) </w:t>
      </w:r>
      <w:r w:rsidR="00DC2C9F" w:rsidRPr="002D21B6">
        <w:rPr>
          <w:rFonts w:ascii="Arial" w:hAnsi="Arial" w:cs="Arial"/>
          <w:sz w:val="24"/>
          <w:szCs w:val="24"/>
        </w:rPr>
        <w:t>was</w:t>
      </w:r>
      <w:r w:rsidR="004038A9" w:rsidRPr="002D21B6">
        <w:rPr>
          <w:rFonts w:ascii="Arial" w:hAnsi="Arial" w:cs="Arial"/>
          <w:sz w:val="24"/>
          <w:szCs w:val="24"/>
        </w:rPr>
        <w:t xml:space="preserve"> detect</w:t>
      </w:r>
      <w:r w:rsidR="00DC2C9F" w:rsidRPr="002D21B6">
        <w:rPr>
          <w:rFonts w:ascii="Arial" w:hAnsi="Arial" w:cs="Arial"/>
          <w:sz w:val="24"/>
          <w:szCs w:val="24"/>
        </w:rPr>
        <w:t>ed</w:t>
      </w:r>
      <w:r w:rsidR="004038A9" w:rsidRPr="002D21B6">
        <w:rPr>
          <w:rFonts w:ascii="Arial" w:hAnsi="Arial" w:cs="Arial"/>
          <w:sz w:val="24"/>
          <w:szCs w:val="24"/>
        </w:rPr>
        <w:t xml:space="preserve"> in individuals vaccinat</w:t>
      </w:r>
      <w:r w:rsidR="006A74AD" w:rsidRPr="002D21B6">
        <w:rPr>
          <w:rFonts w:ascii="Arial" w:hAnsi="Arial" w:cs="Arial"/>
          <w:sz w:val="24"/>
          <w:szCs w:val="24"/>
        </w:rPr>
        <w:t>ed between 1978 and 1987 (Fig. 8, 9</w:t>
      </w:r>
      <w:r w:rsidR="00191A6F" w:rsidRPr="002D21B6">
        <w:rPr>
          <w:rFonts w:ascii="Arial" w:hAnsi="Arial" w:cs="Arial"/>
          <w:sz w:val="24"/>
          <w:szCs w:val="24"/>
        </w:rPr>
        <w:t xml:space="preserve">), </w:t>
      </w:r>
      <w:r w:rsidR="00C46862" w:rsidRPr="002D21B6">
        <w:rPr>
          <w:rFonts w:ascii="Arial" w:hAnsi="Arial" w:cs="Arial"/>
          <w:sz w:val="24"/>
          <w:szCs w:val="24"/>
        </w:rPr>
        <w:t xml:space="preserve">with significant differences from </w:t>
      </w:r>
      <w:r w:rsidR="00C40278" w:rsidRPr="002D21B6">
        <w:rPr>
          <w:rFonts w:ascii="Arial" w:hAnsi="Arial" w:cs="Arial"/>
          <w:sz w:val="24"/>
          <w:szCs w:val="24"/>
        </w:rPr>
        <w:t xml:space="preserve">the </w:t>
      </w:r>
      <w:r w:rsidR="00C46862" w:rsidRPr="002D21B6">
        <w:rPr>
          <w:rFonts w:ascii="Arial" w:hAnsi="Arial" w:cs="Arial"/>
          <w:sz w:val="24"/>
          <w:szCs w:val="24"/>
        </w:rPr>
        <w:t>flanking age groups vaccinated between 1969-1977 and 1988-1990 (p = 0.00004 and p = 0.0015, respectively)</w:t>
      </w:r>
      <w:r w:rsidR="00C74E44" w:rsidRPr="002D21B6">
        <w:rPr>
          <w:rFonts w:ascii="Arial" w:hAnsi="Arial" w:cs="Arial"/>
          <w:sz w:val="24"/>
          <w:szCs w:val="24"/>
        </w:rPr>
        <w:t xml:space="preserve"> (Fig. </w:t>
      </w:r>
      <w:r w:rsidR="006A74AD" w:rsidRPr="002D21B6">
        <w:rPr>
          <w:rFonts w:ascii="Arial" w:hAnsi="Arial" w:cs="Arial"/>
          <w:sz w:val="24"/>
          <w:szCs w:val="24"/>
        </w:rPr>
        <w:t>9</w:t>
      </w:r>
      <w:r w:rsidR="0010169D" w:rsidRPr="002D21B6">
        <w:rPr>
          <w:rFonts w:ascii="Arial" w:hAnsi="Arial" w:cs="Arial"/>
          <w:sz w:val="24"/>
          <w:szCs w:val="24"/>
        </w:rPr>
        <w:t>)</w:t>
      </w:r>
      <w:r w:rsidR="00C46862" w:rsidRPr="002D21B6">
        <w:rPr>
          <w:rFonts w:ascii="Arial" w:hAnsi="Arial" w:cs="Arial"/>
          <w:sz w:val="24"/>
          <w:szCs w:val="24"/>
        </w:rPr>
        <w:t xml:space="preserve">. </w:t>
      </w:r>
      <w:r w:rsidR="00F6119A" w:rsidRPr="002D21B6">
        <w:rPr>
          <w:rFonts w:ascii="Arial" w:hAnsi="Arial" w:cs="Arial"/>
          <w:sz w:val="24"/>
          <w:szCs w:val="24"/>
        </w:rPr>
        <w:t xml:space="preserve">For </w:t>
      </w:r>
      <w:r w:rsidR="00C46862" w:rsidRPr="002D21B6">
        <w:rPr>
          <w:rFonts w:ascii="Arial" w:hAnsi="Arial" w:cs="Arial"/>
          <w:sz w:val="24"/>
          <w:szCs w:val="24"/>
        </w:rPr>
        <w:t>mumps</w:t>
      </w:r>
      <w:r w:rsidR="00C74672" w:rsidRPr="002D21B6">
        <w:rPr>
          <w:rFonts w:ascii="Arial" w:hAnsi="Arial" w:cs="Arial"/>
          <w:sz w:val="24"/>
          <w:szCs w:val="24"/>
        </w:rPr>
        <w:t xml:space="preserve"> (N = 1736 serum samples)</w:t>
      </w:r>
      <w:r w:rsidR="00C46862" w:rsidRPr="002D21B6">
        <w:rPr>
          <w:rFonts w:ascii="Arial" w:hAnsi="Arial" w:cs="Arial"/>
          <w:sz w:val="24"/>
          <w:szCs w:val="24"/>
        </w:rPr>
        <w:t>, the least protected groups were vaccinated during 1978-1987 (11.9%) and 1988-1990 (10.1%), however these were not statistically different from the adjacent age groups. In the case of rubella</w:t>
      </w:r>
      <w:r w:rsidR="003A4F38" w:rsidRPr="002D21B6">
        <w:rPr>
          <w:rFonts w:ascii="Arial" w:hAnsi="Arial" w:cs="Arial"/>
          <w:sz w:val="24"/>
          <w:szCs w:val="24"/>
        </w:rPr>
        <w:t xml:space="preserve"> </w:t>
      </w:r>
      <w:r w:rsidR="00C74672" w:rsidRPr="002D21B6">
        <w:rPr>
          <w:rFonts w:ascii="Arial" w:hAnsi="Arial" w:cs="Arial"/>
          <w:sz w:val="24"/>
          <w:szCs w:val="24"/>
        </w:rPr>
        <w:t>(N = 1736 serum samples</w:t>
      </w:r>
      <w:r w:rsidR="003A4F38" w:rsidRPr="002D21B6">
        <w:rPr>
          <w:rFonts w:ascii="Arial" w:hAnsi="Arial" w:cs="Arial"/>
          <w:sz w:val="24"/>
          <w:szCs w:val="24"/>
        </w:rPr>
        <w:t>)</w:t>
      </w:r>
      <w:r w:rsidR="00C46862" w:rsidRPr="002D21B6">
        <w:rPr>
          <w:rFonts w:ascii="Arial" w:hAnsi="Arial" w:cs="Arial"/>
          <w:sz w:val="24"/>
          <w:szCs w:val="24"/>
        </w:rPr>
        <w:t xml:space="preserve">, the least protected groups were vaccinated during 1969-1977 (14.4%) and 1978-1987 (14.5%). Significant differences were observed between the group born before 1969 (not vaccinated) and vaccinated during 1969-1977 (p = 0.00008), and between groups 1988-1990 and 1991-1995 (p = 0.009). </w:t>
      </w:r>
    </w:p>
    <w:p w:rsidR="009C2A52" w:rsidRDefault="009C2A52">
      <w:pPr>
        <w:rPr>
          <w:rFonts w:ascii="Arial" w:hAnsi="Arial" w:cs="Arial"/>
          <w:b/>
          <w:sz w:val="24"/>
          <w:szCs w:val="24"/>
        </w:rPr>
      </w:pPr>
      <w:r>
        <w:rPr>
          <w:rFonts w:ascii="Arial" w:hAnsi="Arial" w:cs="Arial"/>
          <w:b/>
          <w:sz w:val="24"/>
          <w:szCs w:val="24"/>
        </w:rPr>
        <w:br w:type="page"/>
      </w:r>
    </w:p>
    <w:p w:rsidR="002969E0" w:rsidRPr="002476AD" w:rsidRDefault="00BD192D" w:rsidP="009C2A52">
      <w:pPr>
        <w:rPr>
          <w:rFonts w:ascii="Arial" w:hAnsi="Arial" w:cs="Arial"/>
          <w:b/>
          <w:sz w:val="24"/>
          <w:szCs w:val="24"/>
        </w:rPr>
      </w:pPr>
      <w:r w:rsidRPr="002476AD">
        <w:rPr>
          <w:rFonts w:ascii="Arial" w:hAnsi="Arial" w:cs="Arial"/>
          <w:b/>
          <w:sz w:val="24"/>
          <w:szCs w:val="24"/>
        </w:rPr>
        <w:lastRenderedPageBreak/>
        <w:t>Discussion</w:t>
      </w:r>
    </w:p>
    <w:p w:rsidR="00490DDF" w:rsidRPr="002476AD" w:rsidRDefault="003A4F38" w:rsidP="0033622D">
      <w:pPr>
        <w:spacing w:line="480" w:lineRule="auto"/>
        <w:rPr>
          <w:rFonts w:ascii="Arial" w:hAnsi="Arial" w:cs="Arial"/>
          <w:sz w:val="24"/>
          <w:szCs w:val="24"/>
        </w:rPr>
      </w:pPr>
      <w:r w:rsidRPr="002476AD">
        <w:rPr>
          <w:rFonts w:ascii="Arial" w:hAnsi="Arial" w:cs="Arial"/>
          <w:sz w:val="24"/>
          <w:szCs w:val="24"/>
        </w:rPr>
        <w:t xml:space="preserve">Regarding assay optimization, an important </w:t>
      </w:r>
      <w:r w:rsidR="004A4605" w:rsidRPr="002476AD">
        <w:rPr>
          <w:rFonts w:ascii="Arial" w:hAnsi="Arial" w:cs="Arial"/>
          <w:sz w:val="24"/>
          <w:szCs w:val="24"/>
        </w:rPr>
        <w:t>requirement was</w:t>
      </w:r>
      <w:r w:rsidRPr="002476AD">
        <w:rPr>
          <w:rFonts w:ascii="Arial" w:hAnsi="Arial" w:cs="Arial"/>
          <w:sz w:val="24"/>
          <w:szCs w:val="24"/>
        </w:rPr>
        <w:t xml:space="preserve"> the </w:t>
      </w:r>
      <w:r w:rsidR="004B7B5B" w:rsidRPr="002476AD">
        <w:rPr>
          <w:rFonts w:ascii="Arial" w:hAnsi="Arial" w:cs="Arial"/>
          <w:sz w:val="24"/>
          <w:szCs w:val="24"/>
        </w:rPr>
        <w:t>equalization</w:t>
      </w:r>
      <w:r w:rsidRPr="002476AD">
        <w:rPr>
          <w:rFonts w:ascii="Arial" w:hAnsi="Arial" w:cs="Arial"/>
          <w:sz w:val="24"/>
          <w:szCs w:val="24"/>
        </w:rPr>
        <w:t xml:space="preserve"> of incubation times </w:t>
      </w:r>
      <w:r w:rsidR="004B7B5B" w:rsidRPr="002476AD">
        <w:rPr>
          <w:rFonts w:ascii="Arial" w:hAnsi="Arial" w:cs="Arial"/>
          <w:sz w:val="24"/>
          <w:szCs w:val="24"/>
        </w:rPr>
        <w:t>used in the three-in-one MMR ELISA</w:t>
      </w:r>
      <w:r w:rsidR="00E457E3" w:rsidRPr="002476AD">
        <w:rPr>
          <w:rFonts w:ascii="Arial" w:hAnsi="Arial" w:cs="Arial"/>
          <w:sz w:val="24"/>
          <w:szCs w:val="24"/>
        </w:rPr>
        <w:t xml:space="preserve">. </w:t>
      </w:r>
      <w:r w:rsidRPr="002476AD">
        <w:rPr>
          <w:rFonts w:ascii="Arial" w:hAnsi="Arial" w:cs="Arial"/>
          <w:sz w:val="24"/>
          <w:szCs w:val="24"/>
        </w:rPr>
        <w:t xml:space="preserve">The </w:t>
      </w:r>
      <w:r w:rsidR="000613B1" w:rsidRPr="002476AD">
        <w:rPr>
          <w:rFonts w:ascii="Arial" w:hAnsi="Arial" w:cs="Arial"/>
          <w:sz w:val="24"/>
          <w:szCs w:val="24"/>
        </w:rPr>
        <w:t>establishment</w:t>
      </w:r>
      <w:r w:rsidRPr="002476AD">
        <w:rPr>
          <w:rFonts w:ascii="Arial" w:hAnsi="Arial" w:cs="Arial"/>
          <w:sz w:val="24"/>
          <w:szCs w:val="24"/>
        </w:rPr>
        <w:t xml:space="preserve"> of </w:t>
      </w:r>
      <w:r w:rsidR="00490DDF" w:rsidRPr="002476AD">
        <w:rPr>
          <w:rFonts w:ascii="Arial" w:hAnsi="Arial" w:cs="Arial"/>
          <w:sz w:val="24"/>
          <w:szCs w:val="24"/>
        </w:rPr>
        <w:t xml:space="preserve">a </w:t>
      </w:r>
      <w:r w:rsidR="000613B1" w:rsidRPr="002476AD">
        <w:rPr>
          <w:rFonts w:ascii="Arial" w:hAnsi="Arial" w:cs="Arial"/>
          <w:sz w:val="24"/>
          <w:szCs w:val="24"/>
        </w:rPr>
        <w:t>combined</w:t>
      </w:r>
      <w:r w:rsidR="00490DDF" w:rsidRPr="002476AD">
        <w:rPr>
          <w:rFonts w:ascii="Arial" w:hAnsi="Arial" w:cs="Arial"/>
          <w:sz w:val="24"/>
          <w:szCs w:val="24"/>
        </w:rPr>
        <w:t xml:space="preserve"> test system</w:t>
      </w:r>
      <w:r w:rsidRPr="002476AD">
        <w:rPr>
          <w:rFonts w:ascii="Arial" w:hAnsi="Arial" w:cs="Arial"/>
          <w:sz w:val="24"/>
          <w:szCs w:val="24"/>
        </w:rPr>
        <w:t xml:space="preserve"> </w:t>
      </w:r>
      <w:r w:rsidR="000613B1" w:rsidRPr="002476AD">
        <w:rPr>
          <w:rFonts w:ascii="Arial" w:hAnsi="Arial" w:cs="Arial"/>
          <w:sz w:val="24"/>
          <w:szCs w:val="24"/>
        </w:rPr>
        <w:t xml:space="preserve">using </w:t>
      </w:r>
      <w:r w:rsidR="00490DDF" w:rsidRPr="002476AD">
        <w:rPr>
          <w:rFonts w:ascii="Arial" w:hAnsi="Arial" w:cs="Arial"/>
          <w:sz w:val="24"/>
          <w:szCs w:val="24"/>
        </w:rPr>
        <w:t xml:space="preserve">identical serum dilutions, reagent volumes and incubation </w:t>
      </w:r>
      <w:r w:rsidRPr="002476AD">
        <w:rPr>
          <w:rFonts w:ascii="Arial" w:hAnsi="Arial" w:cs="Arial"/>
          <w:sz w:val="24"/>
          <w:szCs w:val="24"/>
        </w:rPr>
        <w:t>times that</w:t>
      </w:r>
      <w:r w:rsidR="00490DDF" w:rsidRPr="002476AD">
        <w:rPr>
          <w:rFonts w:ascii="Arial" w:hAnsi="Arial" w:cs="Arial"/>
          <w:sz w:val="24"/>
          <w:szCs w:val="24"/>
        </w:rPr>
        <w:t xml:space="preserve"> enable</w:t>
      </w:r>
      <w:r w:rsidR="00AC2435">
        <w:rPr>
          <w:rFonts w:ascii="Arial" w:hAnsi="Arial" w:cs="Arial"/>
          <w:sz w:val="24"/>
          <w:szCs w:val="24"/>
        </w:rPr>
        <w:t>s</w:t>
      </w:r>
      <w:r w:rsidR="000613B1" w:rsidRPr="002476AD">
        <w:rPr>
          <w:rFonts w:ascii="Arial" w:hAnsi="Arial" w:cs="Arial"/>
          <w:sz w:val="24"/>
          <w:szCs w:val="24"/>
        </w:rPr>
        <w:t xml:space="preserve"> </w:t>
      </w:r>
      <w:r w:rsidR="00490DDF" w:rsidRPr="002476AD">
        <w:rPr>
          <w:rFonts w:ascii="Arial" w:hAnsi="Arial" w:cs="Arial"/>
          <w:sz w:val="24"/>
          <w:szCs w:val="24"/>
        </w:rPr>
        <w:t>the measurement of 24 samples for</w:t>
      </w:r>
      <w:r w:rsidRPr="002476AD">
        <w:rPr>
          <w:rFonts w:ascii="Arial" w:hAnsi="Arial" w:cs="Arial"/>
          <w:sz w:val="24"/>
          <w:szCs w:val="24"/>
        </w:rPr>
        <w:t xml:space="preserve"> all </w:t>
      </w:r>
      <w:r w:rsidR="00490DDF" w:rsidRPr="002476AD">
        <w:rPr>
          <w:rFonts w:ascii="Arial" w:hAnsi="Arial" w:cs="Arial"/>
          <w:sz w:val="24"/>
          <w:szCs w:val="24"/>
        </w:rPr>
        <w:t xml:space="preserve">three </w:t>
      </w:r>
      <w:r w:rsidR="000613B1" w:rsidRPr="002476AD">
        <w:rPr>
          <w:rFonts w:ascii="Arial" w:hAnsi="Arial" w:cs="Arial"/>
          <w:sz w:val="24"/>
          <w:szCs w:val="24"/>
        </w:rPr>
        <w:t>antigens</w:t>
      </w:r>
      <w:r w:rsidR="00490DDF" w:rsidRPr="002476AD">
        <w:rPr>
          <w:rFonts w:ascii="Arial" w:hAnsi="Arial" w:cs="Arial"/>
          <w:sz w:val="24"/>
          <w:szCs w:val="24"/>
        </w:rPr>
        <w:t xml:space="preserve"> within</w:t>
      </w:r>
      <w:r w:rsidRPr="002476AD">
        <w:rPr>
          <w:rFonts w:ascii="Arial" w:hAnsi="Arial" w:cs="Arial"/>
          <w:sz w:val="24"/>
          <w:szCs w:val="24"/>
        </w:rPr>
        <w:t xml:space="preserve"> a single run</w:t>
      </w:r>
      <w:r w:rsidR="004A4605" w:rsidRPr="002476AD">
        <w:rPr>
          <w:rFonts w:ascii="Arial" w:hAnsi="Arial" w:cs="Arial"/>
          <w:sz w:val="24"/>
          <w:szCs w:val="24"/>
        </w:rPr>
        <w:t>,</w:t>
      </w:r>
      <w:r w:rsidRPr="002476AD">
        <w:rPr>
          <w:rFonts w:ascii="Arial" w:hAnsi="Arial" w:cs="Arial"/>
          <w:sz w:val="24"/>
          <w:szCs w:val="24"/>
        </w:rPr>
        <w:t xml:space="preserve"> was only feasible with the maximal reduction of potentially interfering factors.</w:t>
      </w:r>
      <w:r w:rsidR="004A4605" w:rsidRPr="002476AD">
        <w:rPr>
          <w:rFonts w:ascii="Arial" w:hAnsi="Arial" w:cs="Arial"/>
          <w:sz w:val="24"/>
          <w:szCs w:val="24"/>
        </w:rPr>
        <w:t xml:space="preserve"> </w:t>
      </w:r>
      <w:r w:rsidR="000613B1" w:rsidRPr="002476AD">
        <w:rPr>
          <w:rFonts w:ascii="Arial" w:hAnsi="Arial" w:cs="Arial"/>
          <w:sz w:val="24"/>
          <w:szCs w:val="24"/>
        </w:rPr>
        <w:t>An important step was</w:t>
      </w:r>
      <w:r w:rsidR="00490DDF" w:rsidRPr="002476AD">
        <w:rPr>
          <w:rFonts w:ascii="Arial" w:hAnsi="Arial" w:cs="Arial"/>
          <w:sz w:val="24"/>
          <w:szCs w:val="24"/>
        </w:rPr>
        <w:t xml:space="preserve"> the</w:t>
      </w:r>
      <w:r w:rsidR="000613B1" w:rsidRPr="002476AD">
        <w:rPr>
          <w:rFonts w:ascii="Arial" w:hAnsi="Arial" w:cs="Arial"/>
          <w:sz w:val="24"/>
          <w:szCs w:val="24"/>
        </w:rPr>
        <w:t xml:space="preserve"> reduction of non-specific signal by using an</w:t>
      </w:r>
      <w:r w:rsidR="00490DDF" w:rsidRPr="002476AD">
        <w:rPr>
          <w:rFonts w:ascii="Arial" w:hAnsi="Arial" w:cs="Arial"/>
          <w:sz w:val="24"/>
          <w:szCs w:val="24"/>
        </w:rPr>
        <w:t xml:space="preserve"> IgM r</w:t>
      </w:r>
      <w:r w:rsidR="000613B1" w:rsidRPr="002476AD">
        <w:rPr>
          <w:rFonts w:ascii="Arial" w:hAnsi="Arial" w:cs="Arial"/>
          <w:sz w:val="24"/>
          <w:szCs w:val="24"/>
        </w:rPr>
        <w:t>educing assay diluent (Bio-Rad)</w:t>
      </w:r>
      <w:r w:rsidR="00490DDF" w:rsidRPr="002476AD">
        <w:rPr>
          <w:rFonts w:ascii="Arial" w:hAnsi="Arial" w:cs="Arial"/>
          <w:sz w:val="24"/>
          <w:szCs w:val="24"/>
        </w:rPr>
        <w:t xml:space="preserve">. </w:t>
      </w:r>
      <w:r w:rsidR="00605277" w:rsidRPr="002476AD">
        <w:rPr>
          <w:rFonts w:ascii="Arial" w:hAnsi="Arial" w:cs="Arial"/>
          <w:sz w:val="24"/>
          <w:szCs w:val="24"/>
        </w:rPr>
        <w:t>The second important step was the use of our in-house PVA-based synthetic blocking buffer that enabled an optimal signal-to-noise ratio at a minimal cost. These steps made it possible to use high concentration of antig</w:t>
      </w:r>
      <w:r w:rsidR="003D3A4E" w:rsidRPr="002476AD">
        <w:rPr>
          <w:rFonts w:ascii="Arial" w:hAnsi="Arial" w:cs="Arial"/>
          <w:sz w:val="24"/>
          <w:szCs w:val="24"/>
        </w:rPr>
        <w:t xml:space="preserve">en-coatings, </w:t>
      </w:r>
      <w:r w:rsidR="00605277" w:rsidRPr="002476AD">
        <w:rPr>
          <w:rFonts w:ascii="Arial" w:hAnsi="Arial" w:cs="Arial"/>
          <w:sz w:val="24"/>
          <w:szCs w:val="24"/>
        </w:rPr>
        <w:t>which in turn allowed relatively short incubation times</w:t>
      </w:r>
      <w:r w:rsidR="00F126B3" w:rsidRPr="002476AD">
        <w:rPr>
          <w:rFonts w:ascii="Arial" w:hAnsi="Arial" w:cs="Arial"/>
          <w:sz w:val="24"/>
          <w:szCs w:val="24"/>
        </w:rPr>
        <w:t xml:space="preserve"> and</w:t>
      </w:r>
      <w:r w:rsidR="00605277" w:rsidRPr="002476AD">
        <w:rPr>
          <w:rFonts w:ascii="Arial" w:hAnsi="Arial" w:cs="Arial"/>
          <w:sz w:val="24"/>
          <w:szCs w:val="24"/>
        </w:rPr>
        <w:t xml:space="preserve"> high performance of our assay. </w:t>
      </w:r>
    </w:p>
    <w:p w:rsidR="00C60CBA" w:rsidRPr="002D21B6" w:rsidRDefault="008253BD" w:rsidP="0033622D">
      <w:pPr>
        <w:spacing w:line="480" w:lineRule="auto"/>
        <w:ind w:firstLine="510"/>
        <w:rPr>
          <w:rFonts w:ascii="Arial" w:hAnsi="Arial" w:cs="Arial"/>
          <w:sz w:val="24"/>
          <w:szCs w:val="24"/>
        </w:rPr>
      </w:pPr>
      <w:r w:rsidRPr="002476AD">
        <w:rPr>
          <w:rFonts w:ascii="Arial" w:hAnsi="Arial" w:cs="Arial"/>
          <w:sz w:val="24"/>
          <w:szCs w:val="24"/>
        </w:rPr>
        <w:t xml:space="preserve">As mentioned in the Introduction, </w:t>
      </w:r>
      <w:r w:rsidR="003826B5" w:rsidRPr="002476AD">
        <w:rPr>
          <w:rFonts w:ascii="Arial" w:hAnsi="Arial" w:cs="Arial"/>
          <w:sz w:val="24"/>
          <w:szCs w:val="24"/>
        </w:rPr>
        <w:t xml:space="preserve">in Hungary </w:t>
      </w:r>
      <w:r w:rsidRPr="002476AD">
        <w:rPr>
          <w:rFonts w:ascii="Arial" w:hAnsi="Arial" w:cs="Arial"/>
          <w:sz w:val="24"/>
          <w:szCs w:val="24"/>
        </w:rPr>
        <w:t xml:space="preserve">between February 2017 and </w:t>
      </w:r>
      <w:r w:rsidR="00A4098E" w:rsidRPr="002476AD">
        <w:rPr>
          <w:rFonts w:ascii="Arial" w:hAnsi="Arial" w:cs="Arial"/>
          <w:sz w:val="24"/>
          <w:szCs w:val="24"/>
        </w:rPr>
        <w:t>July</w:t>
      </w:r>
      <w:r w:rsidRPr="002476AD">
        <w:rPr>
          <w:rFonts w:ascii="Arial" w:hAnsi="Arial" w:cs="Arial"/>
          <w:sz w:val="24"/>
          <w:szCs w:val="24"/>
        </w:rPr>
        <w:t xml:space="preserve"> 2019 </w:t>
      </w:r>
      <w:r w:rsidR="00A4098E" w:rsidRPr="002476AD">
        <w:rPr>
          <w:rFonts w:ascii="Arial" w:hAnsi="Arial" w:cs="Arial"/>
          <w:sz w:val="24"/>
          <w:szCs w:val="24"/>
        </w:rPr>
        <w:t xml:space="preserve">70 </w:t>
      </w:r>
      <w:r w:rsidRPr="002476AD">
        <w:rPr>
          <w:rFonts w:ascii="Arial" w:hAnsi="Arial" w:cs="Arial"/>
          <w:sz w:val="24"/>
          <w:szCs w:val="24"/>
        </w:rPr>
        <w:t>measles cases were laboratory confirmed according to European Centre for Disease Prevention and Control (ECDC) reports</w:t>
      </w:r>
      <w:r w:rsidR="0095736C" w:rsidRPr="002476AD">
        <w:rPr>
          <w:rFonts w:ascii="Arial" w:hAnsi="Arial" w:cs="Arial"/>
          <w:sz w:val="24"/>
          <w:szCs w:val="24"/>
        </w:rPr>
        <w:t xml:space="preserve"> </w:t>
      </w:r>
      <w:r w:rsidR="0095736C" w:rsidRPr="002476AD">
        <w:rPr>
          <w:rFonts w:ascii="Arial" w:hAnsi="Arial" w:cs="Arial"/>
          <w:sz w:val="24"/>
          <w:szCs w:val="24"/>
        </w:rPr>
        <w:fldChar w:fldCharType="begin" w:fldLock="1"/>
      </w:r>
      <w:r w:rsidR="00491630" w:rsidRPr="002476AD">
        <w:rPr>
          <w:rFonts w:ascii="Arial" w:hAnsi="Arial" w:cs="Arial"/>
          <w:sz w:val="24"/>
          <w:szCs w:val="24"/>
        </w:rPr>
        <w:instrText>ADDIN CSL_CITATION {"citationItems":[{"id":"ITEM-1","itemData":{"author":[{"dropping-particle":"","family":"Ecdc","given":"","non-dropping-particle":"","parse-names":false,"suffix":""}],"id":"ITEM-1","issued":{"date-parts":[["2019"]]},"title":"Monthly measles and rubella monitoring report – August 2019","type":"report"},"uris":["http://www.mendeley.com/documents/?uuid=ffa9b82d-560b-3104-80ce-aef2c221a29a"]}],"mendeley":{"formattedCitation":"[5]","plainTextFormattedCitation":"[5]","previouslyFormattedCitation":"[5]"},"properties":{"noteIndex":0},"schema":"https://github.com/citation-style-language/schema/raw/master/csl-citation.json"}</w:instrText>
      </w:r>
      <w:r w:rsidR="0095736C" w:rsidRPr="002476AD">
        <w:rPr>
          <w:rFonts w:ascii="Arial" w:hAnsi="Arial" w:cs="Arial"/>
          <w:sz w:val="24"/>
          <w:szCs w:val="24"/>
        </w:rPr>
        <w:fldChar w:fldCharType="separate"/>
      </w:r>
      <w:r w:rsidR="0095736C" w:rsidRPr="002476AD">
        <w:rPr>
          <w:rFonts w:ascii="Arial" w:hAnsi="Arial" w:cs="Arial"/>
          <w:noProof/>
          <w:sz w:val="24"/>
          <w:szCs w:val="24"/>
        </w:rPr>
        <w:t>[5]</w:t>
      </w:r>
      <w:r w:rsidR="0095736C" w:rsidRPr="002476AD">
        <w:rPr>
          <w:rFonts w:ascii="Arial" w:hAnsi="Arial" w:cs="Arial"/>
          <w:sz w:val="24"/>
          <w:szCs w:val="24"/>
        </w:rPr>
        <w:fldChar w:fldCharType="end"/>
      </w:r>
      <w:r w:rsidR="00E42C0B" w:rsidRPr="002476AD">
        <w:rPr>
          <w:rFonts w:ascii="Arial" w:hAnsi="Arial" w:cs="Arial"/>
          <w:sz w:val="24"/>
          <w:szCs w:val="24"/>
        </w:rPr>
        <w:t xml:space="preserve">. </w:t>
      </w:r>
      <w:r w:rsidR="00146729" w:rsidRPr="002476AD">
        <w:rPr>
          <w:rFonts w:ascii="Arial" w:hAnsi="Arial" w:cs="Arial"/>
          <w:sz w:val="24"/>
          <w:szCs w:val="24"/>
        </w:rPr>
        <w:t xml:space="preserve">During </w:t>
      </w:r>
      <w:r w:rsidR="00D84E93" w:rsidRPr="002476AD">
        <w:rPr>
          <w:rFonts w:ascii="Arial" w:hAnsi="Arial" w:cs="Arial"/>
          <w:sz w:val="24"/>
          <w:szCs w:val="24"/>
        </w:rPr>
        <w:t xml:space="preserve">the epidemics </w:t>
      </w:r>
      <w:r w:rsidR="000426B5" w:rsidRPr="002476AD">
        <w:rPr>
          <w:rFonts w:ascii="Arial" w:hAnsi="Arial" w:cs="Arial"/>
          <w:sz w:val="24"/>
          <w:szCs w:val="24"/>
        </w:rPr>
        <w:t xml:space="preserve">of </w:t>
      </w:r>
      <w:r w:rsidR="00146729" w:rsidRPr="002476AD">
        <w:rPr>
          <w:rFonts w:ascii="Arial" w:hAnsi="Arial" w:cs="Arial"/>
          <w:sz w:val="24"/>
          <w:szCs w:val="24"/>
        </w:rPr>
        <w:t xml:space="preserve">2017 there have been 36 measles cases in Hungary (5 imported, 26 import-related, 4 unknown/ not reported, and 1 endemic). Regarding the </w:t>
      </w:r>
      <w:r w:rsidR="00AE7AB7" w:rsidRPr="002476AD">
        <w:rPr>
          <w:rFonts w:ascii="Arial" w:hAnsi="Arial" w:cs="Arial"/>
          <w:sz w:val="24"/>
          <w:szCs w:val="24"/>
        </w:rPr>
        <w:t>infections</w:t>
      </w:r>
      <w:r w:rsidR="00146729" w:rsidRPr="002476AD">
        <w:rPr>
          <w:rFonts w:ascii="Arial" w:hAnsi="Arial" w:cs="Arial"/>
          <w:sz w:val="24"/>
          <w:szCs w:val="24"/>
        </w:rPr>
        <w:t xml:space="preserve"> by age group and vaccination status for 2017, according to </w:t>
      </w:r>
      <w:proofErr w:type="gramStart"/>
      <w:r w:rsidR="00146729" w:rsidRPr="002476AD">
        <w:rPr>
          <w:rFonts w:ascii="Arial" w:hAnsi="Arial" w:cs="Arial"/>
          <w:sz w:val="24"/>
          <w:szCs w:val="24"/>
        </w:rPr>
        <w:t>WHO</w:t>
      </w:r>
      <w:proofErr w:type="gramEnd"/>
      <w:r w:rsidR="00146729" w:rsidRPr="002476AD">
        <w:rPr>
          <w:rFonts w:ascii="Arial" w:hAnsi="Arial" w:cs="Arial"/>
          <w:sz w:val="24"/>
          <w:szCs w:val="24"/>
        </w:rPr>
        <w:t xml:space="preserve"> data, </w:t>
      </w:r>
      <w:r w:rsidR="00AE7AB7" w:rsidRPr="002476AD">
        <w:rPr>
          <w:rFonts w:ascii="Arial" w:hAnsi="Arial" w:cs="Arial"/>
          <w:sz w:val="24"/>
          <w:szCs w:val="24"/>
        </w:rPr>
        <w:t xml:space="preserve">among </w:t>
      </w:r>
      <w:r w:rsidR="00146729" w:rsidRPr="002476AD">
        <w:rPr>
          <w:rFonts w:ascii="Arial" w:hAnsi="Arial" w:cs="Arial"/>
          <w:sz w:val="24"/>
          <w:szCs w:val="24"/>
        </w:rPr>
        <w:t>the individuals 20-29 years of age, ≈35% had not been vaccinated, and ≈65% received two or more doses of vaccine. Of individuals older than 30 years, ≈18% had not been vaccinated, ≈24% received one dose, ≈26% received two or more doses of vaccine, and ≈32% were</w:t>
      </w:r>
      <w:r w:rsidR="00AE7AB7" w:rsidRPr="002476AD">
        <w:rPr>
          <w:rFonts w:ascii="Arial" w:hAnsi="Arial" w:cs="Arial"/>
          <w:sz w:val="24"/>
          <w:szCs w:val="24"/>
        </w:rPr>
        <w:t xml:space="preserve"> of unknown vaccination status.</w:t>
      </w:r>
      <w:r w:rsidR="00146729" w:rsidRPr="002476AD">
        <w:rPr>
          <w:rFonts w:ascii="Arial" w:hAnsi="Arial" w:cs="Arial"/>
          <w:sz w:val="24"/>
          <w:szCs w:val="24"/>
        </w:rPr>
        <w:t xml:space="preserve"> Based on these data, it can be hypothesized that in the case of vaccinated adults (</w:t>
      </w:r>
      <w:r w:rsidR="00AE7AB7" w:rsidRPr="002476AD">
        <w:rPr>
          <w:rFonts w:ascii="Arial" w:hAnsi="Arial" w:cs="Arial"/>
          <w:sz w:val="24"/>
          <w:szCs w:val="24"/>
        </w:rPr>
        <w:t>≥</w:t>
      </w:r>
      <w:r w:rsidR="002D21B6" w:rsidRPr="002476AD">
        <w:rPr>
          <w:rFonts w:ascii="Arial" w:hAnsi="Arial" w:cs="Arial"/>
          <w:sz w:val="24"/>
          <w:szCs w:val="24"/>
        </w:rPr>
        <w:t xml:space="preserve"> </w:t>
      </w:r>
      <w:r w:rsidR="00AE7AB7" w:rsidRPr="002476AD">
        <w:rPr>
          <w:rFonts w:ascii="Arial" w:hAnsi="Arial" w:cs="Arial"/>
          <w:sz w:val="24"/>
          <w:szCs w:val="24"/>
        </w:rPr>
        <w:t xml:space="preserve">20 </w:t>
      </w:r>
      <w:r w:rsidR="00146729" w:rsidRPr="002476AD">
        <w:rPr>
          <w:rFonts w:ascii="Arial" w:hAnsi="Arial" w:cs="Arial"/>
          <w:sz w:val="24"/>
          <w:szCs w:val="24"/>
        </w:rPr>
        <w:t xml:space="preserve">years of age), who had received two or more doses of vaccine, vaccine insufficiency may </w:t>
      </w:r>
      <w:r w:rsidR="007D0A6D" w:rsidRPr="002476AD">
        <w:rPr>
          <w:rFonts w:ascii="Arial" w:hAnsi="Arial" w:cs="Arial"/>
          <w:sz w:val="24"/>
          <w:szCs w:val="24"/>
        </w:rPr>
        <w:t xml:space="preserve">have </w:t>
      </w:r>
      <w:r w:rsidR="007B2529" w:rsidRPr="002476AD">
        <w:rPr>
          <w:rFonts w:ascii="Arial" w:hAnsi="Arial" w:cs="Arial"/>
          <w:sz w:val="24"/>
          <w:szCs w:val="24"/>
        </w:rPr>
        <w:t>underlaid</w:t>
      </w:r>
      <w:r w:rsidR="00EE05B2" w:rsidRPr="002476AD">
        <w:rPr>
          <w:rFonts w:ascii="Arial" w:hAnsi="Arial" w:cs="Arial"/>
          <w:sz w:val="24"/>
          <w:szCs w:val="24"/>
        </w:rPr>
        <w:t xml:space="preserve"> </w:t>
      </w:r>
      <w:r w:rsidR="00146729" w:rsidRPr="002476AD">
        <w:rPr>
          <w:rFonts w:ascii="Arial" w:hAnsi="Arial" w:cs="Arial"/>
          <w:sz w:val="24"/>
          <w:szCs w:val="24"/>
        </w:rPr>
        <w:t>the infection</w:t>
      </w:r>
      <w:r w:rsidR="000352C0" w:rsidRPr="002476AD">
        <w:rPr>
          <w:rFonts w:ascii="Arial" w:hAnsi="Arial" w:cs="Arial"/>
          <w:sz w:val="24"/>
          <w:szCs w:val="24"/>
        </w:rPr>
        <w:t>s</w:t>
      </w:r>
      <w:r w:rsidR="007B2529" w:rsidRPr="002476AD">
        <w:rPr>
          <w:rFonts w:ascii="Arial" w:hAnsi="Arial" w:cs="Arial"/>
          <w:sz w:val="24"/>
          <w:szCs w:val="24"/>
        </w:rPr>
        <w:t xml:space="preserve"> </w:t>
      </w:r>
      <w:r w:rsidR="009E6D33" w:rsidRPr="002476AD">
        <w:rPr>
          <w:rFonts w:ascii="Arial" w:hAnsi="Arial" w:cs="Arial"/>
          <w:sz w:val="24"/>
          <w:szCs w:val="24"/>
        </w:rPr>
        <w:fldChar w:fldCharType="begin" w:fldLock="1"/>
      </w:r>
      <w:r w:rsidR="009E6D33" w:rsidRPr="002476AD">
        <w:rPr>
          <w:rFonts w:ascii="Arial" w:hAnsi="Arial" w:cs="Arial"/>
          <w:sz w:val="24"/>
          <w:szCs w:val="24"/>
        </w:rPr>
        <w:instrText>ADDIN CSL_CITATION {"citationItems":[{"id":"ITEM-1","itemData":{"abstract":"Measles and rubella elimination country profile Hungary Measles and rubella immunization schedule, 2017 Source: Immunization schedule, WHO, Data and Statistics, Immunization Monitoring and Surveillance (http://www.who.int/immunization/monitoring_surveillance/data/en/) MMR = measles-mumps-rubella vaccine; MCV1 = first dose measles-containing vaccine; MCV2 = second dose measles-containing vaccine; RCV = rubella-containing vaccine Measles and rubella cases and immunization coverage, 2008-2017 Source: Disease incidence and immunization coverage (WUENIC), WHO, Data and Statistics, Immunization Monitoring and Surveillance","author":[{"dropping-particle":"","family":"Office","given":"Europe","non-dropping-particle":"","parse-names":false,"suffix":""},{"dropping-particle":"","family":"Office","given":"Regional","non-dropping-particle":"","parse-names":false,"suffix":""}],"id":"ITEM-1","issued":{"date-parts":[["2017"]]},"title":"Measles and rubella elimination country profile Hungary","type":"report"},"uris":["http://www.mendeley.com/documents/?uuid=c8287240-8906-3b14-99f7-d42a33676316"]}],"mendeley":{"formattedCitation":"[12]","plainTextFormattedCitation":"[12]","previouslyFormattedCitation":"[12]"},"properties":{"noteIndex":0},"schema":"https://github.com/citation-style-language/schema/raw/master/csl-citation.json"}</w:instrText>
      </w:r>
      <w:r w:rsidR="009E6D33" w:rsidRPr="002476AD">
        <w:rPr>
          <w:rFonts w:ascii="Arial" w:hAnsi="Arial" w:cs="Arial"/>
          <w:sz w:val="24"/>
          <w:szCs w:val="24"/>
        </w:rPr>
        <w:fldChar w:fldCharType="separate"/>
      </w:r>
      <w:r w:rsidR="009E6D33" w:rsidRPr="002476AD">
        <w:rPr>
          <w:rFonts w:ascii="Arial" w:hAnsi="Arial" w:cs="Arial"/>
          <w:noProof/>
          <w:sz w:val="24"/>
          <w:szCs w:val="24"/>
        </w:rPr>
        <w:t>[12]</w:t>
      </w:r>
      <w:r w:rsidR="009E6D33" w:rsidRPr="002476AD">
        <w:rPr>
          <w:rFonts w:ascii="Arial" w:hAnsi="Arial" w:cs="Arial"/>
          <w:sz w:val="24"/>
          <w:szCs w:val="24"/>
        </w:rPr>
        <w:fldChar w:fldCharType="end"/>
      </w:r>
      <w:r w:rsidR="00146729" w:rsidRPr="002476AD">
        <w:rPr>
          <w:rFonts w:ascii="Arial" w:hAnsi="Arial" w:cs="Arial"/>
          <w:sz w:val="24"/>
          <w:szCs w:val="24"/>
        </w:rPr>
        <w:t xml:space="preserve">. </w:t>
      </w:r>
      <w:r w:rsidR="00C3169B" w:rsidRPr="002476AD">
        <w:rPr>
          <w:rFonts w:ascii="Arial" w:hAnsi="Arial" w:cs="Arial"/>
          <w:sz w:val="24"/>
          <w:szCs w:val="24"/>
        </w:rPr>
        <w:t xml:space="preserve">The last </w:t>
      </w:r>
      <w:r w:rsidR="000352C0" w:rsidRPr="002476AD">
        <w:rPr>
          <w:rFonts w:ascii="Arial" w:hAnsi="Arial" w:cs="Arial"/>
          <w:sz w:val="24"/>
          <w:szCs w:val="24"/>
        </w:rPr>
        <w:t>case</w:t>
      </w:r>
      <w:r w:rsidR="000352C0" w:rsidRPr="002D21B6">
        <w:rPr>
          <w:rFonts w:ascii="Arial" w:hAnsi="Arial" w:cs="Arial"/>
          <w:sz w:val="24"/>
          <w:szCs w:val="24"/>
        </w:rPr>
        <w:t xml:space="preserve"> of </w:t>
      </w:r>
      <w:proofErr w:type="spellStart"/>
      <w:r w:rsidR="00C3169B" w:rsidRPr="002D21B6">
        <w:rPr>
          <w:rFonts w:ascii="Arial" w:hAnsi="Arial" w:cs="Arial"/>
          <w:sz w:val="24"/>
          <w:szCs w:val="24"/>
        </w:rPr>
        <w:t>parotitis</w:t>
      </w:r>
      <w:proofErr w:type="spellEnd"/>
      <w:r w:rsidR="00C3169B" w:rsidRPr="002D21B6">
        <w:rPr>
          <w:rFonts w:ascii="Arial" w:hAnsi="Arial" w:cs="Arial"/>
          <w:sz w:val="24"/>
          <w:szCs w:val="24"/>
        </w:rPr>
        <w:t xml:space="preserve"> </w:t>
      </w:r>
      <w:proofErr w:type="spellStart"/>
      <w:r w:rsidR="00C3169B" w:rsidRPr="002D21B6">
        <w:rPr>
          <w:rFonts w:ascii="Arial" w:hAnsi="Arial" w:cs="Arial"/>
          <w:sz w:val="24"/>
          <w:szCs w:val="24"/>
        </w:rPr>
        <w:t>epidemica</w:t>
      </w:r>
      <w:proofErr w:type="spellEnd"/>
      <w:r w:rsidR="00C3169B" w:rsidRPr="002D21B6">
        <w:rPr>
          <w:rFonts w:ascii="Arial" w:hAnsi="Arial" w:cs="Arial"/>
          <w:sz w:val="24"/>
          <w:szCs w:val="24"/>
        </w:rPr>
        <w:t xml:space="preserve"> </w:t>
      </w:r>
      <w:r w:rsidR="000352C0" w:rsidRPr="002D21B6">
        <w:rPr>
          <w:rFonts w:ascii="Arial" w:hAnsi="Arial" w:cs="Arial"/>
          <w:sz w:val="24"/>
          <w:szCs w:val="24"/>
        </w:rPr>
        <w:t xml:space="preserve">reported in </w:t>
      </w:r>
      <w:r w:rsidR="000352C0" w:rsidRPr="002D21B6">
        <w:rPr>
          <w:rFonts w:ascii="Arial" w:hAnsi="Arial" w:cs="Arial"/>
          <w:sz w:val="24"/>
          <w:szCs w:val="24"/>
        </w:rPr>
        <w:lastRenderedPageBreak/>
        <w:t xml:space="preserve">Hungary </w:t>
      </w:r>
      <w:r w:rsidR="00C3169B" w:rsidRPr="002D21B6">
        <w:rPr>
          <w:rFonts w:ascii="Arial" w:hAnsi="Arial" w:cs="Arial"/>
          <w:sz w:val="24"/>
          <w:szCs w:val="24"/>
        </w:rPr>
        <w:t xml:space="preserve">was a non-vaccinated 35 year old man, who became infected during the summer of 2018. Between 2012- 2016 Hungary reported 21 mumps cases </w:t>
      </w:r>
      <w:r w:rsidR="00C3169B" w:rsidRPr="002D21B6">
        <w:rPr>
          <w:rFonts w:ascii="Arial" w:hAnsi="Arial" w:cs="Arial"/>
          <w:sz w:val="24"/>
          <w:szCs w:val="24"/>
        </w:rPr>
        <w:fldChar w:fldCharType="begin" w:fldLock="1"/>
      </w:r>
      <w:r w:rsidR="009E6D33" w:rsidRPr="002D21B6">
        <w:rPr>
          <w:rFonts w:ascii="Arial" w:hAnsi="Arial" w:cs="Arial"/>
          <w:sz w:val="24"/>
          <w:szCs w:val="24"/>
        </w:rPr>
        <w:instrText>ADDIN CSL_CITATION {"citationItems":[{"id":"ITEM-1","itemData":{"author":[{"dropping-particle":"","family":"ECDC","given":"","non-dropping-particle":"","parse-names":false,"suffix":""}],"id":"ITEM-1","issued":{"date-parts":[["0"]]},"title":"SURVEILLANCE REPORT-Annual Epidemiological Report for 2016","type":"report"},"uris":["http://www.mendeley.com/documents/?uuid=cede93a5-56bd-3aca-a83c-e469020bd593"]},{"id":"ITEM-2","itemData":{"abstract":"Measles and rubella elimination country profile Hungary Measles and rubella immunization schedule, 2017 Source: Immunization schedule, WHO, Data and Statistics, Immunization Monitoring and Surveillance (http://www.who.int/immunization/monitoring_surveillance/data/en/) MMR = measles-mumps-rubella vaccine; MCV1 = first dose measles-containing vaccine; MCV2 = second dose measles-containing vaccine; RCV = rubella-containing vaccine Measles and rubella cases and immunization coverage, 2008-2017 Source: Disease incidence and immunization coverage (WUENIC), WHO, Data and Statistics, Immunization Monitoring and Surveillance","author":[{"dropping-particle":"","family":"Office","given":"Europe","non-dropping-particle":"","parse-names":false,"suffix":""},{"dropping-particle":"","family":"Office","given":"Regional","non-dropping-particle":"","parse-names":false,"suffix":""}],"id":"ITEM-2","issued":{"date-parts":[["2017"]]},"title":"Measles and rubella elimination country profile Hungary","type":"report"},"uris":["http://www.mendeley.com/documents/?uuid=c8287240-8906-3b14-99f7-d42a33676316"]}],"mendeley":{"formattedCitation":"[12,26]","plainTextFormattedCitation":"[12,26]","previouslyFormattedCitation":"[12,26]"},"properties":{"noteIndex":0},"schema":"https://github.com/citation-style-language/schema/raw/master/csl-citation.json"}</w:instrText>
      </w:r>
      <w:r w:rsidR="00C3169B" w:rsidRPr="002D21B6">
        <w:rPr>
          <w:rFonts w:ascii="Arial" w:hAnsi="Arial" w:cs="Arial"/>
          <w:sz w:val="24"/>
          <w:szCs w:val="24"/>
        </w:rPr>
        <w:fldChar w:fldCharType="separate"/>
      </w:r>
      <w:r w:rsidR="00FA346C" w:rsidRPr="002D21B6">
        <w:rPr>
          <w:rFonts w:ascii="Arial" w:hAnsi="Arial" w:cs="Arial"/>
          <w:noProof/>
          <w:sz w:val="24"/>
          <w:szCs w:val="24"/>
        </w:rPr>
        <w:t>[12,26]</w:t>
      </w:r>
      <w:r w:rsidR="00C3169B" w:rsidRPr="002D21B6">
        <w:rPr>
          <w:rFonts w:ascii="Arial" w:hAnsi="Arial" w:cs="Arial"/>
          <w:sz w:val="24"/>
          <w:szCs w:val="24"/>
        </w:rPr>
        <w:fldChar w:fldCharType="end"/>
      </w:r>
      <w:r w:rsidR="00C3169B" w:rsidRPr="002D21B6">
        <w:rPr>
          <w:rFonts w:ascii="Arial" w:hAnsi="Arial" w:cs="Arial"/>
          <w:sz w:val="24"/>
          <w:szCs w:val="24"/>
        </w:rPr>
        <w:t xml:space="preserve">. In the 2007 local mumps outbreak, the epidemic started from an individual who returned home from Ukraine in December 2007. </w:t>
      </w:r>
      <w:r w:rsidR="00C3169B" w:rsidRPr="002476AD">
        <w:rPr>
          <w:rFonts w:ascii="Arial" w:hAnsi="Arial" w:cs="Arial"/>
          <w:sz w:val="24"/>
          <w:szCs w:val="24"/>
        </w:rPr>
        <w:t xml:space="preserve">Soon after his case, individuals from his personal connections became affected (later all 9 </w:t>
      </w:r>
      <w:r w:rsidR="000352C0" w:rsidRPr="002476AD">
        <w:rPr>
          <w:rFonts w:ascii="Arial" w:hAnsi="Arial" w:cs="Arial"/>
          <w:sz w:val="24"/>
          <w:szCs w:val="24"/>
        </w:rPr>
        <w:t>cases</w:t>
      </w:r>
      <w:r w:rsidR="000352C0" w:rsidRPr="002476AD">
        <w:rPr>
          <w:rFonts w:ascii="Arial" w:hAnsi="Arial" w:cs="Arial"/>
          <w:b/>
          <w:bCs/>
          <w:sz w:val="21"/>
          <w:szCs w:val="21"/>
          <w:shd w:val="clear" w:color="auto" w:fill="FFFFFF"/>
        </w:rPr>
        <w:t xml:space="preserve"> </w:t>
      </w:r>
      <w:r w:rsidR="00C3169B" w:rsidRPr="002476AD">
        <w:rPr>
          <w:rFonts w:ascii="Arial" w:hAnsi="Arial" w:cs="Arial"/>
          <w:sz w:val="24"/>
          <w:szCs w:val="24"/>
        </w:rPr>
        <w:t>were laboratory confirmed).</w:t>
      </w:r>
      <w:r w:rsidR="00C3169B" w:rsidRPr="002476AD">
        <w:t xml:space="preserve"> </w:t>
      </w:r>
      <w:r w:rsidR="00C3169B" w:rsidRPr="002476AD">
        <w:rPr>
          <w:rFonts w:ascii="Arial" w:hAnsi="Arial" w:cs="Arial"/>
          <w:sz w:val="24"/>
          <w:szCs w:val="24"/>
        </w:rPr>
        <w:t xml:space="preserve">Previously, in 2003, comparably small outbreaks were reported in close communities of unvaccinated people (student houses, schools) </w:t>
      </w:r>
      <w:r w:rsidR="00C3169B" w:rsidRPr="002476AD">
        <w:rPr>
          <w:rFonts w:ascii="Arial" w:hAnsi="Arial" w:cs="Arial"/>
          <w:sz w:val="24"/>
          <w:szCs w:val="24"/>
        </w:rPr>
        <w:fldChar w:fldCharType="begin" w:fldLock="1"/>
      </w:r>
      <w:r w:rsidR="00C3169B" w:rsidRPr="002476AD">
        <w:rPr>
          <w:rFonts w:ascii="Arial" w:hAnsi="Arial" w:cs="Arial"/>
          <w:sz w:val="24"/>
          <w:szCs w:val="24"/>
        </w:rPr>
        <w:instrText>ADDIN CSL_CITATION {"citationItems":[{"id":"ITEM-1","itemData":{"DOI":"10.2807/esw.12.13.03167-en","ISSN":"9999-1233","abstract":"Nine cases of mumps have been reported recently in a village in Heves County in northern Hungary. The illnesses occurred between 5 January and 24 February 2007, and were epidemiologically related and laboratory-confirmed.","author":[{"dropping-particle":"","family":"Molnár","given":"Z","non-dropping-particle":"","parse-names":false,"suffix":""},{"dropping-particle":"","family":"Szomor","given":"K","non-dropping-particle":"","parse-names":false,"suffix":""},{"dropping-particle":"","family":"Huszti","given":"G","non-dropping-particle":"","parse-names":false,"suffix":""},{"dropping-particle":"","family":"Ozsvárné Csepregi","given":"É","non-dropping-particle":"","parse-names":false,"suffix":""}],"container-title":"Weekly releases (1997–2007)","id":"ITEM-1","issue":"13","issued":{"date-parts":[["2007","3","29"]]},"page":"3167","publisher":"European Centre for Disease Prevention and Control","title":"Local mumps outbreak in Hungary, 2007","type":"article-journal","volume":"12"},"uris":["http://www.mendeley.com/documents/?uuid=ff0e8054-bf14-3bfd-a7a3-a5fccbb1fe23"]}],"mendeley":{"formattedCitation":"[11]","plainTextFormattedCitation":"[11]","previouslyFormattedCitation":"[11]"},"properties":{"noteIndex":0},"schema":"https://github.com/citation-style-language/schema/raw/master/csl-citation.json"}</w:instrText>
      </w:r>
      <w:r w:rsidR="00C3169B" w:rsidRPr="002476AD">
        <w:rPr>
          <w:rFonts w:ascii="Arial" w:hAnsi="Arial" w:cs="Arial"/>
          <w:sz w:val="24"/>
          <w:szCs w:val="24"/>
        </w:rPr>
        <w:fldChar w:fldCharType="separate"/>
      </w:r>
      <w:r w:rsidR="00C3169B" w:rsidRPr="002476AD">
        <w:rPr>
          <w:rFonts w:ascii="Arial" w:hAnsi="Arial" w:cs="Arial"/>
          <w:noProof/>
          <w:sz w:val="24"/>
          <w:szCs w:val="24"/>
        </w:rPr>
        <w:t>[11]</w:t>
      </w:r>
      <w:r w:rsidR="00C3169B" w:rsidRPr="002476AD">
        <w:rPr>
          <w:rFonts w:ascii="Arial" w:hAnsi="Arial" w:cs="Arial"/>
          <w:sz w:val="24"/>
          <w:szCs w:val="24"/>
        </w:rPr>
        <w:fldChar w:fldCharType="end"/>
      </w:r>
      <w:r w:rsidR="00C3169B" w:rsidRPr="002476AD">
        <w:rPr>
          <w:rFonts w:ascii="Arial" w:hAnsi="Arial" w:cs="Arial"/>
          <w:sz w:val="24"/>
          <w:szCs w:val="24"/>
        </w:rPr>
        <w:t xml:space="preserve">. </w:t>
      </w:r>
      <w:r w:rsidR="00B67C64" w:rsidRPr="002476AD">
        <w:rPr>
          <w:rFonts w:ascii="Arial" w:hAnsi="Arial" w:cs="Arial"/>
          <w:sz w:val="24"/>
          <w:szCs w:val="24"/>
        </w:rPr>
        <w:t>Considering rubella i</w:t>
      </w:r>
      <w:r w:rsidR="00C3169B" w:rsidRPr="002476AD">
        <w:rPr>
          <w:rFonts w:ascii="Arial" w:hAnsi="Arial" w:cs="Arial"/>
          <w:sz w:val="24"/>
          <w:szCs w:val="24"/>
        </w:rPr>
        <w:t>n Hungary</w:t>
      </w:r>
      <w:r w:rsidR="00B67C64" w:rsidRPr="002476AD">
        <w:rPr>
          <w:rFonts w:ascii="Arial" w:hAnsi="Arial" w:cs="Arial"/>
          <w:sz w:val="24"/>
          <w:szCs w:val="24"/>
        </w:rPr>
        <w:t>,</w:t>
      </w:r>
      <w:r w:rsidR="00C3169B" w:rsidRPr="002476AD">
        <w:rPr>
          <w:rFonts w:ascii="Arial" w:hAnsi="Arial" w:cs="Arial"/>
          <w:sz w:val="24"/>
          <w:szCs w:val="24"/>
        </w:rPr>
        <w:t xml:space="preserve"> between 2007-2018 WHO reported only 10 known cases </w:t>
      </w:r>
      <w:r w:rsidR="00C3169B" w:rsidRPr="002476AD">
        <w:rPr>
          <w:rFonts w:ascii="Arial" w:hAnsi="Arial" w:cs="Arial"/>
          <w:sz w:val="24"/>
          <w:szCs w:val="24"/>
        </w:rPr>
        <w:fldChar w:fldCharType="begin" w:fldLock="1"/>
      </w:r>
      <w:r w:rsidR="009E6D33" w:rsidRPr="002476AD">
        <w:rPr>
          <w:rFonts w:ascii="Arial" w:hAnsi="Arial" w:cs="Arial"/>
          <w:sz w:val="24"/>
          <w:szCs w:val="24"/>
        </w:rPr>
        <w:instrText>ADDIN CSL_CITATION {"citationItems":[{"id":"ITEM-1","itemData":{"abstract":"Measles and rubella elimination country profile Hungary Measles and rubella immunization schedule, 2017 Source: Immunization schedule, WHO, Data and Statistics, Immunization Monitoring and Surveillance (http://www.who.int/immunization/monitoring_surveillance/data/en/) MMR = measles-mumps-rubella vaccine; MCV1 = first dose measles-containing vaccine; MCV2 = second dose measles-containing vaccine; RCV = rubella-containing vaccine Measles and rubella cases and immunization coverage, 2008-2017 Source: Disease incidence and immunization coverage (WUENIC), WHO, Data and Statistics, Immunization Monitoring and Surveillance","author":[{"dropping-particle":"","family":"Office","given":"Europe","non-dropping-particle":"","parse-names":false,"suffix":""},{"dropping-particle":"","family":"Office","given":"Regional","non-dropping-particle":"","parse-names":false,"suffix":""}],"id":"ITEM-1","issued":{"date-parts":[["2017"]]},"title":"Measles and rubella elimination country profile Hungary","type":"report"},"uris":["http://www.mendeley.com/documents/?uuid=c8287240-8906-3b14-99f7-d42a33676316"]}],"mendeley":{"formattedCitation":"[12]","plainTextFormattedCitation":"[12]","previouslyFormattedCitation":"[12]"},"properties":{"noteIndex":0},"schema":"https://github.com/citation-style-language/schema/raw/master/csl-citation.json"}</w:instrText>
      </w:r>
      <w:r w:rsidR="00C3169B" w:rsidRPr="002476AD">
        <w:rPr>
          <w:rFonts w:ascii="Arial" w:hAnsi="Arial" w:cs="Arial"/>
          <w:sz w:val="24"/>
          <w:szCs w:val="24"/>
        </w:rPr>
        <w:fldChar w:fldCharType="separate"/>
      </w:r>
      <w:r w:rsidR="00D8279F" w:rsidRPr="002476AD">
        <w:rPr>
          <w:rFonts w:ascii="Arial" w:hAnsi="Arial" w:cs="Arial"/>
          <w:noProof/>
          <w:sz w:val="24"/>
          <w:szCs w:val="24"/>
        </w:rPr>
        <w:t>[12]</w:t>
      </w:r>
      <w:r w:rsidR="00C3169B" w:rsidRPr="002476AD">
        <w:rPr>
          <w:rFonts w:ascii="Arial" w:hAnsi="Arial" w:cs="Arial"/>
          <w:sz w:val="24"/>
          <w:szCs w:val="24"/>
        </w:rPr>
        <w:fldChar w:fldCharType="end"/>
      </w:r>
      <w:r w:rsidR="00C3169B" w:rsidRPr="002476AD">
        <w:rPr>
          <w:rFonts w:ascii="Arial" w:hAnsi="Arial" w:cs="Arial"/>
          <w:sz w:val="24"/>
          <w:szCs w:val="24"/>
        </w:rPr>
        <w:t xml:space="preserve">. </w:t>
      </w:r>
      <w:r w:rsidR="00907280" w:rsidRPr="002476AD">
        <w:rPr>
          <w:rFonts w:ascii="Arial" w:hAnsi="Arial" w:cs="Arial"/>
          <w:sz w:val="24"/>
          <w:szCs w:val="24"/>
        </w:rPr>
        <w:t xml:space="preserve">This is a significant development compared to the end of </w:t>
      </w:r>
      <w:r w:rsidR="00B67C64" w:rsidRPr="002476AD">
        <w:rPr>
          <w:rFonts w:ascii="Arial" w:hAnsi="Arial" w:cs="Arial"/>
          <w:sz w:val="24"/>
          <w:szCs w:val="24"/>
        </w:rPr>
        <w:t>19</w:t>
      </w:r>
      <w:r w:rsidR="00695106">
        <w:rPr>
          <w:rFonts w:ascii="Arial" w:hAnsi="Arial" w:cs="Arial"/>
          <w:sz w:val="24"/>
          <w:szCs w:val="24"/>
        </w:rPr>
        <w:t>90</w:t>
      </w:r>
      <w:r w:rsidR="00907280" w:rsidRPr="002476AD">
        <w:rPr>
          <w:rFonts w:ascii="Arial" w:hAnsi="Arial" w:cs="Arial"/>
          <w:sz w:val="24"/>
          <w:szCs w:val="24"/>
        </w:rPr>
        <w:t>s and beginning of 2000</w:t>
      </w:r>
      <w:r w:rsidR="00D00642" w:rsidRPr="002476AD">
        <w:rPr>
          <w:rFonts w:ascii="Arial" w:hAnsi="Arial" w:cs="Arial"/>
          <w:sz w:val="24"/>
          <w:szCs w:val="24"/>
        </w:rPr>
        <w:t>s</w:t>
      </w:r>
      <w:r w:rsidR="00907280" w:rsidRPr="002476AD">
        <w:rPr>
          <w:rFonts w:ascii="Arial" w:hAnsi="Arial" w:cs="Arial"/>
          <w:sz w:val="24"/>
          <w:szCs w:val="24"/>
        </w:rPr>
        <w:t xml:space="preserve">, when ~100 rubella cases per year were reported </w:t>
      </w:r>
      <w:r w:rsidR="00505D67" w:rsidRPr="002476AD">
        <w:rPr>
          <w:rFonts w:ascii="Arial" w:hAnsi="Arial" w:cs="Arial"/>
          <w:sz w:val="24"/>
          <w:szCs w:val="24"/>
        </w:rPr>
        <w:t>(</w:t>
      </w:r>
      <w:r w:rsidR="00907280" w:rsidRPr="002476AD">
        <w:rPr>
          <w:rFonts w:ascii="Arial" w:hAnsi="Arial" w:cs="Arial"/>
          <w:sz w:val="24"/>
          <w:szCs w:val="24"/>
        </w:rPr>
        <w:t>WHO statistics</w:t>
      </w:r>
      <w:r w:rsidR="00505D67" w:rsidRPr="002476AD">
        <w:rPr>
          <w:rFonts w:ascii="Arial" w:hAnsi="Arial" w:cs="Arial"/>
          <w:sz w:val="24"/>
          <w:szCs w:val="24"/>
        </w:rPr>
        <w:t>)</w:t>
      </w:r>
      <w:r w:rsidR="00907280" w:rsidRPr="002476AD">
        <w:rPr>
          <w:rFonts w:ascii="Arial" w:hAnsi="Arial" w:cs="Arial"/>
          <w:sz w:val="24"/>
          <w:szCs w:val="24"/>
        </w:rPr>
        <w:t xml:space="preserve">. </w:t>
      </w:r>
      <w:r w:rsidR="00505D67" w:rsidRPr="002476AD">
        <w:rPr>
          <w:rFonts w:ascii="Arial" w:hAnsi="Arial" w:cs="Arial"/>
          <w:sz w:val="24"/>
          <w:szCs w:val="24"/>
        </w:rPr>
        <w:t>By</w:t>
      </w:r>
      <w:r w:rsidR="00907280" w:rsidRPr="002476AD">
        <w:rPr>
          <w:rFonts w:ascii="Arial" w:hAnsi="Arial" w:cs="Arial"/>
          <w:sz w:val="24"/>
          <w:szCs w:val="24"/>
        </w:rPr>
        <w:t xml:space="preserve"> 2006 this number decreased by 80% (22 reported cases in year 2006).</w:t>
      </w:r>
      <w:r w:rsidR="008D62C1" w:rsidRPr="002476AD">
        <w:rPr>
          <w:rFonts w:ascii="Arial" w:hAnsi="Arial" w:cs="Arial"/>
          <w:sz w:val="24"/>
          <w:szCs w:val="24"/>
        </w:rPr>
        <w:t xml:space="preserve"> </w:t>
      </w:r>
      <w:r w:rsidR="00C3169B" w:rsidRPr="002476AD">
        <w:rPr>
          <w:rFonts w:ascii="Arial" w:hAnsi="Arial" w:cs="Arial"/>
          <w:sz w:val="24"/>
          <w:szCs w:val="24"/>
        </w:rPr>
        <w:t>Measles, mumps and rubella stati</w:t>
      </w:r>
      <w:r w:rsidR="002B3455" w:rsidRPr="002476AD">
        <w:rPr>
          <w:rFonts w:ascii="Arial" w:hAnsi="Arial" w:cs="Arial"/>
          <w:sz w:val="24"/>
          <w:szCs w:val="24"/>
        </w:rPr>
        <w:t xml:space="preserve">stics (cases per year) </w:t>
      </w:r>
      <w:r w:rsidR="00C3169B" w:rsidRPr="002476AD">
        <w:rPr>
          <w:rFonts w:ascii="Arial" w:hAnsi="Arial" w:cs="Arial"/>
          <w:sz w:val="24"/>
          <w:szCs w:val="24"/>
        </w:rPr>
        <w:t xml:space="preserve">are shown in Suppl. Fig. </w:t>
      </w:r>
      <w:r w:rsidR="003D0FAB" w:rsidRPr="002476AD">
        <w:rPr>
          <w:rFonts w:ascii="Arial" w:hAnsi="Arial" w:cs="Arial"/>
          <w:sz w:val="24"/>
          <w:szCs w:val="24"/>
        </w:rPr>
        <w:t>S</w:t>
      </w:r>
      <w:r w:rsidR="00F21DBD" w:rsidRPr="002476AD">
        <w:rPr>
          <w:rFonts w:ascii="Arial" w:hAnsi="Arial" w:cs="Arial"/>
          <w:sz w:val="24"/>
          <w:szCs w:val="24"/>
        </w:rPr>
        <w:t>2</w:t>
      </w:r>
      <w:r w:rsidR="00C3169B" w:rsidRPr="002476AD">
        <w:rPr>
          <w:rFonts w:ascii="Arial" w:hAnsi="Arial" w:cs="Arial"/>
          <w:sz w:val="24"/>
          <w:szCs w:val="24"/>
        </w:rPr>
        <w:t>.</w:t>
      </w:r>
      <w:r w:rsidR="00C60CBA" w:rsidRPr="002D21B6">
        <w:rPr>
          <w:rFonts w:ascii="Arial" w:hAnsi="Arial" w:cs="Arial"/>
          <w:sz w:val="24"/>
          <w:szCs w:val="24"/>
        </w:rPr>
        <w:t xml:space="preserve"> </w:t>
      </w:r>
    </w:p>
    <w:p w:rsidR="00DB1B82" w:rsidRPr="002D21B6" w:rsidRDefault="008253BD" w:rsidP="00272AA1">
      <w:pPr>
        <w:spacing w:line="480" w:lineRule="auto"/>
        <w:ind w:firstLine="510"/>
        <w:rPr>
          <w:rFonts w:ascii="Arial" w:hAnsi="Arial" w:cs="Arial"/>
          <w:strike/>
          <w:sz w:val="24"/>
          <w:szCs w:val="24"/>
        </w:rPr>
      </w:pPr>
      <w:r w:rsidRPr="002D21B6">
        <w:rPr>
          <w:rFonts w:ascii="Arial" w:hAnsi="Arial" w:cs="Arial"/>
          <w:sz w:val="24"/>
          <w:szCs w:val="24"/>
        </w:rPr>
        <w:t>In 1969 the measles vaccine was introduced in Hungary in the form of live, attenuated Leningrad-16 strain vaccine, produced in the former Soviet Union. Between 1969 and 1974, a single dose of vaccine was administered in campaigns to individuals of 9-27 months</w:t>
      </w:r>
      <w:r w:rsidR="00821CCD" w:rsidRPr="002D21B6">
        <w:rPr>
          <w:rFonts w:ascii="Arial" w:hAnsi="Arial" w:cs="Arial"/>
          <w:sz w:val="24"/>
          <w:szCs w:val="24"/>
        </w:rPr>
        <w:t xml:space="preserve"> </w:t>
      </w:r>
      <w:r w:rsidR="001C0EE6" w:rsidRPr="002D21B6">
        <w:rPr>
          <w:rFonts w:ascii="Arial" w:hAnsi="Arial" w:cs="Arial"/>
          <w:sz w:val="24"/>
          <w:szCs w:val="24"/>
        </w:rPr>
        <w:fldChar w:fldCharType="begin" w:fldLock="1"/>
      </w:r>
      <w:r w:rsidR="00491630" w:rsidRPr="002D21B6">
        <w:rPr>
          <w:rFonts w:ascii="Arial" w:hAnsi="Arial" w:cs="Arial"/>
          <w:sz w:val="24"/>
          <w:szCs w:val="24"/>
        </w:rPr>
        <w:instrText>ADDIN CSL_CITATION {"citationItems":[{"id":"ITEM-1","itemData":{"URL":"https://www.cdc.gov/mmwr/preview/mmwrhtml/00001472.htm","accessed":{"date-parts":[["2018","5","3"]]},"id":"ITEM-1","issued":{"date-parts":[["0"]]},"title":"International Notes Measles -- Hungary","type":"webpage"},"uris":["http://www.mendeley.com/documents/?uuid=edc2c5ce-02f4-3201-b824-2472edd8131c"]}],"mendeley":{"formattedCitation":"[27]","plainTextFormattedCitation":"[27]","previouslyFormattedCitation":"[27]"},"properties":{"noteIndex":0},"schema":"https://github.com/citation-style-language/schema/raw/master/csl-citation.json"}</w:instrText>
      </w:r>
      <w:r w:rsidR="001C0EE6" w:rsidRPr="002D21B6">
        <w:rPr>
          <w:rFonts w:ascii="Arial" w:hAnsi="Arial" w:cs="Arial"/>
          <w:sz w:val="24"/>
          <w:szCs w:val="24"/>
        </w:rPr>
        <w:fldChar w:fldCharType="separate"/>
      </w:r>
      <w:r w:rsidR="00491630" w:rsidRPr="002D21B6">
        <w:rPr>
          <w:rFonts w:ascii="Arial" w:hAnsi="Arial" w:cs="Arial"/>
          <w:noProof/>
          <w:sz w:val="24"/>
          <w:szCs w:val="24"/>
        </w:rPr>
        <w:t>[27]</w:t>
      </w:r>
      <w:r w:rsidR="001C0EE6" w:rsidRPr="002D21B6">
        <w:rPr>
          <w:rFonts w:ascii="Arial" w:hAnsi="Arial" w:cs="Arial"/>
          <w:sz w:val="24"/>
          <w:szCs w:val="24"/>
        </w:rPr>
        <w:fldChar w:fldCharType="end"/>
      </w:r>
      <w:r w:rsidR="001C0EE6" w:rsidRPr="002D21B6">
        <w:rPr>
          <w:rFonts w:ascii="Arial" w:hAnsi="Arial" w:cs="Arial"/>
          <w:sz w:val="24"/>
          <w:szCs w:val="24"/>
        </w:rPr>
        <w:t>.</w:t>
      </w:r>
      <w:r w:rsidR="000175F9" w:rsidRPr="002D21B6">
        <w:rPr>
          <w:rFonts w:ascii="Arial" w:hAnsi="Arial" w:cs="Arial"/>
          <w:sz w:val="24"/>
          <w:szCs w:val="24"/>
        </w:rPr>
        <w:t xml:space="preserve"> After vaccination was implemented, the incidence rate decreased until 1973-</w:t>
      </w:r>
      <w:r w:rsidR="00AC2435">
        <w:rPr>
          <w:rFonts w:ascii="Arial" w:hAnsi="Arial" w:cs="Arial"/>
          <w:sz w:val="24"/>
          <w:szCs w:val="24"/>
        </w:rPr>
        <w:t>19</w:t>
      </w:r>
      <w:r w:rsidR="000175F9" w:rsidRPr="002D21B6">
        <w:rPr>
          <w:rFonts w:ascii="Arial" w:hAnsi="Arial" w:cs="Arial"/>
          <w:sz w:val="24"/>
          <w:szCs w:val="24"/>
        </w:rPr>
        <w:t>74, when large epidemics occurred primarily in unvaccinated 6-9-year-olds</w:t>
      </w:r>
      <w:r w:rsidR="00334D34" w:rsidRPr="002D21B6">
        <w:rPr>
          <w:rFonts w:ascii="Arial" w:hAnsi="Arial" w:cs="Arial"/>
          <w:sz w:val="24"/>
          <w:szCs w:val="24"/>
        </w:rPr>
        <w:t xml:space="preserve"> </w:t>
      </w:r>
      <w:r w:rsidR="000175F9" w:rsidRPr="002D21B6">
        <w:rPr>
          <w:rFonts w:ascii="Arial" w:hAnsi="Arial" w:cs="Arial"/>
          <w:sz w:val="24"/>
          <w:szCs w:val="24"/>
        </w:rPr>
        <w:fldChar w:fldCharType="begin" w:fldLock="1"/>
      </w:r>
      <w:r w:rsidR="00491630" w:rsidRPr="002D21B6">
        <w:rPr>
          <w:rFonts w:ascii="Arial" w:hAnsi="Arial" w:cs="Arial"/>
          <w:sz w:val="24"/>
          <w:szCs w:val="24"/>
        </w:rPr>
        <w:instrText>ADDIN CSL_CITATION {"citationItems":[{"id":"ITEM-1","itemData":{"URL":"https://www.cdc.gov/mmwr/preview/mmwrhtml/00001472.htm","accessed":{"date-parts":[["2018","5","3"]]},"id":"ITEM-1","issued":{"date-parts":[["0"]]},"title":"International Notes Measles -- Hungary","type":"webpage"},"uris":["http://www.mendeley.com/documents/?uuid=edc2c5ce-02f4-3201-b824-2472edd8131c"]}],"mendeley":{"formattedCitation":"[27]","plainTextFormattedCitation":"[27]","previouslyFormattedCitation":"[27]"},"properties":{"noteIndex":0},"schema":"https://github.com/citation-style-language/schema/raw/master/csl-citation.json"}</w:instrText>
      </w:r>
      <w:r w:rsidR="000175F9" w:rsidRPr="002D21B6">
        <w:rPr>
          <w:rFonts w:ascii="Arial" w:hAnsi="Arial" w:cs="Arial"/>
          <w:sz w:val="24"/>
          <w:szCs w:val="24"/>
        </w:rPr>
        <w:fldChar w:fldCharType="separate"/>
      </w:r>
      <w:r w:rsidR="00491630" w:rsidRPr="002D21B6">
        <w:rPr>
          <w:rFonts w:ascii="Arial" w:hAnsi="Arial" w:cs="Arial"/>
          <w:noProof/>
          <w:sz w:val="24"/>
          <w:szCs w:val="24"/>
        </w:rPr>
        <w:t>[27]</w:t>
      </w:r>
      <w:r w:rsidR="000175F9" w:rsidRPr="002D21B6">
        <w:rPr>
          <w:rFonts w:ascii="Arial" w:hAnsi="Arial" w:cs="Arial"/>
          <w:sz w:val="24"/>
          <w:szCs w:val="24"/>
        </w:rPr>
        <w:fldChar w:fldCharType="end"/>
      </w:r>
      <w:r w:rsidR="000175F9" w:rsidRPr="002D21B6">
        <w:rPr>
          <w:rFonts w:ascii="Arial" w:hAnsi="Arial" w:cs="Arial"/>
          <w:sz w:val="24"/>
          <w:szCs w:val="24"/>
        </w:rPr>
        <w:t xml:space="preserve">, questioning the effectiveness of the early </w:t>
      </w:r>
      <w:r w:rsidR="001C0EE6" w:rsidRPr="002D21B6">
        <w:rPr>
          <w:rFonts w:ascii="Arial" w:hAnsi="Arial" w:cs="Arial"/>
          <w:sz w:val="24"/>
          <w:szCs w:val="24"/>
        </w:rPr>
        <w:t>vaccination program</w:t>
      </w:r>
      <w:r w:rsidR="00E4409D" w:rsidRPr="002D21B6">
        <w:rPr>
          <w:rFonts w:ascii="Arial" w:hAnsi="Arial" w:cs="Arial"/>
          <w:sz w:val="24"/>
          <w:szCs w:val="24"/>
        </w:rPr>
        <w:t>me</w:t>
      </w:r>
      <w:r w:rsidR="001C0EE6" w:rsidRPr="002D21B6">
        <w:rPr>
          <w:rFonts w:ascii="Arial" w:hAnsi="Arial" w:cs="Arial"/>
          <w:sz w:val="24"/>
          <w:szCs w:val="24"/>
        </w:rPr>
        <w:t>.</w:t>
      </w:r>
      <w:r w:rsidR="000175F9" w:rsidRPr="002D21B6">
        <w:rPr>
          <w:rFonts w:ascii="Arial" w:hAnsi="Arial" w:cs="Arial"/>
          <w:sz w:val="24"/>
          <w:szCs w:val="24"/>
        </w:rPr>
        <w:t xml:space="preserve"> </w:t>
      </w:r>
      <w:r w:rsidR="00093824" w:rsidRPr="002D21B6">
        <w:rPr>
          <w:rFonts w:ascii="Arial" w:hAnsi="Arial" w:cs="Arial"/>
          <w:sz w:val="24"/>
          <w:szCs w:val="24"/>
        </w:rPr>
        <w:t>Regarding p</w:t>
      </w:r>
      <w:r w:rsidRPr="002D21B6">
        <w:rPr>
          <w:rFonts w:ascii="Arial" w:hAnsi="Arial" w:cs="Arial"/>
          <w:sz w:val="24"/>
          <w:szCs w:val="24"/>
        </w:rPr>
        <w:t>ost-vaccination humoral immune response</w:t>
      </w:r>
      <w:r w:rsidR="001C0EE6" w:rsidRPr="002D21B6">
        <w:rPr>
          <w:rFonts w:ascii="Arial" w:hAnsi="Arial" w:cs="Arial"/>
          <w:sz w:val="24"/>
          <w:szCs w:val="24"/>
        </w:rPr>
        <w:t>,</w:t>
      </w:r>
      <w:r w:rsidRPr="002D21B6">
        <w:rPr>
          <w:rFonts w:ascii="Arial" w:hAnsi="Arial" w:cs="Arial"/>
          <w:sz w:val="24"/>
          <w:szCs w:val="24"/>
        </w:rPr>
        <w:t xml:space="preserve"> </w:t>
      </w:r>
      <w:r w:rsidR="00093824" w:rsidRPr="002D21B6">
        <w:rPr>
          <w:rFonts w:ascii="Arial" w:hAnsi="Arial" w:cs="Arial"/>
          <w:sz w:val="24"/>
          <w:szCs w:val="24"/>
        </w:rPr>
        <w:t>heterogeneous data are available in</w:t>
      </w:r>
      <w:r w:rsidR="00751182" w:rsidRPr="002D21B6">
        <w:rPr>
          <w:rFonts w:ascii="Arial" w:hAnsi="Arial" w:cs="Arial"/>
          <w:sz w:val="24"/>
          <w:szCs w:val="24"/>
        </w:rPr>
        <w:t xml:space="preserve"> the</w:t>
      </w:r>
      <w:r w:rsidR="00093824" w:rsidRPr="002D21B6">
        <w:rPr>
          <w:rFonts w:ascii="Arial" w:hAnsi="Arial" w:cs="Arial"/>
          <w:sz w:val="24"/>
          <w:szCs w:val="24"/>
        </w:rPr>
        <w:t xml:space="preserve"> literature. </w:t>
      </w:r>
      <w:r w:rsidR="0016476D" w:rsidRPr="002D21B6">
        <w:rPr>
          <w:rFonts w:ascii="Arial" w:hAnsi="Arial" w:cs="Arial"/>
          <w:sz w:val="24"/>
          <w:szCs w:val="24"/>
        </w:rPr>
        <w:t xml:space="preserve">It is generally accepted that the </w:t>
      </w:r>
      <w:r w:rsidR="00033783" w:rsidRPr="002D21B6">
        <w:rPr>
          <w:rFonts w:ascii="Arial" w:hAnsi="Arial" w:cs="Arial"/>
          <w:sz w:val="24"/>
          <w:szCs w:val="24"/>
        </w:rPr>
        <w:t xml:space="preserve">success of vaccination </w:t>
      </w:r>
      <w:r w:rsidR="00F53A24" w:rsidRPr="002D21B6">
        <w:rPr>
          <w:rFonts w:ascii="Arial" w:hAnsi="Arial" w:cs="Arial"/>
          <w:sz w:val="24"/>
          <w:szCs w:val="24"/>
        </w:rPr>
        <w:t>in c</w:t>
      </w:r>
      <w:r w:rsidR="0016476D" w:rsidRPr="002D21B6">
        <w:rPr>
          <w:rFonts w:ascii="Arial" w:hAnsi="Arial" w:cs="Arial"/>
          <w:sz w:val="24"/>
          <w:szCs w:val="24"/>
        </w:rPr>
        <w:t>hildren</w:t>
      </w:r>
      <w:r w:rsidR="00D2740D" w:rsidRPr="002D21B6">
        <w:rPr>
          <w:rFonts w:ascii="Arial" w:hAnsi="Arial" w:cs="Arial"/>
          <w:sz w:val="24"/>
          <w:szCs w:val="24"/>
        </w:rPr>
        <w:t xml:space="preserve"> is</w:t>
      </w:r>
      <w:r w:rsidR="0016476D" w:rsidRPr="002D21B6">
        <w:rPr>
          <w:rFonts w:ascii="Arial" w:hAnsi="Arial" w:cs="Arial"/>
          <w:sz w:val="24"/>
          <w:szCs w:val="24"/>
        </w:rPr>
        <w:t xml:space="preserve"> depend</w:t>
      </w:r>
      <w:r w:rsidR="00D2740D" w:rsidRPr="002D21B6">
        <w:rPr>
          <w:rFonts w:ascii="Arial" w:hAnsi="Arial" w:cs="Arial"/>
          <w:sz w:val="24"/>
          <w:szCs w:val="24"/>
        </w:rPr>
        <w:t>ent</w:t>
      </w:r>
      <w:r w:rsidR="0016476D" w:rsidRPr="002D21B6">
        <w:rPr>
          <w:rFonts w:ascii="Arial" w:hAnsi="Arial" w:cs="Arial"/>
          <w:sz w:val="24"/>
          <w:szCs w:val="24"/>
        </w:rPr>
        <w:t xml:space="preserve"> on the presence</w:t>
      </w:r>
      <w:r w:rsidR="001C0EE6" w:rsidRPr="002D21B6">
        <w:rPr>
          <w:rFonts w:ascii="Arial" w:hAnsi="Arial" w:cs="Arial"/>
          <w:sz w:val="24"/>
          <w:szCs w:val="24"/>
        </w:rPr>
        <w:t xml:space="preserve"> (or absence)</w:t>
      </w:r>
      <w:r w:rsidR="0016476D" w:rsidRPr="002D21B6">
        <w:rPr>
          <w:rFonts w:ascii="Arial" w:hAnsi="Arial" w:cs="Arial"/>
          <w:sz w:val="24"/>
          <w:szCs w:val="24"/>
        </w:rPr>
        <w:t xml:space="preserve"> of inhibitory maternal antibodies and the immunologic maturity of the recipient, as well as </w:t>
      </w:r>
      <w:r w:rsidR="00A22C04" w:rsidRPr="002D21B6">
        <w:rPr>
          <w:rFonts w:ascii="Arial" w:hAnsi="Arial" w:cs="Arial"/>
          <w:sz w:val="24"/>
          <w:szCs w:val="24"/>
        </w:rPr>
        <w:t xml:space="preserve">on </w:t>
      </w:r>
      <w:r w:rsidR="0016476D" w:rsidRPr="002D21B6">
        <w:rPr>
          <w:rFonts w:ascii="Arial" w:hAnsi="Arial" w:cs="Arial"/>
          <w:sz w:val="24"/>
          <w:szCs w:val="24"/>
        </w:rPr>
        <w:t xml:space="preserve">the dose and </w:t>
      </w:r>
      <w:r w:rsidR="00A22C04" w:rsidRPr="002D21B6">
        <w:rPr>
          <w:rFonts w:ascii="Arial" w:hAnsi="Arial" w:cs="Arial"/>
          <w:sz w:val="24"/>
          <w:szCs w:val="24"/>
        </w:rPr>
        <w:t xml:space="preserve">vaccine </w:t>
      </w:r>
      <w:r w:rsidR="0016476D" w:rsidRPr="002D21B6">
        <w:rPr>
          <w:rFonts w:ascii="Arial" w:hAnsi="Arial" w:cs="Arial"/>
          <w:sz w:val="24"/>
          <w:szCs w:val="24"/>
        </w:rPr>
        <w:t>strain</w:t>
      </w:r>
      <w:r w:rsidR="00621AC3" w:rsidRPr="002D21B6">
        <w:rPr>
          <w:rFonts w:ascii="Arial" w:hAnsi="Arial" w:cs="Arial"/>
          <w:sz w:val="24"/>
          <w:szCs w:val="24"/>
        </w:rPr>
        <w:t xml:space="preserve">. </w:t>
      </w:r>
      <w:r w:rsidR="00182ABB" w:rsidRPr="002D21B6">
        <w:rPr>
          <w:rFonts w:ascii="Arial" w:hAnsi="Arial" w:cs="Arial"/>
          <w:sz w:val="24"/>
          <w:szCs w:val="24"/>
        </w:rPr>
        <w:t>It is also recognized that</w:t>
      </w:r>
      <w:r w:rsidR="00621AC3" w:rsidRPr="002D21B6">
        <w:rPr>
          <w:rFonts w:ascii="Arial" w:hAnsi="Arial" w:cs="Arial"/>
          <w:sz w:val="24"/>
          <w:szCs w:val="24"/>
        </w:rPr>
        <w:t xml:space="preserve"> the </w:t>
      </w:r>
      <w:r w:rsidR="00334D34" w:rsidRPr="002D21B6">
        <w:rPr>
          <w:rFonts w:ascii="Arial" w:hAnsi="Arial" w:cs="Arial"/>
          <w:sz w:val="24"/>
          <w:szCs w:val="24"/>
        </w:rPr>
        <w:t>age</w:t>
      </w:r>
      <w:r w:rsidR="001150A5" w:rsidRPr="002D21B6">
        <w:rPr>
          <w:rFonts w:ascii="Arial" w:hAnsi="Arial" w:cs="Arial"/>
          <w:sz w:val="24"/>
          <w:szCs w:val="24"/>
        </w:rPr>
        <w:t xml:space="preserve"> </w:t>
      </w:r>
      <w:r w:rsidR="00E7188C" w:rsidRPr="002D21B6">
        <w:rPr>
          <w:rFonts w:ascii="Arial" w:hAnsi="Arial" w:cs="Arial"/>
          <w:sz w:val="24"/>
          <w:szCs w:val="24"/>
        </w:rPr>
        <w:t>of</w:t>
      </w:r>
      <w:r w:rsidR="001E567C" w:rsidRPr="002D21B6">
        <w:rPr>
          <w:rFonts w:ascii="Arial" w:hAnsi="Arial" w:cs="Arial"/>
          <w:sz w:val="24"/>
          <w:szCs w:val="24"/>
        </w:rPr>
        <w:t xml:space="preserve"> </w:t>
      </w:r>
      <w:r w:rsidR="00621AC3" w:rsidRPr="002D21B6">
        <w:rPr>
          <w:rFonts w:ascii="Arial" w:hAnsi="Arial" w:cs="Arial"/>
          <w:sz w:val="24"/>
          <w:szCs w:val="24"/>
        </w:rPr>
        <w:t>≥12 months</w:t>
      </w:r>
      <w:r w:rsidR="00577923" w:rsidRPr="002D21B6">
        <w:rPr>
          <w:rFonts w:ascii="Arial" w:hAnsi="Arial" w:cs="Arial"/>
          <w:sz w:val="24"/>
          <w:szCs w:val="24"/>
        </w:rPr>
        <w:t xml:space="preserve"> </w:t>
      </w:r>
      <w:r w:rsidR="001E567C" w:rsidRPr="002D21B6">
        <w:rPr>
          <w:rFonts w:ascii="Arial" w:hAnsi="Arial" w:cs="Arial"/>
          <w:sz w:val="24"/>
          <w:szCs w:val="24"/>
        </w:rPr>
        <w:t>is</w:t>
      </w:r>
      <w:r w:rsidR="00577923" w:rsidRPr="002D21B6">
        <w:rPr>
          <w:rFonts w:ascii="Arial" w:hAnsi="Arial" w:cs="Arial"/>
          <w:sz w:val="24"/>
          <w:szCs w:val="24"/>
        </w:rPr>
        <w:t xml:space="preserve"> </w:t>
      </w:r>
      <w:r w:rsidR="001E567C" w:rsidRPr="002D21B6">
        <w:rPr>
          <w:rFonts w:ascii="Arial" w:hAnsi="Arial" w:cs="Arial"/>
          <w:sz w:val="24"/>
          <w:szCs w:val="24"/>
        </w:rPr>
        <w:t>a</w:t>
      </w:r>
      <w:r w:rsidR="00577923" w:rsidRPr="002D21B6">
        <w:rPr>
          <w:rFonts w:ascii="Arial" w:hAnsi="Arial" w:cs="Arial"/>
          <w:sz w:val="24"/>
          <w:szCs w:val="24"/>
        </w:rPr>
        <w:t xml:space="preserve"> milestone </w:t>
      </w:r>
      <w:r w:rsidR="001E567C" w:rsidRPr="002D21B6">
        <w:rPr>
          <w:rFonts w:ascii="Arial" w:hAnsi="Arial" w:cs="Arial"/>
          <w:sz w:val="24"/>
          <w:szCs w:val="24"/>
        </w:rPr>
        <w:t>in the development of a</w:t>
      </w:r>
      <w:r w:rsidR="00EA25EB" w:rsidRPr="002D21B6">
        <w:rPr>
          <w:rFonts w:ascii="Arial" w:hAnsi="Arial" w:cs="Arial"/>
          <w:sz w:val="24"/>
          <w:szCs w:val="24"/>
        </w:rPr>
        <w:t xml:space="preserve">n </w:t>
      </w:r>
      <w:r w:rsidR="00621AC3" w:rsidRPr="002D21B6">
        <w:rPr>
          <w:rFonts w:ascii="Arial" w:hAnsi="Arial" w:cs="Arial"/>
          <w:sz w:val="24"/>
          <w:szCs w:val="24"/>
        </w:rPr>
        <w:lastRenderedPageBreak/>
        <w:t>efficient immune response</w:t>
      </w:r>
      <w:r w:rsidR="003D283F" w:rsidRPr="002D21B6">
        <w:rPr>
          <w:rFonts w:ascii="Arial" w:hAnsi="Arial" w:cs="Arial"/>
          <w:sz w:val="24"/>
          <w:szCs w:val="24"/>
        </w:rPr>
        <w:t>.</w:t>
      </w:r>
      <w:r w:rsidR="00621AC3" w:rsidRPr="002D21B6">
        <w:rPr>
          <w:rFonts w:ascii="Arial" w:hAnsi="Arial" w:cs="Arial"/>
          <w:sz w:val="24"/>
          <w:szCs w:val="24"/>
        </w:rPr>
        <w:t xml:space="preserve"> </w:t>
      </w:r>
      <w:r w:rsidR="00093824" w:rsidRPr="002D21B6">
        <w:rPr>
          <w:rFonts w:ascii="Arial" w:hAnsi="Arial" w:cs="Arial"/>
          <w:sz w:val="24"/>
          <w:szCs w:val="24"/>
        </w:rPr>
        <w:t xml:space="preserve">A </w:t>
      </w:r>
      <w:r w:rsidR="00D8279F" w:rsidRPr="002D21B6">
        <w:rPr>
          <w:rFonts w:ascii="Arial" w:hAnsi="Arial" w:cs="Arial"/>
          <w:sz w:val="24"/>
          <w:szCs w:val="24"/>
        </w:rPr>
        <w:t>2015 meta</w:t>
      </w:r>
      <w:r w:rsidR="00D8279F" w:rsidRPr="002D21B6">
        <w:rPr>
          <w:rFonts w:ascii="Cambria Math" w:hAnsi="Cambria Math" w:cs="Cambria Math"/>
          <w:sz w:val="24"/>
          <w:szCs w:val="24"/>
        </w:rPr>
        <w:t>‐</w:t>
      </w:r>
      <w:r w:rsidR="00D8279F" w:rsidRPr="002D21B6">
        <w:rPr>
          <w:rFonts w:ascii="Arial" w:hAnsi="Arial" w:cs="Arial"/>
          <w:sz w:val="24"/>
          <w:szCs w:val="24"/>
        </w:rPr>
        <w:t>analys</w:t>
      </w:r>
      <w:r w:rsidR="009411DA" w:rsidRPr="002D21B6">
        <w:rPr>
          <w:rFonts w:ascii="Arial" w:hAnsi="Arial" w:cs="Arial"/>
          <w:sz w:val="24"/>
          <w:szCs w:val="24"/>
        </w:rPr>
        <w:t>is</w:t>
      </w:r>
      <w:r w:rsidR="00D8279F" w:rsidRPr="002D21B6">
        <w:rPr>
          <w:rFonts w:ascii="Arial" w:hAnsi="Arial" w:cs="Arial"/>
          <w:sz w:val="24"/>
          <w:szCs w:val="24"/>
        </w:rPr>
        <w:t xml:space="preserve"> based WHO</w:t>
      </w:r>
      <w:r w:rsidR="00093824" w:rsidRPr="002D21B6">
        <w:rPr>
          <w:rFonts w:ascii="Arial" w:hAnsi="Arial" w:cs="Arial"/>
          <w:sz w:val="24"/>
          <w:szCs w:val="24"/>
        </w:rPr>
        <w:t xml:space="preserve"> study publishe</w:t>
      </w:r>
      <w:r w:rsidR="00D8279F" w:rsidRPr="002D21B6">
        <w:rPr>
          <w:rFonts w:ascii="Arial" w:hAnsi="Arial" w:cs="Arial"/>
          <w:sz w:val="24"/>
          <w:szCs w:val="24"/>
        </w:rPr>
        <w:t>d the following seroconversion rates: 50% (95% CI 29</w:t>
      </w:r>
      <w:r w:rsidR="00D8279F" w:rsidRPr="002D21B6">
        <w:rPr>
          <w:rFonts w:ascii="Cambria Math" w:hAnsi="Cambria Math" w:cs="Cambria Math"/>
          <w:sz w:val="24"/>
          <w:szCs w:val="24"/>
        </w:rPr>
        <w:t>‐</w:t>
      </w:r>
      <w:r w:rsidR="00D8279F" w:rsidRPr="002D21B6">
        <w:rPr>
          <w:rFonts w:ascii="Arial" w:hAnsi="Arial" w:cs="Arial"/>
          <w:sz w:val="24"/>
          <w:szCs w:val="24"/>
        </w:rPr>
        <w:t>71%) at age 4 months, 67% (95% CI 51</w:t>
      </w:r>
      <w:r w:rsidR="00D8279F" w:rsidRPr="002D21B6">
        <w:rPr>
          <w:rFonts w:ascii="Cambria Math" w:hAnsi="Cambria Math" w:cs="Cambria Math"/>
          <w:sz w:val="24"/>
          <w:szCs w:val="24"/>
        </w:rPr>
        <w:t>‐</w:t>
      </w:r>
      <w:r w:rsidR="00D8279F" w:rsidRPr="002D21B6">
        <w:rPr>
          <w:rFonts w:ascii="Arial" w:hAnsi="Arial" w:cs="Arial"/>
          <w:sz w:val="24"/>
          <w:szCs w:val="24"/>
        </w:rPr>
        <w:t>81%) at 5 months, 76% (95% CI 71</w:t>
      </w:r>
      <w:r w:rsidR="00D8279F" w:rsidRPr="002D21B6">
        <w:rPr>
          <w:rFonts w:ascii="Cambria Math" w:hAnsi="Cambria Math" w:cs="Cambria Math"/>
          <w:sz w:val="24"/>
          <w:szCs w:val="24"/>
        </w:rPr>
        <w:t>‐</w:t>
      </w:r>
      <w:r w:rsidR="00D8279F" w:rsidRPr="002D21B6">
        <w:rPr>
          <w:rFonts w:ascii="Arial" w:hAnsi="Arial" w:cs="Arial"/>
          <w:sz w:val="24"/>
          <w:szCs w:val="24"/>
        </w:rPr>
        <w:t>82%) at 6 months,</w:t>
      </w:r>
      <w:r w:rsidR="002537AE" w:rsidRPr="002D21B6">
        <w:rPr>
          <w:rFonts w:ascii="Arial" w:hAnsi="Arial" w:cs="Arial"/>
          <w:sz w:val="24"/>
          <w:szCs w:val="24"/>
        </w:rPr>
        <w:t xml:space="preserve"> </w:t>
      </w:r>
      <w:r w:rsidR="00D8279F" w:rsidRPr="002D21B6">
        <w:rPr>
          <w:rFonts w:ascii="Arial" w:hAnsi="Arial" w:cs="Arial"/>
          <w:sz w:val="24"/>
          <w:szCs w:val="24"/>
        </w:rPr>
        <w:t>72% (95% CI 56</w:t>
      </w:r>
      <w:r w:rsidR="00D8279F" w:rsidRPr="002D21B6">
        <w:rPr>
          <w:rFonts w:ascii="Cambria Math" w:hAnsi="Cambria Math" w:cs="Cambria Math"/>
          <w:sz w:val="24"/>
          <w:szCs w:val="24"/>
        </w:rPr>
        <w:t>‐</w:t>
      </w:r>
      <w:r w:rsidR="00D8279F" w:rsidRPr="002D21B6">
        <w:rPr>
          <w:rFonts w:ascii="Arial" w:hAnsi="Arial" w:cs="Arial"/>
          <w:sz w:val="24"/>
          <w:szCs w:val="24"/>
        </w:rPr>
        <w:t>87%) at 7</w:t>
      </w:r>
      <w:r w:rsidR="002537AE" w:rsidRPr="002D21B6">
        <w:rPr>
          <w:rFonts w:ascii="Arial" w:hAnsi="Arial" w:cs="Arial"/>
          <w:sz w:val="24"/>
          <w:szCs w:val="24"/>
        </w:rPr>
        <w:t xml:space="preserve"> </w:t>
      </w:r>
      <w:r w:rsidR="00D8279F" w:rsidRPr="002D21B6">
        <w:rPr>
          <w:rFonts w:ascii="Arial" w:hAnsi="Arial" w:cs="Arial"/>
          <w:sz w:val="24"/>
          <w:szCs w:val="24"/>
        </w:rPr>
        <w:t>months and 85% (69</w:t>
      </w:r>
      <w:r w:rsidR="00D8279F" w:rsidRPr="002D21B6">
        <w:rPr>
          <w:rFonts w:ascii="Cambria Math" w:hAnsi="Cambria Math" w:cs="Cambria Math"/>
          <w:sz w:val="24"/>
          <w:szCs w:val="24"/>
        </w:rPr>
        <w:t>‐</w:t>
      </w:r>
      <w:r w:rsidR="00D8279F" w:rsidRPr="002D21B6">
        <w:rPr>
          <w:rFonts w:ascii="Arial" w:hAnsi="Arial" w:cs="Arial"/>
          <w:sz w:val="24"/>
          <w:szCs w:val="24"/>
        </w:rPr>
        <w:t xml:space="preserve">97%) at 8 months. </w:t>
      </w:r>
      <w:r w:rsidR="0064281F" w:rsidRPr="002D21B6">
        <w:rPr>
          <w:rFonts w:ascii="Arial" w:hAnsi="Arial" w:cs="Arial"/>
          <w:sz w:val="24"/>
          <w:szCs w:val="24"/>
        </w:rPr>
        <w:t>I</w:t>
      </w:r>
      <w:r w:rsidR="007E3432" w:rsidRPr="002D21B6">
        <w:rPr>
          <w:rFonts w:ascii="Arial" w:hAnsi="Arial" w:cs="Arial"/>
          <w:sz w:val="24"/>
          <w:szCs w:val="24"/>
        </w:rPr>
        <w:t>nteresting</w:t>
      </w:r>
      <w:r w:rsidR="0064281F" w:rsidRPr="002D21B6">
        <w:rPr>
          <w:rFonts w:ascii="Arial" w:hAnsi="Arial" w:cs="Arial"/>
          <w:sz w:val="24"/>
          <w:szCs w:val="24"/>
        </w:rPr>
        <w:t xml:space="preserve">ly, </w:t>
      </w:r>
      <w:r w:rsidR="007E3432" w:rsidRPr="002D21B6">
        <w:rPr>
          <w:rFonts w:ascii="Arial" w:hAnsi="Arial" w:cs="Arial"/>
          <w:sz w:val="24"/>
          <w:szCs w:val="24"/>
        </w:rPr>
        <w:t xml:space="preserve">the likelihood of </w:t>
      </w:r>
      <w:r w:rsidR="007E3432" w:rsidRPr="002476AD">
        <w:rPr>
          <w:rFonts w:ascii="Arial" w:hAnsi="Arial" w:cs="Arial"/>
          <w:sz w:val="24"/>
          <w:szCs w:val="24"/>
        </w:rPr>
        <w:t xml:space="preserve">seroconversion </w:t>
      </w:r>
      <w:r w:rsidR="001150A5" w:rsidRPr="002476AD">
        <w:rPr>
          <w:rFonts w:ascii="Arial" w:hAnsi="Arial" w:cs="Arial"/>
          <w:sz w:val="24"/>
          <w:szCs w:val="24"/>
        </w:rPr>
        <w:t xml:space="preserve">in children </w:t>
      </w:r>
      <w:r w:rsidR="00D86424" w:rsidRPr="002476AD">
        <w:rPr>
          <w:rFonts w:ascii="Arial" w:hAnsi="Arial" w:cs="Arial"/>
          <w:sz w:val="24"/>
          <w:szCs w:val="24"/>
        </w:rPr>
        <w:t>depends</w:t>
      </w:r>
      <w:r w:rsidR="007E3432" w:rsidRPr="002476AD">
        <w:rPr>
          <w:rFonts w:ascii="Arial" w:hAnsi="Arial" w:cs="Arial"/>
          <w:sz w:val="24"/>
          <w:szCs w:val="24"/>
        </w:rPr>
        <w:t xml:space="preserve"> not only on the </w:t>
      </w:r>
      <w:r w:rsidR="002E4519" w:rsidRPr="002476AD">
        <w:rPr>
          <w:rFonts w:ascii="Arial" w:hAnsi="Arial" w:cs="Arial"/>
          <w:sz w:val="24"/>
          <w:szCs w:val="24"/>
        </w:rPr>
        <w:t xml:space="preserve">child’s </w:t>
      </w:r>
      <w:r w:rsidR="007E3432" w:rsidRPr="002476AD">
        <w:rPr>
          <w:rFonts w:ascii="Arial" w:hAnsi="Arial" w:cs="Arial"/>
          <w:sz w:val="24"/>
          <w:szCs w:val="24"/>
        </w:rPr>
        <w:t>age, but also on the age of the</w:t>
      </w:r>
      <w:r w:rsidR="009A5EFC" w:rsidRPr="002476AD">
        <w:rPr>
          <w:rFonts w:ascii="Arial" w:hAnsi="Arial" w:cs="Arial"/>
          <w:sz w:val="24"/>
          <w:szCs w:val="24"/>
        </w:rPr>
        <w:t xml:space="preserve"> mother; older</w:t>
      </w:r>
      <w:r w:rsidR="009A5EFC" w:rsidRPr="002D21B6">
        <w:rPr>
          <w:rFonts w:ascii="Arial" w:hAnsi="Arial" w:cs="Arial"/>
          <w:sz w:val="24"/>
          <w:szCs w:val="24"/>
        </w:rPr>
        <w:t xml:space="preserve"> children generally respond better than younger children, and children of younger mothers have the tendency to respond better than children of older mothers. </w:t>
      </w:r>
      <w:r w:rsidR="007E3432" w:rsidRPr="002D21B6">
        <w:rPr>
          <w:rFonts w:ascii="Arial" w:hAnsi="Arial" w:cs="Arial"/>
          <w:sz w:val="24"/>
          <w:szCs w:val="24"/>
        </w:rPr>
        <w:t>Moreover, the ‘source’ of the mother’s immunity (disease- or vaccination-induced) also plays a role as a surrogate factor</w:t>
      </w:r>
      <w:r w:rsidR="009A5EFC" w:rsidRPr="002D21B6">
        <w:rPr>
          <w:rFonts w:ascii="Arial" w:hAnsi="Arial" w:cs="Arial"/>
          <w:sz w:val="24"/>
          <w:szCs w:val="24"/>
        </w:rPr>
        <w:t xml:space="preserve"> </w:t>
      </w:r>
      <w:r w:rsidR="009A5EFC"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{"citationItems":[{"id":"ITEM-1","itemData":{"DOI":"10.1086/378691","ISSN":"1537-6613","author":[{"dropping-particle":"","family":"Redd","given":"Stephen C.","non-dropping-particle":"","parse-names":false,"suffix":""},{"dropping-particle":"","family":"King","given":"Gai E.","non-dropping-particle":"","parse-names":false,"suffix":""},{"dropping-particle":"","family":"Heath","given":"Janet L.","non-dropping-particle":"","parse-names":false,"suffix":""},{"dropping-particle":"","family":"Forghani","given":"Baghar","non-dropping-particle":"","parse-names":false,"suffix":""},{"dropping-particle":"","family":"Bellini","given":"William J.","non-dropping-particle":"","parse-names":false,"suffix":""},{"dropping-particle":"","family":"Markowitz","given":"Lauri E.","non-dropping-particle":"","parse-names":false,"suffix":""}],"container-title":"The Journal of Infectious Diseases","editor":[{"dropping-particle":"","family":"Hinman","given":"Alan R.","non-dropping-particle":"","parse-names":false,"suffix":""}],"id":"ITEM-1","issue":"Supplement_1","issued":{"date-parts":[["2004","5","1"]]},"page":"S116-S122","publisher":"Narnia","title":"Comparison of Vaccination with Measles-Mumps-Rubella Vaccine at 9, 12, and 15 Months of Age","type":"article-journal","volume":"189"},"uris":["http://www.mendeley.com/documents/?uuid=439c4ad2-24d3-3c51-b3a0-b485467d5b27"]}],"mendeley":{"formattedCitation":"[28]","plainTextFormattedCitation":"[28]","previouslyFormattedCitation":"[28]"},"properties":{"noteIndex":0},"schema":"https://github.com/citation-style-language/schema/raw/master/csl-citation.json"}</w:instrText>
      </w:r>
      <w:r w:rsidR="009A5EFC" w:rsidRPr="002D21B6">
        <w:rPr>
          <w:rFonts w:ascii="Arial" w:hAnsi="Arial" w:cs="Arial"/>
          <w:sz w:val="24"/>
          <w:szCs w:val="24"/>
        </w:rPr>
        <w:fldChar w:fldCharType="separate"/>
      </w:r>
      <w:r w:rsidR="007F0E42" w:rsidRPr="007F0E42">
        <w:rPr>
          <w:rFonts w:ascii="Arial" w:hAnsi="Arial" w:cs="Arial"/>
          <w:noProof/>
          <w:sz w:val="24"/>
          <w:szCs w:val="24"/>
        </w:rPr>
        <w:t>[28]</w:t>
      </w:r>
      <w:r w:rsidR="009A5EFC" w:rsidRPr="002D21B6">
        <w:rPr>
          <w:rFonts w:ascii="Arial" w:hAnsi="Arial" w:cs="Arial"/>
          <w:sz w:val="24"/>
          <w:szCs w:val="24"/>
        </w:rPr>
        <w:fldChar w:fldCharType="end"/>
      </w:r>
      <w:r w:rsidR="00D83400" w:rsidRPr="002D21B6">
        <w:rPr>
          <w:rFonts w:ascii="Arial" w:hAnsi="Arial" w:cs="Arial"/>
          <w:sz w:val="24"/>
          <w:szCs w:val="24"/>
        </w:rPr>
        <w:t xml:space="preserve">. </w:t>
      </w:r>
      <w:r w:rsidR="001E4F5F" w:rsidRPr="002D21B6">
        <w:rPr>
          <w:rFonts w:ascii="Arial" w:hAnsi="Arial" w:cs="Arial"/>
          <w:sz w:val="24"/>
          <w:szCs w:val="24"/>
        </w:rPr>
        <w:t>The c</w:t>
      </w:r>
      <w:r w:rsidR="00401C34" w:rsidRPr="002D21B6">
        <w:rPr>
          <w:rFonts w:ascii="Arial" w:hAnsi="Arial" w:cs="Arial"/>
          <w:sz w:val="24"/>
          <w:szCs w:val="24"/>
        </w:rPr>
        <w:t xml:space="preserve">urrent </w:t>
      </w:r>
      <w:r w:rsidR="00157C69" w:rsidRPr="002D21B6">
        <w:rPr>
          <w:rFonts w:ascii="Arial" w:hAnsi="Arial" w:cs="Arial"/>
          <w:sz w:val="24"/>
          <w:szCs w:val="24"/>
        </w:rPr>
        <w:t>Advisory Committee on Immunization Practices (ACIP</w:t>
      </w:r>
      <w:r w:rsidR="00401C34" w:rsidRPr="002D21B6">
        <w:rPr>
          <w:rFonts w:ascii="Arial" w:hAnsi="Arial" w:cs="Arial"/>
          <w:sz w:val="24"/>
          <w:szCs w:val="24"/>
        </w:rPr>
        <w:t xml:space="preserve"> 2012</w:t>
      </w:r>
      <w:r w:rsidR="00157C69" w:rsidRPr="002D21B6">
        <w:rPr>
          <w:rFonts w:ascii="Arial" w:hAnsi="Arial" w:cs="Arial"/>
          <w:sz w:val="24"/>
          <w:szCs w:val="24"/>
        </w:rPr>
        <w:t>)</w:t>
      </w:r>
      <w:r w:rsidR="00401C34" w:rsidRPr="002D21B6">
        <w:rPr>
          <w:rFonts w:ascii="Arial" w:hAnsi="Arial" w:cs="Arial"/>
          <w:sz w:val="24"/>
          <w:szCs w:val="24"/>
        </w:rPr>
        <w:t xml:space="preserve"> also </w:t>
      </w:r>
      <w:r w:rsidR="0010443F" w:rsidRPr="002D21B6">
        <w:rPr>
          <w:rFonts w:ascii="Arial" w:hAnsi="Arial" w:cs="Arial"/>
          <w:sz w:val="24"/>
          <w:szCs w:val="24"/>
        </w:rPr>
        <w:t>recommends</w:t>
      </w:r>
      <w:r w:rsidR="00401C34" w:rsidRPr="002D21B6">
        <w:rPr>
          <w:rFonts w:ascii="Arial" w:hAnsi="Arial" w:cs="Arial"/>
          <w:sz w:val="24"/>
          <w:szCs w:val="24"/>
        </w:rPr>
        <w:t xml:space="preserve"> age ≥12 </w:t>
      </w:r>
      <w:r w:rsidR="008A136A" w:rsidRPr="002D21B6">
        <w:rPr>
          <w:rFonts w:ascii="Arial" w:hAnsi="Arial" w:cs="Arial"/>
          <w:sz w:val="24"/>
          <w:szCs w:val="24"/>
        </w:rPr>
        <w:t>months</w:t>
      </w:r>
      <w:r w:rsidR="00401C34" w:rsidRPr="002D21B6">
        <w:rPr>
          <w:rFonts w:ascii="Arial" w:hAnsi="Arial" w:cs="Arial"/>
          <w:sz w:val="24"/>
          <w:szCs w:val="24"/>
        </w:rPr>
        <w:t xml:space="preserve"> for</w:t>
      </w:r>
      <w:r w:rsidR="003F4DEA" w:rsidRPr="002D21B6">
        <w:rPr>
          <w:rFonts w:ascii="Arial" w:hAnsi="Arial" w:cs="Arial"/>
          <w:sz w:val="24"/>
          <w:szCs w:val="24"/>
        </w:rPr>
        <w:t xml:space="preserve"> the</w:t>
      </w:r>
      <w:r w:rsidR="00401C34" w:rsidRPr="002D21B6">
        <w:rPr>
          <w:rFonts w:ascii="Arial" w:hAnsi="Arial" w:cs="Arial"/>
          <w:sz w:val="24"/>
          <w:szCs w:val="24"/>
        </w:rPr>
        <w:t xml:space="preserve"> </w:t>
      </w:r>
      <w:r w:rsidR="002E76AA" w:rsidRPr="002D21B6">
        <w:rPr>
          <w:rFonts w:ascii="Arial" w:hAnsi="Arial" w:cs="Arial"/>
          <w:sz w:val="24"/>
          <w:szCs w:val="24"/>
        </w:rPr>
        <w:t xml:space="preserve">first </w:t>
      </w:r>
      <w:r w:rsidR="00401C34" w:rsidRPr="002D21B6">
        <w:rPr>
          <w:rFonts w:ascii="Arial" w:hAnsi="Arial" w:cs="Arial"/>
          <w:sz w:val="24"/>
          <w:szCs w:val="24"/>
        </w:rPr>
        <w:t>MMR vaccination</w:t>
      </w:r>
      <w:r w:rsidR="002476AD">
        <w:rPr>
          <w:rFonts w:ascii="Arial" w:hAnsi="Arial" w:cs="Arial"/>
          <w:sz w:val="24"/>
          <w:szCs w:val="24"/>
        </w:rPr>
        <w:t xml:space="preserve">. </w:t>
      </w:r>
      <w:r w:rsidR="00E01129" w:rsidRPr="002D21B6">
        <w:rPr>
          <w:rFonts w:ascii="Arial" w:hAnsi="Arial" w:cs="Arial"/>
          <w:sz w:val="24"/>
          <w:szCs w:val="24"/>
        </w:rPr>
        <w:t>As a general rule, the optimal vaccination age should be defined by the dynamics of the age-dependent progress in seroconversion, balanced by the level of the epidemiological risk</w:t>
      </w:r>
      <w:r w:rsidR="003D7B7B" w:rsidRPr="002D21B6">
        <w:rPr>
          <w:rFonts w:ascii="Arial" w:hAnsi="Arial" w:cs="Arial"/>
          <w:sz w:val="24"/>
          <w:szCs w:val="24"/>
        </w:rPr>
        <w:t xml:space="preserve"> </w:t>
      </w:r>
      <w:r w:rsidR="00E01129" w:rsidRPr="002D21B6">
        <w:rPr>
          <w:rStyle w:val="Lbjegyzet-hivatkozs"/>
          <w:rFonts w:ascii="Arial" w:hAnsi="Arial" w:cs="Arial"/>
          <w:sz w:val="24"/>
          <w:szCs w:val="24"/>
        </w:rPr>
        <w:fldChar w:fldCharType="begin" w:fldLock="1"/>
      </w:r>
      <w:r w:rsidR="007F0E42">
        <w:rPr>
          <w:rFonts w:ascii="Arial" w:hAnsi="Arial" w:cs="Arial"/>
          <w:sz w:val="24"/>
          <w:szCs w:val="24"/>
        </w:rPr>
        <w:instrText>ADDIN CSL_CITATION {"citationItems":[{"id":"ITEM-1","itemData":{"ISSN":"0301-5149","PMID":"3549395","abstract":"The appropriate age for measles vaccination is determined by weighing the risk of measles disease and complications at a given age with vaccine efficacy at that age. In the United States, measles vaccine was initially used in children as young as 9 months of age because the disease was common and complications were greatest in persons less than 1 year of age. In 1965, when it became apparent that vaccine failure was unacceptably high in children less than 1 year and when epidemiologic analysis indicated that children greater than or equal to 1 year, particularly schoolchildren, were the primary focus of measles transmission, the vaccination age was raised to 12 months. In 1976, further studies showed efficacy was slightly higher at 15 months of age versus 12 months or 12-14 months of age. Because the risk of acquiring measles in children less than 15 months was low, the age for routine vaccination was increased to 15 months. This age recommendation may be appropriate for developed countries where the epidemiology of measles may be similar to the epidemiology in the United States. However, this age is inappropriate for many countries in the developing world where the risks of measles and complications from measles are high in young preschool children. In those countries, the recommended age for routine vaccination against measles is generally 9 months.","author":[{"dropping-particle":"","family":"Orenstein","given":"W A","non-dropping-particle":"","parse-names":false,"suffix":""},{"dropping-particle":"","family":"Markowitz","given":"L","non-dropping-particle":"","parse-names":false,"suffix":""},{"dropping-particle":"","family":"Preblud","given":"S R","non-dropping-particle":"","parse-names":false,"suffix":""},{"dropping-particle":"","family":"Hinman","given":"A R","non-dropping-particle":"","parse-names":false,"suffix":""},{"dropping-particle":"","family":"Tomasi","given":"A","non-dropping-particle":"","parse-names":false,"suffix":""},{"dropping-particle":"","family":"Bart","given":"K J","non-dropping-particle":"","parse-names":false,"suffix":""}],"container-title":"Developments in biological standardization","id":"ITEM-1","issued":{"date-parts":[["1986"]]},"page":"13-21","title":"Appropriate age for measles vaccination in the United States.","type":"article-journal","volume":"65"},"uris":["http://www.mendeley.com/documents/?uuid=abdb9057-f576-3eb8-a8da-62de7724862d"]},{"id":"ITEM-2","itemData":{"ISBN":"9789241597555","id":"ITEM-2","issued":{"date-parts":[["2009"]]},"title":"The Immunological Basis for Immunization Series","type":"book"},"uris":["http://www.mendeley.com/documents/?uuid=7e657207-688f-33fa-94bd-d66f001d95b4"]}],"mendeley":{"formattedCitation":"[29,30]","plainTextFormattedCitation":"[29,30]","previouslyFormattedCitation":"[29,30]"},"properties":{"noteIndex":0},"schema":"https://github.com/citation-style-language/schema/raw/master/csl-citation.json"}</w:instrText>
      </w:r>
      <w:r w:rsidR="00E01129" w:rsidRPr="002D21B6">
        <w:rPr>
          <w:rStyle w:val="Lbjegyzet-hivatkozs"/>
          <w:rFonts w:ascii="Arial" w:hAnsi="Arial" w:cs="Arial"/>
          <w:sz w:val="24"/>
          <w:szCs w:val="24"/>
        </w:rPr>
        <w:fldChar w:fldCharType="separate"/>
      </w:r>
      <w:r w:rsidR="007F0E42" w:rsidRPr="007F0E42">
        <w:rPr>
          <w:rFonts w:ascii="Arial" w:hAnsi="Arial" w:cs="Arial"/>
          <w:bCs/>
          <w:noProof/>
          <w:sz w:val="24"/>
          <w:szCs w:val="24"/>
          <w:lang w:val="hu-HU"/>
        </w:rPr>
        <w:t>[29,30]</w:t>
      </w:r>
      <w:r w:rsidR="00E01129" w:rsidRPr="002D21B6">
        <w:rPr>
          <w:rStyle w:val="Lbjegyzet-hivatkozs"/>
          <w:rFonts w:ascii="Arial" w:hAnsi="Arial" w:cs="Arial"/>
          <w:sz w:val="24"/>
          <w:szCs w:val="24"/>
        </w:rPr>
        <w:fldChar w:fldCharType="end"/>
      </w:r>
      <w:r w:rsidR="00E01129" w:rsidRPr="002D21B6">
        <w:rPr>
          <w:rFonts w:ascii="Arial" w:hAnsi="Arial" w:cs="Arial"/>
          <w:sz w:val="24"/>
          <w:szCs w:val="24"/>
        </w:rPr>
        <w:t>.</w:t>
      </w:r>
      <w:r w:rsidRPr="002D21B6">
        <w:rPr>
          <w:rFonts w:ascii="Arial" w:hAnsi="Arial" w:cs="Arial"/>
          <w:sz w:val="24"/>
          <w:szCs w:val="24"/>
        </w:rPr>
        <w:t xml:space="preserve"> </w:t>
      </w:r>
      <w:r w:rsidR="00C706A9" w:rsidRPr="002D21B6">
        <w:rPr>
          <w:rFonts w:ascii="Arial" w:hAnsi="Arial" w:cs="Arial"/>
          <w:sz w:val="24"/>
          <w:szCs w:val="24"/>
        </w:rPr>
        <w:t>According to t</w:t>
      </w:r>
      <w:r w:rsidR="00AD1B9F" w:rsidRPr="002D21B6">
        <w:rPr>
          <w:rFonts w:ascii="Arial" w:hAnsi="Arial" w:cs="Arial"/>
          <w:sz w:val="24"/>
          <w:szCs w:val="24"/>
        </w:rPr>
        <w:t xml:space="preserve">he </w:t>
      </w:r>
      <w:r w:rsidR="00C706A9" w:rsidRPr="002D21B6">
        <w:rPr>
          <w:rFonts w:ascii="Arial" w:hAnsi="Arial" w:cs="Arial"/>
          <w:sz w:val="24"/>
          <w:szCs w:val="24"/>
        </w:rPr>
        <w:t xml:space="preserve">Hungarian vaccination practice, the </w:t>
      </w:r>
      <w:r w:rsidR="00AD1B9F" w:rsidRPr="002D21B6">
        <w:rPr>
          <w:rFonts w:ascii="Arial" w:hAnsi="Arial" w:cs="Arial"/>
          <w:sz w:val="24"/>
          <w:szCs w:val="24"/>
        </w:rPr>
        <w:t>MMR</w:t>
      </w:r>
      <w:r w:rsidR="00C706A9" w:rsidRPr="002D21B6">
        <w:rPr>
          <w:rFonts w:ascii="Arial" w:hAnsi="Arial" w:cs="Arial"/>
          <w:sz w:val="24"/>
          <w:szCs w:val="24"/>
        </w:rPr>
        <w:t xml:space="preserve"> vaccine is given twice;</w:t>
      </w:r>
      <w:r w:rsidR="00AD1B9F" w:rsidRPr="002D21B6">
        <w:rPr>
          <w:rFonts w:ascii="Arial" w:hAnsi="Arial" w:cs="Arial"/>
          <w:sz w:val="24"/>
          <w:szCs w:val="24"/>
        </w:rPr>
        <w:t xml:space="preserve"> at</w:t>
      </w:r>
      <w:r w:rsidR="00C706A9" w:rsidRPr="002D21B6">
        <w:rPr>
          <w:rFonts w:ascii="Arial" w:hAnsi="Arial" w:cs="Arial"/>
          <w:sz w:val="24"/>
          <w:szCs w:val="24"/>
        </w:rPr>
        <w:t xml:space="preserve"> 15 months and 11 years of age. </w:t>
      </w:r>
    </w:p>
    <w:p w:rsidR="00011E4D" w:rsidRPr="002476AD" w:rsidRDefault="00DB1B82" w:rsidP="00011E4D">
      <w:pPr>
        <w:spacing w:line="480" w:lineRule="auto"/>
        <w:ind w:firstLine="510"/>
        <w:rPr>
          <w:rFonts w:ascii="Arial" w:hAnsi="Arial" w:cs="Arial"/>
          <w:sz w:val="24"/>
          <w:szCs w:val="24"/>
        </w:rPr>
      </w:pPr>
      <w:r w:rsidRPr="002476AD">
        <w:rPr>
          <w:rFonts w:ascii="Arial" w:hAnsi="Arial" w:cs="Arial"/>
          <w:sz w:val="24"/>
          <w:szCs w:val="24"/>
        </w:rPr>
        <w:t xml:space="preserve">Regarding immunocompromised individuals and children with contraindications, we would like to note that in Hungary immunocompromised persons </w:t>
      </w:r>
      <w:r w:rsidR="00966375" w:rsidRPr="002476AD">
        <w:rPr>
          <w:rFonts w:ascii="Arial" w:hAnsi="Arial" w:cs="Arial"/>
          <w:sz w:val="24"/>
          <w:szCs w:val="24"/>
        </w:rPr>
        <w:t xml:space="preserve">also </w:t>
      </w:r>
      <w:r w:rsidRPr="002476AD">
        <w:rPr>
          <w:rFonts w:ascii="Arial" w:hAnsi="Arial" w:cs="Arial"/>
          <w:sz w:val="24"/>
          <w:szCs w:val="24"/>
        </w:rPr>
        <w:t xml:space="preserve">complete the recommended immunization series against vaccine preventable diseases (VPD), whenever possible. The vaccination practice follows international guidelines (2013 IDSA), and an individualized patient approach is applied. This implies the involvement of a vaccination expert who performs case-to-case risk evaluation. As a general rule, live viral vaccines (e.g. polio, MMR, varicella) that may induce severe systemic reactions in immunocompromised individuals should not be administered to patients with severe immunosuppression and/or immune deficiency. Nevertheless, important exceptions </w:t>
      </w:r>
      <w:r w:rsidRPr="002476AD">
        <w:rPr>
          <w:rFonts w:ascii="Arial" w:hAnsi="Arial" w:cs="Arial"/>
          <w:sz w:val="24"/>
          <w:szCs w:val="24"/>
        </w:rPr>
        <w:lastRenderedPageBreak/>
        <w:t xml:space="preserve">exist: certain live vaccines can be administered in some immune system disorders or when the benefit of the vaccine outweighs the side effects, or major risk arising from the epidemiological environment </w:t>
      </w:r>
      <w:r w:rsidRPr="002476AD">
        <w:rPr>
          <w:rFonts w:ascii="Arial" w:hAnsi="Arial" w:cs="Arial"/>
          <w:sz w:val="24"/>
          <w:szCs w:val="24"/>
        </w:rPr>
        <w:fldChar w:fldCharType="begin" w:fldLock="1"/>
      </w:r>
      <w:r w:rsidR="007F0E42">
        <w:rPr>
          <w:rFonts w:ascii="Arial" w:hAnsi="Arial" w:cs="Arial"/>
          <w:sz w:val="24"/>
          <w:szCs w:val="24"/>
        </w:rPr>
        <w:instrText>ADDIN CSL_CITATION {"citationItems":[{"id":"ITEM-1","itemData":{"id":"ITEM-1","issued":{"date-parts":[["0"]]},"title":"Chapter 3 Immunisation of Immunocompromised Persons Immunisation of Immunocompromised Persons","type":"report"},"uris":["http://www.mendeley.com/documents/?uuid=efaef5db-0a7e-322d-a457-0345ccc07284"]},{"id":"ITEM-2","itemData":{"DOI":"10.5152/tpa.2014.2206","ISSN":"1306-0015","PMID":"26078660","abstract":"In congenital or aqcuired immune deficiencies, infectious diseases which can be prevented by vaccination have a severe course because of supression of the immune system by the disease itself or the treatment methods used. Therefore, vaccination is important in immune deficiency. Although the protective antibody levels achieved in healthy individuals can not be provided in patients with immune deficiency, there is no drawback in administering inactive vaccines in accordance with the vaccination program. On the other hand, live viral and bacterial vaccines should not be administered during periods of immunosupression in conditions where the immune system is strongly supressed by diseases or drugs, since they would cause to systemic infection. Physicians should have sufficient knowledge about contraindications of vaccination in individuals with immune deficiency and in people who live in the same house with these individuals.","author":[{"dropping-particle":"","family":"Arvas","given":"Ahmet","non-dropping-particle":"","parse-names":false,"suffix":""}],"container-title":"Turk pediatri arsivi","id":"ITEM-2","issue":"3","issued":{"date-parts":[["2014","9"]]},"page":"181-5","publisher":"Turkish Pediatrics Association","title":"Vaccination in patients with immunosuppression.","type":"article-journal","volume":"49"},"uris":["http://www.mendeley.com/documents/?uuid=7bcb0f8c-f8cd-31dc-af7a-95bfb390a1a4"]}],"mendeley":{"formattedCitation":"[31,32]","plainTextFormattedCitation":"[31,32]","previouslyFormattedCitation":"[31,32]"},"properties":{"noteIndex":0},"schema":"https://github.com/citation-style-language/schema/raw/master/csl-citation.json"}</w:instrText>
      </w:r>
      <w:r w:rsidRPr="002476AD">
        <w:rPr>
          <w:rFonts w:ascii="Arial" w:hAnsi="Arial" w:cs="Arial"/>
          <w:sz w:val="24"/>
          <w:szCs w:val="24"/>
        </w:rPr>
        <w:fldChar w:fldCharType="separate"/>
      </w:r>
      <w:r w:rsidR="007F0E42" w:rsidRPr="007F0E42">
        <w:rPr>
          <w:rFonts w:ascii="Arial" w:hAnsi="Arial" w:cs="Arial"/>
          <w:noProof/>
          <w:sz w:val="24"/>
          <w:szCs w:val="24"/>
        </w:rPr>
        <w:t>[31,32]</w:t>
      </w:r>
      <w:r w:rsidRPr="002476AD">
        <w:rPr>
          <w:rFonts w:ascii="Arial" w:hAnsi="Arial" w:cs="Arial"/>
          <w:sz w:val="24"/>
          <w:szCs w:val="24"/>
        </w:rPr>
        <w:fldChar w:fldCharType="end"/>
      </w:r>
      <w:r w:rsidRPr="002476AD">
        <w:rPr>
          <w:rFonts w:ascii="Arial" w:hAnsi="Arial" w:cs="Arial"/>
          <w:sz w:val="24"/>
          <w:szCs w:val="24"/>
        </w:rPr>
        <w:t xml:space="preserve">. </w:t>
      </w:r>
    </w:p>
    <w:p w:rsidR="00E31D24" w:rsidRPr="002D21B6" w:rsidRDefault="00011E4D" w:rsidP="00E70C93">
      <w:pPr>
        <w:spacing w:line="480" w:lineRule="auto"/>
        <w:ind w:firstLine="510"/>
        <w:rPr>
          <w:rFonts w:ascii="Arial" w:hAnsi="Arial" w:cs="Arial"/>
          <w:sz w:val="24"/>
          <w:szCs w:val="24"/>
        </w:rPr>
      </w:pPr>
      <w:r w:rsidRPr="002476AD">
        <w:rPr>
          <w:rFonts w:ascii="Arial" w:hAnsi="Arial" w:cs="Arial"/>
          <w:sz w:val="24"/>
          <w:szCs w:val="24"/>
        </w:rPr>
        <w:t xml:space="preserve">Our current serological data are in agreement with our previous report </w:t>
      </w:r>
      <w:r w:rsidRPr="002476AD">
        <w:rPr>
          <w:rFonts w:ascii="Arial" w:hAnsi="Arial" w:cs="Arial"/>
          <w:sz w:val="24"/>
          <w:szCs w:val="24"/>
        </w:rPr>
        <w:fldChar w:fldCharType="begin" w:fldLock="1"/>
      </w:r>
      <w:r w:rsidRPr="002476AD">
        <w:rPr>
          <w:rFonts w:ascii="Arial" w:hAnsi="Arial" w:cs="Arial"/>
          <w:sz w:val="24"/>
          <w:szCs w:val="24"/>
        </w:rPr>
        <w:instrText>ADDIN CSL_CITATION {"citationItems":[{"id":"ITEM-1","itemData":{"DOI":"10.1016/j.jim.2018.07.009","ISSN":"00221759","PMID":"30056035","abstract":"Because of measles outbreaks there is a need for continuous monitoring of immunological protection against infection at population level. For such monitoring to be feasible, a cost-effective, reliable and high-throughput assay is necessary. Herein we describe an ELISA protocol for assessment of anti-measles antibody levels in human serum samples that fulfills the above criteria and is easily adaptable by various laboratories. A serum bank of anonymous patient sera was established (N &gt; 3000 samples). Sera were grouped based on measles immunization schedules and/or changes in vaccine components since the introduction of the first measles vaccine in Hungary in 1969. Newly designed ELISA was performed by using Siemens BEP 2000 Advance System and data were confirmed using commercially available kits. Our indirect ELISA was compared to indirect immunfluoresence and to anti-measles nucleocapsid (N) monoclonal antibody-based sandwich ELISA. The results obtained are in high agreement with the confirmatory methods, and reflect measles vaccination history in Hungary ranging from pre-vaccination era, through the initial period of measles vaccination, to present. Based on measurement of 1985 sera, the highest ratio of low/questionable antibody level samples was detected in cluster '1978-1987' (~25.4%), followed by cluster '1969-1977' (~15.4%).Our assay is suitable for assessment of anti-measles immunity in a large cohort of subjects. The assay is cost-effective, allows high-throughput screening and has superior signal-to-noise ratio. This assay can serve as a first step in assessment of the effectiveness of all three components of the MMR vaccine.","author":[{"dropping-particle":"","family":"Böröcz","given":"Katalin","non-dropping-particle":"","parse-names":false,"suffix":""},{"dropping-particle":"","family":"Csizmadia","given":"Zsuzsanna","non-dropping-particle":"","parse-names":false,"suffix":""},{"dropping-particle":"","family":"Markovics","given":"Ákos","non-dropping-particle":"","parse-names":false,"suffix":""},{"dropping-particle":"","family":"Mészáros","given":"Viktória","non-dropping-particle":"","parse-names":false,"suffix":""},{"dropping-particle":"","family":"Farkas","given":"Kornélia","non-dropping-particle":"","parse-names":false,"suffix":""},{"dropping-particle":"","family":"Telek","given":"Vivien","non-dropping-particle":"","parse-names":false,"suffix":""},{"dropping-particle":"","family":"Varga","given":"Vivien","non-dropping-particle":"","parse-names":false,"suffix":""},{"dropping-particle":"","family":"Maloba","given":"Geofrey Ouma","non-dropping-particle":"","parse-names":false,"suffix":""},{"dropping-particle":"","family":"Bodó","given":"Kornélia","non-dropping-particle":"","parse-names":false,"suffix":""},{"dropping-particle":"","family":"Najbauer","given":"József","non-dropping-particle":"","parse-names":false,"suffix":""},{"dropping-particle":"","family":"Berki","given":"Tímea","non-dropping-particle":"","parse-names":false,"suffix":""},{"dropping-particle":"","family":"Németh","given":"Péter","non-dropping-particle":"","parse-names":false,"suffix":""}],"container-title":"Journal of Immunological Methods","id":"ITEM-1","issued":{"date-parts":[["2019","1"]]},"page":"1-8","title":"Development of a robust and standardized immunoserological assay for detection of anti-measles IgG antibodies in human sera","type":"article-journal","volume":"464"},"uris":["http://www.mendeley.com/documents/?uuid=a2e32bc7-84cd-3cda-8f75-6fc5c3feefc1"]}],"mendeley":{"formattedCitation":"[24]","plainTextFormattedCitation":"[24]","previouslyFormattedCitation":"[24]"},"properties":{"noteIndex":0},"schema":"https://github.com/citation-style-language/schema/raw/master/csl-citation.json"}</w:instrText>
      </w:r>
      <w:r w:rsidRPr="002476AD">
        <w:rPr>
          <w:rFonts w:ascii="Arial" w:hAnsi="Arial" w:cs="Arial"/>
          <w:sz w:val="24"/>
          <w:szCs w:val="24"/>
        </w:rPr>
        <w:fldChar w:fldCharType="separate"/>
      </w:r>
      <w:r w:rsidRPr="002476AD">
        <w:rPr>
          <w:rFonts w:ascii="Arial" w:hAnsi="Arial" w:cs="Arial"/>
          <w:noProof/>
          <w:sz w:val="24"/>
          <w:szCs w:val="24"/>
        </w:rPr>
        <w:t>[24]</w:t>
      </w:r>
      <w:r w:rsidRPr="002476AD">
        <w:rPr>
          <w:rFonts w:ascii="Arial" w:hAnsi="Arial" w:cs="Arial"/>
          <w:sz w:val="24"/>
          <w:szCs w:val="24"/>
        </w:rPr>
        <w:fldChar w:fldCharType="end"/>
      </w:r>
      <w:r w:rsidRPr="002476AD">
        <w:rPr>
          <w:rFonts w:ascii="Arial" w:hAnsi="Arial" w:cs="Arial"/>
          <w:sz w:val="24"/>
          <w:szCs w:val="24"/>
        </w:rPr>
        <w:t xml:space="preserve"> where the estimated </w:t>
      </w:r>
      <w:proofErr w:type="spellStart"/>
      <w:r w:rsidRPr="002476AD">
        <w:rPr>
          <w:rFonts w:ascii="Arial" w:hAnsi="Arial" w:cs="Arial"/>
          <w:sz w:val="24"/>
          <w:szCs w:val="24"/>
        </w:rPr>
        <w:t>seropositvity</w:t>
      </w:r>
      <w:proofErr w:type="spellEnd"/>
      <w:r w:rsidRPr="002476AD">
        <w:rPr>
          <w:rFonts w:ascii="Arial" w:hAnsi="Arial" w:cs="Arial"/>
          <w:sz w:val="24"/>
          <w:szCs w:val="24"/>
        </w:rPr>
        <w:t xml:space="preserve"> for cluster ‘1978-1987’ was ~74.6%, followed by cluster ‘1969-1977’ with ~84.6%. A recent publication by Hungarian colleagues has reported 86.2% </w:t>
      </w:r>
      <w:proofErr w:type="spellStart"/>
      <w:r w:rsidRPr="002476AD">
        <w:rPr>
          <w:rFonts w:ascii="Arial" w:hAnsi="Arial" w:cs="Arial"/>
          <w:sz w:val="24"/>
          <w:szCs w:val="24"/>
        </w:rPr>
        <w:t>seropositivity</w:t>
      </w:r>
      <w:proofErr w:type="spellEnd"/>
      <w:r w:rsidRPr="002476AD">
        <w:rPr>
          <w:rFonts w:ascii="Arial" w:hAnsi="Arial" w:cs="Arial"/>
          <w:sz w:val="24"/>
          <w:szCs w:val="24"/>
        </w:rPr>
        <w:t xml:space="preserve"> for the 41-45 years old individuals </w:t>
      </w:r>
      <w:r w:rsidRPr="002476AD">
        <w:rPr>
          <w:rFonts w:ascii="Arial" w:hAnsi="Arial" w:cs="Arial"/>
          <w:sz w:val="24"/>
          <w:szCs w:val="24"/>
        </w:rPr>
        <w:fldChar w:fldCharType="begin" w:fldLock="1"/>
      </w:r>
      <w:r w:rsidR="007F0E42">
        <w:rPr>
          <w:rFonts w:ascii="Arial" w:hAnsi="Arial" w:cs="Arial"/>
          <w:sz w:val="24"/>
          <w:szCs w:val="24"/>
        </w:rPr>
        <w:instrText>ADDIN CSL_CITATION {"citationItems":[{"id":"ITEM-1","itemData":{"DOI":"10.1017/S0950268818002571","ISSN":"0950-2688","PMID":"30201057","abstract":"&lt;p&gt;Due to the European measles epidemic and the increased number of imported cases, it can be theorised that the risk of exposure among Hungarian healthcare workers (HCWs) has increased. In 2017, the increased measles circulation in the region led to the emergence of smaller local and hospital epidemics. Therefore, our objective was to determine the herd immunity in the high-risk group of HCWs. A hospital-based study of detecting anti-measles IgG activity was performed in 2017 and included 2167 employees of the Military Medical Centre (Hungary). The screening of HCWs presented a good general seropositivity (90.6%). The highest seroprevalence value (99.1%) was found in the age group of 60 years or older. The lowest number of seropositive individuals was seen in the 41–45 years (86.2%) age group, indicating a significant herd immunity gap between groups. Regarding the Hungarian data, there might be gaps in the seroprevalence of the analysed HCWs, implying that susceptible HCWs may generate healthcare-associated infections. This study suggests that despite the extensive vaccination and high vaccine coverage, it is still important to monitor the level of protective antibodies in HCWs, or in a representative group of the whole population of Hungary, and possibly in other countries as well.&lt;/p&gt;","author":[{"dropping-particle":"","family":"Lengyel","given":"G.","non-dropping-particle":"","parse-names":false,"suffix":""},{"dropping-particle":"","family":"Marossy","given":"A.","non-dropping-particle":"","parse-names":false,"suffix":""},{"dropping-particle":"","family":"Ánosi","given":"N.","non-dropping-particle":"","parse-names":false,"suffix":""},{"dropping-particle":"","family":"Farkas","given":"S. L.","non-dropping-particle":"","parse-names":false,"suffix":""},{"dropping-particle":"","family":"Kele","given":"B.","non-dropping-particle":"","parse-names":false,"suffix":""},{"dropping-particle":"","family":"Nemes-Nikodém","given":"É.","non-dropping-particle":"","parse-names":false,"suffix":""},{"dropping-particle":"","family":"Szentgyörgyi","given":"V.","non-dropping-particle":"","parse-names":false,"suffix":""},{"dropping-particle":"","family":"Kopcsó","given":"I.","non-dropping-particle":"","parse-names":false,"suffix":""},{"dropping-particle":"","family":"Mátyus","given":"M.","non-dropping-particle":"","parse-names":false,"suffix":""}],"container-title":"Epidemiology and Infection","id":"ITEM-1","issued":{"date-parts":[["2019","9","11"]]},"page":"e7","title":"Screening of more than 2000 Hungarian healthcare workers’ anti-measles antibody level: results and possible population-level consequences","type":"article-journal","volume":"147"},"uris":["http://www.mendeley.com/documents/?uuid=85fb3f61-74cf-31cd-8123-a05eb3a691db"]}],"mendeley":{"formattedCitation":"[33]","plainTextFormattedCitation":"[33]","previouslyFormattedCitation":"[33]"},"properties":{"noteIndex":0},"schema":"https://github.com/citation-style-language/schema/raw/master/csl-citation.json"}</w:instrText>
      </w:r>
      <w:r w:rsidRPr="002476AD">
        <w:rPr>
          <w:rFonts w:ascii="Arial" w:hAnsi="Arial" w:cs="Arial"/>
          <w:sz w:val="24"/>
          <w:szCs w:val="24"/>
        </w:rPr>
        <w:fldChar w:fldCharType="separate"/>
      </w:r>
      <w:r w:rsidR="007F0E42" w:rsidRPr="007F0E42">
        <w:rPr>
          <w:rFonts w:ascii="Arial" w:hAnsi="Arial" w:cs="Arial"/>
          <w:noProof/>
          <w:sz w:val="24"/>
          <w:szCs w:val="24"/>
        </w:rPr>
        <w:t>[33]</w:t>
      </w:r>
      <w:r w:rsidRPr="002476AD">
        <w:rPr>
          <w:rFonts w:ascii="Arial" w:hAnsi="Arial" w:cs="Arial"/>
          <w:sz w:val="24"/>
          <w:szCs w:val="24"/>
        </w:rPr>
        <w:fldChar w:fldCharType="end"/>
      </w:r>
      <w:r w:rsidRPr="002476AD">
        <w:rPr>
          <w:rFonts w:ascii="Arial" w:hAnsi="Arial" w:cs="Arial"/>
          <w:sz w:val="24"/>
          <w:szCs w:val="24"/>
        </w:rPr>
        <w:t xml:space="preserve">, a cluster partially overlapping with the two abovementioned age groups of our classification. The </w:t>
      </w:r>
      <w:r w:rsidR="00695106">
        <w:rPr>
          <w:rFonts w:ascii="Arial" w:hAnsi="Arial" w:cs="Arial"/>
          <w:sz w:val="24"/>
          <w:szCs w:val="24"/>
        </w:rPr>
        <w:t xml:space="preserve">potential </w:t>
      </w:r>
      <w:r w:rsidRPr="002476AD">
        <w:rPr>
          <w:rFonts w:ascii="Arial" w:hAnsi="Arial" w:cs="Arial"/>
          <w:sz w:val="24"/>
          <w:szCs w:val="24"/>
        </w:rPr>
        <w:t xml:space="preserve">gap detected in herd immunity is also supported by the already known insufficiencies during the initial vaccination era </w:t>
      </w:r>
      <w:r w:rsidRPr="002476AD">
        <w:rPr>
          <w:rStyle w:val="Lbjegyzet-hivatkozs"/>
          <w:rFonts w:ascii="Arial" w:hAnsi="Arial" w:cs="Arial"/>
          <w:sz w:val="24"/>
          <w:szCs w:val="24"/>
        </w:rPr>
        <w:fldChar w:fldCharType="begin" w:fldLock="1"/>
      </w:r>
      <w:r w:rsidR="007F0E42">
        <w:rPr>
          <w:rFonts w:ascii="Arial" w:hAnsi="Arial" w:cs="Arial"/>
          <w:sz w:val="24"/>
          <w:szCs w:val="24"/>
        </w:rPr>
        <w:instrText>ADDIN CSL_CITATION {"citationItems":[{"id":"ITEM-1","itemData":{"ISSN":"0300-5771","PMID":"1468837","abstract":"Hungary has had a successful measles vaccination programme, achieving over 93% coverage in targeted groups. However, from September 1988 until December 1989, 17,938 measles cases were reported among the civilian population (attack rate [AR] = 169 per 100,000 population) with the majority of cases occurring in vaccinated people. National surveillance data were analysed to determine reasons for the outbreak and risk factors for vaccine failure. People born during 1971 and 1972 had been targeted for vaccination during campaigns in April and September of 1973 and had the highest AR (1332 and 1632 per 100,000, respectively). Epidemiological studies of vaccine efficacy conducted among secondary school students corroborated these findings. Among 754 secondary school students, those vaccinated during the April 1973 campaign were at highest risk compared with those vaccinated at routine health care after 1974 (relative risk = 10.9, 95% confidence interval [Cl]: 2.5-47.9). Among 341 primary school students, one-dose recipients were at higher risk compared with two-dose recipients controlling for age at and time elapsed since vaccination (P = 0.04).","author":[{"dropping-particle":"","family":"Agócs","given":"M M","non-dropping-particle":"","parse-names":false,"suffix":""},{"dropping-particle":"","family":"Markowitz","given":"L E","non-dropping-particle":"","parse-names":false,"suffix":""},{"dropping-particle":"","family":"Straub","given":"I","non-dropping-particle":"","parse-names":false,"suffix":""},{"dropping-particle":"","family":"Dömök","given":"I","non-dropping-particle":"","parse-names":false,"suffix":""}],"container-title":"International journal of epidemiology","id":"ITEM-1","issue":"5","issued":{"date-parts":[["1992","10"]]},"page":"1007-13","title":"The 1988-1989 measles epidemic in Hungary: assessment of vaccine failure.","type":"article-journal","volume":"21"},"uris":["http://www.mendeley.com/documents/?uuid=9c5a9b32-ba05-34f2-9f4c-d69725d95171"]},{"id":"ITEM-2","itemData":{"URL":"https://www.cdc.gov/mmwr/preview/mmwrhtml/00001472.htm","accessed":{"date-parts":[["2018","5","3"]]},"id":"ITEM-2","issued":{"date-parts":[["0"]]},"title":"International Notes Measles -- Hungary","type":"webpage"},"uris":["http://www.mendeley.com/documents/?uuid=edc2c5ce-02f4-3201-b824-2472edd8131c"]}],"mendeley":{"formattedCitation":"[27,34]","plainTextFormattedCitation":"[27,34]","previouslyFormattedCitation":"[27,34]"},"properties":{"noteIndex":0},"schema":"https://github.com/citation-style-language/schema/raw/master/csl-citation.json"}</w:instrText>
      </w:r>
      <w:r w:rsidRPr="002476AD">
        <w:rPr>
          <w:rStyle w:val="Lbjegyzet-hivatkozs"/>
          <w:rFonts w:ascii="Arial" w:hAnsi="Arial" w:cs="Arial"/>
          <w:sz w:val="24"/>
          <w:szCs w:val="24"/>
        </w:rPr>
        <w:fldChar w:fldCharType="separate"/>
      </w:r>
      <w:r w:rsidR="007F0E42" w:rsidRPr="007F0E42">
        <w:rPr>
          <w:rFonts w:ascii="Arial" w:hAnsi="Arial" w:cs="Arial"/>
          <w:bCs/>
          <w:noProof/>
          <w:sz w:val="24"/>
          <w:szCs w:val="24"/>
          <w:lang w:val="hu-HU"/>
        </w:rPr>
        <w:t>[27,34]</w:t>
      </w:r>
      <w:r w:rsidRPr="002476AD">
        <w:rPr>
          <w:rStyle w:val="Lbjegyzet-hivatkozs"/>
          <w:rFonts w:ascii="Arial" w:hAnsi="Arial" w:cs="Arial"/>
          <w:sz w:val="24"/>
          <w:szCs w:val="24"/>
        </w:rPr>
        <w:fldChar w:fldCharType="end"/>
      </w:r>
      <w:r w:rsidRPr="002476AD">
        <w:rPr>
          <w:rFonts w:ascii="Arial" w:hAnsi="Arial" w:cs="Arial"/>
          <w:sz w:val="24"/>
          <w:szCs w:val="24"/>
        </w:rPr>
        <w:t xml:space="preserve">. These individuals were vaccinated during the early 1970s, when the optimal age of vaccination was not well defined, and the </w:t>
      </w:r>
      <w:proofErr w:type="spellStart"/>
      <w:r w:rsidRPr="002476AD">
        <w:rPr>
          <w:rFonts w:ascii="Arial" w:hAnsi="Arial" w:cs="Arial"/>
          <w:sz w:val="24"/>
          <w:szCs w:val="24"/>
        </w:rPr>
        <w:t>thermolability</w:t>
      </w:r>
      <w:proofErr w:type="spellEnd"/>
      <w:r w:rsidRPr="002476AD">
        <w:rPr>
          <w:rFonts w:ascii="Arial" w:hAnsi="Arial" w:cs="Arial"/>
          <w:sz w:val="24"/>
          <w:szCs w:val="24"/>
        </w:rPr>
        <w:t xml:space="preserve"> of the reconstituted vaccine was not fully characterized </w:t>
      </w:r>
      <w:r w:rsidRPr="002476AD">
        <w:rPr>
          <w:rStyle w:val="Lbjegyzet-hivatkozs"/>
          <w:rFonts w:ascii="Arial" w:hAnsi="Arial" w:cs="Arial"/>
          <w:sz w:val="24"/>
          <w:szCs w:val="24"/>
        </w:rPr>
        <w:fldChar w:fldCharType="begin" w:fldLock="1"/>
      </w:r>
      <w:r w:rsidR="00491630" w:rsidRPr="002476AD">
        <w:rPr>
          <w:rFonts w:ascii="Arial" w:hAnsi="Arial" w:cs="Arial"/>
          <w:sz w:val="24"/>
          <w:szCs w:val="24"/>
        </w:rPr>
        <w:instrText>ADDIN CSL_CITATION {"citationItems":[{"id":"ITEM-1","itemData":{"URL":"https://www.cdc.gov/mmwr/preview/mmwrhtml/00001472.htm","accessed":{"date-parts":[["2018","5","3"]]},"id":"ITEM-1","issued":{"date-parts":[["0"]]},"title":"International Notes Measles -- Hungary","type":"webpage"},"uris":["http://www.mendeley.com/documents/?uuid=edc2c5ce-02f4-3201-b824-2472edd8131c"]}],"mendeley":{"formattedCitation":"[27]","plainTextFormattedCitation":"[27]","previouslyFormattedCitation":"[27]"},"properties":{"noteIndex":0},"schema":"https://github.com/citation-style-language/schema/raw/master/csl-citation.json"}</w:instrText>
      </w:r>
      <w:r w:rsidRPr="002476AD">
        <w:rPr>
          <w:rStyle w:val="Lbjegyzet-hivatkozs"/>
          <w:rFonts w:ascii="Arial" w:hAnsi="Arial" w:cs="Arial"/>
          <w:sz w:val="24"/>
          <w:szCs w:val="24"/>
        </w:rPr>
        <w:fldChar w:fldCharType="separate"/>
      </w:r>
      <w:r w:rsidR="00491630" w:rsidRPr="002476AD">
        <w:rPr>
          <w:rFonts w:ascii="Arial" w:hAnsi="Arial" w:cs="Arial"/>
          <w:noProof/>
          <w:sz w:val="24"/>
          <w:szCs w:val="24"/>
        </w:rPr>
        <w:t>[27]</w:t>
      </w:r>
      <w:r w:rsidRPr="002476AD">
        <w:rPr>
          <w:rStyle w:val="Lbjegyzet-hivatkozs"/>
          <w:rFonts w:ascii="Arial" w:hAnsi="Arial" w:cs="Arial"/>
          <w:sz w:val="24"/>
          <w:szCs w:val="24"/>
        </w:rPr>
        <w:fldChar w:fldCharType="end"/>
      </w:r>
      <w:r w:rsidRPr="002476AD">
        <w:rPr>
          <w:rFonts w:ascii="Arial" w:hAnsi="Arial" w:cs="Arial"/>
          <w:sz w:val="24"/>
          <w:szCs w:val="24"/>
        </w:rPr>
        <w:t>.</w:t>
      </w:r>
      <w:r w:rsidR="00E70C93" w:rsidRPr="002476AD">
        <w:rPr>
          <w:rFonts w:ascii="Arial" w:hAnsi="Arial" w:cs="Arial"/>
          <w:sz w:val="24"/>
          <w:szCs w:val="24"/>
        </w:rPr>
        <w:t xml:space="preserve"> These relatively high measles </w:t>
      </w:r>
      <w:proofErr w:type="spellStart"/>
      <w:r w:rsidR="00E70C93" w:rsidRPr="002476AD">
        <w:rPr>
          <w:rFonts w:ascii="Arial" w:hAnsi="Arial" w:cs="Arial"/>
          <w:sz w:val="24"/>
          <w:szCs w:val="24"/>
        </w:rPr>
        <w:t>seronegativity</w:t>
      </w:r>
      <w:proofErr w:type="spellEnd"/>
      <w:r w:rsidR="00E70C93" w:rsidRPr="002476AD">
        <w:rPr>
          <w:rFonts w:ascii="Arial" w:hAnsi="Arial" w:cs="Arial"/>
          <w:sz w:val="24"/>
          <w:szCs w:val="24"/>
        </w:rPr>
        <w:t xml:space="preserve"> ratios may have been a consequence o</w:t>
      </w:r>
      <w:r w:rsidR="00E70C93" w:rsidRPr="002D21B6">
        <w:rPr>
          <w:rFonts w:ascii="Arial" w:hAnsi="Arial" w:cs="Arial"/>
          <w:sz w:val="24"/>
          <w:szCs w:val="24"/>
        </w:rPr>
        <w:t xml:space="preserve">f vaccine inefficiency, </w:t>
      </w:r>
      <w:r w:rsidR="00643683" w:rsidRPr="002D21B6">
        <w:rPr>
          <w:rFonts w:ascii="Arial" w:hAnsi="Arial" w:cs="Arial"/>
          <w:sz w:val="24"/>
          <w:szCs w:val="24"/>
        </w:rPr>
        <w:t>which seems to be supported by</w:t>
      </w:r>
      <w:r w:rsidR="00E70C93" w:rsidRPr="002D21B6">
        <w:rPr>
          <w:rFonts w:ascii="Arial" w:hAnsi="Arial" w:cs="Arial"/>
          <w:sz w:val="24"/>
          <w:szCs w:val="24"/>
        </w:rPr>
        <w:t xml:space="preserve"> </w:t>
      </w:r>
      <w:r w:rsidR="002476AD">
        <w:rPr>
          <w:rFonts w:ascii="Arial" w:hAnsi="Arial" w:cs="Arial"/>
          <w:sz w:val="24"/>
          <w:szCs w:val="24"/>
        </w:rPr>
        <w:t>historical data: a</w:t>
      </w:r>
      <w:r w:rsidR="008253BD" w:rsidRPr="002D21B6">
        <w:rPr>
          <w:rFonts w:ascii="Arial" w:hAnsi="Arial" w:cs="Arial"/>
          <w:sz w:val="24"/>
          <w:szCs w:val="24"/>
        </w:rPr>
        <w:t xml:space="preserve">fter the starting of the immunization campaign in 1969, a decade later, in 1978 the recommended age for vaccination was changed from 10 to 15 months. </w:t>
      </w:r>
      <w:r w:rsidR="00E70C93" w:rsidRPr="002D21B6">
        <w:rPr>
          <w:rFonts w:ascii="Arial" w:hAnsi="Arial" w:cs="Arial"/>
          <w:sz w:val="24"/>
          <w:szCs w:val="24"/>
        </w:rPr>
        <w:t>T</w:t>
      </w:r>
      <w:r w:rsidR="008253BD" w:rsidRPr="002D21B6">
        <w:rPr>
          <w:rFonts w:ascii="Arial" w:hAnsi="Arial" w:cs="Arial"/>
          <w:sz w:val="24"/>
          <w:szCs w:val="24"/>
        </w:rPr>
        <w:t>he 1988-</w:t>
      </w:r>
      <w:r w:rsidR="00AC2435">
        <w:rPr>
          <w:rFonts w:ascii="Arial" w:hAnsi="Arial" w:cs="Arial"/>
          <w:sz w:val="24"/>
          <w:szCs w:val="24"/>
        </w:rPr>
        <w:t>19</w:t>
      </w:r>
      <w:r w:rsidR="008253BD" w:rsidRPr="002D21B6">
        <w:rPr>
          <w:rFonts w:ascii="Arial" w:hAnsi="Arial" w:cs="Arial"/>
          <w:sz w:val="24"/>
          <w:szCs w:val="24"/>
        </w:rPr>
        <w:t xml:space="preserve">89 epidemics affected individuals (16-22 year old) who were vaccinated in the early era with a singular measles </w:t>
      </w:r>
      <w:r w:rsidR="008253BD" w:rsidRPr="002476AD">
        <w:rPr>
          <w:rFonts w:ascii="Arial" w:hAnsi="Arial" w:cs="Arial"/>
          <w:sz w:val="24"/>
          <w:szCs w:val="24"/>
        </w:rPr>
        <w:t>vaccine</w:t>
      </w:r>
      <w:r w:rsidR="00643683" w:rsidRPr="002476AD">
        <w:rPr>
          <w:rFonts w:ascii="Arial" w:hAnsi="Arial" w:cs="Arial"/>
          <w:sz w:val="24"/>
          <w:szCs w:val="24"/>
        </w:rPr>
        <w:t>. F</w:t>
      </w:r>
      <w:r w:rsidR="008253BD" w:rsidRPr="002476AD">
        <w:rPr>
          <w:rFonts w:ascii="Arial" w:hAnsi="Arial" w:cs="Arial"/>
          <w:sz w:val="24"/>
          <w:szCs w:val="24"/>
        </w:rPr>
        <w:t xml:space="preserve">ollowing the 1988-89 epidemics, persons born between 1973 and 1977 were revaccinated </w:t>
      </w:r>
      <w:r w:rsidR="008253BD" w:rsidRPr="002476AD">
        <w:rPr>
          <w:rStyle w:val="Lbjegyzet-hivatkozs"/>
          <w:rFonts w:ascii="Arial" w:hAnsi="Arial" w:cs="Arial"/>
          <w:sz w:val="24"/>
          <w:szCs w:val="24"/>
        </w:rPr>
        <w:fldChar w:fldCharType="begin" w:fldLock="1"/>
      </w:r>
      <w:r w:rsidR="007F0E42">
        <w:rPr>
          <w:rFonts w:ascii="Arial" w:hAnsi="Arial" w:cs="Arial"/>
          <w:sz w:val="24"/>
          <w:szCs w:val="24"/>
        </w:rPr>
        <w:instrText>ADDIN CSL_CITATION {"citationItems":[{"id":"ITEM-1","itemData":{"ISSN":"0300-5771","PMID":"1468837","abstract":"Hungary has had a successful measles vaccination programme, achieving over 93% coverage in targeted groups. However, from September 1988 until December 1989, 17,938 measles cases were reported among the civilian population (attack rate [AR] = 169 per 100,000 population) with the majority of cases occurring in vaccinated people. National surveillance data were analysed to determine reasons for the outbreak and risk factors for vaccine failure. People born during 1971 and 1972 had been targeted for vaccination during campaigns in April and September of 1973 and had the highest AR (1332 and 1632 per 100,000, respectively). Epidemiological studies of vaccine efficacy conducted among secondary school students corroborated these findings. Among 754 secondary school students, those vaccinated during the April 1973 campaign were at highest risk compared with those vaccinated at routine health care after 1974 (relative risk = 10.9, 95% confidence interval [Cl]: 2.5-47.9). Among 341 primary school students, one-dose recipients were at higher risk compared with two-dose recipients controlling for age at and time elapsed since vaccination (P = 0.04).","author":[{"dropping-particle":"","family":"Agócs","given":"M M","non-dropping-particle":"","parse-names":false,"suffix":""},{"dropping-particle":"","family":"Markowitz","given":"L E","non-dropping-particle":"","parse-names":false,"suffix":""},{"dropping-particle":"","family":"Straub","given":"I","non-dropping-particle":"","parse-names":false,"suffix":""},{"dropping-particle":"","family":"Dömök","given":"I","non-dropping-particle":"","parse-names":false,"suffix":""}],"container-title":"International journal of epidemiology","id":"ITEM-1","issue":"5","issued":{"date-parts":[["1992","10"]]},"page":"1007-13","title":"The 1988-1989 measles epidemic in Hungary: assessment of vaccine failure.","type":"article-journal","volume":"21"},"uris":["http://www.mendeley.com/documents/?uuid=9c5a9b32-ba05-34f2-9f4c-d69725d95171"]},{"id":"ITEM-2","itemData":{"URL":"https://www.cdc.gov/mmwr/preview/mmwrhtml/00001472.htm","accessed":{"date-parts":[["2018","5","3"]]},"id":"ITEM-2","issued":{"date-parts":[["0"]]},"title":"International Notes Measles -- Hungary","type":"webpage"},"uris":["http://www.mendeley.com/documents/?uuid=edc2c5ce-02f4-3201-b824-2472edd8131c"]}],"mendeley":{"formattedCitation":"[27,34]","plainTextFormattedCitation":"[27,34]","previouslyFormattedCitation":"[27,34]"},"properties":{"noteIndex":0},"schema":"https://github.com/citation-style-language/schema/raw/master/csl-citation.json"}</w:instrText>
      </w:r>
      <w:r w:rsidR="008253BD" w:rsidRPr="002476AD">
        <w:rPr>
          <w:rStyle w:val="Lbjegyzet-hivatkozs"/>
          <w:rFonts w:ascii="Arial" w:hAnsi="Arial" w:cs="Arial"/>
          <w:sz w:val="24"/>
          <w:szCs w:val="24"/>
        </w:rPr>
        <w:fldChar w:fldCharType="separate"/>
      </w:r>
      <w:r w:rsidR="007F0E42" w:rsidRPr="007F0E42">
        <w:rPr>
          <w:rFonts w:ascii="Arial" w:hAnsi="Arial" w:cs="Arial"/>
          <w:noProof/>
          <w:sz w:val="24"/>
          <w:szCs w:val="24"/>
        </w:rPr>
        <w:t>[27,34]</w:t>
      </w:r>
      <w:r w:rsidR="008253BD" w:rsidRPr="002476AD">
        <w:rPr>
          <w:rStyle w:val="Lbjegyzet-hivatkozs"/>
          <w:rFonts w:ascii="Arial" w:hAnsi="Arial" w:cs="Arial"/>
          <w:sz w:val="24"/>
          <w:szCs w:val="24"/>
        </w:rPr>
        <w:fldChar w:fldCharType="end"/>
      </w:r>
      <w:r w:rsidR="008253BD" w:rsidRPr="002476AD">
        <w:rPr>
          <w:rFonts w:ascii="Arial" w:hAnsi="Arial" w:cs="Arial"/>
          <w:sz w:val="24"/>
          <w:szCs w:val="24"/>
        </w:rPr>
        <w:t>. Even though a significant portion of the age-groups indicated</w:t>
      </w:r>
      <w:r w:rsidR="008253BD" w:rsidRPr="002D21B6">
        <w:rPr>
          <w:rFonts w:ascii="Arial" w:hAnsi="Arial" w:cs="Arial"/>
          <w:sz w:val="24"/>
          <w:szCs w:val="24"/>
        </w:rPr>
        <w:t xml:space="preserve"> with </w:t>
      </w:r>
      <w:r w:rsidR="008253BD" w:rsidRPr="002476AD">
        <w:rPr>
          <w:rFonts w:ascii="Arial" w:hAnsi="Arial" w:cs="Arial"/>
          <w:sz w:val="24"/>
          <w:szCs w:val="24"/>
        </w:rPr>
        <w:t xml:space="preserve">** in Fig. </w:t>
      </w:r>
      <w:r w:rsidR="00643683" w:rsidRPr="002476AD">
        <w:rPr>
          <w:rFonts w:ascii="Arial" w:hAnsi="Arial" w:cs="Arial"/>
          <w:sz w:val="24"/>
          <w:szCs w:val="24"/>
        </w:rPr>
        <w:t>8</w:t>
      </w:r>
      <w:r w:rsidR="008253BD" w:rsidRPr="002476AD">
        <w:rPr>
          <w:rFonts w:ascii="Arial" w:hAnsi="Arial" w:cs="Arial"/>
          <w:sz w:val="24"/>
          <w:szCs w:val="24"/>
        </w:rPr>
        <w:t xml:space="preserve"> later were re-vaccinated or contracted</w:t>
      </w:r>
      <w:r w:rsidR="008253BD" w:rsidRPr="002D21B6">
        <w:rPr>
          <w:rFonts w:ascii="Arial" w:hAnsi="Arial" w:cs="Arial"/>
          <w:sz w:val="24"/>
          <w:szCs w:val="24"/>
        </w:rPr>
        <w:t xml:space="preserve"> wild-type measles infection (and thus mounted high IgG antibody </w:t>
      </w:r>
      <w:r w:rsidR="008253BD" w:rsidRPr="002476AD">
        <w:rPr>
          <w:rFonts w:ascii="Arial" w:hAnsi="Arial" w:cs="Arial"/>
          <w:sz w:val="24"/>
          <w:szCs w:val="24"/>
        </w:rPr>
        <w:t>response), in th</w:t>
      </w:r>
      <w:r w:rsidR="003862ED" w:rsidRPr="002476AD">
        <w:rPr>
          <w:rFonts w:ascii="Arial" w:hAnsi="Arial" w:cs="Arial"/>
          <w:sz w:val="24"/>
          <w:szCs w:val="24"/>
        </w:rPr>
        <w:t>i</w:t>
      </w:r>
      <w:r w:rsidR="008253BD" w:rsidRPr="002476AD">
        <w:rPr>
          <w:rFonts w:ascii="Arial" w:hAnsi="Arial" w:cs="Arial"/>
          <w:sz w:val="24"/>
          <w:szCs w:val="24"/>
        </w:rPr>
        <w:t>s cluster we found</w:t>
      </w:r>
      <w:r w:rsidR="008253BD" w:rsidRPr="002D21B6">
        <w:rPr>
          <w:rFonts w:ascii="Arial" w:hAnsi="Arial" w:cs="Arial"/>
          <w:sz w:val="24"/>
          <w:szCs w:val="24"/>
        </w:rPr>
        <w:t xml:space="preserve"> the lowest cumulative anti-measles antibody </w:t>
      </w:r>
      <w:r w:rsidR="002E06C3" w:rsidRPr="002D21B6">
        <w:rPr>
          <w:rFonts w:ascii="Arial" w:hAnsi="Arial" w:cs="Arial"/>
          <w:sz w:val="24"/>
          <w:szCs w:val="24"/>
        </w:rPr>
        <w:t>titres</w:t>
      </w:r>
      <w:r w:rsidR="008253BD" w:rsidRPr="002D21B6">
        <w:rPr>
          <w:rFonts w:ascii="Arial" w:hAnsi="Arial" w:cs="Arial"/>
          <w:sz w:val="24"/>
          <w:szCs w:val="24"/>
        </w:rPr>
        <w:t xml:space="preserve"> (i.e. high ratio of </w:t>
      </w:r>
      <w:proofErr w:type="spellStart"/>
      <w:r w:rsidR="008253BD" w:rsidRPr="002D21B6">
        <w:rPr>
          <w:rFonts w:ascii="Arial" w:hAnsi="Arial" w:cs="Arial"/>
          <w:sz w:val="24"/>
          <w:szCs w:val="24"/>
        </w:rPr>
        <w:t>seronegativity</w:t>
      </w:r>
      <w:proofErr w:type="spellEnd"/>
      <w:r w:rsidR="008253BD" w:rsidRPr="002D21B6">
        <w:rPr>
          <w:rFonts w:ascii="Arial" w:hAnsi="Arial" w:cs="Arial"/>
          <w:sz w:val="24"/>
          <w:szCs w:val="24"/>
        </w:rPr>
        <w:t>), which suggest</w:t>
      </w:r>
      <w:r w:rsidR="00E4409D" w:rsidRPr="002D21B6">
        <w:rPr>
          <w:rFonts w:ascii="Arial" w:hAnsi="Arial" w:cs="Arial"/>
          <w:sz w:val="24"/>
          <w:szCs w:val="24"/>
        </w:rPr>
        <w:t>s</w:t>
      </w:r>
      <w:r w:rsidR="008253BD" w:rsidRPr="002D21B6">
        <w:rPr>
          <w:rFonts w:ascii="Arial" w:hAnsi="Arial" w:cs="Arial"/>
          <w:sz w:val="24"/>
          <w:szCs w:val="24"/>
        </w:rPr>
        <w:t xml:space="preserve"> ineffectiveness of the early vaccination system. Additional support for this hypothesis is </w:t>
      </w:r>
      <w:r w:rsidR="008253BD" w:rsidRPr="002D21B6">
        <w:rPr>
          <w:rFonts w:ascii="Arial" w:hAnsi="Arial" w:cs="Arial"/>
          <w:sz w:val="24"/>
          <w:szCs w:val="24"/>
        </w:rPr>
        <w:lastRenderedPageBreak/>
        <w:t>the high age-specific attack rates during the 1988-</w:t>
      </w:r>
      <w:r w:rsidR="00AC2435">
        <w:rPr>
          <w:rFonts w:ascii="Arial" w:hAnsi="Arial" w:cs="Arial"/>
          <w:sz w:val="24"/>
          <w:szCs w:val="24"/>
        </w:rPr>
        <w:t>19</w:t>
      </w:r>
      <w:r w:rsidR="008253BD" w:rsidRPr="002D21B6">
        <w:rPr>
          <w:rFonts w:ascii="Arial" w:hAnsi="Arial" w:cs="Arial"/>
          <w:sz w:val="24"/>
          <w:szCs w:val="24"/>
        </w:rPr>
        <w:t>89 outbreak that affected the population with ≥</w:t>
      </w:r>
      <w:r w:rsidR="002D21B6" w:rsidRPr="002D21B6">
        <w:rPr>
          <w:rFonts w:ascii="Arial" w:hAnsi="Arial" w:cs="Arial"/>
          <w:sz w:val="24"/>
          <w:szCs w:val="24"/>
        </w:rPr>
        <w:t xml:space="preserve"> </w:t>
      </w:r>
      <w:r w:rsidR="008253BD" w:rsidRPr="002D21B6">
        <w:rPr>
          <w:rFonts w:ascii="Arial" w:hAnsi="Arial" w:cs="Arial"/>
          <w:sz w:val="24"/>
          <w:szCs w:val="24"/>
        </w:rPr>
        <w:t>93% vaccine coverage. After the introduction of the trivalent MMR vaccine (199</w:t>
      </w:r>
      <w:r w:rsidR="00CB3A8B">
        <w:rPr>
          <w:rFonts w:ascii="Arial" w:hAnsi="Arial" w:cs="Arial"/>
          <w:sz w:val="24"/>
          <w:szCs w:val="24"/>
        </w:rPr>
        <w:t>1</w:t>
      </w:r>
      <w:r w:rsidR="008253BD" w:rsidRPr="002D21B6">
        <w:rPr>
          <w:rFonts w:ascii="Arial" w:hAnsi="Arial" w:cs="Arial"/>
          <w:sz w:val="24"/>
          <w:szCs w:val="24"/>
        </w:rPr>
        <w:t xml:space="preserve">), we detected a statistically significant improvement in the anti-measles antibody </w:t>
      </w:r>
      <w:r w:rsidR="002E06C3" w:rsidRPr="002476AD">
        <w:rPr>
          <w:rFonts w:ascii="Arial" w:hAnsi="Arial" w:cs="Arial"/>
          <w:sz w:val="24"/>
          <w:szCs w:val="24"/>
        </w:rPr>
        <w:t>titres</w:t>
      </w:r>
      <w:r w:rsidR="003862ED" w:rsidRPr="002476AD">
        <w:rPr>
          <w:rFonts w:ascii="Arial" w:hAnsi="Arial" w:cs="Arial"/>
          <w:sz w:val="24"/>
          <w:szCs w:val="24"/>
        </w:rPr>
        <w:t xml:space="preserve"> (Fig. 9</w:t>
      </w:r>
      <w:r w:rsidR="008253BD" w:rsidRPr="002476AD">
        <w:rPr>
          <w:rFonts w:ascii="Arial" w:hAnsi="Arial" w:cs="Arial"/>
          <w:sz w:val="24"/>
          <w:szCs w:val="24"/>
        </w:rPr>
        <w:t xml:space="preserve">). The group </w:t>
      </w:r>
      <w:r w:rsidR="006462CD" w:rsidRPr="002476AD">
        <w:rPr>
          <w:rFonts w:ascii="Arial" w:hAnsi="Arial" w:cs="Arial"/>
          <w:i/>
          <w:sz w:val="24"/>
          <w:szCs w:val="24"/>
        </w:rPr>
        <w:t xml:space="preserve">“Vaccinated </w:t>
      </w:r>
      <w:proofErr w:type="gramStart"/>
      <w:r w:rsidR="006462CD" w:rsidRPr="002476AD">
        <w:rPr>
          <w:rFonts w:ascii="Arial" w:hAnsi="Arial" w:cs="Arial"/>
          <w:i/>
          <w:sz w:val="24"/>
          <w:szCs w:val="24"/>
        </w:rPr>
        <w:t>between</w:t>
      </w:r>
      <w:r w:rsidR="006462CD" w:rsidRPr="002D21B6">
        <w:rPr>
          <w:rFonts w:ascii="Arial" w:hAnsi="Arial" w:cs="Arial"/>
          <w:i/>
          <w:sz w:val="24"/>
          <w:szCs w:val="24"/>
        </w:rPr>
        <w:t xml:space="preserve"> </w:t>
      </w:r>
      <w:r w:rsidR="008253BD" w:rsidRPr="002D21B6">
        <w:rPr>
          <w:rFonts w:ascii="Arial" w:hAnsi="Arial" w:cs="Arial"/>
          <w:i/>
          <w:sz w:val="24"/>
          <w:szCs w:val="24"/>
        </w:rPr>
        <w:t>1988-</w:t>
      </w:r>
      <w:r w:rsidR="00AC2435">
        <w:rPr>
          <w:rFonts w:ascii="Arial" w:hAnsi="Arial" w:cs="Arial"/>
          <w:i/>
          <w:sz w:val="24"/>
          <w:szCs w:val="24"/>
        </w:rPr>
        <w:t>19</w:t>
      </w:r>
      <w:r w:rsidR="008253BD" w:rsidRPr="002D21B6">
        <w:rPr>
          <w:rFonts w:ascii="Arial" w:hAnsi="Arial" w:cs="Arial"/>
          <w:i/>
          <w:sz w:val="24"/>
          <w:szCs w:val="24"/>
        </w:rPr>
        <w:t>90</w:t>
      </w:r>
      <w:proofErr w:type="gramEnd"/>
      <w:r w:rsidR="008253BD" w:rsidRPr="002D21B6">
        <w:rPr>
          <w:rFonts w:ascii="Arial" w:hAnsi="Arial" w:cs="Arial"/>
          <w:i/>
          <w:sz w:val="24"/>
          <w:szCs w:val="24"/>
        </w:rPr>
        <w:t>”</w:t>
      </w:r>
      <w:r w:rsidR="008253BD" w:rsidRPr="002D21B6">
        <w:rPr>
          <w:rFonts w:ascii="Arial" w:hAnsi="Arial" w:cs="Arial"/>
          <w:sz w:val="24"/>
          <w:szCs w:val="24"/>
        </w:rPr>
        <w:t xml:space="preserve"> has significantly better humoral response compared to the group </w:t>
      </w:r>
      <w:r w:rsidR="008253BD" w:rsidRPr="002D21B6">
        <w:rPr>
          <w:rFonts w:ascii="Arial" w:hAnsi="Arial" w:cs="Arial"/>
          <w:i/>
          <w:sz w:val="24"/>
          <w:szCs w:val="24"/>
        </w:rPr>
        <w:t>“Vaccinated between 1978-</w:t>
      </w:r>
      <w:r w:rsidR="00AC2435">
        <w:rPr>
          <w:rFonts w:ascii="Arial" w:hAnsi="Arial" w:cs="Arial"/>
          <w:i/>
          <w:sz w:val="24"/>
          <w:szCs w:val="24"/>
        </w:rPr>
        <w:t>19</w:t>
      </w:r>
      <w:r w:rsidR="008253BD" w:rsidRPr="002D21B6">
        <w:rPr>
          <w:rFonts w:ascii="Arial" w:hAnsi="Arial" w:cs="Arial"/>
          <w:i/>
          <w:sz w:val="24"/>
          <w:szCs w:val="24"/>
        </w:rPr>
        <w:t>87”</w:t>
      </w:r>
      <w:r w:rsidR="008253BD" w:rsidRPr="002D21B6">
        <w:rPr>
          <w:rFonts w:ascii="Arial" w:hAnsi="Arial" w:cs="Arial"/>
          <w:sz w:val="24"/>
          <w:szCs w:val="24"/>
        </w:rPr>
        <w:t xml:space="preserve">, reflecting the effectiveness of the trivalent reminder vaccine at age 11. </w:t>
      </w:r>
    </w:p>
    <w:p w:rsidR="00D52C62" w:rsidRDefault="0087735D" w:rsidP="00272AA1">
      <w:pPr>
        <w:spacing w:line="480" w:lineRule="auto"/>
        <w:ind w:firstLine="510"/>
        <w:rPr>
          <w:rFonts w:ascii="Arial" w:hAnsi="Arial" w:cs="Arial"/>
          <w:sz w:val="24"/>
          <w:szCs w:val="24"/>
        </w:rPr>
      </w:pPr>
      <w:r w:rsidRPr="002D21B6">
        <w:rPr>
          <w:rFonts w:ascii="Arial" w:hAnsi="Arial" w:cs="Arial"/>
          <w:sz w:val="24"/>
          <w:szCs w:val="24"/>
        </w:rPr>
        <w:t>Population level r</w:t>
      </w:r>
      <w:r w:rsidR="00316320" w:rsidRPr="002D21B6">
        <w:rPr>
          <w:rFonts w:ascii="Arial" w:hAnsi="Arial" w:cs="Arial"/>
          <w:sz w:val="24"/>
          <w:szCs w:val="24"/>
        </w:rPr>
        <w:t>esult evaluation</w:t>
      </w:r>
      <w:r w:rsidRPr="002D21B6">
        <w:rPr>
          <w:rFonts w:ascii="Arial" w:hAnsi="Arial" w:cs="Arial"/>
          <w:sz w:val="24"/>
          <w:szCs w:val="24"/>
        </w:rPr>
        <w:t xml:space="preserve"> was performed in relation to the concept of herd immunity. The term “herd immunity” is widely used, </w:t>
      </w:r>
      <w:r w:rsidR="00073299" w:rsidRPr="002D21B6">
        <w:rPr>
          <w:rFonts w:ascii="Arial" w:hAnsi="Arial" w:cs="Arial"/>
          <w:sz w:val="24"/>
          <w:szCs w:val="24"/>
        </w:rPr>
        <w:t>but</w:t>
      </w:r>
      <w:r w:rsidRPr="002D21B6">
        <w:rPr>
          <w:rFonts w:ascii="Arial" w:hAnsi="Arial" w:cs="Arial"/>
          <w:sz w:val="24"/>
          <w:szCs w:val="24"/>
        </w:rPr>
        <w:t xml:space="preserve"> diversely interpreted. We used it </w:t>
      </w:r>
      <w:r w:rsidR="003A637B" w:rsidRPr="002D21B6">
        <w:rPr>
          <w:rFonts w:ascii="Arial" w:hAnsi="Arial" w:cs="Arial"/>
          <w:sz w:val="24"/>
          <w:szCs w:val="24"/>
        </w:rPr>
        <w:t xml:space="preserve">in the sense of  </w:t>
      </w:r>
      <w:r w:rsidR="00D35CF8" w:rsidRPr="002D21B6">
        <w:rPr>
          <w:rFonts w:ascii="Arial" w:hAnsi="Arial" w:cs="Arial"/>
          <w:sz w:val="24"/>
          <w:szCs w:val="24"/>
        </w:rPr>
        <w:t>“</w:t>
      </w:r>
      <w:r w:rsidRPr="002D21B6">
        <w:rPr>
          <w:rFonts w:ascii="Arial" w:hAnsi="Arial" w:cs="Arial"/>
          <w:sz w:val="24"/>
          <w:szCs w:val="24"/>
        </w:rPr>
        <w:t>a threshold proportion of immune individuals</w:t>
      </w:r>
      <w:r w:rsidR="00D35CF8" w:rsidRPr="002D21B6">
        <w:rPr>
          <w:rFonts w:ascii="Arial" w:hAnsi="Arial" w:cs="Arial"/>
          <w:sz w:val="24"/>
          <w:szCs w:val="24"/>
        </w:rPr>
        <w:t>”</w:t>
      </w:r>
      <w:r w:rsidR="00D37ECD" w:rsidRPr="002D21B6">
        <w:rPr>
          <w:rFonts w:ascii="Arial" w:hAnsi="Arial" w:cs="Arial"/>
          <w:sz w:val="24"/>
          <w:szCs w:val="24"/>
        </w:rPr>
        <w:t xml:space="preserve"> </w:t>
      </w:r>
      <w:r w:rsidR="00D37ECD"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{"citationItems":[{"id":"ITEM-1","itemData":{"DOI":"10.1093/cid/cir007","ISSN":"10584838","abstract":"The term \"herd immunity\" is widely used but carries a variety of meanings. Some authors use it to describe the proportion immune among individuals in a population. Others use it with reference to a particular threshold proportion of immune individuals that should lead to a decline in incidence of infection. Still others use it to refer to a pattern of immunity that should protect a population from invasion of a new infection. A common implication of the term is that the risk of infection among susceptible individuals in a population is reduced by the presence and proximity of immune individuals (this is sometimes referred to as \"indirect protection\" or a \"herd effect\"). We provide brief historical, epidemiologic, theoretical, and pragmatic public health perspectives on this concept.","author":[{"dropping-particle":"","family":"Fine","given":"Paul","non-dropping-particle":"","parse-names":false,"suffix":""},{"dropping-particle":"","family":"Eames","given":"Ken","non-dropping-particle":"","parse-names":false,"suffix":""},{"dropping-particle":"","family":"Heymann","given":"David L.","non-dropping-particle":"","parse-names":false,"suffix":""}],"container-title":"Clinical Infectious Diseases","id":"ITEM-1","issue":"7","issued":{"date-parts":[["2011"]]},"page":"911-916","title":"\"Herd immunity\": A rough guide","type":"article-journal","volume":"52"},"uris":["http://www.mendeley.com/documents/?uuid=224984b4-7d31-4646-a752-7c64f1390eb0"]}],"mendeley":{"formattedCitation":"[35]","plainTextFormattedCitation":"[35]","previouslyFormattedCitation":"[35]"},"properties":{"noteIndex":0},"schema":"https://github.com/citation-style-language/schema/raw/master/csl-citation.json"}</w:instrText>
      </w:r>
      <w:r w:rsidR="00D37ECD" w:rsidRPr="002D21B6">
        <w:rPr>
          <w:rFonts w:ascii="Arial" w:hAnsi="Arial" w:cs="Arial"/>
          <w:sz w:val="24"/>
          <w:szCs w:val="24"/>
        </w:rPr>
        <w:fldChar w:fldCharType="separate"/>
      </w:r>
      <w:r w:rsidR="007F0E42" w:rsidRPr="007F0E42">
        <w:rPr>
          <w:rFonts w:ascii="Arial" w:hAnsi="Arial" w:cs="Arial"/>
          <w:noProof/>
          <w:sz w:val="24"/>
          <w:szCs w:val="24"/>
        </w:rPr>
        <w:t>[35]</w:t>
      </w:r>
      <w:r w:rsidR="00D37ECD" w:rsidRPr="002D21B6">
        <w:rPr>
          <w:rFonts w:ascii="Arial" w:hAnsi="Arial" w:cs="Arial"/>
          <w:sz w:val="24"/>
          <w:szCs w:val="24"/>
        </w:rPr>
        <w:fldChar w:fldCharType="end"/>
      </w:r>
      <w:r w:rsidRPr="002D21B6">
        <w:rPr>
          <w:rFonts w:ascii="Arial" w:hAnsi="Arial" w:cs="Arial"/>
          <w:sz w:val="24"/>
          <w:szCs w:val="24"/>
        </w:rPr>
        <w:t>,</w:t>
      </w:r>
      <w:r w:rsidR="00D52C62" w:rsidRPr="002D21B6">
        <w:rPr>
          <w:rFonts w:ascii="Arial" w:hAnsi="Arial" w:cs="Arial"/>
          <w:sz w:val="24"/>
          <w:szCs w:val="24"/>
        </w:rPr>
        <w:t xml:space="preserve"> strictly</w:t>
      </w:r>
      <w:r w:rsidRPr="002D21B6">
        <w:rPr>
          <w:rFonts w:ascii="Arial" w:hAnsi="Arial" w:cs="Arial"/>
          <w:sz w:val="24"/>
          <w:szCs w:val="24"/>
        </w:rPr>
        <w:t xml:space="preserve"> limited to humoral antibody </w:t>
      </w:r>
      <w:r w:rsidR="00A078AF" w:rsidRPr="002D21B6">
        <w:rPr>
          <w:rFonts w:ascii="Arial" w:hAnsi="Arial" w:cs="Arial"/>
          <w:sz w:val="24"/>
          <w:szCs w:val="24"/>
        </w:rPr>
        <w:t>titres</w:t>
      </w:r>
      <w:r w:rsidRPr="002D21B6">
        <w:rPr>
          <w:rFonts w:ascii="Arial" w:hAnsi="Arial" w:cs="Arial"/>
          <w:sz w:val="24"/>
          <w:szCs w:val="24"/>
        </w:rPr>
        <w:t xml:space="preserve">. </w:t>
      </w:r>
      <w:r w:rsidR="00D37ECD" w:rsidRPr="002D21B6">
        <w:rPr>
          <w:rFonts w:ascii="Arial" w:hAnsi="Arial" w:cs="Arial"/>
          <w:sz w:val="24"/>
          <w:szCs w:val="24"/>
        </w:rPr>
        <w:t>This threshold denoting the arrest of disease spread is different for every disease and is affected by many factors; key epidemiological parameters, such as the age-specific force of infection and the basic reproduction number (R</w:t>
      </w:r>
      <w:r w:rsidR="00D37ECD" w:rsidRPr="002D21B6">
        <w:rPr>
          <w:rFonts w:ascii="Arial" w:hAnsi="Arial" w:cs="Arial"/>
          <w:sz w:val="24"/>
          <w:szCs w:val="24"/>
          <w:vertAlign w:val="subscript"/>
        </w:rPr>
        <w:t>0</w:t>
      </w:r>
      <w:r w:rsidR="00D37ECD" w:rsidRPr="002D21B6">
        <w:rPr>
          <w:rFonts w:ascii="Arial" w:hAnsi="Arial" w:cs="Arial"/>
          <w:sz w:val="24"/>
          <w:szCs w:val="24"/>
        </w:rPr>
        <w:t>) are</w:t>
      </w:r>
      <w:r w:rsidR="008C4D17" w:rsidRPr="002D21B6">
        <w:rPr>
          <w:rFonts w:ascii="Arial" w:hAnsi="Arial" w:cs="Arial"/>
          <w:sz w:val="24"/>
          <w:szCs w:val="24"/>
        </w:rPr>
        <w:t xml:space="preserve"> </w:t>
      </w:r>
      <w:r w:rsidR="00D37ECD" w:rsidRPr="002D21B6">
        <w:rPr>
          <w:rFonts w:ascii="Arial" w:hAnsi="Arial" w:cs="Arial"/>
          <w:sz w:val="24"/>
          <w:szCs w:val="24"/>
        </w:rPr>
        <w:t>estimated from case notification or serol</w:t>
      </w:r>
      <w:r w:rsidR="008C4D17" w:rsidRPr="002D21B6">
        <w:rPr>
          <w:rFonts w:ascii="Arial" w:hAnsi="Arial" w:cs="Arial"/>
          <w:sz w:val="24"/>
          <w:szCs w:val="24"/>
        </w:rPr>
        <w:t>ogical data</w:t>
      </w:r>
      <w:r w:rsidR="00D37ECD" w:rsidRPr="002D21B6">
        <w:rPr>
          <w:rFonts w:ascii="Arial" w:hAnsi="Arial" w:cs="Arial"/>
          <w:sz w:val="24"/>
          <w:szCs w:val="24"/>
        </w:rPr>
        <w:t xml:space="preserve"> </w:t>
      </w:r>
      <w:r w:rsidR="006A4834"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{"citationItems":[{"id":"ITEM-1","itemData":{"DOI":"10.1017/s0950268800004672","ISSN":"0950-2688","PMID":"11218214","abstract":"Data on the pre-vaccination patterns of infection for measles, mumps and rubella are collated from a number of European countries in order to compare the epidemiology of the three viruses. Key epidemiological parameters, such as the age-specific force of infection and the basic reproduction number (R0) are estimated from case notification or serological data using standard techniques. A method is described to compare force of infection estimates derived from serological data. Analysis suggests that the pre-vaccination patterns of measles and mumps infection in the different countries were similar. In contrast, the epidemiology of rubella was highly variable between countries. This suggests that it may be acceptable to use parameter values estimated from other countries to model measles and mumps transmission, but that this approach to modelling rubella transmission requires more caution. Estimates of R0 depend on underlying mixing assumptions. Constraints were placed on R0 estimates by utilising knowledge of likely mixing patterns. The estimates for R0 were highest for measles, intermediate for mumps, and generally lowest for rubella. Analysis of within- and between-age-group transmission rates suggested that mumps transmission tends to be more concentrated within young children than the other two viruses. The implications for the design of immunization programmes are that mumps may be the easiest to control via infant immunization since it is predominantly transmitted between the very young and the variability in rubella epidemiology requires that careful consideration of the possible effects of vaccination options should be made using local data when planning rubella immunization programmes.","author":[{"dropping-particle":"","family":"Edmunds","given":"W J","non-dropping-particle":"","parse-names":false,"suffix":""},{"dropping-particle":"","family":"Gay","given":"N J","non-dropping-particle":"","parse-names":false,"suffix":""},{"dropping-particle":"","family":"Kretzschmar","given":"M","non-dropping-particle":"","parse-names":false,"suffix":""},{"dropping-particle":"","family":"Pebody","given":"R G","non-dropping-particle":"","parse-names":false,"suffix":""},{"dropping-particle":"","family":"Wachmann","given":"H","non-dropping-particle":"","parse-names":false,"suffix":""},{"dropping-particle":"","family":"ESEN Project. European Sero-epidemiology Network","given":"ESEN Project. European Sero-epidemiology","non-dropping-particle":"","parse-names":false,"suffix":""}],"container-title":"Epidemiology and infection","id":"ITEM-1","issue":"3","issued":{"date-parts":[["2000","12"]]},"page":"635-50","publisher":"Cambridge University Press","title":"The pre-vaccination epidemiology of measles, mumps and rubella in Europe: implications for modelling studies.","type":"article-journal","volume":"125"},"uris":["http://www.mendeley.com/documents/?uuid=320441cd-176c-3fb6-b272-c36cc57fe8d0"]}],"mendeley":{"formattedCitation":"[36]","plainTextFormattedCitation":"[36]","previouslyFormattedCitation":"[36]"},"properties":{"noteIndex":0},"schema":"https://github.com/citation-style-language/schema/raw/master/csl-citation.json"}</w:instrText>
      </w:r>
      <w:r w:rsidR="006A4834" w:rsidRPr="002D21B6">
        <w:rPr>
          <w:rFonts w:ascii="Arial" w:hAnsi="Arial" w:cs="Arial"/>
          <w:sz w:val="24"/>
          <w:szCs w:val="24"/>
        </w:rPr>
        <w:fldChar w:fldCharType="separate"/>
      </w:r>
      <w:r w:rsidR="007F0E42" w:rsidRPr="007F0E42">
        <w:rPr>
          <w:rFonts w:ascii="Arial" w:hAnsi="Arial" w:cs="Arial"/>
          <w:noProof/>
          <w:sz w:val="24"/>
          <w:szCs w:val="24"/>
        </w:rPr>
        <w:t>[36]</w:t>
      </w:r>
      <w:r w:rsidR="006A4834" w:rsidRPr="002D21B6">
        <w:rPr>
          <w:rFonts w:ascii="Arial" w:hAnsi="Arial" w:cs="Arial"/>
          <w:sz w:val="24"/>
          <w:szCs w:val="24"/>
        </w:rPr>
        <w:fldChar w:fldCharType="end"/>
      </w:r>
      <w:r w:rsidR="006A4834" w:rsidRPr="002D21B6">
        <w:rPr>
          <w:rFonts w:ascii="Arial" w:hAnsi="Arial" w:cs="Arial"/>
          <w:sz w:val="24"/>
          <w:szCs w:val="24"/>
        </w:rPr>
        <w:t>.</w:t>
      </w:r>
      <w:r w:rsidR="007D60A7" w:rsidRPr="002D21B6">
        <w:t xml:space="preserve"> </w:t>
      </w:r>
      <w:r w:rsidR="007D60A7" w:rsidRPr="002D21B6">
        <w:rPr>
          <w:rFonts w:ascii="Arial" w:hAnsi="Arial" w:cs="Arial"/>
          <w:sz w:val="24"/>
          <w:szCs w:val="24"/>
        </w:rPr>
        <w:t xml:space="preserve">Imperfect </w:t>
      </w:r>
      <w:r w:rsidR="00241A6A" w:rsidRPr="002D21B6">
        <w:rPr>
          <w:rFonts w:ascii="Arial" w:hAnsi="Arial" w:cs="Arial"/>
          <w:sz w:val="24"/>
          <w:szCs w:val="24"/>
        </w:rPr>
        <w:t>i</w:t>
      </w:r>
      <w:r w:rsidR="007D60A7" w:rsidRPr="002D21B6">
        <w:rPr>
          <w:rFonts w:ascii="Arial" w:hAnsi="Arial" w:cs="Arial"/>
          <w:sz w:val="24"/>
          <w:szCs w:val="24"/>
        </w:rPr>
        <w:t xml:space="preserve">mmunity (due to individual differences of responders), heterogeneous populations with potential non-random mixing and non-random vaccination schedules may also need to be considered </w:t>
      </w:r>
      <w:r w:rsidR="007D60A7"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{"citationItems":[{"id":"ITEM-1","itemData":{"DOI":"10.1093/cid/cir007","ISSN":"10584838","abstract":"The term \"herd immunity\" is widely used but carries a variety of meanings. Some authors use it to describe the proportion immune among individuals in a population. Others use it with reference to a particular threshold proportion of immune individuals that should lead to a decline in incidence of infection. Still others use it to refer to a pattern of immunity that should protect a population from invasion of a new infection. A common implication of the term is that the risk of infection among susceptible individuals in a population is reduced by the presence and proximity of immune individuals (this is sometimes referred to as \"indirect protection\" or a \"herd effect\"). We provide brief historical, epidemiologic, theoretical, and pragmatic public health perspectives on this concept.","author":[{"dropping-particle":"","family":"Fine","given":"Paul","non-dropping-particle":"","parse-names":false,"suffix":""},{"dropping-particle":"","family":"Eames","given":"Ken","non-dropping-particle":"","parse-names":false,"suffix":""},{"dropping-particle":"","family":"Heymann","given":"David L.","non-dropping-particle":"","parse-names":false,"suffix":""}],"container-title":"Clinical Infectious Diseases","id":"ITEM-1","issue":"7","issued":{"date-parts":[["2011"]]},"page":"911-916","title":"\"Herd immunity\": A rough guide","type":"article-journal","volume":"52"},"uris":["http://www.mendeley.com/documents/?uuid=224984b4-7d31-4646-a752-7c64f1390eb0"]}],"mendeley":{"formattedCitation":"[35]","plainTextFormattedCitation":"[35]","previouslyFormattedCitation":"[35]"},"properties":{"noteIndex":0},"schema":"https://github.com/citation-style-language/schema/raw/master/csl-citation.json"}</w:instrText>
      </w:r>
      <w:r w:rsidR="007D60A7" w:rsidRPr="002D21B6">
        <w:rPr>
          <w:rFonts w:ascii="Arial" w:hAnsi="Arial" w:cs="Arial"/>
          <w:sz w:val="24"/>
          <w:szCs w:val="24"/>
        </w:rPr>
        <w:fldChar w:fldCharType="separate"/>
      </w:r>
      <w:r w:rsidR="007F0E42" w:rsidRPr="007F0E42">
        <w:rPr>
          <w:rFonts w:ascii="Arial" w:hAnsi="Arial" w:cs="Arial"/>
          <w:noProof/>
          <w:sz w:val="24"/>
          <w:szCs w:val="24"/>
        </w:rPr>
        <w:t>[35]</w:t>
      </w:r>
      <w:r w:rsidR="007D60A7" w:rsidRPr="002D21B6">
        <w:rPr>
          <w:rFonts w:ascii="Arial" w:hAnsi="Arial" w:cs="Arial"/>
          <w:sz w:val="24"/>
          <w:szCs w:val="24"/>
        </w:rPr>
        <w:fldChar w:fldCharType="end"/>
      </w:r>
      <w:r w:rsidR="00693E9F" w:rsidRPr="002D21B6">
        <w:rPr>
          <w:rFonts w:ascii="Arial" w:hAnsi="Arial" w:cs="Arial"/>
          <w:sz w:val="24"/>
          <w:szCs w:val="24"/>
        </w:rPr>
        <w:t>.</w:t>
      </w:r>
      <w:r w:rsidR="006A4834" w:rsidRPr="002D21B6">
        <w:t xml:space="preserve"> </w:t>
      </w:r>
      <w:r w:rsidR="00815D86" w:rsidRPr="002D21B6">
        <w:rPr>
          <w:rFonts w:ascii="Arial" w:hAnsi="Arial" w:cs="Arial"/>
          <w:sz w:val="24"/>
          <w:szCs w:val="24"/>
        </w:rPr>
        <w:t>R</w:t>
      </w:r>
      <w:r w:rsidR="00815D86" w:rsidRPr="002D21B6">
        <w:rPr>
          <w:rFonts w:ascii="Arial" w:hAnsi="Arial" w:cs="Arial"/>
          <w:sz w:val="24"/>
          <w:szCs w:val="24"/>
          <w:vertAlign w:val="subscript"/>
        </w:rPr>
        <w:t>0</w:t>
      </w:r>
      <w:r w:rsidR="006A4834" w:rsidRPr="002D21B6">
        <w:rPr>
          <w:rFonts w:ascii="Arial" w:hAnsi="Arial" w:cs="Arial"/>
          <w:sz w:val="24"/>
          <w:szCs w:val="24"/>
        </w:rPr>
        <w:t xml:space="preserve"> i</w:t>
      </w:r>
      <w:r w:rsidR="00815D86" w:rsidRPr="002D21B6">
        <w:rPr>
          <w:rFonts w:ascii="Arial" w:hAnsi="Arial" w:cs="Arial"/>
          <w:sz w:val="24"/>
          <w:szCs w:val="24"/>
        </w:rPr>
        <w:t xml:space="preserve">s defined as the average number of secondary cases that result from an individual infection </w:t>
      </w:r>
      <w:r w:rsidR="006A4834" w:rsidRPr="002D21B6">
        <w:rPr>
          <w:rFonts w:ascii="Arial" w:hAnsi="Arial" w:cs="Arial"/>
          <w:sz w:val="24"/>
          <w:szCs w:val="24"/>
        </w:rPr>
        <w:t xml:space="preserve">in a </w:t>
      </w:r>
      <w:r w:rsidR="00815D86" w:rsidRPr="002D21B6">
        <w:rPr>
          <w:rFonts w:ascii="Arial" w:hAnsi="Arial" w:cs="Arial"/>
          <w:sz w:val="24"/>
          <w:szCs w:val="24"/>
        </w:rPr>
        <w:t xml:space="preserve">susceptible population </w:t>
      </w:r>
      <w:r w:rsidR="00815D86"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{"citationItems":[{"id":"ITEM-1","itemData":{"DOI":"10.1016/S1473-3099(17)30307-9","ISSN":"1474-4457","PMID":"28757186","abstract":"The basic reproduction number, R nought (R0), is defined as the average number of secondary cases of an infectious disease arising from a typical case in a totally susceptible population, and can be estimated in populations if pre-existing immunity can be accounted for in the calculation. R0 determines the herd immunity threshold and therefore the immunisation coverage required to achieve elimination of an infectious disease. As R0 increases, higher immunisation coverage is required to achieve herd immunity. In July, 2010, a panel of experts convened by WHO concluded that measles can and should be eradicated. Despite the existence of an effective vaccine, regions have had varying success in measles control, in part because measles is one of the most contagious infections. For measles, R0 is often cited to be 12-18, which means that each person with measles would, on average, infect 12-18 other people in a totally susceptible population. We did a systematic review to find studies reporting rigorous estimates and determinants of measles R0. Studies were included if they were a primary source of R0, addressed pre-existing immunity, and accounted for pre-existing immunity in their calculation of R0. A search of key databases was done in January, 2015, and repeated in November, 2016, and yielded 10 883 unique citations. After screening for relevancy and quality, 18 studies met inclusion criteria, providing 58 R0 estimates. We calculated median measles R0 values stratified by key covariates. We found that R0 estimates vary more than the often cited range of 12-18. Our results highlight the importance of countries calculating R0 using locally derived data or, if this is not possible, using parameter estimates from similar settings. Additional data and agreed review methods are needed to strengthen the evidence base for measles elimination modelling.","author":[{"dropping-particle":"","family":"Guerra","given":"Fiona M","non-dropping-particle":"","parse-names":false,"suffix":""},{"dropping-particle":"","family":"Bolotin","given":"Shelly","non-dropping-particle":"","parse-names":false,"suffix":""},{"dropping-particle":"","family":"Lim","given":"Gillian","non-dropping-particle":"","parse-names":false,"suffix":""},{"dropping-particle":"","family":"Heffernan","given":"Jane","non-dropping-particle":"","parse-names":false,"suffix":""},{"dropping-particle":"","family":"Deeks","given":"Shelley L","non-dropping-particle":"","parse-names":false,"suffix":""},{"dropping-particle":"","family":"Li","given":"Ye","non-dropping-particle":"","parse-names":false,"suffix":""},{"dropping-particle":"","family":"Crowcroft","given":"Natasha S","non-dropping-particle":"","parse-names":false,"suffix":""}],"container-title":"The Lancet. Infectious diseases","id":"ITEM-1","issue":"12","issued":{"date-parts":[["2017","12","1"]]},"page":"e420-e428","publisher":"Elsevier","title":"The basic reproduction number (R0) of measles: a systematic review.","type":"article-journal","volume":"17"},"uris":["http://www.mendeley.com/documents/?uuid=16eb12b1-3451-3b43-b859-b8ade8f88e8c"]}],"mendeley":{"formattedCitation":"[37]","plainTextFormattedCitation":"[37]","previouslyFormattedCitation":"[37]"},"properties":{"noteIndex":0},"schema":"https://github.com/citation-style-language/schema/raw/master/csl-citation.json"}</w:instrText>
      </w:r>
      <w:r w:rsidR="00815D86" w:rsidRPr="002D21B6">
        <w:rPr>
          <w:rFonts w:ascii="Arial" w:hAnsi="Arial" w:cs="Arial"/>
          <w:sz w:val="24"/>
          <w:szCs w:val="24"/>
        </w:rPr>
        <w:fldChar w:fldCharType="separate"/>
      </w:r>
      <w:r w:rsidR="007F0E42" w:rsidRPr="007F0E42">
        <w:rPr>
          <w:rFonts w:ascii="Arial" w:hAnsi="Arial" w:cs="Arial"/>
          <w:noProof/>
          <w:sz w:val="24"/>
          <w:szCs w:val="24"/>
        </w:rPr>
        <w:t>[37]</w:t>
      </w:r>
      <w:r w:rsidR="00815D86" w:rsidRPr="002D21B6">
        <w:rPr>
          <w:rFonts w:ascii="Arial" w:hAnsi="Arial" w:cs="Arial"/>
          <w:sz w:val="24"/>
          <w:szCs w:val="24"/>
        </w:rPr>
        <w:fldChar w:fldCharType="end"/>
      </w:r>
      <w:r w:rsidR="00815D86" w:rsidRPr="002D21B6">
        <w:rPr>
          <w:rFonts w:ascii="Arial" w:hAnsi="Arial" w:cs="Arial"/>
          <w:sz w:val="24"/>
          <w:szCs w:val="24"/>
        </w:rPr>
        <w:t>.</w:t>
      </w:r>
      <w:r w:rsidR="001C1DEE" w:rsidRPr="002D21B6">
        <w:t xml:space="preserve"> </w:t>
      </w:r>
      <w:r w:rsidR="001C1DEE" w:rsidRPr="002D21B6">
        <w:rPr>
          <w:rFonts w:ascii="Arial" w:hAnsi="Arial" w:cs="Arial"/>
          <w:sz w:val="24"/>
          <w:szCs w:val="24"/>
        </w:rPr>
        <w:t>Estimates of R</w:t>
      </w:r>
      <w:r w:rsidR="001C1DEE" w:rsidRPr="002D21B6">
        <w:rPr>
          <w:rFonts w:ascii="Arial" w:hAnsi="Arial" w:cs="Arial"/>
          <w:sz w:val="24"/>
          <w:szCs w:val="24"/>
          <w:vertAlign w:val="subscript"/>
        </w:rPr>
        <w:t xml:space="preserve">0 </w:t>
      </w:r>
      <w:r w:rsidR="001C1DEE" w:rsidRPr="002D21B6">
        <w:rPr>
          <w:rFonts w:ascii="Arial" w:hAnsi="Arial" w:cs="Arial"/>
          <w:sz w:val="24"/>
          <w:szCs w:val="24"/>
        </w:rPr>
        <w:t xml:space="preserve">depend on underlying mixing assumptions. For the </w:t>
      </w:r>
      <w:r w:rsidR="00D5084C" w:rsidRPr="002D21B6">
        <w:rPr>
          <w:rFonts w:ascii="Arial" w:hAnsi="Arial" w:cs="Arial"/>
          <w:sz w:val="24"/>
          <w:szCs w:val="24"/>
        </w:rPr>
        <w:t>virus specific R</w:t>
      </w:r>
      <w:r w:rsidR="00D5084C" w:rsidRPr="002D21B6">
        <w:rPr>
          <w:rFonts w:ascii="Arial" w:hAnsi="Arial" w:cs="Arial"/>
          <w:sz w:val="24"/>
          <w:szCs w:val="24"/>
          <w:vertAlign w:val="subscript"/>
        </w:rPr>
        <w:t>0</w:t>
      </w:r>
      <w:r w:rsidR="00D5084C" w:rsidRPr="002D21B6">
        <w:rPr>
          <w:rFonts w:ascii="Arial" w:hAnsi="Arial" w:cs="Arial"/>
          <w:sz w:val="24"/>
          <w:szCs w:val="24"/>
        </w:rPr>
        <w:t xml:space="preserve"> values</w:t>
      </w:r>
      <w:r w:rsidR="001C1DEE" w:rsidRPr="002D21B6">
        <w:rPr>
          <w:rFonts w:ascii="Arial" w:hAnsi="Arial" w:cs="Arial"/>
          <w:sz w:val="24"/>
          <w:szCs w:val="24"/>
        </w:rPr>
        <w:t xml:space="preserve"> shown below, the model of “likely mixing patterns” </w:t>
      </w:r>
      <w:r w:rsidR="00D5084C" w:rsidRPr="002D21B6">
        <w:rPr>
          <w:rFonts w:ascii="Arial" w:hAnsi="Arial" w:cs="Arial"/>
          <w:sz w:val="24"/>
          <w:szCs w:val="24"/>
        </w:rPr>
        <w:t>was</w:t>
      </w:r>
      <w:r w:rsidR="001C1DEE" w:rsidRPr="002D21B6">
        <w:rPr>
          <w:rFonts w:ascii="Arial" w:hAnsi="Arial" w:cs="Arial"/>
          <w:sz w:val="24"/>
          <w:szCs w:val="24"/>
        </w:rPr>
        <w:t xml:space="preserve"> used</w:t>
      </w:r>
      <w:r w:rsidR="00D5084C" w:rsidRPr="002D21B6">
        <w:rPr>
          <w:rFonts w:ascii="Arial" w:hAnsi="Arial" w:cs="Arial"/>
          <w:sz w:val="24"/>
          <w:szCs w:val="24"/>
        </w:rPr>
        <w:t xml:space="preserve"> </w:t>
      </w:r>
      <w:r w:rsidR="001C1DEE"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{"citationItems":[{"id":"ITEM-1","itemData":{"DOI":"10.1017/s0950268800004672","ISSN":"0950-2688","PMID":"11218214","abstract":"Data on the pre-vaccination patterns of infection for measles, mumps and rubella are collated from a number of European countries in order to compare the epidemiology of the three viruses. Key epidemiological parameters, such as the age-specific force of infection and the basic reproduction number (R0) are estimated from case notification or serological data using standard techniques. A method is described to compare force of infection estimates derived from serological data. Analysis suggests that the pre-vaccination patterns of measles and mumps infection in the different countries were similar. In contrast, the epidemiology of rubella was highly variable between countries. This suggests that it may be acceptable to use parameter values estimated from other countries to model measles and mumps transmission, but that this approach to modelling rubella transmission requires more caution. Estimates of R0 depend on underlying mixing assumptions. Constraints were placed on R0 estimates by utilising knowledge of likely mixing patterns. The estimates for R0 were highest for measles, intermediate for mumps, and generally lowest for rubella. Analysis of within- and between-age-group transmission rates suggested that mumps transmission tends to be more concentrated within young children than the other two viruses. The implications for the design of immunization programmes are that mumps may be the easiest to control via infant immunization since it is predominantly transmitted between the very young and the variability in rubella epidemiology requires that careful consideration of the possible effects of vaccination options should be made using local data when planning rubella immunization programmes.","author":[{"dropping-particle":"","family":"Edmunds","given":"W J","non-dropping-particle":"","parse-names":false,"suffix":""},{"dropping-particle":"","family":"Gay","given":"N J","non-dropping-particle":"","parse-names":false,"suffix":""},{"dropping-particle":"","family":"Kretzschmar","given":"M","non-dropping-particle":"","parse-names":false,"suffix":""},{"dropping-particle":"","family":"Pebody","given":"R G","non-dropping-particle":"","parse-names":false,"suffix":""},{"dropping-particle":"","family":"Wachmann","given":"H","non-dropping-particle":"","parse-names":false,"suffix":""},{"dropping-particle":"","family":"ESEN Project. European Sero-epidemiology Network","given":"ESEN Project. European Sero-epidemiology","non-dropping-particle":"","parse-names":false,"suffix":""}],"container-title":"Epidemiology and infection","id":"ITEM-1","issue":"3","issued":{"date-parts":[["2000","12"]]},"page":"635-50","publisher":"Cambridge University Press","title":"The pre-vaccination epidemiology of measles, mumps and rubella in Europe: implications for modelling studies.","type":"article-journal","volume":"125"},"uris":["http://www.mendeley.com/documents/?uuid=320441cd-176c-3fb6-b272-c36cc57fe8d0"]}],"mendeley":{"formattedCitation":"[36]","plainTextFormattedCitation":"[36]","previouslyFormattedCitation":"[36]"},"properties":{"noteIndex":0},"schema":"https://github.com/citation-style-language/schema/raw/master/csl-citation.json"}</w:instrText>
      </w:r>
      <w:r w:rsidR="001C1DEE" w:rsidRPr="002D21B6">
        <w:rPr>
          <w:rFonts w:ascii="Arial" w:hAnsi="Arial" w:cs="Arial"/>
          <w:sz w:val="24"/>
          <w:szCs w:val="24"/>
        </w:rPr>
        <w:fldChar w:fldCharType="separate"/>
      </w:r>
      <w:r w:rsidR="007F0E42" w:rsidRPr="007F0E42">
        <w:rPr>
          <w:rFonts w:ascii="Arial" w:hAnsi="Arial" w:cs="Arial"/>
          <w:noProof/>
          <w:sz w:val="24"/>
          <w:szCs w:val="24"/>
        </w:rPr>
        <w:t>[36]</w:t>
      </w:r>
      <w:r w:rsidR="001C1DEE" w:rsidRPr="002D21B6">
        <w:rPr>
          <w:rFonts w:ascii="Arial" w:hAnsi="Arial" w:cs="Arial"/>
          <w:sz w:val="24"/>
          <w:szCs w:val="24"/>
        </w:rPr>
        <w:fldChar w:fldCharType="end"/>
      </w:r>
      <w:r w:rsidR="001C1DEE" w:rsidRPr="002D21B6">
        <w:rPr>
          <w:rFonts w:ascii="Arial" w:hAnsi="Arial" w:cs="Arial"/>
          <w:sz w:val="24"/>
          <w:szCs w:val="24"/>
        </w:rPr>
        <w:t xml:space="preserve">. </w:t>
      </w:r>
      <w:r w:rsidR="00D849A2" w:rsidRPr="002D21B6">
        <w:rPr>
          <w:rFonts w:ascii="Arial" w:hAnsi="Arial" w:cs="Arial"/>
          <w:sz w:val="24"/>
          <w:szCs w:val="24"/>
        </w:rPr>
        <w:t>The R</w:t>
      </w:r>
      <w:r w:rsidR="00D849A2" w:rsidRPr="002D21B6">
        <w:rPr>
          <w:rFonts w:ascii="Arial" w:hAnsi="Arial" w:cs="Arial"/>
          <w:sz w:val="24"/>
          <w:szCs w:val="24"/>
          <w:vertAlign w:val="subscript"/>
        </w:rPr>
        <w:t>0</w:t>
      </w:r>
      <w:r w:rsidR="00D849A2" w:rsidRPr="002D21B6">
        <w:rPr>
          <w:rFonts w:ascii="Arial" w:hAnsi="Arial" w:cs="Arial"/>
          <w:sz w:val="24"/>
          <w:szCs w:val="24"/>
        </w:rPr>
        <w:t xml:space="preserve"> estimates are highest for measles, intermediate for mumps, and generally lowest for rubella</w:t>
      </w:r>
      <w:r w:rsidR="00650D1B" w:rsidRPr="002D21B6">
        <w:rPr>
          <w:rFonts w:ascii="Arial" w:hAnsi="Arial" w:cs="Arial"/>
          <w:sz w:val="24"/>
          <w:szCs w:val="24"/>
        </w:rPr>
        <w:t xml:space="preserve"> </w:t>
      </w:r>
      <w:r w:rsidR="00650D1B"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{"citationItems":[{"id":"ITEM-1","itemData":{"DOI":"10.1017/s0950268800004672","ISSN":"0950-2688","PMID":"11218214","abstract":"Data on the pre-vaccination patterns of infection for measles, mumps and rubella are collated from a number of European countries in order to compare the epidemiology of the three viruses. Key epidemiological parameters, such as the age-specific force of infection and the basic reproduction number (R0) are estimated from case notification or serological data using standard techniques. A method is described to compare force of infection estimates derived from serological data. Analysis suggests that the pre-vaccination patterns of measles and mumps infection in the different countries were similar. In contrast, the epidemiology of rubella was highly variable between countries. This suggests that it may be acceptable to use parameter values estimated from other countries to model measles and mumps transmission, but that this approach to modelling rubella transmission requires more caution. Estimates of R0 depend on underlying mixing assumptions. Constraints were placed on R0 estimates by utilising knowledge of likely mixing patterns. The estimates for R0 were highest for measles, intermediate for mumps, and generally lowest for rubella. Analysis of within- and between-age-group transmission rates suggested that mumps transmission tends to be more concentrated within young children than the other two viruses. The implications for the design of immunization programmes are that mumps may be the easiest to control via infant immunization since it is predominantly transmitted between the very young and the variability in rubella epidemiology requires that careful consideration of the possible effects of vaccination options should be made using local data when planning rubella immunization programmes.","author":[{"dropping-particle":"","family":"Edmunds","given":"W J","non-dropping-particle":"","parse-names":false,"suffix":""},{"dropping-particle":"","family":"Gay","given":"N J","non-dropping-particle":"","parse-names":false,"suffix":""},{"dropping-particle":"","family":"Kretzschmar","given":"M","non-dropping-particle":"","parse-names":false,"suffix":""},{"dropping-particle":"","family":"Pebody","given":"R G","non-dropping-particle":"","parse-names":false,"suffix":""},{"dropping-particle":"","family":"Wachmann","given":"H","non-dropping-particle":"","parse-names":false,"suffix":""},{"dropping-particle":"","family":"ESEN Project. European Sero-epidemiology Network","given":"ESEN Project. European Sero-epidemiology","non-dropping-particle":"","parse-names":false,"suffix":""}],"container-title":"Epidemiology and infection","id":"ITEM-1","issue":"3","issued":{"date-parts":[["2000","12"]]},"page":"635-50","publisher":"Cambridge University Press","title":"The pre-vaccination epidemiology of measles, mumps and rubella in Europe: implications for modelling studies.","type":"article-journal","volume":"125"},"uris":["http://www.mendeley.com/documents/?uuid=320441cd-176c-3fb6-b272-c36cc57fe8d0"]}],"mendeley":{"formattedCitation":"[36]","plainTextFormattedCitation":"[36]","previouslyFormattedCitation":"[36]"},"properties":{"noteIndex":0},"schema":"https://github.com/citation-style-language/schema/raw/master/csl-citation.json"}</w:instrText>
      </w:r>
      <w:r w:rsidR="00650D1B" w:rsidRPr="002D21B6">
        <w:rPr>
          <w:rFonts w:ascii="Arial" w:hAnsi="Arial" w:cs="Arial"/>
          <w:sz w:val="24"/>
          <w:szCs w:val="24"/>
        </w:rPr>
        <w:fldChar w:fldCharType="separate"/>
      </w:r>
      <w:r w:rsidR="007F0E42" w:rsidRPr="007F0E42">
        <w:rPr>
          <w:rFonts w:ascii="Arial" w:hAnsi="Arial" w:cs="Arial"/>
          <w:noProof/>
          <w:sz w:val="24"/>
          <w:szCs w:val="24"/>
        </w:rPr>
        <w:t>[36]</w:t>
      </w:r>
      <w:r w:rsidR="00650D1B" w:rsidRPr="002D21B6">
        <w:rPr>
          <w:rFonts w:ascii="Arial" w:hAnsi="Arial" w:cs="Arial"/>
          <w:sz w:val="24"/>
          <w:szCs w:val="24"/>
        </w:rPr>
        <w:fldChar w:fldCharType="end"/>
      </w:r>
      <w:r w:rsidR="00D849A2" w:rsidRPr="002D21B6">
        <w:rPr>
          <w:rFonts w:ascii="Arial" w:hAnsi="Arial" w:cs="Arial"/>
          <w:sz w:val="24"/>
          <w:szCs w:val="24"/>
        </w:rPr>
        <w:t xml:space="preserve">. </w:t>
      </w:r>
      <w:r w:rsidR="00AC66AF" w:rsidRPr="002D21B6">
        <w:rPr>
          <w:rFonts w:ascii="Arial" w:hAnsi="Arial" w:cs="Arial"/>
          <w:sz w:val="24"/>
          <w:szCs w:val="24"/>
        </w:rPr>
        <w:t>For measles, R</w:t>
      </w:r>
      <w:r w:rsidR="00AC66AF" w:rsidRPr="002D21B6">
        <w:rPr>
          <w:rFonts w:ascii="Arial" w:hAnsi="Arial" w:cs="Arial"/>
          <w:sz w:val="24"/>
          <w:szCs w:val="24"/>
          <w:vertAlign w:val="subscript"/>
        </w:rPr>
        <w:t>0</w:t>
      </w:r>
      <w:r w:rsidR="00AC66AF" w:rsidRPr="002D21B6">
        <w:rPr>
          <w:rFonts w:ascii="Arial" w:hAnsi="Arial" w:cs="Arial"/>
          <w:sz w:val="24"/>
          <w:szCs w:val="24"/>
        </w:rPr>
        <w:t xml:space="preserve"> is often </w:t>
      </w:r>
      <w:r w:rsidR="00FA47DC" w:rsidRPr="002D21B6">
        <w:rPr>
          <w:rFonts w:ascii="Arial" w:hAnsi="Arial" w:cs="Arial"/>
          <w:sz w:val="24"/>
          <w:szCs w:val="24"/>
        </w:rPr>
        <w:t xml:space="preserve">cited as </w:t>
      </w:r>
      <w:r w:rsidR="00AC66AF" w:rsidRPr="002D21B6">
        <w:rPr>
          <w:rFonts w:ascii="Arial" w:hAnsi="Arial" w:cs="Arial"/>
          <w:sz w:val="24"/>
          <w:szCs w:val="24"/>
        </w:rPr>
        <w:t>12-18, which</w:t>
      </w:r>
      <w:r w:rsidR="006406BD" w:rsidRPr="002D21B6">
        <w:rPr>
          <w:rFonts w:ascii="Arial" w:hAnsi="Arial" w:cs="Arial"/>
          <w:sz w:val="24"/>
          <w:szCs w:val="24"/>
        </w:rPr>
        <w:t xml:space="preserve"> implies</w:t>
      </w:r>
      <w:r w:rsidR="006D0DF0" w:rsidRPr="002D21B6">
        <w:rPr>
          <w:rFonts w:ascii="Arial" w:hAnsi="Arial" w:cs="Arial"/>
          <w:sz w:val="24"/>
          <w:szCs w:val="24"/>
        </w:rPr>
        <w:t xml:space="preserve"> the need of</w:t>
      </w:r>
      <w:r w:rsidR="006406BD" w:rsidRPr="002D21B6">
        <w:rPr>
          <w:rFonts w:ascii="Arial" w:hAnsi="Arial" w:cs="Arial"/>
          <w:sz w:val="24"/>
          <w:szCs w:val="24"/>
        </w:rPr>
        <w:t xml:space="preserve"> ~95% herd immunity. This</w:t>
      </w:r>
      <w:r w:rsidR="00AC66AF" w:rsidRPr="002D21B6">
        <w:rPr>
          <w:rFonts w:ascii="Arial" w:hAnsi="Arial" w:cs="Arial"/>
          <w:sz w:val="24"/>
          <w:szCs w:val="24"/>
        </w:rPr>
        <w:t xml:space="preserve"> means that each person</w:t>
      </w:r>
      <w:r w:rsidR="00650ED6" w:rsidRPr="002D21B6">
        <w:rPr>
          <w:rFonts w:ascii="Arial" w:hAnsi="Arial" w:cs="Arial"/>
          <w:sz w:val="24"/>
          <w:szCs w:val="24"/>
        </w:rPr>
        <w:t xml:space="preserve"> with measles can</w:t>
      </w:r>
      <w:r w:rsidR="00AC66AF" w:rsidRPr="002D21B6">
        <w:rPr>
          <w:rFonts w:ascii="Arial" w:hAnsi="Arial" w:cs="Arial"/>
          <w:sz w:val="24"/>
          <w:szCs w:val="24"/>
        </w:rPr>
        <w:t xml:space="preserve"> infect 12-18 other </w:t>
      </w:r>
      <w:r w:rsidR="00D3224A" w:rsidRPr="002D21B6">
        <w:rPr>
          <w:rFonts w:ascii="Arial" w:hAnsi="Arial" w:cs="Arial"/>
          <w:sz w:val="24"/>
          <w:szCs w:val="24"/>
        </w:rPr>
        <w:t>individuals</w:t>
      </w:r>
      <w:r w:rsidR="00AC66AF" w:rsidRPr="002D21B6">
        <w:rPr>
          <w:rFonts w:ascii="Arial" w:hAnsi="Arial" w:cs="Arial"/>
          <w:sz w:val="24"/>
          <w:szCs w:val="24"/>
        </w:rPr>
        <w:t xml:space="preserve"> in a </w:t>
      </w:r>
      <w:r w:rsidR="00650ED6" w:rsidRPr="002D21B6">
        <w:rPr>
          <w:rFonts w:ascii="Arial" w:hAnsi="Arial" w:cs="Arial"/>
          <w:sz w:val="24"/>
          <w:szCs w:val="24"/>
        </w:rPr>
        <w:t>completely</w:t>
      </w:r>
      <w:r w:rsidR="00AC66AF" w:rsidRPr="002D21B6">
        <w:rPr>
          <w:rFonts w:ascii="Arial" w:hAnsi="Arial" w:cs="Arial"/>
          <w:sz w:val="24"/>
          <w:szCs w:val="24"/>
        </w:rPr>
        <w:t xml:space="preserve"> susceptible population</w:t>
      </w:r>
      <w:r w:rsidR="00650ED6" w:rsidRPr="002D21B6">
        <w:rPr>
          <w:rFonts w:ascii="Arial" w:hAnsi="Arial" w:cs="Arial"/>
          <w:sz w:val="24"/>
          <w:szCs w:val="24"/>
        </w:rPr>
        <w:t>.</w:t>
      </w:r>
      <w:r w:rsidR="006406BD" w:rsidRPr="002D21B6">
        <w:rPr>
          <w:rFonts w:ascii="Arial" w:hAnsi="Arial" w:cs="Arial"/>
          <w:sz w:val="24"/>
          <w:szCs w:val="24"/>
        </w:rPr>
        <w:t xml:space="preserve"> </w:t>
      </w:r>
      <w:r w:rsidR="00650ED6" w:rsidRPr="002D21B6">
        <w:rPr>
          <w:rFonts w:ascii="Arial" w:hAnsi="Arial" w:cs="Arial"/>
          <w:sz w:val="24"/>
          <w:szCs w:val="24"/>
        </w:rPr>
        <w:t xml:space="preserve">For this reason, </w:t>
      </w:r>
      <w:r w:rsidR="00D5084C" w:rsidRPr="002D21B6">
        <w:rPr>
          <w:rFonts w:ascii="Arial" w:hAnsi="Arial" w:cs="Arial"/>
          <w:sz w:val="24"/>
          <w:szCs w:val="24"/>
        </w:rPr>
        <w:t xml:space="preserve">the </w:t>
      </w:r>
      <w:r w:rsidR="006406BD" w:rsidRPr="002D21B6">
        <w:rPr>
          <w:rFonts w:ascii="Arial" w:hAnsi="Arial" w:cs="Arial"/>
          <w:sz w:val="24"/>
          <w:szCs w:val="24"/>
        </w:rPr>
        <w:t xml:space="preserve">achievement </w:t>
      </w:r>
      <w:r w:rsidR="00D5084C" w:rsidRPr="002D21B6">
        <w:rPr>
          <w:rFonts w:ascii="Arial" w:hAnsi="Arial" w:cs="Arial"/>
          <w:sz w:val="24"/>
          <w:szCs w:val="24"/>
        </w:rPr>
        <w:t>of ≥</w:t>
      </w:r>
      <w:r w:rsidR="002D21B6" w:rsidRPr="002D21B6">
        <w:rPr>
          <w:rFonts w:ascii="Arial" w:hAnsi="Arial" w:cs="Arial"/>
          <w:sz w:val="24"/>
          <w:szCs w:val="24"/>
        </w:rPr>
        <w:t xml:space="preserve"> </w:t>
      </w:r>
      <w:r w:rsidR="006406BD" w:rsidRPr="002D21B6">
        <w:rPr>
          <w:rFonts w:ascii="Arial" w:hAnsi="Arial" w:cs="Arial"/>
          <w:sz w:val="24"/>
          <w:szCs w:val="24"/>
        </w:rPr>
        <w:t xml:space="preserve">95% </w:t>
      </w:r>
      <w:r w:rsidR="00D5084C" w:rsidRPr="002D21B6">
        <w:rPr>
          <w:rFonts w:ascii="Arial" w:hAnsi="Arial" w:cs="Arial"/>
          <w:sz w:val="24"/>
          <w:szCs w:val="24"/>
        </w:rPr>
        <w:t>of immunity</w:t>
      </w:r>
      <w:r w:rsidR="00C73725" w:rsidRPr="002D21B6">
        <w:rPr>
          <w:rFonts w:ascii="Arial" w:hAnsi="Arial" w:cs="Arial"/>
          <w:sz w:val="24"/>
          <w:szCs w:val="24"/>
        </w:rPr>
        <w:t xml:space="preserve"> across all age groups </w:t>
      </w:r>
      <w:r w:rsidR="00C73725" w:rsidRPr="002D21B6">
        <w:rPr>
          <w:rFonts w:ascii="Arial" w:hAnsi="Arial" w:cs="Arial"/>
          <w:sz w:val="24"/>
          <w:szCs w:val="24"/>
        </w:rPr>
        <w:lastRenderedPageBreak/>
        <w:t xml:space="preserve">(optimal immune response followed </w:t>
      </w:r>
      <w:r w:rsidR="00F22EF3" w:rsidRPr="002D21B6">
        <w:rPr>
          <w:rFonts w:ascii="Arial" w:hAnsi="Arial" w:cs="Arial"/>
          <w:sz w:val="24"/>
          <w:szCs w:val="24"/>
        </w:rPr>
        <w:t>by efficient</w:t>
      </w:r>
      <w:r w:rsidR="00C73725" w:rsidRPr="002D21B6">
        <w:rPr>
          <w:rFonts w:ascii="Arial" w:hAnsi="Arial" w:cs="Arial"/>
          <w:sz w:val="24"/>
          <w:szCs w:val="24"/>
        </w:rPr>
        <w:t xml:space="preserve"> seroconversion on population level</w:t>
      </w:r>
      <w:r w:rsidR="00F22EF3" w:rsidRPr="002D21B6">
        <w:rPr>
          <w:rFonts w:ascii="Arial" w:hAnsi="Arial" w:cs="Arial"/>
          <w:sz w:val="24"/>
          <w:szCs w:val="24"/>
        </w:rPr>
        <w:t>) is</w:t>
      </w:r>
      <w:r w:rsidR="00C73725" w:rsidRPr="002D21B6">
        <w:rPr>
          <w:rFonts w:ascii="Arial" w:hAnsi="Arial" w:cs="Arial"/>
          <w:sz w:val="24"/>
          <w:szCs w:val="24"/>
        </w:rPr>
        <w:t xml:space="preserve"> the </w:t>
      </w:r>
      <w:r w:rsidR="009D3E73" w:rsidRPr="002D21B6">
        <w:rPr>
          <w:rFonts w:ascii="Arial" w:hAnsi="Arial" w:cs="Arial"/>
          <w:sz w:val="24"/>
          <w:szCs w:val="24"/>
        </w:rPr>
        <w:t xml:space="preserve">official </w:t>
      </w:r>
      <w:r w:rsidR="00C73725" w:rsidRPr="002D21B6">
        <w:rPr>
          <w:rFonts w:ascii="Arial" w:hAnsi="Arial" w:cs="Arial"/>
          <w:sz w:val="24"/>
          <w:szCs w:val="24"/>
        </w:rPr>
        <w:t>target for measles elimination</w:t>
      </w:r>
      <w:r w:rsidR="006406BD" w:rsidRPr="002D21B6">
        <w:rPr>
          <w:rFonts w:ascii="Arial" w:hAnsi="Arial" w:cs="Arial"/>
          <w:sz w:val="24"/>
          <w:szCs w:val="24"/>
        </w:rPr>
        <w:t>.</w:t>
      </w:r>
      <w:r w:rsidR="001D6011" w:rsidRPr="002D21B6">
        <w:t xml:space="preserve"> </w:t>
      </w:r>
      <w:r w:rsidR="001D6011" w:rsidRPr="002D21B6">
        <w:rPr>
          <w:rFonts w:ascii="Arial" w:hAnsi="Arial" w:cs="Arial"/>
          <w:sz w:val="24"/>
          <w:szCs w:val="24"/>
        </w:rPr>
        <w:t>In the literature R</w:t>
      </w:r>
      <w:r w:rsidR="001D6011" w:rsidRPr="002D21B6">
        <w:rPr>
          <w:rFonts w:ascii="Arial" w:hAnsi="Arial" w:cs="Arial"/>
          <w:sz w:val="24"/>
          <w:szCs w:val="24"/>
          <w:vertAlign w:val="subscript"/>
        </w:rPr>
        <w:t>0</w:t>
      </w:r>
      <w:r w:rsidR="00650ED6" w:rsidRPr="002D21B6">
        <w:rPr>
          <w:rFonts w:ascii="Arial" w:hAnsi="Arial" w:cs="Arial"/>
          <w:sz w:val="24"/>
          <w:szCs w:val="24"/>
        </w:rPr>
        <w:t xml:space="preserve"> and herd- immunity threshold </w:t>
      </w:r>
      <w:r w:rsidR="001D6011" w:rsidRPr="002D21B6">
        <w:rPr>
          <w:rFonts w:ascii="Arial" w:hAnsi="Arial" w:cs="Arial"/>
          <w:sz w:val="24"/>
          <w:szCs w:val="24"/>
        </w:rPr>
        <w:t>(HIT) values are generally estimated as follows: R</w:t>
      </w:r>
      <w:r w:rsidR="001D6011" w:rsidRPr="002D21B6">
        <w:rPr>
          <w:rFonts w:ascii="Arial" w:hAnsi="Arial" w:cs="Arial"/>
          <w:sz w:val="24"/>
          <w:szCs w:val="24"/>
          <w:vertAlign w:val="subscript"/>
        </w:rPr>
        <w:t>0</w:t>
      </w:r>
      <w:r w:rsidR="001D6011" w:rsidRPr="002D21B6">
        <w:rPr>
          <w:rFonts w:ascii="Arial" w:hAnsi="Arial" w:cs="Arial"/>
          <w:sz w:val="24"/>
          <w:szCs w:val="24"/>
        </w:rPr>
        <w:t xml:space="preserve"> </w:t>
      </w:r>
      <w:r w:rsidR="001D6011" w:rsidRPr="002D21B6">
        <w:rPr>
          <w:rFonts w:ascii="Arial" w:hAnsi="Arial" w:cs="Arial"/>
          <w:sz w:val="24"/>
          <w:szCs w:val="24"/>
          <w:vertAlign w:val="subscript"/>
        </w:rPr>
        <w:t>Measles</w:t>
      </w:r>
      <w:r w:rsidR="001D6011" w:rsidRPr="002D21B6">
        <w:rPr>
          <w:rFonts w:ascii="Arial" w:hAnsi="Arial" w:cs="Arial"/>
          <w:sz w:val="24"/>
          <w:szCs w:val="24"/>
        </w:rPr>
        <w:t xml:space="preserve"> = </w:t>
      </w:r>
      <w:r w:rsidR="003B3776" w:rsidRPr="002D21B6">
        <w:rPr>
          <w:rFonts w:ascii="Arial" w:hAnsi="Arial" w:cs="Arial"/>
          <w:sz w:val="24"/>
          <w:szCs w:val="24"/>
        </w:rPr>
        <w:t>12–18,</w:t>
      </w:r>
      <w:r w:rsidR="001D6011" w:rsidRPr="002D21B6">
        <w:rPr>
          <w:rFonts w:ascii="Arial" w:hAnsi="Arial" w:cs="Arial"/>
          <w:sz w:val="24"/>
          <w:szCs w:val="24"/>
        </w:rPr>
        <w:t xml:space="preserve"> HIT </w:t>
      </w:r>
      <w:r w:rsidR="001D6011" w:rsidRPr="002D21B6">
        <w:rPr>
          <w:rFonts w:ascii="Arial" w:hAnsi="Arial" w:cs="Arial"/>
          <w:sz w:val="24"/>
          <w:szCs w:val="24"/>
          <w:vertAlign w:val="subscript"/>
        </w:rPr>
        <w:t>Measles</w:t>
      </w:r>
      <w:r w:rsidR="001D6011" w:rsidRPr="002D21B6">
        <w:rPr>
          <w:rFonts w:ascii="Arial" w:hAnsi="Arial" w:cs="Arial"/>
          <w:sz w:val="24"/>
          <w:szCs w:val="24"/>
        </w:rPr>
        <w:t xml:space="preserve"> = 92–95%, R</w:t>
      </w:r>
      <w:r w:rsidR="001D6011" w:rsidRPr="002D21B6">
        <w:rPr>
          <w:rFonts w:ascii="Arial" w:hAnsi="Arial" w:cs="Arial"/>
          <w:sz w:val="24"/>
          <w:szCs w:val="24"/>
          <w:vertAlign w:val="subscript"/>
        </w:rPr>
        <w:t>0</w:t>
      </w:r>
      <w:r w:rsidR="001D6011" w:rsidRPr="002D21B6">
        <w:rPr>
          <w:rFonts w:ascii="Arial" w:hAnsi="Arial" w:cs="Arial"/>
          <w:sz w:val="24"/>
          <w:szCs w:val="24"/>
        </w:rPr>
        <w:t xml:space="preserve"> </w:t>
      </w:r>
      <w:r w:rsidR="001D6011" w:rsidRPr="002D21B6">
        <w:rPr>
          <w:rFonts w:ascii="Arial" w:hAnsi="Arial" w:cs="Arial"/>
          <w:sz w:val="24"/>
          <w:szCs w:val="24"/>
          <w:vertAlign w:val="subscript"/>
        </w:rPr>
        <w:t>Mumps</w:t>
      </w:r>
      <w:r w:rsidR="003B3776" w:rsidRPr="002D21B6">
        <w:rPr>
          <w:rFonts w:ascii="Arial" w:hAnsi="Arial" w:cs="Arial"/>
          <w:sz w:val="24"/>
          <w:szCs w:val="24"/>
        </w:rPr>
        <w:t xml:space="preserve"> = 4–12,</w:t>
      </w:r>
      <w:r w:rsidR="001D6011" w:rsidRPr="002D21B6">
        <w:rPr>
          <w:rFonts w:ascii="Arial" w:hAnsi="Arial" w:cs="Arial"/>
          <w:sz w:val="24"/>
          <w:szCs w:val="24"/>
        </w:rPr>
        <w:t xml:space="preserve"> HIT </w:t>
      </w:r>
      <w:r w:rsidR="001D6011" w:rsidRPr="002D21B6">
        <w:rPr>
          <w:rFonts w:ascii="Arial" w:hAnsi="Arial" w:cs="Arial"/>
          <w:sz w:val="24"/>
          <w:szCs w:val="24"/>
          <w:vertAlign w:val="subscript"/>
        </w:rPr>
        <w:t>Mumps</w:t>
      </w:r>
      <w:r w:rsidR="001D6011" w:rsidRPr="002D21B6">
        <w:rPr>
          <w:rFonts w:ascii="Arial" w:hAnsi="Arial" w:cs="Arial"/>
          <w:sz w:val="24"/>
          <w:szCs w:val="24"/>
        </w:rPr>
        <w:t xml:space="preserve"> = 75–86%, R</w:t>
      </w:r>
      <w:r w:rsidR="001D6011" w:rsidRPr="002D21B6">
        <w:rPr>
          <w:rFonts w:ascii="Arial" w:hAnsi="Arial" w:cs="Arial"/>
          <w:sz w:val="24"/>
          <w:szCs w:val="24"/>
          <w:vertAlign w:val="subscript"/>
        </w:rPr>
        <w:t>0</w:t>
      </w:r>
      <w:r w:rsidR="001D6011" w:rsidRPr="002D21B6">
        <w:rPr>
          <w:rFonts w:ascii="Arial" w:hAnsi="Arial" w:cs="Arial"/>
          <w:sz w:val="24"/>
          <w:szCs w:val="24"/>
        </w:rPr>
        <w:t xml:space="preserve"> </w:t>
      </w:r>
      <w:r w:rsidR="001D6011" w:rsidRPr="002D21B6">
        <w:rPr>
          <w:rFonts w:ascii="Arial" w:hAnsi="Arial" w:cs="Arial"/>
          <w:sz w:val="24"/>
          <w:szCs w:val="24"/>
          <w:vertAlign w:val="subscript"/>
        </w:rPr>
        <w:t>Rubella</w:t>
      </w:r>
      <w:r w:rsidR="003B3776" w:rsidRPr="002D21B6">
        <w:rPr>
          <w:rFonts w:ascii="Arial" w:hAnsi="Arial" w:cs="Arial"/>
          <w:sz w:val="24"/>
          <w:szCs w:val="24"/>
        </w:rPr>
        <w:t xml:space="preserve"> = 5–7, </w:t>
      </w:r>
      <w:r w:rsidR="001D6011" w:rsidRPr="002D21B6">
        <w:rPr>
          <w:rFonts w:ascii="Arial" w:hAnsi="Arial" w:cs="Arial"/>
          <w:sz w:val="24"/>
          <w:szCs w:val="24"/>
        </w:rPr>
        <w:t xml:space="preserve">HIT </w:t>
      </w:r>
      <w:r w:rsidR="001D6011" w:rsidRPr="002D21B6">
        <w:rPr>
          <w:rFonts w:ascii="Arial" w:hAnsi="Arial" w:cs="Arial"/>
          <w:sz w:val="24"/>
          <w:szCs w:val="24"/>
          <w:vertAlign w:val="subscript"/>
        </w:rPr>
        <w:t>Rubella</w:t>
      </w:r>
      <w:r w:rsidR="001D6011" w:rsidRPr="002D21B6">
        <w:rPr>
          <w:rFonts w:ascii="Arial" w:hAnsi="Arial" w:cs="Arial"/>
          <w:sz w:val="24"/>
          <w:szCs w:val="24"/>
        </w:rPr>
        <w:t xml:space="preserve"> = 83–86% </w:t>
      </w:r>
      <w:r w:rsidR="001D6011"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{"citationItems":[{"id":"ITEM-1","itemData":{"DOI":"10.1017/s0950268800004672","ISSN":"0950-2688","PMID":"11218214","abstract":"Data on the pre-vaccination patterns of infection for measles, mumps and rubella are collated from a number of European countries in order to compare the epidemiology of the three viruses. Key epidemiological parameters, such as the age-specific force of infection and the basic reproduction number (R0) are estimated from case notification or serological data using standard techniques. A method is described to compare force of infection estimates derived from serological data. Analysis suggests that the pre-vaccination patterns of measles and mumps infection in the different countries were similar. In contrast, the epidemiology of rubella was highly variable between countries. This suggests that it may be acceptable to use parameter values estimated from other countries to model measles and mumps transmission, but that this approach to modelling rubella transmission requires more caution. Estimates of R0 depend on underlying mixing assumptions. Constraints were placed on R0 estimates by utilising knowledge of likely mixing patterns. The estimates for R0 were highest for measles, intermediate for mumps, and generally lowest for rubella. Analysis of within- and between-age-group transmission rates suggested that mumps transmission tends to be more concentrated within young children than the other two viruses. The implications for the design of immunization programmes are that mumps may be the easiest to control via infant immunization since it is predominantly transmitted between the very young and the variability in rubella epidemiology requires that careful consideration of the possible effects of vaccination options should be made using local data when planning rubella immunization programmes.","author":[{"dropping-particle":"","family":"Edmunds","given":"W J","non-dropping-particle":"","parse-names":false,"suffix":""},{"dropping-particle":"","family":"Gay","given":"N J","non-dropping-particle":"","parse-names":false,"suffix":""},{"dropping-particle":"","family":"Kretzschmar","given":"M","non-dropping-particle":"","parse-names":false,"suffix":""},{"dropping-particle":"","family":"Pebody","given":"R G","non-dropping-particle":"","parse-names":false,"suffix":""},{"dropping-particle":"","family":"Wachmann","given":"H","non-dropping-particle":"","parse-names":false,"suffix":""},{"dropping-particle":"","family":"ESEN Project. European Sero-epidemiology Network","given":"ESEN Project. European Sero-epidemiology","non-dropping-particle":"","parse-names":false,"suffix":""}],"container-title":"Epidemiology and infection","id":"ITEM-1","issue":"3","issued":{"date-parts":[["2000","12"]]},"page":"635-50","publisher":"Cambridge University Press","title":"The pre-vaccination epidemiology of measles, mumps and rubella in Europe: implications for modelling studies.","type":"article-journal","volume":"125"},"uris":["http://www.mendeley.com/documents/?uuid=320441cd-176c-3fb6-b272-c36cc57fe8d0"]}],"mendeley":{"formattedCitation":"[36]","plainTextFormattedCitation":"[36]","previouslyFormattedCitation":"[36]"},"properties":{"noteIndex":0},"schema":"https://github.com/citation-style-language/schema/raw/master/csl-citation.json"}</w:instrText>
      </w:r>
      <w:r w:rsidR="001D6011" w:rsidRPr="002D21B6">
        <w:rPr>
          <w:rFonts w:ascii="Arial" w:hAnsi="Arial" w:cs="Arial"/>
          <w:sz w:val="24"/>
          <w:szCs w:val="24"/>
        </w:rPr>
        <w:fldChar w:fldCharType="separate"/>
      </w:r>
      <w:r w:rsidR="007F0E42" w:rsidRPr="007F0E42">
        <w:rPr>
          <w:rFonts w:ascii="Arial" w:hAnsi="Arial" w:cs="Arial"/>
          <w:noProof/>
          <w:sz w:val="24"/>
          <w:szCs w:val="24"/>
        </w:rPr>
        <w:t>[36]</w:t>
      </w:r>
      <w:r w:rsidR="001D6011" w:rsidRPr="002D21B6">
        <w:rPr>
          <w:rFonts w:ascii="Arial" w:hAnsi="Arial" w:cs="Arial"/>
          <w:sz w:val="24"/>
          <w:szCs w:val="24"/>
        </w:rPr>
        <w:fldChar w:fldCharType="end"/>
      </w:r>
      <w:r w:rsidR="001D6011" w:rsidRPr="002D21B6">
        <w:rPr>
          <w:rFonts w:ascii="Arial" w:hAnsi="Arial" w:cs="Arial"/>
          <w:sz w:val="24"/>
          <w:szCs w:val="24"/>
        </w:rPr>
        <w:t>.</w:t>
      </w:r>
      <w:r w:rsidR="00693E9F" w:rsidRPr="002D21B6">
        <w:rPr>
          <w:rFonts w:ascii="Arial" w:hAnsi="Arial" w:cs="Arial"/>
          <w:sz w:val="24"/>
          <w:szCs w:val="24"/>
        </w:rPr>
        <w:t xml:space="preserve"> Often used models for population level estimation are the </w:t>
      </w:r>
      <w:r w:rsidR="00D52C62" w:rsidRPr="002D21B6">
        <w:rPr>
          <w:rFonts w:ascii="Arial" w:hAnsi="Arial" w:cs="Arial"/>
          <w:sz w:val="24"/>
          <w:szCs w:val="24"/>
        </w:rPr>
        <w:t xml:space="preserve">herd immunity threshold </w:t>
      </w:r>
      <w:r w:rsidR="00693E9F" w:rsidRPr="002D21B6">
        <w:rPr>
          <w:rFonts w:ascii="Arial" w:hAnsi="Arial" w:cs="Arial"/>
          <w:sz w:val="24"/>
          <w:szCs w:val="24"/>
        </w:rPr>
        <w:t>(</w:t>
      </w:r>
      <w:proofErr w:type="spellStart"/>
      <w:r w:rsidR="00693E9F" w:rsidRPr="002D21B6">
        <w:rPr>
          <w:rFonts w:ascii="Arial" w:hAnsi="Arial" w:cs="Arial"/>
          <w:sz w:val="24"/>
          <w:szCs w:val="24"/>
        </w:rPr>
        <w:t>Ic</w:t>
      </w:r>
      <w:proofErr w:type="spellEnd"/>
      <w:r w:rsidR="00693E9F" w:rsidRPr="002D21B6">
        <w:rPr>
          <w:rFonts w:ascii="Arial" w:hAnsi="Arial" w:cs="Arial"/>
          <w:sz w:val="24"/>
          <w:szCs w:val="24"/>
        </w:rPr>
        <w:t xml:space="preserve">); </w:t>
      </w:r>
      <w:proofErr w:type="spellStart"/>
      <w:r w:rsidR="00693E9F" w:rsidRPr="002D21B6">
        <w:rPr>
          <w:rFonts w:ascii="Arial" w:hAnsi="Arial" w:cs="Arial"/>
          <w:sz w:val="24"/>
          <w:szCs w:val="24"/>
        </w:rPr>
        <w:t>Ic</w:t>
      </w:r>
      <w:proofErr w:type="spellEnd"/>
      <w:r w:rsidR="00693E9F" w:rsidRPr="002D21B6">
        <w:rPr>
          <w:rFonts w:ascii="Arial" w:hAnsi="Arial" w:cs="Arial"/>
          <w:sz w:val="24"/>
          <w:szCs w:val="24"/>
        </w:rPr>
        <w:t> = 1 − (1/R</w:t>
      </w:r>
      <w:r w:rsidR="00693E9F" w:rsidRPr="002D21B6">
        <w:rPr>
          <w:rFonts w:ascii="Arial" w:hAnsi="Arial" w:cs="Arial"/>
          <w:sz w:val="24"/>
          <w:szCs w:val="24"/>
          <w:vertAlign w:val="subscript"/>
        </w:rPr>
        <w:t>0</w:t>
      </w:r>
      <w:r w:rsidR="00693E9F" w:rsidRPr="002D21B6">
        <w:rPr>
          <w:rFonts w:ascii="Arial" w:hAnsi="Arial" w:cs="Arial"/>
          <w:sz w:val="24"/>
          <w:szCs w:val="24"/>
        </w:rPr>
        <w:t>), and the critical vaccination coverage (</w:t>
      </w:r>
      <w:proofErr w:type="spellStart"/>
      <w:r w:rsidR="00693E9F" w:rsidRPr="002D21B6">
        <w:rPr>
          <w:rFonts w:ascii="Arial" w:hAnsi="Arial" w:cs="Arial"/>
          <w:sz w:val="24"/>
          <w:szCs w:val="24"/>
        </w:rPr>
        <w:t>Vc</w:t>
      </w:r>
      <w:proofErr w:type="spellEnd"/>
      <w:r w:rsidR="00693E9F" w:rsidRPr="002D21B6">
        <w:rPr>
          <w:rFonts w:ascii="Arial" w:hAnsi="Arial" w:cs="Arial"/>
          <w:sz w:val="24"/>
          <w:szCs w:val="24"/>
        </w:rPr>
        <w:t>)</w:t>
      </w:r>
      <w:r w:rsidR="00D52C62" w:rsidRPr="002D21B6">
        <w:rPr>
          <w:rFonts w:ascii="Arial" w:hAnsi="Arial" w:cs="Arial"/>
          <w:sz w:val="24"/>
          <w:szCs w:val="24"/>
        </w:rPr>
        <w:t xml:space="preserve">; </w:t>
      </w:r>
      <w:proofErr w:type="spellStart"/>
      <w:r w:rsidR="00D52C62" w:rsidRPr="002D21B6">
        <w:rPr>
          <w:rFonts w:ascii="Arial" w:hAnsi="Arial" w:cs="Arial"/>
          <w:sz w:val="24"/>
          <w:szCs w:val="24"/>
        </w:rPr>
        <w:t>Vc</w:t>
      </w:r>
      <w:proofErr w:type="spellEnd"/>
      <w:r w:rsidR="00D52C62" w:rsidRPr="002D21B6">
        <w:rPr>
          <w:rFonts w:ascii="Arial" w:hAnsi="Arial" w:cs="Arial"/>
          <w:sz w:val="24"/>
          <w:szCs w:val="24"/>
        </w:rPr>
        <w:t> = </w:t>
      </w:r>
      <w:proofErr w:type="spellStart"/>
      <w:r w:rsidR="00D52C62" w:rsidRPr="002D21B6">
        <w:rPr>
          <w:rFonts w:ascii="Arial" w:hAnsi="Arial" w:cs="Arial"/>
          <w:sz w:val="24"/>
          <w:szCs w:val="24"/>
        </w:rPr>
        <w:t>Ic</w:t>
      </w:r>
      <w:proofErr w:type="spellEnd"/>
      <w:r w:rsidR="00D52C62" w:rsidRPr="002D21B6">
        <w:rPr>
          <w:rFonts w:ascii="Arial" w:hAnsi="Arial" w:cs="Arial"/>
          <w:sz w:val="24"/>
          <w:szCs w:val="24"/>
        </w:rPr>
        <w:t>/E, where E is vaccine effectiveness</w:t>
      </w:r>
      <w:r w:rsidR="00650ED6" w:rsidRPr="002D21B6">
        <w:rPr>
          <w:rFonts w:ascii="Arial" w:hAnsi="Arial" w:cs="Arial"/>
          <w:sz w:val="24"/>
          <w:szCs w:val="24"/>
        </w:rPr>
        <w:t xml:space="preserve"> </w:t>
      </w:r>
      <w:r w:rsidR="00650ED6"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{"citationItems":[{"id":"ITEM-1","itemData":{"DOI":"10.3389/fimmu.2018.01025","ISSN":"1664-3224","PMID":"29867992","abstract":"The recent West African Ebola virus pandemic, which affected &gt;28,000 individuals increased interest in anti-Ebolavirus vaccination programs. Here, we systematically analyzed the requirements for a prophylactic vaccination program based on the basic reproductive number (R0, i.e., the number of secondary cases that result from an individual infection). Published R0 values were determined by systematic literature research and ranged from 0.37 to 20. R0s ≥ 4 realistically reflected the critical early outbreak phases and superspreading events. Based on the R0, the herd immunity threshold (Ic) was calculated using the equation Ic = 1 - (1/R0). The critical vaccination coverage (Vc) needed to provide herd immunity was determined by including the vaccine effectiveness (E) using the equation Vc = Ic/E. At an R0 of 4, the Ic is 75% and at an E of 90%, more than 80% of a population need to be vaccinated to establish herd immunity. Such vaccination rates are currently unrealistic because of resistance against vaccinations, financial/logistical challenges, and a lack of vaccines that provide long-term protection against all human-pathogenic Ebolaviruses. Hence, outbreak management will for the foreseeable future depend on surveillance and case isolation. Clinical vaccine candidates are only available for Ebola viruses. Their use will need to be focused on health-care workers, potentially in combination with ring vaccination approaches.","author":[{"dropping-particle":"","family":"Masterson","given":"Stuart G","non-dropping-particle":"","parse-names":false,"suffix":""},{"dropping-particle":"","family":"Lobel","given":"Leslie","non-dropping-particle":"","parse-names":false,"suffix":""},{"dropping-particle":"","family":"Carroll","given":"Miles W","non-dropping-particle":"","parse-names":false,"suffix":""},{"dropping-particle":"","family":"Wass","given":"Mark N","non-dropping-particle":"","parse-names":false,"suffix":""},{"dropping-particle":"","family":"Michaelis","given":"Martin","non-dropping-particle":"","parse-names":false,"suffix":""}],"container-title":"Frontiers in immunology","id":"ITEM-1","issued":{"date-parts":[["2018"]]},"page":"1025","publisher":"Frontiers Media SA","title":"Herd Immunity to Ebolaviruses Is Not a Realistic Target for Current Vaccination Strategies.","type":"article-journal","volume":"9"},"uris":["http://www.mendeley.com/documents/?uuid=e5dc74bf-d45d-35ca-9e22-5e0f81d05703"]},{"id":"ITEM-2","itemData":{"DOI":"10.1016/S1473-3099(17)30307-9","ISSN":"1474-4457","PMID":"28757186","abstract":"The basic reproduction number, R nought (R0), is defined as the average number of secondary cases of an infectious disease arising from a typical case in a totally susceptible population, and can be estimated in populations if pre-existing immunity can be accounted for in the calculation. R0 determines the herd immunity threshold and therefore the immunisation coverage required to achieve elimination of an infectious disease. As R0 increases, higher immunisation coverage is required to achieve herd immunity. In July, 2010, a panel of experts convened by WHO concluded that measles can and should be eradicated. Despite the existence of an effective vaccine, regions have had varying success in measles control, in part because measles is one of the most contagious infections. For measles, R0 is often cited to be 12-18, which means that each person with measles would, on average, infect 12-18 other people in a totally susceptible population. We did a systematic review to find studies reporting rigorous estimates and determinants of measles R0. Studies were included if they were a primary source of R0, addressed pre-existing immunity, and accounted for pre-existing immunity in their calculation of R0. A search of key databases was done in January, 2015, and repeated in November, 2016, and yielded 10 883 unique citations. After screening for relevancy and quality, 18 studies met inclusion criteria, providing 58 R0 estimates. We calculated median measles R0 values stratified by key covariates. We found that R0 estimates vary more than the often cited range of 12-18. Our results highlight the importance of countries calculating R0 using locally derived data or, if this is not possible, using parameter estimates from similar settings. Additional data and agreed review methods are needed to strengthen the evidence base for measles elimination modelling.","author":[{"dropping-particle":"","family":"Guerra","given":"Fiona M","non-dropping-particle":"","parse-names":false,"suffix":""},{"dropping-particle":"","family":"Bolotin","given":"Shelly","non-dropping-particle":"","parse-names":false,"suffix":""},{"dropping-particle":"","family":"Lim","given":"Gillian","non-dropping-particle":"","parse-names":false,"suffix":""},{"dropping-particle":"","family":"Heffernan","given":"Jane","non-dropping-particle":"","parse-names":false,"suffix":""},{"dropping-particle":"","family":"Deeks","given":"Shelley L","non-dropping-particle":"","parse-names":false,"suffix":""},{"dropping-particle":"","family":"Li","given":"Ye","non-dropping-particle":"","parse-names":false,"suffix":""},{"dropping-particle":"","family":"Crowcroft","given":"Natasha S","non-dropping-particle":"","parse-names":false,"suffix":""}],"container-title":"The Lancet. Infectious diseases","id":"ITEM-2","issue":"12","issued":{"date-parts":[["2017","12","1"]]},"page":"e420-e428","publisher":"Elsevier","title":"The basic reproduction number (R0) of measles: a systematic review.","type":"article-journal","volume":"17"},"uris":["http://www.mendeley.com/documents/?uuid=16eb12b1-3451-3b43-b859-b8ade8f88e8c"]},{"id":"ITEM-3","itemData":{"DOI":"10.1017/s0950268800004672","ISSN":"0950-2688","PMID":"11218214","abstract":"Data on the pre-vaccination patterns of infection for measles, mumps and rubella are collated from a number of European countries in order to compare the epidemiology of the three viruses. Key epidemiological parameters, such as the age-specific force of infection and the basic reproduction number (R0) are estimated from case notification or serological data using standard techniques. A method is described to compare force of infection estimates derived from serological data. Analysis suggests that the pre-vaccination patterns of measles and mumps infection in the different countries were similar. In contrast, the epidemiology of rubella was highly variable between countries. This suggests that it may be acceptable to use parameter values estimated from other countries to model measles and mumps transmission, but that this approach to modelling rubella transmission requires more caution. Estimates of R0 depend on underlying mixing assumptions. Constraints were placed on R0 estimates by utilising knowledge of likely mixing patterns. The estimates for R0 were highest for measles, intermediate for mumps, and generally lowest for rubella. Analysis of within- and between-age-group transmission rates suggested that mumps transmission tends to be more concentrated within young children than the other two viruses. The implications for the design of immunization programmes are that mumps may be the easiest to control via infant immunization since it is predominantly transmitted between the very young and the variability in rubella epidemiology requires that careful consideration of the possible effects of vaccination options should be made using local data when planning rubella immunization programmes.","author":[{"dropping-particle":"","family":"Edmunds","given":"W J","non-dropping-particle":"","parse-names":false,"suffix":""},{"dropping-particle":"","family":"Gay","given":"N J","non-dropping-particle":"","parse-names":false,"suffix":""},{"dropping-particle":"","family":"Kretzschmar","given":"M","non-dropping-particle":"","parse-names":false,"suffix":""},{"dropping-particle":"","family":"Pebody","given":"R G","non-dropping-particle":"","parse-names":false,"suffix":""},{"dropping-particle":"","family":"Wachmann","given":"H","non-dropping-particle":"","parse-names":false,"suffix":""},{"dropping-particle":"","family":"ESEN Project. European Sero-epidemiology Network","given":"ESEN Project. European Sero-epidemiology","non-dropping-particle":"","parse-names":false,"suffix":""}],"container-title":"Epidemiology and infection","id":"ITEM-3","issue":"3","issued":{"date-parts":[["2000","12"]]},"page":"635-50","publisher":"Cambridge University Press","title":"The pre-vaccination epidemiology of measles, mumps and rubella in Europe: implications for modelling studies.","type":"article-journal","volume":"125"},"uris":["http://www.mendeley.com/documents/?uuid=320441cd-176c-3fb6-b272-c36cc57fe8d0"]},{"id":"ITEM-4","itemData":{"DOI":"10.1093/cid/cir007","ISSN":"10584838","abstract":"The term \"herd immunity\" is widely used but carries a variety of meanings. Some authors use it to describe the proportion immune among individuals in a population. Others use it with reference to a particular threshold proportion of immune individuals that should lead to a decline in incidence of infection. Still others use it to refer to a pattern of immunity that should protect a population from invasion of a new infection. A common implication of the term is that the risk of infection among susceptible individuals in a population is reduced by the presence and proximity of immune individuals (this is sometimes referred to as \"indirect protection\" or a \"herd effect\"). We provide brief historical, epidemiologic, theoretical, and pragmatic public health perspectives on this concept.","author":[{"dropping-particle":"","family":"Fine","given":"Paul","non-dropping-particle":"","parse-names":false,"suffix":""},{"dropping-particle":"","family":"Eames","given":"Ken","non-dropping-particle":"","parse-names":false,"suffix":""},{"dropping-particle":"","family":"Heymann","given":"David L.","non-dropping-particle":"","parse-names":false,"suffix":""}],"container-title":"Clinical Infectious Diseases","id":"ITEM-4","issue":"7","issued":{"date-parts":[["2011"]]},"page":"911-916","title":"\"Herd immunity\": A rough guide","type":"article-journal","volume":"52"},"uris":["http://www.mendeley.com/documents/?uuid=224984b4-7d31-4646-a752-7c64f1390eb0"]}],"mendeley":{"formattedCitation":"[35–38]","plainTextFormattedCitation":"[35–38]","previouslyFormattedCitation":"[35–38]"},"properties":{"noteIndex":0},"schema":"https://github.com/citation-style-language/schema/raw/master/csl-citation.json"}</w:instrText>
      </w:r>
      <w:r w:rsidR="00650ED6" w:rsidRPr="002D21B6">
        <w:rPr>
          <w:rFonts w:ascii="Arial" w:hAnsi="Arial" w:cs="Arial"/>
          <w:sz w:val="24"/>
          <w:szCs w:val="24"/>
        </w:rPr>
        <w:fldChar w:fldCharType="separate"/>
      </w:r>
      <w:r w:rsidR="007F0E42" w:rsidRPr="007F0E42">
        <w:rPr>
          <w:rFonts w:ascii="Arial" w:hAnsi="Arial" w:cs="Arial"/>
          <w:noProof/>
          <w:sz w:val="24"/>
          <w:szCs w:val="24"/>
        </w:rPr>
        <w:t>[35–38]</w:t>
      </w:r>
      <w:r w:rsidR="00650ED6" w:rsidRPr="002D21B6">
        <w:rPr>
          <w:rFonts w:ascii="Arial" w:hAnsi="Arial" w:cs="Arial"/>
          <w:sz w:val="24"/>
          <w:szCs w:val="24"/>
        </w:rPr>
        <w:fldChar w:fldCharType="end"/>
      </w:r>
      <w:r w:rsidR="00650ED6" w:rsidRPr="002D21B6">
        <w:rPr>
          <w:rFonts w:ascii="Arial" w:hAnsi="Arial" w:cs="Arial"/>
          <w:sz w:val="24"/>
          <w:szCs w:val="24"/>
        </w:rPr>
        <w:t>.</w:t>
      </w:r>
      <w:r w:rsidR="00A95A65" w:rsidRPr="002D21B6">
        <w:rPr>
          <w:rFonts w:ascii="Arial" w:hAnsi="Arial" w:cs="Arial"/>
          <w:sz w:val="24"/>
          <w:szCs w:val="24"/>
        </w:rPr>
        <w:t xml:space="preserve"> Despite the remarkable theoretical knowledge, public health practice </w:t>
      </w:r>
      <w:r w:rsidR="007022D0" w:rsidRPr="002D21B6">
        <w:rPr>
          <w:rFonts w:ascii="Arial" w:hAnsi="Arial" w:cs="Arial"/>
          <w:sz w:val="24"/>
          <w:szCs w:val="24"/>
        </w:rPr>
        <w:t>aims</w:t>
      </w:r>
      <w:r w:rsidR="00A95A65" w:rsidRPr="002D21B6">
        <w:rPr>
          <w:rFonts w:ascii="Arial" w:hAnsi="Arial" w:cs="Arial"/>
          <w:sz w:val="24"/>
          <w:szCs w:val="24"/>
        </w:rPr>
        <w:t xml:space="preserve"> </w:t>
      </w:r>
      <w:r w:rsidR="007022D0" w:rsidRPr="002D21B6">
        <w:rPr>
          <w:rFonts w:ascii="Arial" w:hAnsi="Arial" w:cs="Arial"/>
          <w:sz w:val="24"/>
          <w:szCs w:val="24"/>
        </w:rPr>
        <w:t>at</w:t>
      </w:r>
      <w:r w:rsidR="00A95A65" w:rsidRPr="002D21B6">
        <w:rPr>
          <w:rFonts w:ascii="Arial" w:hAnsi="Arial" w:cs="Arial"/>
          <w:sz w:val="24"/>
          <w:szCs w:val="24"/>
        </w:rPr>
        <w:t xml:space="preserve"> 100% coverage, with all the doses recommended, </w:t>
      </w:r>
      <w:r w:rsidR="007C1DDC" w:rsidRPr="002D21B6">
        <w:rPr>
          <w:rFonts w:ascii="Arial" w:hAnsi="Arial" w:cs="Arial"/>
          <w:sz w:val="24"/>
          <w:szCs w:val="24"/>
        </w:rPr>
        <w:t>bearing in mind that – because of the diversity of individual immune responses - 100% is never achievable.</w:t>
      </w:r>
      <w:r w:rsidR="009D7C2E" w:rsidRPr="002D21B6">
        <w:rPr>
          <w:rFonts w:ascii="Arial" w:hAnsi="Arial" w:cs="Arial"/>
          <w:sz w:val="24"/>
          <w:szCs w:val="24"/>
        </w:rPr>
        <w:t xml:space="preserve"> </w:t>
      </w:r>
    </w:p>
    <w:p w:rsidR="00AA7806" w:rsidRPr="002D21B6" w:rsidRDefault="00AA7806" w:rsidP="00272AA1">
      <w:pPr>
        <w:spacing w:line="480" w:lineRule="auto"/>
        <w:ind w:firstLine="510"/>
        <w:rPr>
          <w:strike/>
        </w:rPr>
      </w:pPr>
    </w:p>
    <w:p w:rsidR="00046085" w:rsidRPr="002D21B6" w:rsidRDefault="00046085" w:rsidP="00046085">
      <w:pPr>
        <w:spacing w:line="480" w:lineRule="auto"/>
        <w:rPr>
          <w:rFonts w:ascii="Arial" w:hAnsi="Arial" w:cs="Arial"/>
          <w:b/>
          <w:sz w:val="24"/>
          <w:szCs w:val="24"/>
        </w:rPr>
      </w:pPr>
      <w:r w:rsidRPr="002D21B6">
        <w:rPr>
          <w:rFonts w:ascii="Arial" w:hAnsi="Arial" w:cs="Arial"/>
          <w:b/>
          <w:sz w:val="24"/>
          <w:szCs w:val="24"/>
        </w:rPr>
        <w:t>Limitations</w:t>
      </w:r>
    </w:p>
    <w:p w:rsidR="00BE3B1C" w:rsidRPr="002D21B6" w:rsidRDefault="0022517A" w:rsidP="00046085">
      <w:pPr>
        <w:spacing w:line="480" w:lineRule="auto"/>
        <w:rPr>
          <w:rFonts w:ascii="Arial" w:hAnsi="Arial" w:cs="Arial"/>
          <w:sz w:val="24"/>
          <w:szCs w:val="24"/>
        </w:rPr>
      </w:pPr>
      <w:r w:rsidRPr="002D21B6">
        <w:rPr>
          <w:rFonts w:ascii="Arial" w:hAnsi="Arial" w:cs="Arial"/>
          <w:sz w:val="24"/>
          <w:szCs w:val="24"/>
        </w:rPr>
        <w:t>We would like to note that our ‘</w:t>
      </w:r>
      <w:r w:rsidRPr="002D21B6">
        <w:rPr>
          <w:rFonts w:ascii="Arial" w:hAnsi="Arial" w:cs="Arial"/>
          <w:i/>
          <w:sz w:val="24"/>
          <w:szCs w:val="24"/>
        </w:rPr>
        <w:t>three-in-one’</w:t>
      </w:r>
      <w:r w:rsidRPr="002D21B6">
        <w:rPr>
          <w:rFonts w:ascii="Arial" w:hAnsi="Arial" w:cs="Arial"/>
          <w:sz w:val="24"/>
          <w:szCs w:val="24"/>
        </w:rPr>
        <w:t xml:space="preserve"> assay and the r</w:t>
      </w:r>
      <w:r w:rsidR="00024CB3" w:rsidRPr="002D21B6">
        <w:rPr>
          <w:rFonts w:ascii="Arial" w:hAnsi="Arial" w:cs="Arial"/>
          <w:sz w:val="24"/>
          <w:szCs w:val="24"/>
        </w:rPr>
        <w:t>esults described in our</w:t>
      </w:r>
      <w:r w:rsidRPr="002D21B6">
        <w:rPr>
          <w:rFonts w:ascii="Arial" w:hAnsi="Arial" w:cs="Arial"/>
          <w:sz w:val="24"/>
          <w:szCs w:val="24"/>
        </w:rPr>
        <w:t xml:space="preserve"> paper may have certain limitations. </w:t>
      </w:r>
      <w:r w:rsidR="00046085" w:rsidRPr="002D21B6">
        <w:rPr>
          <w:rFonts w:ascii="Arial" w:hAnsi="Arial" w:cs="Arial"/>
          <w:sz w:val="24"/>
          <w:szCs w:val="24"/>
        </w:rPr>
        <w:t xml:space="preserve">As specified in the WHO </w:t>
      </w:r>
      <w:r w:rsidR="00046085" w:rsidRPr="002D21B6">
        <w:rPr>
          <w:rFonts w:ascii="Arial" w:hAnsi="Arial" w:cs="Arial"/>
          <w:i/>
          <w:sz w:val="24"/>
          <w:szCs w:val="24"/>
        </w:rPr>
        <w:t>Manual for the Laboratory-based Surveillance of Measles, Rubella, and Congenital Rubella Syndrome</w:t>
      </w:r>
      <w:r w:rsidR="00046085" w:rsidRPr="002D21B6">
        <w:rPr>
          <w:rFonts w:ascii="Arial" w:hAnsi="Arial" w:cs="Arial"/>
          <w:sz w:val="24"/>
          <w:szCs w:val="24"/>
        </w:rPr>
        <w:t xml:space="preserve">, EIA/ELISA testing may be used for the detection of  the presence (or absence) of anti-viral IgG antibodies of individuals, as well as to perform population-level immunity estimations. In case of population-based </w:t>
      </w:r>
      <w:proofErr w:type="spellStart"/>
      <w:r w:rsidR="00046085" w:rsidRPr="002D21B6">
        <w:rPr>
          <w:rFonts w:ascii="Arial" w:hAnsi="Arial" w:cs="Arial"/>
          <w:sz w:val="24"/>
          <w:szCs w:val="24"/>
        </w:rPr>
        <w:t>seroprevalence</w:t>
      </w:r>
      <w:proofErr w:type="spellEnd"/>
      <w:r w:rsidR="00046085" w:rsidRPr="002D21B6">
        <w:rPr>
          <w:rFonts w:ascii="Arial" w:hAnsi="Arial" w:cs="Arial"/>
          <w:sz w:val="24"/>
          <w:szCs w:val="24"/>
        </w:rPr>
        <w:t xml:space="preserve"> studies ELISA/EIA results can </w:t>
      </w:r>
      <w:r w:rsidR="00046085" w:rsidRPr="002476AD">
        <w:rPr>
          <w:rFonts w:ascii="Arial" w:hAnsi="Arial" w:cs="Arial"/>
          <w:sz w:val="24"/>
          <w:szCs w:val="24"/>
        </w:rPr>
        <w:t>help characterize the immune profile of target populations, however, there are important limitations.</w:t>
      </w:r>
      <w:r w:rsidR="00046085" w:rsidRPr="002476AD">
        <w:t xml:space="preserve"> </w:t>
      </w:r>
      <w:r w:rsidR="00B2275F" w:rsidRPr="002476AD">
        <w:rPr>
          <w:rFonts w:ascii="Arial" w:hAnsi="Arial" w:cs="Arial"/>
          <w:sz w:val="24"/>
          <w:szCs w:val="24"/>
        </w:rPr>
        <w:t xml:space="preserve">When applying commercial assays, we used cut-offs and calculation methods as per kit manual, without </w:t>
      </w:r>
      <w:r w:rsidR="00690A20" w:rsidRPr="002476AD">
        <w:rPr>
          <w:rFonts w:ascii="Arial" w:hAnsi="Arial" w:cs="Arial"/>
          <w:sz w:val="24"/>
          <w:szCs w:val="24"/>
        </w:rPr>
        <w:t>changing</w:t>
      </w:r>
      <w:r w:rsidR="00B2275F" w:rsidRPr="002476AD">
        <w:rPr>
          <w:rFonts w:ascii="Arial" w:hAnsi="Arial" w:cs="Arial"/>
          <w:sz w:val="24"/>
          <w:szCs w:val="24"/>
        </w:rPr>
        <w:t xml:space="preserve"> or reinterpreting default thresholds. </w:t>
      </w:r>
      <w:r w:rsidR="006462CD" w:rsidRPr="002476AD">
        <w:rPr>
          <w:rFonts w:ascii="Arial" w:hAnsi="Arial" w:cs="Arial"/>
          <w:sz w:val="24"/>
          <w:szCs w:val="24"/>
        </w:rPr>
        <w:t>Each c</w:t>
      </w:r>
      <w:r w:rsidR="00B2275F" w:rsidRPr="002476AD">
        <w:rPr>
          <w:rFonts w:ascii="Arial" w:hAnsi="Arial" w:cs="Arial"/>
          <w:sz w:val="24"/>
          <w:szCs w:val="24"/>
        </w:rPr>
        <w:t xml:space="preserve">ommercially available kit </w:t>
      </w:r>
      <w:r w:rsidR="001D3C2A" w:rsidRPr="002476AD">
        <w:rPr>
          <w:rFonts w:ascii="Arial" w:hAnsi="Arial" w:cs="Arial"/>
          <w:sz w:val="24"/>
          <w:szCs w:val="24"/>
        </w:rPr>
        <w:t>(listed in Materials and m</w:t>
      </w:r>
      <w:r w:rsidR="00B2275F" w:rsidRPr="002476AD">
        <w:rPr>
          <w:rFonts w:ascii="Arial" w:hAnsi="Arial" w:cs="Arial"/>
          <w:sz w:val="24"/>
          <w:szCs w:val="24"/>
        </w:rPr>
        <w:t xml:space="preserve">ethods) specified one particular method for quantitative (and qualitative) result calculation, with no distinction between </w:t>
      </w:r>
      <w:r w:rsidR="006462CD" w:rsidRPr="002476AD">
        <w:rPr>
          <w:rFonts w:ascii="Arial" w:hAnsi="Arial" w:cs="Arial"/>
          <w:sz w:val="24"/>
          <w:szCs w:val="24"/>
        </w:rPr>
        <w:lastRenderedPageBreak/>
        <w:t>periods</w:t>
      </w:r>
      <w:r w:rsidR="00B2275F" w:rsidRPr="002476AD">
        <w:rPr>
          <w:rFonts w:ascii="Arial" w:hAnsi="Arial" w:cs="Arial"/>
          <w:sz w:val="24"/>
          <w:szCs w:val="24"/>
        </w:rPr>
        <w:t xml:space="preserve"> with or without epidemics, or samples collected with the purpose of clinical</w:t>
      </w:r>
      <w:r w:rsidR="00B2275F" w:rsidRPr="002D21B6">
        <w:rPr>
          <w:rFonts w:ascii="Arial" w:hAnsi="Arial" w:cs="Arial"/>
          <w:sz w:val="24"/>
          <w:szCs w:val="24"/>
        </w:rPr>
        <w:t xml:space="preserve"> diagnosis or population level survey. However, according to literature, t</w:t>
      </w:r>
      <w:r w:rsidR="00046085" w:rsidRPr="002D21B6">
        <w:rPr>
          <w:rFonts w:ascii="Arial" w:hAnsi="Arial" w:cs="Arial"/>
          <w:sz w:val="24"/>
          <w:szCs w:val="24"/>
        </w:rPr>
        <w:t xml:space="preserve">hresholds for commercial IgG </w:t>
      </w:r>
      <w:r w:rsidR="00A52C95" w:rsidRPr="002D21B6">
        <w:rPr>
          <w:rFonts w:ascii="Arial" w:hAnsi="Arial" w:cs="Arial"/>
          <w:sz w:val="24"/>
          <w:szCs w:val="24"/>
        </w:rPr>
        <w:t xml:space="preserve">ELISAs/EIAs </w:t>
      </w:r>
      <w:r w:rsidR="00046085" w:rsidRPr="002D21B6">
        <w:rPr>
          <w:rFonts w:ascii="Arial" w:hAnsi="Arial" w:cs="Arial"/>
          <w:sz w:val="24"/>
          <w:szCs w:val="24"/>
        </w:rPr>
        <w:t xml:space="preserve">were determined with the </w:t>
      </w:r>
      <w:r w:rsidR="00C04BBC" w:rsidRPr="002D21B6">
        <w:rPr>
          <w:rFonts w:ascii="Arial" w:hAnsi="Arial" w:cs="Arial"/>
          <w:sz w:val="24"/>
          <w:szCs w:val="24"/>
        </w:rPr>
        <w:t>purpose</w:t>
      </w:r>
      <w:r w:rsidR="00046085" w:rsidRPr="002D21B6">
        <w:rPr>
          <w:rFonts w:ascii="Arial" w:hAnsi="Arial" w:cs="Arial"/>
          <w:sz w:val="24"/>
          <w:szCs w:val="24"/>
        </w:rPr>
        <w:t xml:space="preserve"> of individual patient manageme</w:t>
      </w:r>
      <w:r w:rsidR="00AA5838">
        <w:rPr>
          <w:rFonts w:ascii="Arial" w:hAnsi="Arial" w:cs="Arial"/>
          <w:sz w:val="24"/>
          <w:szCs w:val="24"/>
        </w:rPr>
        <w:t xml:space="preserve">nt, rather than with population-level </w:t>
      </w:r>
      <w:r w:rsidR="00046085" w:rsidRPr="002D21B6">
        <w:rPr>
          <w:rFonts w:ascii="Arial" w:hAnsi="Arial" w:cs="Arial"/>
          <w:sz w:val="24"/>
          <w:szCs w:val="24"/>
        </w:rPr>
        <w:t xml:space="preserve">antibody prevalence calculations </w:t>
      </w:r>
      <w:r w:rsidR="00046085"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{"citationItems":[{"id":"ITEM-1","itemData":{"abstract":"Overview Other than testing that is performed for case confirmation, the laboratories in the GMRLN are often responsible for providing laboratory support for serological surveillance conducted on a selected population or community. These seroprevalence studies are performed to assess the impact of vaccination programmes and aid in the identification of susceptible groups. Seroprevalence studies involve aspects of study planning and design as well as the serologic testing and analysis of results of specimens collected from a defined population over a specified period of time. The publication, Guidance on conducting serosurveys in support of measles and rubella elimination in the WHO European Region, provides additional information including sampling design [1]. While EIA testing may be performed to confirm the presence of measles-or rubella-specific IgG antibody to assess the immunity of individuals (e.g., health-care personnel), detection of IgG by EIA is also the most common method utilized for the estimation of population immunity to measles and rubella. Population-based seroprevalence studies can help characterize the immune profile of target populations, however, there are serious limitations and challenges. Careful study design is required to generate quality data that are useful for identification of susceptible populations and at-risk groups. Adequate resources and support are needed to ensure results are available in a timely fashion. Depending on the scope of the study and the resources available, residual serum specimens submitted for diagnostic testing (convenience or opportunistic sample) are often used, or serum specimens may be collected according to the sampling strategy. While other sources of antibody have been used in seroprevalence studies such as oral fluid, breast milk, or whole blood, these fluids have a reduced concentration of antibody compared to serum and the sample volume used in an assay to measure IgG or a test that measures neutralizing antibody is difficult to adjust to accommodate that variation [2].","id":"ITEM-1","issued":{"date-parts":[["0"]]},"title":"Manual for the Laboratory-based Surveillance of Measles, Rubella, and Congenital Rubella Syndrome","type":"report"},"uris":["http://www.mendeley.com/documents/?uuid=dedf840e-0bcf-3024-931c-766f87264ea5"]},{"id":"ITEM-2","itemData":{"DOI":"10.1017/S0950268806006340","ISSN":"0950-2688","PMID":"16650326","abstract":"A mixture modelling technique is applied to age-specific frequency distributions of quantitative results from serological surveys for measles, mumps and rubella using samples collected across the age range in England and Wales in 2000. In accordance with previous studies the analysis suggests that the antibody response to natural infection is stronger than that produced by vaccination, that vaccine-induced antibody levels wane with time and that levels of vaccine-induced antibody response vary for each virus infection being strongest for rubella and weakest for mumps. The current mumps epidemic in the United Kingdom is focused in cohorts born during 1982-1987 who were too old to have received routine MMR vaccination. In the cohort born in 1981-1985 the model estimates that 7.5% have no evidence of mumps specific IgG and 24.9% have the lowest level of detectable antibody. The similar proportions of mumps antibody in these categories among cohorts with opportunity for 1 or 2 doses of vaccine is a concern, as the degree to which these individuals are protected is unclear. Investigations into the efficacy of two doses of a mumps containing vaccine should be a priority during the current epidemic.","author":[{"dropping-particle":"","family":"Vyse","given":"A J","non-dropping-particle":"","parse-names":false,"suffix":""},{"dropping-particle":"","family":"Gay","given":"N J","non-dropping-particle":"","parse-names":false,"suffix":""},{"dropping-particle":"","family":"Hesketh","given":"L M","non-dropping-particle":"","parse-names":false,"suffix":""},{"dropping-particle":"","family":"Pebody","given":"R","non-dropping-particle":"","parse-names":false,"suffix":""},{"dropping-particle":"","family":"Morgan-Capner","given":"P","non-dropping-particle":"","parse-names":false,"suffix":""},{"dropping-particle":"","family":"Miller","given":"E","non-dropping-particle":"","parse-names":false,"suffix":""}],"container-title":"Epidemiology and infection","id":"ITEM-2","issue":"6","issued":{"date-parts":[["2006","12"]]},"page":"1303-12","publisher":"Cambridge University Press","title":"Interpreting serological surveys using mixture models: the seroepidemiology of measles, mumps and rubella in England and Wales at the beginning of the 21st century.","type":"article-journal","volume":"134"},"uris":["http://www.mendeley.com/documents/?uuid=c647d3ca-1cd8-3e8d-994c-4d63f75122f3"]}],"mendeley":{"formattedCitation":"[39,40]","plainTextFormattedCitation":"[39,40]","previouslyFormattedCitation":"[39,40]"},"properties":{"noteIndex":0},"schema":"https://github.com/citation-style-language/schema/raw/master/csl-citation.json"}</w:instrText>
      </w:r>
      <w:r w:rsidR="00046085" w:rsidRPr="002D21B6">
        <w:rPr>
          <w:rFonts w:ascii="Arial" w:hAnsi="Arial" w:cs="Arial"/>
          <w:sz w:val="24"/>
          <w:szCs w:val="24"/>
        </w:rPr>
        <w:fldChar w:fldCharType="separate"/>
      </w:r>
      <w:r w:rsidR="007F0E42" w:rsidRPr="007F0E42">
        <w:rPr>
          <w:rFonts w:ascii="Arial" w:hAnsi="Arial" w:cs="Arial"/>
          <w:noProof/>
          <w:sz w:val="24"/>
          <w:szCs w:val="24"/>
        </w:rPr>
        <w:t>[39,40]</w:t>
      </w:r>
      <w:r w:rsidR="00046085" w:rsidRPr="002D21B6">
        <w:rPr>
          <w:rFonts w:ascii="Arial" w:hAnsi="Arial" w:cs="Arial"/>
          <w:sz w:val="24"/>
          <w:szCs w:val="24"/>
        </w:rPr>
        <w:fldChar w:fldCharType="end"/>
      </w:r>
      <w:r w:rsidR="00046085" w:rsidRPr="002D21B6">
        <w:rPr>
          <w:rFonts w:ascii="Arial" w:hAnsi="Arial" w:cs="Arial"/>
          <w:sz w:val="24"/>
          <w:szCs w:val="24"/>
        </w:rPr>
        <w:t>. A positive result of virus-specific IgG clearly demonstrates a</w:t>
      </w:r>
      <w:r w:rsidR="00A95BA8" w:rsidRPr="002D21B6">
        <w:rPr>
          <w:rFonts w:ascii="Arial" w:hAnsi="Arial" w:cs="Arial"/>
          <w:sz w:val="24"/>
          <w:szCs w:val="24"/>
        </w:rPr>
        <w:t>n immune response, i</w:t>
      </w:r>
      <w:r w:rsidR="00046085" w:rsidRPr="002D21B6">
        <w:rPr>
          <w:rFonts w:ascii="Arial" w:hAnsi="Arial" w:cs="Arial"/>
          <w:sz w:val="24"/>
          <w:szCs w:val="24"/>
        </w:rPr>
        <w:t>n contrast, given that commercial immunoassays are capable only of humoral antibody detection, a negative or equivocal result cannot be considered as an absolute proof for lack of immunity</w:t>
      </w:r>
      <w:r w:rsidR="00093CCD" w:rsidRPr="002D21B6">
        <w:rPr>
          <w:rFonts w:ascii="Arial" w:hAnsi="Arial" w:cs="Arial"/>
          <w:sz w:val="24"/>
          <w:szCs w:val="24"/>
        </w:rPr>
        <w:t xml:space="preserve"> </w:t>
      </w:r>
      <w:r w:rsidR="00046085"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{"citationItems":[{"id":"ITEM-1","itemData":{"DOI":"10.1093/ajcp/106.2.170","ISSN":"0002-9173","author":[{"dropping-particle":"","family":"Skendzel","given":"Laurence P.","non-dropping-particle":"","parse-names":false,"suffix":""}],"container-title":"American Journal of Clinical Pathology","id":"ITEM-1","issue":"2","issued":{"date-parts":[["1996","8","1"]]},"page":"170-174","publisher":"Narnia","title":"Rubella Immunity: &lt;i&gt;Defining the Level of Protective Antibody&lt;/i&gt;","type":"article-journal","volume":"106"},"uris":["http://www.mendeley.com/documents/?uuid=f1057052-d2c6-3da8-9b7b-eda0b71363e4"]},{"id":"ITEM-2","itemData":{"DOI":"10.1093/infdis/172.6.1591","ISSN":"0022-1899","author":[{"dropping-particle":"","family":"Ward","given":"B. J.","non-dropping-particle":"","parse-names":false,"suffix":""},{"dropping-particle":"","family":"Boulianne","given":"N.","non-dropping-particle":"","parse-names":false,"suffix":""},{"dropping-particle":"","family":"Ratnam","given":"S.","non-dropping-particle":"","parse-names":false,"suffix":""},{"dropping-particle":"","family":"Guiot","given":"M.- C.","non-dropping-particle":"","parse-names":false,"suffix":""},{"dropping-particle":"","family":"Couillard","given":"M.","non-dropping-particle":"","parse-names":false,"suffix":""},{"dropping-particle":"","family":"Serres","given":"G.","non-dropping-particle":"De","parse-names":false,"suffix":""}],"container-title":"Journal of Infectious Diseases","id":"ITEM-2","issue":"6","issued":{"date-parts":[["1995","12","1"]]},"page":"1591-1595","publisher":"Narnia","title":"Cellular Immunity in Measles Vaccine Failure: Demonstration of Measles Antigen-Specific Lymphoproliferative Responses despite Limited Serum Antibody Production after Revaccination","type":"article-journal","volume":"172"},"uris":["http://www.mendeley.com/documents/?uuid=71302da6-8b86-334b-a1cf-021a936aca50"]}],"mendeley":{"formattedCitation":"[41,42]","plainTextFormattedCitation":"[41,42]","previouslyFormattedCitation":"[41,42]"},"properties":{"noteIndex":0},"schema":"https://github.com/citation-style-language/schema/raw/master/csl-citation.json"}</w:instrText>
      </w:r>
      <w:r w:rsidR="00046085" w:rsidRPr="002D21B6">
        <w:rPr>
          <w:rFonts w:ascii="Arial" w:hAnsi="Arial" w:cs="Arial"/>
          <w:sz w:val="24"/>
          <w:szCs w:val="24"/>
        </w:rPr>
        <w:fldChar w:fldCharType="separate"/>
      </w:r>
      <w:r w:rsidR="007F0E42" w:rsidRPr="007F0E42">
        <w:rPr>
          <w:rFonts w:ascii="Arial" w:hAnsi="Arial" w:cs="Arial"/>
          <w:noProof/>
          <w:sz w:val="24"/>
          <w:szCs w:val="24"/>
        </w:rPr>
        <w:t>[41,42]</w:t>
      </w:r>
      <w:r w:rsidR="00046085" w:rsidRPr="002D21B6">
        <w:rPr>
          <w:rFonts w:ascii="Arial" w:hAnsi="Arial" w:cs="Arial"/>
          <w:sz w:val="24"/>
          <w:szCs w:val="24"/>
        </w:rPr>
        <w:fldChar w:fldCharType="end"/>
      </w:r>
      <w:r w:rsidR="00046085" w:rsidRPr="002D21B6">
        <w:rPr>
          <w:rFonts w:ascii="Arial" w:hAnsi="Arial" w:cs="Arial"/>
          <w:sz w:val="24"/>
          <w:szCs w:val="24"/>
        </w:rPr>
        <w:t>.</w:t>
      </w:r>
      <w:r w:rsidR="00046085" w:rsidRPr="002D21B6">
        <w:t xml:space="preserve"> </w:t>
      </w:r>
      <w:r w:rsidR="00046085" w:rsidRPr="002D21B6">
        <w:rPr>
          <w:rFonts w:ascii="Arial" w:hAnsi="Arial" w:cs="Arial"/>
          <w:sz w:val="24"/>
          <w:szCs w:val="24"/>
        </w:rPr>
        <w:t>The functional characteristics and the ‘quantity’ of antibodies may be highly correlated with protection or synergistic with other functions (e.g. with cellular immunity).</w:t>
      </w:r>
      <w:r w:rsidR="00046085" w:rsidRPr="002D21B6">
        <w:t xml:space="preserve"> </w:t>
      </w:r>
      <w:r w:rsidR="00046085" w:rsidRPr="002D21B6">
        <w:rPr>
          <w:rFonts w:ascii="Arial" w:hAnsi="Arial" w:cs="Arial"/>
          <w:sz w:val="24"/>
          <w:szCs w:val="24"/>
        </w:rPr>
        <w:t xml:space="preserve">The correlates of vaccine-induced immunity are often a matter of debates; for some vaccines, we have no true correlates, but only useful surrogates </w:t>
      </w:r>
      <w:r w:rsidR="00046085"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{"citationItems":[{"id":"ITEM-1","itemData":{"DOI":"10.1128/CVI.00131-10","ISSN":"1556-679X","PMID":"20463105","abstract":"This paper attempts to summarize current knowledge about immune responses to vaccines that correlate with protection. Although the immune system is redundant, almost all current vaccines work through antibodies in serum or on mucosa that block infection or bacteremia/viremia and thus provide a correlate of protection. The functional characteristics of antibodies, as well as quantity, are important. Antibody may be highly correlated with protection or synergistic with other functions. Immune memory is a critical correlate: effector memory for short-incubation diseases and central memory for long-incubation diseases. Cellular immunity acts to kill or suppress intracellular pathogens and may also synergize with antibody. For some vaccines, we have no true correlates, but only useful surrogates, for an unknown protective response.","author":[{"dropping-particle":"","family":"Plotkin","given":"Stanley A","non-dropping-particle":"","parse-names":false,"suffix":""}],"container-title":"Clinical and vaccine immunology : CVI","id":"ITEM-1","issue":"7","issued":{"date-parts":[["2010","7"]]},"page":"1055-65","publisher":"American Society for Microbiology (ASM)","title":"Correlates of protection induced by vaccination.","type":"article-journal","volume":"17"},"uris":["http://www.mendeley.com/documents/?uuid=ea7965e8-5db2-3ab8-97ca-37a73da153fa"]},{"id":"ITEM-2","itemData":{"DOI":"10.1093/cid/cis238","ISSN":"1537-6591","PMID":"22437237","abstract":"Identification of immune correlates of protection after vaccination is an important part of vaccinology for both theoretical and practical reasons. The terminology and definition of correlates have been confusing, because different authors have used variable terms and concepts. Here, we attempt to give precision to the field by defining 3 terms: correlate of protection (CoP), mechanistic correlate of protection (mCoP), and nonmechanistic correlate of protection (nCoP). A CoP is a marker of immune function that statistically correlates with protection after vaccination that may be either an mCoP, which is a mechanistic cause of protection, or an nCoP, which does not cause protection but nevertheless predicts protection through its (partial) correlation with another immune response(s) that mechanistically protects.","author":[{"dropping-particle":"","family":"Plotkin","given":"Stanley A","non-dropping-particle":"","parse-names":false,"suffix":""},{"dropping-particle":"","family":"Gilbert","given":"Peter B","non-dropping-particle":"","parse-names":false,"suffix":""}],"container-title":"Clinical infectious diseases : an official publication of the Infectious Diseases Society of America","id":"ITEM-2","issue":"11","issued":{"date-parts":[["2012","6"]]},"page":"1615-7","publisher":"Oxford University Press","title":"Nomenclature for immune correlates of protection after vaccination.","type":"article-journal","volume":"54"},"uris":["http://www.mendeley.com/documents/?uuid=ac83b5c5-f466-3ef1-b2f0-010710a09546"]}],"mendeley":{"formattedCitation":"[43,44]","plainTextFormattedCitation":"[43,44]","previouslyFormattedCitation":"[43,44]"},"properties":{"noteIndex":0},"schema":"https://github.com/citation-style-language/schema/raw/master/csl-citation.json"}</w:instrText>
      </w:r>
      <w:r w:rsidR="00046085" w:rsidRPr="002D21B6">
        <w:rPr>
          <w:rFonts w:ascii="Arial" w:hAnsi="Arial" w:cs="Arial"/>
          <w:sz w:val="24"/>
          <w:szCs w:val="24"/>
        </w:rPr>
        <w:fldChar w:fldCharType="separate"/>
      </w:r>
      <w:r w:rsidR="007F0E42" w:rsidRPr="007F0E42">
        <w:rPr>
          <w:rFonts w:ascii="Arial" w:hAnsi="Arial" w:cs="Arial"/>
          <w:noProof/>
          <w:sz w:val="24"/>
          <w:szCs w:val="24"/>
        </w:rPr>
        <w:t>[43,44]</w:t>
      </w:r>
      <w:r w:rsidR="00046085" w:rsidRPr="002D21B6">
        <w:rPr>
          <w:rFonts w:ascii="Arial" w:hAnsi="Arial" w:cs="Arial"/>
          <w:sz w:val="24"/>
          <w:szCs w:val="24"/>
        </w:rPr>
        <w:fldChar w:fldCharType="end"/>
      </w:r>
      <w:r w:rsidR="00046085" w:rsidRPr="002D21B6">
        <w:rPr>
          <w:rFonts w:ascii="Arial" w:hAnsi="Arial" w:cs="Arial"/>
          <w:sz w:val="24"/>
          <w:szCs w:val="24"/>
        </w:rPr>
        <w:t xml:space="preserve">. As far as </w:t>
      </w:r>
      <w:proofErr w:type="spellStart"/>
      <w:r w:rsidR="00046085" w:rsidRPr="002D21B6">
        <w:rPr>
          <w:rFonts w:ascii="Arial" w:hAnsi="Arial" w:cs="Arial"/>
          <w:sz w:val="24"/>
          <w:szCs w:val="24"/>
        </w:rPr>
        <w:t>Plotkin’s</w:t>
      </w:r>
      <w:proofErr w:type="spellEnd"/>
      <w:r w:rsidR="00046085" w:rsidRPr="002D21B6">
        <w:rPr>
          <w:rFonts w:ascii="Arial" w:hAnsi="Arial" w:cs="Arial"/>
          <w:sz w:val="24"/>
          <w:szCs w:val="24"/>
        </w:rPr>
        <w:t xml:space="preserve"> definitions are considered normative </w:t>
      </w:r>
      <w:r w:rsidR="00046085"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{"citationItems":[{"id":"ITEM-1","itemData":{"id":"ITEM-1","issued":{"date-parts":[["2013"]]},"title":"Correlates of vaccine-induced protection: methods and implications Immunization, Vaccines and Biologicals","type":"report"},"uris":["http://www.mendeley.com/documents/?uuid=35222dc8-525d-3419-b095-dee332bb49a9"]}],"mendeley":{"formattedCitation":"[45]","plainTextFormattedCitation":"[45]","previouslyFormattedCitation":"[45]"},"properties":{"noteIndex":0},"schema":"https://github.com/citation-style-language/schema/raw/master/csl-citation.json"}</w:instrText>
      </w:r>
      <w:r w:rsidR="00046085" w:rsidRPr="002D21B6">
        <w:rPr>
          <w:rFonts w:ascii="Arial" w:hAnsi="Arial" w:cs="Arial"/>
          <w:sz w:val="24"/>
          <w:szCs w:val="24"/>
        </w:rPr>
        <w:fldChar w:fldCharType="separate"/>
      </w:r>
      <w:r w:rsidR="007F0E42" w:rsidRPr="007F0E42">
        <w:rPr>
          <w:rFonts w:ascii="Arial" w:hAnsi="Arial" w:cs="Arial"/>
          <w:noProof/>
          <w:sz w:val="24"/>
          <w:szCs w:val="24"/>
        </w:rPr>
        <w:t>[45]</w:t>
      </w:r>
      <w:r w:rsidR="00046085" w:rsidRPr="002D21B6">
        <w:rPr>
          <w:rFonts w:ascii="Arial" w:hAnsi="Arial" w:cs="Arial"/>
          <w:sz w:val="24"/>
          <w:szCs w:val="24"/>
        </w:rPr>
        <w:fldChar w:fldCharType="end"/>
      </w:r>
      <w:r w:rsidR="00046085" w:rsidRPr="002D21B6">
        <w:rPr>
          <w:rFonts w:ascii="Arial" w:hAnsi="Arial" w:cs="Arial"/>
          <w:sz w:val="24"/>
          <w:szCs w:val="24"/>
        </w:rPr>
        <w:t xml:space="preserve">, </w:t>
      </w:r>
      <w:r w:rsidR="00C90BD1" w:rsidRPr="002D21B6">
        <w:rPr>
          <w:rFonts w:ascii="Arial" w:hAnsi="Arial" w:cs="Arial"/>
          <w:sz w:val="24"/>
          <w:szCs w:val="24"/>
        </w:rPr>
        <w:t>entire antigen repertoire</w:t>
      </w:r>
      <w:r w:rsidR="00F92820" w:rsidRPr="002D21B6">
        <w:rPr>
          <w:rFonts w:ascii="Arial" w:hAnsi="Arial" w:cs="Arial"/>
          <w:sz w:val="24"/>
          <w:szCs w:val="24"/>
        </w:rPr>
        <w:t>–</w:t>
      </w:r>
      <w:r w:rsidR="00C90BD1" w:rsidRPr="002D21B6">
        <w:rPr>
          <w:rFonts w:ascii="Arial" w:hAnsi="Arial" w:cs="Arial"/>
          <w:sz w:val="24"/>
          <w:szCs w:val="24"/>
        </w:rPr>
        <w:t>based ELISA</w:t>
      </w:r>
      <w:r w:rsidR="00762C2D" w:rsidRPr="002D21B6">
        <w:rPr>
          <w:rFonts w:ascii="Arial" w:hAnsi="Arial" w:cs="Arial"/>
          <w:sz w:val="24"/>
          <w:szCs w:val="24"/>
        </w:rPr>
        <w:t>/</w:t>
      </w:r>
      <w:r w:rsidR="00C90BD1" w:rsidRPr="002D21B6">
        <w:rPr>
          <w:rFonts w:ascii="Arial" w:hAnsi="Arial" w:cs="Arial"/>
          <w:sz w:val="24"/>
          <w:szCs w:val="24"/>
        </w:rPr>
        <w:t>EIA</w:t>
      </w:r>
      <w:r w:rsidR="00F92820" w:rsidRPr="002D21B6">
        <w:rPr>
          <w:rFonts w:ascii="Arial" w:hAnsi="Arial" w:cs="Arial"/>
          <w:sz w:val="24"/>
          <w:szCs w:val="24"/>
        </w:rPr>
        <w:t xml:space="preserve"> methods of </w:t>
      </w:r>
      <w:r w:rsidR="000B768D" w:rsidRPr="002D21B6">
        <w:rPr>
          <w:rFonts w:ascii="Arial" w:hAnsi="Arial" w:cs="Arial"/>
          <w:sz w:val="24"/>
          <w:szCs w:val="24"/>
        </w:rPr>
        <w:t>measles</w:t>
      </w:r>
      <w:r w:rsidR="00BE3B1C" w:rsidRPr="002D21B6">
        <w:rPr>
          <w:rFonts w:ascii="Arial" w:hAnsi="Arial" w:cs="Arial"/>
          <w:sz w:val="24"/>
          <w:szCs w:val="24"/>
        </w:rPr>
        <w:t xml:space="preserve">, mumps and rubella </w:t>
      </w:r>
      <w:r w:rsidR="000B768D" w:rsidRPr="002D21B6">
        <w:rPr>
          <w:rFonts w:ascii="Arial" w:hAnsi="Arial" w:cs="Arial"/>
          <w:sz w:val="24"/>
          <w:szCs w:val="24"/>
        </w:rPr>
        <w:t xml:space="preserve"> </w:t>
      </w:r>
      <w:r w:rsidR="00046085" w:rsidRPr="002D21B6">
        <w:rPr>
          <w:rFonts w:ascii="Arial" w:hAnsi="Arial" w:cs="Arial"/>
          <w:sz w:val="24"/>
          <w:szCs w:val="24"/>
        </w:rPr>
        <w:t xml:space="preserve">IgG antibody detection </w:t>
      </w:r>
      <w:r w:rsidR="00F92820" w:rsidRPr="002D21B6">
        <w:rPr>
          <w:rFonts w:ascii="Arial" w:hAnsi="Arial" w:cs="Arial"/>
          <w:sz w:val="24"/>
          <w:szCs w:val="24"/>
        </w:rPr>
        <w:t>are considered</w:t>
      </w:r>
      <w:r w:rsidR="00046085" w:rsidRPr="002D21B6">
        <w:rPr>
          <w:rFonts w:ascii="Arial" w:hAnsi="Arial" w:cs="Arial"/>
          <w:sz w:val="24"/>
          <w:szCs w:val="24"/>
        </w:rPr>
        <w:t xml:space="preserve"> </w:t>
      </w:r>
      <w:r w:rsidR="00762C2D" w:rsidRPr="002D21B6">
        <w:rPr>
          <w:rFonts w:ascii="Arial" w:hAnsi="Arial" w:cs="Arial"/>
          <w:sz w:val="24"/>
          <w:szCs w:val="24"/>
        </w:rPr>
        <w:t>rather</w:t>
      </w:r>
      <w:r w:rsidR="00046085" w:rsidRPr="002D21B6">
        <w:rPr>
          <w:rFonts w:ascii="Arial" w:hAnsi="Arial" w:cs="Arial"/>
          <w:sz w:val="24"/>
          <w:szCs w:val="24"/>
        </w:rPr>
        <w:t xml:space="preserve"> a good surrogate marker for immunity.</w:t>
      </w:r>
      <w:r w:rsidR="00BE3B1C" w:rsidRPr="002D21B6">
        <w:rPr>
          <w:rFonts w:ascii="Arial" w:hAnsi="Arial" w:cs="Arial"/>
          <w:sz w:val="24"/>
          <w:szCs w:val="24"/>
        </w:rPr>
        <w:t xml:space="preserve"> This is especially true for our test, since our cut-off calibration was based on multiple measurements with indepe</w:t>
      </w:r>
      <w:r w:rsidR="00762C2D" w:rsidRPr="002D21B6">
        <w:rPr>
          <w:rFonts w:ascii="Arial" w:hAnsi="Arial" w:cs="Arial"/>
          <w:sz w:val="24"/>
          <w:szCs w:val="24"/>
        </w:rPr>
        <w:t xml:space="preserve">ndent, </w:t>
      </w:r>
      <w:r w:rsidR="00BE3B1C" w:rsidRPr="002D21B6">
        <w:rPr>
          <w:rFonts w:ascii="Arial" w:hAnsi="Arial" w:cs="Arial"/>
          <w:sz w:val="24"/>
          <w:szCs w:val="24"/>
        </w:rPr>
        <w:t>commercially available assays</w:t>
      </w:r>
      <w:r w:rsidR="00762C2D" w:rsidRPr="002D21B6">
        <w:rPr>
          <w:rFonts w:ascii="Arial" w:hAnsi="Arial" w:cs="Arial"/>
          <w:sz w:val="24"/>
          <w:szCs w:val="24"/>
        </w:rPr>
        <w:t>,</w:t>
      </w:r>
      <w:r w:rsidR="00BE3B1C" w:rsidRPr="002D21B6">
        <w:rPr>
          <w:rFonts w:ascii="Arial" w:hAnsi="Arial" w:cs="Arial"/>
          <w:sz w:val="24"/>
          <w:szCs w:val="24"/>
        </w:rPr>
        <w:t xml:space="preserve"> </w:t>
      </w:r>
      <w:r w:rsidR="00762C2D" w:rsidRPr="002D21B6">
        <w:rPr>
          <w:rFonts w:ascii="Arial" w:hAnsi="Arial" w:cs="Arial"/>
          <w:sz w:val="24"/>
          <w:szCs w:val="24"/>
        </w:rPr>
        <w:t xml:space="preserve">and with </w:t>
      </w:r>
      <w:r w:rsidR="00BE3B1C" w:rsidRPr="002D21B6">
        <w:rPr>
          <w:rFonts w:ascii="Arial" w:hAnsi="Arial" w:cs="Arial"/>
          <w:sz w:val="24"/>
          <w:szCs w:val="24"/>
        </w:rPr>
        <w:t xml:space="preserve">indirect immunofluorescent microscopy. </w:t>
      </w:r>
      <w:r w:rsidR="00EA779C" w:rsidRPr="002D21B6">
        <w:rPr>
          <w:rFonts w:ascii="Arial" w:hAnsi="Arial" w:cs="Arial"/>
          <w:sz w:val="24"/>
          <w:szCs w:val="24"/>
        </w:rPr>
        <w:t>T</w:t>
      </w:r>
      <w:r w:rsidR="00BE3B1C" w:rsidRPr="002D21B6">
        <w:rPr>
          <w:rFonts w:ascii="Arial" w:hAnsi="Arial" w:cs="Arial"/>
          <w:sz w:val="24"/>
          <w:szCs w:val="24"/>
        </w:rPr>
        <w:t xml:space="preserve">he diagnostic ability of our test is </w:t>
      </w:r>
      <w:r w:rsidR="00762C2D" w:rsidRPr="002D21B6">
        <w:rPr>
          <w:rFonts w:ascii="Arial" w:hAnsi="Arial" w:cs="Arial"/>
          <w:sz w:val="24"/>
          <w:szCs w:val="24"/>
        </w:rPr>
        <w:t xml:space="preserve">calculated </w:t>
      </w:r>
      <w:r w:rsidR="00F95AE8" w:rsidRPr="002D21B6">
        <w:rPr>
          <w:rFonts w:ascii="Arial" w:hAnsi="Arial" w:cs="Arial"/>
          <w:sz w:val="24"/>
          <w:szCs w:val="24"/>
        </w:rPr>
        <w:t>based on results obtained by</w:t>
      </w:r>
      <w:r w:rsidR="00762C2D" w:rsidRPr="002D21B6">
        <w:rPr>
          <w:rFonts w:ascii="Arial" w:hAnsi="Arial" w:cs="Arial"/>
          <w:sz w:val="24"/>
          <w:szCs w:val="24"/>
        </w:rPr>
        <w:t xml:space="preserve"> </w:t>
      </w:r>
      <w:r w:rsidR="00665081" w:rsidRPr="002D21B6">
        <w:rPr>
          <w:rFonts w:ascii="Arial" w:hAnsi="Arial" w:cs="Arial"/>
          <w:sz w:val="24"/>
          <w:szCs w:val="24"/>
        </w:rPr>
        <w:t xml:space="preserve">kits capable of </w:t>
      </w:r>
      <w:r w:rsidR="00BE3B1C" w:rsidRPr="002D21B6">
        <w:rPr>
          <w:rFonts w:ascii="Arial" w:hAnsi="Arial" w:cs="Arial"/>
          <w:sz w:val="24"/>
          <w:szCs w:val="24"/>
        </w:rPr>
        <w:t>humoral antibody</w:t>
      </w:r>
      <w:r w:rsidR="00665081" w:rsidRPr="002D21B6">
        <w:rPr>
          <w:rFonts w:ascii="Arial" w:hAnsi="Arial" w:cs="Arial"/>
          <w:sz w:val="24"/>
          <w:szCs w:val="24"/>
        </w:rPr>
        <w:t xml:space="preserve"> </w:t>
      </w:r>
      <w:r w:rsidR="00762C2D" w:rsidRPr="002D21B6">
        <w:rPr>
          <w:rFonts w:ascii="Arial" w:hAnsi="Arial" w:cs="Arial"/>
          <w:sz w:val="24"/>
          <w:szCs w:val="24"/>
        </w:rPr>
        <w:t>detecti</w:t>
      </w:r>
      <w:r w:rsidR="00665081" w:rsidRPr="002D21B6">
        <w:rPr>
          <w:rFonts w:ascii="Arial" w:hAnsi="Arial" w:cs="Arial"/>
          <w:sz w:val="24"/>
          <w:szCs w:val="24"/>
        </w:rPr>
        <w:t>on</w:t>
      </w:r>
      <w:r w:rsidR="00BE3B1C" w:rsidRPr="002D21B6">
        <w:rPr>
          <w:rFonts w:ascii="Arial" w:hAnsi="Arial" w:cs="Arial"/>
          <w:sz w:val="24"/>
          <w:szCs w:val="24"/>
        </w:rPr>
        <w:t xml:space="preserve">, </w:t>
      </w:r>
      <w:r w:rsidR="00762C2D" w:rsidRPr="002D21B6">
        <w:rPr>
          <w:rFonts w:ascii="Arial" w:hAnsi="Arial" w:cs="Arial"/>
          <w:sz w:val="24"/>
          <w:szCs w:val="24"/>
        </w:rPr>
        <w:t xml:space="preserve">and </w:t>
      </w:r>
      <w:r w:rsidR="00BE3B1C" w:rsidRPr="002D21B6">
        <w:rPr>
          <w:rFonts w:ascii="Arial" w:hAnsi="Arial" w:cs="Arial"/>
          <w:sz w:val="24"/>
          <w:szCs w:val="24"/>
        </w:rPr>
        <w:t xml:space="preserve">not on neutralizing antibody </w:t>
      </w:r>
      <w:r w:rsidR="00762C2D" w:rsidRPr="002D21B6">
        <w:rPr>
          <w:rFonts w:ascii="Arial" w:hAnsi="Arial" w:cs="Arial"/>
          <w:sz w:val="24"/>
          <w:szCs w:val="24"/>
        </w:rPr>
        <w:t>titres</w:t>
      </w:r>
      <w:r w:rsidR="00BE3B1C" w:rsidRPr="002D21B6">
        <w:rPr>
          <w:rFonts w:ascii="Arial" w:hAnsi="Arial" w:cs="Arial"/>
          <w:sz w:val="24"/>
          <w:szCs w:val="24"/>
        </w:rPr>
        <w:t xml:space="preserve"> that could </w:t>
      </w:r>
      <w:r w:rsidR="00762C2D" w:rsidRPr="002D21B6">
        <w:rPr>
          <w:rFonts w:ascii="Arial" w:hAnsi="Arial" w:cs="Arial"/>
          <w:sz w:val="24"/>
          <w:szCs w:val="24"/>
        </w:rPr>
        <w:t>serve</w:t>
      </w:r>
      <w:r w:rsidR="00BE3B1C" w:rsidRPr="002D21B6">
        <w:rPr>
          <w:rFonts w:ascii="Arial" w:hAnsi="Arial" w:cs="Arial"/>
          <w:sz w:val="24"/>
          <w:szCs w:val="24"/>
        </w:rPr>
        <w:t xml:space="preserve"> as an absolute correlate of protection.</w:t>
      </w:r>
    </w:p>
    <w:p w:rsidR="000164EC" w:rsidRDefault="00046085" w:rsidP="002476AD">
      <w:pPr>
        <w:spacing w:line="480" w:lineRule="auto"/>
        <w:ind w:firstLine="510"/>
        <w:rPr>
          <w:rFonts w:ascii="Arial" w:hAnsi="Arial" w:cs="Arial"/>
          <w:sz w:val="24"/>
          <w:szCs w:val="24"/>
        </w:rPr>
      </w:pPr>
      <w:r w:rsidRPr="002D21B6">
        <w:rPr>
          <w:rFonts w:ascii="Arial" w:hAnsi="Arial" w:cs="Arial"/>
          <w:sz w:val="24"/>
          <w:szCs w:val="24"/>
        </w:rPr>
        <w:t>Additionally</w:t>
      </w:r>
      <w:r w:rsidR="000B768D" w:rsidRPr="002D21B6">
        <w:rPr>
          <w:rFonts w:ascii="Arial" w:hAnsi="Arial" w:cs="Arial"/>
          <w:sz w:val="24"/>
          <w:szCs w:val="24"/>
        </w:rPr>
        <w:t>,</w:t>
      </w:r>
      <w:r w:rsidR="00EA779C" w:rsidRPr="002D21B6">
        <w:rPr>
          <w:rFonts w:ascii="Arial" w:hAnsi="Arial" w:cs="Arial"/>
          <w:sz w:val="24"/>
          <w:szCs w:val="24"/>
        </w:rPr>
        <w:t xml:space="preserve"> </w:t>
      </w:r>
      <w:r w:rsidR="00F95AE8" w:rsidRPr="002D21B6">
        <w:rPr>
          <w:rFonts w:ascii="Arial" w:hAnsi="Arial" w:cs="Arial"/>
          <w:sz w:val="24"/>
          <w:szCs w:val="24"/>
        </w:rPr>
        <w:t xml:space="preserve">considering age-specific susceptibility estimates </w:t>
      </w:r>
      <w:r w:rsidR="00EA779C" w:rsidRPr="002D21B6">
        <w:rPr>
          <w:rFonts w:ascii="Arial" w:hAnsi="Arial" w:cs="Arial"/>
          <w:sz w:val="24"/>
          <w:szCs w:val="24"/>
        </w:rPr>
        <w:t xml:space="preserve">at population </w:t>
      </w:r>
      <w:r w:rsidR="001163E0" w:rsidRPr="002D21B6">
        <w:rPr>
          <w:rFonts w:ascii="Arial" w:hAnsi="Arial" w:cs="Arial"/>
          <w:sz w:val="24"/>
          <w:szCs w:val="24"/>
        </w:rPr>
        <w:t xml:space="preserve">level, </w:t>
      </w:r>
      <w:r w:rsidRPr="002D21B6">
        <w:rPr>
          <w:rFonts w:ascii="Arial" w:hAnsi="Arial" w:cs="Arial"/>
          <w:sz w:val="24"/>
          <w:szCs w:val="24"/>
        </w:rPr>
        <w:t>the phenomenon</w:t>
      </w:r>
      <w:r w:rsidR="002476AD">
        <w:rPr>
          <w:rFonts w:ascii="Arial" w:hAnsi="Arial" w:cs="Arial"/>
          <w:sz w:val="24"/>
          <w:szCs w:val="24"/>
        </w:rPr>
        <w:t xml:space="preserve"> </w:t>
      </w:r>
      <w:r w:rsidRPr="002D21B6">
        <w:rPr>
          <w:rFonts w:ascii="Arial" w:hAnsi="Arial" w:cs="Arial"/>
          <w:sz w:val="24"/>
          <w:szCs w:val="24"/>
        </w:rPr>
        <w:t xml:space="preserve">of vaccination-induced </w:t>
      </w:r>
      <w:r w:rsidR="00F95AE8" w:rsidRPr="002D21B6">
        <w:rPr>
          <w:rFonts w:ascii="Arial" w:hAnsi="Arial" w:cs="Arial"/>
          <w:sz w:val="24"/>
          <w:szCs w:val="24"/>
        </w:rPr>
        <w:t xml:space="preserve">lower </w:t>
      </w:r>
      <w:r w:rsidR="00D4252A" w:rsidRPr="002D21B6">
        <w:rPr>
          <w:rFonts w:ascii="Arial" w:hAnsi="Arial" w:cs="Arial"/>
          <w:sz w:val="24"/>
          <w:szCs w:val="24"/>
        </w:rPr>
        <w:t xml:space="preserve">antibody levels, </w:t>
      </w:r>
      <w:r w:rsidRPr="002D21B6">
        <w:rPr>
          <w:rFonts w:ascii="Arial" w:hAnsi="Arial" w:cs="Arial"/>
          <w:sz w:val="24"/>
          <w:szCs w:val="24"/>
        </w:rPr>
        <w:t>compared to those</w:t>
      </w:r>
      <w:r w:rsidR="00D4252A" w:rsidRPr="002D21B6">
        <w:rPr>
          <w:rFonts w:ascii="Arial" w:hAnsi="Arial" w:cs="Arial"/>
          <w:sz w:val="24"/>
          <w:szCs w:val="24"/>
        </w:rPr>
        <w:t xml:space="preserve"> elicited by natural infection, </w:t>
      </w:r>
      <w:r w:rsidRPr="002D21B6">
        <w:rPr>
          <w:rFonts w:ascii="Arial" w:hAnsi="Arial" w:cs="Arial"/>
          <w:sz w:val="24"/>
          <w:szCs w:val="24"/>
        </w:rPr>
        <w:t xml:space="preserve">is </w:t>
      </w:r>
      <w:r w:rsidR="00093CCD" w:rsidRPr="002D21B6">
        <w:rPr>
          <w:rFonts w:ascii="Arial" w:hAnsi="Arial" w:cs="Arial"/>
          <w:sz w:val="24"/>
          <w:szCs w:val="24"/>
        </w:rPr>
        <w:t xml:space="preserve">also </w:t>
      </w:r>
      <w:r w:rsidRPr="002D21B6">
        <w:rPr>
          <w:rFonts w:ascii="Arial" w:hAnsi="Arial" w:cs="Arial"/>
          <w:sz w:val="24"/>
          <w:szCs w:val="24"/>
        </w:rPr>
        <w:t xml:space="preserve">to be </w:t>
      </w:r>
      <w:r w:rsidR="00D4252A" w:rsidRPr="002D21B6">
        <w:rPr>
          <w:rFonts w:ascii="Arial" w:hAnsi="Arial" w:cs="Arial"/>
          <w:sz w:val="24"/>
          <w:szCs w:val="24"/>
        </w:rPr>
        <w:t>taken into account</w:t>
      </w:r>
      <w:r w:rsidRPr="002D21B6">
        <w:rPr>
          <w:rFonts w:ascii="Arial" w:hAnsi="Arial" w:cs="Arial"/>
          <w:sz w:val="24"/>
          <w:szCs w:val="24"/>
        </w:rPr>
        <w:t xml:space="preserve"> </w:t>
      </w:r>
      <w:r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{"citationItems":[{"id":"ITEM-1","itemData":{"DOI":"10.1016/J.JCV.2015.06.095","ISSN":"1386-6532","abstract":"BACKGROUND\nFollowing the recognition of a measles case in a hospital in The Netherlands, health care workers (HCW) from the premises were screened by a commercial enzyme immunoassay (EIA) for measles IgG to identify persons at risk for measles. At least 10% of the HCW were tested measles IgG-negative. As this was considered an unusually high proportion, we hypothesized suboptimal sensitivity of EIAs, especially in medical personnel that had vaccine-induced immunity rather than antibodies resulting from natural infection. \n\nOBJECTIVES\nTo determine (vaccine-induced) measles immunity in HCW, using different EIAs compared to the plaque reduction neutralization (PRN) test, the best surrogate marker for vaccine efficacy and immune protection. \n\nSTUDY DESIGN\nSera from HCW were tested for measles IgG antibodies in three commercial EIAs, in a bead-based multiplex immunoassay (MIA) and in the PRN test, and evaluated against age and vaccination history of the HCW. \n\nRESULTS\nOf the 154 HCW, born between 1960 and 1995, 153 (99.4%) had protective levels of measles antibodies (PRN&gt;120mIU/ml). The three EIAs failed to detect any measles IgG antibodies in approximately 10% of the HCW, while this percentage was approximately 3% for the MIA. Negative IgG results rose to 19% for individuals born between 1975 and 1985, pointing to an age group largely representing vaccinated persons from the first measles vaccination period in The Netherlands. \n\nCONCLUSION\nThe results show limitations in the usefulness of current EIA assays for determining protective measles antibodies in persons with a vaccination history.","author":[{"dropping-particle":"","family":"Dorigo-Zetsma","given":"J.Wendelien","non-dropping-particle":"","parse-names":false,"suffix":""},{"dropping-particle":"","family":"Leverstein-van Hall","given":"Maurine A.","non-dropping-particle":"","parse-names":false,"suffix":""},{"dropping-particle":"","family":"Vreeswijk","given":"Joyce","non-dropping-particle":"","parse-names":false,"suffix":""},{"dropping-particle":"","family":"Vries","given":"Jutte J.C.","non-dropping-particle":"de","parse-names":false,"suffix":""},{"dropping-particle":"","family":"Vossen","given":"Ann C.T.M.","non-dropping-particle":"","parse-names":false,"suffix":""},{"dropping-particle":"","family":"Hulscher","given":"Hinke I.","non-dropping-particle":"ten","parse-names":false,"suffix":""},{"dropping-particle":"","family":"Kerkhof","given":"Jeroen","non-dropping-particle":"","parse-names":false,"suffix":""},{"dropping-particle":"","family":"Smits","given":"Gaby P.","non-dropping-particle":"","parse-names":false,"suffix":""},{"dropping-particle":"","family":"Ruijs","given":"Wilhelmina L.M.","non-dropping-particle":"","parse-names":false,"suffix":""},{"dropping-particle":"","family":"Koopmans","given":"Marion P.G.","non-dropping-particle":"","parse-names":false,"suffix":""},{"dropping-particle":"","family":"Binnendijk","given":"Robert S.van","non-dropping-particle":"","parse-names":false,"suffix":""}],"container-title":"Journal of Clinical Virology","id":"ITEM-1","issued":{"date-parts":[["2015","8","1"]]},"page":"214-218","publisher":"Elsevier","title":"Immune status of health care workers to measles virus: evaluation of protective titers in four measles IgG EIAs","type":"article-journal","volume":"69"},"uris":["http://www.mendeley.com/documents/?uuid=fe10e49a-a806-3fe7-9c66-7c8a8bda5b23"]},{"id":"ITEM-2","itemData":{"DOI":"10.1016/J.JCV.2006.12.017","ISSN":"1386-6532","abstract":"BACKGROUND\nThe prevalence of measles antibodies was investigated by an enzyme immunoassay (EIA) in students aged 14 every year since 1996 in a Swiss municipality. This region has wide measles vaccine coverage (first dose ≥95%, second dose ≥65%) without any reported measles outbreaks since 20 years. In 2003 and 2004, in contrast to previous years, surprisingly many negative results (33% and 54%, respectively) were observed. \n\nOBJECTIVES\nTo corroborate the measles antibody values by different methods. \n\nSTUDY DESIGN\nSerum samples from 101 students with known vaccination status were available. Sera with equivocal and negative results obtained by two different EIAs were retested by indirect immunofluorescence test (IFT) and plaque neutralisation test (PNT). \n\nRESULTS\nRetesting by IFT showed a positive result in 17/21 sera (81%) and retesting by PNT indicated that 46/49 sera (94%) were positive; the three sera with negative PNT result were from unvaccinated individuals. Only 3/96 vaccinated students showed measles antibodies below the putative protective level of 0.2IU/ml after retesting by PNT. \n\nCONCLUSIONS\nNegative EIA results should be interpreted with caution in a widely vaccinated population without booster by circulation of wild viruses. Retesting by IFT or PNT is recommended.","author":[{"dropping-particle":"","family":"Tischer","given":"Annedore","non-dropping-particle":"","parse-names":false,"suffix":""},{"dropping-particle":"","family":"Gassner","given":"Markus","non-dropping-particle":"","parse-names":false,"suffix":""},{"dropping-particle":"","family":"Richard","given":"Jean-Luc","non-dropping-particle":"","parse-names":false,"suffix":""},{"dropping-particle":"","family":"Suter-Riniker","given":"Franziska","non-dropping-particle":"","parse-names":false,"suffix":""},{"dropping-particle":"","family":"Mankertz","given":"Annette","non-dropping-particle":"","parse-names":false,"suffix":""},{"dropping-particle":"","family":"Heininger","given":"Ulrich","non-dropping-particle":"","parse-names":false,"suffix":""}],"container-title":"Journal of Clinical Virology","id":"ITEM-2","issue":"3","issued":{"date-parts":[["2007","3","1"]]},"page":"204-209","publisher":"Elsevier","title":"Vaccinated students with negative enzyme immunoassay results show positive measles virus-specific antibody levels by immunofluorescence and plaque neutralisation tests","type":"article-journal","volume":"38"},"uris":["http://www.mendeley.com/documents/?uuid=d58aff42-7003-32bf-8028-c1a341792651"]}],"mendeley":{"formattedCitation":"[46,47]","plainTextFormattedCitation":"[46,47]","previouslyFormattedCitation":"[46,47]"},"properties":{"noteIndex":0},"schema":"https://github.com/citation-style-language/schema/raw/master/csl-citation.json"}</w:instrText>
      </w:r>
      <w:r w:rsidRPr="002D21B6">
        <w:rPr>
          <w:rFonts w:ascii="Arial" w:hAnsi="Arial" w:cs="Arial"/>
          <w:sz w:val="24"/>
          <w:szCs w:val="24"/>
        </w:rPr>
        <w:fldChar w:fldCharType="separate"/>
      </w:r>
      <w:r w:rsidR="007F0E42" w:rsidRPr="007F0E42">
        <w:rPr>
          <w:rFonts w:ascii="Arial" w:hAnsi="Arial" w:cs="Arial"/>
          <w:noProof/>
          <w:sz w:val="24"/>
          <w:szCs w:val="24"/>
        </w:rPr>
        <w:t>[46,47]</w:t>
      </w:r>
      <w:r w:rsidRPr="002D21B6">
        <w:rPr>
          <w:rFonts w:ascii="Arial" w:hAnsi="Arial" w:cs="Arial"/>
          <w:sz w:val="24"/>
          <w:szCs w:val="24"/>
        </w:rPr>
        <w:fldChar w:fldCharType="end"/>
      </w:r>
      <w:r w:rsidRPr="002D21B6">
        <w:rPr>
          <w:rFonts w:ascii="Arial" w:hAnsi="Arial" w:cs="Arial"/>
          <w:sz w:val="24"/>
          <w:szCs w:val="24"/>
        </w:rPr>
        <w:t xml:space="preserve">. Consequently, low (negative or equivocal) IgG results are to be interpreted </w:t>
      </w:r>
      <w:r w:rsidR="001D3C2A" w:rsidRPr="002D21B6">
        <w:rPr>
          <w:rFonts w:ascii="Arial" w:hAnsi="Arial" w:cs="Arial"/>
          <w:sz w:val="24"/>
          <w:szCs w:val="24"/>
        </w:rPr>
        <w:t>with caution,</w:t>
      </w:r>
      <w:r w:rsidRPr="002D21B6">
        <w:rPr>
          <w:rFonts w:ascii="Arial" w:hAnsi="Arial" w:cs="Arial"/>
          <w:sz w:val="24"/>
          <w:szCs w:val="24"/>
        </w:rPr>
        <w:t xml:space="preserve"> when assessing </w:t>
      </w:r>
      <w:r w:rsidRPr="002D21B6">
        <w:rPr>
          <w:rFonts w:ascii="Arial" w:hAnsi="Arial" w:cs="Arial"/>
          <w:sz w:val="24"/>
          <w:szCs w:val="24"/>
        </w:rPr>
        <w:lastRenderedPageBreak/>
        <w:t>immunity in populations with effective immuni</w:t>
      </w:r>
      <w:r w:rsidR="00E4409D" w:rsidRPr="002D21B6">
        <w:rPr>
          <w:rFonts w:ascii="Arial" w:hAnsi="Arial" w:cs="Arial"/>
          <w:sz w:val="24"/>
          <w:szCs w:val="24"/>
        </w:rPr>
        <w:t>z</w:t>
      </w:r>
      <w:r w:rsidRPr="002D21B6">
        <w:rPr>
          <w:rFonts w:ascii="Arial" w:hAnsi="Arial" w:cs="Arial"/>
          <w:sz w:val="24"/>
          <w:szCs w:val="24"/>
        </w:rPr>
        <w:t>ation programmes</w:t>
      </w:r>
      <w:r w:rsidR="00D47CCE" w:rsidRPr="002D21B6">
        <w:rPr>
          <w:rFonts w:ascii="Arial" w:hAnsi="Arial" w:cs="Arial"/>
          <w:sz w:val="24"/>
          <w:szCs w:val="24"/>
        </w:rPr>
        <w:t xml:space="preserve"> </w:t>
      </w:r>
      <w:r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{"citationItems":[{"id":"ITEM-1","itemData":{"abstract":"Overview Other than testing that is performed for case confirmation, the laboratories in the GMRLN are often responsible for providing laboratory support for serological surveillance conducted on a selected population or community. These seroprevalence studies are performed to assess the impact of vaccination programmes and aid in the identification of susceptible groups. Seroprevalence studies involve aspects of study planning and design as well as the serologic testing and analysis of results of specimens collected from a defined population over a specified period of time. The publication, Guidance on conducting serosurveys in support of measles and rubella elimination in the WHO European Region, provides additional information including sampling design [1]. While EIA testing may be performed to confirm the presence of measles-or rubella-specific IgG antibody to assess the immunity of individuals (e.g., health-care personnel), detection of IgG by EIA is also the most common method utilized for the estimation of population immunity to measles and rubella. Population-based seroprevalence studies can help characterize the immune profile of target populations, however, there are serious limitations and challenges. Careful study design is required to generate quality data that are useful for identification of susceptible populations and at-risk groups. Adequate resources and support are needed to ensure results are available in a timely fashion. Depending on the scope of the study and the resources available, residual serum specimens submitted for diagnostic testing (convenience or opportunistic sample) are often used, or serum specimens may be collected according to the sampling strategy. While other sources of antibody have been used in seroprevalence studies such as oral fluid, breast milk, or whole blood, these fluids have a reduced concentration of antibody compared to serum and the sample volume used in an assay to measure IgG or a test that measures neutralizing antibody is difficult to adjust to accommodate that variation [2].","id":"ITEM-1","issued":{"date-parts":[["0"]]},"title":"Manual for the Laboratory-based Surveillance of Measles, Rubella, and Congenital Rubella Syndrome","type":"report"},"uris":["http://www.mendeley.com/documents/?uuid=dedf840e-0bcf-3024-931c-766f87264ea5"]}],"mendeley":{"formattedCitation":"[39]","plainTextFormattedCitation":"[39]","previouslyFormattedCitation":"[39]"},"properties":{"noteIndex":0},"schema":"https://github.com/citation-style-language/schema/raw/master/csl-citation.json"}</w:instrText>
      </w:r>
      <w:r w:rsidRPr="002D21B6">
        <w:rPr>
          <w:rFonts w:ascii="Arial" w:hAnsi="Arial" w:cs="Arial"/>
          <w:sz w:val="24"/>
          <w:szCs w:val="24"/>
        </w:rPr>
        <w:fldChar w:fldCharType="separate"/>
      </w:r>
      <w:r w:rsidR="007F0E42" w:rsidRPr="007F0E42">
        <w:rPr>
          <w:rFonts w:ascii="Arial" w:hAnsi="Arial" w:cs="Arial"/>
          <w:noProof/>
          <w:sz w:val="24"/>
          <w:szCs w:val="24"/>
        </w:rPr>
        <w:t>[39]</w:t>
      </w:r>
      <w:r w:rsidRPr="002D21B6">
        <w:rPr>
          <w:rFonts w:ascii="Arial" w:hAnsi="Arial" w:cs="Arial"/>
          <w:sz w:val="24"/>
          <w:szCs w:val="24"/>
        </w:rPr>
        <w:fldChar w:fldCharType="end"/>
      </w:r>
      <w:r w:rsidRPr="002D21B6">
        <w:rPr>
          <w:rFonts w:ascii="Arial" w:hAnsi="Arial" w:cs="Arial"/>
          <w:sz w:val="24"/>
          <w:szCs w:val="24"/>
        </w:rPr>
        <w:t>. The evaluation of immune status may require additional testing of specimens with results in the equivocal range (we used IIF for this purpose). We also would like to note that the actual lev</w:t>
      </w:r>
      <w:r w:rsidR="00EA779C" w:rsidRPr="002D21B6">
        <w:rPr>
          <w:rFonts w:ascii="Arial" w:hAnsi="Arial" w:cs="Arial"/>
          <w:sz w:val="24"/>
          <w:szCs w:val="24"/>
        </w:rPr>
        <w:t>el of any</w:t>
      </w:r>
      <w:r w:rsidRPr="002D21B6">
        <w:rPr>
          <w:rFonts w:ascii="Arial" w:hAnsi="Arial" w:cs="Arial"/>
          <w:sz w:val="24"/>
          <w:szCs w:val="24"/>
        </w:rPr>
        <w:t xml:space="preserve"> immunological marker is a snapshot in time, which needs to be interpreted in the light of the kinetics of the marker. Although the half-lives of antibodies against measles, mumps </w:t>
      </w:r>
      <w:r w:rsidR="00D47CCE" w:rsidRPr="002D21B6">
        <w:rPr>
          <w:rFonts w:ascii="Arial" w:hAnsi="Arial" w:cs="Arial"/>
          <w:sz w:val="24"/>
          <w:szCs w:val="24"/>
        </w:rPr>
        <w:t xml:space="preserve">and rubella </w:t>
      </w:r>
      <w:r w:rsidRPr="002D21B6">
        <w:rPr>
          <w:rFonts w:ascii="Arial" w:hAnsi="Arial" w:cs="Arial"/>
          <w:sz w:val="24"/>
          <w:szCs w:val="24"/>
        </w:rPr>
        <w:t xml:space="preserve">are relatively long, </w:t>
      </w:r>
      <w:r w:rsidR="00D47CCE" w:rsidRPr="002D21B6">
        <w:rPr>
          <w:rFonts w:ascii="Arial" w:hAnsi="Arial" w:cs="Arial"/>
          <w:sz w:val="24"/>
          <w:szCs w:val="24"/>
        </w:rPr>
        <w:t>unexpected</w:t>
      </w:r>
      <w:r w:rsidR="00D47CCE" w:rsidRPr="002D21B6" w:rsidDel="00D47CCE">
        <w:rPr>
          <w:rFonts w:ascii="Arial" w:hAnsi="Arial" w:cs="Arial"/>
          <w:sz w:val="24"/>
          <w:szCs w:val="24"/>
        </w:rPr>
        <w:t xml:space="preserve"> </w:t>
      </w:r>
      <w:r w:rsidRPr="002D21B6">
        <w:rPr>
          <w:rFonts w:ascii="Arial" w:hAnsi="Arial" w:cs="Arial"/>
          <w:sz w:val="24"/>
          <w:szCs w:val="24"/>
        </w:rPr>
        <w:t xml:space="preserve">responses cannot be excluded, whereby </w:t>
      </w:r>
      <w:proofErr w:type="spellStart"/>
      <w:r w:rsidRPr="002D21B6">
        <w:rPr>
          <w:rFonts w:ascii="Arial" w:hAnsi="Arial" w:cs="Arial"/>
          <w:sz w:val="24"/>
          <w:szCs w:val="24"/>
        </w:rPr>
        <w:t>vaccinees</w:t>
      </w:r>
      <w:proofErr w:type="spellEnd"/>
      <w:r w:rsidRPr="002D21B6">
        <w:rPr>
          <w:rFonts w:ascii="Arial" w:hAnsi="Arial" w:cs="Arial"/>
          <w:sz w:val="24"/>
          <w:szCs w:val="24"/>
        </w:rPr>
        <w:t xml:space="preserve"> can mount sufficient responses rapidly from a low (even close to zero) background of humoral antibody level </w:t>
      </w:r>
      <w:r w:rsidRPr="002D21B6">
        <w:rPr>
          <w:rFonts w:ascii="Arial" w:hAnsi="Arial" w:cs="Arial"/>
          <w:sz w:val="24"/>
          <w:szCs w:val="24"/>
        </w:rPr>
        <w:fldChar w:fldCharType="begin" w:fldLock="1"/>
      </w:r>
      <w:r w:rsidR="007F0E42">
        <w:rPr>
          <w:rFonts w:ascii="Arial" w:hAnsi="Arial" w:cs="Arial"/>
          <w:sz w:val="24"/>
          <w:szCs w:val="24"/>
        </w:rPr>
        <w:instrText>ADDIN CSL_CITATION {"citationItems":[{"id":"ITEM-1","itemData":{"id":"ITEM-1","issued":{"date-parts":[["2013"]]},"title":"Correlates of vaccine-induced protection: methods and implications Immunization, Vaccines and Biologicals","type":"report"},"uris":["http://www.mendeley.com/documents/?uuid=35222dc8-525d-3419-b095-dee332bb49a9"]}],"mendeley":{"formattedCitation":"[45]","plainTextFormattedCitation":"[45]","previouslyFormattedCitation":"[45]"},"properties":{"noteIndex":0},"schema":"https://github.com/citation-style-language/schema/raw/master/csl-citation.json"}</w:instrText>
      </w:r>
      <w:r w:rsidRPr="002D21B6">
        <w:rPr>
          <w:rFonts w:ascii="Arial" w:hAnsi="Arial" w:cs="Arial"/>
          <w:sz w:val="24"/>
          <w:szCs w:val="24"/>
        </w:rPr>
        <w:fldChar w:fldCharType="separate"/>
      </w:r>
      <w:r w:rsidR="007F0E42" w:rsidRPr="007F0E42">
        <w:rPr>
          <w:rFonts w:ascii="Arial" w:hAnsi="Arial" w:cs="Arial"/>
          <w:noProof/>
          <w:sz w:val="24"/>
          <w:szCs w:val="24"/>
        </w:rPr>
        <w:t>[45]</w:t>
      </w:r>
      <w:r w:rsidRPr="002D21B6">
        <w:rPr>
          <w:rFonts w:ascii="Arial" w:hAnsi="Arial" w:cs="Arial"/>
          <w:sz w:val="24"/>
          <w:szCs w:val="24"/>
        </w:rPr>
        <w:fldChar w:fldCharType="end"/>
      </w:r>
      <w:r w:rsidRPr="002D21B6">
        <w:rPr>
          <w:rFonts w:ascii="Arial" w:hAnsi="Arial" w:cs="Arial"/>
          <w:sz w:val="24"/>
          <w:szCs w:val="24"/>
        </w:rPr>
        <w:t>.</w:t>
      </w:r>
    </w:p>
    <w:p w:rsidR="00AA7806" w:rsidRPr="002D21B6" w:rsidRDefault="00AA7806" w:rsidP="002476AD">
      <w:pPr>
        <w:spacing w:line="480" w:lineRule="auto"/>
        <w:ind w:firstLine="510"/>
        <w:rPr>
          <w:rFonts w:ascii="Arial" w:hAnsi="Arial" w:cs="Arial"/>
          <w:sz w:val="24"/>
          <w:szCs w:val="24"/>
        </w:rPr>
      </w:pPr>
    </w:p>
    <w:p w:rsidR="006937E8" w:rsidRPr="002D21B6" w:rsidRDefault="006F602B" w:rsidP="00551AC2">
      <w:pPr>
        <w:spacing w:line="480" w:lineRule="auto"/>
        <w:rPr>
          <w:rFonts w:ascii="Arial" w:hAnsi="Arial" w:cs="Arial"/>
          <w:sz w:val="28"/>
          <w:szCs w:val="28"/>
        </w:rPr>
      </w:pPr>
      <w:r w:rsidRPr="002D21B6">
        <w:rPr>
          <w:rFonts w:ascii="Arial" w:hAnsi="Arial" w:cs="Arial"/>
          <w:b/>
          <w:sz w:val="24"/>
          <w:szCs w:val="24"/>
        </w:rPr>
        <w:t>Conclusions</w:t>
      </w:r>
    </w:p>
    <w:p w:rsidR="00346D82" w:rsidRPr="002476AD" w:rsidRDefault="00122D27" w:rsidP="00771D01">
      <w:pPr>
        <w:spacing w:line="480" w:lineRule="auto"/>
        <w:rPr>
          <w:rFonts w:ascii="Arial" w:hAnsi="Arial" w:cs="Arial"/>
          <w:sz w:val="24"/>
          <w:szCs w:val="24"/>
        </w:rPr>
      </w:pPr>
      <w:r w:rsidRPr="002D21B6">
        <w:rPr>
          <w:rFonts w:ascii="Arial" w:hAnsi="Arial" w:cs="Arial"/>
          <w:sz w:val="24"/>
          <w:szCs w:val="24"/>
        </w:rPr>
        <w:t>H</w:t>
      </w:r>
      <w:r w:rsidR="009E50BF" w:rsidRPr="002D21B6">
        <w:rPr>
          <w:rFonts w:ascii="Arial" w:hAnsi="Arial" w:cs="Arial"/>
          <w:sz w:val="24"/>
          <w:szCs w:val="24"/>
        </w:rPr>
        <w:t>ere we describe t</w:t>
      </w:r>
      <w:r w:rsidR="004C3821" w:rsidRPr="002D21B6">
        <w:rPr>
          <w:rFonts w:ascii="Arial" w:hAnsi="Arial" w:cs="Arial"/>
          <w:sz w:val="24"/>
          <w:szCs w:val="24"/>
        </w:rPr>
        <w:t>he development of a time-saving, cost-effective</w:t>
      </w:r>
      <w:r w:rsidR="00F469BD" w:rsidRPr="002D21B6">
        <w:rPr>
          <w:rFonts w:ascii="Arial" w:hAnsi="Arial" w:cs="Arial"/>
          <w:sz w:val="24"/>
          <w:szCs w:val="24"/>
        </w:rPr>
        <w:t xml:space="preserve"> </w:t>
      </w:r>
      <w:r w:rsidR="009E50BF" w:rsidRPr="002D21B6">
        <w:rPr>
          <w:rFonts w:ascii="Arial" w:hAnsi="Arial" w:cs="Arial"/>
          <w:sz w:val="24"/>
          <w:szCs w:val="24"/>
        </w:rPr>
        <w:t xml:space="preserve">and standardized </w:t>
      </w:r>
      <w:proofErr w:type="spellStart"/>
      <w:r w:rsidR="009E50BF" w:rsidRPr="002D21B6">
        <w:rPr>
          <w:rFonts w:ascii="Arial" w:hAnsi="Arial" w:cs="Arial"/>
          <w:sz w:val="24"/>
          <w:szCs w:val="24"/>
        </w:rPr>
        <w:t>immunoserological</w:t>
      </w:r>
      <w:proofErr w:type="spellEnd"/>
      <w:r w:rsidR="009E50BF" w:rsidRPr="002D21B6">
        <w:rPr>
          <w:rFonts w:ascii="Arial" w:hAnsi="Arial" w:cs="Arial"/>
          <w:sz w:val="24"/>
          <w:szCs w:val="24"/>
        </w:rPr>
        <w:t xml:space="preserve"> assay for simultane</w:t>
      </w:r>
      <w:r w:rsidR="004C3821" w:rsidRPr="002D21B6">
        <w:rPr>
          <w:rFonts w:ascii="Arial" w:hAnsi="Arial" w:cs="Arial"/>
          <w:sz w:val="24"/>
          <w:szCs w:val="24"/>
        </w:rPr>
        <w:t>ous detection of anti-measles, -</w:t>
      </w:r>
      <w:r w:rsidR="00EA4A8D" w:rsidRPr="002D21B6">
        <w:rPr>
          <w:rFonts w:ascii="Arial" w:hAnsi="Arial" w:cs="Arial"/>
          <w:sz w:val="24"/>
          <w:szCs w:val="24"/>
        </w:rPr>
        <w:t xml:space="preserve">mumps, and </w:t>
      </w:r>
      <w:r w:rsidR="008007BD" w:rsidRPr="002D21B6">
        <w:rPr>
          <w:rFonts w:ascii="Arial" w:hAnsi="Arial" w:cs="Arial"/>
          <w:sz w:val="24"/>
          <w:szCs w:val="24"/>
        </w:rPr>
        <w:t>-</w:t>
      </w:r>
      <w:r w:rsidR="009E50BF" w:rsidRPr="002D21B6">
        <w:rPr>
          <w:rFonts w:ascii="Arial" w:hAnsi="Arial" w:cs="Arial"/>
          <w:sz w:val="24"/>
          <w:szCs w:val="24"/>
        </w:rPr>
        <w:t>rubella IgG antibodies in human sera.</w:t>
      </w:r>
      <w:r w:rsidR="00304834" w:rsidRPr="002D21B6">
        <w:rPr>
          <w:rFonts w:ascii="Arial" w:hAnsi="Arial" w:cs="Arial"/>
          <w:sz w:val="24"/>
          <w:szCs w:val="24"/>
        </w:rPr>
        <w:t xml:space="preserve"> </w:t>
      </w:r>
      <w:r w:rsidR="001F3E89" w:rsidRPr="002D21B6">
        <w:rPr>
          <w:rFonts w:ascii="Arial" w:hAnsi="Arial" w:cs="Arial"/>
          <w:sz w:val="24"/>
          <w:szCs w:val="24"/>
        </w:rPr>
        <w:t xml:space="preserve">The importance of </w:t>
      </w:r>
      <w:r w:rsidR="009441C1" w:rsidRPr="002D21B6">
        <w:rPr>
          <w:rFonts w:ascii="Arial" w:hAnsi="Arial" w:cs="Arial"/>
          <w:sz w:val="24"/>
          <w:szCs w:val="24"/>
        </w:rPr>
        <w:t xml:space="preserve">the ‘three-in-one’ </w:t>
      </w:r>
      <w:r w:rsidR="00304834" w:rsidRPr="002D21B6">
        <w:rPr>
          <w:rFonts w:ascii="Arial" w:hAnsi="Arial" w:cs="Arial"/>
          <w:sz w:val="24"/>
          <w:szCs w:val="24"/>
        </w:rPr>
        <w:t xml:space="preserve">assay is </w:t>
      </w:r>
      <w:r w:rsidR="00304834" w:rsidRPr="002476AD">
        <w:rPr>
          <w:rFonts w:ascii="Arial" w:hAnsi="Arial" w:cs="Arial"/>
          <w:sz w:val="24"/>
          <w:szCs w:val="24"/>
        </w:rPr>
        <w:t>highlighted by recent outbreaks of measles, mumps, and rubella infections</w:t>
      </w:r>
      <w:r w:rsidR="001F3E89" w:rsidRPr="002476AD">
        <w:rPr>
          <w:rFonts w:ascii="Arial" w:hAnsi="Arial" w:cs="Arial"/>
          <w:sz w:val="24"/>
          <w:szCs w:val="24"/>
        </w:rPr>
        <w:t xml:space="preserve"> in several countries</w:t>
      </w:r>
      <w:r w:rsidR="00346D82" w:rsidRPr="002476AD">
        <w:rPr>
          <w:rFonts w:ascii="Arial" w:hAnsi="Arial" w:cs="Arial"/>
          <w:sz w:val="24"/>
          <w:szCs w:val="24"/>
        </w:rPr>
        <w:t xml:space="preserve"> </w:t>
      </w:r>
      <w:r w:rsidR="002D0C77" w:rsidRPr="002476AD">
        <w:rPr>
          <w:rStyle w:val="Lbjegyzet-hivatkozs"/>
          <w:rFonts w:ascii="Arial" w:hAnsi="Arial" w:cs="Arial"/>
          <w:sz w:val="24"/>
          <w:szCs w:val="24"/>
        </w:rPr>
        <w:fldChar w:fldCharType="begin" w:fldLock="1"/>
      </w:r>
      <w:r w:rsidR="007F0E42">
        <w:rPr>
          <w:rFonts w:ascii="Arial" w:hAnsi="Arial" w:cs="Arial"/>
          <w:sz w:val="24"/>
          <w:szCs w:val="24"/>
        </w:rPr>
        <w:instrText>ADDIN CSL_CITATION {"citationItems":[{"id":"ITEM-1","itemData":{"author":[{"dropping-particle":"","family":"Meyer","given":"JC","non-dropping-particle":"","parse-names":false,"suffix":""},{"dropping-particle":"","family":"Khosa","given":"LA","non-dropping-particle":"","parse-names":false,"suffix":""},{"dropping-particle":"","family":"Nhira","given":"S","non-dropping-particle":"","parse-names":false,"suffix":""},{"dropping-particle":"","family":"Chiloane","given":"L","non-dropping-particle":"","parse-names":false,"suffix":""},{"dropping-particle":"","family":"Sibanda","given":"M","non-dropping-particle":"","parse-names":false,"suffix":""},{"dropping-particle":"","family":"Schönfeldt","given":"M","non-dropping-particle":"","parse-names":false,"suffix":""},{"dropping-particle":"","family":"Rj","given":"Burnett","non-dropping-particle":"","parse-names":false,"suffix":""}],"id":"ITEM-1","issue":"4","issued":{"date-parts":[["2018"]]},"page":"26-39","title":"of the pharmacist Vaccination Schedule 2018","type":"article-journal","volume":"85"},"uris":["http://www.mendeley.com/documents/?uuid=8a0d140f-fabb-4659-87ce-d7a8f896b1a4"]},{"id":"ITEM-2","itemData":{"DOI":"10.1016/j.tmaid.2019.05.004","ISSN":"14778939","PMID":"31075426","author":[{"dropping-particle":"","family":"Nishiura","given":"Hiroshi","non-dropping-particle":"","parse-names":false,"suffix":""},{"dropping-particle":"","family":"Kayano","given":"Taishi","non-dropping-particle":"","parse-names":false,"suffix":""},{"dropping-particle":"","family":"Kinoshita","given":"Ryo","non-dropping-particle":"","parse-names":false,"suffix":""}],"container-title":"Travel Medicine and Infectious Disease","id":"ITEM-2","issued":{"date-parts":[["2019","5","7"]]},"title":"Overcoming the difficulty of achieving elimination status for measles and rubella due to imported infections: Estimation of the reproduction number R for measles and rubella","type":"article-journal"},"uris":["http://www.mendeley.com/documents/?uuid=0e30655d-060d-3a58-83ab-7176cbc4a13c"]},{"id":"ITEM-3","itemData":{"DOI":"10.1016/S1473-3099(19)30231-2","ISSN":"14733099","PMID":"31079949","author":[{"dropping-particle":"","family":"Sarkar","given":"Sahotra","non-dropping-particle":"","parse-names":false,"suffix":""},{"dropping-particle":"","family":"Zlojutro","given":"Aleksa","non-dropping-particle":"","parse-names":false,"suffix":""},{"dropping-particle":"","family":"Khan","given":"Kamran","non-dropping-particle":"","parse-names":false,"suffix":""},{"dropping-particle":"","family":"Gardner","given":"Lauren","non-dropping-particle":"","parse-names":false,"suffix":""}],"container-title":"The Lancet Infectious Diseases","id":"ITEM-3","issued":{"date-parts":[["2019","5","9"]]},"title":"Measles resurgence in the USA: how international travel compounds vaccine resistance","type":"article-journal"},"uris":["http://www.mendeley.com/documents/?uuid=149762e0-3c73-3346-8865-0c6b78682e8f"]},{"id":"ITEM-4","itemData":{"DOI":"10.1016/j.tmaid.2019.05.008","ISSN":"14778939","PMID":"31085333","author":[{"dropping-particle":"","family":"Patel","given":"Dipti","non-dropping-particle":"","parse-names":false,"suffix":""},{"dropping-particle":"","family":"Simons","given":"Hilary","non-dropping-particle":"","parse-names":false,"suffix":""},{"dropping-particle":"","family":"Schlagenhauf","given":"Patricia","non-dropping-particle":"","parse-names":false,"suffix":""}],"container-title":"Travel Medicine and Infectious Disease","id":"ITEM-4","issued":{"date-parts":[["2019","5","11"]]},"title":"The March of measles - Can travel medicine halt the pace?","type":"article-journal"},"uris":["http://www.mendeley.com/documents/?uuid=f3ff2856-325c-3130-891e-cddac3022548"]},{"id":"ITEM-5","itemData":{"DOI":"10.2807/1560-7917.ES.2019.24.19.1800500","ISSN":"1560-7917","PMID":"31088599","abstract":"When a person with contagious measles has travelled by aircraft, European guidelines recommend contact tracing of passengers and crew within 5 days of exposure for post-exposure prophylaxis (PEP), and within 12 days of exposure for informing passengers and crew, in order to prevent further transmissions. To be effective, contact tracing requires prompt diagnosis, immediate notification of public health authorities and rapid availability of passenger contact data. We report two events of contact tracing initiated in Germany after two individuals with measles travelled on three international flights. In one event, contact tracing was initiated late because laboratory confirmation of a clinically diagnosed measles case was awaited unnecessarily. Accessing passenger contact data was difficult in both events because of data protection issues with the airline which was not based in Germany. In both events, passengers were not reached in time to provide PEP, and one event resulted in at least two secondary measles cases. As all passengers were reached before the incubation period ended, tertiary cases were most probably prevented. Public health authorities and the transport sector must collaborate to resolve competing legal regulations for infection prevention and data protection, to simplify and accelerate identification of air travellers exposed to communicable diseases.","author":[{"dropping-particle":"","family":"Thole","given":"Sebastian","non-dropping-particle":"","parse-names":false,"suffix":""},{"dropping-particle":"","family":"Kalhoefer","given":"Daniela","non-dropping-particle":"","parse-names":false,"suffix":""},{"dropping-particle":"","family":"an der Heiden","given":"Maria","non-dropping-particle":"","parse-names":false,"suffix":""},{"dropping-particle":"","family":"Nordmann","given":"Doris","non-dropping-particle":"","parse-names":false,"suffix":""},{"dropping-particle":"","family":"Daniels-Haardt","given":"Inka","non-dropping-particle":"","parse-names":false,"suffix":""},{"dropping-particle":"","family":"Jurke","given":"Annette","non-dropping-particle":"","parse-names":false,"suffix":""}],"container-title":"Eurosurveillance","id":"ITEM-5","issue":"19","issued":{"date-parts":[["2019","5","9"]]},"title":"Contact tracing following measles exposure on three international flights, Germany, 2017","type":"article-journal","volume":"24"},"uris":["http://www.mendeley.com/documents/?uuid=401307e7-318e-360b-90af-ede9d1fbdadb"]},{"id":"ITEM-6","itemData":{"DOI":"10.1556/030.65.2018.014","ISSN":"1217-8950","PMID":"29486573","abstract":"Although the prevalence of wild-type measles virus infection has decreased by &gt;90% in Europe, the disease is still not eliminated and has even reemerged with recurrent outbreaks in different countries, including Romania and Italy. Minor outbreaks of Romanian origin were reported from Hungary as well. In Romania, an outbreak has been ongoing since February 2016. As of October 2017, 9,670 measles cases and 35 deaths were registered in the country. The three most affected counties are located next to the Hungarian border. In Italy, until the end of August 2017, 4,477 cases were reported to the surveillance system. The outbreak affected most of the Italian administrative regions. Until October 2017, three minor measles outbreaks were also detected in Hungary. All of these outbreaks were derived from Romanian cases. Although in these countries, there are vaccination programs running, the spread of the disease raises the possibility of secondary vaccine failure.","author":[{"dropping-particle":"","family":"Orosz","given":"László","non-dropping-particle":"","parse-names":false,"suffix":""},{"dropping-particle":"","family":"Gáspár","given":"Gábor","non-dropping-particle":"","parse-names":false,"suffix":""},{"dropping-particle":"","family":"Rózsa","given":"Ágnes","non-dropping-particle":"","parse-names":false,"suffix":""},{"dropping-particle":"","family":"Rákos","given":"Nóra","non-dropping-particle":"","parse-names":false,"suffix":""},{"dropping-particle":"","family":"Sziveri","given":"Szilárd","non-dropping-particle":"","parse-names":false,"suffix":""},{"dropping-particle":"","family":"Bosnyákovits","given":"Tünde","non-dropping-particle":"","parse-names":false,"suffix":""}],"container-title":"Acta Microbiologica et Immunologica Hungarica","id":"ITEM-6","issue":"2","issued":{"date-parts":[["2018","6","1"]]},"page":"127-134","title":"Epidemiological situation of measles in Romania, Italy, and Hungary: On what threats should we focus nowadays?","type":"article-journal","volume":"65"},"uris":["http://www.mendeley.com/documents/?uuid=0f43ba7c-5779-3d24-8a47-0d00fbad471e"]}],"mendeley":{"formattedCitation":"[48–53]","manualFormatting":"[56–60]","plainTextFormattedCitation":"[48–53]","previouslyFormattedCitation":"[48–53]"},"properties":{"noteIndex":0},"schema":"https://github.com/citation-style-language/schema/raw/master/csl-citation.json"}</w:instrText>
      </w:r>
      <w:r w:rsidR="002D0C77" w:rsidRPr="002476AD">
        <w:rPr>
          <w:rStyle w:val="Lbjegyzet-hivatkozs"/>
          <w:rFonts w:ascii="Arial" w:hAnsi="Arial" w:cs="Arial"/>
          <w:sz w:val="24"/>
          <w:szCs w:val="24"/>
        </w:rPr>
        <w:fldChar w:fldCharType="separate"/>
      </w:r>
      <w:r w:rsidR="00FA346C" w:rsidRPr="002476AD">
        <w:rPr>
          <w:rFonts w:ascii="Arial" w:hAnsi="Arial" w:cs="Arial"/>
          <w:bCs/>
          <w:noProof/>
          <w:sz w:val="24"/>
          <w:szCs w:val="24"/>
          <w:lang w:val="hu-HU"/>
        </w:rPr>
        <w:t>[56–60]</w:t>
      </w:r>
      <w:r w:rsidR="002D0C77" w:rsidRPr="002476AD">
        <w:rPr>
          <w:rStyle w:val="Lbjegyzet-hivatkozs"/>
          <w:rFonts w:ascii="Arial" w:hAnsi="Arial" w:cs="Arial"/>
          <w:sz w:val="24"/>
          <w:szCs w:val="24"/>
        </w:rPr>
        <w:fldChar w:fldCharType="end"/>
      </w:r>
      <w:r w:rsidR="00560090" w:rsidRPr="002476AD">
        <w:rPr>
          <w:rFonts w:ascii="Arial" w:hAnsi="Arial" w:cs="Arial"/>
          <w:sz w:val="24"/>
          <w:szCs w:val="24"/>
        </w:rPr>
        <w:t>.</w:t>
      </w:r>
      <w:r w:rsidR="009C2CFD" w:rsidRPr="002476AD">
        <w:t xml:space="preserve"> </w:t>
      </w:r>
      <w:r w:rsidR="00B828B0" w:rsidRPr="002476AD">
        <w:rPr>
          <w:rFonts w:ascii="Arial" w:hAnsi="Arial" w:cs="Arial"/>
          <w:sz w:val="24"/>
          <w:szCs w:val="24"/>
        </w:rPr>
        <w:t xml:space="preserve">This </w:t>
      </w:r>
      <w:r w:rsidR="003550EB" w:rsidRPr="002476AD">
        <w:rPr>
          <w:rFonts w:ascii="Arial" w:hAnsi="Arial" w:cs="Arial"/>
          <w:sz w:val="24"/>
          <w:szCs w:val="24"/>
        </w:rPr>
        <w:t>triple</w:t>
      </w:r>
      <w:r w:rsidR="009C2CFD" w:rsidRPr="002476AD">
        <w:rPr>
          <w:rFonts w:ascii="Arial" w:hAnsi="Arial" w:cs="Arial"/>
          <w:sz w:val="24"/>
          <w:szCs w:val="24"/>
        </w:rPr>
        <w:t xml:space="preserve"> </w:t>
      </w:r>
      <w:r w:rsidR="00B828B0" w:rsidRPr="002476AD">
        <w:rPr>
          <w:rFonts w:ascii="Arial" w:hAnsi="Arial" w:cs="Arial"/>
          <w:sz w:val="24"/>
          <w:szCs w:val="24"/>
        </w:rPr>
        <w:t xml:space="preserve">assay </w:t>
      </w:r>
      <w:r w:rsidR="009F550A" w:rsidRPr="002476AD">
        <w:rPr>
          <w:rFonts w:ascii="Arial" w:hAnsi="Arial" w:cs="Arial"/>
          <w:sz w:val="24"/>
          <w:szCs w:val="24"/>
        </w:rPr>
        <w:t xml:space="preserve">is based on an operation protocol that uses the same reagent load with uniform, short incubation times and equally pre-treated samples, enabling the </w:t>
      </w:r>
      <w:r w:rsidR="003B7BBD" w:rsidRPr="002476AD">
        <w:rPr>
          <w:rFonts w:ascii="Arial" w:hAnsi="Arial" w:cs="Arial"/>
          <w:sz w:val="24"/>
          <w:szCs w:val="24"/>
        </w:rPr>
        <w:t>three-parametric</w:t>
      </w:r>
      <w:r w:rsidR="009C2CFD" w:rsidRPr="002476AD">
        <w:rPr>
          <w:rFonts w:ascii="Arial" w:hAnsi="Arial" w:cs="Arial"/>
          <w:sz w:val="24"/>
          <w:szCs w:val="24"/>
        </w:rPr>
        <w:t xml:space="preserve"> screening </w:t>
      </w:r>
      <w:r w:rsidR="003B7BBD" w:rsidRPr="002476AD">
        <w:rPr>
          <w:rFonts w:ascii="Arial" w:hAnsi="Arial" w:cs="Arial"/>
          <w:sz w:val="24"/>
          <w:szCs w:val="24"/>
        </w:rPr>
        <w:t>of 24 samples</w:t>
      </w:r>
      <w:r w:rsidR="008007BD" w:rsidRPr="002476AD">
        <w:rPr>
          <w:rFonts w:ascii="Arial" w:hAnsi="Arial" w:cs="Arial"/>
          <w:sz w:val="24"/>
          <w:szCs w:val="24"/>
        </w:rPr>
        <w:t xml:space="preserve"> per plate</w:t>
      </w:r>
      <w:r w:rsidR="003B7BBD" w:rsidRPr="002476AD">
        <w:rPr>
          <w:rFonts w:ascii="Arial" w:hAnsi="Arial" w:cs="Arial"/>
          <w:sz w:val="24"/>
          <w:szCs w:val="24"/>
        </w:rPr>
        <w:t xml:space="preserve"> within one hour</w:t>
      </w:r>
      <w:r w:rsidR="009F550A" w:rsidRPr="002476AD">
        <w:rPr>
          <w:rFonts w:ascii="Arial" w:hAnsi="Arial" w:cs="Arial"/>
          <w:sz w:val="24"/>
          <w:szCs w:val="24"/>
        </w:rPr>
        <w:t>. I</w:t>
      </w:r>
      <w:r w:rsidR="00B828B0" w:rsidRPr="002476AD">
        <w:rPr>
          <w:rFonts w:ascii="Arial" w:hAnsi="Arial" w:cs="Arial"/>
          <w:sz w:val="24"/>
          <w:szCs w:val="24"/>
        </w:rPr>
        <w:t>n high throughput automated settings</w:t>
      </w:r>
      <w:r w:rsidR="009F550A" w:rsidRPr="002476AD">
        <w:rPr>
          <w:rFonts w:ascii="Arial" w:hAnsi="Arial" w:cs="Arial"/>
          <w:sz w:val="24"/>
          <w:szCs w:val="24"/>
        </w:rPr>
        <w:t>,</w:t>
      </w:r>
      <w:r w:rsidR="00B828B0" w:rsidRPr="002476AD">
        <w:rPr>
          <w:rFonts w:ascii="Arial" w:hAnsi="Arial" w:cs="Arial"/>
          <w:sz w:val="24"/>
          <w:szCs w:val="24"/>
        </w:rPr>
        <w:t xml:space="preserve"> </w:t>
      </w:r>
      <w:r w:rsidR="009F550A" w:rsidRPr="002476AD">
        <w:rPr>
          <w:rFonts w:ascii="Arial" w:hAnsi="Arial" w:cs="Arial"/>
          <w:sz w:val="24"/>
          <w:szCs w:val="24"/>
        </w:rPr>
        <w:t>separate testing</w:t>
      </w:r>
      <w:r w:rsidR="00B828B0" w:rsidRPr="002476AD">
        <w:rPr>
          <w:rFonts w:ascii="Arial" w:hAnsi="Arial" w:cs="Arial"/>
          <w:sz w:val="24"/>
          <w:szCs w:val="24"/>
        </w:rPr>
        <w:t xml:space="preserve"> of the three antigen types is also </w:t>
      </w:r>
      <w:r w:rsidR="009F550A" w:rsidRPr="002476AD">
        <w:rPr>
          <w:rFonts w:ascii="Arial" w:hAnsi="Arial" w:cs="Arial"/>
          <w:sz w:val="24"/>
          <w:szCs w:val="24"/>
        </w:rPr>
        <w:t xml:space="preserve">feasible, thus allowing </w:t>
      </w:r>
      <w:r w:rsidR="00B828B0" w:rsidRPr="002476AD">
        <w:rPr>
          <w:rFonts w:ascii="Arial" w:hAnsi="Arial" w:cs="Arial"/>
          <w:sz w:val="24"/>
          <w:szCs w:val="24"/>
        </w:rPr>
        <w:t>the measurement of 80 samples per</w:t>
      </w:r>
      <w:r w:rsidR="009F550A" w:rsidRPr="002476AD">
        <w:rPr>
          <w:rFonts w:ascii="Arial" w:hAnsi="Arial" w:cs="Arial"/>
          <w:sz w:val="24"/>
          <w:szCs w:val="24"/>
        </w:rPr>
        <w:t xml:space="preserve"> run</w:t>
      </w:r>
      <w:r w:rsidR="002476AD" w:rsidRPr="002476AD">
        <w:rPr>
          <w:rFonts w:ascii="Arial" w:hAnsi="Arial" w:cs="Arial"/>
          <w:sz w:val="24"/>
          <w:szCs w:val="24"/>
        </w:rPr>
        <w:t xml:space="preserve">. </w:t>
      </w:r>
      <w:r w:rsidR="0086534A" w:rsidRPr="002476AD">
        <w:rPr>
          <w:rFonts w:ascii="Arial" w:hAnsi="Arial" w:cs="Arial"/>
          <w:sz w:val="24"/>
          <w:szCs w:val="24"/>
        </w:rPr>
        <w:t xml:space="preserve">Considering the HIT values, </w:t>
      </w:r>
      <w:r w:rsidR="00B828B0" w:rsidRPr="002476AD">
        <w:rPr>
          <w:rFonts w:ascii="Arial" w:hAnsi="Arial" w:cs="Arial"/>
          <w:sz w:val="24"/>
          <w:szCs w:val="24"/>
        </w:rPr>
        <w:t xml:space="preserve">anti-measles </w:t>
      </w:r>
      <w:proofErr w:type="spellStart"/>
      <w:r w:rsidR="00B828B0" w:rsidRPr="002476AD">
        <w:rPr>
          <w:rFonts w:ascii="Arial" w:hAnsi="Arial" w:cs="Arial"/>
          <w:sz w:val="24"/>
          <w:szCs w:val="24"/>
        </w:rPr>
        <w:t>seropositvity</w:t>
      </w:r>
      <w:proofErr w:type="spellEnd"/>
      <w:r w:rsidR="00B828B0" w:rsidRPr="002476AD">
        <w:rPr>
          <w:rFonts w:ascii="Arial" w:hAnsi="Arial" w:cs="Arial"/>
          <w:sz w:val="24"/>
          <w:szCs w:val="24"/>
        </w:rPr>
        <w:t xml:space="preserve"> (79.3%) </w:t>
      </w:r>
      <w:r w:rsidR="0086534A" w:rsidRPr="002476AD">
        <w:rPr>
          <w:rFonts w:ascii="Arial" w:hAnsi="Arial" w:cs="Arial"/>
          <w:sz w:val="24"/>
          <w:szCs w:val="24"/>
        </w:rPr>
        <w:t xml:space="preserve">of </w:t>
      </w:r>
      <w:r w:rsidR="00A33C68" w:rsidRPr="002476AD">
        <w:rPr>
          <w:rFonts w:ascii="Arial" w:hAnsi="Arial" w:cs="Arial"/>
          <w:sz w:val="24"/>
          <w:szCs w:val="24"/>
        </w:rPr>
        <w:t xml:space="preserve">the ‘1978 – 1987’ </w:t>
      </w:r>
      <w:r w:rsidR="0086534A" w:rsidRPr="002476AD">
        <w:rPr>
          <w:rFonts w:ascii="Arial" w:hAnsi="Arial" w:cs="Arial"/>
          <w:sz w:val="24"/>
          <w:szCs w:val="24"/>
        </w:rPr>
        <w:t>vaccination</w:t>
      </w:r>
      <w:r w:rsidR="00A33C68" w:rsidRPr="002476AD">
        <w:rPr>
          <w:rFonts w:ascii="Arial" w:hAnsi="Arial" w:cs="Arial"/>
          <w:sz w:val="24"/>
          <w:szCs w:val="24"/>
        </w:rPr>
        <w:t xml:space="preserve"> </w:t>
      </w:r>
      <w:r w:rsidR="0086534A" w:rsidRPr="002476AD">
        <w:rPr>
          <w:rFonts w:ascii="Arial" w:hAnsi="Arial" w:cs="Arial"/>
          <w:sz w:val="24"/>
          <w:szCs w:val="24"/>
        </w:rPr>
        <w:t>group</w:t>
      </w:r>
      <w:r w:rsidR="00B828B0" w:rsidRPr="002476AD">
        <w:rPr>
          <w:rFonts w:ascii="Arial" w:hAnsi="Arial" w:cs="Arial"/>
          <w:sz w:val="24"/>
          <w:szCs w:val="24"/>
        </w:rPr>
        <w:t xml:space="preserve"> </w:t>
      </w:r>
      <w:r w:rsidR="0086534A" w:rsidRPr="002476AD">
        <w:rPr>
          <w:rFonts w:ascii="Arial" w:hAnsi="Arial" w:cs="Arial"/>
          <w:sz w:val="24"/>
          <w:szCs w:val="24"/>
        </w:rPr>
        <w:t xml:space="preserve">suggests the existence of </w:t>
      </w:r>
      <w:r w:rsidR="00A33C68" w:rsidRPr="002476AD">
        <w:rPr>
          <w:rFonts w:ascii="Arial" w:hAnsi="Arial" w:cs="Arial"/>
          <w:sz w:val="24"/>
          <w:szCs w:val="24"/>
        </w:rPr>
        <w:t xml:space="preserve">potential gaps in anti-measles immunity of </w:t>
      </w:r>
      <w:r w:rsidR="0086534A" w:rsidRPr="002476AD">
        <w:rPr>
          <w:rFonts w:ascii="Arial" w:hAnsi="Arial" w:cs="Arial"/>
          <w:sz w:val="24"/>
          <w:szCs w:val="24"/>
        </w:rPr>
        <w:t xml:space="preserve">the population. For mumps and </w:t>
      </w:r>
      <w:r w:rsidR="00A33C68" w:rsidRPr="002476AD">
        <w:rPr>
          <w:rFonts w:ascii="Arial" w:hAnsi="Arial" w:cs="Arial"/>
          <w:sz w:val="24"/>
          <w:szCs w:val="24"/>
        </w:rPr>
        <w:t xml:space="preserve">rubella, our preliminary data suggest </w:t>
      </w:r>
      <w:r w:rsidR="0086534A" w:rsidRPr="002476AD">
        <w:rPr>
          <w:rFonts w:ascii="Arial" w:hAnsi="Arial" w:cs="Arial"/>
          <w:sz w:val="24"/>
          <w:szCs w:val="24"/>
        </w:rPr>
        <w:t xml:space="preserve">satisfactory </w:t>
      </w:r>
      <w:r w:rsidR="00A33C68" w:rsidRPr="002476AD">
        <w:rPr>
          <w:rFonts w:ascii="Arial" w:hAnsi="Arial" w:cs="Arial"/>
          <w:sz w:val="24"/>
          <w:szCs w:val="24"/>
        </w:rPr>
        <w:t>immunity</w:t>
      </w:r>
      <w:r w:rsidR="00A33C68" w:rsidRPr="002D21B6">
        <w:rPr>
          <w:rFonts w:ascii="Arial" w:hAnsi="Arial" w:cs="Arial"/>
          <w:sz w:val="24"/>
          <w:szCs w:val="24"/>
        </w:rPr>
        <w:t xml:space="preserve"> levels</w:t>
      </w:r>
      <w:r w:rsidR="0086534A" w:rsidRPr="002D21B6">
        <w:rPr>
          <w:rFonts w:ascii="Arial" w:hAnsi="Arial" w:cs="Arial"/>
          <w:sz w:val="24"/>
          <w:szCs w:val="24"/>
        </w:rPr>
        <w:t xml:space="preserve">. </w:t>
      </w:r>
      <w:r w:rsidR="00A33C68" w:rsidRPr="002D21B6">
        <w:rPr>
          <w:rFonts w:ascii="Arial" w:hAnsi="Arial" w:cs="Arial"/>
          <w:sz w:val="24"/>
          <w:szCs w:val="24"/>
        </w:rPr>
        <w:t xml:space="preserve">The </w:t>
      </w:r>
      <w:r w:rsidR="00A33C68" w:rsidRPr="002D21B6">
        <w:rPr>
          <w:rFonts w:ascii="Arial" w:hAnsi="Arial" w:cs="Arial"/>
          <w:sz w:val="24"/>
          <w:szCs w:val="24"/>
        </w:rPr>
        <w:lastRenderedPageBreak/>
        <w:t xml:space="preserve">potential gaps in anti-measles immunity warrant </w:t>
      </w:r>
      <w:r w:rsidR="0086534A" w:rsidRPr="002D21B6">
        <w:rPr>
          <w:rFonts w:ascii="Arial" w:hAnsi="Arial" w:cs="Arial"/>
          <w:sz w:val="24"/>
          <w:szCs w:val="24"/>
        </w:rPr>
        <w:t>further large-scale serological screening.</w:t>
      </w:r>
      <w:r w:rsidR="00346D82" w:rsidRPr="002D21B6">
        <w:rPr>
          <w:rFonts w:ascii="Arial" w:hAnsi="Arial" w:cs="Arial"/>
          <w:b/>
          <w:sz w:val="24"/>
          <w:szCs w:val="24"/>
        </w:rPr>
        <w:br w:type="page"/>
      </w:r>
    </w:p>
    <w:p w:rsidR="006E1A60" w:rsidRPr="002D21B6" w:rsidRDefault="006E1A60" w:rsidP="004D158E">
      <w:pPr>
        <w:spacing w:line="480" w:lineRule="auto"/>
        <w:rPr>
          <w:rFonts w:ascii="Arial" w:hAnsi="Arial" w:cs="Arial"/>
          <w:b/>
          <w:sz w:val="24"/>
          <w:szCs w:val="24"/>
        </w:rPr>
      </w:pPr>
      <w:r w:rsidRPr="002D21B6">
        <w:rPr>
          <w:rFonts w:ascii="Arial" w:hAnsi="Arial" w:cs="Arial"/>
          <w:b/>
          <w:sz w:val="24"/>
          <w:szCs w:val="24"/>
        </w:rPr>
        <w:lastRenderedPageBreak/>
        <w:t>Acknowledgements</w:t>
      </w:r>
    </w:p>
    <w:p w:rsidR="00EA6931" w:rsidRPr="002D21B6" w:rsidRDefault="00E35976" w:rsidP="00EA6931">
      <w:pPr>
        <w:spacing w:line="480" w:lineRule="auto"/>
        <w:rPr>
          <w:rFonts w:ascii="Arial" w:hAnsi="Arial" w:cs="Arial"/>
          <w:sz w:val="24"/>
          <w:szCs w:val="24"/>
        </w:rPr>
      </w:pPr>
      <w:r w:rsidRPr="002D21B6">
        <w:rPr>
          <w:rFonts w:ascii="Arial" w:hAnsi="Arial" w:cs="Arial"/>
          <w:sz w:val="24"/>
          <w:szCs w:val="24"/>
        </w:rPr>
        <w:t xml:space="preserve">We thank </w:t>
      </w:r>
      <w:proofErr w:type="spellStart"/>
      <w:r w:rsidRPr="002D21B6">
        <w:rPr>
          <w:rFonts w:ascii="Arial" w:hAnsi="Arial" w:cs="Arial"/>
          <w:sz w:val="24"/>
          <w:szCs w:val="24"/>
        </w:rPr>
        <w:t>Orgentec</w:t>
      </w:r>
      <w:proofErr w:type="spellEnd"/>
      <w:r w:rsidRPr="002D21B6">
        <w:rPr>
          <w:rFonts w:ascii="Arial" w:hAnsi="Arial" w:cs="Arial"/>
          <w:sz w:val="24"/>
          <w:szCs w:val="24"/>
        </w:rPr>
        <w:t xml:space="preserve"> Hungary and </w:t>
      </w:r>
      <w:proofErr w:type="spellStart"/>
      <w:r w:rsidRPr="002D21B6">
        <w:rPr>
          <w:rFonts w:ascii="Arial" w:hAnsi="Arial" w:cs="Arial"/>
          <w:sz w:val="24"/>
          <w:szCs w:val="24"/>
        </w:rPr>
        <w:t>Biomedica</w:t>
      </w:r>
      <w:proofErr w:type="spellEnd"/>
      <w:r w:rsidRPr="002D21B6">
        <w:rPr>
          <w:rFonts w:ascii="Arial" w:hAnsi="Arial" w:cs="Arial"/>
          <w:sz w:val="24"/>
          <w:szCs w:val="24"/>
        </w:rPr>
        <w:t xml:space="preserve"> Hungary for </w:t>
      </w:r>
      <w:r w:rsidR="0076358B" w:rsidRPr="002D21B6">
        <w:rPr>
          <w:rFonts w:ascii="Arial" w:hAnsi="Arial" w:cs="Arial"/>
          <w:sz w:val="24"/>
          <w:szCs w:val="24"/>
        </w:rPr>
        <w:t>providing us</w:t>
      </w:r>
      <w:r w:rsidRPr="002D21B6">
        <w:rPr>
          <w:rFonts w:ascii="Arial" w:hAnsi="Arial" w:cs="Arial"/>
          <w:sz w:val="24"/>
          <w:szCs w:val="24"/>
        </w:rPr>
        <w:t xml:space="preserve"> the Siemens BEP and </w:t>
      </w:r>
      <w:proofErr w:type="spellStart"/>
      <w:r w:rsidRPr="002D21B6">
        <w:rPr>
          <w:rFonts w:ascii="Arial" w:hAnsi="Arial" w:cs="Arial"/>
          <w:sz w:val="24"/>
          <w:szCs w:val="24"/>
        </w:rPr>
        <w:t>ETImax</w:t>
      </w:r>
      <w:proofErr w:type="spellEnd"/>
      <w:r w:rsidRPr="002D21B6">
        <w:rPr>
          <w:rFonts w:ascii="Arial" w:hAnsi="Arial" w:cs="Arial"/>
          <w:sz w:val="24"/>
          <w:szCs w:val="24"/>
        </w:rPr>
        <w:t xml:space="preserve"> automated </w:t>
      </w:r>
      <w:r w:rsidR="003550AF" w:rsidRPr="002D21B6">
        <w:rPr>
          <w:rFonts w:ascii="Arial" w:hAnsi="Arial" w:cs="Arial"/>
          <w:sz w:val="24"/>
          <w:szCs w:val="24"/>
        </w:rPr>
        <w:t>systems for use in this study</w:t>
      </w:r>
      <w:r w:rsidRPr="002D21B6">
        <w:rPr>
          <w:rFonts w:ascii="Arial" w:hAnsi="Arial" w:cs="Arial"/>
          <w:sz w:val="24"/>
          <w:szCs w:val="24"/>
        </w:rPr>
        <w:t>.</w:t>
      </w:r>
      <w:r w:rsidR="002776C8" w:rsidRPr="002D21B6">
        <w:rPr>
          <w:rFonts w:ascii="Arial" w:hAnsi="Arial" w:cs="Arial"/>
          <w:sz w:val="24"/>
          <w:szCs w:val="24"/>
        </w:rPr>
        <w:t xml:space="preserve"> </w:t>
      </w:r>
      <w:r w:rsidR="00B85400" w:rsidRPr="002D21B6">
        <w:rPr>
          <w:rFonts w:ascii="Arial" w:hAnsi="Arial" w:cs="Arial"/>
          <w:sz w:val="24"/>
          <w:szCs w:val="24"/>
        </w:rPr>
        <w:t xml:space="preserve">We thank </w:t>
      </w:r>
      <w:proofErr w:type="spellStart"/>
      <w:r w:rsidR="00EA6931" w:rsidRPr="002D21B6">
        <w:rPr>
          <w:rFonts w:ascii="Arial" w:hAnsi="Arial" w:cs="Arial"/>
          <w:sz w:val="24"/>
          <w:szCs w:val="24"/>
        </w:rPr>
        <w:t>Dr</w:t>
      </w:r>
      <w:r w:rsidR="00893C76" w:rsidRPr="002D21B6">
        <w:rPr>
          <w:rFonts w:ascii="Arial" w:hAnsi="Arial" w:cs="Arial"/>
          <w:sz w:val="24"/>
          <w:szCs w:val="24"/>
        </w:rPr>
        <w:t>.</w:t>
      </w:r>
      <w:proofErr w:type="spellEnd"/>
      <w:r w:rsidR="00EA6931" w:rsidRPr="002D21B6">
        <w:rPr>
          <w:rFonts w:ascii="Arial" w:hAnsi="Arial" w:cs="Arial"/>
          <w:sz w:val="24"/>
          <w:szCs w:val="24"/>
        </w:rPr>
        <w:t xml:space="preserve"> </w:t>
      </w:r>
      <w:proofErr w:type="spellStart"/>
      <w:r w:rsidR="00EA6931" w:rsidRPr="002D21B6">
        <w:rPr>
          <w:rFonts w:ascii="Arial" w:hAnsi="Arial" w:cs="Arial"/>
          <w:sz w:val="24"/>
          <w:szCs w:val="24"/>
        </w:rPr>
        <w:t>Zsuzsanna</w:t>
      </w:r>
      <w:proofErr w:type="spellEnd"/>
      <w:r w:rsidR="00EA6931" w:rsidRPr="002D21B6">
        <w:rPr>
          <w:rFonts w:ascii="Arial" w:hAnsi="Arial" w:cs="Arial"/>
          <w:sz w:val="24"/>
          <w:szCs w:val="24"/>
        </w:rPr>
        <w:t xml:space="preserve"> </w:t>
      </w:r>
      <w:proofErr w:type="spellStart"/>
      <w:r w:rsidR="00EA6931" w:rsidRPr="002D21B6">
        <w:rPr>
          <w:rFonts w:ascii="Arial" w:hAnsi="Arial" w:cs="Arial"/>
          <w:sz w:val="24"/>
          <w:szCs w:val="24"/>
        </w:rPr>
        <w:t>Moln</w:t>
      </w:r>
      <w:r w:rsidR="00B85400" w:rsidRPr="002D21B6">
        <w:rPr>
          <w:rFonts w:ascii="Arial" w:hAnsi="Arial" w:cs="Arial"/>
          <w:sz w:val="24"/>
          <w:szCs w:val="24"/>
        </w:rPr>
        <w:t>á</w:t>
      </w:r>
      <w:r w:rsidR="00EA6931" w:rsidRPr="002D21B6">
        <w:rPr>
          <w:rFonts w:ascii="Arial" w:hAnsi="Arial" w:cs="Arial"/>
          <w:sz w:val="24"/>
          <w:szCs w:val="24"/>
        </w:rPr>
        <w:t>r</w:t>
      </w:r>
      <w:proofErr w:type="spellEnd"/>
      <w:r w:rsidR="00EA6931" w:rsidRPr="002D21B6">
        <w:rPr>
          <w:rFonts w:ascii="Arial" w:hAnsi="Arial" w:cs="Arial"/>
          <w:sz w:val="24"/>
          <w:szCs w:val="24"/>
        </w:rPr>
        <w:t xml:space="preserve">, </w:t>
      </w:r>
      <w:proofErr w:type="spellStart"/>
      <w:r w:rsidR="00EA6931" w:rsidRPr="002D21B6">
        <w:rPr>
          <w:rFonts w:ascii="Arial" w:hAnsi="Arial" w:cs="Arial"/>
          <w:sz w:val="24"/>
          <w:szCs w:val="24"/>
        </w:rPr>
        <w:t>Dr</w:t>
      </w:r>
      <w:r w:rsidR="00893C76" w:rsidRPr="002D21B6">
        <w:rPr>
          <w:rFonts w:ascii="Arial" w:hAnsi="Arial" w:cs="Arial"/>
          <w:sz w:val="24"/>
          <w:szCs w:val="24"/>
        </w:rPr>
        <w:t>.</w:t>
      </w:r>
      <w:proofErr w:type="spellEnd"/>
      <w:r w:rsidR="00EA6931" w:rsidRPr="002D21B6">
        <w:rPr>
          <w:rFonts w:ascii="Arial" w:hAnsi="Arial" w:cs="Arial"/>
          <w:sz w:val="24"/>
          <w:szCs w:val="24"/>
        </w:rPr>
        <w:t xml:space="preserve"> </w:t>
      </w:r>
      <w:r w:rsidR="00B85400" w:rsidRPr="002D21B6">
        <w:rPr>
          <w:rFonts w:ascii="Arial" w:hAnsi="Arial" w:cs="Arial"/>
          <w:sz w:val="24"/>
          <w:szCs w:val="24"/>
        </w:rPr>
        <w:t xml:space="preserve">Gabriella Kiss, and </w:t>
      </w:r>
      <w:proofErr w:type="spellStart"/>
      <w:r w:rsidR="00B85400" w:rsidRPr="002D21B6">
        <w:rPr>
          <w:rFonts w:ascii="Arial" w:hAnsi="Arial" w:cs="Arial"/>
          <w:sz w:val="24"/>
          <w:szCs w:val="24"/>
        </w:rPr>
        <w:t>Dr</w:t>
      </w:r>
      <w:r w:rsidR="00893C76" w:rsidRPr="002D21B6">
        <w:rPr>
          <w:rFonts w:ascii="Arial" w:hAnsi="Arial" w:cs="Arial"/>
          <w:sz w:val="24"/>
          <w:szCs w:val="24"/>
        </w:rPr>
        <w:t>.</w:t>
      </w:r>
      <w:proofErr w:type="spellEnd"/>
      <w:r w:rsidR="00B85400" w:rsidRPr="002D21B6">
        <w:rPr>
          <w:rFonts w:ascii="Arial" w:hAnsi="Arial" w:cs="Arial"/>
          <w:sz w:val="24"/>
          <w:szCs w:val="24"/>
        </w:rPr>
        <w:t xml:space="preserve"> Andrea </w:t>
      </w:r>
      <w:proofErr w:type="spellStart"/>
      <w:r w:rsidR="00B85400" w:rsidRPr="002D21B6">
        <w:rPr>
          <w:rFonts w:ascii="Arial" w:hAnsi="Arial" w:cs="Arial"/>
          <w:sz w:val="24"/>
          <w:szCs w:val="24"/>
        </w:rPr>
        <w:t>Kulcsár</w:t>
      </w:r>
      <w:proofErr w:type="spellEnd"/>
      <w:r w:rsidR="00B85400" w:rsidRPr="002D21B6">
        <w:rPr>
          <w:rFonts w:ascii="Arial" w:hAnsi="Arial" w:cs="Arial"/>
          <w:sz w:val="24"/>
          <w:szCs w:val="24"/>
        </w:rPr>
        <w:t xml:space="preserve"> for their valuable advice.</w:t>
      </w:r>
    </w:p>
    <w:p w:rsidR="00EA6931" w:rsidRPr="002D21B6" w:rsidRDefault="00EA6931" w:rsidP="00EE7D57">
      <w:pPr>
        <w:spacing w:line="480" w:lineRule="auto"/>
        <w:rPr>
          <w:rFonts w:ascii="Arial" w:hAnsi="Arial" w:cs="Arial"/>
          <w:sz w:val="24"/>
          <w:szCs w:val="24"/>
        </w:rPr>
      </w:pPr>
    </w:p>
    <w:p w:rsidR="00EE7D57" w:rsidRPr="002D21B6" w:rsidRDefault="00EE7D57" w:rsidP="00EE7D57">
      <w:pPr>
        <w:spacing w:line="480" w:lineRule="auto"/>
        <w:rPr>
          <w:rFonts w:ascii="Arial" w:hAnsi="Arial" w:cs="Arial"/>
          <w:b/>
          <w:sz w:val="24"/>
          <w:szCs w:val="24"/>
        </w:rPr>
      </w:pPr>
      <w:r w:rsidRPr="002D21B6">
        <w:rPr>
          <w:rFonts w:ascii="Arial" w:hAnsi="Arial" w:cs="Arial"/>
          <w:b/>
          <w:sz w:val="24"/>
          <w:szCs w:val="24"/>
        </w:rPr>
        <w:t>Conflicts of interest</w:t>
      </w:r>
    </w:p>
    <w:p w:rsidR="000164EC" w:rsidRPr="002D21B6" w:rsidRDefault="00F5193B" w:rsidP="00780058">
      <w:pPr>
        <w:spacing w:line="480" w:lineRule="auto"/>
        <w:rPr>
          <w:rFonts w:ascii="Arial" w:hAnsi="Arial" w:cs="Arial"/>
          <w:sz w:val="24"/>
          <w:szCs w:val="24"/>
        </w:rPr>
      </w:pPr>
      <w:r w:rsidRPr="002D21B6">
        <w:rPr>
          <w:rFonts w:ascii="Arial" w:hAnsi="Arial" w:cs="Arial"/>
          <w:sz w:val="24"/>
          <w:szCs w:val="24"/>
        </w:rPr>
        <w:t>None declared.</w:t>
      </w:r>
    </w:p>
    <w:p w:rsidR="00144595" w:rsidRPr="002D21B6" w:rsidRDefault="00144595" w:rsidP="00EE7D57">
      <w:pPr>
        <w:spacing w:line="480" w:lineRule="auto"/>
        <w:rPr>
          <w:rFonts w:ascii="Arial" w:hAnsi="Arial" w:cs="Arial"/>
          <w:b/>
          <w:sz w:val="24"/>
          <w:szCs w:val="24"/>
        </w:rPr>
      </w:pPr>
    </w:p>
    <w:p w:rsidR="00E35976" w:rsidRPr="002D21B6" w:rsidRDefault="00EE7D57" w:rsidP="00EE7D57">
      <w:pPr>
        <w:spacing w:line="480" w:lineRule="auto"/>
        <w:rPr>
          <w:rFonts w:ascii="Arial" w:hAnsi="Arial" w:cs="Arial"/>
          <w:b/>
          <w:sz w:val="24"/>
          <w:szCs w:val="24"/>
        </w:rPr>
      </w:pPr>
      <w:r w:rsidRPr="002D21B6">
        <w:rPr>
          <w:rFonts w:ascii="Arial" w:hAnsi="Arial" w:cs="Arial"/>
          <w:b/>
          <w:sz w:val="24"/>
          <w:szCs w:val="24"/>
        </w:rPr>
        <w:t>Funding</w:t>
      </w:r>
      <w:r w:rsidR="00E35976" w:rsidRPr="002D21B6">
        <w:rPr>
          <w:rFonts w:ascii="Arial" w:hAnsi="Arial" w:cs="Arial"/>
          <w:b/>
          <w:sz w:val="24"/>
          <w:szCs w:val="24"/>
        </w:rPr>
        <w:t xml:space="preserve"> </w:t>
      </w:r>
    </w:p>
    <w:p w:rsidR="00A230F9" w:rsidRPr="002D21B6" w:rsidRDefault="00E35976" w:rsidP="00EE7D57">
      <w:pPr>
        <w:spacing w:line="480" w:lineRule="auto"/>
        <w:rPr>
          <w:rFonts w:ascii="Arial" w:hAnsi="Arial" w:cs="Arial"/>
          <w:sz w:val="24"/>
          <w:szCs w:val="24"/>
        </w:rPr>
      </w:pPr>
      <w:r w:rsidRPr="002D21B6">
        <w:rPr>
          <w:rFonts w:ascii="Arial" w:hAnsi="Arial" w:cs="Arial"/>
          <w:sz w:val="24"/>
          <w:szCs w:val="24"/>
        </w:rPr>
        <w:t>This work was supported by the New National Excellence Program</w:t>
      </w:r>
      <w:r w:rsidR="00E4409D" w:rsidRPr="002D21B6">
        <w:rPr>
          <w:rFonts w:ascii="Arial" w:hAnsi="Arial" w:cs="Arial"/>
          <w:sz w:val="24"/>
          <w:szCs w:val="24"/>
        </w:rPr>
        <w:t>me</w:t>
      </w:r>
      <w:r w:rsidRPr="002D21B6">
        <w:rPr>
          <w:rFonts w:ascii="Arial" w:hAnsi="Arial" w:cs="Arial"/>
          <w:sz w:val="24"/>
          <w:szCs w:val="24"/>
        </w:rPr>
        <w:t xml:space="preserve"> of the Ministry of Human Capacities, Hungary (ÚNKP-18-3).</w:t>
      </w:r>
      <w:r w:rsidR="00A230F9" w:rsidRPr="002D21B6">
        <w:rPr>
          <w:rFonts w:ascii="Arial" w:hAnsi="Arial" w:cs="Arial"/>
          <w:sz w:val="24"/>
          <w:szCs w:val="24"/>
        </w:rPr>
        <w:br w:type="page"/>
      </w:r>
    </w:p>
    <w:p w:rsidR="00AC5251" w:rsidRDefault="003B2D67" w:rsidP="00C2139D">
      <w:pPr>
        <w:spacing w:line="480" w:lineRule="auto"/>
        <w:rPr>
          <w:rFonts w:ascii="Arial" w:hAnsi="Arial" w:cs="Arial"/>
          <w:sz w:val="24"/>
          <w:szCs w:val="24"/>
        </w:rPr>
      </w:pPr>
      <w:proofErr w:type="gramStart"/>
      <w:r w:rsidRPr="002D21B6">
        <w:rPr>
          <w:rFonts w:ascii="Arial" w:hAnsi="Arial" w:cs="Arial"/>
          <w:b/>
          <w:bCs/>
          <w:sz w:val="24"/>
          <w:szCs w:val="24"/>
        </w:rPr>
        <w:lastRenderedPageBreak/>
        <w:t>Figure 1.</w:t>
      </w:r>
      <w:proofErr w:type="gramEnd"/>
      <w:r w:rsidRPr="002D21B6">
        <w:rPr>
          <w:rFonts w:ascii="Arial" w:hAnsi="Arial" w:cs="Arial"/>
          <w:b/>
          <w:bCs/>
          <w:sz w:val="24"/>
          <w:szCs w:val="24"/>
        </w:rPr>
        <w:t xml:space="preserve"> Measles and MMR vaccination schedules</w:t>
      </w:r>
      <w:r w:rsidR="00790A27" w:rsidRPr="002D21B6">
        <w:rPr>
          <w:rFonts w:ascii="Arial" w:hAnsi="Arial" w:cs="Arial"/>
          <w:b/>
          <w:bCs/>
          <w:sz w:val="24"/>
          <w:szCs w:val="24"/>
        </w:rPr>
        <w:t xml:space="preserve"> in Hungary.</w:t>
      </w:r>
      <w:r w:rsidR="00CF78DE" w:rsidRPr="002D21B6">
        <w:rPr>
          <w:rFonts w:ascii="Arial" w:hAnsi="Arial" w:cs="Arial"/>
          <w:b/>
          <w:bCs/>
          <w:sz w:val="24"/>
          <w:szCs w:val="24"/>
        </w:rPr>
        <w:t xml:space="preserve"> </w:t>
      </w:r>
      <w:r w:rsidRPr="002D21B6">
        <w:rPr>
          <w:rFonts w:ascii="Arial" w:hAnsi="Arial" w:cs="Arial"/>
          <w:sz w:val="24"/>
          <w:szCs w:val="24"/>
        </w:rPr>
        <w:t xml:space="preserve">Serum samples were collected from all age groups (excluding neonates), and were categorized based on changes introduced in measles and MMR immunization schedules. </w:t>
      </w:r>
      <w:r w:rsidR="0072547C" w:rsidRPr="002D21B6">
        <w:rPr>
          <w:rFonts w:ascii="Arial" w:hAnsi="Arial" w:cs="Arial"/>
          <w:sz w:val="24"/>
          <w:szCs w:val="24"/>
        </w:rPr>
        <w:t xml:space="preserve">Grey, shaded rectangles indicate measles </w:t>
      </w:r>
      <w:r w:rsidR="00F70912" w:rsidRPr="002D21B6">
        <w:rPr>
          <w:rFonts w:ascii="Arial" w:hAnsi="Arial" w:cs="Arial"/>
          <w:sz w:val="24"/>
          <w:szCs w:val="24"/>
        </w:rPr>
        <w:t>outbreaks,</w:t>
      </w:r>
      <w:r w:rsidR="0072547C" w:rsidRPr="002D21B6">
        <w:rPr>
          <w:rFonts w:ascii="Arial" w:hAnsi="Arial" w:cs="Arial"/>
          <w:sz w:val="24"/>
          <w:szCs w:val="24"/>
        </w:rPr>
        <w:t xml:space="preserve"> b</w:t>
      </w:r>
      <w:r w:rsidRPr="002D21B6">
        <w:rPr>
          <w:rFonts w:ascii="Arial" w:hAnsi="Arial" w:cs="Arial"/>
          <w:sz w:val="24"/>
          <w:szCs w:val="24"/>
        </w:rPr>
        <w:t xml:space="preserve">lack squares </w:t>
      </w:r>
      <w:r w:rsidR="0072547C" w:rsidRPr="002D21B6">
        <w:rPr>
          <w:rFonts w:ascii="Arial" w:hAnsi="Arial" w:cs="Arial"/>
          <w:sz w:val="24"/>
          <w:szCs w:val="24"/>
        </w:rPr>
        <w:t xml:space="preserve">show </w:t>
      </w:r>
      <w:r w:rsidRPr="002D21B6">
        <w:rPr>
          <w:rFonts w:ascii="Arial" w:hAnsi="Arial" w:cs="Arial"/>
          <w:sz w:val="24"/>
          <w:szCs w:val="24"/>
        </w:rPr>
        <w:t xml:space="preserve">the recommended </w:t>
      </w:r>
      <w:r w:rsidR="00096133" w:rsidRPr="002D21B6">
        <w:rPr>
          <w:rFonts w:ascii="Arial" w:hAnsi="Arial" w:cs="Arial"/>
          <w:sz w:val="24"/>
          <w:szCs w:val="24"/>
        </w:rPr>
        <w:t xml:space="preserve">age </w:t>
      </w:r>
      <w:r w:rsidRPr="002D21B6">
        <w:rPr>
          <w:rFonts w:ascii="Arial" w:hAnsi="Arial" w:cs="Arial"/>
          <w:sz w:val="24"/>
          <w:szCs w:val="24"/>
        </w:rPr>
        <w:t xml:space="preserve">of the first dose of vaccine. </w:t>
      </w:r>
      <w:r w:rsidR="0072547C" w:rsidRPr="002D21B6">
        <w:rPr>
          <w:rFonts w:ascii="Arial" w:hAnsi="Arial" w:cs="Arial"/>
          <w:sz w:val="24"/>
          <w:szCs w:val="24"/>
        </w:rPr>
        <w:t>Grey dotted lines mark the most important milestones of the vaccination schedule (introduction of reminder vaccines, changes between m</w:t>
      </w:r>
      <w:r w:rsidR="009B24A4" w:rsidRPr="002D21B6">
        <w:rPr>
          <w:rFonts w:ascii="Arial" w:hAnsi="Arial" w:cs="Arial"/>
          <w:sz w:val="24"/>
          <w:szCs w:val="24"/>
        </w:rPr>
        <w:t>ono-,</w:t>
      </w:r>
      <w:r w:rsidR="00F70912" w:rsidRPr="002D21B6">
        <w:rPr>
          <w:rFonts w:ascii="Arial" w:hAnsi="Arial" w:cs="Arial"/>
          <w:sz w:val="24"/>
          <w:szCs w:val="24"/>
        </w:rPr>
        <w:t xml:space="preserve"> bi- and tri</w:t>
      </w:r>
      <w:r w:rsidR="0072547C" w:rsidRPr="002D21B6">
        <w:rPr>
          <w:rFonts w:ascii="Arial" w:hAnsi="Arial" w:cs="Arial"/>
          <w:sz w:val="24"/>
          <w:szCs w:val="24"/>
        </w:rPr>
        <w:t xml:space="preserve">valent inoculum). </w:t>
      </w:r>
      <w:r w:rsidR="00096133" w:rsidRPr="002D21B6">
        <w:rPr>
          <w:rFonts w:ascii="Arial" w:hAnsi="Arial" w:cs="Arial"/>
          <w:sz w:val="24"/>
          <w:szCs w:val="24"/>
        </w:rPr>
        <w:t>Further details are described in Table 1.</w:t>
      </w:r>
    </w:p>
    <w:p w:rsidR="00F63087" w:rsidRPr="002D21B6" w:rsidRDefault="00F63087" w:rsidP="00C2139D">
      <w:pPr>
        <w:spacing w:line="480" w:lineRule="auto"/>
        <w:rPr>
          <w:rFonts w:ascii="Arial" w:hAnsi="Arial" w:cs="Arial"/>
          <w:b/>
          <w:bCs/>
          <w:sz w:val="24"/>
          <w:szCs w:val="24"/>
        </w:rPr>
      </w:pPr>
    </w:p>
    <w:p w:rsidR="00B8433D" w:rsidRDefault="00790A27" w:rsidP="00C2139D">
      <w:pPr>
        <w:spacing w:line="480" w:lineRule="auto"/>
        <w:rPr>
          <w:rFonts w:ascii="Arial" w:hAnsi="Arial" w:cs="Arial"/>
          <w:sz w:val="24"/>
          <w:szCs w:val="24"/>
        </w:rPr>
      </w:pPr>
      <w:proofErr w:type="gramStart"/>
      <w:r w:rsidRPr="002D21B6">
        <w:rPr>
          <w:rFonts w:ascii="Arial" w:hAnsi="Arial" w:cs="Arial"/>
          <w:b/>
          <w:bCs/>
          <w:sz w:val="24"/>
          <w:szCs w:val="24"/>
        </w:rPr>
        <w:t>Figure 2.</w:t>
      </w:r>
      <w:proofErr w:type="gramEnd"/>
      <w:r w:rsidRPr="002D21B6">
        <w:rPr>
          <w:rFonts w:ascii="Arial" w:hAnsi="Arial" w:cs="Arial"/>
          <w:b/>
          <w:bCs/>
          <w:sz w:val="24"/>
          <w:szCs w:val="24"/>
        </w:rPr>
        <w:t xml:space="preserve"> Schematic representation of the plate layout used for </w:t>
      </w:r>
      <w:r w:rsidR="005F1259" w:rsidRPr="002D21B6">
        <w:rPr>
          <w:rFonts w:ascii="Arial" w:hAnsi="Arial" w:cs="Arial"/>
          <w:b/>
          <w:bCs/>
          <w:sz w:val="24"/>
          <w:szCs w:val="24"/>
        </w:rPr>
        <w:t xml:space="preserve">the ‘three-in-one’ </w:t>
      </w:r>
      <w:r w:rsidRPr="002D21B6">
        <w:rPr>
          <w:rFonts w:ascii="Arial" w:hAnsi="Arial" w:cs="Arial"/>
          <w:b/>
          <w:bCs/>
          <w:sz w:val="24"/>
          <w:szCs w:val="24"/>
        </w:rPr>
        <w:t>ELISA.</w:t>
      </w:r>
      <w:r w:rsidR="00CF78DE" w:rsidRPr="002D21B6">
        <w:rPr>
          <w:rFonts w:ascii="Arial" w:hAnsi="Arial" w:cs="Arial"/>
          <w:b/>
          <w:bCs/>
          <w:sz w:val="24"/>
          <w:szCs w:val="24"/>
        </w:rPr>
        <w:t xml:space="preserve"> </w:t>
      </w:r>
      <w:r w:rsidR="00B8433D" w:rsidRPr="002D21B6">
        <w:rPr>
          <w:rFonts w:ascii="Arial" w:hAnsi="Arial" w:cs="Arial"/>
          <w:sz w:val="24"/>
          <w:szCs w:val="24"/>
        </w:rPr>
        <w:t>ELISA 96-well plates were divided lengthwise into three equal parts and each third was coated with the appropriate antigen. Assay parameters were optimized to enable equal conditions and common reagents for each antigen type.</w:t>
      </w:r>
    </w:p>
    <w:p w:rsidR="00F63087" w:rsidRPr="002D21B6" w:rsidRDefault="00F63087" w:rsidP="00C2139D">
      <w:pPr>
        <w:spacing w:line="480" w:lineRule="auto"/>
        <w:rPr>
          <w:rFonts w:ascii="Arial" w:hAnsi="Arial" w:cs="Arial"/>
          <w:b/>
          <w:bCs/>
          <w:sz w:val="24"/>
          <w:szCs w:val="24"/>
        </w:rPr>
      </w:pPr>
    </w:p>
    <w:p w:rsidR="00C37D23" w:rsidRDefault="00513D76" w:rsidP="00C37D23">
      <w:pPr>
        <w:spacing w:line="480" w:lineRule="auto"/>
        <w:rPr>
          <w:rFonts w:ascii="Arial" w:hAnsi="Arial" w:cs="Arial"/>
          <w:b/>
          <w:sz w:val="24"/>
          <w:szCs w:val="24"/>
        </w:rPr>
      </w:pPr>
      <w:proofErr w:type="gramStart"/>
      <w:r w:rsidRPr="002D21B6">
        <w:rPr>
          <w:rFonts w:ascii="Arial" w:hAnsi="Arial" w:cs="Arial"/>
          <w:b/>
          <w:sz w:val="24"/>
          <w:szCs w:val="24"/>
        </w:rPr>
        <w:t>Fig</w:t>
      </w:r>
      <w:r w:rsidR="00593C95" w:rsidRPr="002D21B6">
        <w:rPr>
          <w:rFonts w:ascii="Arial" w:hAnsi="Arial" w:cs="Arial"/>
          <w:b/>
          <w:sz w:val="24"/>
          <w:szCs w:val="24"/>
        </w:rPr>
        <w:t>ure</w:t>
      </w:r>
      <w:r w:rsidRPr="002D21B6">
        <w:rPr>
          <w:rFonts w:ascii="Arial" w:hAnsi="Arial" w:cs="Arial"/>
          <w:b/>
          <w:sz w:val="24"/>
          <w:szCs w:val="24"/>
        </w:rPr>
        <w:t xml:space="preserve"> </w:t>
      </w:r>
      <w:r w:rsidR="008C232F" w:rsidRPr="002D21B6">
        <w:rPr>
          <w:rFonts w:ascii="Arial" w:hAnsi="Arial" w:cs="Arial"/>
          <w:b/>
          <w:sz w:val="24"/>
          <w:szCs w:val="24"/>
        </w:rPr>
        <w:t>3</w:t>
      </w:r>
      <w:r w:rsidR="00A230F9" w:rsidRPr="002D21B6">
        <w:rPr>
          <w:rFonts w:ascii="Arial" w:hAnsi="Arial" w:cs="Arial"/>
          <w:b/>
          <w:sz w:val="24"/>
          <w:szCs w:val="24"/>
        </w:rPr>
        <w:t>.</w:t>
      </w:r>
      <w:proofErr w:type="gramEnd"/>
      <w:r w:rsidR="00A230F9" w:rsidRPr="002D21B6">
        <w:rPr>
          <w:rFonts w:ascii="Arial" w:hAnsi="Arial" w:cs="Arial"/>
          <w:b/>
          <w:sz w:val="24"/>
          <w:szCs w:val="24"/>
        </w:rPr>
        <w:t xml:space="preserve"> </w:t>
      </w:r>
      <w:proofErr w:type="gramStart"/>
      <w:r w:rsidR="00130C1E" w:rsidRPr="002D21B6">
        <w:rPr>
          <w:rFonts w:ascii="Arial" w:hAnsi="Arial" w:cs="Arial"/>
          <w:b/>
          <w:bCs/>
          <w:sz w:val="24"/>
          <w:szCs w:val="24"/>
        </w:rPr>
        <w:t xml:space="preserve">Comparison of whole virus </w:t>
      </w:r>
      <w:r w:rsidR="00A230F9" w:rsidRPr="002D21B6">
        <w:rPr>
          <w:rFonts w:ascii="Arial" w:hAnsi="Arial" w:cs="Arial"/>
          <w:b/>
          <w:bCs/>
          <w:sz w:val="24"/>
          <w:szCs w:val="24"/>
        </w:rPr>
        <w:t>versus recombinant viral antigen-based ELISA coatings</w:t>
      </w:r>
      <w:r w:rsidR="00EC33F3" w:rsidRPr="002D21B6">
        <w:rPr>
          <w:rFonts w:ascii="Arial" w:hAnsi="Arial" w:cs="Arial"/>
          <w:b/>
          <w:sz w:val="24"/>
          <w:szCs w:val="24"/>
        </w:rPr>
        <w:t>.</w:t>
      </w:r>
      <w:proofErr w:type="gramEnd"/>
      <w:r w:rsidRPr="002D21B6">
        <w:rPr>
          <w:rFonts w:ascii="Arial" w:hAnsi="Arial" w:cs="Arial"/>
          <w:b/>
          <w:sz w:val="24"/>
          <w:szCs w:val="24"/>
        </w:rPr>
        <w:t xml:space="preserve"> </w:t>
      </w:r>
      <w:r w:rsidR="00E11184" w:rsidRPr="002D21B6">
        <w:rPr>
          <w:rFonts w:ascii="Arial" w:hAnsi="Arial" w:cs="Arial"/>
          <w:sz w:val="24"/>
          <w:szCs w:val="24"/>
        </w:rPr>
        <w:t>Bland-</w:t>
      </w:r>
      <w:r w:rsidR="009962B9" w:rsidRPr="002D21B6">
        <w:rPr>
          <w:rFonts w:ascii="Arial" w:hAnsi="Arial" w:cs="Arial"/>
          <w:sz w:val="24"/>
          <w:szCs w:val="24"/>
        </w:rPr>
        <w:t>Altman graphs</w:t>
      </w:r>
      <w:r w:rsidR="00014D9F" w:rsidRPr="002D21B6">
        <w:rPr>
          <w:rFonts w:ascii="Arial" w:hAnsi="Arial" w:cs="Arial"/>
          <w:sz w:val="24"/>
          <w:szCs w:val="24"/>
        </w:rPr>
        <w:t xml:space="preserve"> display</w:t>
      </w:r>
      <w:r w:rsidR="009962B9" w:rsidRPr="002D21B6">
        <w:rPr>
          <w:rFonts w:ascii="Arial" w:hAnsi="Arial" w:cs="Arial"/>
          <w:sz w:val="24"/>
          <w:szCs w:val="24"/>
        </w:rPr>
        <w:t xml:space="preserve"> </w:t>
      </w:r>
      <w:r w:rsidR="00014D9F" w:rsidRPr="002D21B6">
        <w:rPr>
          <w:rFonts w:ascii="Arial" w:hAnsi="Arial" w:cs="Arial"/>
          <w:sz w:val="24"/>
          <w:szCs w:val="24"/>
        </w:rPr>
        <w:t>scatter diagram</w:t>
      </w:r>
      <w:r w:rsidR="009962B9" w:rsidRPr="002D21B6">
        <w:rPr>
          <w:rFonts w:ascii="Arial" w:hAnsi="Arial" w:cs="Arial"/>
          <w:sz w:val="24"/>
          <w:szCs w:val="24"/>
        </w:rPr>
        <w:t>s</w:t>
      </w:r>
      <w:r w:rsidR="00014D9F" w:rsidRPr="002D21B6">
        <w:rPr>
          <w:rFonts w:ascii="Arial" w:hAnsi="Arial" w:cs="Arial"/>
          <w:sz w:val="24"/>
          <w:szCs w:val="24"/>
        </w:rPr>
        <w:t xml:space="preserve"> of the ratios plotted against the averages of the two </w:t>
      </w:r>
      <w:r w:rsidR="00E11184" w:rsidRPr="002D21B6">
        <w:rPr>
          <w:rFonts w:ascii="Arial" w:hAnsi="Arial" w:cs="Arial"/>
          <w:sz w:val="24"/>
          <w:szCs w:val="24"/>
        </w:rPr>
        <w:t xml:space="preserve">types of </w:t>
      </w:r>
      <w:r w:rsidR="00014D9F" w:rsidRPr="002D21B6">
        <w:rPr>
          <w:rFonts w:ascii="Arial" w:hAnsi="Arial" w:cs="Arial"/>
          <w:sz w:val="24"/>
          <w:szCs w:val="24"/>
        </w:rPr>
        <w:t xml:space="preserve">measurements. </w:t>
      </w:r>
      <w:r w:rsidR="006D48B6" w:rsidRPr="002D21B6">
        <w:rPr>
          <w:rFonts w:ascii="Arial" w:hAnsi="Arial" w:cs="Arial"/>
          <w:sz w:val="24"/>
          <w:szCs w:val="24"/>
        </w:rPr>
        <w:t xml:space="preserve">Sample number = 28 </w:t>
      </w:r>
      <w:r w:rsidR="00092020" w:rsidRPr="002D21B6">
        <w:rPr>
          <w:rFonts w:ascii="Arial" w:hAnsi="Arial" w:cs="Arial"/>
          <w:sz w:val="24"/>
          <w:szCs w:val="24"/>
        </w:rPr>
        <w:t>(</w:t>
      </w:r>
      <w:r w:rsidR="006D48B6" w:rsidRPr="002D21B6">
        <w:rPr>
          <w:rFonts w:ascii="Arial" w:hAnsi="Arial" w:cs="Arial"/>
          <w:sz w:val="24"/>
          <w:szCs w:val="24"/>
        </w:rPr>
        <w:t>duplicates of the dilution series of positive and negative sample pools and quadruplicates of the dilution series of standards</w:t>
      </w:r>
      <w:r w:rsidR="00092020" w:rsidRPr="002D21B6">
        <w:rPr>
          <w:rFonts w:ascii="Arial" w:hAnsi="Arial" w:cs="Arial"/>
          <w:sz w:val="24"/>
          <w:szCs w:val="24"/>
        </w:rPr>
        <w:t>)</w:t>
      </w:r>
      <w:r w:rsidR="006D48B6" w:rsidRPr="002D21B6">
        <w:rPr>
          <w:rFonts w:ascii="Arial" w:hAnsi="Arial" w:cs="Arial"/>
          <w:sz w:val="24"/>
          <w:szCs w:val="24"/>
        </w:rPr>
        <w:t xml:space="preserve">. </w:t>
      </w:r>
      <w:r w:rsidR="00014D9F" w:rsidRPr="002D21B6">
        <w:rPr>
          <w:rFonts w:ascii="Arial" w:hAnsi="Arial" w:cs="Arial"/>
          <w:sz w:val="24"/>
          <w:szCs w:val="24"/>
        </w:rPr>
        <w:t>Limits of agreement (</w:t>
      </w:r>
      <w:proofErr w:type="spellStart"/>
      <w:r w:rsidR="00014D9F" w:rsidRPr="002D21B6">
        <w:rPr>
          <w:rFonts w:ascii="Arial" w:hAnsi="Arial" w:cs="Arial"/>
          <w:sz w:val="24"/>
          <w:szCs w:val="24"/>
        </w:rPr>
        <w:t>LoA</w:t>
      </w:r>
      <w:proofErr w:type="spellEnd"/>
      <w:r w:rsidR="00014D9F" w:rsidRPr="002D21B6">
        <w:rPr>
          <w:rFonts w:ascii="Arial" w:hAnsi="Arial" w:cs="Arial"/>
          <w:sz w:val="24"/>
          <w:szCs w:val="24"/>
        </w:rPr>
        <w:t xml:space="preserve">) are defined as the mean difference ± 1.96 SD (95% confidence interval). Since data points do not exceed the maximum allowed difference between methods (dotted brown lines), and no </w:t>
      </w:r>
      <w:r w:rsidR="00A36865" w:rsidRPr="002D21B6">
        <w:rPr>
          <w:rFonts w:ascii="Arial" w:hAnsi="Arial" w:cs="Arial"/>
          <w:sz w:val="24"/>
          <w:szCs w:val="24"/>
        </w:rPr>
        <w:t xml:space="preserve">pronounced trend is observable, </w:t>
      </w:r>
      <w:r w:rsidR="00014D9F" w:rsidRPr="002D21B6">
        <w:rPr>
          <w:rFonts w:ascii="Arial" w:hAnsi="Arial" w:cs="Arial"/>
          <w:sz w:val="24"/>
          <w:szCs w:val="24"/>
        </w:rPr>
        <w:t>the two methods (t</w:t>
      </w:r>
      <w:r w:rsidR="00E11184" w:rsidRPr="002D21B6">
        <w:rPr>
          <w:rFonts w:ascii="Arial" w:hAnsi="Arial" w:cs="Arial"/>
          <w:sz w:val="24"/>
          <w:szCs w:val="24"/>
        </w:rPr>
        <w:t>arget: total antigen repertoire-</w:t>
      </w:r>
      <w:r w:rsidR="00014D9F" w:rsidRPr="002D21B6">
        <w:rPr>
          <w:rFonts w:ascii="Arial" w:hAnsi="Arial" w:cs="Arial"/>
          <w:sz w:val="24"/>
          <w:szCs w:val="24"/>
        </w:rPr>
        <w:t xml:space="preserve">based </w:t>
      </w:r>
      <w:r w:rsidR="00014D9F" w:rsidRPr="002D21B6">
        <w:rPr>
          <w:rFonts w:ascii="Arial" w:hAnsi="Arial" w:cs="Arial"/>
          <w:sz w:val="24"/>
          <w:szCs w:val="24"/>
        </w:rPr>
        <w:lastRenderedPageBreak/>
        <w:t xml:space="preserve">coating </w:t>
      </w:r>
      <w:r w:rsidR="00895054" w:rsidRPr="002D21B6">
        <w:rPr>
          <w:rFonts w:ascii="Arial" w:hAnsi="Arial" w:cs="Arial"/>
          <w:sz w:val="24"/>
          <w:szCs w:val="24"/>
        </w:rPr>
        <w:t>versus</w:t>
      </w:r>
      <w:r w:rsidR="00E11184" w:rsidRPr="002D21B6">
        <w:rPr>
          <w:rFonts w:ascii="Arial" w:hAnsi="Arial" w:cs="Arial"/>
          <w:sz w:val="24"/>
          <w:szCs w:val="24"/>
        </w:rPr>
        <w:t xml:space="preserve"> control: recombinant antigen-</w:t>
      </w:r>
      <w:r w:rsidR="00014D9F" w:rsidRPr="002D21B6">
        <w:rPr>
          <w:rFonts w:ascii="Arial" w:hAnsi="Arial" w:cs="Arial"/>
          <w:sz w:val="24"/>
          <w:szCs w:val="24"/>
        </w:rPr>
        <w:t xml:space="preserve">based coating) are in agreement and </w:t>
      </w:r>
      <w:r w:rsidR="00E11184" w:rsidRPr="002D21B6">
        <w:rPr>
          <w:rFonts w:ascii="Arial" w:hAnsi="Arial" w:cs="Arial"/>
          <w:sz w:val="24"/>
          <w:szCs w:val="24"/>
        </w:rPr>
        <w:t>can</w:t>
      </w:r>
      <w:r w:rsidR="00014D9F" w:rsidRPr="002D21B6">
        <w:rPr>
          <w:rFonts w:ascii="Arial" w:hAnsi="Arial" w:cs="Arial"/>
          <w:sz w:val="24"/>
          <w:szCs w:val="24"/>
        </w:rPr>
        <w:t xml:space="preserve"> be used interchangeably</w:t>
      </w:r>
      <w:r w:rsidR="00CF78DE" w:rsidRPr="002D21B6">
        <w:rPr>
          <w:rFonts w:ascii="Arial" w:hAnsi="Arial" w:cs="Arial"/>
          <w:sz w:val="24"/>
          <w:szCs w:val="24"/>
        </w:rPr>
        <w:t>.</w:t>
      </w:r>
      <w:r w:rsidR="00C37D23" w:rsidRPr="002D21B6">
        <w:rPr>
          <w:rFonts w:ascii="Arial" w:hAnsi="Arial" w:cs="Arial"/>
          <w:b/>
          <w:sz w:val="24"/>
          <w:szCs w:val="24"/>
        </w:rPr>
        <w:t xml:space="preserve"> </w:t>
      </w:r>
    </w:p>
    <w:p w:rsidR="00F63087" w:rsidRPr="002D21B6" w:rsidRDefault="00F63087" w:rsidP="00C37D23">
      <w:pPr>
        <w:spacing w:line="480" w:lineRule="auto"/>
        <w:rPr>
          <w:rFonts w:ascii="Arial" w:hAnsi="Arial" w:cs="Arial"/>
          <w:b/>
          <w:sz w:val="24"/>
          <w:szCs w:val="24"/>
        </w:rPr>
      </w:pPr>
    </w:p>
    <w:p w:rsidR="001C6D90" w:rsidRDefault="00C37D23" w:rsidP="006D48B6">
      <w:pPr>
        <w:spacing w:line="480" w:lineRule="auto"/>
        <w:rPr>
          <w:rFonts w:ascii="Arial" w:hAnsi="Arial" w:cs="Arial"/>
          <w:sz w:val="24"/>
          <w:szCs w:val="24"/>
        </w:rPr>
      </w:pPr>
      <w:proofErr w:type="gramStart"/>
      <w:r w:rsidRPr="002D21B6">
        <w:rPr>
          <w:rFonts w:ascii="Arial" w:hAnsi="Arial" w:cs="Arial"/>
          <w:b/>
          <w:sz w:val="24"/>
          <w:szCs w:val="24"/>
        </w:rPr>
        <w:t>Figure 4.</w:t>
      </w:r>
      <w:proofErr w:type="gramEnd"/>
      <w:r w:rsidRPr="002D21B6">
        <w:rPr>
          <w:rFonts w:ascii="Arial" w:hAnsi="Arial" w:cs="Arial"/>
          <w:b/>
          <w:sz w:val="24"/>
          <w:szCs w:val="24"/>
        </w:rPr>
        <w:t xml:space="preserve"> Cohen's kappa analysis of plate-to-plate measurements </w:t>
      </w:r>
      <w:r w:rsidRPr="002D21B6">
        <w:rPr>
          <w:rFonts w:ascii="Arial" w:hAnsi="Arial" w:cs="Arial"/>
          <w:sz w:val="24"/>
          <w:szCs w:val="24"/>
        </w:rPr>
        <w:t xml:space="preserve">(N </w:t>
      </w:r>
      <w:proofErr w:type="spellStart"/>
      <w:r w:rsidRPr="002D21B6">
        <w:rPr>
          <w:rFonts w:ascii="Arial" w:hAnsi="Arial" w:cs="Arial"/>
          <w:sz w:val="24"/>
          <w:szCs w:val="24"/>
          <w:vertAlign w:val="subscript"/>
        </w:rPr>
        <w:t>Novalisa</w:t>
      </w:r>
      <w:proofErr w:type="spellEnd"/>
      <w:r w:rsidRPr="002D21B6">
        <w:rPr>
          <w:rFonts w:ascii="Arial" w:hAnsi="Arial" w:cs="Arial"/>
          <w:sz w:val="24"/>
          <w:szCs w:val="24"/>
          <w:vertAlign w:val="subscript"/>
        </w:rPr>
        <w:t xml:space="preserve">, Immunolab, </w:t>
      </w:r>
      <w:proofErr w:type="spellStart"/>
      <w:r w:rsidRPr="002D21B6">
        <w:rPr>
          <w:rFonts w:ascii="Arial" w:hAnsi="Arial" w:cs="Arial"/>
          <w:sz w:val="24"/>
          <w:szCs w:val="24"/>
          <w:vertAlign w:val="subscript"/>
        </w:rPr>
        <w:t>Vircell</w:t>
      </w:r>
      <w:proofErr w:type="spellEnd"/>
      <w:r w:rsidRPr="002D21B6">
        <w:rPr>
          <w:rFonts w:ascii="Arial" w:hAnsi="Arial" w:cs="Arial"/>
          <w:sz w:val="24"/>
          <w:szCs w:val="24"/>
        </w:rPr>
        <w:t xml:space="preserve">= 84, N </w:t>
      </w:r>
      <w:r w:rsidRPr="002D21B6">
        <w:rPr>
          <w:rFonts w:ascii="Arial" w:hAnsi="Arial" w:cs="Arial"/>
          <w:sz w:val="24"/>
          <w:szCs w:val="24"/>
          <w:vertAlign w:val="subscript"/>
        </w:rPr>
        <w:t xml:space="preserve">Virotech, </w:t>
      </w:r>
      <w:proofErr w:type="spellStart"/>
      <w:r w:rsidRPr="002D21B6">
        <w:rPr>
          <w:rFonts w:ascii="Arial" w:hAnsi="Arial" w:cs="Arial"/>
          <w:sz w:val="24"/>
          <w:szCs w:val="24"/>
          <w:vertAlign w:val="subscript"/>
        </w:rPr>
        <w:t>DiaPro</w:t>
      </w:r>
      <w:proofErr w:type="spellEnd"/>
      <w:r w:rsidR="00E316B0">
        <w:rPr>
          <w:rFonts w:ascii="Arial" w:hAnsi="Arial" w:cs="Arial"/>
          <w:sz w:val="24"/>
          <w:szCs w:val="24"/>
        </w:rPr>
        <w:t xml:space="preserve">= 80, </w:t>
      </w:r>
      <w:r w:rsidRPr="002D21B6">
        <w:rPr>
          <w:rFonts w:ascii="Arial" w:hAnsi="Arial" w:cs="Arial"/>
          <w:sz w:val="24"/>
          <w:szCs w:val="24"/>
        </w:rPr>
        <w:t xml:space="preserve">N </w:t>
      </w:r>
      <w:proofErr w:type="spellStart"/>
      <w:r w:rsidRPr="002D21B6">
        <w:rPr>
          <w:rFonts w:ascii="Arial" w:hAnsi="Arial" w:cs="Arial"/>
          <w:sz w:val="24"/>
          <w:szCs w:val="24"/>
          <w:vertAlign w:val="subscript"/>
        </w:rPr>
        <w:t>Euroimmun</w:t>
      </w:r>
      <w:proofErr w:type="spellEnd"/>
      <w:r w:rsidRPr="002D21B6">
        <w:rPr>
          <w:rFonts w:ascii="Arial" w:hAnsi="Arial" w:cs="Arial"/>
          <w:sz w:val="24"/>
          <w:szCs w:val="24"/>
        </w:rPr>
        <w:t xml:space="preserve"> = 88, N </w:t>
      </w:r>
      <w:proofErr w:type="spellStart"/>
      <w:r w:rsidRPr="002D21B6">
        <w:rPr>
          <w:rFonts w:ascii="Arial" w:hAnsi="Arial" w:cs="Arial"/>
          <w:sz w:val="24"/>
          <w:szCs w:val="24"/>
          <w:vertAlign w:val="subscript"/>
        </w:rPr>
        <w:t>Serion</w:t>
      </w:r>
      <w:proofErr w:type="spellEnd"/>
      <w:r w:rsidRPr="002D21B6">
        <w:rPr>
          <w:rFonts w:ascii="Arial" w:hAnsi="Arial" w:cs="Arial"/>
          <w:sz w:val="24"/>
          <w:szCs w:val="24"/>
          <w:vertAlign w:val="subscript"/>
        </w:rPr>
        <w:t xml:space="preserve">, Enzygnost </w:t>
      </w:r>
      <w:r w:rsidRPr="002D21B6">
        <w:rPr>
          <w:rFonts w:ascii="Arial" w:hAnsi="Arial" w:cs="Arial"/>
          <w:sz w:val="24"/>
          <w:szCs w:val="24"/>
        </w:rPr>
        <w:t>= 90 samples).</w:t>
      </w:r>
      <w:r w:rsidR="005E46A7" w:rsidRPr="002D21B6">
        <w:t xml:space="preserve"> </w:t>
      </w:r>
      <w:r w:rsidR="00D9540B" w:rsidRPr="002D21B6">
        <w:rPr>
          <w:rFonts w:ascii="Arial" w:hAnsi="Arial" w:cs="Arial"/>
          <w:sz w:val="24"/>
          <w:szCs w:val="24"/>
        </w:rPr>
        <w:t>The</w:t>
      </w:r>
      <w:r w:rsidR="00D9540B" w:rsidRPr="002D21B6">
        <w:t xml:space="preserve"> </w:t>
      </w:r>
      <w:r w:rsidR="00D9540B" w:rsidRPr="002D21B6">
        <w:rPr>
          <w:rFonts w:ascii="Arial" w:hAnsi="Arial" w:cs="Arial"/>
          <w:sz w:val="24"/>
          <w:szCs w:val="24"/>
        </w:rPr>
        <w:t>m</w:t>
      </w:r>
      <w:r w:rsidR="005E46A7" w:rsidRPr="002D21B6">
        <w:rPr>
          <w:rFonts w:ascii="Arial" w:hAnsi="Arial" w:cs="Arial"/>
          <w:sz w:val="24"/>
          <w:szCs w:val="24"/>
        </w:rPr>
        <w:t>easure</w:t>
      </w:r>
      <w:r w:rsidR="00E316B0">
        <w:rPr>
          <w:rFonts w:ascii="Arial" w:hAnsi="Arial" w:cs="Arial"/>
          <w:sz w:val="24"/>
          <w:szCs w:val="24"/>
        </w:rPr>
        <w:t>s</w:t>
      </w:r>
      <w:r w:rsidR="005E46A7" w:rsidRPr="002D21B6">
        <w:rPr>
          <w:rFonts w:ascii="Arial" w:hAnsi="Arial" w:cs="Arial"/>
          <w:sz w:val="24"/>
          <w:szCs w:val="24"/>
        </w:rPr>
        <w:t xml:space="preserve"> of agreement describing the inter-rater reliability varied between ‘</w:t>
      </w:r>
      <w:r w:rsidR="00991DE6">
        <w:rPr>
          <w:rFonts w:ascii="Arial" w:hAnsi="Arial" w:cs="Arial"/>
          <w:sz w:val="24"/>
          <w:szCs w:val="24"/>
        </w:rPr>
        <w:t>substantial</w:t>
      </w:r>
      <w:r w:rsidR="005E46A7" w:rsidRPr="002D21B6">
        <w:rPr>
          <w:rFonts w:ascii="Arial" w:hAnsi="Arial" w:cs="Arial"/>
          <w:sz w:val="24"/>
          <w:szCs w:val="24"/>
        </w:rPr>
        <w:t>’ and ‘almost perfect’.</w:t>
      </w:r>
    </w:p>
    <w:p w:rsidR="00F63087" w:rsidRPr="002D21B6" w:rsidRDefault="00F63087" w:rsidP="006D48B6">
      <w:pPr>
        <w:spacing w:line="480" w:lineRule="auto"/>
        <w:rPr>
          <w:rFonts w:ascii="Arial" w:hAnsi="Arial" w:cs="Arial"/>
          <w:sz w:val="24"/>
          <w:szCs w:val="24"/>
        </w:rPr>
      </w:pPr>
    </w:p>
    <w:p w:rsidR="00392883" w:rsidRDefault="00F4502A" w:rsidP="00B80587">
      <w:pPr>
        <w:spacing w:line="480" w:lineRule="auto"/>
        <w:rPr>
          <w:rFonts w:ascii="Arial" w:hAnsi="Arial" w:cs="Arial"/>
          <w:sz w:val="24"/>
          <w:szCs w:val="24"/>
        </w:rPr>
      </w:pPr>
      <w:proofErr w:type="gramStart"/>
      <w:r w:rsidRPr="002D21B6">
        <w:rPr>
          <w:rFonts w:ascii="Arial" w:hAnsi="Arial" w:cs="Arial"/>
          <w:b/>
          <w:sz w:val="24"/>
          <w:szCs w:val="24"/>
        </w:rPr>
        <w:t xml:space="preserve">Figure </w:t>
      </w:r>
      <w:r w:rsidR="008C232F" w:rsidRPr="002D21B6">
        <w:rPr>
          <w:rFonts w:ascii="Arial" w:hAnsi="Arial" w:cs="Arial"/>
          <w:b/>
          <w:sz w:val="24"/>
          <w:szCs w:val="24"/>
        </w:rPr>
        <w:t>5</w:t>
      </w:r>
      <w:r w:rsidRPr="002D21B6">
        <w:rPr>
          <w:rFonts w:ascii="Arial" w:hAnsi="Arial" w:cs="Arial"/>
          <w:b/>
          <w:sz w:val="24"/>
          <w:szCs w:val="24"/>
        </w:rPr>
        <w:t>.</w:t>
      </w:r>
      <w:proofErr w:type="gramEnd"/>
      <w:r w:rsidRPr="002D21B6">
        <w:rPr>
          <w:rFonts w:ascii="Arial" w:hAnsi="Arial" w:cs="Arial"/>
          <w:b/>
          <w:sz w:val="24"/>
          <w:szCs w:val="24"/>
        </w:rPr>
        <w:t xml:space="preserve"> </w:t>
      </w:r>
      <w:r w:rsidR="0027370C" w:rsidRPr="002D21B6">
        <w:rPr>
          <w:rFonts w:ascii="Arial" w:hAnsi="Arial" w:cs="Arial"/>
          <w:b/>
          <w:sz w:val="24"/>
          <w:szCs w:val="24"/>
        </w:rPr>
        <w:t>Typica</w:t>
      </w:r>
      <w:r w:rsidR="00047E8D" w:rsidRPr="002D21B6">
        <w:rPr>
          <w:rFonts w:ascii="Arial" w:hAnsi="Arial" w:cs="Arial"/>
          <w:b/>
          <w:sz w:val="24"/>
          <w:szCs w:val="24"/>
        </w:rPr>
        <w:t xml:space="preserve">l standard curves of MMR assay. </w:t>
      </w:r>
      <w:r w:rsidR="0027370C" w:rsidRPr="002D21B6">
        <w:rPr>
          <w:rFonts w:ascii="Arial" w:hAnsi="Arial" w:cs="Arial"/>
          <w:sz w:val="24"/>
          <w:szCs w:val="24"/>
        </w:rPr>
        <w:t>Sigmoid dose-response curves of the dilution series of the standards were generated with optimal data fitting (R</w:t>
      </w:r>
      <w:r w:rsidR="0027370C" w:rsidRPr="002D21B6">
        <w:rPr>
          <w:rFonts w:ascii="Arial" w:hAnsi="Arial" w:cs="Arial"/>
          <w:sz w:val="24"/>
          <w:szCs w:val="24"/>
          <w:vertAlign w:val="superscript"/>
        </w:rPr>
        <w:t xml:space="preserve">2 </w:t>
      </w:r>
      <w:r w:rsidR="0027370C" w:rsidRPr="002D21B6">
        <w:rPr>
          <w:rFonts w:ascii="Arial" w:hAnsi="Arial" w:cs="Arial"/>
          <w:sz w:val="24"/>
          <w:szCs w:val="24"/>
        </w:rPr>
        <w:t>≥ 0.9</w:t>
      </w:r>
      <w:r w:rsidR="00DB0923" w:rsidRPr="002D21B6">
        <w:rPr>
          <w:rFonts w:ascii="Arial" w:hAnsi="Arial" w:cs="Arial"/>
          <w:sz w:val="24"/>
          <w:szCs w:val="24"/>
        </w:rPr>
        <w:t>7</w:t>
      </w:r>
      <w:r w:rsidR="0027370C" w:rsidRPr="002D21B6">
        <w:rPr>
          <w:rFonts w:ascii="Arial" w:hAnsi="Arial" w:cs="Arial"/>
          <w:sz w:val="24"/>
          <w:szCs w:val="24"/>
        </w:rPr>
        <w:t xml:space="preserve">). </w:t>
      </w:r>
      <w:r w:rsidR="00C04D9C" w:rsidRPr="002D21B6">
        <w:rPr>
          <w:rFonts w:ascii="Arial" w:hAnsi="Arial" w:cs="Arial"/>
          <w:sz w:val="24"/>
          <w:szCs w:val="24"/>
        </w:rPr>
        <w:t>Absorbance values are plotted in function of relative dilution (1/ dilution).</w:t>
      </w:r>
      <w:r w:rsidR="0027370C" w:rsidRPr="002D21B6">
        <w:rPr>
          <w:rFonts w:ascii="Arial" w:hAnsi="Arial" w:cs="Arial"/>
          <w:sz w:val="24"/>
          <w:szCs w:val="24"/>
        </w:rPr>
        <w:t>These curves serve as the base for the conve</w:t>
      </w:r>
      <w:r w:rsidR="00B544F3" w:rsidRPr="002D21B6">
        <w:rPr>
          <w:rFonts w:ascii="Arial" w:hAnsi="Arial" w:cs="Arial"/>
          <w:sz w:val="24"/>
          <w:szCs w:val="24"/>
        </w:rPr>
        <w:t>rsion of OD values to units/</w:t>
      </w:r>
      <w:proofErr w:type="spellStart"/>
      <w:r w:rsidR="0027370C" w:rsidRPr="002D21B6">
        <w:rPr>
          <w:rFonts w:ascii="Arial" w:hAnsi="Arial" w:cs="Arial"/>
          <w:sz w:val="24"/>
          <w:szCs w:val="24"/>
        </w:rPr>
        <w:t>mL.</w:t>
      </w:r>
      <w:proofErr w:type="spellEnd"/>
      <w:r w:rsidR="0027370C" w:rsidRPr="002D21B6">
        <w:rPr>
          <w:rFonts w:ascii="Arial" w:hAnsi="Arial" w:cs="Arial"/>
          <w:sz w:val="24"/>
          <w:szCs w:val="24"/>
        </w:rPr>
        <w:t xml:space="preserve"> Rectangles show the optimal serum dilutions (200-fold) used in the final assay format.</w:t>
      </w:r>
    </w:p>
    <w:p w:rsidR="00F63087" w:rsidRPr="002D21B6" w:rsidRDefault="00F63087" w:rsidP="00B80587">
      <w:pPr>
        <w:spacing w:line="480" w:lineRule="auto"/>
        <w:rPr>
          <w:rFonts w:ascii="Arial" w:hAnsi="Arial" w:cs="Arial"/>
          <w:sz w:val="24"/>
          <w:szCs w:val="24"/>
        </w:rPr>
      </w:pPr>
    </w:p>
    <w:p w:rsidR="00662457" w:rsidRPr="002D21B6" w:rsidRDefault="00876046" w:rsidP="00B80587">
      <w:pPr>
        <w:spacing w:line="480" w:lineRule="auto"/>
        <w:rPr>
          <w:rFonts w:ascii="Arial" w:hAnsi="Arial" w:cs="Arial"/>
          <w:sz w:val="24"/>
          <w:szCs w:val="24"/>
        </w:rPr>
      </w:pPr>
      <w:proofErr w:type="gramStart"/>
      <w:r w:rsidRPr="002D21B6">
        <w:rPr>
          <w:rFonts w:ascii="Arial" w:hAnsi="Arial" w:cs="Arial"/>
          <w:b/>
          <w:sz w:val="24"/>
          <w:szCs w:val="24"/>
        </w:rPr>
        <w:t>Figure 6.</w:t>
      </w:r>
      <w:proofErr w:type="gramEnd"/>
      <w:r w:rsidR="00F85E91" w:rsidRPr="002D21B6">
        <w:rPr>
          <w:rFonts w:ascii="Arial" w:hAnsi="Arial" w:cs="Arial"/>
          <w:b/>
          <w:sz w:val="24"/>
          <w:szCs w:val="24"/>
        </w:rPr>
        <w:t xml:space="preserve"> (A) Comparison of assay p</w:t>
      </w:r>
      <w:r w:rsidRPr="002D21B6">
        <w:rPr>
          <w:rFonts w:ascii="Arial" w:hAnsi="Arial" w:cs="Arial"/>
          <w:b/>
          <w:sz w:val="24"/>
          <w:szCs w:val="24"/>
        </w:rPr>
        <w:t>rices</w:t>
      </w:r>
      <w:r w:rsidR="00F85E91" w:rsidRPr="002D21B6">
        <w:rPr>
          <w:rFonts w:ascii="Arial" w:hAnsi="Arial" w:cs="Arial"/>
          <w:b/>
          <w:sz w:val="24"/>
          <w:szCs w:val="24"/>
        </w:rPr>
        <w:t xml:space="preserve"> (commercial kits) and </w:t>
      </w:r>
      <w:r w:rsidRPr="002D21B6">
        <w:rPr>
          <w:rFonts w:ascii="Arial" w:hAnsi="Arial" w:cs="Arial"/>
          <w:b/>
          <w:sz w:val="24"/>
          <w:szCs w:val="24"/>
        </w:rPr>
        <w:t xml:space="preserve">costs </w:t>
      </w:r>
      <w:r w:rsidR="00F85E91" w:rsidRPr="002D21B6">
        <w:rPr>
          <w:rFonts w:ascii="Arial" w:hAnsi="Arial" w:cs="Arial"/>
          <w:b/>
          <w:sz w:val="24"/>
          <w:szCs w:val="24"/>
        </w:rPr>
        <w:t>(our test)</w:t>
      </w:r>
      <w:r w:rsidRPr="002D21B6">
        <w:rPr>
          <w:rFonts w:ascii="Arial" w:hAnsi="Arial" w:cs="Arial"/>
          <w:b/>
          <w:sz w:val="24"/>
          <w:szCs w:val="24"/>
        </w:rPr>
        <w:t xml:space="preserve"> </w:t>
      </w:r>
      <w:r w:rsidR="00F85E91" w:rsidRPr="002D21B6">
        <w:rPr>
          <w:rFonts w:ascii="Arial" w:hAnsi="Arial" w:cs="Arial"/>
          <w:b/>
          <w:sz w:val="24"/>
          <w:szCs w:val="24"/>
        </w:rPr>
        <w:t>expressed in Euros, (B) Ratios of assay prices: “average price” commercial kits versus our test expressed in percentages.</w:t>
      </w:r>
      <w:r w:rsidR="00CF78DE" w:rsidRPr="002D21B6">
        <w:rPr>
          <w:rFonts w:ascii="Arial" w:hAnsi="Arial" w:cs="Arial"/>
          <w:b/>
          <w:sz w:val="24"/>
          <w:szCs w:val="24"/>
        </w:rPr>
        <w:t xml:space="preserve"> </w:t>
      </w:r>
      <w:r w:rsidR="00CF78DE" w:rsidRPr="002D21B6">
        <w:rPr>
          <w:rFonts w:ascii="Arial" w:hAnsi="Arial" w:cs="Arial"/>
          <w:sz w:val="24"/>
          <w:szCs w:val="24"/>
        </w:rPr>
        <w:t>The average price of commercial kits was calculated base</w:t>
      </w:r>
      <w:r w:rsidR="00651ED5">
        <w:rPr>
          <w:rFonts w:ascii="Arial" w:hAnsi="Arial" w:cs="Arial"/>
          <w:sz w:val="24"/>
          <w:szCs w:val="24"/>
        </w:rPr>
        <w:t>d on</w:t>
      </w:r>
      <w:r w:rsidR="00CF78DE" w:rsidRPr="002D21B6">
        <w:rPr>
          <w:rFonts w:ascii="Arial" w:hAnsi="Arial" w:cs="Arial"/>
          <w:sz w:val="24"/>
          <w:szCs w:val="24"/>
        </w:rPr>
        <w:t xml:space="preserve"> the Hungarian distributor prices (VAT included), and </w:t>
      </w:r>
      <w:r w:rsidR="004D7347">
        <w:rPr>
          <w:rFonts w:ascii="Arial" w:hAnsi="Arial" w:cs="Arial"/>
          <w:sz w:val="24"/>
          <w:szCs w:val="24"/>
        </w:rPr>
        <w:t xml:space="preserve">included only </w:t>
      </w:r>
      <w:r w:rsidR="00CF78DE" w:rsidRPr="002D21B6">
        <w:rPr>
          <w:rFonts w:ascii="Arial" w:hAnsi="Arial" w:cs="Arial"/>
          <w:sz w:val="24"/>
          <w:szCs w:val="24"/>
        </w:rPr>
        <w:t>those assays that we applied during the optimization and the test-to-test comparisons</w:t>
      </w:r>
      <w:r w:rsidR="00F86903" w:rsidRPr="002D21B6">
        <w:rPr>
          <w:rFonts w:ascii="Arial" w:hAnsi="Arial" w:cs="Arial"/>
          <w:sz w:val="24"/>
          <w:szCs w:val="24"/>
        </w:rPr>
        <w:t xml:space="preserve"> </w:t>
      </w:r>
      <w:r w:rsidR="00F86903" w:rsidRPr="00D55CD7">
        <w:rPr>
          <w:rFonts w:ascii="Arial" w:hAnsi="Arial" w:cs="Arial"/>
          <w:sz w:val="24"/>
          <w:szCs w:val="24"/>
        </w:rPr>
        <w:t>(Materials and methods)</w:t>
      </w:r>
      <w:r w:rsidR="00CF78DE" w:rsidRPr="00D55CD7">
        <w:rPr>
          <w:rFonts w:ascii="Arial" w:hAnsi="Arial" w:cs="Arial"/>
          <w:sz w:val="24"/>
          <w:szCs w:val="24"/>
        </w:rPr>
        <w:t>.</w:t>
      </w:r>
      <w:r w:rsidR="00CF78DE" w:rsidRPr="002D21B6">
        <w:rPr>
          <w:rFonts w:ascii="Arial" w:hAnsi="Arial" w:cs="Arial"/>
          <w:sz w:val="24"/>
          <w:szCs w:val="24"/>
        </w:rPr>
        <w:t xml:space="preserve"> Siemens Enzygnost assays –</w:t>
      </w:r>
      <w:r w:rsidR="00E63225">
        <w:rPr>
          <w:rFonts w:ascii="Arial" w:hAnsi="Arial" w:cs="Arial"/>
          <w:sz w:val="24"/>
          <w:szCs w:val="24"/>
        </w:rPr>
        <w:t xml:space="preserve"> </w:t>
      </w:r>
      <w:r w:rsidR="00CF78DE" w:rsidRPr="002D21B6">
        <w:rPr>
          <w:rFonts w:ascii="Arial" w:hAnsi="Arial" w:cs="Arial"/>
          <w:sz w:val="24"/>
          <w:szCs w:val="24"/>
        </w:rPr>
        <w:t xml:space="preserve">belonging to a higher price-range </w:t>
      </w:r>
      <w:r w:rsidR="00E63225" w:rsidRPr="002D21B6">
        <w:rPr>
          <w:rFonts w:ascii="Arial" w:hAnsi="Arial" w:cs="Arial"/>
          <w:sz w:val="24"/>
          <w:szCs w:val="24"/>
        </w:rPr>
        <w:t>–</w:t>
      </w:r>
      <w:r w:rsidR="00E63225">
        <w:rPr>
          <w:rFonts w:ascii="Arial" w:hAnsi="Arial" w:cs="Arial"/>
          <w:sz w:val="24"/>
          <w:szCs w:val="24"/>
        </w:rPr>
        <w:t xml:space="preserve"> </w:t>
      </w:r>
      <w:r w:rsidR="00CF78DE" w:rsidRPr="002D21B6">
        <w:rPr>
          <w:rFonts w:ascii="Arial" w:hAnsi="Arial" w:cs="Arial"/>
          <w:sz w:val="24"/>
          <w:szCs w:val="24"/>
        </w:rPr>
        <w:t>were excluded from the calculation.</w:t>
      </w:r>
      <w:r w:rsidR="00A751A9" w:rsidRPr="002D21B6">
        <w:rPr>
          <w:rFonts w:ascii="Arial" w:hAnsi="Arial" w:cs="Arial"/>
          <w:sz w:val="24"/>
          <w:szCs w:val="24"/>
        </w:rPr>
        <w:t xml:space="preserve"> </w:t>
      </w:r>
    </w:p>
    <w:p w:rsidR="00F63087" w:rsidRDefault="00F63087" w:rsidP="00B80587">
      <w:pPr>
        <w:spacing w:line="480" w:lineRule="auto"/>
        <w:rPr>
          <w:rFonts w:ascii="Arial" w:hAnsi="Arial" w:cs="Arial"/>
          <w:b/>
          <w:sz w:val="24"/>
          <w:szCs w:val="24"/>
        </w:rPr>
      </w:pPr>
    </w:p>
    <w:p w:rsidR="00392883" w:rsidRDefault="00392883" w:rsidP="00B80587">
      <w:pPr>
        <w:spacing w:line="480" w:lineRule="auto"/>
        <w:rPr>
          <w:rFonts w:ascii="Arial" w:hAnsi="Arial" w:cs="Arial"/>
          <w:sz w:val="24"/>
          <w:szCs w:val="24"/>
        </w:rPr>
      </w:pPr>
      <w:proofErr w:type="gramStart"/>
      <w:r w:rsidRPr="002D21B6">
        <w:rPr>
          <w:rFonts w:ascii="Arial" w:hAnsi="Arial" w:cs="Arial"/>
          <w:b/>
          <w:sz w:val="24"/>
          <w:szCs w:val="24"/>
        </w:rPr>
        <w:t>Figure 7.</w:t>
      </w:r>
      <w:proofErr w:type="gramEnd"/>
      <w:r w:rsidR="00F842D0" w:rsidRPr="002D21B6">
        <w:rPr>
          <w:rFonts w:ascii="Arial" w:hAnsi="Arial" w:cs="Arial"/>
          <w:b/>
          <w:sz w:val="24"/>
          <w:szCs w:val="24"/>
        </w:rPr>
        <w:t xml:space="preserve"> Comparison of incubation times of our test </w:t>
      </w:r>
      <w:r w:rsidR="00407738" w:rsidRPr="002D21B6">
        <w:rPr>
          <w:rFonts w:ascii="Arial" w:hAnsi="Arial" w:cs="Arial"/>
          <w:b/>
          <w:sz w:val="24"/>
          <w:szCs w:val="24"/>
        </w:rPr>
        <w:t xml:space="preserve">(3-in-1 MMR) </w:t>
      </w:r>
      <w:r w:rsidR="00F842D0" w:rsidRPr="002D21B6">
        <w:rPr>
          <w:rFonts w:ascii="Arial" w:hAnsi="Arial" w:cs="Arial"/>
          <w:b/>
          <w:sz w:val="24"/>
          <w:szCs w:val="24"/>
        </w:rPr>
        <w:t>to different commercial kits</w:t>
      </w:r>
      <w:r w:rsidR="00656442" w:rsidRPr="002D21B6">
        <w:rPr>
          <w:rFonts w:ascii="Arial" w:hAnsi="Arial" w:cs="Arial"/>
          <w:b/>
          <w:sz w:val="24"/>
          <w:szCs w:val="24"/>
        </w:rPr>
        <w:t>.</w:t>
      </w:r>
      <w:r w:rsidR="00407738" w:rsidRPr="002D21B6">
        <w:rPr>
          <w:rFonts w:ascii="Arial" w:hAnsi="Arial" w:cs="Arial"/>
          <w:b/>
          <w:sz w:val="24"/>
          <w:szCs w:val="24"/>
        </w:rPr>
        <w:t xml:space="preserve"> </w:t>
      </w:r>
      <w:r w:rsidR="00407738" w:rsidRPr="002D21B6">
        <w:rPr>
          <w:rFonts w:ascii="Arial" w:hAnsi="Arial" w:cs="Arial"/>
          <w:sz w:val="24"/>
          <w:szCs w:val="24"/>
        </w:rPr>
        <w:t>(</w:t>
      </w:r>
      <w:proofErr w:type="gramStart"/>
      <w:r w:rsidR="00407738" w:rsidRPr="002D21B6">
        <w:rPr>
          <w:rFonts w:ascii="Arial" w:hAnsi="Arial" w:cs="Arial"/>
          <w:sz w:val="24"/>
          <w:szCs w:val="24"/>
        </w:rPr>
        <w:t>me</w:t>
      </w:r>
      <w:proofErr w:type="gramEnd"/>
      <w:r w:rsidR="00407738" w:rsidRPr="002D21B6">
        <w:rPr>
          <w:rFonts w:ascii="Arial" w:hAnsi="Arial" w:cs="Arial"/>
          <w:sz w:val="24"/>
          <w:szCs w:val="24"/>
        </w:rPr>
        <w:t xml:space="preserve"> = measles, mu = mumps, rub =</w:t>
      </w:r>
      <w:r w:rsidR="00ED2539" w:rsidRPr="002D21B6">
        <w:rPr>
          <w:rFonts w:ascii="Arial" w:hAnsi="Arial" w:cs="Arial"/>
          <w:sz w:val="24"/>
          <w:szCs w:val="24"/>
        </w:rPr>
        <w:t xml:space="preserve"> </w:t>
      </w:r>
      <w:r w:rsidR="00407738" w:rsidRPr="002D21B6">
        <w:rPr>
          <w:rFonts w:ascii="Arial" w:hAnsi="Arial" w:cs="Arial"/>
          <w:sz w:val="24"/>
          <w:szCs w:val="24"/>
        </w:rPr>
        <w:t>rubella)</w:t>
      </w:r>
    </w:p>
    <w:p w:rsidR="00F63087" w:rsidRPr="002D21B6" w:rsidRDefault="00F63087" w:rsidP="00B80587">
      <w:pPr>
        <w:spacing w:line="480" w:lineRule="auto"/>
        <w:rPr>
          <w:rFonts w:ascii="Arial" w:hAnsi="Arial" w:cs="Arial"/>
          <w:sz w:val="24"/>
          <w:szCs w:val="24"/>
        </w:rPr>
      </w:pPr>
    </w:p>
    <w:p w:rsidR="00047E8D" w:rsidRPr="002D21B6" w:rsidRDefault="00A26696" w:rsidP="00047E8D">
      <w:pPr>
        <w:spacing w:line="480" w:lineRule="auto"/>
        <w:rPr>
          <w:rFonts w:ascii="Arial" w:hAnsi="Arial" w:cs="Arial"/>
          <w:sz w:val="24"/>
          <w:szCs w:val="24"/>
        </w:rPr>
      </w:pPr>
      <w:proofErr w:type="gramStart"/>
      <w:r w:rsidRPr="002D21B6">
        <w:rPr>
          <w:rFonts w:ascii="Arial" w:hAnsi="Arial" w:cs="Arial"/>
          <w:b/>
          <w:sz w:val="24"/>
          <w:szCs w:val="24"/>
        </w:rPr>
        <w:t xml:space="preserve">Figure </w:t>
      </w:r>
      <w:r w:rsidR="00392883" w:rsidRPr="002D21B6">
        <w:rPr>
          <w:rFonts w:ascii="Arial" w:hAnsi="Arial" w:cs="Arial"/>
          <w:b/>
          <w:sz w:val="24"/>
          <w:szCs w:val="24"/>
        </w:rPr>
        <w:t>8</w:t>
      </w:r>
      <w:r w:rsidRPr="002D21B6">
        <w:rPr>
          <w:rFonts w:ascii="Arial" w:hAnsi="Arial" w:cs="Arial"/>
          <w:b/>
          <w:sz w:val="24"/>
          <w:szCs w:val="24"/>
        </w:rPr>
        <w:t>.</w:t>
      </w:r>
      <w:proofErr w:type="gramEnd"/>
      <w:r w:rsidRPr="002D21B6">
        <w:rPr>
          <w:rFonts w:ascii="Arial" w:hAnsi="Arial" w:cs="Arial"/>
          <w:b/>
          <w:sz w:val="24"/>
          <w:szCs w:val="24"/>
        </w:rPr>
        <w:t xml:space="preserve"> </w:t>
      </w:r>
      <w:proofErr w:type="gramStart"/>
      <w:r w:rsidRPr="002D21B6">
        <w:rPr>
          <w:rFonts w:ascii="Arial" w:hAnsi="Arial" w:cs="Arial"/>
          <w:b/>
          <w:sz w:val="24"/>
          <w:szCs w:val="24"/>
        </w:rPr>
        <w:t xml:space="preserve">Summary </w:t>
      </w:r>
      <w:r w:rsidR="00AC5251" w:rsidRPr="002D21B6">
        <w:rPr>
          <w:rFonts w:ascii="Arial" w:hAnsi="Arial" w:cs="Arial"/>
          <w:b/>
          <w:sz w:val="24"/>
          <w:szCs w:val="24"/>
        </w:rPr>
        <w:t xml:space="preserve">of </w:t>
      </w:r>
      <w:proofErr w:type="spellStart"/>
      <w:r w:rsidR="00AC5251" w:rsidRPr="002D21B6">
        <w:rPr>
          <w:rFonts w:ascii="Arial" w:hAnsi="Arial" w:cs="Arial"/>
          <w:b/>
          <w:sz w:val="24"/>
          <w:szCs w:val="24"/>
        </w:rPr>
        <w:t>seronegativity</w:t>
      </w:r>
      <w:proofErr w:type="spellEnd"/>
      <w:r w:rsidR="00AC5251" w:rsidRPr="002D21B6">
        <w:rPr>
          <w:rFonts w:ascii="Arial" w:hAnsi="Arial" w:cs="Arial"/>
          <w:b/>
          <w:sz w:val="24"/>
          <w:szCs w:val="24"/>
        </w:rPr>
        <w:t xml:space="preserve"> ratios </w:t>
      </w:r>
      <w:r w:rsidRPr="002D21B6">
        <w:rPr>
          <w:rFonts w:ascii="Arial" w:hAnsi="Arial" w:cs="Arial"/>
          <w:b/>
          <w:sz w:val="24"/>
          <w:szCs w:val="24"/>
        </w:rPr>
        <w:t>within different age-groups</w:t>
      </w:r>
      <w:r w:rsidR="00047E8D" w:rsidRPr="002D21B6">
        <w:rPr>
          <w:rFonts w:ascii="Arial" w:hAnsi="Arial" w:cs="Arial"/>
          <w:b/>
          <w:sz w:val="24"/>
          <w:szCs w:val="24"/>
        </w:rPr>
        <w:t>.</w:t>
      </w:r>
      <w:proofErr w:type="gramEnd"/>
      <w:r w:rsidR="00047E8D" w:rsidRPr="002D21B6">
        <w:rPr>
          <w:rFonts w:ascii="Arial" w:hAnsi="Arial" w:cs="Arial"/>
          <w:b/>
          <w:sz w:val="24"/>
          <w:szCs w:val="24"/>
        </w:rPr>
        <w:t xml:space="preserve"> </w:t>
      </w:r>
      <w:r w:rsidR="00047E8D" w:rsidRPr="002D21B6">
        <w:rPr>
          <w:rFonts w:ascii="Arial" w:hAnsi="Arial" w:cs="Arial"/>
          <w:sz w:val="24"/>
          <w:szCs w:val="24"/>
        </w:rPr>
        <w:t>We identified samples in the cluster “</w:t>
      </w:r>
      <w:r w:rsidR="00047E8D" w:rsidRPr="002D21B6">
        <w:rPr>
          <w:rFonts w:ascii="Arial" w:hAnsi="Arial" w:cs="Arial"/>
          <w:i/>
          <w:sz w:val="24"/>
          <w:szCs w:val="24"/>
        </w:rPr>
        <w:t>Vaccinated between 1978 -1987</w:t>
      </w:r>
      <w:r w:rsidR="00047E8D" w:rsidRPr="002D21B6">
        <w:rPr>
          <w:rFonts w:ascii="Arial" w:hAnsi="Arial" w:cs="Arial"/>
          <w:sz w:val="24"/>
          <w:szCs w:val="24"/>
        </w:rPr>
        <w:t xml:space="preserve">” as the lowest </w:t>
      </w:r>
      <w:proofErr w:type="spellStart"/>
      <w:r w:rsidR="00047E8D" w:rsidRPr="002D21B6">
        <w:rPr>
          <w:rFonts w:ascii="Arial" w:hAnsi="Arial" w:cs="Arial"/>
          <w:sz w:val="24"/>
          <w:szCs w:val="24"/>
        </w:rPr>
        <w:t>seropositivity</w:t>
      </w:r>
      <w:proofErr w:type="spellEnd"/>
      <w:r w:rsidR="00047E8D" w:rsidRPr="002D21B6">
        <w:rPr>
          <w:rFonts w:ascii="Arial" w:hAnsi="Arial" w:cs="Arial"/>
          <w:sz w:val="24"/>
          <w:szCs w:val="24"/>
        </w:rPr>
        <w:t xml:space="preserve"> group for measles</w:t>
      </w:r>
      <w:r w:rsidR="00195364">
        <w:rPr>
          <w:rFonts w:ascii="Arial" w:hAnsi="Arial" w:cs="Arial"/>
          <w:sz w:val="24"/>
          <w:szCs w:val="24"/>
        </w:rPr>
        <w:t>.</w:t>
      </w:r>
    </w:p>
    <w:p w:rsidR="004B2F90" w:rsidRPr="002D21B6" w:rsidRDefault="004B2F90" w:rsidP="00B80587">
      <w:pPr>
        <w:spacing w:line="480" w:lineRule="auto"/>
        <w:rPr>
          <w:rFonts w:ascii="Arial" w:hAnsi="Arial" w:cs="Arial"/>
          <w:b/>
          <w:sz w:val="24"/>
          <w:szCs w:val="24"/>
        </w:rPr>
      </w:pPr>
    </w:p>
    <w:p w:rsidR="00476C52" w:rsidRPr="002D21B6" w:rsidRDefault="001F0F0E" w:rsidP="00B80587">
      <w:pPr>
        <w:spacing w:line="480" w:lineRule="auto"/>
        <w:rPr>
          <w:rFonts w:ascii="Arial" w:hAnsi="Arial" w:cs="Arial"/>
          <w:sz w:val="24"/>
          <w:szCs w:val="24"/>
        </w:rPr>
      </w:pPr>
      <w:proofErr w:type="gramStart"/>
      <w:r w:rsidRPr="002D21B6">
        <w:rPr>
          <w:rFonts w:ascii="Arial" w:hAnsi="Arial" w:cs="Arial"/>
          <w:b/>
          <w:sz w:val="24"/>
          <w:szCs w:val="24"/>
        </w:rPr>
        <w:t xml:space="preserve">Figure </w:t>
      </w:r>
      <w:r w:rsidR="00392883" w:rsidRPr="002D21B6">
        <w:rPr>
          <w:rFonts w:ascii="Arial" w:hAnsi="Arial" w:cs="Arial"/>
          <w:b/>
          <w:sz w:val="24"/>
          <w:szCs w:val="24"/>
        </w:rPr>
        <w:t>9</w:t>
      </w:r>
      <w:r w:rsidRPr="002D21B6">
        <w:rPr>
          <w:rFonts w:ascii="Arial" w:hAnsi="Arial" w:cs="Arial"/>
          <w:b/>
          <w:sz w:val="24"/>
          <w:szCs w:val="24"/>
        </w:rPr>
        <w:t>.</w:t>
      </w:r>
      <w:proofErr w:type="gramEnd"/>
      <w:r w:rsidRPr="002D21B6">
        <w:rPr>
          <w:rFonts w:ascii="Arial" w:hAnsi="Arial" w:cs="Arial"/>
          <w:b/>
          <w:sz w:val="24"/>
          <w:szCs w:val="24"/>
        </w:rPr>
        <w:t xml:space="preserve"> </w:t>
      </w:r>
      <w:proofErr w:type="gramStart"/>
      <w:r w:rsidR="00F4502A" w:rsidRPr="002D21B6">
        <w:rPr>
          <w:rFonts w:ascii="Arial" w:hAnsi="Arial" w:cs="Arial"/>
          <w:b/>
          <w:sz w:val="24"/>
          <w:szCs w:val="24"/>
        </w:rPr>
        <w:t>Vaccination period-de</w:t>
      </w:r>
      <w:r w:rsidR="003F2AEE" w:rsidRPr="002D21B6">
        <w:rPr>
          <w:rFonts w:ascii="Arial" w:hAnsi="Arial" w:cs="Arial"/>
          <w:b/>
          <w:sz w:val="24"/>
          <w:szCs w:val="24"/>
        </w:rPr>
        <w:t xml:space="preserve">pendent </w:t>
      </w:r>
      <w:r w:rsidR="00A26696" w:rsidRPr="002D21B6">
        <w:rPr>
          <w:rFonts w:ascii="Arial" w:hAnsi="Arial" w:cs="Arial"/>
          <w:b/>
          <w:sz w:val="24"/>
          <w:szCs w:val="24"/>
        </w:rPr>
        <w:t>confidence intervals</w:t>
      </w:r>
      <w:r w:rsidR="003F2AEE" w:rsidRPr="002D21B6">
        <w:rPr>
          <w:rFonts w:ascii="Arial" w:hAnsi="Arial" w:cs="Arial"/>
          <w:b/>
          <w:sz w:val="24"/>
          <w:szCs w:val="24"/>
        </w:rPr>
        <w:t xml:space="preserve"> of </w:t>
      </w:r>
      <w:proofErr w:type="spellStart"/>
      <w:r w:rsidR="00F4502A" w:rsidRPr="002D21B6">
        <w:rPr>
          <w:rFonts w:ascii="Arial" w:hAnsi="Arial" w:cs="Arial"/>
          <w:b/>
          <w:sz w:val="24"/>
          <w:szCs w:val="24"/>
        </w:rPr>
        <w:t>seronegativity</w:t>
      </w:r>
      <w:proofErr w:type="spellEnd"/>
      <w:r w:rsidR="00F4502A" w:rsidRPr="002D21B6">
        <w:rPr>
          <w:rFonts w:ascii="Arial" w:hAnsi="Arial" w:cs="Arial"/>
          <w:b/>
          <w:sz w:val="24"/>
          <w:szCs w:val="24"/>
        </w:rPr>
        <w:t>.</w:t>
      </w:r>
      <w:proofErr w:type="gramEnd"/>
      <w:r w:rsidR="00B80587" w:rsidRPr="002D21B6">
        <w:rPr>
          <w:rFonts w:ascii="Arial" w:hAnsi="Arial" w:cs="Arial"/>
          <w:b/>
          <w:sz w:val="24"/>
          <w:szCs w:val="24"/>
        </w:rPr>
        <w:t xml:space="preserve"> </w:t>
      </w:r>
      <w:proofErr w:type="gramStart"/>
      <w:r w:rsidR="00476C52" w:rsidRPr="002D21B6">
        <w:rPr>
          <w:rFonts w:ascii="Arial" w:hAnsi="Arial" w:cs="Arial"/>
          <w:sz w:val="24"/>
          <w:szCs w:val="24"/>
        </w:rPr>
        <w:t xml:space="preserve">Relative frequencies of measles-, mumps- and rubella-specific </w:t>
      </w:r>
      <w:proofErr w:type="spellStart"/>
      <w:r w:rsidR="00B968F9" w:rsidRPr="002D21B6">
        <w:rPr>
          <w:rFonts w:ascii="Arial" w:hAnsi="Arial" w:cs="Arial"/>
          <w:sz w:val="24"/>
          <w:szCs w:val="24"/>
        </w:rPr>
        <w:t>seronegativit</w:t>
      </w:r>
      <w:r w:rsidR="00A92C85" w:rsidRPr="002D21B6">
        <w:rPr>
          <w:rFonts w:ascii="Arial" w:hAnsi="Arial" w:cs="Arial"/>
          <w:sz w:val="24"/>
          <w:szCs w:val="24"/>
        </w:rPr>
        <w:t>y</w:t>
      </w:r>
      <w:proofErr w:type="spellEnd"/>
      <w:r w:rsidR="00476C52" w:rsidRPr="002D21B6">
        <w:rPr>
          <w:rFonts w:ascii="Arial" w:hAnsi="Arial" w:cs="Arial"/>
          <w:sz w:val="24"/>
          <w:szCs w:val="24"/>
        </w:rPr>
        <w:t xml:space="preserve"> dependent on the period of vaccin</w:t>
      </w:r>
      <w:r w:rsidR="00311278" w:rsidRPr="002D21B6">
        <w:rPr>
          <w:rFonts w:ascii="Arial" w:hAnsi="Arial" w:cs="Arial"/>
          <w:sz w:val="24"/>
          <w:szCs w:val="24"/>
        </w:rPr>
        <w:t>ation.</w:t>
      </w:r>
      <w:proofErr w:type="gramEnd"/>
      <w:r w:rsidR="00311278" w:rsidRPr="002D21B6">
        <w:rPr>
          <w:rFonts w:ascii="Arial" w:hAnsi="Arial" w:cs="Arial"/>
          <w:sz w:val="24"/>
          <w:szCs w:val="24"/>
        </w:rPr>
        <w:t xml:space="preserve"> Vertical lines indicate</w:t>
      </w:r>
      <w:r w:rsidR="00476C52" w:rsidRPr="002D21B6">
        <w:rPr>
          <w:rFonts w:ascii="Arial" w:hAnsi="Arial" w:cs="Arial"/>
          <w:sz w:val="24"/>
          <w:szCs w:val="24"/>
        </w:rPr>
        <w:t xml:space="preserve"> 95% confidence intervals.</w:t>
      </w:r>
      <w:r w:rsidR="00047E8D" w:rsidRPr="002D21B6">
        <w:rPr>
          <w:rFonts w:ascii="Arial" w:hAnsi="Arial" w:cs="Arial"/>
          <w:sz w:val="24"/>
          <w:szCs w:val="24"/>
        </w:rPr>
        <w:t xml:space="preserve"> Significant differences between the antibody levels of the critical age groups and their flanking age groups are marked with asterisks.</w:t>
      </w:r>
    </w:p>
    <w:p w:rsidR="009343D5" w:rsidRPr="002D21B6" w:rsidRDefault="009343D5" w:rsidP="00B80587">
      <w:pPr>
        <w:spacing w:line="480" w:lineRule="auto"/>
        <w:rPr>
          <w:rFonts w:ascii="Arial" w:hAnsi="Arial" w:cs="Arial"/>
          <w:b/>
          <w:sz w:val="24"/>
          <w:szCs w:val="24"/>
        </w:rPr>
      </w:pPr>
    </w:p>
    <w:p w:rsidR="001C6D90" w:rsidRDefault="001F0F0E" w:rsidP="00C2139D">
      <w:pPr>
        <w:spacing w:line="480" w:lineRule="auto"/>
        <w:rPr>
          <w:rFonts w:ascii="Arial" w:hAnsi="Arial" w:cs="Arial"/>
          <w:sz w:val="24"/>
          <w:szCs w:val="24"/>
        </w:rPr>
      </w:pPr>
      <w:proofErr w:type="gramStart"/>
      <w:r w:rsidRPr="002D21B6">
        <w:rPr>
          <w:rFonts w:ascii="Arial" w:hAnsi="Arial" w:cs="Arial"/>
          <w:b/>
          <w:sz w:val="24"/>
          <w:szCs w:val="24"/>
        </w:rPr>
        <w:t xml:space="preserve">Figure </w:t>
      </w:r>
      <w:r w:rsidR="00392883" w:rsidRPr="002D21B6">
        <w:rPr>
          <w:rFonts w:ascii="Arial" w:hAnsi="Arial" w:cs="Arial"/>
          <w:b/>
          <w:sz w:val="24"/>
          <w:szCs w:val="24"/>
        </w:rPr>
        <w:t>10</w:t>
      </w:r>
      <w:r w:rsidRPr="002D21B6">
        <w:rPr>
          <w:rFonts w:ascii="Arial" w:hAnsi="Arial" w:cs="Arial"/>
          <w:b/>
          <w:sz w:val="24"/>
          <w:szCs w:val="24"/>
        </w:rPr>
        <w:t>.</w:t>
      </w:r>
      <w:proofErr w:type="gramEnd"/>
      <w:r w:rsidRPr="002D21B6">
        <w:rPr>
          <w:rFonts w:ascii="Arial" w:hAnsi="Arial" w:cs="Arial"/>
          <w:b/>
          <w:sz w:val="24"/>
          <w:szCs w:val="24"/>
        </w:rPr>
        <w:t xml:space="preserve"> </w:t>
      </w:r>
      <w:proofErr w:type="gramStart"/>
      <w:r w:rsidR="00F27158" w:rsidRPr="002D21B6">
        <w:rPr>
          <w:rFonts w:ascii="Arial" w:hAnsi="Arial" w:cs="Arial"/>
          <w:b/>
          <w:sz w:val="24"/>
          <w:szCs w:val="24"/>
        </w:rPr>
        <w:t>Vaccination period-independent s</w:t>
      </w:r>
      <w:r w:rsidRPr="002D21B6">
        <w:rPr>
          <w:rFonts w:ascii="Arial" w:hAnsi="Arial" w:cs="Arial"/>
          <w:b/>
          <w:sz w:val="24"/>
          <w:szCs w:val="24"/>
        </w:rPr>
        <w:t>ummary of results.</w:t>
      </w:r>
      <w:proofErr w:type="gramEnd"/>
      <w:r w:rsidRPr="002D21B6">
        <w:rPr>
          <w:rFonts w:ascii="Arial" w:hAnsi="Arial" w:cs="Arial"/>
          <w:b/>
          <w:sz w:val="24"/>
          <w:szCs w:val="24"/>
        </w:rPr>
        <w:t xml:space="preserve"> </w:t>
      </w:r>
      <w:r w:rsidRPr="002D21B6">
        <w:rPr>
          <w:rFonts w:ascii="Arial" w:hAnsi="Arial" w:cs="Arial"/>
          <w:sz w:val="24"/>
          <w:szCs w:val="24"/>
        </w:rPr>
        <w:t xml:space="preserve">Considering the age-independent totality of samples, the anti-measles, mumps, and rubella IgG antibody </w:t>
      </w:r>
      <w:proofErr w:type="spellStart"/>
      <w:r w:rsidRPr="002D21B6">
        <w:rPr>
          <w:rFonts w:ascii="Arial" w:hAnsi="Arial" w:cs="Arial"/>
          <w:sz w:val="24"/>
          <w:szCs w:val="24"/>
        </w:rPr>
        <w:t>titers</w:t>
      </w:r>
      <w:proofErr w:type="spellEnd"/>
      <w:r w:rsidRPr="002D21B6">
        <w:rPr>
          <w:rFonts w:ascii="Arial" w:hAnsi="Arial" w:cs="Arial"/>
          <w:sz w:val="24"/>
          <w:szCs w:val="24"/>
        </w:rPr>
        <w:t xml:space="preserve"> were inadequate in 10.16%, 8.18%, and 7.72%, respectively. </w:t>
      </w:r>
      <w:r w:rsidR="00C7760A">
        <w:rPr>
          <w:rFonts w:ascii="Arial" w:hAnsi="Arial" w:cs="Arial"/>
          <w:sz w:val="24"/>
          <w:szCs w:val="24"/>
        </w:rPr>
        <w:t>Considering HIT values, population-level</w:t>
      </w:r>
      <w:r w:rsidRPr="002D21B6">
        <w:rPr>
          <w:rFonts w:ascii="Arial" w:hAnsi="Arial" w:cs="Arial"/>
          <w:sz w:val="24"/>
          <w:szCs w:val="24"/>
        </w:rPr>
        <w:t xml:space="preserve"> </w:t>
      </w:r>
      <w:proofErr w:type="spellStart"/>
      <w:r w:rsidRPr="002D21B6">
        <w:rPr>
          <w:rFonts w:ascii="Arial" w:hAnsi="Arial" w:cs="Arial"/>
          <w:sz w:val="24"/>
          <w:szCs w:val="24"/>
        </w:rPr>
        <w:t>seropositivity</w:t>
      </w:r>
      <w:proofErr w:type="spellEnd"/>
      <w:r w:rsidRPr="002D21B6">
        <w:rPr>
          <w:rFonts w:ascii="Arial" w:hAnsi="Arial" w:cs="Arial"/>
          <w:sz w:val="24"/>
          <w:szCs w:val="24"/>
        </w:rPr>
        <w:t xml:space="preserve"> ratio</w:t>
      </w:r>
      <w:r w:rsidR="00C7760A">
        <w:rPr>
          <w:rFonts w:ascii="Arial" w:hAnsi="Arial" w:cs="Arial"/>
          <w:sz w:val="24"/>
          <w:szCs w:val="24"/>
        </w:rPr>
        <w:t xml:space="preserve"> of anti-measles antibodies</w:t>
      </w:r>
      <w:r w:rsidRPr="002D21B6">
        <w:rPr>
          <w:rFonts w:ascii="Arial" w:hAnsi="Arial" w:cs="Arial"/>
          <w:sz w:val="24"/>
          <w:szCs w:val="24"/>
        </w:rPr>
        <w:t xml:space="preserve"> </w:t>
      </w:r>
      <w:r w:rsidR="00C7760A">
        <w:rPr>
          <w:rFonts w:ascii="Arial" w:hAnsi="Arial" w:cs="Arial"/>
          <w:sz w:val="24"/>
          <w:szCs w:val="24"/>
        </w:rPr>
        <w:t>failed to</w:t>
      </w:r>
      <w:r w:rsidRPr="002D21B6">
        <w:rPr>
          <w:rFonts w:ascii="Arial" w:hAnsi="Arial" w:cs="Arial"/>
          <w:sz w:val="24"/>
          <w:szCs w:val="24"/>
        </w:rPr>
        <w:t xml:space="preserve"> reach the criteria for </w:t>
      </w:r>
      <w:r w:rsidR="00A154BB" w:rsidRPr="002D21B6">
        <w:rPr>
          <w:rFonts w:ascii="Arial" w:hAnsi="Arial" w:cs="Arial"/>
          <w:sz w:val="24"/>
          <w:szCs w:val="24"/>
        </w:rPr>
        <w:t xml:space="preserve">herd </w:t>
      </w:r>
      <w:r w:rsidR="002D21B6" w:rsidRPr="002D21B6">
        <w:rPr>
          <w:rFonts w:ascii="Arial" w:hAnsi="Arial" w:cs="Arial"/>
          <w:sz w:val="24"/>
          <w:szCs w:val="24"/>
        </w:rPr>
        <w:t>immunity (</w:t>
      </w:r>
      <w:proofErr w:type="spellStart"/>
      <w:r w:rsidR="002D21B6" w:rsidRPr="002D21B6">
        <w:rPr>
          <w:rFonts w:ascii="Arial" w:hAnsi="Arial" w:cs="Arial"/>
          <w:sz w:val="24"/>
          <w:szCs w:val="24"/>
        </w:rPr>
        <w:t>seropositivity</w:t>
      </w:r>
      <w:proofErr w:type="spellEnd"/>
      <w:r w:rsidR="002D21B6" w:rsidRPr="002D21B6">
        <w:rPr>
          <w:rFonts w:ascii="Arial" w:hAnsi="Arial" w:cs="Arial"/>
          <w:sz w:val="24"/>
          <w:szCs w:val="24"/>
        </w:rPr>
        <w:t xml:space="preserve"> ≥ </w:t>
      </w:r>
      <w:r w:rsidR="006B482C">
        <w:rPr>
          <w:rFonts w:ascii="Arial" w:hAnsi="Arial" w:cs="Arial"/>
          <w:sz w:val="24"/>
          <w:szCs w:val="24"/>
        </w:rPr>
        <w:t>95%)</w:t>
      </w:r>
      <w:r w:rsidRPr="002D21B6">
        <w:rPr>
          <w:rFonts w:ascii="Arial" w:hAnsi="Arial" w:cs="Arial"/>
          <w:sz w:val="24"/>
          <w:szCs w:val="24"/>
        </w:rPr>
        <w:t>.</w:t>
      </w:r>
    </w:p>
    <w:p w:rsidR="00AB0BE5" w:rsidRPr="002D21B6" w:rsidRDefault="00AB0BE5" w:rsidP="00C2139D">
      <w:pPr>
        <w:spacing w:line="480" w:lineRule="auto"/>
        <w:rPr>
          <w:rFonts w:ascii="Arial" w:hAnsi="Arial" w:cs="Arial"/>
          <w:sz w:val="24"/>
          <w:szCs w:val="24"/>
        </w:rPr>
      </w:pPr>
    </w:p>
    <w:p w:rsidR="007F505A" w:rsidRDefault="004B5A24" w:rsidP="00C2139D">
      <w:pPr>
        <w:spacing w:line="480" w:lineRule="auto"/>
        <w:rPr>
          <w:rFonts w:ascii="Arial" w:hAnsi="Arial" w:cs="Arial"/>
          <w:sz w:val="24"/>
          <w:szCs w:val="24"/>
        </w:rPr>
      </w:pPr>
      <w:proofErr w:type="gramStart"/>
      <w:r w:rsidRPr="002D21B6">
        <w:rPr>
          <w:rFonts w:ascii="Arial" w:hAnsi="Arial" w:cs="Arial"/>
          <w:b/>
          <w:sz w:val="24"/>
          <w:szCs w:val="24"/>
        </w:rPr>
        <w:lastRenderedPageBreak/>
        <w:t>Supplementary Figure S1.</w:t>
      </w:r>
      <w:proofErr w:type="gramEnd"/>
      <w:r w:rsidRPr="002D21B6">
        <w:rPr>
          <w:rFonts w:ascii="Arial" w:hAnsi="Arial" w:cs="Arial"/>
          <w:sz w:val="24"/>
          <w:szCs w:val="24"/>
        </w:rPr>
        <w:t xml:space="preserve"> </w:t>
      </w:r>
      <w:proofErr w:type="gramStart"/>
      <w:r w:rsidRPr="00AB0BE5">
        <w:rPr>
          <w:rFonts w:ascii="Arial" w:hAnsi="Arial" w:cs="Arial"/>
          <w:b/>
          <w:sz w:val="24"/>
          <w:szCs w:val="24"/>
        </w:rPr>
        <w:t>Official country</w:t>
      </w:r>
      <w:r w:rsidR="00AB0BE5" w:rsidRPr="00AB0BE5">
        <w:rPr>
          <w:rFonts w:ascii="Arial" w:hAnsi="Arial" w:cs="Arial"/>
          <w:b/>
          <w:sz w:val="24"/>
          <w:szCs w:val="24"/>
        </w:rPr>
        <w:t>-</w:t>
      </w:r>
      <w:r w:rsidRPr="00AB0BE5">
        <w:rPr>
          <w:rFonts w:ascii="Arial" w:hAnsi="Arial" w:cs="Arial"/>
          <w:b/>
          <w:sz w:val="24"/>
          <w:szCs w:val="24"/>
        </w:rPr>
        <w:t>reported vaccine coverage data regarding the first and the second dose of measles containing vaccine (MCV1, MCV2</w:t>
      </w:r>
      <w:r w:rsidR="001D5921" w:rsidRPr="00AB0BE5">
        <w:rPr>
          <w:rFonts w:ascii="Arial" w:hAnsi="Arial" w:cs="Arial"/>
          <w:b/>
          <w:sz w:val="24"/>
          <w:szCs w:val="24"/>
        </w:rPr>
        <w:t>; currently equivalent to MMR1 and MMR2</w:t>
      </w:r>
      <w:r w:rsidRPr="00AB0BE5">
        <w:rPr>
          <w:rFonts w:ascii="Arial" w:hAnsi="Arial" w:cs="Arial"/>
          <w:b/>
          <w:sz w:val="24"/>
          <w:szCs w:val="24"/>
        </w:rPr>
        <w:t>) in Hungary</w:t>
      </w:r>
      <w:r w:rsidRPr="002D21B6">
        <w:rPr>
          <w:rFonts w:ascii="Arial" w:hAnsi="Arial" w:cs="Arial"/>
          <w:sz w:val="24"/>
          <w:szCs w:val="24"/>
        </w:rPr>
        <w:t>.</w:t>
      </w:r>
      <w:proofErr w:type="gramEnd"/>
      <w:r w:rsidRPr="002D21B6">
        <w:rPr>
          <w:rFonts w:ascii="Arial" w:hAnsi="Arial" w:cs="Arial"/>
          <w:sz w:val="24"/>
          <w:szCs w:val="24"/>
        </w:rPr>
        <w:t xml:space="preserve"> Data obtained from WHO immunization, monitoring and surveillance webpage.</w:t>
      </w:r>
    </w:p>
    <w:p w:rsidR="00C819F1" w:rsidRDefault="00C819F1" w:rsidP="00C2139D">
      <w:pPr>
        <w:spacing w:line="480" w:lineRule="auto"/>
        <w:rPr>
          <w:rFonts w:ascii="Arial" w:hAnsi="Arial" w:cs="Arial"/>
          <w:sz w:val="24"/>
          <w:szCs w:val="24"/>
        </w:rPr>
      </w:pPr>
    </w:p>
    <w:p w:rsidR="00C819F1" w:rsidRDefault="004451B8" w:rsidP="00C819F1">
      <w:pPr>
        <w:spacing w:line="480" w:lineRule="auto"/>
        <w:rPr>
          <w:rFonts w:ascii="Arial" w:hAnsi="Arial" w:cs="Arial"/>
          <w:sz w:val="24"/>
          <w:szCs w:val="24"/>
        </w:rPr>
      </w:pPr>
      <w:proofErr w:type="gramStart"/>
      <w:r>
        <w:rPr>
          <w:rFonts w:ascii="Arial" w:hAnsi="Arial" w:cs="Arial"/>
          <w:b/>
          <w:sz w:val="24"/>
          <w:szCs w:val="24"/>
        </w:rPr>
        <w:t>Supplementary Figure S2</w:t>
      </w:r>
      <w:r w:rsidR="00C819F1" w:rsidRPr="002D21B6">
        <w:rPr>
          <w:rFonts w:ascii="Arial" w:hAnsi="Arial" w:cs="Arial"/>
          <w:b/>
          <w:sz w:val="24"/>
          <w:szCs w:val="24"/>
        </w:rPr>
        <w:t>.</w:t>
      </w:r>
      <w:proofErr w:type="gramEnd"/>
      <w:r w:rsidR="00C819F1" w:rsidRPr="002D21B6">
        <w:rPr>
          <w:rFonts w:ascii="Arial" w:hAnsi="Arial" w:cs="Arial"/>
          <w:b/>
          <w:sz w:val="24"/>
          <w:szCs w:val="24"/>
        </w:rPr>
        <w:t xml:space="preserve"> </w:t>
      </w:r>
      <w:proofErr w:type="gramStart"/>
      <w:r w:rsidR="00C819F1" w:rsidRPr="00AB0BE5">
        <w:rPr>
          <w:rFonts w:ascii="Arial" w:hAnsi="Arial" w:cs="Arial"/>
          <w:b/>
          <w:sz w:val="24"/>
          <w:szCs w:val="24"/>
        </w:rPr>
        <w:t>Incidence time series of measles, mumps and rubella cases for Hungary.</w:t>
      </w:r>
      <w:proofErr w:type="gramEnd"/>
      <w:r w:rsidR="00C819F1" w:rsidRPr="002D21B6">
        <w:rPr>
          <w:rFonts w:ascii="Arial" w:hAnsi="Arial" w:cs="Arial"/>
          <w:sz w:val="24"/>
          <w:szCs w:val="24"/>
        </w:rPr>
        <w:t xml:space="preserve"> Data are obtained from WHO vaccine-preventable diseases monitoring system - 2019 global summary.</w:t>
      </w:r>
    </w:p>
    <w:p w:rsidR="00F63087" w:rsidRPr="002D21B6" w:rsidRDefault="00F63087" w:rsidP="00C2139D">
      <w:pPr>
        <w:spacing w:line="480" w:lineRule="auto"/>
        <w:rPr>
          <w:rFonts w:ascii="Arial" w:hAnsi="Arial" w:cs="Arial"/>
          <w:sz w:val="24"/>
          <w:szCs w:val="24"/>
        </w:rPr>
      </w:pPr>
    </w:p>
    <w:p w:rsidR="003C0CBD" w:rsidRPr="00C611FC" w:rsidRDefault="00115EA1" w:rsidP="00272AA1">
      <w:pPr>
        <w:spacing w:line="480" w:lineRule="auto"/>
        <w:rPr>
          <w:rFonts w:ascii="Arial" w:hAnsi="Arial" w:cs="Arial"/>
          <w:b/>
          <w:sz w:val="24"/>
          <w:szCs w:val="24"/>
        </w:rPr>
      </w:pPr>
      <w:proofErr w:type="gramStart"/>
      <w:r w:rsidRPr="002D21B6">
        <w:rPr>
          <w:rFonts w:ascii="Arial" w:hAnsi="Arial" w:cs="Arial"/>
          <w:b/>
          <w:sz w:val="24"/>
          <w:szCs w:val="24"/>
        </w:rPr>
        <w:t xml:space="preserve">Supplementary </w:t>
      </w:r>
      <w:r w:rsidR="007F505A" w:rsidRPr="002D21B6">
        <w:rPr>
          <w:rFonts w:ascii="Arial" w:hAnsi="Arial" w:cs="Arial"/>
          <w:b/>
          <w:sz w:val="24"/>
          <w:szCs w:val="24"/>
        </w:rPr>
        <w:t>F</w:t>
      </w:r>
      <w:r w:rsidRPr="002D21B6">
        <w:rPr>
          <w:rFonts w:ascii="Arial" w:hAnsi="Arial" w:cs="Arial"/>
          <w:b/>
          <w:sz w:val="24"/>
          <w:szCs w:val="24"/>
        </w:rPr>
        <w:t xml:space="preserve">igure </w:t>
      </w:r>
      <w:r w:rsidR="003D0FAB" w:rsidRPr="002D21B6">
        <w:rPr>
          <w:rFonts w:ascii="Arial" w:hAnsi="Arial" w:cs="Arial"/>
          <w:b/>
          <w:sz w:val="24"/>
          <w:szCs w:val="24"/>
        </w:rPr>
        <w:t>S</w:t>
      </w:r>
      <w:r w:rsidR="00C611FC">
        <w:rPr>
          <w:rFonts w:ascii="Arial" w:hAnsi="Arial" w:cs="Arial"/>
          <w:b/>
          <w:sz w:val="24"/>
          <w:szCs w:val="24"/>
        </w:rPr>
        <w:t>3</w:t>
      </w:r>
      <w:r w:rsidRPr="002D21B6">
        <w:rPr>
          <w:rFonts w:ascii="Arial" w:hAnsi="Arial" w:cs="Arial"/>
          <w:b/>
          <w:sz w:val="24"/>
          <w:szCs w:val="24"/>
        </w:rPr>
        <w:t>.</w:t>
      </w:r>
      <w:proofErr w:type="gramEnd"/>
      <w:r w:rsidRPr="002D21B6">
        <w:rPr>
          <w:rFonts w:ascii="Arial" w:hAnsi="Arial" w:cs="Arial"/>
          <w:b/>
          <w:sz w:val="24"/>
          <w:szCs w:val="24"/>
        </w:rPr>
        <w:t xml:space="preserve"> </w:t>
      </w:r>
      <w:proofErr w:type="gramStart"/>
      <w:r w:rsidR="00C611FC" w:rsidRPr="002D21B6">
        <w:rPr>
          <w:rFonts w:ascii="Arial" w:hAnsi="Arial" w:cs="Arial"/>
          <w:b/>
          <w:sz w:val="24"/>
          <w:szCs w:val="24"/>
        </w:rPr>
        <w:t>T</w:t>
      </w:r>
      <w:r w:rsidR="00444266" w:rsidRPr="002D21B6">
        <w:rPr>
          <w:rFonts w:ascii="Arial" w:hAnsi="Arial" w:cs="Arial"/>
          <w:b/>
          <w:sz w:val="24"/>
          <w:szCs w:val="24"/>
        </w:rPr>
        <w:t>esting</w:t>
      </w:r>
      <w:r w:rsidR="00C611FC">
        <w:rPr>
          <w:rFonts w:ascii="Arial" w:hAnsi="Arial" w:cs="Arial"/>
          <w:b/>
          <w:sz w:val="24"/>
          <w:szCs w:val="24"/>
        </w:rPr>
        <w:t xml:space="preserve"> of different</w:t>
      </w:r>
      <w:r w:rsidR="00C611FC" w:rsidRPr="00C611FC">
        <w:rPr>
          <w:rFonts w:ascii="Arial" w:hAnsi="Arial" w:cs="Arial"/>
          <w:b/>
          <w:sz w:val="24"/>
          <w:szCs w:val="24"/>
        </w:rPr>
        <w:t xml:space="preserve"> </w:t>
      </w:r>
      <w:r w:rsidR="00C611FC">
        <w:rPr>
          <w:rFonts w:ascii="Arial" w:hAnsi="Arial" w:cs="Arial"/>
          <w:b/>
          <w:sz w:val="24"/>
          <w:szCs w:val="24"/>
        </w:rPr>
        <w:t>a</w:t>
      </w:r>
      <w:r w:rsidR="00C611FC" w:rsidRPr="002D21B6">
        <w:rPr>
          <w:rFonts w:ascii="Arial" w:hAnsi="Arial" w:cs="Arial"/>
          <w:b/>
          <w:sz w:val="24"/>
          <w:szCs w:val="24"/>
        </w:rPr>
        <w:t>ntigen coating</w:t>
      </w:r>
      <w:r w:rsidR="00C611FC">
        <w:rPr>
          <w:rFonts w:ascii="Arial" w:hAnsi="Arial" w:cs="Arial"/>
          <w:b/>
          <w:sz w:val="24"/>
          <w:szCs w:val="24"/>
        </w:rPr>
        <w:t>s</w:t>
      </w:r>
      <w:r w:rsidR="00444266" w:rsidRPr="002D21B6">
        <w:rPr>
          <w:rFonts w:ascii="Arial" w:hAnsi="Arial" w:cs="Arial"/>
          <w:b/>
          <w:sz w:val="24"/>
          <w:szCs w:val="24"/>
        </w:rPr>
        <w:t>.</w:t>
      </w:r>
      <w:proofErr w:type="gramEnd"/>
      <w:r w:rsidR="00444266" w:rsidRPr="002D21B6">
        <w:rPr>
          <w:rFonts w:ascii="Arial" w:hAnsi="Arial" w:cs="Arial"/>
          <w:b/>
          <w:sz w:val="24"/>
          <w:szCs w:val="24"/>
        </w:rPr>
        <w:t xml:space="preserve"> </w:t>
      </w:r>
      <w:r w:rsidR="00513948" w:rsidRPr="002D21B6">
        <w:rPr>
          <w:rFonts w:ascii="Arial" w:hAnsi="Arial" w:cs="Arial"/>
          <w:sz w:val="24"/>
          <w:szCs w:val="24"/>
        </w:rPr>
        <w:t>To test the potential presence of cell-culture derived interfering factors in t</w:t>
      </w:r>
      <w:r w:rsidR="00AB256F">
        <w:rPr>
          <w:rFonts w:ascii="Arial" w:hAnsi="Arial" w:cs="Arial"/>
          <w:sz w:val="24"/>
          <w:szCs w:val="24"/>
        </w:rPr>
        <w:t>he native virus-</w:t>
      </w:r>
      <w:r w:rsidR="00513948" w:rsidRPr="002D21B6">
        <w:rPr>
          <w:rFonts w:ascii="Arial" w:hAnsi="Arial" w:cs="Arial"/>
          <w:sz w:val="24"/>
          <w:szCs w:val="24"/>
        </w:rPr>
        <w:t>based coatings, recombinant</w:t>
      </w:r>
      <w:r w:rsidR="00444266" w:rsidRPr="002D21B6">
        <w:rPr>
          <w:rFonts w:ascii="Arial" w:hAnsi="Arial" w:cs="Arial"/>
          <w:sz w:val="24"/>
          <w:szCs w:val="24"/>
        </w:rPr>
        <w:t xml:space="preserve"> (nucleocapsid) antigen-based coatings</w:t>
      </w:r>
      <w:r w:rsidR="00513948" w:rsidRPr="002D21B6">
        <w:rPr>
          <w:rFonts w:ascii="Arial" w:hAnsi="Arial" w:cs="Arial"/>
          <w:sz w:val="24"/>
          <w:szCs w:val="24"/>
        </w:rPr>
        <w:t xml:space="preserve"> were used as a control system. </w:t>
      </w:r>
      <w:r w:rsidR="00444266" w:rsidRPr="002D21B6">
        <w:rPr>
          <w:rFonts w:ascii="Arial" w:hAnsi="Arial" w:cs="Arial"/>
          <w:sz w:val="24"/>
          <w:szCs w:val="24"/>
        </w:rPr>
        <w:t xml:space="preserve">Linear fitting </w:t>
      </w:r>
      <w:r w:rsidR="003C0CBD" w:rsidRPr="002D21B6">
        <w:rPr>
          <w:rFonts w:ascii="Arial" w:hAnsi="Arial" w:cs="Arial"/>
          <w:sz w:val="24"/>
          <w:szCs w:val="24"/>
        </w:rPr>
        <w:t>of</w:t>
      </w:r>
      <w:r w:rsidR="00444266" w:rsidRPr="002D21B6">
        <w:rPr>
          <w:rFonts w:ascii="Arial" w:hAnsi="Arial" w:cs="Arial"/>
          <w:sz w:val="24"/>
          <w:szCs w:val="24"/>
        </w:rPr>
        <w:t xml:space="preserve"> same slope (</w:t>
      </w:r>
      <w:r w:rsidR="003C0CBD" w:rsidRPr="002D21B6">
        <w:rPr>
          <w:rFonts w:ascii="Arial" w:hAnsi="Arial" w:cs="Arial"/>
          <w:sz w:val="24"/>
          <w:szCs w:val="24"/>
        </w:rPr>
        <w:t>per</w:t>
      </w:r>
      <w:r w:rsidR="00444266" w:rsidRPr="002D21B6">
        <w:rPr>
          <w:rFonts w:ascii="Arial" w:hAnsi="Arial" w:cs="Arial"/>
          <w:sz w:val="24"/>
          <w:szCs w:val="24"/>
        </w:rPr>
        <w:t xml:space="preserve"> antigen type) was applied (Slope measles = 0.6, Slope mumps, rubella =</w:t>
      </w:r>
      <w:r w:rsidR="003C0CBD" w:rsidRPr="002D21B6">
        <w:rPr>
          <w:rFonts w:ascii="Arial" w:hAnsi="Arial" w:cs="Arial"/>
          <w:sz w:val="24"/>
          <w:szCs w:val="24"/>
        </w:rPr>
        <w:t xml:space="preserve"> 0.5).</w:t>
      </w:r>
      <w:r w:rsidR="00444266" w:rsidRPr="002D21B6">
        <w:rPr>
          <w:rFonts w:ascii="Arial" w:hAnsi="Arial" w:cs="Arial"/>
          <w:sz w:val="24"/>
          <w:szCs w:val="24"/>
        </w:rPr>
        <w:t xml:space="preserve"> </w:t>
      </w:r>
      <w:r w:rsidR="003C0CBD" w:rsidRPr="002D21B6">
        <w:rPr>
          <w:rFonts w:ascii="Arial" w:hAnsi="Arial" w:cs="Arial"/>
          <w:sz w:val="24"/>
          <w:szCs w:val="24"/>
        </w:rPr>
        <w:t xml:space="preserve">For each antigen type the two best corresponding recombinant antigen </w:t>
      </w:r>
      <w:r w:rsidR="00B60E35" w:rsidRPr="002D21B6">
        <w:rPr>
          <w:rFonts w:ascii="Arial" w:hAnsi="Arial" w:cs="Arial"/>
          <w:sz w:val="24"/>
          <w:szCs w:val="24"/>
        </w:rPr>
        <w:t>concentrations</w:t>
      </w:r>
      <w:r w:rsidR="003C0CBD" w:rsidRPr="002D21B6">
        <w:rPr>
          <w:rFonts w:ascii="Arial" w:hAnsi="Arial" w:cs="Arial"/>
          <w:sz w:val="24"/>
          <w:szCs w:val="24"/>
        </w:rPr>
        <w:t xml:space="preserve"> (yielding the highest R</w:t>
      </w:r>
      <w:r w:rsidR="003C0CBD" w:rsidRPr="002D21B6">
        <w:rPr>
          <w:rFonts w:ascii="Arial" w:hAnsi="Arial" w:cs="Arial"/>
          <w:sz w:val="24"/>
          <w:szCs w:val="24"/>
          <w:vertAlign w:val="superscript"/>
        </w:rPr>
        <w:t xml:space="preserve">2 </w:t>
      </w:r>
      <w:r w:rsidR="003C0CBD" w:rsidRPr="002D21B6">
        <w:rPr>
          <w:rFonts w:ascii="Arial" w:hAnsi="Arial" w:cs="Arial"/>
          <w:sz w:val="24"/>
          <w:szCs w:val="24"/>
        </w:rPr>
        <w:t xml:space="preserve">values with the relevant linear fittings) were selected for </w:t>
      </w:r>
      <w:r w:rsidR="00513948" w:rsidRPr="002D21B6">
        <w:rPr>
          <w:rFonts w:ascii="Arial" w:hAnsi="Arial" w:cs="Arial"/>
          <w:sz w:val="24"/>
          <w:szCs w:val="24"/>
        </w:rPr>
        <w:t>further analysis using Bland-Altman plots.</w:t>
      </w:r>
    </w:p>
    <w:p w:rsidR="00F63087" w:rsidRPr="002D21B6" w:rsidRDefault="00F63087" w:rsidP="00272AA1">
      <w:pPr>
        <w:spacing w:line="480" w:lineRule="auto"/>
        <w:rPr>
          <w:rFonts w:ascii="Arial" w:hAnsi="Arial" w:cs="Arial"/>
          <w:b/>
          <w:sz w:val="24"/>
          <w:szCs w:val="24"/>
        </w:rPr>
      </w:pPr>
    </w:p>
    <w:p w:rsidR="00CF78DE" w:rsidRDefault="00544E63" w:rsidP="00CF78DE">
      <w:pPr>
        <w:spacing w:line="480" w:lineRule="auto"/>
        <w:rPr>
          <w:rFonts w:ascii="Arial" w:hAnsi="Arial" w:cs="Arial"/>
          <w:sz w:val="24"/>
          <w:szCs w:val="24"/>
        </w:rPr>
      </w:pPr>
      <w:proofErr w:type="gramStart"/>
      <w:r w:rsidRPr="00DA0EB0">
        <w:rPr>
          <w:rFonts w:ascii="Arial" w:hAnsi="Arial" w:cs="Arial"/>
          <w:b/>
          <w:sz w:val="24"/>
          <w:szCs w:val="24"/>
        </w:rPr>
        <w:t>Supplementary Figure S4</w:t>
      </w:r>
      <w:r w:rsidR="00CF78DE" w:rsidRPr="00DA0EB0">
        <w:rPr>
          <w:rFonts w:ascii="Arial" w:hAnsi="Arial" w:cs="Arial"/>
          <w:b/>
          <w:sz w:val="24"/>
          <w:szCs w:val="24"/>
        </w:rPr>
        <w:t>.</w:t>
      </w:r>
      <w:proofErr w:type="gramEnd"/>
      <w:r w:rsidR="00CF78DE" w:rsidRPr="00DA0EB0">
        <w:rPr>
          <w:rFonts w:ascii="Arial" w:hAnsi="Arial" w:cs="Arial"/>
          <w:b/>
          <w:sz w:val="24"/>
          <w:szCs w:val="24"/>
        </w:rPr>
        <w:t xml:space="preserve"> Determination of cut-off values using ROC analysis. </w:t>
      </w:r>
      <w:r w:rsidR="00CF78DE" w:rsidRPr="00DA0EB0">
        <w:rPr>
          <w:rFonts w:ascii="Arial" w:hAnsi="Arial" w:cs="Arial"/>
          <w:sz w:val="24"/>
          <w:szCs w:val="24"/>
        </w:rPr>
        <w:t>The data obtained by our ‘three-in-one’ ELISA showed high agreement with the averaged qualitative results of commercially-available kits, used as reference (or the base of the binary classifier system) for AUROC calculations.</w:t>
      </w:r>
    </w:p>
    <w:p w:rsidR="00F63087" w:rsidRPr="002D21B6" w:rsidRDefault="00F63087" w:rsidP="00CF78DE">
      <w:pPr>
        <w:spacing w:line="480" w:lineRule="auto"/>
        <w:rPr>
          <w:rFonts w:ascii="Arial" w:hAnsi="Arial" w:cs="Arial"/>
          <w:sz w:val="24"/>
          <w:szCs w:val="24"/>
        </w:rPr>
      </w:pPr>
    </w:p>
    <w:p w:rsidR="00CF78DE" w:rsidRPr="002D21B6" w:rsidRDefault="00544E63" w:rsidP="0097307C">
      <w:pPr>
        <w:spacing w:line="480" w:lineRule="auto"/>
        <w:rPr>
          <w:rFonts w:ascii="Arial" w:hAnsi="Arial" w:cs="Arial"/>
          <w:sz w:val="24"/>
          <w:szCs w:val="24"/>
        </w:rPr>
      </w:pPr>
      <w:bookmarkStart w:id="0" w:name="_GoBack"/>
      <w:proofErr w:type="gramStart"/>
      <w:r w:rsidRPr="005B3B98">
        <w:rPr>
          <w:rFonts w:ascii="Arial" w:hAnsi="Arial" w:cs="Arial"/>
          <w:b/>
          <w:sz w:val="24"/>
          <w:szCs w:val="24"/>
        </w:rPr>
        <w:t>Supplementary Figure S5.</w:t>
      </w:r>
      <w:proofErr w:type="gramEnd"/>
      <w:r w:rsidRPr="005B3B98">
        <w:rPr>
          <w:rFonts w:ascii="Arial" w:hAnsi="Arial" w:cs="Arial"/>
          <w:b/>
          <w:sz w:val="24"/>
          <w:szCs w:val="24"/>
        </w:rPr>
        <w:t xml:space="preserve"> </w:t>
      </w:r>
      <w:proofErr w:type="gramStart"/>
      <w:r w:rsidR="00DA0EB0" w:rsidRPr="005B3B98">
        <w:rPr>
          <w:rFonts w:ascii="Arial" w:hAnsi="Arial" w:cs="Arial"/>
          <w:b/>
          <w:sz w:val="24"/>
          <w:szCs w:val="24"/>
        </w:rPr>
        <w:t>Testing of different blocking buffers</w:t>
      </w:r>
      <w:r w:rsidRPr="005B3B98">
        <w:rPr>
          <w:rFonts w:ascii="Arial" w:hAnsi="Arial" w:cs="Arial"/>
          <w:b/>
          <w:sz w:val="24"/>
          <w:szCs w:val="24"/>
        </w:rPr>
        <w:t>.</w:t>
      </w:r>
      <w:proofErr w:type="gramEnd"/>
      <w:r w:rsidRPr="005B3B98">
        <w:rPr>
          <w:rFonts w:ascii="Arial" w:hAnsi="Arial" w:cs="Arial"/>
          <w:b/>
          <w:sz w:val="24"/>
          <w:szCs w:val="24"/>
        </w:rPr>
        <w:t xml:space="preserve"> </w:t>
      </w:r>
      <w:r w:rsidR="00067C7F" w:rsidRPr="005B3B98">
        <w:rPr>
          <w:rFonts w:ascii="Arial" w:hAnsi="Arial" w:cs="Arial"/>
          <w:sz w:val="24"/>
          <w:szCs w:val="24"/>
        </w:rPr>
        <w:t xml:space="preserve">The chart shows OD results obtained </w:t>
      </w:r>
      <w:r w:rsidR="0097307C" w:rsidRPr="005B3B98">
        <w:rPr>
          <w:rFonts w:ascii="Arial" w:hAnsi="Arial" w:cs="Arial"/>
          <w:sz w:val="24"/>
          <w:szCs w:val="24"/>
        </w:rPr>
        <w:t>for</w:t>
      </w:r>
      <w:r w:rsidR="00067C7F" w:rsidRPr="005B3B98">
        <w:rPr>
          <w:rFonts w:ascii="Arial" w:hAnsi="Arial" w:cs="Arial"/>
          <w:sz w:val="24"/>
          <w:szCs w:val="24"/>
        </w:rPr>
        <w:t xml:space="preserve"> plates </w:t>
      </w:r>
      <w:r w:rsidR="00721BAD">
        <w:rPr>
          <w:rFonts w:ascii="Arial" w:hAnsi="Arial" w:cs="Arial"/>
          <w:sz w:val="24"/>
          <w:szCs w:val="24"/>
        </w:rPr>
        <w:t xml:space="preserve">without antigen </w:t>
      </w:r>
      <w:r w:rsidR="00721BAD" w:rsidRPr="005B3B98">
        <w:rPr>
          <w:rFonts w:ascii="Arial" w:hAnsi="Arial" w:cs="Arial"/>
          <w:sz w:val="24"/>
          <w:szCs w:val="24"/>
        </w:rPr>
        <w:t>coat</w:t>
      </w:r>
      <w:r w:rsidR="00721BAD">
        <w:rPr>
          <w:rFonts w:ascii="Arial" w:hAnsi="Arial" w:cs="Arial"/>
          <w:sz w:val="24"/>
          <w:szCs w:val="24"/>
        </w:rPr>
        <w:t>ing</w:t>
      </w:r>
      <w:r w:rsidR="00721BAD" w:rsidRPr="005B3B98">
        <w:rPr>
          <w:rFonts w:ascii="Arial" w:hAnsi="Arial" w:cs="Arial"/>
          <w:sz w:val="24"/>
          <w:szCs w:val="24"/>
        </w:rPr>
        <w:t xml:space="preserve"> </w:t>
      </w:r>
      <w:r w:rsidR="00067C7F" w:rsidRPr="005B3B98">
        <w:rPr>
          <w:rFonts w:ascii="Arial" w:hAnsi="Arial" w:cs="Arial"/>
          <w:sz w:val="24"/>
          <w:szCs w:val="24"/>
        </w:rPr>
        <w:t xml:space="preserve">that were only pre-treated with the different blocking buffers (4-6°C, </w:t>
      </w:r>
      <w:r w:rsidR="003F5296">
        <w:rPr>
          <w:rFonts w:ascii="Arial" w:hAnsi="Arial" w:cs="Arial"/>
          <w:sz w:val="24"/>
          <w:szCs w:val="24"/>
        </w:rPr>
        <w:t>overnight</w:t>
      </w:r>
      <w:r w:rsidR="00067C7F" w:rsidRPr="005B3B98">
        <w:rPr>
          <w:rFonts w:ascii="Arial" w:hAnsi="Arial" w:cs="Arial"/>
          <w:sz w:val="24"/>
          <w:szCs w:val="24"/>
        </w:rPr>
        <w:t xml:space="preserve">). Despite the lack the </w:t>
      </w:r>
      <w:r w:rsidR="0097307C" w:rsidRPr="005B3B98">
        <w:rPr>
          <w:rFonts w:ascii="Arial" w:hAnsi="Arial" w:cs="Arial"/>
          <w:sz w:val="24"/>
          <w:szCs w:val="24"/>
        </w:rPr>
        <w:t xml:space="preserve">of </w:t>
      </w:r>
      <w:proofErr w:type="spellStart"/>
      <w:r w:rsidR="0097307C" w:rsidRPr="005B3B98">
        <w:rPr>
          <w:rFonts w:ascii="Arial" w:hAnsi="Arial" w:cs="Arial"/>
          <w:sz w:val="24"/>
          <w:szCs w:val="24"/>
        </w:rPr>
        <w:t>analyte</w:t>
      </w:r>
      <w:proofErr w:type="spellEnd"/>
      <w:r w:rsidR="00067C7F" w:rsidRPr="005B3B98">
        <w:rPr>
          <w:rFonts w:ascii="Arial" w:hAnsi="Arial" w:cs="Arial"/>
          <w:sz w:val="24"/>
          <w:szCs w:val="24"/>
        </w:rPr>
        <w:t xml:space="preserve">–specific antigens, </w:t>
      </w:r>
      <w:r w:rsidR="0097307C" w:rsidRPr="005B3B98">
        <w:rPr>
          <w:rFonts w:ascii="Arial" w:hAnsi="Arial" w:cs="Arial"/>
          <w:sz w:val="24"/>
          <w:szCs w:val="24"/>
        </w:rPr>
        <w:t>for S1 and S2 dilution points elevated</w:t>
      </w:r>
      <w:r w:rsidR="00067C7F" w:rsidRPr="005B3B98">
        <w:rPr>
          <w:rFonts w:ascii="Arial" w:hAnsi="Arial" w:cs="Arial"/>
          <w:sz w:val="24"/>
          <w:szCs w:val="24"/>
        </w:rPr>
        <w:t xml:space="preserve"> absorbance values were observable </w:t>
      </w:r>
      <w:r w:rsidR="0097307C" w:rsidRPr="005B3B98">
        <w:rPr>
          <w:rFonts w:ascii="Arial" w:hAnsi="Arial" w:cs="Arial"/>
          <w:sz w:val="24"/>
          <w:szCs w:val="24"/>
        </w:rPr>
        <w:t xml:space="preserve">in the presence of milk powder, bovine gelatine and the Block ACE, suggesting that these non-synthetic coatings may </w:t>
      </w:r>
      <w:r w:rsidR="00C706E2">
        <w:rPr>
          <w:rFonts w:ascii="Arial" w:hAnsi="Arial" w:cs="Arial"/>
          <w:sz w:val="24"/>
          <w:szCs w:val="24"/>
        </w:rPr>
        <w:t>result in non-</w:t>
      </w:r>
      <w:r w:rsidR="0097307C" w:rsidRPr="005B3B98">
        <w:rPr>
          <w:rFonts w:ascii="Arial" w:hAnsi="Arial" w:cs="Arial"/>
          <w:sz w:val="24"/>
          <w:szCs w:val="24"/>
        </w:rPr>
        <w:t xml:space="preserve">specific </w:t>
      </w:r>
      <w:r w:rsidR="00002E0F">
        <w:rPr>
          <w:rFonts w:ascii="Arial" w:hAnsi="Arial" w:cs="Arial"/>
          <w:sz w:val="24"/>
          <w:szCs w:val="24"/>
        </w:rPr>
        <w:t>signals</w:t>
      </w:r>
      <w:r w:rsidR="0097307C" w:rsidRPr="005B3B98">
        <w:rPr>
          <w:rFonts w:ascii="Arial" w:hAnsi="Arial" w:cs="Arial"/>
          <w:sz w:val="24"/>
          <w:szCs w:val="24"/>
        </w:rPr>
        <w:t>.</w:t>
      </w:r>
    </w:p>
    <w:bookmarkEnd w:id="0"/>
    <w:p w:rsidR="00965CF7" w:rsidRPr="002D21B6" w:rsidRDefault="00965CF7">
      <w:pPr>
        <w:rPr>
          <w:rFonts w:ascii="Arial" w:hAnsi="Arial" w:cs="Arial"/>
          <w:sz w:val="24"/>
          <w:szCs w:val="24"/>
        </w:rPr>
      </w:pPr>
    </w:p>
    <w:p w:rsidR="00CF78DE" w:rsidRPr="002D21B6" w:rsidRDefault="00CF78DE">
      <w:pPr>
        <w:rPr>
          <w:rFonts w:ascii="Arial" w:hAnsi="Arial" w:cs="Arial"/>
          <w:b/>
          <w:sz w:val="24"/>
          <w:szCs w:val="24"/>
        </w:rPr>
      </w:pPr>
      <w:r w:rsidRPr="002D21B6">
        <w:rPr>
          <w:rFonts w:ascii="Arial" w:hAnsi="Arial" w:cs="Arial"/>
          <w:b/>
          <w:sz w:val="24"/>
          <w:szCs w:val="24"/>
        </w:rPr>
        <w:br w:type="page"/>
      </w:r>
    </w:p>
    <w:p w:rsidR="00461CDC" w:rsidRPr="002D21B6" w:rsidRDefault="00461CDC" w:rsidP="00461CDC">
      <w:pPr>
        <w:spacing w:line="240" w:lineRule="auto"/>
        <w:rPr>
          <w:rFonts w:ascii="Arial" w:hAnsi="Arial" w:cs="Arial"/>
          <w:sz w:val="24"/>
          <w:szCs w:val="24"/>
        </w:rPr>
      </w:pPr>
      <w:r w:rsidRPr="002D21B6">
        <w:rPr>
          <w:rFonts w:ascii="Arial" w:hAnsi="Arial" w:cs="Arial"/>
          <w:b/>
          <w:sz w:val="24"/>
          <w:szCs w:val="24"/>
        </w:rPr>
        <w:lastRenderedPageBreak/>
        <w:t>Table 1</w:t>
      </w:r>
      <w:r w:rsidRPr="002D21B6">
        <w:rPr>
          <w:rFonts w:ascii="Arial" w:hAnsi="Arial" w:cs="Arial"/>
          <w:b/>
          <w:sz w:val="24"/>
          <w:szCs w:val="24"/>
        </w:rPr>
        <w:tab/>
      </w:r>
      <w:r w:rsidRPr="002D21B6">
        <w:rPr>
          <w:rFonts w:ascii="Arial" w:hAnsi="Arial" w:cs="Arial"/>
          <w:sz w:val="24"/>
          <w:szCs w:val="24"/>
        </w:rPr>
        <w:t>Age group categorization</w:t>
      </w:r>
    </w:p>
    <w:tbl>
      <w:tblPr>
        <w:tblStyle w:val="Vilgosrnykols5jellszn"/>
        <w:tblW w:w="10456" w:type="dxa"/>
        <w:tblBorders>
          <w:top w:val="none" w:sz="0" w:space="0" w:color="auto"/>
          <w:bottom w:val="none" w:sz="0" w:space="0" w:color="auto"/>
        </w:tblBorders>
        <w:tblLook w:val="04A0" w:firstRow="1" w:lastRow="0" w:firstColumn="1" w:lastColumn="0" w:noHBand="0" w:noVBand="1"/>
      </w:tblPr>
      <w:tblGrid>
        <w:gridCol w:w="2802"/>
        <w:gridCol w:w="7654"/>
      </w:tblGrid>
      <w:tr w:rsidR="00FE1DE8" w:rsidRPr="002D21B6" w:rsidTr="00F8339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none" w:sz="0" w:space="0" w:color="auto"/>
            </w:tcBorders>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Age groups</w:t>
            </w:r>
          </w:p>
        </w:tc>
        <w:tc>
          <w:tcPr>
            <w:tcW w:w="7654" w:type="dxa"/>
            <w:tcBorders>
              <w:top w:val="single" w:sz="4" w:space="0" w:color="auto"/>
              <w:bottom w:val="none" w:sz="0" w:space="0" w:color="auto"/>
            </w:tcBorders>
          </w:tcPr>
          <w:p w:rsidR="00461CDC" w:rsidRPr="002D21B6" w:rsidRDefault="00461CDC" w:rsidP="00461CDC">
            <w:pPr>
              <w:pStyle w:val="Nincstrkz"/>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Explanation, rationale</w:t>
            </w:r>
          </w:p>
        </w:tc>
      </w:tr>
      <w:tr w:rsidR="00FE1DE8" w:rsidRPr="002D21B6" w:rsidTr="00272AA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rsidR="00461CDC" w:rsidRPr="002D21B6" w:rsidRDefault="00461CDC" w:rsidP="00461CDC">
            <w:pPr>
              <w:pStyle w:val="Nincstrkz"/>
              <w:spacing w:line="480" w:lineRule="auto"/>
              <w:rPr>
                <w:rFonts w:ascii="Arial" w:hAnsi="Arial" w:cs="Arial"/>
                <w:color w:val="auto"/>
                <w:sz w:val="20"/>
                <w:szCs w:val="20"/>
              </w:rPr>
            </w:pPr>
          </w:p>
        </w:tc>
        <w:tc>
          <w:tcPr>
            <w:tcW w:w="7654" w:type="dxa"/>
            <w:shd w:val="clear" w:color="auto" w:fill="D9D9D9" w:themeFill="background1" w:themeFillShade="D9"/>
          </w:tcPr>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Vaccination groups were defined by adding the number of months indicated for the first childhood vaccine (e.g. 15 months of age) to the dates of birth. For example, a person born in February 1990 was assigned to age-group </w:t>
            </w:r>
            <w:r w:rsidRPr="002D21B6">
              <w:rPr>
                <w:rFonts w:ascii="Arial" w:hAnsi="Arial" w:cs="Arial"/>
                <w:i/>
                <w:color w:val="auto"/>
                <w:sz w:val="20"/>
                <w:szCs w:val="20"/>
              </w:rPr>
              <w:t>“Patients vaccinated between 1991- 1995”</w:t>
            </w:r>
            <w:r w:rsidRPr="002D21B6">
              <w:rPr>
                <w:rFonts w:ascii="Arial" w:hAnsi="Arial" w:cs="Arial"/>
                <w:color w:val="auto"/>
                <w:sz w:val="20"/>
                <w:szCs w:val="20"/>
              </w:rPr>
              <w:t>, since this individual received the first measles (MMR) vaccine in May 1991.</w:t>
            </w:r>
          </w:p>
        </w:tc>
      </w:tr>
      <w:tr w:rsidR="00FE1DE8" w:rsidRPr="002D21B6" w:rsidTr="00965CF7">
        <w:tc>
          <w:tcPr>
            <w:cnfStyle w:val="001000000000" w:firstRow="0" w:lastRow="0" w:firstColumn="1" w:lastColumn="0" w:oddVBand="0" w:evenVBand="0" w:oddHBand="0" w:evenHBand="0" w:firstRowFirstColumn="0" w:firstRowLastColumn="0" w:lastRowFirstColumn="0" w:lastRowLastColumn="0"/>
            <w:tcW w:w="2802" w:type="dxa"/>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Patients born before 1969</w:t>
            </w:r>
          </w:p>
        </w:tc>
        <w:tc>
          <w:tcPr>
            <w:tcW w:w="7654" w:type="dxa"/>
          </w:tcPr>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Unvaccinated patients, wild-type infections. 1969: introduction of measles vaccine in Hungary (live, attenuated Leningrad-16 strain produced in the Soviet Union). </w:t>
            </w:r>
          </w:p>
        </w:tc>
      </w:tr>
      <w:tr w:rsidR="00FE1DE8" w:rsidRPr="002D21B6" w:rsidTr="00272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 xml:space="preserve">Patients vaccinated between 1969 - 1977 </w:t>
            </w:r>
          </w:p>
        </w:tc>
        <w:tc>
          <w:tcPr>
            <w:tcW w:w="7654" w:type="dxa"/>
            <w:shd w:val="clear" w:color="auto" w:fill="D9D9D9" w:themeFill="background1" w:themeFillShade="D9"/>
          </w:tcPr>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From 1969 to 1974, a single dose of measles vaccine was administered in mass campaigns to persons 9-27 months of age. The recommended age for vaccination was 10 months until 1978, when it was changed to 14 months. After the</w:t>
            </w:r>
            <w:r w:rsidRPr="002D21B6">
              <w:rPr>
                <w:color w:val="auto"/>
              </w:rPr>
              <w:t xml:space="preserve"> </w:t>
            </w:r>
            <w:r w:rsidRPr="002D21B6">
              <w:rPr>
                <w:rFonts w:ascii="Arial" w:hAnsi="Arial" w:cs="Arial"/>
                <w:color w:val="auto"/>
                <w:sz w:val="20"/>
                <w:szCs w:val="20"/>
              </w:rPr>
              <w:t xml:space="preserve">1980-81 </w:t>
            </w:r>
            <w:r w:rsidR="003C7420" w:rsidRPr="002D21B6">
              <w:rPr>
                <w:rFonts w:ascii="Arial" w:hAnsi="Arial" w:cs="Arial"/>
                <w:color w:val="auto"/>
                <w:sz w:val="20"/>
                <w:szCs w:val="20"/>
              </w:rPr>
              <w:t>epidemics</w:t>
            </w:r>
            <w:r w:rsidRPr="002D21B6">
              <w:rPr>
                <w:rFonts w:ascii="Arial" w:hAnsi="Arial" w:cs="Arial"/>
                <w:color w:val="auto"/>
                <w:sz w:val="20"/>
                <w:szCs w:val="20"/>
              </w:rPr>
              <w:t>, persons born between 1973 and 1977, who would have received vaccine when the recommended age was 10 months, were revaccinated. After 1989, children were re-vaccinated at the age of 11 years with monovalent measles vaccine in a scheduled manner. Consequently, the first individuals who received a reminder vaccine at the age of 11 were born in 1978. Thus, the cluster of 1969-77 was the last that did not receive a reminder vaccine at the age of 11 as a part of the official vaccine schedule.</w:t>
            </w:r>
          </w:p>
        </w:tc>
      </w:tr>
      <w:tr w:rsidR="00FE1DE8" w:rsidRPr="002D21B6" w:rsidTr="00965CF7">
        <w:tc>
          <w:tcPr>
            <w:cnfStyle w:val="001000000000" w:firstRow="0" w:lastRow="0" w:firstColumn="1" w:lastColumn="0" w:oddVBand="0" w:evenVBand="0" w:oddHBand="0" w:evenHBand="0" w:firstRowFirstColumn="0" w:firstRowLastColumn="0" w:lastRowFirstColumn="0" w:lastRowLastColumn="0"/>
            <w:tcW w:w="2802" w:type="dxa"/>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Patients vaccinated between 1978 - 1987</w:t>
            </w:r>
          </w:p>
        </w:tc>
        <w:tc>
          <w:tcPr>
            <w:tcW w:w="7654" w:type="dxa"/>
          </w:tcPr>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These are the first individuals who benefited from the reminder monovalent measles vaccine at the age of 11. In 1999 the administration of trivalent vaccine was started in Hungary, consequently who received the first trivalent vaccine in 1999 were born in 1988.</w:t>
            </w:r>
          </w:p>
        </w:tc>
      </w:tr>
      <w:tr w:rsidR="00FE1DE8" w:rsidRPr="002D21B6" w:rsidTr="00272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Patients vaccinated between 1988 - 1990</w:t>
            </w:r>
          </w:p>
        </w:tc>
        <w:tc>
          <w:tcPr>
            <w:tcW w:w="7654" w:type="dxa"/>
            <w:shd w:val="clear" w:color="auto" w:fill="D9D9D9" w:themeFill="background1" w:themeFillShade="D9"/>
          </w:tcPr>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In 1989 the rubella vaccine was introduced, and the monovalent measles reminder vaccine at age 11 was started.</w:t>
            </w:r>
          </w:p>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1990: Introduction of measles-rubella bivalent vaccines.</w:t>
            </w:r>
          </w:p>
        </w:tc>
      </w:tr>
      <w:tr w:rsidR="00FE1DE8" w:rsidRPr="002D21B6" w:rsidTr="00965CF7">
        <w:tc>
          <w:tcPr>
            <w:cnfStyle w:val="001000000000" w:firstRow="0" w:lastRow="0" w:firstColumn="1" w:lastColumn="0" w:oddVBand="0" w:evenVBand="0" w:oddHBand="0" w:evenHBand="0" w:firstRowFirstColumn="0" w:firstRowLastColumn="0" w:lastRowFirstColumn="0" w:lastRowLastColumn="0"/>
            <w:tcW w:w="2802" w:type="dxa"/>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Patients vaccinated between 1991 - 1995</w:t>
            </w:r>
          </w:p>
        </w:tc>
        <w:tc>
          <w:tcPr>
            <w:tcW w:w="7654" w:type="dxa"/>
          </w:tcPr>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The administration of the first vaccine at age 14 months lasted from 1978 to 1991. </w:t>
            </w:r>
          </w:p>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1991: Measles-mumps-rubella trivalent vaccine </w:t>
            </w:r>
          </w:p>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lastRenderedPageBreak/>
              <w:t>1992: MMR vaccine at age 15 months</w:t>
            </w:r>
          </w:p>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1996: Introduction of  MERCK MMR II - Enders' </w:t>
            </w:r>
            <w:proofErr w:type="spellStart"/>
            <w:r w:rsidRPr="002D21B6">
              <w:rPr>
                <w:rFonts w:ascii="Arial" w:hAnsi="Arial" w:cs="Arial"/>
                <w:color w:val="auto"/>
                <w:sz w:val="20"/>
                <w:szCs w:val="20"/>
              </w:rPr>
              <w:t>Edmonston</w:t>
            </w:r>
            <w:proofErr w:type="spellEnd"/>
            <w:r w:rsidRPr="002D21B6">
              <w:rPr>
                <w:rFonts w:ascii="Arial" w:hAnsi="Arial" w:cs="Arial"/>
                <w:color w:val="auto"/>
                <w:sz w:val="20"/>
                <w:szCs w:val="20"/>
              </w:rPr>
              <w:t xml:space="preserve"> strain (live, attenuated)</w:t>
            </w:r>
          </w:p>
        </w:tc>
      </w:tr>
      <w:tr w:rsidR="00FE1DE8" w:rsidRPr="002D21B6" w:rsidTr="00272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lastRenderedPageBreak/>
              <w:t>Patients born between 1996 – 1998</w:t>
            </w:r>
          </w:p>
        </w:tc>
        <w:tc>
          <w:tcPr>
            <w:tcW w:w="7654" w:type="dxa"/>
            <w:shd w:val="clear" w:color="auto" w:fill="D9D9D9" w:themeFill="background1" w:themeFillShade="D9"/>
          </w:tcPr>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1996: Introduction of  MERCK MMR II - Enders' </w:t>
            </w:r>
            <w:proofErr w:type="spellStart"/>
            <w:r w:rsidRPr="002D21B6">
              <w:rPr>
                <w:rFonts w:ascii="Arial" w:hAnsi="Arial" w:cs="Arial"/>
                <w:color w:val="auto"/>
                <w:sz w:val="20"/>
                <w:szCs w:val="20"/>
              </w:rPr>
              <w:t>Edmonston</w:t>
            </w:r>
            <w:proofErr w:type="spellEnd"/>
            <w:r w:rsidRPr="002D21B6">
              <w:rPr>
                <w:rFonts w:ascii="Arial" w:hAnsi="Arial" w:cs="Arial"/>
                <w:color w:val="auto"/>
                <w:sz w:val="20"/>
                <w:szCs w:val="20"/>
              </w:rPr>
              <w:t xml:space="preserve"> strain (live, attenuated)</w:t>
            </w:r>
          </w:p>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1999: Measles-mumps-rubella re-vaccination </w:t>
            </w:r>
            <w:r w:rsidR="00C14A98" w:rsidRPr="002D21B6">
              <w:rPr>
                <w:rFonts w:ascii="Arial" w:hAnsi="Arial" w:cs="Arial"/>
                <w:color w:val="auto"/>
                <w:sz w:val="20"/>
                <w:szCs w:val="20"/>
              </w:rPr>
              <w:t xml:space="preserve">(reminder shot) </w:t>
            </w:r>
            <w:r w:rsidRPr="002D21B6">
              <w:rPr>
                <w:rFonts w:ascii="Arial" w:hAnsi="Arial" w:cs="Arial"/>
                <w:color w:val="auto"/>
                <w:sz w:val="20"/>
                <w:szCs w:val="20"/>
              </w:rPr>
              <w:t>instead of monovalent measles vaccine</w:t>
            </w:r>
          </w:p>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1999: Introduction of  GSK PLUSERIX - Measles Schwarz Strain</w:t>
            </w:r>
          </w:p>
        </w:tc>
      </w:tr>
      <w:tr w:rsidR="00FE1DE8" w:rsidRPr="002D21B6" w:rsidTr="00965CF7">
        <w:tc>
          <w:tcPr>
            <w:cnfStyle w:val="001000000000" w:firstRow="0" w:lastRow="0" w:firstColumn="1" w:lastColumn="0" w:oddVBand="0" w:evenVBand="0" w:oddHBand="0" w:evenHBand="0" w:firstRowFirstColumn="0" w:firstRowLastColumn="0" w:lastRowFirstColumn="0" w:lastRowLastColumn="0"/>
            <w:tcW w:w="2802" w:type="dxa"/>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Patients vaccinated between 1999 - 2002</w:t>
            </w:r>
          </w:p>
        </w:tc>
        <w:tc>
          <w:tcPr>
            <w:tcW w:w="7654" w:type="dxa"/>
          </w:tcPr>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1999: Introduction of  GSK PLUSERIX - Measles Schwarz Strain </w:t>
            </w:r>
          </w:p>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2003: Introduction of the GSK PRIORIX vaccine</w:t>
            </w:r>
          </w:p>
        </w:tc>
      </w:tr>
      <w:tr w:rsidR="00FE1DE8" w:rsidRPr="002D21B6" w:rsidTr="00272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Patients vaccinated in 2003</w:t>
            </w:r>
          </w:p>
        </w:tc>
        <w:tc>
          <w:tcPr>
            <w:tcW w:w="7654" w:type="dxa"/>
            <w:shd w:val="clear" w:color="auto" w:fill="D9D9D9" w:themeFill="background1" w:themeFillShade="D9"/>
          </w:tcPr>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2003: Introduction of the GSK PRIORIX vaccine - attenuated Schwarz Measles</w:t>
            </w:r>
          </w:p>
        </w:tc>
      </w:tr>
      <w:tr w:rsidR="00FE1DE8" w:rsidRPr="002D21B6" w:rsidTr="00965CF7">
        <w:tc>
          <w:tcPr>
            <w:cnfStyle w:val="001000000000" w:firstRow="0" w:lastRow="0" w:firstColumn="1" w:lastColumn="0" w:oddVBand="0" w:evenVBand="0" w:oddHBand="0" w:evenHBand="0" w:firstRowFirstColumn="0" w:firstRowLastColumn="0" w:lastRowFirstColumn="0" w:lastRowLastColumn="0"/>
            <w:tcW w:w="2802" w:type="dxa"/>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Patients vaccinated in 2004 – 2005</w:t>
            </w:r>
          </w:p>
        </w:tc>
        <w:tc>
          <w:tcPr>
            <w:tcW w:w="7654" w:type="dxa"/>
          </w:tcPr>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2004-2005: Administration of the MERCK MMR II</w:t>
            </w:r>
          </w:p>
        </w:tc>
      </w:tr>
      <w:tr w:rsidR="00FE1DE8" w:rsidRPr="002D21B6" w:rsidTr="00272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Patients vaccinated between 2006 - 2010</w:t>
            </w:r>
          </w:p>
        </w:tc>
        <w:tc>
          <w:tcPr>
            <w:tcW w:w="7654" w:type="dxa"/>
            <w:shd w:val="clear" w:color="auto" w:fill="D9D9D9" w:themeFill="background1" w:themeFillShade="D9"/>
          </w:tcPr>
          <w:p w:rsidR="00461CDC" w:rsidRPr="002D21B6" w:rsidRDefault="00461CDC" w:rsidP="00461CDC">
            <w:pPr>
              <w:pStyle w:val="Nincstrkz"/>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2006-2010 (5-year tender): GSK PRIORIX - attenuated Schwarz Measles</w:t>
            </w:r>
          </w:p>
        </w:tc>
      </w:tr>
      <w:tr w:rsidR="00FE1DE8" w:rsidRPr="002D21B6" w:rsidTr="001A2F8B">
        <w:tc>
          <w:tcPr>
            <w:cnfStyle w:val="001000000000" w:firstRow="0" w:lastRow="0" w:firstColumn="1" w:lastColumn="0" w:oddVBand="0" w:evenVBand="0" w:oddHBand="0" w:evenHBand="0" w:firstRowFirstColumn="0" w:firstRowLastColumn="0" w:lastRowFirstColumn="0" w:lastRowLastColumn="0"/>
            <w:tcW w:w="2802" w:type="dxa"/>
          </w:tcPr>
          <w:p w:rsidR="00461CDC" w:rsidRPr="002D21B6" w:rsidRDefault="00461CDC"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 xml:space="preserve">Patients vaccinated after 2011 </w:t>
            </w:r>
          </w:p>
        </w:tc>
        <w:tc>
          <w:tcPr>
            <w:tcW w:w="7654" w:type="dxa"/>
          </w:tcPr>
          <w:p w:rsidR="00461CDC" w:rsidRPr="002D21B6" w:rsidRDefault="00461CDC" w:rsidP="00461CDC">
            <w:pPr>
              <w:pStyle w:val="Nincstrkz"/>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2D21B6">
              <w:rPr>
                <w:rFonts w:ascii="Arial" w:hAnsi="Arial" w:cs="Arial"/>
                <w:color w:val="auto"/>
                <w:sz w:val="20"/>
                <w:szCs w:val="20"/>
              </w:rPr>
              <w:t xml:space="preserve">Beginning from 2011 we use a Sanofi-MSD product; </w:t>
            </w:r>
            <w:proofErr w:type="spellStart"/>
            <w:r w:rsidRPr="002D21B6">
              <w:rPr>
                <w:rFonts w:ascii="Arial" w:hAnsi="Arial" w:cs="Arial"/>
                <w:color w:val="auto"/>
                <w:sz w:val="20"/>
                <w:szCs w:val="20"/>
              </w:rPr>
              <w:t>MMRvaxPro</w:t>
            </w:r>
            <w:proofErr w:type="spellEnd"/>
            <w:r w:rsidRPr="002D21B6">
              <w:rPr>
                <w:rFonts w:ascii="Arial" w:hAnsi="Arial" w:cs="Arial"/>
                <w:color w:val="auto"/>
                <w:sz w:val="20"/>
                <w:szCs w:val="20"/>
              </w:rPr>
              <w:t xml:space="preserve"> (Measles virus</w:t>
            </w:r>
            <w:r w:rsidRPr="002D21B6">
              <w:rPr>
                <w:rFonts w:ascii="Arial" w:hAnsi="Arial" w:cs="Arial"/>
                <w:color w:val="auto"/>
                <w:sz w:val="20"/>
                <w:szCs w:val="20"/>
                <w:vertAlign w:val="superscript"/>
              </w:rPr>
              <w:t xml:space="preserve"> </w:t>
            </w:r>
            <w:r w:rsidRPr="002D21B6">
              <w:rPr>
                <w:rFonts w:ascii="Arial" w:hAnsi="Arial" w:cs="Arial"/>
                <w:color w:val="auto"/>
                <w:sz w:val="20"/>
                <w:szCs w:val="20"/>
              </w:rPr>
              <w:t xml:space="preserve">Enders' </w:t>
            </w:r>
            <w:proofErr w:type="spellStart"/>
            <w:r w:rsidRPr="002D21B6">
              <w:rPr>
                <w:rFonts w:ascii="Arial" w:hAnsi="Arial" w:cs="Arial"/>
                <w:color w:val="auto"/>
                <w:sz w:val="20"/>
                <w:szCs w:val="20"/>
              </w:rPr>
              <w:t>Edmonston</w:t>
            </w:r>
            <w:proofErr w:type="spellEnd"/>
            <w:r w:rsidRPr="002D21B6">
              <w:rPr>
                <w:rFonts w:ascii="Arial" w:hAnsi="Arial" w:cs="Arial"/>
                <w:color w:val="auto"/>
                <w:sz w:val="20"/>
                <w:szCs w:val="20"/>
              </w:rPr>
              <w:t xml:space="preserve"> strain, live, attenuated) for vaccination and re-vaccination of children; GSK PRIORIX is still on the market, commonly used for vaccination in adulthood.</w:t>
            </w:r>
          </w:p>
        </w:tc>
      </w:tr>
      <w:tr w:rsidR="00FE1DE8" w:rsidRPr="002D21B6" w:rsidTr="00272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F2DBDB" w:themeFill="accent2" w:themeFillTint="33"/>
          </w:tcPr>
          <w:p w:rsidR="00F952B0" w:rsidRPr="002D21B6" w:rsidRDefault="00F952B0"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Epidemics:</w:t>
            </w:r>
            <w:r w:rsidR="004B42D5" w:rsidRPr="002D21B6">
              <w:rPr>
                <w:rFonts w:ascii="Arial" w:hAnsi="Arial" w:cs="Arial"/>
                <w:color w:val="auto"/>
                <w:sz w:val="20"/>
                <w:szCs w:val="20"/>
              </w:rPr>
              <w:t xml:space="preserve"> </w:t>
            </w:r>
          </w:p>
          <w:p w:rsidR="00F952B0" w:rsidRPr="002D21B6" w:rsidRDefault="00F952B0" w:rsidP="00461CDC">
            <w:pPr>
              <w:pStyle w:val="Nincstrkz"/>
              <w:spacing w:line="480" w:lineRule="auto"/>
              <w:rPr>
                <w:rFonts w:ascii="Arial" w:hAnsi="Arial" w:cs="Arial"/>
                <w:color w:val="auto"/>
                <w:sz w:val="20"/>
                <w:szCs w:val="20"/>
              </w:rPr>
            </w:pPr>
            <w:r w:rsidRPr="002D21B6">
              <w:rPr>
                <w:rFonts w:ascii="Arial" w:hAnsi="Arial" w:cs="Arial"/>
                <w:color w:val="auto"/>
                <w:sz w:val="20"/>
                <w:szCs w:val="20"/>
              </w:rPr>
              <w:t xml:space="preserve">1973-74: </w:t>
            </w:r>
            <w:r w:rsidR="00DC4A7F" w:rsidRPr="002D21B6">
              <w:rPr>
                <w:rFonts w:ascii="Arial" w:hAnsi="Arial" w:cs="Arial"/>
                <w:color w:val="auto"/>
                <w:sz w:val="20"/>
                <w:szCs w:val="20"/>
              </w:rPr>
              <w:t xml:space="preserve">large epidemics, affecting </w:t>
            </w:r>
            <w:r w:rsidRPr="002D21B6">
              <w:rPr>
                <w:rFonts w:ascii="Arial" w:hAnsi="Arial" w:cs="Arial"/>
                <w:color w:val="auto"/>
                <w:sz w:val="20"/>
                <w:szCs w:val="20"/>
              </w:rPr>
              <w:t>primarily unvaccinated 6-9-year</w:t>
            </w:r>
            <w:r w:rsidR="00C135BE" w:rsidRPr="002D21B6">
              <w:rPr>
                <w:rFonts w:ascii="Arial" w:hAnsi="Arial" w:cs="Arial"/>
                <w:color w:val="auto"/>
                <w:sz w:val="20"/>
                <w:szCs w:val="20"/>
              </w:rPr>
              <w:t>s</w:t>
            </w:r>
            <w:r w:rsidRPr="002D21B6">
              <w:rPr>
                <w:rFonts w:ascii="Arial" w:hAnsi="Arial" w:cs="Arial"/>
                <w:color w:val="auto"/>
                <w:sz w:val="20"/>
                <w:szCs w:val="20"/>
              </w:rPr>
              <w:t>-old children</w:t>
            </w:r>
            <w:r w:rsidR="00C55986" w:rsidRPr="002D21B6">
              <w:rPr>
                <w:rFonts w:ascii="Arial" w:hAnsi="Arial" w:cs="Arial"/>
                <w:sz w:val="20"/>
                <w:szCs w:val="20"/>
              </w:rPr>
              <w:fldChar w:fldCharType="begin" w:fldLock="1"/>
            </w:r>
            <w:r w:rsidR="00491630" w:rsidRPr="002D21B6">
              <w:rPr>
                <w:rFonts w:ascii="Arial" w:hAnsi="Arial" w:cs="Arial"/>
                <w:color w:val="auto"/>
                <w:sz w:val="20"/>
                <w:szCs w:val="20"/>
              </w:rPr>
              <w:instrText>ADDIN CSL_CITATION {"citationItems":[{"id":"ITEM-1","itemData":{"URL":"https://www.cdc.gov/mmwr/preview/mmwrhtml/00001472.htm","accessed":{"date-parts":[["2018","5","3"]]},"id":"ITEM-1","issued":{"date-parts":[["0"]]},"title":"International Notes Measles -- Hungary","type":"webpage"},"uris":["http://www.mendeley.com/documents/?uuid=edc2c5ce-02f4-3201-b824-2472edd8131c"]}],"mendeley":{"formattedCitation":"[27]","plainTextFormattedCitation":"[27]","previouslyFormattedCitation":"[27]"},"properties":{"noteIndex":0},"schema":"https://github.com/citation-style-language/schema/raw/master/csl-citation.json"}</w:instrText>
            </w:r>
            <w:r w:rsidR="00C55986" w:rsidRPr="002D21B6">
              <w:rPr>
                <w:rFonts w:ascii="Arial" w:hAnsi="Arial" w:cs="Arial"/>
                <w:sz w:val="20"/>
                <w:szCs w:val="20"/>
              </w:rPr>
              <w:fldChar w:fldCharType="separate"/>
            </w:r>
            <w:r w:rsidR="00491630" w:rsidRPr="002D21B6">
              <w:rPr>
                <w:rFonts w:ascii="Arial" w:hAnsi="Arial" w:cs="Arial"/>
                <w:b w:val="0"/>
                <w:noProof/>
                <w:color w:val="auto"/>
                <w:sz w:val="20"/>
                <w:szCs w:val="20"/>
              </w:rPr>
              <w:t>[27]</w:t>
            </w:r>
            <w:r w:rsidR="00C55986" w:rsidRPr="002D21B6">
              <w:rPr>
                <w:rFonts w:ascii="Arial" w:hAnsi="Arial" w:cs="Arial"/>
                <w:sz w:val="20"/>
                <w:szCs w:val="20"/>
              </w:rPr>
              <w:fldChar w:fldCharType="end"/>
            </w:r>
          </w:p>
          <w:p w:rsidR="00DC4A7F" w:rsidRPr="002D21B6" w:rsidRDefault="00DC4A7F" w:rsidP="00C55986">
            <w:pPr>
              <w:pStyle w:val="Nincstrkz"/>
              <w:spacing w:line="480" w:lineRule="auto"/>
              <w:rPr>
                <w:rFonts w:ascii="Arial" w:hAnsi="Arial" w:cs="Arial"/>
                <w:color w:val="auto"/>
                <w:sz w:val="20"/>
                <w:szCs w:val="20"/>
              </w:rPr>
            </w:pPr>
            <w:r w:rsidRPr="002D21B6">
              <w:rPr>
                <w:rFonts w:ascii="Arial" w:hAnsi="Arial" w:cs="Arial"/>
                <w:color w:val="auto"/>
                <w:sz w:val="20"/>
                <w:szCs w:val="20"/>
              </w:rPr>
              <w:t>1980-81: another significant epidemic, affecting primarily 7-10-years old children</w:t>
            </w:r>
            <w:r w:rsidR="00C55986" w:rsidRPr="002D21B6">
              <w:rPr>
                <w:rFonts w:ascii="Arial" w:hAnsi="Arial" w:cs="Arial"/>
                <w:color w:val="auto"/>
                <w:sz w:val="20"/>
                <w:szCs w:val="20"/>
              </w:rPr>
              <w:t xml:space="preserve"> </w:t>
            </w:r>
            <w:r w:rsidR="00C55986" w:rsidRPr="002D21B6">
              <w:rPr>
                <w:rFonts w:ascii="Arial" w:hAnsi="Arial" w:cs="Arial"/>
                <w:sz w:val="20"/>
                <w:szCs w:val="20"/>
              </w:rPr>
              <w:fldChar w:fldCharType="begin" w:fldLock="1"/>
            </w:r>
            <w:r w:rsidR="00491630" w:rsidRPr="002D21B6">
              <w:rPr>
                <w:rFonts w:ascii="Arial" w:hAnsi="Arial" w:cs="Arial"/>
                <w:color w:val="auto"/>
                <w:sz w:val="20"/>
                <w:szCs w:val="20"/>
              </w:rPr>
              <w:instrText>ADDIN CSL_CITATION {"citationItems":[{"id":"ITEM-1","itemData":{"URL":"https://www.cdc.gov/mmwr/preview/mmwrhtml/00001472.htm","accessed":{"date-parts":[["2018","5","3"]]},"id":"ITEM-1","issued":{"date-parts":[["0"]]},"title":"International Notes Measles -- Hungary","type":"webpage"},"uris":["http://www.mendeley.com/documents/?uuid=edc2c5ce-02f4-3201-b824-2472edd8131c"]}],"mendeley":{"formattedCitation":"[27]","plainTextFormattedCitation":"[27]","previouslyFormattedCitation":"[27]"},"properties":{"noteIndex":0},"schema":"https://github.com/citation-style-language/schema/raw/master/csl-citation.json"}</w:instrText>
            </w:r>
            <w:r w:rsidR="00C55986" w:rsidRPr="002D21B6">
              <w:rPr>
                <w:rFonts w:ascii="Arial" w:hAnsi="Arial" w:cs="Arial"/>
                <w:sz w:val="20"/>
                <w:szCs w:val="20"/>
              </w:rPr>
              <w:fldChar w:fldCharType="separate"/>
            </w:r>
            <w:r w:rsidR="00491630" w:rsidRPr="002D21B6">
              <w:rPr>
                <w:rFonts w:ascii="Arial" w:hAnsi="Arial" w:cs="Arial"/>
                <w:b w:val="0"/>
                <w:noProof/>
                <w:color w:val="auto"/>
                <w:sz w:val="20"/>
                <w:szCs w:val="20"/>
              </w:rPr>
              <w:t>[27]</w:t>
            </w:r>
            <w:r w:rsidR="00C55986" w:rsidRPr="002D21B6">
              <w:rPr>
                <w:rFonts w:ascii="Arial" w:hAnsi="Arial" w:cs="Arial"/>
                <w:sz w:val="20"/>
                <w:szCs w:val="20"/>
              </w:rPr>
              <w:fldChar w:fldCharType="end"/>
            </w:r>
          </w:p>
          <w:p w:rsidR="00DC4A7F" w:rsidRPr="002D21B6" w:rsidRDefault="00DC4A7F" w:rsidP="00C55986">
            <w:pPr>
              <w:pStyle w:val="Nincstrkz"/>
              <w:spacing w:line="480" w:lineRule="auto"/>
              <w:rPr>
                <w:rFonts w:ascii="Arial" w:hAnsi="Arial" w:cs="Arial"/>
                <w:color w:val="auto"/>
                <w:sz w:val="20"/>
                <w:szCs w:val="20"/>
              </w:rPr>
            </w:pPr>
            <w:r w:rsidRPr="002D21B6">
              <w:rPr>
                <w:rFonts w:ascii="Arial" w:hAnsi="Arial" w:cs="Arial"/>
                <w:color w:val="auto"/>
                <w:sz w:val="20"/>
                <w:szCs w:val="20"/>
              </w:rPr>
              <w:t>1988-89: epidemic with high age-specific attack rates of 17-21 years old individuals</w:t>
            </w:r>
            <w:r w:rsidR="00A672B1" w:rsidRPr="002D21B6">
              <w:rPr>
                <w:rFonts w:ascii="Arial" w:hAnsi="Arial" w:cs="Arial"/>
                <w:color w:val="auto"/>
                <w:sz w:val="20"/>
                <w:szCs w:val="20"/>
              </w:rPr>
              <w:t xml:space="preserve"> , </w:t>
            </w:r>
            <w:r w:rsidRPr="002D21B6">
              <w:rPr>
                <w:rFonts w:ascii="Arial" w:hAnsi="Arial" w:cs="Arial"/>
                <w:color w:val="auto"/>
                <w:sz w:val="20"/>
                <w:szCs w:val="20"/>
              </w:rPr>
              <w:t xml:space="preserve">who had been </w:t>
            </w:r>
            <w:r w:rsidR="00A672B1" w:rsidRPr="002D21B6">
              <w:rPr>
                <w:rFonts w:ascii="Arial" w:hAnsi="Arial" w:cs="Arial"/>
                <w:color w:val="auto"/>
                <w:sz w:val="20"/>
                <w:szCs w:val="20"/>
              </w:rPr>
              <w:t>vaccinated</w:t>
            </w:r>
            <w:r w:rsidRPr="002D21B6">
              <w:rPr>
                <w:rFonts w:ascii="Arial" w:hAnsi="Arial" w:cs="Arial"/>
                <w:color w:val="auto"/>
                <w:sz w:val="20"/>
                <w:szCs w:val="20"/>
              </w:rPr>
              <w:t xml:space="preserve"> during the first years of the vaccination program in Hungary</w:t>
            </w:r>
            <w:r w:rsidR="00C55986" w:rsidRPr="002D21B6">
              <w:rPr>
                <w:rFonts w:ascii="Arial" w:hAnsi="Arial" w:cs="Arial"/>
                <w:color w:val="auto"/>
                <w:sz w:val="20"/>
                <w:szCs w:val="20"/>
              </w:rPr>
              <w:t xml:space="preserve"> </w:t>
            </w:r>
            <w:r w:rsidR="00C55986" w:rsidRPr="002D21B6">
              <w:rPr>
                <w:rFonts w:ascii="Arial" w:hAnsi="Arial" w:cs="Arial"/>
                <w:sz w:val="20"/>
                <w:szCs w:val="20"/>
              </w:rPr>
              <w:fldChar w:fldCharType="begin" w:fldLock="1"/>
            </w:r>
            <w:r w:rsidR="00491630" w:rsidRPr="002D21B6">
              <w:rPr>
                <w:rFonts w:ascii="Arial" w:hAnsi="Arial" w:cs="Arial"/>
                <w:color w:val="auto"/>
                <w:sz w:val="20"/>
                <w:szCs w:val="20"/>
              </w:rPr>
              <w:instrText>ADDIN CSL_CITATION {"citationItems":[{"id":"ITEM-1","itemData":{"URL":"https://www.cdc.gov/mmwr/preview/mmwrhtml/00001472.htm","accessed":{"date-parts":[["2018","5","3"]]},"id":"ITEM-1","issued":{"date-parts":[["0"]]},"title":"International Notes Measles -- Hungary","type":"webpage"},"uris":["http://www.mendeley.com/documents/?uuid=edc2c5ce-02f4-3201-b824-2472edd8131c"]}],"mendeley":{"formattedCitation":"[27]","plainTextFormattedCitation":"[27]","previouslyFormattedCitation":"[27]"},"properties":{"noteIndex":0},"schema":"https://github.com/citation-style-language/schema/raw/master/csl-citation.json"}</w:instrText>
            </w:r>
            <w:r w:rsidR="00C55986" w:rsidRPr="002D21B6">
              <w:rPr>
                <w:rFonts w:ascii="Arial" w:hAnsi="Arial" w:cs="Arial"/>
                <w:sz w:val="20"/>
                <w:szCs w:val="20"/>
              </w:rPr>
              <w:fldChar w:fldCharType="separate"/>
            </w:r>
            <w:r w:rsidR="00491630" w:rsidRPr="002D21B6">
              <w:rPr>
                <w:rFonts w:ascii="Arial" w:hAnsi="Arial" w:cs="Arial"/>
                <w:b w:val="0"/>
                <w:noProof/>
                <w:color w:val="auto"/>
                <w:sz w:val="20"/>
                <w:szCs w:val="20"/>
              </w:rPr>
              <w:t>[27]</w:t>
            </w:r>
            <w:r w:rsidR="00C55986" w:rsidRPr="002D21B6">
              <w:rPr>
                <w:rFonts w:ascii="Arial" w:hAnsi="Arial" w:cs="Arial"/>
                <w:sz w:val="20"/>
                <w:szCs w:val="20"/>
              </w:rPr>
              <w:fldChar w:fldCharType="end"/>
            </w:r>
          </w:p>
          <w:p w:rsidR="001A2F8B" w:rsidRPr="002D21B6" w:rsidRDefault="001A2F8B" w:rsidP="00C55986">
            <w:pPr>
              <w:pStyle w:val="Nincstrkz"/>
              <w:spacing w:line="480" w:lineRule="auto"/>
              <w:rPr>
                <w:rFonts w:ascii="Arial" w:hAnsi="Arial" w:cs="Arial"/>
                <w:color w:val="auto"/>
                <w:sz w:val="20"/>
                <w:szCs w:val="20"/>
              </w:rPr>
            </w:pPr>
            <w:r w:rsidRPr="002D21B6">
              <w:rPr>
                <w:rFonts w:ascii="Arial" w:hAnsi="Arial" w:cs="Arial"/>
                <w:color w:val="auto"/>
                <w:sz w:val="20"/>
                <w:szCs w:val="20"/>
              </w:rPr>
              <w:t xml:space="preserve">2017-18: Smaller epidemics with </w:t>
            </w:r>
            <w:r w:rsidR="00A672B1" w:rsidRPr="002D21B6">
              <w:rPr>
                <w:rFonts w:ascii="Arial" w:hAnsi="Arial" w:cs="Arial"/>
                <w:color w:val="auto"/>
                <w:sz w:val="20"/>
                <w:szCs w:val="20"/>
              </w:rPr>
              <w:t xml:space="preserve">few </w:t>
            </w:r>
            <w:r w:rsidR="00C135BE" w:rsidRPr="002D21B6">
              <w:rPr>
                <w:rFonts w:ascii="Arial" w:hAnsi="Arial" w:cs="Arial"/>
                <w:color w:val="auto"/>
                <w:sz w:val="20"/>
                <w:szCs w:val="20"/>
              </w:rPr>
              <w:t>connected and</w:t>
            </w:r>
            <w:r w:rsidR="00A672B1" w:rsidRPr="002D21B6">
              <w:rPr>
                <w:rFonts w:ascii="Arial" w:hAnsi="Arial" w:cs="Arial"/>
                <w:color w:val="auto"/>
                <w:sz w:val="20"/>
                <w:szCs w:val="20"/>
              </w:rPr>
              <w:t xml:space="preserve"> sporadic cases, derived mainly from virus importation</w:t>
            </w:r>
            <w:r w:rsidR="00C55986" w:rsidRPr="002D21B6">
              <w:rPr>
                <w:rFonts w:ascii="Arial" w:hAnsi="Arial" w:cs="Arial"/>
                <w:color w:val="auto"/>
                <w:sz w:val="20"/>
                <w:szCs w:val="20"/>
              </w:rPr>
              <w:t xml:space="preserve"> </w:t>
            </w:r>
            <w:r w:rsidR="00C55986" w:rsidRPr="002D21B6">
              <w:rPr>
                <w:rFonts w:ascii="Arial" w:hAnsi="Arial" w:cs="Arial"/>
                <w:sz w:val="20"/>
                <w:szCs w:val="20"/>
              </w:rPr>
              <w:fldChar w:fldCharType="begin" w:fldLock="1"/>
            </w:r>
            <w:r w:rsidR="00491630" w:rsidRPr="002D21B6">
              <w:rPr>
                <w:rFonts w:ascii="Arial" w:hAnsi="Arial" w:cs="Arial"/>
                <w:color w:val="auto"/>
                <w:sz w:val="20"/>
                <w:szCs w:val="20"/>
              </w:rPr>
              <w:instrText>ADDIN CSL_CITATION {"citationItems":[{"id":"ITEM-1","itemData":{"URL":"https://www.cdc.gov/mmwr/preview/mmwrhtml/00001472.htm","accessed":{"date-parts":[["2018","5","3"]]},"id":"ITEM-1","issued":{"date-parts":[["0"]]},"title":"International Notes Measles -- Hungary","type":"webpage"},"uris":["http://www.mendeley.com/documents/?uuid=edc2c5ce-02f4-3201-b824-2472edd8131c"]}],"mendeley":{"formattedCitation":"[27]","plainTextFormattedCitation":"[27]","previouslyFormattedCitation":"[27]"},"properties":{"noteIndex":0},"schema":"https://github.com/citation-style-language/schema/raw/master/csl-citation.json"}</w:instrText>
            </w:r>
            <w:r w:rsidR="00C55986" w:rsidRPr="002D21B6">
              <w:rPr>
                <w:rFonts w:ascii="Arial" w:hAnsi="Arial" w:cs="Arial"/>
                <w:sz w:val="20"/>
                <w:szCs w:val="20"/>
              </w:rPr>
              <w:fldChar w:fldCharType="separate"/>
            </w:r>
            <w:r w:rsidR="00491630" w:rsidRPr="002D21B6">
              <w:rPr>
                <w:rFonts w:ascii="Arial" w:hAnsi="Arial" w:cs="Arial"/>
                <w:b w:val="0"/>
                <w:noProof/>
                <w:color w:val="auto"/>
                <w:sz w:val="20"/>
                <w:szCs w:val="20"/>
              </w:rPr>
              <w:t>[27]</w:t>
            </w:r>
            <w:r w:rsidR="00C55986" w:rsidRPr="002D21B6">
              <w:rPr>
                <w:rFonts w:ascii="Arial" w:hAnsi="Arial" w:cs="Arial"/>
                <w:sz w:val="20"/>
                <w:szCs w:val="20"/>
              </w:rPr>
              <w:fldChar w:fldCharType="end"/>
            </w:r>
          </w:p>
        </w:tc>
      </w:tr>
    </w:tbl>
    <w:p w:rsidR="00461CDC" w:rsidRPr="002D21B6" w:rsidRDefault="00461CDC" w:rsidP="00461CDC">
      <w:pPr>
        <w:spacing w:line="480" w:lineRule="auto"/>
        <w:rPr>
          <w:rFonts w:ascii="Arial" w:hAnsi="Arial" w:cs="Arial"/>
          <w:sz w:val="28"/>
          <w:szCs w:val="28"/>
        </w:rPr>
      </w:pPr>
    </w:p>
    <w:p w:rsidR="00461CDC" w:rsidRPr="002D21B6" w:rsidRDefault="00461CDC" w:rsidP="00461CDC">
      <w:pPr>
        <w:rPr>
          <w:rFonts w:ascii="Arial" w:hAnsi="Arial" w:cs="Arial"/>
          <w:sz w:val="28"/>
          <w:szCs w:val="28"/>
        </w:rPr>
      </w:pPr>
      <w:r w:rsidRPr="002D21B6">
        <w:rPr>
          <w:rFonts w:ascii="Arial" w:hAnsi="Arial" w:cs="Arial"/>
          <w:sz w:val="28"/>
          <w:szCs w:val="28"/>
        </w:rPr>
        <w:br w:type="page"/>
      </w:r>
    </w:p>
    <w:p w:rsidR="00461CDC" w:rsidRPr="002D21B6" w:rsidRDefault="00461CDC" w:rsidP="00461CDC">
      <w:pPr>
        <w:spacing w:line="480" w:lineRule="auto"/>
        <w:rPr>
          <w:rFonts w:ascii="Arial" w:hAnsi="Arial" w:cs="Arial"/>
          <w:sz w:val="24"/>
          <w:szCs w:val="24"/>
        </w:rPr>
      </w:pPr>
    </w:p>
    <w:p w:rsidR="00461CDC" w:rsidRPr="002D21B6" w:rsidRDefault="00461CDC" w:rsidP="00461CDC">
      <w:pPr>
        <w:spacing w:line="240" w:lineRule="auto"/>
        <w:rPr>
          <w:rFonts w:ascii="Arial" w:hAnsi="Arial" w:cs="Arial"/>
          <w:sz w:val="24"/>
          <w:szCs w:val="24"/>
        </w:rPr>
      </w:pPr>
      <w:r w:rsidRPr="002D21B6">
        <w:rPr>
          <w:rFonts w:ascii="Arial" w:hAnsi="Arial" w:cs="Arial"/>
          <w:b/>
          <w:bCs/>
          <w:sz w:val="24"/>
          <w:szCs w:val="24"/>
        </w:rPr>
        <w:t>Table 2</w:t>
      </w:r>
      <w:r w:rsidRPr="002D21B6">
        <w:rPr>
          <w:rFonts w:ascii="Arial" w:hAnsi="Arial" w:cs="Arial"/>
          <w:b/>
          <w:bCs/>
          <w:sz w:val="24"/>
          <w:szCs w:val="24"/>
        </w:rPr>
        <w:tab/>
      </w:r>
      <w:r w:rsidRPr="002D21B6">
        <w:rPr>
          <w:rFonts w:ascii="Arial" w:hAnsi="Arial" w:cs="Arial"/>
          <w:sz w:val="24"/>
          <w:szCs w:val="24"/>
        </w:rPr>
        <w:t>Summary of major steps of the MMR indirect ELISA protocol</w:t>
      </w:r>
    </w:p>
    <w:p w:rsidR="00461CDC" w:rsidRPr="002D21B6" w:rsidRDefault="00461CDC" w:rsidP="00461CDC">
      <w:pPr>
        <w:spacing w:line="240" w:lineRule="auto"/>
        <w:rPr>
          <w:rFonts w:ascii="Arial" w:hAnsi="Arial" w:cs="Arial"/>
          <w:b/>
          <w:bCs/>
          <w:sz w:val="24"/>
          <w:szCs w:val="24"/>
        </w:rPr>
      </w:pPr>
    </w:p>
    <w:tbl>
      <w:tblPr>
        <w:tblStyle w:val="Vilgostnus"/>
        <w:tblW w:w="5000" w:type="pct"/>
        <w:tblBorders>
          <w:top w:val="none" w:sz="0" w:space="0" w:color="auto"/>
          <w:bottom w:val="none" w:sz="0" w:space="0" w:color="auto"/>
        </w:tblBorders>
        <w:tblLayout w:type="fixed"/>
        <w:tblLook w:val="0420" w:firstRow="1" w:lastRow="0" w:firstColumn="0" w:lastColumn="0" w:noHBand="0" w:noVBand="1"/>
      </w:tblPr>
      <w:tblGrid>
        <w:gridCol w:w="818"/>
        <w:gridCol w:w="140"/>
        <w:gridCol w:w="1418"/>
        <w:gridCol w:w="1216"/>
        <w:gridCol w:w="60"/>
        <w:gridCol w:w="1570"/>
        <w:gridCol w:w="2200"/>
        <w:gridCol w:w="2200"/>
      </w:tblGrid>
      <w:tr w:rsidR="005047CD" w:rsidRPr="002D21B6" w:rsidTr="00272AA1">
        <w:trPr>
          <w:cnfStyle w:val="100000000000" w:firstRow="1" w:lastRow="0" w:firstColumn="0" w:lastColumn="0" w:oddVBand="0" w:evenVBand="0" w:oddHBand="0" w:evenHBand="0" w:firstRowFirstColumn="0" w:firstRowLastColumn="0" w:lastRowFirstColumn="0" w:lastRowLastColumn="0"/>
          <w:trHeight w:val="794"/>
        </w:trPr>
        <w:tc>
          <w:tcPr>
            <w:tcW w:w="1867" w:type="pct"/>
            <w:gridSpan w:val="4"/>
            <w:tcBorders>
              <w:top w:val="single" w:sz="4" w:space="0" w:color="auto"/>
              <w:bottom w:val="none" w:sz="0" w:space="0" w:color="auto"/>
            </w:tcBorders>
            <w:hideMark/>
          </w:tcPr>
          <w:p w:rsidR="00461CDC" w:rsidRPr="002D21B6" w:rsidRDefault="00461CDC" w:rsidP="00461CDC">
            <w:pPr>
              <w:spacing w:line="480" w:lineRule="auto"/>
              <w:textAlignment w:val="bottom"/>
              <w:rPr>
                <w:rFonts w:ascii="Arial" w:eastAsia="Times New Roman" w:hAnsi="Arial" w:cs="Arial"/>
                <w:color w:val="auto"/>
                <w:sz w:val="18"/>
                <w:szCs w:val="18"/>
                <w:lang w:val="hu-HU" w:eastAsia="hu-HU"/>
              </w:rPr>
            </w:pPr>
            <w:r w:rsidRPr="002D21B6">
              <w:rPr>
                <w:rFonts w:ascii="Arial" w:eastAsiaTheme="minorEastAsia" w:hAnsi="Arial" w:cs="Arial"/>
                <w:color w:val="auto"/>
                <w:kern w:val="24"/>
                <w:sz w:val="18"/>
                <w:szCs w:val="18"/>
                <w:lang w:eastAsia="hu-HU"/>
              </w:rPr>
              <w:t>COATING ANTIGEN</w:t>
            </w:r>
          </w:p>
        </w:tc>
        <w:tc>
          <w:tcPr>
            <w:tcW w:w="847" w:type="pct"/>
            <w:gridSpan w:val="2"/>
            <w:tcBorders>
              <w:top w:val="single" w:sz="4" w:space="0" w:color="auto"/>
              <w:bottom w:val="none" w:sz="0" w:space="0" w:color="auto"/>
            </w:tcBorders>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 xml:space="preserve">Bio-Rad PIP013 Measles  virus, </w:t>
            </w:r>
            <w:proofErr w:type="spellStart"/>
            <w:r w:rsidRPr="002D21B6">
              <w:rPr>
                <w:rFonts w:ascii="Arial" w:eastAsia="Times New Roman" w:hAnsi="Arial" w:cs="Arial"/>
                <w:color w:val="auto"/>
                <w:kern w:val="24"/>
                <w:sz w:val="18"/>
                <w:szCs w:val="18"/>
                <w:lang w:eastAsia="hu-HU"/>
              </w:rPr>
              <w:t>Edmonston</w:t>
            </w:r>
            <w:proofErr w:type="spellEnd"/>
            <w:r w:rsidRPr="002D21B6">
              <w:rPr>
                <w:rFonts w:ascii="Arial" w:eastAsia="Times New Roman" w:hAnsi="Arial" w:cs="Arial"/>
                <w:color w:val="auto"/>
                <w:kern w:val="24"/>
                <w:sz w:val="18"/>
                <w:szCs w:val="18"/>
                <w:lang w:eastAsia="hu-HU"/>
              </w:rPr>
              <w:t xml:space="preserve"> strain</w:t>
            </w:r>
          </w:p>
        </w:tc>
        <w:tc>
          <w:tcPr>
            <w:tcW w:w="1143" w:type="pct"/>
            <w:tcBorders>
              <w:top w:val="single" w:sz="4" w:space="0" w:color="auto"/>
              <w:bottom w:val="none" w:sz="0" w:space="0" w:color="auto"/>
            </w:tcBorders>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Bio-Rad PIP014 Mumps virus, Enders strain</w:t>
            </w:r>
          </w:p>
        </w:tc>
        <w:tc>
          <w:tcPr>
            <w:tcW w:w="1143" w:type="pct"/>
            <w:tcBorders>
              <w:top w:val="single" w:sz="4" w:space="0" w:color="auto"/>
              <w:bottom w:val="none" w:sz="0" w:space="0" w:color="auto"/>
            </w:tcBorders>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Bio-Rad PIP044</w:t>
            </w:r>
          </w:p>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Rubella virus, HPV-77 strain</w:t>
            </w:r>
          </w:p>
        </w:tc>
      </w:tr>
      <w:tr w:rsidR="005047CD" w:rsidRPr="002D21B6" w:rsidTr="00272AA1">
        <w:trPr>
          <w:cnfStyle w:val="000000100000" w:firstRow="0" w:lastRow="0" w:firstColumn="0" w:lastColumn="0" w:oddVBand="0" w:evenVBand="0" w:oddHBand="1" w:evenHBand="0" w:firstRowFirstColumn="0" w:firstRowLastColumn="0" w:lastRowFirstColumn="0" w:lastRowLastColumn="0"/>
          <w:trHeight w:val="454"/>
        </w:trPr>
        <w:tc>
          <w:tcPr>
            <w:tcW w:w="498" w:type="pct"/>
            <w:gridSpan w:val="2"/>
            <w:hideMark/>
          </w:tcPr>
          <w:p w:rsidR="008E0BB1" w:rsidRPr="002D21B6" w:rsidRDefault="008E0BB1" w:rsidP="00461CDC">
            <w:pPr>
              <w:spacing w:line="480" w:lineRule="auto"/>
              <w:rPr>
                <w:rFonts w:ascii="Arial" w:eastAsia="Times New Roman" w:hAnsi="Arial" w:cs="Arial"/>
                <w:color w:val="auto"/>
                <w:sz w:val="18"/>
                <w:szCs w:val="18"/>
                <w:lang w:val="hu-HU" w:eastAsia="hu-HU"/>
              </w:rPr>
            </w:pPr>
          </w:p>
        </w:tc>
        <w:tc>
          <w:tcPr>
            <w:tcW w:w="1368" w:type="pct"/>
            <w:gridSpan w:val="2"/>
          </w:tcPr>
          <w:p w:rsidR="008E0BB1" w:rsidRPr="002D21B6" w:rsidRDefault="008E0BB1" w:rsidP="00461CDC">
            <w:pPr>
              <w:spacing w:line="480" w:lineRule="auto"/>
              <w:rPr>
                <w:rFonts w:ascii="Arial" w:eastAsia="Times New Roman" w:hAnsi="Arial" w:cs="Arial"/>
                <w:b/>
                <w:color w:val="auto"/>
                <w:sz w:val="18"/>
                <w:szCs w:val="18"/>
                <w:lang w:val="hu-HU" w:eastAsia="hu-HU"/>
              </w:rPr>
            </w:pPr>
            <w:r w:rsidRPr="002D21B6">
              <w:rPr>
                <w:rFonts w:ascii="Arial" w:eastAsia="Times New Roman" w:hAnsi="Arial" w:cs="Arial"/>
                <w:b/>
                <w:bCs/>
                <w:color w:val="auto"/>
                <w:kern w:val="24"/>
                <w:sz w:val="18"/>
                <w:szCs w:val="18"/>
                <w:lang w:eastAsia="hu-HU"/>
              </w:rPr>
              <w:t xml:space="preserve">CONCENTRATION OF THE </w:t>
            </w:r>
            <w:r w:rsidRPr="002D21B6">
              <w:rPr>
                <w:rFonts w:ascii="Arial" w:eastAsiaTheme="minorEastAsia" w:hAnsi="Arial" w:cs="Arial"/>
                <w:b/>
                <w:color w:val="auto"/>
                <w:kern w:val="24"/>
                <w:sz w:val="18"/>
                <w:szCs w:val="18"/>
                <w:lang w:eastAsia="hu-HU"/>
              </w:rPr>
              <w:t>COATING ANTIGEN</w:t>
            </w:r>
            <w:r w:rsidRPr="002D21B6">
              <w:rPr>
                <w:rFonts w:ascii="Arial" w:eastAsia="Times New Roman" w:hAnsi="Arial" w:cs="Arial"/>
                <w:b/>
                <w:bCs/>
                <w:color w:val="auto"/>
                <w:kern w:val="24"/>
                <w:sz w:val="18"/>
                <w:szCs w:val="18"/>
                <w:lang w:eastAsia="hu-HU"/>
              </w:rPr>
              <w:t xml:space="preserve"> USED ON MICROPLATES</w:t>
            </w:r>
          </w:p>
        </w:tc>
        <w:tc>
          <w:tcPr>
            <w:tcW w:w="847" w:type="pct"/>
            <w:gridSpan w:val="2"/>
            <w:hideMark/>
          </w:tcPr>
          <w:p w:rsidR="008E0BB1" w:rsidRPr="002D21B6" w:rsidRDefault="008E0BB1"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2.8</w:t>
            </w:r>
            <w:r w:rsidRPr="002D21B6">
              <w:rPr>
                <w:rFonts w:ascii="Arial" w:eastAsia="Times New Roman" w:hAnsi="Arial" w:cs="Arial"/>
                <w:color w:val="auto"/>
                <w:kern w:val="24"/>
                <w:sz w:val="18"/>
                <w:szCs w:val="18"/>
                <w:lang w:val="hu-HU" w:eastAsia="hu-HU"/>
              </w:rPr>
              <w:t xml:space="preserve"> </w:t>
            </w:r>
            <w:r w:rsidRPr="002D21B6">
              <w:rPr>
                <w:rFonts w:ascii="Arial" w:eastAsia="Times New Roman" w:hAnsi="Arial" w:cs="Arial"/>
                <w:color w:val="auto"/>
                <w:kern w:val="24"/>
                <w:sz w:val="18"/>
                <w:szCs w:val="18"/>
                <w:lang w:eastAsia="hu-HU"/>
              </w:rPr>
              <w:t>µg/mL</w:t>
            </w:r>
          </w:p>
        </w:tc>
        <w:tc>
          <w:tcPr>
            <w:tcW w:w="1143" w:type="pct"/>
            <w:hideMark/>
          </w:tcPr>
          <w:p w:rsidR="008E0BB1" w:rsidRPr="002D21B6" w:rsidRDefault="008E0BB1"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3</w:t>
            </w:r>
            <w:r w:rsidRPr="002D21B6">
              <w:rPr>
                <w:rFonts w:ascii="Arial" w:eastAsia="Times New Roman" w:hAnsi="Arial" w:cs="Arial"/>
                <w:color w:val="auto"/>
                <w:kern w:val="24"/>
                <w:sz w:val="18"/>
                <w:szCs w:val="18"/>
                <w:lang w:val="hu-HU" w:eastAsia="hu-HU"/>
              </w:rPr>
              <w:t xml:space="preserve"> </w:t>
            </w:r>
            <w:r w:rsidRPr="002D21B6">
              <w:rPr>
                <w:rFonts w:ascii="Arial" w:eastAsia="Times New Roman" w:hAnsi="Arial" w:cs="Arial"/>
                <w:color w:val="auto"/>
                <w:kern w:val="24"/>
                <w:sz w:val="18"/>
                <w:szCs w:val="18"/>
                <w:lang w:eastAsia="hu-HU"/>
              </w:rPr>
              <w:t>µg/mL</w:t>
            </w:r>
          </w:p>
        </w:tc>
        <w:tc>
          <w:tcPr>
            <w:tcW w:w="1143" w:type="pct"/>
            <w:hideMark/>
          </w:tcPr>
          <w:p w:rsidR="008E0BB1" w:rsidRPr="002D21B6" w:rsidRDefault="008E0BB1"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0.4</w:t>
            </w:r>
            <w:r w:rsidRPr="002D21B6">
              <w:rPr>
                <w:rFonts w:ascii="Arial" w:eastAsia="Times New Roman" w:hAnsi="Arial" w:cs="Arial"/>
                <w:color w:val="auto"/>
                <w:kern w:val="24"/>
                <w:sz w:val="18"/>
                <w:szCs w:val="18"/>
                <w:lang w:val="hu-HU" w:eastAsia="hu-HU"/>
              </w:rPr>
              <w:t xml:space="preserve"> </w:t>
            </w:r>
            <w:r w:rsidRPr="002D21B6">
              <w:rPr>
                <w:rFonts w:ascii="Arial" w:eastAsia="Times New Roman" w:hAnsi="Arial" w:cs="Arial"/>
                <w:color w:val="auto"/>
                <w:kern w:val="24"/>
                <w:sz w:val="18"/>
                <w:szCs w:val="18"/>
                <w:lang w:eastAsia="hu-HU"/>
              </w:rPr>
              <w:t>µg/mL</w:t>
            </w:r>
          </w:p>
        </w:tc>
      </w:tr>
      <w:tr w:rsidR="005047CD" w:rsidRPr="002D21B6" w:rsidTr="00272AA1">
        <w:trPr>
          <w:trHeight w:val="680"/>
        </w:trPr>
        <w:tc>
          <w:tcPr>
            <w:tcW w:w="1235" w:type="pct"/>
            <w:gridSpan w:val="3"/>
            <w:hideMark/>
          </w:tcPr>
          <w:p w:rsidR="008E0BB1" w:rsidRPr="002D21B6" w:rsidRDefault="008E0BB1" w:rsidP="00461CDC">
            <w:pPr>
              <w:spacing w:line="480" w:lineRule="auto"/>
              <w:rPr>
                <w:rFonts w:ascii="Arial" w:eastAsia="Times New Roman" w:hAnsi="Arial" w:cs="Arial"/>
                <w:color w:val="auto"/>
                <w:sz w:val="18"/>
                <w:szCs w:val="18"/>
                <w:lang w:val="hu-HU" w:eastAsia="hu-HU"/>
              </w:rPr>
            </w:pPr>
          </w:p>
        </w:tc>
        <w:tc>
          <w:tcPr>
            <w:tcW w:w="3765" w:type="pct"/>
            <w:gridSpan w:val="5"/>
          </w:tcPr>
          <w:p w:rsidR="008E0BB1" w:rsidRPr="002D21B6" w:rsidRDefault="008E0BB1" w:rsidP="00461CDC">
            <w:pPr>
              <w:spacing w:line="480" w:lineRule="auto"/>
              <w:rPr>
                <w:rFonts w:ascii="Arial" w:eastAsia="Times New Roman" w:hAnsi="Arial" w:cs="Arial"/>
                <w:color w:val="auto"/>
                <w:kern w:val="24"/>
                <w:sz w:val="18"/>
                <w:szCs w:val="18"/>
                <w:lang w:eastAsia="hu-HU"/>
              </w:rPr>
            </w:pPr>
            <w:r w:rsidRPr="002D21B6">
              <w:rPr>
                <w:rFonts w:ascii="Arial" w:eastAsia="Times New Roman" w:hAnsi="Arial" w:cs="Arial"/>
                <w:color w:val="auto"/>
                <w:kern w:val="24"/>
                <w:sz w:val="18"/>
                <w:szCs w:val="18"/>
                <w:lang w:eastAsia="hu-HU"/>
              </w:rPr>
              <w:t xml:space="preserve">Antigens are dissolved in ELISA Coating Buffer (Bio-Rad BUF030), overnight at 4-6°C. </w:t>
            </w:r>
          </w:p>
          <w:p w:rsidR="008E0BB1" w:rsidRPr="002D21B6" w:rsidRDefault="008E0BB1"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Blocking ≥ 2 hours, RT with our in-house purely synthetic blocking buffer.</w:t>
            </w:r>
          </w:p>
        </w:tc>
      </w:tr>
      <w:tr w:rsidR="005047CD" w:rsidRPr="002D21B6" w:rsidTr="00272AA1">
        <w:trPr>
          <w:cnfStyle w:val="000000100000" w:firstRow="0" w:lastRow="0" w:firstColumn="0" w:lastColumn="0" w:oddVBand="0" w:evenVBand="0" w:oddHBand="1" w:evenHBand="0" w:firstRowFirstColumn="0" w:firstRowLastColumn="0" w:lastRowFirstColumn="0" w:lastRowLastColumn="0"/>
          <w:trHeight w:val="1134"/>
        </w:trPr>
        <w:tc>
          <w:tcPr>
            <w:tcW w:w="1898" w:type="pct"/>
            <w:gridSpan w:val="5"/>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b/>
                <w:bCs/>
                <w:color w:val="auto"/>
                <w:kern w:val="24"/>
                <w:sz w:val="18"/>
                <w:szCs w:val="18"/>
                <w:lang w:eastAsia="hu-HU"/>
              </w:rPr>
              <w:t>STANDARD /QUALITY CONTROL REAGENT (S1-S5)</w:t>
            </w:r>
          </w:p>
        </w:tc>
        <w:tc>
          <w:tcPr>
            <w:tcW w:w="816" w:type="pct"/>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 xml:space="preserve">3rd WHO International Standard for Anti-Measles (NIBSC code: 97/648) </w:t>
            </w:r>
          </w:p>
        </w:tc>
        <w:tc>
          <w:tcPr>
            <w:tcW w:w="1143" w:type="pct"/>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 xml:space="preserve">Anti-Mumps Quality Control Reagent Sample 1 (NIBSC code: 15/B664) </w:t>
            </w:r>
          </w:p>
        </w:tc>
        <w:tc>
          <w:tcPr>
            <w:tcW w:w="1143" w:type="pct"/>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Anti</w:t>
            </w:r>
            <w:r w:rsidRPr="002D21B6">
              <w:rPr>
                <w:rFonts w:ascii="Arial" w:eastAsia="Times New Roman" w:hAnsi="Arial" w:cs="Arial"/>
                <w:color w:val="auto"/>
                <w:kern w:val="24"/>
                <w:sz w:val="18"/>
                <w:szCs w:val="18"/>
                <w:lang w:val="hu-HU" w:eastAsia="hu-HU"/>
              </w:rPr>
              <w:t>-</w:t>
            </w:r>
            <w:r w:rsidRPr="002D21B6">
              <w:rPr>
                <w:rFonts w:ascii="Arial" w:eastAsia="Times New Roman" w:hAnsi="Arial" w:cs="Arial"/>
                <w:color w:val="auto"/>
                <w:kern w:val="24"/>
                <w:sz w:val="18"/>
                <w:szCs w:val="18"/>
                <w:lang w:eastAsia="hu-HU"/>
              </w:rPr>
              <w:t>Rubella Immunoglobulin 1st WHO International Standard Human (NIBSC code: RUBI-1-94)</w:t>
            </w:r>
          </w:p>
        </w:tc>
      </w:tr>
      <w:tr w:rsidR="008E0BB1" w:rsidRPr="002D21B6" w:rsidTr="00272AA1">
        <w:trPr>
          <w:trHeight w:val="602"/>
        </w:trPr>
        <w:tc>
          <w:tcPr>
            <w:tcW w:w="425" w:type="pct"/>
            <w:shd w:val="clear" w:color="auto" w:fill="auto"/>
            <w:hideMark/>
          </w:tcPr>
          <w:p w:rsidR="0085742D" w:rsidRPr="002D21B6" w:rsidRDefault="0085742D" w:rsidP="00461CDC">
            <w:pPr>
              <w:spacing w:line="480" w:lineRule="auto"/>
              <w:rPr>
                <w:rFonts w:ascii="Arial" w:eastAsia="Times New Roman" w:hAnsi="Arial" w:cs="Arial"/>
                <w:color w:val="auto"/>
                <w:sz w:val="18"/>
                <w:szCs w:val="18"/>
                <w:lang w:val="hu-HU" w:eastAsia="hu-HU"/>
              </w:rPr>
            </w:pPr>
          </w:p>
        </w:tc>
        <w:tc>
          <w:tcPr>
            <w:tcW w:w="1473" w:type="pct"/>
            <w:gridSpan w:val="4"/>
            <w:shd w:val="clear" w:color="auto" w:fill="auto"/>
          </w:tcPr>
          <w:p w:rsidR="0085742D" w:rsidRPr="002D21B6" w:rsidRDefault="0085742D"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b/>
                <w:bCs/>
                <w:color w:val="auto"/>
                <w:kern w:val="24"/>
                <w:sz w:val="18"/>
                <w:szCs w:val="18"/>
                <w:lang w:eastAsia="hu-HU"/>
              </w:rPr>
              <w:t>STARTING CONCENTRATION</w:t>
            </w:r>
            <w:r w:rsidR="008E0BB1" w:rsidRPr="002D21B6">
              <w:rPr>
                <w:rFonts w:ascii="Arial" w:eastAsia="Times New Roman" w:hAnsi="Arial" w:cs="Arial"/>
                <w:b/>
                <w:bCs/>
                <w:color w:val="auto"/>
                <w:kern w:val="24"/>
                <w:sz w:val="18"/>
                <w:szCs w:val="18"/>
                <w:lang w:eastAsia="hu-HU"/>
              </w:rPr>
              <w:t xml:space="preserve"> OF THE STANDARD /QUALITY CONTROL REAGENT</w:t>
            </w:r>
          </w:p>
        </w:tc>
        <w:tc>
          <w:tcPr>
            <w:tcW w:w="816" w:type="pct"/>
            <w:shd w:val="clear" w:color="auto" w:fill="auto"/>
            <w:hideMark/>
          </w:tcPr>
          <w:p w:rsidR="0085742D" w:rsidRPr="002D21B6" w:rsidRDefault="0085742D"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 xml:space="preserve">~ 5000 </w:t>
            </w:r>
            <w:proofErr w:type="spellStart"/>
            <w:r w:rsidRPr="002D21B6">
              <w:rPr>
                <w:rFonts w:ascii="Arial" w:eastAsia="Times New Roman" w:hAnsi="Arial" w:cs="Arial"/>
                <w:color w:val="auto"/>
                <w:kern w:val="24"/>
                <w:sz w:val="18"/>
                <w:szCs w:val="18"/>
                <w:lang w:eastAsia="hu-HU"/>
              </w:rPr>
              <w:t>mIU</w:t>
            </w:r>
            <w:proofErr w:type="spellEnd"/>
            <w:r w:rsidRPr="002D21B6">
              <w:rPr>
                <w:rFonts w:ascii="Arial" w:eastAsia="Times New Roman" w:hAnsi="Arial" w:cs="Arial"/>
                <w:color w:val="auto"/>
                <w:kern w:val="24"/>
                <w:sz w:val="18"/>
                <w:szCs w:val="18"/>
                <w:lang w:eastAsia="hu-HU"/>
              </w:rPr>
              <w:t>/mL</w:t>
            </w:r>
          </w:p>
        </w:tc>
        <w:tc>
          <w:tcPr>
            <w:tcW w:w="1143" w:type="pct"/>
            <w:shd w:val="clear" w:color="auto" w:fill="auto"/>
            <w:hideMark/>
          </w:tcPr>
          <w:p w:rsidR="0085742D" w:rsidRPr="002D21B6" w:rsidRDefault="0085742D"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 1000 ’Mumps Assay Unit’/mL, arbitrarily assigned</w:t>
            </w:r>
          </w:p>
        </w:tc>
        <w:tc>
          <w:tcPr>
            <w:tcW w:w="1143" w:type="pct"/>
            <w:shd w:val="clear" w:color="auto" w:fill="auto"/>
            <w:hideMark/>
          </w:tcPr>
          <w:p w:rsidR="0085742D" w:rsidRPr="002D21B6" w:rsidRDefault="0085742D"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1600 International Units per ampoule</w:t>
            </w:r>
          </w:p>
        </w:tc>
      </w:tr>
      <w:tr w:rsidR="005047CD" w:rsidRPr="002D21B6" w:rsidTr="00272AA1">
        <w:trPr>
          <w:cnfStyle w:val="000000100000" w:firstRow="0" w:lastRow="0" w:firstColumn="0" w:lastColumn="0" w:oddVBand="0" w:evenVBand="0" w:oddHBand="1" w:evenHBand="0" w:firstRowFirstColumn="0" w:firstRowLastColumn="0" w:lastRowFirstColumn="0" w:lastRowLastColumn="0"/>
          <w:trHeight w:val="463"/>
        </w:trPr>
        <w:tc>
          <w:tcPr>
            <w:tcW w:w="1898" w:type="pct"/>
            <w:gridSpan w:val="5"/>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b/>
                <w:bCs/>
                <w:color w:val="auto"/>
                <w:kern w:val="24"/>
                <w:sz w:val="18"/>
                <w:szCs w:val="18"/>
                <w:lang w:eastAsia="hu-HU"/>
              </w:rPr>
              <w:t>NEGATIVE CONTROL (NC)</w:t>
            </w:r>
          </w:p>
        </w:tc>
        <w:tc>
          <w:tcPr>
            <w:tcW w:w="3102" w:type="pct"/>
            <w:gridSpan w:val="3"/>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 xml:space="preserve">A sample </w:t>
            </w:r>
            <w:proofErr w:type="spellStart"/>
            <w:r w:rsidRPr="002D21B6">
              <w:rPr>
                <w:rFonts w:ascii="Arial" w:eastAsia="Times New Roman" w:hAnsi="Arial" w:cs="Arial"/>
                <w:color w:val="auto"/>
                <w:kern w:val="24"/>
                <w:sz w:val="18"/>
                <w:szCs w:val="18"/>
                <w:lang w:eastAsia="hu-HU"/>
              </w:rPr>
              <w:t>fo</w:t>
            </w:r>
            <w:proofErr w:type="spellEnd"/>
            <w:r w:rsidRPr="002D21B6">
              <w:rPr>
                <w:rFonts w:ascii="Arial" w:eastAsia="Times New Roman" w:hAnsi="Arial" w:cs="Arial"/>
                <w:color w:val="auto"/>
                <w:kern w:val="24"/>
                <w:sz w:val="18"/>
                <w:szCs w:val="18"/>
                <w:lang w:val="hu-HU" w:eastAsia="hu-HU"/>
              </w:rPr>
              <w:t>u</w:t>
            </w:r>
            <w:proofErr w:type="spellStart"/>
            <w:r w:rsidRPr="002D21B6">
              <w:rPr>
                <w:rFonts w:ascii="Arial" w:eastAsia="Times New Roman" w:hAnsi="Arial" w:cs="Arial"/>
                <w:color w:val="auto"/>
                <w:kern w:val="24"/>
                <w:sz w:val="18"/>
                <w:szCs w:val="18"/>
                <w:lang w:eastAsia="hu-HU"/>
              </w:rPr>
              <w:t>nd</w:t>
            </w:r>
            <w:proofErr w:type="spellEnd"/>
            <w:r w:rsidRPr="002D21B6">
              <w:rPr>
                <w:rFonts w:ascii="Arial" w:eastAsia="Times New Roman" w:hAnsi="Arial" w:cs="Arial"/>
                <w:color w:val="auto"/>
                <w:kern w:val="24"/>
                <w:sz w:val="18"/>
                <w:szCs w:val="18"/>
                <w:lang w:eastAsia="hu-HU"/>
              </w:rPr>
              <w:t xml:space="preserve"> to be negative in a previous run</w:t>
            </w:r>
          </w:p>
        </w:tc>
      </w:tr>
      <w:tr w:rsidR="005047CD" w:rsidRPr="002D21B6" w:rsidTr="00272AA1">
        <w:trPr>
          <w:trHeight w:val="454"/>
        </w:trPr>
        <w:tc>
          <w:tcPr>
            <w:tcW w:w="1898" w:type="pct"/>
            <w:gridSpan w:val="5"/>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b/>
                <w:bCs/>
                <w:color w:val="auto"/>
                <w:kern w:val="24"/>
                <w:sz w:val="18"/>
                <w:szCs w:val="18"/>
                <w:lang w:eastAsia="hu-HU"/>
              </w:rPr>
              <w:t>POSITIVE CONTROL (PC)</w:t>
            </w:r>
          </w:p>
        </w:tc>
        <w:tc>
          <w:tcPr>
            <w:tcW w:w="3102" w:type="pct"/>
            <w:gridSpan w:val="3"/>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 xml:space="preserve">A sample </w:t>
            </w:r>
            <w:proofErr w:type="spellStart"/>
            <w:r w:rsidRPr="002D21B6">
              <w:rPr>
                <w:rFonts w:ascii="Arial" w:eastAsia="Times New Roman" w:hAnsi="Arial" w:cs="Arial"/>
                <w:color w:val="auto"/>
                <w:kern w:val="24"/>
                <w:sz w:val="18"/>
                <w:szCs w:val="18"/>
                <w:lang w:eastAsia="hu-HU"/>
              </w:rPr>
              <w:t>fo</w:t>
            </w:r>
            <w:proofErr w:type="spellEnd"/>
            <w:r w:rsidRPr="002D21B6">
              <w:rPr>
                <w:rFonts w:ascii="Arial" w:eastAsia="Times New Roman" w:hAnsi="Arial" w:cs="Arial"/>
                <w:color w:val="auto"/>
                <w:kern w:val="24"/>
                <w:sz w:val="18"/>
                <w:szCs w:val="18"/>
                <w:lang w:val="hu-HU" w:eastAsia="hu-HU"/>
              </w:rPr>
              <w:t>u</w:t>
            </w:r>
            <w:proofErr w:type="spellStart"/>
            <w:r w:rsidRPr="002D21B6">
              <w:rPr>
                <w:rFonts w:ascii="Arial" w:eastAsia="Times New Roman" w:hAnsi="Arial" w:cs="Arial"/>
                <w:color w:val="auto"/>
                <w:kern w:val="24"/>
                <w:sz w:val="18"/>
                <w:szCs w:val="18"/>
                <w:lang w:eastAsia="hu-HU"/>
              </w:rPr>
              <w:t>nd</w:t>
            </w:r>
            <w:proofErr w:type="spellEnd"/>
            <w:r w:rsidRPr="002D21B6">
              <w:rPr>
                <w:rFonts w:ascii="Arial" w:eastAsia="Times New Roman" w:hAnsi="Arial" w:cs="Arial"/>
                <w:color w:val="auto"/>
                <w:kern w:val="24"/>
                <w:sz w:val="18"/>
                <w:szCs w:val="18"/>
                <w:lang w:eastAsia="hu-HU"/>
              </w:rPr>
              <w:t xml:space="preserve"> to be positive in a previous run</w:t>
            </w:r>
          </w:p>
        </w:tc>
      </w:tr>
      <w:tr w:rsidR="005047CD" w:rsidRPr="002D21B6" w:rsidTr="00272AA1">
        <w:trPr>
          <w:cnfStyle w:val="000000100000" w:firstRow="0" w:lastRow="0" w:firstColumn="0" w:lastColumn="0" w:oddVBand="0" w:evenVBand="0" w:oddHBand="1" w:evenHBand="0" w:firstRowFirstColumn="0" w:firstRowLastColumn="0" w:lastRowFirstColumn="0" w:lastRowLastColumn="0"/>
          <w:trHeight w:val="340"/>
        </w:trPr>
        <w:tc>
          <w:tcPr>
            <w:tcW w:w="1898" w:type="pct"/>
            <w:gridSpan w:val="5"/>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b/>
                <w:bCs/>
                <w:color w:val="auto"/>
                <w:kern w:val="24"/>
                <w:sz w:val="18"/>
                <w:szCs w:val="18"/>
                <w:lang w:eastAsia="hu-HU"/>
              </w:rPr>
              <w:t>INCUBATION</w:t>
            </w:r>
          </w:p>
        </w:tc>
        <w:tc>
          <w:tcPr>
            <w:tcW w:w="3102" w:type="pct"/>
            <w:gridSpan w:val="3"/>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3</w:t>
            </w:r>
            <w:r w:rsidRPr="002D21B6">
              <w:rPr>
                <w:rFonts w:ascii="Arial" w:eastAsia="Times New Roman" w:hAnsi="Arial" w:cs="Arial"/>
                <w:color w:val="auto"/>
                <w:kern w:val="24"/>
                <w:sz w:val="18"/>
                <w:szCs w:val="18"/>
                <w:lang w:val="hu-HU" w:eastAsia="hu-HU"/>
              </w:rPr>
              <w:t xml:space="preserve"> </w:t>
            </w:r>
            <w:r w:rsidRPr="002D21B6">
              <w:rPr>
                <w:rFonts w:ascii="Arial" w:eastAsia="Times New Roman" w:hAnsi="Arial" w:cs="Arial"/>
                <w:color w:val="auto"/>
                <w:kern w:val="24"/>
                <w:sz w:val="18"/>
                <w:szCs w:val="18"/>
                <w:lang w:eastAsia="hu-HU"/>
              </w:rPr>
              <w:t>x 15 minutes, 37°C</w:t>
            </w:r>
          </w:p>
        </w:tc>
      </w:tr>
      <w:tr w:rsidR="008E0BB1" w:rsidRPr="002D21B6" w:rsidTr="00272AA1">
        <w:trPr>
          <w:trHeight w:val="415"/>
        </w:trPr>
        <w:tc>
          <w:tcPr>
            <w:tcW w:w="1898" w:type="pct"/>
            <w:gridSpan w:val="5"/>
            <w:shd w:val="clear" w:color="auto" w:fill="FFFFFF" w:themeFill="background1"/>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b/>
                <w:bCs/>
                <w:color w:val="auto"/>
                <w:kern w:val="24"/>
                <w:sz w:val="18"/>
                <w:szCs w:val="18"/>
                <w:lang w:eastAsia="hu-HU"/>
              </w:rPr>
              <w:t>COLOR DETECTION</w:t>
            </w:r>
          </w:p>
        </w:tc>
        <w:tc>
          <w:tcPr>
            <w:tcW w:w="3102" w:type="pct"/>
            <w:gridSpan w:val="3"/>
            <w:shd w:val="clear" w:color="auto" w:fill="FFFFFF" w:themeFill="background1"/>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Polyclonal anti-human IgG HRP-conjugated  (</w:t>
            </w:r>
            <w:proofErr w:type="spellStart"/>
            <w:r w:rsidRPr="002D21B6">
              <w:rPr>
                <w:rFonts w:ascii="Arial" w:eastAsia="Times New Roman" w:hAnsi="Arial" w:cs="Arial"/>
                <w:color w:val="auto"/>
                <w:kern w:val="24"/>
                <w:sz w:val="18"/>
                <w:szCs w:val="18"/>
                <w:lang w:eastAsia="hu-HU"/>
              </w:rPr>
              <w:t>Dako</w:t>
            </w:r>
            <w:proofErr w:type="spellEnd"/>
            <w:r w:rsidRPr="002D21B6">
              <w:rPr>
                <w:rFonts w:ascii="Arial" w:eastAsia="Times New Roman" w:hAnsi="Arial" w:cs="Arial"/>
                <w:color w:val="auto"/>
                <w:kern w:val="24"/>
                <w:sz w:val="18"/>
                <w:szCs w:val="18"/>
                <w:lang w:eastAsia="hu-HU"/>
              </w:rPr>
              <w:t xml:space="preserve"> polyclonal rabbit anti-human IgG  or equivalent)</w:t>
            </w:r>
            <w:r w:rsidRPr="002D21B6">
              <w:rPr>
                <w:rFonts w:ascii="Arial" w:eastAsia="Times New Roman" w:hAnsi="Arial" w:cs="Arial"/>
                <w:color w:val="auto"/>
                <w:kern w:val="24"/>
                <w:sz w:val="18"/>
                <w:szCs w:val="18"/>
                <w:lang w:val="hu-HU" w:eastAsia="hu-HU"/>
              </w:rPr>
              <w:t xml:space="preserve"> </w:t>
            </w:r>
            <w:r w:rsidRPr="002D21B6">
              <w:rPr>
                <w:rFonts w:ascii="Arial" w:eastAsia="Times New Roman" w:hAnsi="Arial" w:cs="Arial"/>
                <w:color w:val="auto"/>
                <w:kern w:val="24"/>
                <w:sz w:val="18"/>
                <w:szCs w:val="18"/>
                <w:lang w:eastAsia="hu-HU"/>
              </w:rPr>
              <w:t>+ TMB</w:t>
            </w:r>
          </w:p>
        </w:tc>
      </w:tr>
      <w:tr w:rsidR="005047CD" w:rsidRPr="002D21B6" w:rsidTr="00272AA1">
        <w:trPr>
          <w:cnfStyle w:val="000000100000" w:firstRow="0" w:lastRow="0" w:firstColumn="0" w:lastColumn="0" w:oddVBand="0" w:evenVBand="0" w:oddHBand="1" w:evenHBand="0" w:firstRowFirstColumn="0" w:firstRowLastColumn="0" w:lastRowFirstColumn="0" w:lastRowLastColumn="0"/>
          <w:trHeight w:val="645"/>
        </w:trPr>
        <w:tc>
          <w:tcPr>
            <w:tcW w:w="1898" w:type="pct"/>
            <w:gridSpan w:val="5"/>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b/>
                <w:bCs/>
                <w:color w:val="auto"/>
                <w:kern w:val="24"/>
                <w:sz w:val="18"/>
                <w:szCs w:val="18"/>
                <w:lang w:eastAsia="hu-HU"/>
              </w:rPr>
              <w:t>ADDITIONAL REAGENTS</w:t>
            </w:r>
          </w:p>
        </w:tc>
        <w:tc>
          <w:tcPr>
            <w:tcW w:w="3102" w:type="pct"/>
            <w:gridSpan w:val="3"/>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Washing Buffer (WB), used also for sample dilution in combination with the</w:t>
            </w:r>
            <w:r w:rsidRPr="002D21B6">
              <w:rPr>
                <w:rFonts w:ascii="Arial" w:eastAsia="Times New Roman" w:hAnsi="Arial" w:cs="Arial"/>
                <w:color w:val="auto"/>
                <w:kern w:val="24"/>
                <w:sz w:val="18"/>
                <w:szCs w:val="18"/>
                <w:lang w:val="hu-HU" w:eastAsia="hu-HU"/>
              </w:rPr>
              <w:t xml:space="preserve"> </w:t>
            </w:r>
            <w:r w:rsidRPr="002D21B6">
              <w:rPr>
                <w:rFonts w:ascii="Arial" w:eastAsia="Times New Roman" w:hAnsi="Arial" w:cs="Arial"/>
                <w:color w:val="auto"/>
                <w:kern w:val="24"/>
                <w:sz w:val="18"/>
                <w:szCs w:val="18"/>
                <w:lang w:eastAsia="hu-HU"/>
              </w:rPr>
              <w:t>IgM Reducing Assay Diluent</w:t>
            </w:r>
            <w:r w:rsidRPr="002D21B6">
              <w:rPr>
                <w:rFonts w:ascii="Arial" w:eastAsia="Times New Roman" w:hAnsi="Arial" w:cs="Arial"/>
                <w:color w:val="auto"/>
                <w:kern w:val="24"/>
                <w:sz w:val="18"/>
                <w:szCs w:val="18"/>
                <w:lang w:val="hu-HU" w:eastAsia="hu-HU"/>
              </w:rPr>
              <w:t xml:space="preserve"> (</w:t>
            </w:r>
            <w:r w:rsidRPr="002D21B6">
              <w:rPr>
                <w:rFonts w:ascii="Arial" w:eastAsia="Times New Roman" w:hAnsi="Arial" w:cs="Arial"/>
                <w:color w:val="auto"/>
                <w:kern w:val="24"/>
                <w:sz w:val="18"/>
                <w:szCs w:val="18"/>
                <w:lang w:eastAsia="hu-HU"/>
              </w:rPr>
              <w:t>Bio-Rad BUF038</w:t>
            </w:r>
            <w:r w:rsidRPr="002D21B6">
              <w:rPr>
                <w:rFonts w:ascii="Arial" w:eastAsia="Times New Roman" w:hAnsi="Arial" w:cs="Arial"/>
                <w:color w:val="auto"/>
                <w:kern w:val="24"/>
                <w:sz w:val="18"/>
                <w:szCs w:val="18"/>
                <w:lang w:val="hu-HU" w:eastAsia="hu-HU"/>
              </w:rPr>
              <w:t>)</w:t>
            </w:r>
            <w:r w:rsidRPr="002D21B6">
              <w:rPr>
                <w:rFonts w:ascii="Arial" w:eastAsia="Times New Roman" w:hAnsi="Arial" w:cs="Arial"/>
                <w:color w:val="auto"/>
                <w:kern w:val="24"/>
                <w:sz w:val="18"/>
                <w:szCs w:val="18"/>
                <w:lang w:eastAsia="hu-HU"/>
              </w:rPr>
              <w:t>, as previously</w:t>
            </w:r>
            <w:r w:rsidRPr="002D21B6">
              <w:rPr>
                <w:rFonts w:ascii="Arial" w:eastAsia="Times New Roman" w:hAnsi="Arial" w:cs="Arial"/>
                <w:color w:val="auto"/>
                <w:kern w:val="24"/>
                <w:sz w:val="18"/>
                <w:szCs w:val="18"/>
                <w:lang w:val="hu-HU" w:eastAsia="hu-HU"/>
              </w:rPr>
              <w:t xml:space="preserve"> </w:t>
            </w:r>
            <w:r w:rsidRPr="002D21B6">
              <w:rPr>
                <w:rFonts w:ascii="Arial" w:eastAsia="Times New Roman" w:hAnsi="Arial" w:cs="Arial"/>
                <w:color w:val="auto"/>
                <w:kern w:val="24"/>
                <w:sz w:val="18"/>
                <w:szCs w:val="18"/>
                <w:lang w:eastAsia="hu-HU"/>
              </w:rPr>
              <w:t>described</w:t>
            </w:r>
            <w:r w:rsidRPr="002D21B6">
              <w:rPr>
                <w:rFonts w:ascii="Arial" w:eastAsia="Times New Roman" w:hAnsi="Arial" w:cs="Arial"/>
                <w:color w:val="auto"/>
                <w:kern w:val="24"/>
                <w:sz w:val="18"/>
                <w:szCs w:val="18"/>
                <w:lang w:val="hu-HU" w:eastAsia="hu-HU"/>
              </w:rPr>
              <w:t xml:space="preserve"> (</w:t>
            </w:r>
            <w:proofErr w:type="spellStart"/>
            <w:r w:rsidRPr="002D21B6">
              <w:rPr>
                <w:rFonts w:ascii="Arial" w:eastAsia="Times New Roman" w:hAnsi="Arial" w:cs="Arial"/>
                <w:color w:val="auto"/>
                <w:kern w:val="24"/>
                <w:sz w:val="18"/>
                <w:szCs w:val="18"/>
                <w:lang w:eastAsia="hu-HU"/>
              </w:rPr>
              <w:t>Böröcz</w:t>
            </w:r>
            <w:proofErr w:type="spellEnd"/>
            <w:r w:rsidRPr="002D21B6">
              <w:rPr>
                <w:rFonts w:ascii="Arial" w:eastAsia="Times New Roman" w:hAnsi="Arial" w:cs="Arial"/>
                <w:color w:val="auto"/>
                <w:kern w:val="24"/>
                <w:sz w:val="18"/>
                <w:szCs w:val="18"/>
                <w:lang w:eastAsia="hu-HU"/>
              </w:rPr>
              <w:t xml:space="preserve"> et al.  2019)</w:t>
            </w:r>
          </w:p>
        </w:tc>
      </w:tr>
      <w:tr w:rsidR="008E0BB1" w:rsidRPr="002D21B6" w:rsidTr="00272AA1">
        <w:trPr>
          <w:trHeight w:val="340"/>
        </w:trPr>
        <w:tc>
          <w:tcPr>
            <w:tcW w:w="1898" w:type="pct"/>
            <w:gridSpan w:val="5"/>
            <w:tcBorders>
              <w:bottom w:val="single" w:sz="12" w:space="0" w:color="auto"/>
            </w:tcBorders>
            <w:shd w:val="clear" w:color="auto" w:fill="FFFFFF" w:themeFill="background1"/>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b/>
                <w:bCs/>
                <w:color w:val="auto"/>
                <w:kern w:val="24"/>
                <w:sz w:val="18"/>
                <w:szCs w:val="18"/>
                <w:lang w:eastAsia="hu-HU"/>
              </w:rPr>
              <w:lastRenderedPageBreak/>
              <w:t>AUTOMATION AND READING</w:t>
            </w:r>
          </w:p>
        </w:tc>
        <w:tc>
          <w:tcPr>
            <w:tcW w:w="3102" w:type="pct"/>
            <w:gridSpan w:val="3"/>
            <w:tcBorders>
              <w:bottom w:val="single" w:sz="12" w:space="0" w:color="auto"/>
            </w:tcBorders>
            <w:shd w:val="clear" w:color="auto" w:fill="FFFFFF" w:themeFill="background1"/>
            <w:hideMark/>
          </w:tcPr>
          <w:p w:rsidR="00461CDC" w:rsidRPr="002D21B6" w:rsidRDefault="00461CDC" w:rsidP="00461CDC">
            <w:pPr>
              <w:spacing w:line="480" w:lineRule="auto"/>
              <w:rPr>
                <w:rFonts w:ascii="Arial" w:eastAsia="Times New Roman" w:hAnsi="Arial" w:cs="Arial"/>
                <w:color w:val="auto"/>
                <w:sz w:val="18"/>
                <w:szCs w:val="18"/>
                <w:lang w:val="hu-HU" w:eastAsia="hu-HU"/>
              </w:rPr>
            </w:pPr>
            <w:r w:rsidRPr="002D21B6">
              <w:rPr>
                <w:rFonts w:ascii="Arial" w:eastAsia="Times New Roman" w:hAnsi="Arial" w:cs="Arial"/>
                <w:color w:val="auto"/>
                <w:kern w:val="24"/>
                <w:sz w:val="18"/>
                <w:szCs w:val="18"/>
                <w:lang w:eastAsia="hu-HU"/>
              </w:rPr>
              <w:t xml:space="preserve">Siemens BEP 2000 Advance System, </w:t>
            </w:r>
            <w:r w:rsidRPr="002D21B6">
              <w:rPr>
                <w:rFonts w:ascii="Arial" w:eastAsia="Times New Roman" w:hAnsi="Arial" w:cs="Arial"/>
                <w:color w:val="auto"/>
                <w:kern w:val="24"/>
                <w:sz w:val="18"/>
                <w:szCs w:val="18"/>
                <w:lang w:val="el-GR" w:eastAsia="hu-HU"/>
              </w:rPr>
              <w:t>λ</w:t>
            </w:r>
            <w:r w:rsidRPr="002D21B6">
              <w:rPr>
                <w:rFonts w:ascii="Arial" w:eastAsia="Times New Roman" w:hAnsi="Arial" w:cs="Arial"/>
                <w:color w:val="auto"/>
                <w:kern w:val="24"/>
                <w:sz w:val="18"/>
                <w:szCs w:val="18"/>
                <w:lang w:val="hu-HU" w:eastAsia="hu-HU"/>
              </w:rPr>
              <w:t xml:space="preserve"> = </w:t>
            </w:r>
            <w:r w:rsidRPr="002D21B6">
              <w:rPr>
                <w:rFonts w:ascii="Arial" w:eastAsia="Times New Roman" w:hAnsi="Arial" w:cs="Arial"/>
                <w:color w:val="auto"/>
                <w:kern w:val="24"/>
                <w:sz w:val="18"/>
                <w:szCs w:val="18"/>
                <w:lang w:eastAsia="hu-HU"/>
              </w:rPr>
              <w:t>450/620 nm</w:t>
            </w:r>
          </w:p>
        </w:tc>
      </w:tr>
    </w:tbl>
    <w:p w:rsidR="00461CDC" w:rsidRPr="002D21B6" w:rsidRDefault="00461CDC" w:rsidP="00461CDC">
      <w:pPr>
        <w:rPr>
          <w:rFonts w:ascii="Arial" w:hAnsi="Arial" w:cs="Arial"/>
          <w:sz w:val="24"/>
          <w:szCs w:val="24"/>
        </w:rPr>
      </w:pPr>
    </w:p>
    <w:p w:rsidR="00461CDC" w:rsidRPr="002D21B6" w:rsidRDefault="00461CDC" w:rsidP="00461CDC">
      <w:pPr>
        <w:rPr>
          <w:rFonts w:ascii="Arial" w:hAnsi="Arial" w:cs="Arial"/>
          <w:sz w:val="24"/>
          <w:szCs w:val="24"/>
        </w:rPr>
      </w:pPr>
    </w:p>
    <w:p w:rsidR="00461CDC" w:rsidRPr="002D21B6" w:rsidRDefault="00461CDC" w:rsidP="00461CDC">
      <w:pPr>
        <w:rPr>
          <w:rFonts w:ascii="Arial" w:hAnsi="Arial" w:cs="Arial"/>
          <w:b/>
          <w:sz w:val="24"/>
          <w:szCs w:val="24"/>
        </w:rPr>
      </w:pPr>
      <w:r w:rsidRPr="002D21B6">
        <w:rPr>
          <w:rFonts w:ascii="Arial" w:hAnsi="Arial" w:cs="Arial"/>
          <w:b/>
          <w:sz w:val="24"/>
          <w:szCs w:val="24"/>
        </w:rPr>
        <w:t xml:space="preserve">Table 3 </w:t>
      </w:r>
      <w:r w:rsidRPr="002D21B6">
        <w:rPr>
          <w:rFonts w:ascii="Arial" w:hAnsi="Arial" w:cs="Arial"/>
          <w:b/>
          <w:sz w:val="24"/>
          <w:szCs w:val="24"/>
        </w:rPr>
        <w:tab/>
      </w:r>
      <w:r w:rsidRPr="002D21B6">
        <w:rPr>
          <w:rFonts w:ascii="Arial" w:hAnsi="Arial" w:cs="Arial"/>
          <w:sz w:val="24"/>
          <w:szCs w:val="24"/>
        </w:rPr>
        <w:t>Assay precision and specific assay characteristics*.</w:t>
      </w:r>
    </w:p>
    <w:tbl>
      <w:tblPr>
        <w:tblStyle w:val="Kzepesrnykols21jellszn"/>
        <w:tblW w:w="5000" w:type="pct"/>
        <w:tblLook w:val="0600" w:firstRow="0" w:lastRow="0" w:firstColumn="0" w:lastColumn="0" w:noHBand="1" w:noVBand="1"/>
      </w:tblPr>
      <w:tblGrid>
        <w:gridCol w:w="6518"/>
        <w:gridCol w:w="1157"/>
        <w:gridCol w:w="1010"/>
        <w:gridCol w:w="937"/>
      </w:tblGrid>
      <w:tr w:rsidR="009C4667" w:rsidRPr="002D21B6" w:rsidTr="009C4667">
        <w:trPr>
          <w:trHeight w:val="666"/>
        </w:trPr>
        <w:tc>
          <w:tcPr>
            <w:tcW w:w="3387" w:type="pct"/>
            <w:shd w:val="clear" w:color="auto" w:fill="D9D9D9" w:themeFill="background1" w:themeFillShade="D9"/>
            <w:hideMark/>
          </w:tcPr>
          <w:p w:rsidR="00461CDC" w:rsidRPr="002D21B6" w:rsidRDefault="00461CDC" w:rsidP="00DE7609">
            <w:pPr>
              <w:textAlignment w:val="bottom"/>
              <w:rPr>
                <w:rFonts w:ascii="Arial" w:eastAsia="Times New Roman" w:hAnsi="Arial" w:cs="Arial"/>
                <w:sz w:val="24"/>
                <w:szCs w:val="24"/>
              </w:rPr>
            </w:pPr>
            <w:r w:rsidRPr="002D21B6">
              <w:rPr>
                <w:rFonts w:ascii="Arial" w:eastAsia="Times New Roman" w:hAnsi="Arial" w:cs="Arial"/>
                <w:kern w:val="24"/>
                <w:sz w:val="24"/>
                <w:szCs w:val="24"/>
                <w:lang w:val="hu-HU"/>
              </w:rPr>
              <w:t>SPECIFIC ASSAY CHARACTERISTICS</w:t>
            </w:r>
          </w:p>
          <w:p w:rsidR="00461CDC" w:rsidRPr="002D21B6" w:rsidRDefault="00461CDC" w:rsidP="00DE7609">
            <w:pPr>
              <w:textAlignment w:val="bottom"/>
              <w:rPr>
                <w:rFonts w:ascii="Arial" w:eastAsia="Times New Roman" w:hAnsi="Arial" w:cs="Arial"/>
                <w:sz w:val="24"/>
                <w:szCs w:val="24"/>
              </w:rPr>
            </w:pPr>
            <w:r w:rsidRPr="002D21B6">
              <w:rPr>
                <w:rFonts w:ascii="Arial" w:eastAsia="Times New Roman" w:hAnsi="Arial" w:cs="Arial"/>
                <w:kern w:val="24"/>
                <w:sz w:val="24"/>
                <w:szCs w:val="24"/>
                <w:lang w:val="hu-HU"/>
              </w:rPr>
              <w:t xml:space="preserve">(N </w:t>
            </w:r>
            <w:r w:rsidRPr="002D21B6">
              <w:rPr>
                <w:rFonts w:ascii="Arial" w:eastAsia="Times New Roman" w:hAnsi="Arial" w:cs="Arial"/>
                <w:kern w:val="24"/>
                <w:sz w:val="24"/>
                <w:szCs w:val="24"/>
              </w:rPr>
              <w:t>= 474 from</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diverse age groups</w:t>
            </w:r>
            <w:r w:rsidRPr="002D21B6">
              <w:rPr>
                <w:rFonts w:ascii="Arial" w:eastAsia="Times New Roman" w:hAnsi="Arial" w:cs="Arial"/>
                <w:kern w:val="24"/>
                <w:sz w:val="24"/>
                <w:szCs w:val="24"/>
                <w:lang w:val="hu-HU"/>
              </w:rPr>
              <w:t>)</w:t>
            </w:r>
          </w:p>
        </w:tc>
        <w:tc>
          <w:tcPr>
            <w:tcW w:w="601" w:type="pct"/>
            <w:shd w:val="clear" w:color="auto" w:fill="D9D9D9" w:themeFill="background1" w:themeFillShade="D9"/>
            <w:hideMark/>
          </w:tcPr>
          <w:p w:rsidR="00461CDC" w:rsidRPr="002D21B6" w:rsidRDefault="00461CDC" w:rsidP="00DE7609">
            <w:pPr>
              <w:jc w:val="center"/>
              <w:textAlignment w:val="center"/>
              <w:rPr>
                <w:rFonts w:ascii="Arial" w:eastAsia="Times New Roman" w:hAnsi="Arial" w:cs="Arial"/>
                <w:sz w:val="24"/>
                <w:szCs w:val="24"/>
              </w:rPr>
            </w:pPr>
            <w:r w:rsidRPr="002D21B6">
              <w:rPr>
                <w:rFonts w:ascii="Arial" w:eastAsia="Times New Roman" w:hAnsi="Arial" w:cs="Arial"/>
                <w:kern w:val="24"/>
                <w:sz w:val="24"/>
                <w:szCs w:val="24"/>
              </w:rPr>
              <w:t>measles</w:t>
            </w:r>
          </w:p>
        </w:tc>
        <w:tc>
          <w:tcPr>
            <w:tcW w:w="525" w:type="pct"/>
            <w:shd w:val="clear" w:color="auto" w:fill="D9D9D9" w:themeFill="background1" w:themeFillShade="D9"/>
            <w:hideMark/>
          </w:tcPr>
          <w:p w:rsidR="00461CDC" w:rsidRPr="002D21B6" w:rsidRDefault="00461CDC" w:rsidP="00DE7609">
            <w:pPr>
              <w:jc w:val="center"/>
              <w:textAlignment w:val="center"/>
              <w:rPr>
                <w:rFonts w:ascii="Arial" w:eastAsia="Times New Roman" w:hAnsi="Arial" w:cs="Arial"/>
                <w:sz w:val="24"/>
                <w:szCs w:val="24"/>
              </w:rPr>
            </w:pPr>
            <w:r w:rsidRPr="002D21B6">
              <w:rPr>
                <w:rFonts w:ascii="Arial" w:eastAsia="Times New Roman" w:hAnsi="Arial" w:cs="Arial"/>
                <w:kern w:val="24"/>
                <w:sz w:val="24"/>
                <w:szCs w:val="24"/>
              </w:rPr>
              <w:t>mumps</w:t>
            </w:r>
          </w:p>
        </w:tc>
        <w:tc>
          <w:tcPr>
            <w:tcW w:w="487" w:type="pct"/>
            <w:shd w:val="clear" w:color="auto" w:fill="D9D9D9" w:themeFill="background1" w:themeFillShade="D9"/>
            <w:hideMark/>
          </w:tcPr>
          <w:p w:rsidR="00461CDC" w:rsidRPr="002D21B6" w:rsidRDefault="00461CDC" w:rsidP="00DE7609">
            <w:pPr>
              <w:jc w:val="center"/>
              <w:textAlignment w:val="center"/>
              <w:rPr>
                <w:rFonts w:ascii="Arial" w:eastAsia="Times New Roman" w:hAnsi="Arial" w:cs="Arial"/>
                <w:sz w:val="24"/>
                <w:szCs w:val="24"/>
              </w:rPr>
            </w:pPr>
            <w:r w:rsidRPr="002D21B6">
              <w:rPr>
                <w:rFonts w:ascii="Arial" w:eastAsia="Times New Roman" w:hAnsi="Arial" w:cs="Arial"/>
                <w:kern w:val="24"/>
                <w:sz w:val="24"/>
                <w:szCs w:val="24"/>
              </w:rPr>
              <w:t>rubella</w:t>
            </w:r>
          </w:p>
        </w:tc>
      </w:tr>
      <w:tr w:rsidR="00272AA1" w:rsidRPr="002D21B6" w:rsidTr="00272AA1">
        <w:trPr>
          <w:trHeight w:val="409"/>
        </w:trPr>
        <w:tc>
          <w:tcPr>
            <w:tcW w:w="3387" w:type="pct"/>
            <w:shd w:val="clear" w:color="auto" w:fill="FFFFFF"/>
            <w:hideMark/>
          </w:tcPr>
          <w:p w:rsidR="00461CDC" w:rsidRPr="002D21B6" w:rsidRDefault="00461CDC" w:rsidP="00DE7609">
            <w:pPr>
              <w:textAlignment w:val="bottom"/>
              <w:rPr>
                <w:rFonts w:ascii="Arial" w:eastAsia="Times New Roman" w:hAnsi="Arial" w:cs="Arial"/>
                <w:sz w:val="24"/>
                <w:szCs w:val="24"/>
              </w:rPr>
            </w:pPr>
            <w:r w:rsidRPr="002D21B6">
              <w:rPr>
                <w:rFonts w:ascii="Arial" w:eastAsia="Times New Roman" w:hAnsi="Arial" w:cs="Arial"/>
                <w:kern w:val="24"/>
                <w:sz w:val="24"/>
                <w:szCs w:val="24"/>
              </w:rPr>
              <w:t>TPF</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True Positive Fraction (Sensitivity)</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 TP/ (TP+FN)</w:t>
            </w:r>
          </w:p>
        </w:tc>
        <w:tc>
          <w:tcPr>
            <w:tcW w:w="601"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0,99</w:t>
            </w:r>
          </w:p>
        </w:tc>
        <w:tc>
          <w:tcPr>
            <w:tcW w:w="525"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0,99</w:t>
            </w:r>
          </w:p>
        </w:tc>
        <w:tc>
          <w:tcPr>
            <w:tcW w:w="487"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0,99</w:t>
            </w:r>
          </w:p>
        </w:tc>
      </w:tr>
      <w:tr w:rsidR="00272AA1" w:rsidRPr="002D21B6" w:rsidTr="00272AA1">
        <w:trPr>
          <w:trHeight w:val="409"/>
        </w:trPr>
        <w:tc>
          <w:tcPr>
            <w:tcW w:w="3387" w:type="pct"/>
            <w:shd w:val="clear" w:color="auto" w:fill="FFFFFF"/>
            <w:hideMark/>
          </w:tcPr>
          <w:p w:rsidR="00461CDC" w:rsidRPr="002D21B6" w:rsidRDefault="00461CDC" w:rsidP="00DE7609">
            <w:pPr>
              <w:textAlignment w:val="bottom"/>
              <w:rPr>
                <w:rFonts w:ascii="Arial" w:eastAsia="Times New Roman" w:hAnsi="Arial" w:cs="Arial"/>
                <w:sz w:val="24"/>
                <w:szCs w:val="24"/>
              </w:rPr>
            </w:pPr>
            <w:r w:rsidRPr="002D21B6">
              <w:rPr>
                <w:rFonts w:ascii="Arial" w:eastAsia="Times New Roman" w:hAnsi="Arial" w:cs="Arial"/>
                <w:kern w:val="24"/>
                <w:sz w:val="24"/>
                <w:szCs w:val="24"/>
              </w:rPr>
              <w:t>FNF</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False Negative Fraction (1-Sensitivity)</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 FN/ (TP+FN)</w:t>
            </w:r>
          </w:p>
        </w:tc>
        <w:tc>
          <w:tcPr>
            <w:tcW w:w="601"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0,01</w:t>
            </w:r>
          </w:p>
        </w:tc>
        <w:tc>
          <w:tcPr>
            <w:tcW w:w="525"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0,01</w:t>
            </w:r>
          </w:p>
        </w:tc>
        <w:tc>
          <w:tcPr>
            <w:tcW w:w="487"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0,01</w:t>
            </w:r>
          </w:p>
        </w:tc>
      </w:tr>
      <w:tr w:rsidR="00272AA1" w:rsidRPr="002D21B6" w:rsidTr="00272AA1">
        <w:trPr>
          <w:trHeight w:val="409"/>
        </w:trPr>
        <w:tc>
          <w:tcPr>
            <w:tcW w:w="3387" w:type="pct"/>
            <w:shd w:val="clear" w:color="auto" w:fill="FFFFFF"/>
            <w:hideMark/>
          </w:tcPr>
          <w:p w:rsidR="00461CDC" w:rsidRPr="002D21B6" w:rsidRDefault="00461CDC" w:rsidP="00DE7609">
            <w:pPr>
              <w:textAlignment w:val="bottom"/>
              <w:rPr>
                <w:rFonts w:ascii="Arial" w:eastAsia="Times New Roman" w:hAnsi="Arial" w:cs="Arial"/>
                <w:sz w:val="24"/>
                <w:szCs w:val="24"/>
              </w:rPr>
            </w:pPr>
            <w:r w:rsidRPr="002D21B6">
              <w:rPr>
                <w:rFonts w:ascii="Arial" w:eastAsia="Times New Roman" w:hAnsi="Arial" w:cs="Arial"/>
                <w:kern w:val="24"/>
                <w:sz w:val="24"/>
                <w:szCs w:val="24"/>
              </w:rPr>
              <w:t>TNF</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True Negative Fraction (Specificity)</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 TN/ (TN+FP)</w:t>
            </w:r>
          </w:p>
        </w:tc>
        <w:tc>
          <w:tcPr>
            <w:tcW w:w="601"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0,93</w:t>
            </w:r>
          </w:p>
        </w:tc>
        <w:tc>
          <w:tcPr>
            <w:tcW w:w="525"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0,94</w:t>
            </w:r>
          </w:p>
        </w:tc>
        <w:tc>
          <w:tcPr>
            <w:tcW w:w="487"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0,88</w:t>
            </w:r>
          </w:p>
        </w:tc>
      </w:tr>
      <w:tr w:rsidR="00272AA1" w:rsidRPr="002D21B6" w:rsidTr="00272AA1">
        <w:trPr>
          <w:trHeight w:val="409"/>
        </w:trPr>
        <w:tc>
          <w:tcPr>
            <w:tcW w:w="3387" w:type="pct"/>
            <w:shd w:val="clear" w:color="auto" w:fill="FFFFFF"/>
            <w:hideMark/>
          </w:tcPr>
          <w:p w:rsidR="00461CDC" w:rsidRPr="002D21B6" w:rsidRDefault="00461CDC" w:rsidP="00DE7609">
            <w:pPr>
              <w:textAlignment w:val="bottom"/>
              <w:rPr>
                <w:rFonts w:ascii="Arial" w:eastAsia="Times New Roman" w:hAnsi="Arial" w:cs="Arial"/>
                <w:sz w:val="24"/>
                <w:szCs w:val="24"/>
              </w:rPr>
            </w:pPr>
            <w:r w:rsidRPr="002D21B6">
              <w:rPr>
                <w:rFonts w:ascii="Arial" w:eastAsia="Times New Roman" w:hAnsi="Arial" w:cs="Arial"/>
                <w:kern w:val="24"/>
                <w:sz w:val="24"/>
                <w:szCs w:val="24"/>
              </w:rPr>
              <w:t>FPF</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False Positive Fraction (1-specificity)</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 FP/ (TN+FP)</w:t>
            </w:r>
          </w:p>
        </w:tc>
        <w:tc>
          <w:tcPr>
            <w:tcW w:w="601"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0,07</w:t>
            </w:r>
          </w:p>
        </w:tc>
        <w:tc>
          <w:tcPr>
            <w:tcW w:w="525"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0,06</w:t>
            </w:r>
          </w:p>
        </w:tc>
        <w:tc>
          <w:tcPr>
            <w:tcW w:w="487"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0,12</w:t>
            </w:r>
          </w:p>
        </w:tc>
      </w:tr>
      <w:tr w:rsidR="00272AA1" w:rsidRPr="002D21B6" w:rsidTr="00272AA1">
        <w:trPr>
          <w:trHeight w:val="409"/>
        </w:trPr>
        <w:tc>
          <w:tcPr>
            <w:tcW w:w="3387" w:type="pct"/>
            <w:shd w:val="clear" w:color="auto" w:fill="FFFFFF"/>
            <w:hideMark/>
          </w:tcPr>
          <w:p w:rsidR="00461CDC" w:rsidRPr="002D21B6" w:rsidRDefault="00461CDC" w:rsidP="00DE7609">
            <w:pPr>
              <w:textAlignment w:val="bottom"/>
              <w:rPr>
                <w:rFonts w:ascii="Arial" w:eastAsia="Times New Roman" w:hAnsi="Arial" w:cs="Arial"/>
                <w:sz w:val="24"/>
                <w:szCs w:val="24"/>
              </w:rPr>
            </w:pPr>
            <w:r w:rsidRPr="002D21B6">
              <w:rPr>
                <w:rFonts w:ascii="Arial" w:eastAsia="Times New Roman" w:hAnsi="Arial" w:cs="Arial"/>
                <w:kern w:val="24"/>
                <w:sz w:val="24"/>
                <w:szCs w:val="24"/>
              </w:rPr>
              <w:t>PPV</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Positive Predicted Value</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TP/(TP+FP)</w:t>
            </w:r>
          </w:p>
        </w:tc>
        <w:tc>
          <w:tcPr>
            <w:tcW w:w="601"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0,99</w:t>
            </w:r>
          </w:p>
        </w:tc>
        <w:tc>
          <w:tcPr>
            <w:tcW w:w="525"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0,99</w:t>
            </w:r>
          </w:p>
        </w:tc>
        <w:tc>
          <w:tcPr>
            <w:tcW w:w="487"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0,99</w:t>
            </w:r>
          </w:p>
        </w:tc>
      </w:tr>
      <w:tr w:rsidR="00272AA1" w:rsidRPr="002D21B6" w:rsidTr="00272AA1">
        <w:trPr>
          <w:trHeight w:val="409"/>
        </w:trPr>
        <w:tc>
          <w:tcPr>
            <w:tcW w:w="3387" w:type="pct"/>
            <w:shd w:val="clear" w:color="auto" w:fill="FFFFFF"/>
            <w:hideMark/>
          </w:tcPr>
          <w:p w:rsidR="00461CDC" w:rsidRPr="002D21B6" w:rsidRDefault="00461CDC" w:rsidP="00DE7609">
            <w:pPr>
              <w:textAlignment w:val="bottom"/>
              <w:rPr>
                <w:rFonts w:ascii="Arial" w:eastAsia="Times New Roman" w:hAnsi="Arial" w:cs="Arial"/>
                <w:sz w:val="24"/>
                <w:szCs w:val="24"/>
              </w:rPr>
            </w:pPr>
            <w:r w:rsidRPr="002D21B6">
              <w:rPr>
                <w:rFonts w:ascii="Arial" w:eastAsia="Times New Roman" w:hAnsi="Arial" w:cs="Arial"/>
                <w:kern w:val="24"/>
                <w:sz w:val="24"/>
                <w:szCs w:val="24"/>
              </w:rPr>
              <w:t>NPV</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Negative Predicted Value</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w:t>
            </w:r>
            <w:r w:rsidRPr="002D21B6">
              <w:rPr>
                <w:rFonts w:ascii="Arial" w:eastAsia="Times New Roman" w:hAnsi="Arial" w:cs="Arial"/>
                <w:kern w:val="24"/>
                <w:sz w:val="24"/>
                <w:szCs w:val="24"/>
                <w:lang w:val="hu-HU"/>
              </w:rPr>
              <w:t xml:space="preserve"> </w:t>
            </w:r>
            <w:r w:rsidRPr="002D21B6">
              <w:rPr>
                <w:rFonts w:ascii="Arial" w:eastAsia="Times New Roman" w:hAnsi="Arial" w:cs="Arial"/>
                <w:kern w:val="24"/>
                <w:sz w:val="24"/>
                <w:szCs w:val="24"/>
              </w:rPr>
              <w:t>TN/(TN+FN)</w:t>
            </w:r>
          </w:p>
        </w:tc>
        <w:tc>
          <w:tcPr>
            <w:tcW w:w="601"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0,87</w:t>
            </w:r>
          </w:p>
        </w:tc>
        <w:tc>
          <w:tcPr>
            <w:tcW w:w="525"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0,89</w:t>
            </w:r>
          </w:p>
        </w:tc>
        <w:tc>
          <w:tcPr>
            <w:tcW w:w="487" w:type="pct"/>
            <w:shd w:val="clear" w:color="auto" w:fill="FFFFFF"/>
            <w:hideMark/>
          </w:tcPr>
          <w:p w:rsidR="00461CDC" w:rsidRPr="002D21B6" w:rsidRDefault="00461CDC" w:rsidP="00DE7609">
            <w:pPr>
              <w:jc w:val="center"/>
              <w:textAlignment w:val="bottom"/>
              <w:rPr>
                <w:rFonts w:ascii="Arial" w:eastAsia="Times New Roman" w:hAnsi="Arial" w:cs="Arial"/>
                <w:sz w:val="24"/>
                <w:szCs w:val="24"/>
              </w:rPr>
            </w:pPr>
            <w:r w:rsidRPr="002D21B6">
              <w:rPr>
                <w:rFonts w:ascii="Arial" w:eastAsia="Times New Roman" w:hAnsi="Arial" w:cs="Arial"/>
                <w:kern w:val="24"/>
                <w:sz w:val="24"/>
                <w:szCs w:val="24"/>
              </w:rPr>
              <w:t>0,88</w:t>
            </w:r>
          </w:p>
        </w:tc>
      </w:tr>
      <w:tr w:rsidR="00461CDC" w:rsidRPr="002D21B6" w:rsidTr="00272AA1">
        <w:trPr>
          <w:trHeight w:val="409"/>
        </w:trPr>
        <w:tc>
          <w:tcPr>
            <w:tcW w:w="3387" w:type="pct"/>
            <w:shd w:val="clear" w:color="auto" w:fill="D9D9D9" w:themeFill="background1" w:themeFillShade="D9"/>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INTRA-ASSAY VARIABILITY (</w:t>
            </w:r>
            <w:proofErr w:type="gramStart"/>
            <w:r w:rsidRPr="002D21B6">
              <w:rPr>
                <w:rFonts w:ascii="Arial" w:eastAsia="Times New Roman" w:hAnsi="Arial" w:cs="Arial"/>
                <w:kern w:val="24"/>
                <w:sz w:val="24"/>
                <w:szCs w:val="24"/>
              </w:rPr>
              <w:t>CV%</w:t>
            </w:r>
            <w:proofErr w:type="gramEnd"/>
            <w:r w:rsidRPr="002D21B6">
              <w:rPr>
                <w:rFonts w:ascii="Arial" w:eastAsia="Times New Roman" w:hAnsi="Arial" w:cs="Arial"/>
                <w:kern w:val="24"/>
                <w:sz w:val="24"/>
                <w:szCs w:val="24"/>
              </w:rPr>
              <w:t>)**</w:t>
            </w:r>
          </w:p>
        </w:tc>
        <w:tc>
          <w:tcPr>
            <w:tcW w:w="601" w:type="pct"/>
            <w:shd w:val="clear" w:color="auto" w:fill="D9D9D9" w:themeFill="background1" w:themeFillShade="D9"/>
          </w:tcPr>
          <w:p w:rsidR="00461CDC" w:rsidRPr="002D21B6" w:rsidRDefault="00461CDC" w:rsidP="00DE7609">
            <w:pPr>
              <w:jc w:val="center"/>
              <w:textAlignment w:val="bottom"/>
              <w:rPr>
                <w:rFonts w:ascii="Arial" w:eastAsia="Times New Roman" w:hAnsi="Arial" w:cs="Arial"/>
                <w:kern w:val="24"/>
                <w:sz w:val="24"/>
                <w:szCs w:val="24"/>
              </w:rPr>
            </w:pPr>
          </w:p>
        </w:tc>
        <w:tc>
          <w:tcPr>
            <w:tcW w:w="525" w:type="pct"/>
            <w:shd w:val="clear" w:color="auto" w:fill="D9D9D9" w:themeFill="background1" w:themeFillShade="D9"/>
          </w:tcPr>
          <w:p w:rsidR="00461CDC" w:rsidRPr="002D21B6" w:rsidRDefault="00461CDC" w:rsidP="00DE7609">
            <w:pPr>
              <w:jc w:val="center"/>
              <w:textAlignment w:val="bottom"/>
              <w:rPr>
                <w:rFonts w:ascii="Arial" w:eastAsia="Times New Roman" w:hAnsi="Arial" w:cs="Arial"/>
                <w:kern w:val="24"/>
                <w:sz w:val="24"/>
                <w:szCs w:val="24"/>
              </w:rPr>
            </w:pPr>
          </w:p>
        </w:tc>
        <w:tc>
          <w:tcPr>
            <w:tcW w:w="487" w:type="pct"/>
            <w:shd w:val="clear" w:color="auto" w:fill="D9D9D9" w:themeFill="background1" w:themeFillShade="D9"/>
          </w:tcPr>
          <w:p w:rsidR="00461CDC" w:rsidRPr="002D21B6" w:rsidRDefault="00461CDC" w:rsidP="00DE7609">
            <w:pPr>
              <w:jc w:val="center"/>
              <w:textAlignment w:val="bottom"/>
              <w:rPr>
                <w:rFonts w:ascii="Arial" w:eastAsia="Times New Roman" w:hAnsi="Arial" w:cs="Arial"/>
                <w:kern w:val="24"/>
                <w:sz w:val="24"/>
                <w:szCs w:val="24"/>
              </w:rPr>
            </w:pP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positive sample 1</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0.37</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2.68</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0.30</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positive sample 2</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1.51</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3.20</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3.00</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positive sample 3</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0.89</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1.07</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2.19</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negative sample 1</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3.68</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6.06</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7.49</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negative sample 2</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7.50</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3.75</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8.27</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negative sample 3</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8.52</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7.50</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8.39</w:t>
            </w:r>
          </w:p>
        </w:tc>
      </w:tr>
      <w:tr w:rsidR="00461CDC" w:rsidRPr="002D21B6" w:rsidTr="00272AA1">
        <w:trPr>
          <w:trHeight w:val="409"/>
        </w:trPr>
        <w:tc>
          <w:tcPr>
            <w:tcW w:w="3387" w:type="pct"/>
            <w:shd w:val="clear" w:color="auto" w:fill="D9D9D9" w:themeFill="background1" w:themeFillShade="D9"/>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INTER-ASSAY VARIABILITY (</w:t>
            </w:r>
            <w:proofErr w:type="gramStart"/>
            <w:r w:rsidRPr="002D21B6">
              <w:rPr>
                <w:rFonts w:ascii="Arial" w:eastAsia="Times New Roman" w:hAnsi="Arial" w:cs="Arial"/>
                <w:kern w:val="24"/>
                <w:sz w:val="24"/>
                <w:szCs w:val="24"/>
              </w:rPr>
              <w:t>CV%</w:t>
            </w:r>
            <w:proofErr w:type="gramEnd"/>
            <w:r w:rsidRPr="002D21B6">
              <w:rPr>
                <w:rFonts w:ascii="Arial" w:eastAsia="Times New Roman" w:hAnsi="Arial" w:cs="Arial"/>
                <w:kern w:val="24"/>
                <w:sz w:val="24"/>
                <w:szCs w:val="24"/>
              </w:rPr>
              <w:t>)**</w:t>
            </w:r>
          </w:p>
        </w:tc>
        <w:tc>
          <w:tcPr>
            <w:tcW w:w="601" w:type="pct"/>
            <w:shd w:val="clear" w:color="auto" w:fill="D9D9D9" w:themeFill="background1" w:themeFillShade="D9"/>
          </w:tcPr>
          <w:p w:rsidR="00461CDC" w:rsidRPr="002D21B6" w:rsidRDefault="00461CDC" w:rsidP="00DE7609">
            <w:pPr>
              <w:jc w:val="center"/>
              <w:textAlignment w:val="bottom"/>
              <w:rPr>
                <w:rFonts w:ascii="Arial" w:eastAsia="Times New Roman" w:hAnsi="Arial" w:cs="Arial"/>
                <w:kern w:val="24"/>
                <w:sz w:val="24"/>
                <w:szCs w:val="24"/>
              </w:rPr>
            </w:pPr>
          </w:p>
        </w:tc>
        <w:tc>
          <w:tcPr>
            <w:tcW w:w="525" w:type="pct"/>
            <w:shd w:val="clear" w:color="auto" w:fill="D9D9D9" w:themeFill="background1" w:themeFillShade="D9"/>
          </w:tcPr>
          <w:p w:rsidR="00461CDC" w:rsidRPr="002D21B6" w:rsidRDefault="00461CDC" w:rsidP="00DE7609">
            <w:pPr>
              <w:jc w:val="center"/>
              <w:textAlignment w:val="bottom"/>
              <w:rPr>
                <w:rFonts w:ascii="Arial" w:eastAsia="Times New Roman" w:hAnsi="Arial" w:cs="Arial"/>
                <w:kern w:val="24"/>
                <w:sz w:val="24"/>
                <w:szCs w:val="24"/>
              </w:rPr>
            </w:pPr>
          </w:p>
        </w:tc>
        <w:tc>
          <w:tcPr>
            <w:tcW w:w="487" w:type="pct"/>
            <w:shd w:val="clear" w:color="auto" w:fill="D9D9D9" w:themeFill="background1" w:themeFillShade="D9"/>
          </w:tcPr>
          <w:p w:rsidR="00461CDC" w:rsidRPr="002D21B6" w:rsidRDefault="00461CDC" w:rsidP="00DE7609">
            <w:pPr>
              <w:jc w:val="center"/>
              <w:textAlignment w:val="bottom"/>
              <w:rPr>
                <w:rFonts w:ascii="Arial" w:eastAsia="Times New Roman" w:hAnsi="Arial" w:cs="Arial"/>
                <w:kern w:val="24"/>
                <w:sz w:val="24"/>
                <w:szCs w:val="24"/>
              </w:rPr>
            </w:pP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positive sample 1</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5.52</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2.83</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6.32</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positive sample 2</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8.63</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4.75</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8.81</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positive sample 3</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7.26</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8.05</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9.90</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negative sample 1</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3.88</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7.65</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10.68</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negative sample 2</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7.50</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9.31</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10.54</w:t>
            </w:r>
          </w:p>
        </w:tc>
      </w:tr>
      <w:tr w:rsidR="00461CDC" w:rsidRPr="002D21B6" w:rsidTr="00272AA1">
        <w:trPr>
          <w:trHeight w:val="409"/>
        </w:trPr>
        <w:tc>
          <w:tcPr>
            <w:tcW w:w="3387" w:type="pct"/>
            <w:shd w:val="clear" w:color="auto" w:fill="FFFFFF"/>
          </w:tcPr>
          <w:p w:rsidR="00461CDC" w:rsidRPr="002D21B6" w:rsidRDefault="00461CDC" w:rsidP="00DE7609">
            <w:pP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negative sample 3</w:t>
            </w:r>
          </w:p>
        </w:tc>
        <w:tc>
          <w:tcPr>
            <w:tcW w:w="601"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6.53</w:t>
            </w:r>
          </w:p>
        </w:tc>
        <w:tc>
          <w:tcPr>
            <w:tcW w:w="525"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7.76</w:t>
            </w:r>
          </w:p>
        </w:tc>
        <w:tc>
          <w:tcPr>
            <w:tcW w:w="487" w:type="pct"/>
            <w:shd w:val="clear" w:color="auto" w:fill="FFFFFF"/>
          </w:tcPr>
          <w:p w:rsidR="00461CDC" w:rsidRPr="002D21B6" w:rsidRDefault="00461CDC" w:rsidP="00DE7609">
            <w:pPr>
              <w:jc w:val="center"/>
              <w:textAlignment w:val="bottom"/>
              <w:rPr>
                <w:rFonts w:ascii="Arial" w:eastAsia="Times New Roman" w:hAnsi="Arial" w:cs="Arial"/>
                <w:kern w:val="24"/>
                <w:sz w:val="24"/>
                <w:szCs w:val="24"/>
              </w:rPr>
            </w:pPr>
            <w:r w:rsidRPr="002D21B6">
              <w:rPr>
                <w:rFonts w:ascii="Arial" w:eastAsia="Times New Roman" w:hAnsi="Arial" w:cs="Arial"/>
                <w:kern w:val="24"/>
                <w:sz w:val="24"/>
                <w:szCs w:val="24"/>
              </w:rPr>
              <w:t>9.14</w:t>
            </w:r>
          </w:p>
        </w:tc>
      </w:tr>
    </w:tbl>
    <w:p w:rsidR="00461CDC" w:rsidRPr="002D21B6" w:rsidRDefault="00461CDC" w:rsidP="00461CDC">
      <w:pPr>
        <w:rPr>
          <w:rFonts w:ascii="Arial" w:hAnsi="Arial" w:cs="Arial"/>
          <w:sz w:val="24"/>
          <w:szCs w:val="24"/>
        </w:rPr>
      </w:pPr>
      <w:r w:rsidRPr="002D21B6">
        <w:rPr>
          <w:rFonts w:ascii="Arial" w:hAnsi="Arial" w:cs="Arial"/>
          <w:sz w:val="24"/>
          <w:szCs w:val="24"/>
        </w:rPr>
        <w:t xml:space="preserve">*Specific assay characteristics have been determined by comparing our </w:t>
      </w:r>
      <w:r w:rsidR="00695F51" w:rsidRPr="002D21B6">
        <w:rPr>
          <w:rFonts w:ascii="Arial" w:hAnsi="Arial" w:cs="Arial"/>
          <w:sz w:val="24"/>
          <w:szCs w:val="24"/>
        </w:rPr>
        <w:t xml:space="preserve">assay to commercially available </w:t>
      </w:r>
      <w:r w:rsidR="00695F51" w:rsidRPr="00717823">
        <w:rPr>
          <w:rFonts w:ascii="Arial" w:hAnsi="Arial" w:cs="Arial"/>
          <w:sz w:val="24"/>
          <w:szCs w:val="24"/>
        </w:rPr>
        <w:t>validated</w:t>
      </w:r>
      <w:r w:rsidR="00695F51" w:rsidRPr="002D21B6">
        <w:rPr>
          <w:rFonts w:ascii="Arial" w:hAnsi="Arial" w:cs="Arial"/>
          <w:sz w:val="24"/>
          <w:szCs w:val="24"/>
        </w:rPr>
        <w:t xml:space="preserve"> </w:t>
      </w:r>
      <w:r w:rsidRPr="002D21B6">
        <w:rPr>
          <w:rFonts w:ascii="Arial" w:hAnsi="Arial" w:cs="Arial"/>
          <w:sz w:val="24"/>
          <w:szCs w:val="24"/>
        </w:rPr>
        <w:t>assays.</w:t>
      </w:r>
    </w:p>
    <w:p w:rsidR="00461CDC" w:rsidRPr="002D21B6" w:rsidRDefault="00461CDC" w:rsidP="00461CDC">
      <w:pPr>
        <w:rPr>
          <w:rFonts w:ascii="Arial" w:hAnsi="Arial" w:cs="Arial"/>
          <w:sz w:val="24"/>
          <w:szCs w:val="24"/>
        </w:rPr>
      </w:pPr>
      <w:r w:rsidRPr="002D21B6">
        <w:rPr>
          <w:rFonts w:ascii="Arial" w:hAnsi="Arial" w:cs="Arial"/>
          <w:sz w:val="24"/>
          <w:szCs w:val="24"/>
        </w:rPr>
        <w:t>**</w:t>
      </w:r>
      <w:r w:rsidRPr="002D21B6">
        <w:t xml:space="preserve"> </w:t>
      </w:r>
      <w:r w:rsidRPr="002D21B6">
        <w:rPr>
          <w:rFonts w:ascii="Arial" w:hAnsi="Arial" w:cs="Arial"/>
          <w:sz w:val="24"/>
          <w:szCs w:val="24"/>
        </w:rPr>
        <w:t xml:space="preserve">Reproducibility, assay precision: intra-assay precision (coefficient of variation, </w:t>
      </w:r>
      <w:proofErr w:type="gramStart"/>
      <w:r w:rsidRPr="002D21B6">
        <w:rPr>
          <w:rFonts w:ascii="Arial" w:hAnsi="Arial" w:cs="Arial"/>
          <w:sz w:val="24"/>
          <w:szCs w:val="24"/>
        </w:rPr>
        <w:t>CV%</w:t>
      </w:r>
      <w:proofErr w:type="gramEnd"/>
      <w:r w:rsidRPr="002D21B6">
        <w:rPr>
          <w:rFonts w:ascii="Arial" w:hAnsi="Arial" w:cs="Arial"/>
          <w:sz w:val="24"/>
          <w:szCs w:val="24"/>
        </w:rPr>
        <w:t xml:space="preserve">) was calculated for each of three samples from the results of 12 determinations in a single run. Results for precision-within-assay are shown in the table above. Inter-assay </w:t>
      </w:r>
      <w:r w:rsidRPr="002D21B6">
        <w:rPr>
          <w:rFonts w:ascii="Arial" w:hAnsi="Arial" w:cs="Arial"/>
          <w:sz w:val="24"/>
          <w:szCs w:val="24"/>
        </w:rPr>
        <w:lastRenderedPageBreak/>
        <w:t xml:space="preserve">precision (coefficient of variation, </w:t>
      </w:r>
      <w:proofErr w:type="gramStart"/>
      <w:r w:rsidRPr="002D21B6">
        <w:rPr>
          <w:rFonts w:ascii="Arial" w:hAnsi="Arial" w:cs="Arial"/>
          <w:sz w:val="24"/>
          <w:szCs w:val="24"/>
        </w:rPr>
        <w:t>CV%</w:t>
      </w:r>
      <w:proofErr w:type="gramEnd"/>
      <w:r w:rsidRPr="002D21B6">
        <w:rPr>
          <w:rFonts w:ascii="Arial" w:hAnsi="Arial" w:cs="Arial"/>
          <w:sz w:val="24"/>
          <w:szCs w:val="24"/>
        </w:rPr>
        <w:t>) was calculated for each of three samples from the results of 3 determinations in 5 different runs. Results for run-to-run precision are shown in the table above.</w:t>
      </w:r>
    </w:p>
    <w:p w:rsidR="00461CDC" w:rsidRPr="002D21B6" w:rsidRDefault="00461CDC">
      <w:pPr>
        <w:rPr>
          <w:rFonts w:ascii="Arial" w:hAnsi="Arial" w:cs="Arial"/>
          <w:b/>
          <w:sz w:val="32"/>
          <w:szCs w:val="32"/>
        </w:rPr>
      </w:pPr>
      <w:r w:rsidRPr="002D21B6">
        <w:rPr>
          <w:rFonts w:ascii="Arial" w:hAnsi="Arial" w:cs="Arial"/>
          <w:b/>
          <w:sz w:val="32"/>
          <w:szCs w:val="32"/>
        </w:rPr>
        <w:br w:type="page"/>
      </w:r>
    </w:p>
    <w:p w:rsidR="000164EC" w:rsidRPr="002D21B6" w:rsidRDefault="000164EC">
      <w:pPr>
        <w:rPr>
          <w:rFonts w:ascii="Arial" w:hAnsi="Arial" w:cs="Arial"/>
          <w:b/>
          <w:sz w:val="32"/>
          <w:szCs w:val="32"/>
        </w:rPr>
      </w:pPr>
    </w:p>
    <w:p w:rsidR="0036583F" w:rsidRPr="002D21B6" w:rsidRDefault="002B3BB6" w:rsidP="005D3349">
      <w:pPr>
        <w:spacing w:line="480" w:lineRule="auto"/>
        <w:rPr>
          <w:rFonts w:ascii="Arial" w:hAnsi="Arial" w:cs="Arial"/>
          <w:sz w:val="24"/>
          <w:szCs w:val="24"/>
        </w:rPr>
      </w:pPr>
      <w:r w:rsidRPr="002D21B6">
        <w:rPr>
          <w:rFonts w:ascii="Arial" w:hAnsi="Arial" w:cs="Arial"/>
          <w:b/>
          <w:sz w:val="32"/>
          <w:szCs w:val="32"/>
        </w:rPr>
        <w:t>References</w:t>
      </w:r>
    </w:p>
    <w:p w:rsidR="007F0E42" w:rsidRPr="007F0E42" w:rsidRDefault="00EC4383" w:rsidP="007F0E42">
      <w:pPr>
        <w:widowControl w:val="0"/>
        <w:autoSpaceDE w:val="0"/>
        <w:autoSpaceDN w:val="0"/>
        <w:adjustRightInd w:val="0"/>
        <w:spacing w:line="480" w:lineRule="auto"/>
        <w:ind w:left="640" w:hanging="640"/>
        <w:rPr>
          <w:rFonts w:ascii="Arial" w:hAnsi="Arial" w:cs="Arial"/>
          <w:noProof/>
          <w:sz w:val="24"/>
          <w:szCs w:val="24"/>
        </w:rPr>
      </w:pPr>
      <w:r w:rsidRPr="002D21B6">
        <w:rPr>
          <w:rFonts w:ascii="Arial" w:hAnsi="Arial" w:cs="Arial"/>
          <w:strike/>
          <w:sz w:val="24"/>
          <w:szCs w:val="24"/>
        </w:rPr>
        <w:fldChar w:fldCharType="begin" w:fldLock="1"/>
      </w:r>
      <w:r w:rsidRPr="002D21B6">
        <w:rPr>
          <w:rFonts w:ascii="Arial" w:hAnsi="Arial" w:cs="Arial"/>
          <w:strike/>
          <w:sz w:val="24"/>
          <w:szCs w:val="24"/>
        </w:rPr>
        <w:instrText xml:space="preserve">ADDIN Mendeley Bibliography CSL_BIBLIOGRAPHY </w:instrText>
      </w:r>
      <w:r w:rsidRPr="002D21B6">
        <w:rPr>
          <w:rFonts w:ascii="Arial" w:hAnsi="Arial" w:cs="Arial"/>
          <w:strike/>
          <w:sz w:val="24"/>
          <w:szCs w:val="24"/>
        </w:rPr>
        <w:fldChar w:fldCharType="separate"/>
      </w:r>
      <w:r w:rsidR="007F0E42" w:rsidRPr="007F0E42">
        <w:rPr>
          <w:rFonts w:ascii="Arial" w:hAnsi="Arial" w:cs="Arial"/>
          <w:noProof/>
          <w:sz w:val="24"/>
          <w:szCs w:val="24"/>
        </w:rPr>
        <w:t>1.</w:t>
      </w:r>
      <w:r w:rsidR="007F0E42" w:rsidRPr="007F0E42">
        <w:rPr>
          <w:rFonts w:ascii="Arial" w:hAnsi="Arial" w:cs="Arial"/>
          <w:noProof/>
          <w:sz w:val="24"/>
          <w:szCs w:val="24"/>
        </w:rPr>
        <w:tab/>
      </w:r>
      <w:r w:rsidR="007F0E42" w:rsidRPr="007F0E42">
        <w:rPr>
          <w:rFonts w:ascii="Arial" w:hAnsi="Arial" w:cs="Arial"/>
          <w:b/>
          <w:bCs/>
          <w:noProof/>
          <w:sz w:val="24"/>
          <w:szCs w:val="24"/>
        </w:rPr>
        <w:t xml:space="preserve">Haralambieva IH, </w:t>
      </w:r>
      <w:r w:rsidR="007F0E42" w:rsidRPr="007F0E42">
        <w:rPr>
          <w:rFonts w:ascii="Arial" w:hAnsi="Arial" w:cs="Arial"/>
          <w:b/>
          <w:bCs/>
          <w:i/>
          <w:iCs/>
          <w:noProof/>
          <w:sz w:val="24"/>
          <w:szCs w:val="24"/>
        </w:rPr>
        <w:t>et al.</w:t>
      </w:r>
      <w:r w:rsidR="007F0E42" w:rsidRPr="007F0E42">
        <w:rPr>
          <w:rFonts w:ascii="Arial" w:hAnsi="Arial" w:cs="Arial"/>
          <w:noProof/>
          <w:sz w:val="24"/>
          <w:szCs w:val="24"/>
        </w:rPr>
        <w:t xml:space="preserve"> Variability in Humoral Immunity to Measles Vaccine: New Developments. </w:t>
      </w:r>
      <w:r w:rsidR="007F0E42" w:rsidRPr="007F0E42">
        <w:rPr>
          <w:rFonts w:ascii="Arial" w:hAnsi="Arial" w:cs="Arial"/>
          <w:i/>
          <w:iCs/>
          <w:noProof/>
          <w:sz w:val="24"/>
          <w:szCs w:val="24"/>
        </w:rPr>
        <w:t>Trends in molecular medicine</w:t>
      </w:r>
      <w:r w:rsidR="007F0E42" w:rsidRPr="007F0E42">
        <w:rPr>
          <w:rFonts w:ascii="Arial" w:hAnsi="Arial" w:cs="Arial"/>
          <w:noProof/>
          <w:sz w:val="24"/>
          <w:szCs w:val="24"/>
        </w:rPr>
        <w:t xml:space="preserve"> NIH Public Access, 2015; </w:t>
      </w:r>
      <w:r w:rsidR="007F0E42" w:rsidRPr="007F0E42">
        <w:rPr>
          <w:rFonts w:ascii="Arial" w:hAnsi="Arial" w:cs="Arial"/>
          <w:b/>
          <w:bCs/>
          <w:noProof/>
          <w:sz w:val="24"/>
          <w:szCs w:val="24"/>
        </w:rPr>
        <w:t>21</w:t>
      </w:r>
      <w:r w:rsidR="007F0E42" w:rsidRPr="007F0E42">
        <w:rPr>
          <w:rFonts w:ascii="Arial" w:hAnsi="Arial" w:cs="Arial"/>
          <w:noProof/>
          <w:sz w:val="24"/>
          <w:szCs w:val="24"/>
        </w:rPr>
        <w:t xml:space="preserve">: 789–801.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w:t>
      </w:r>
      <w:r w:rsidRPr="007F0E42">
        <w:rPr>
          <w:rFonts w:ascii="Arial" w:hAnsi="Arial" w:cs="Arial"/>
          <w:noProof/>
          <w:sz w:val="24"/>
          <w:szCs w:val="24"/>
        </w:rPr>
        <w:tab/>
      </w:r>
      <w:r w:rsidRPr="007F0E42">
        <w:rPr>
          <w:rFonts w:ascii="Arial" w:hAnsi="Arial" w:cs="Arial"/>
          <w:b/>
          <w:bCs/>
          <w:noProof/>
          <w:sz w:val="24"/>
          <w:szCs w:val="24"/>
        </w:rPr>
        <w:t xml:space="preserve">Tabacchi G, </w:t>
      </w:r>
      <w:r w:rsidRPr="007F0E42">
        <w:rPr>
          <w:rFonts w:ascii="Arial" w:hAnsi="Arial" w:cs="Arial"/>
          <w:b/>
          <w:bCs/>
          <w:i/>
          <w:iCs/>
          <w:noProof/>
          <w:sz w:val="24"/>
          <w:szCs w:val="24"/>
        </w:rPr>
        <w:t>et al.</w:t>
      </w:r>
      <w:r w:rsidRPr="007F0E42">
        <w:rPr>
          <w:rFonts w:ascii="Arial" w:hAnsi="Arial" w:cs="Arial"/>
          <w:noProof/>
          <w:sz w:val="24"/>
          <w:szCs w:val="24"/>
        </w:rPr>
        <w:t xml:space="preserve"> Determinants of European parents’ decision on the vaccination of their children against measles, mumps and rubella: A systematic review and meta-analysis. </w:t>
      </w:r>
      <w:r w:rsidRPr="007F0E42">
        <w:rPr>
          <w:rFonts w:ascii="Arial" w:hAnsi="Arial" w:cs="Arial"/>
          <w:i/>
          <w:iCs/>
          <w:noProof/>
          <w:sz w:val="24"/>
          <w:szCs w:val="24"/>
        </w:rPr>
        <w:t>Human Vaccines &amp; Immunotherapeutics</w:t>
      </w:r>
      <w:r w:rsidRPr="007F0E42">
        <w:rPr>
          <w:rFonts w:ascii="Arial" w:hAnsi="Arial" w:cs="Arial"/>
          <w:noProof/>
          <w:sz w:val="24"/>
          <w:szCs w:val="24"/>
        </w:rPr>
        <w:t xml:space="preserve"> 2016; </w:t>
      </w:r>
      <w:r w:rsidRPr="007F0E42">
        <w:rPr>
          <w:rFonts w:ascii="Arial" w:hAnsi="Arial" w:cs="Arial"/>
          <w:b/>
          <w:bCs/>
          <w:noProof/>
          <w:sz w:val="24"/>
          <w:szCs w:val="24"/>
        </w:rPr>
        <w:t>12</w:t>
      </w:r>
      <w:r w:rsidRPr="007F0E42">
        <w:rPr>
          <w:rFonts w:ascii="Arial" w:hAnsi="Arial" w:cs="Arial"/>
          <w:noProof/>
          <w:sz w:val="24"/>
          <w:szCs w:val="24"/>
        </w:rPr>
        <w:t xml:space="preserve">Published online: 2016.doi:10.1080/21645515.2016.1151990.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w:t>
      </w:r>
      <w:r w:rsidRPr="007F0E42">
        <w:rPr>
          <w:rFonts w:ascii="Arial" w:hAnsi="Arial" w:cs="Arial"/>
          <w:noProof/>
          <w:sz w:val="24"/>
          <w:szCs w:val="24"/>
        </w:rPr>
        <w:tab/>
      </w:r>
      <w:r w:rsidRPr="007F0E42">
        <w:rPr>
          <w:rFonts w:ascii="Arial" w:hAnsi="Arial" w:cs="Arial"/>
          <w:i/>
          <w:iCs/>
          <w:noProof/>
          <w:sz w:val="24"/>
          <w:szCs w:val="24"/>
        </w:rPr>
        <w:t>ECDC: Insufficient vaccination coverage in EU/EEA fuels continued measles circulation</w:t>
      </w:r>
      <w:r w:rsidRPr="007F0E42">
        <w:rPr>
          <w:rFonts w:ascii="Arial" w:hAnsi="Arial" w:cs="Arial"/>
          <w:noProof/>
          <w:sz w:val="24"/>
          <w:szCs w:val="24"/>
        </w:rPr>
        <w:t xml:space="preserve">. (https://ecdc.europa.eu/en/news-events/ecdc-insufficient-vaccination-coverage-eueea-fuels-continued-measles-circulation). Accessed 24 July 2019.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w:t>
      </w:r>
      <w:r w:rsidRPr="007F0E42">
        <w:rPr>
          <w:rFonts w:ascii="Arial" w:hAnsi="Arial" w:cs="Arial"/>
          <w:noProof/>
          <w:sz w:val="24"/>
          <w:szCs w:val="24"/>
        </w:rPr>
        <w:tab/>
      </w:r>
      <w:r w:rsidRPr="007F0E42">
        <w:rPr>
          <w:rFonts w:ascii="Arial" w:hAnsi="Arial" w:cs="Arial"/>
          <w:b/>
          <w:bCs/>
          <w:noProof/>
          <w:sz w:val="24"/>
          <w:szCs w:val="24"/>
        </w:rPr>
        <w:t xml:space="preserve">Zimmerman LA, </w:t>
      </w:r>
      <w:r w:rsidRPr="007F0E42">
        <w:rPr>
          <w:rFonts w:ascii="Arial" w:hAnsi="Arial" w:cs="Arial"/>
          <w:b/>
          <w:bCs/>
          <w:i/>
          <w:iCs/>
          <w:noProof/>
          <w:sz w:val="24"/>
          <w:szCs w:val="24"/>
        </w:rPr>
        <w:t>et al.</w:t>
      </w:r>
      <w:r w:rsidRPr="007F0E42">
        <w:rPr>
          <w:rFonts w:ascii="Arial" w:hAnsi="Arial" w:cs="Arial"/>
          <w:noProof/>
          <w:sz w:val="24"/>
          <w:szCs w:val="24"/>
        </w:rPr>
        <w:t xml:space="preserve"> Progress Toward Measles Elimination - European Region, 2009-2018. </w:t>
      </w:r>
      <w:r w:rsidRPr="007F0E42">
        <w:rPr>
          <w:rFonts w:ascii="Arial" w:hAnsi="Arial" w:cs="Arial"/>
          <w:i/>
          <w:iCs/>
          <w:noProof/>
          <w:sz w:val="24"/>
          <w:szCs w:val="24"/>
        </w:rPr>
        <w:t>MMWR. Morbidity and mortality weekly report</w:t>
      </w:r>
      <w:r w:rsidRPr="007F0E42">
        <w:rPr>
          <w:rFonts w:ascii="Arial" w:hAnsi="Arial" w:cs="Arial"/>
          <w:noProof/>
          <w:sz w:val="24"/>
          <w:szCs w:val="24"/>
        </w:rPr>
        <w:t xml:space="preserve"> Centers for Disease Control and Prevention, 2019; </w:t>
      </w:r>
      <w:r w:rsidRPr="007F0E42">
        <w:rPr>
          <w:rFonts w:ascii="Arial" w:hAnsi="Arial" w:cs="Arial"/>
          <w:b/>
          <w:bCs/>
          <w:noProof/>
          <w:sz w:val="24"/>
          <w:szCs w:val="24"/>
        </w:rPr>
        <w:t>68</w:t>
      </w:r>
      <w:r w:rsidRPr="007F0E42">
        <w:rPr>
          <w:rFonts w:ascii="Arial" w:hAnsi="Arial" w:cs="Arial"/>
          <w:noProof/>
          <w:sz w:val="24"/>
          <w:szCs w:val="24"/>
        </w:rPr>
        <w:t xml:space="preserve">: 396–401.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5.</w:t>
      </w:r>
      <w:r w:rsidRPr="007F0E42">
        <w:rPr>
          <w:rFonts w:ascii="Arial" w:hAnsi="Arial" w:cs="Arial"/>
          <w:noProof/>
          <w:sz w:val="24"/>
          <w:szCs w:val="24"/>
        </w:rPr>
        <w:tab/>
      </w:r>
      <w:r w:rsidRPr="007F0E42">
        <w:rPr>
          <w:rFonts w:ascii="Arial" w:hAnsi="Arial" w:cs="Arial"/>
          <w:b/>
          <w:bCs/>
          <w:noProof/>
          <w:sz w:val="24"/>
          <w:szCs w:val="24"/>
        </w:rPr>
        <w:t>Ecdc</w:t>
      </w:r>
      <w:r w:rsidRPr="007F0E42">
        <w:rPr>
          <w:rFonts w:ascii="Arial" w:hAnsi="Arial" w:cs="Arial"/>
          <w:noProof/>
          <w:sz w:val="24"/>
          <w:szCs w:val="24"/>
        </w:rPr>
        <w:t xml:space="preserve">. </w:t>
      </w:r>
      <w:r w:rsidRPr="007F0E42">
        <w:rPr>
          <w:rFonts w:ascii="Arial" w:hAnsi="Arial" w:cs="Arial"/>
          <w:i/>
          <w:iCs/>
          <w:noProof/>
          <w:sz w:val="24"/>
          <w:szCs w:val="24"/>
        </w:rPr>
        <w:t>Monthly measles and rubella monitoring report – August 2019</w:t>
      </w:r>
      <w:r w:rsidRPr="007F0E42">
        <w:rPr>
          <w:rFonts w:ascii="Arial" w:hAnsi="Arial" w:cs="Arial"/>
          <w:noProof/>
          <w:sz w:val="24"/>
          <w:szCs w:val="24"/>
        </w:rPr>
        <w:t xml:space="preserve">. 2019.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6.</w:t>
      </w:r>
      <w:r w:rsidRPr="007F0E42">
        <w:rPr>
          <w:rFonts w:ascii="Arial" w:hAnsi="Arial" w:cs="Arial"/>
          <w:noProof/>
          <w:sz w:val="24"/>
          <w:szCs w:val="24"/>
        </w:rPr>
        <w:tab/>
      </w:r>
      <w:r w:rsidRPr="007F0E42">
        <w:rPr>
          <w:rFonts w:ascii="Arial" w:hAnsi="Arial" w:cs="Arial"/>
          <w:b/>
          <w:bCs/>
          <w:noProof/>
          <w:sz w:val="24"/>
          <w:szCs w:val="24"/>
        </w:rPr>
        <w:t>WHO</w:t>
      </w:r>
      <w:r w:rsidRPr="007F0E42">
        <w:rPr>
          <w:rFonts w:ascii="Arial" w:hAnsi="Arial" w:cs="Arial"/>
          <w:noProof/>
          <w:sz w:val="24"/>
          <w:szCs w:val="24"/>
        </w:rPr>
        <w:t xml:space="preserve">. WHO | New measles surveillance data from WHO. World Health Organization, 2019; Published online: 2019.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7.</w:t>
      </w:r>
      <w:r w:rsidRPr="007F0E42">
        <w:rPr>
          <w:rFonts w:ascii="Arial" w:hAnsi="Arial" w:cs="Arial"/>
          <w:noProof/>
          <w:sz w:val="24"/>
          <w:szCs w:val="24"/>
        </w:rPr>
        <w:tab/>
      </w:r>
      <w:r w:rsidRPr="007F0E42">
        <w:rPr>
          <w:rFonts w:ascii="Arial" w:hAnsi="Arial" w:cs="Arial"/>
          <w:b/>
          <w:bCs/>
          <w:noProof/>
          <w:sz w:val="24"/>
          <w:szCs w:val="24"/>
        </w:rPr>
        <w:t>Wadman M</w:t>
      </w:r>
      <w:r w:rsidRPr="007F0E42">
        <w:rPr>
          <w:rFonts w:ascii="Arial" w:hAnsi="Arial" w:cs="Arial"/>
          <w:noProof/>
          <w:sz w:val="24"/>
          <w:szCs w:val="24"/>
        </w:rPr>
        <w:t xml:space="preserve">. Measles epidemic in Ukraine drove troubling European year. </w:t>
      </w:r>
      <w:r w:rsidRPr="007F0E42">
        <w:rPr>
          <w:rFonts w:ascii="Arial" w:hAnsi="Arial" w:cs="Arial"/>
          <w:i/>
          <w:iCs/>
          <w:noProof/>
          <w:sz w:val="24"/>
          <w:szCs w:val="24"/>
        </w:rPr>
        <w:t>Science</w:t>
      </w:r>
      <w:r w:rsidRPr="007F0E42">
        <w:rPr>
          <w:rFonts w:ascii="Arial" w:hAnsi="Arial" w:cs="Arial"/>
          <w:noProof/>
          <w:sz w:val="24"/>
          <w:szCs w:val="24"/>
        </w:rPr>
        <w:t xml:space="preserve"> 2019; </w:t>
      </w:r>
      <w:r w:rsidRPr="007F0E42">
        <w:rPr>
          <w:rFonts w:ascii="Arial" w:hAnsi="Arial" w:cs="Arial"/>
          <w:b/>
          <w:bCs/>
          <w:noProof/>
          <w:sz w:val="24"/>
          <w:szCs w:val="24"/>
        </w:rPr>
        <w:t>363</w:t>
      </w:r>
      <w:r w:rsidRPr="007F0E42">
        <w:rPr>
          <w:rFonts w:ascii="Arial" w:hAnsi="Arial" w:cs="Arial"/>
          <w:noProof/>
          <w:sz w:val="24"/>
          <w:szCs w:val="24"/>
        </w:rPr>
        <w:t xml:space="preserve">: 677–678.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lastRenderedPageBreak/>
        <w:t>8.</w:t>
      </w:r>
      <w:r w:rsidRPr="007F0E42">
        <w:rPr>
          <w:rFonts w:ascii="Arial" w:hAnsi="Arial" w:cs="Arial"/>
          <w:noProof/>
          <w:sz w:val="24"/>
          <w:szCs w:val="24"/>
        </w:rPr>
        <w:tab/>
      </w:r>
      <w:r w:rsidRPr="007F0E42">
        <w:rPr>
          <w:rFonts w:ascii="Arial" w:hAnsi="Arial" w:cs="Arial"/>
          <w:b/>
          <w:bCs/>
          <w:noProof/>
          <w:sz w:val="24"/>
          <w:szCs w:val="24"/>
        </w:rPr>
        <w:t>The Lancet</w:t>
      </w:r>
      <w:r w:rsidRPr="007F0E42">
        <w:rPr>
          <w:rFonts w:ascii="Arial" w:hAnsi="Arial" w:cs="Arial"/>
          <w:noProof/>
          <w:sz w:val="24"/>
          <w:szCs w:val="24"/>
        </w:rPr>
        <w:t xml:space="preserve">. Measles, war, and health-care reforms in Ukraine. </w:t>
      </w:r>
      <w:r w:rsidRPr="007F0E42">
        <w:rPr>
          <w:rFonts w:ascii="Arial" w:hAnsi="Arial" w:cs="Arial"/>
          <w:i/>
          <w:iCs/>
          <w:noProof/>
          <w:sz w:val="24"/>
          <w:szCs w:val="24"/>
        </w:rPr>
        <w:t>The Lancet</w:t>
      </w:r>
      <w:r w:rsidRPr="007F0E42">
        <w:rPr>
          <w:rFonts w:ascii="Arial" w:hAnsi="Arial" w:cs="Arial"/>
          <w:noProof/>
          <w:sz w:val="24"/>
          <w:szCs w:val="24"/>
        </w:rPr>
        <w:t xml:space="preserve"> 2018; </w:t>
      </w:r>
      <w:r w:rsidRPr="007F0E42">
        <w:rPr>
          <w:rFonts w:ascii="Arial" w:hAnsi="Arial" w:cs="Arial"/>
          <w:b/>
          <w:bCs/>
          <w:noProof/>
          <w:sz w:val="24"/>
          <w:szCs w:val="24"/>
        </w:rPr>
        <w:t>392</w:t>
      </w:r>
      <w:r w:rsidRPr="007F0E42">
        <w:rPr>
          <w:rFonts w:ascii="Arial" w:hAnsi="Arial" w:cs="Arial"/>
          <w:noProof/>
          <w:sz w:val="24"/>
          <w:szCs w:val="24"/>
        </w:rPr>
        <w:t xml:space="preserve">: 711.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9.</w:t>
      </w:r>
      <w:r w:rsidRPr="007F0E42">
        <w:rPr>
          <w:rFonts w:ascii="Arial" w:hAnsi="Arial" w:cs="Arial"/>
          <w:noProof/>
          <w:sz w:val="24"/>
          <w:szCs w:val="24"/>
        </w:rPr>
        <w:tab/>
      </w:r>
      <w:r w:rsidRPr="007F0E42">
        <w:rPr>
          <w:rFonts w:ascii="Arial" w:hAnsi="Arial" w:cs="Arial"/>
          <w:i/>
          <w:iCs/>
          <w:noProof/>
          <w:sz w:val="24"/>
          <w:szCs w:val="24"/>
        </w:rPr>
        <w:t>WHO EpiBrief A report on the epidemiology of selected vaccine-preventable diseases in the European Region</w:t>
      </w:r>
      <w:r w:rsidRPr="007F0E42">
        <w:rPr>
          <w:rFonts w:ascii="Arial" w:hAnsi="Arial" w:cs="Arial"/>
          <w:noProof/>
          <w:sz w:val="24"/>
          <w:szCs w:val="24"/>
        </w:rPr>
        <w:t xml:space="preserve">. 2018.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10.</w:t>
      </w:r>
      <w:r w:rsidRPr="007F0E42">
        <w:rPr>
          <w:rFonts w:ascii="Arial" w:hAnsi="Arial" w:cs="Arial"/>
          <w:noProof/>
          <w:sz w:val="24"/>
          <w:szCs w:val="24"/>
        </w:rPr>
        <w:tab/>
      </w:r>
      <w:r w:rsidRPr="007F0E42">
        <w:rPr>
          <w:rFonts w:ascii="Arial" w:hAnsi="Arial" w:cs="Arial"/>
          <w:i/>
          <w:iCs/>
          <w:noProof/>
          <w:sz w:val="24"/>
          <w:szCs w:val="24"/>
        </w:rPr>
        <w:t>Ukraine: Measles Outbreak - Jan 2019 | ReliefWeb</w:t>
      </w:r>
      <w:r w:rsidRPr="007F0E42">
        <w:rPr>
          <w:rFonts w:ascii="Arial" w:hAnsi="Arial" w:cs="Arial"/>
          <w:noProof/>
          <w:sz w:val="24"/>
          <w:szCs w:val="24"/>
        </w:rPr>
        <w:t xml:space="preserve">. (https://reliefweb.int/disaster/ep-2019-000017-ukr). Accessed 22 August 2019.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11.</w:t>
      </w:r>
      <w:r w:rsidRPr="007F0E42">
        <w:rPr>
          <w:rFonts w:ascii="Arial" w:hAnsi="Arial" w:cs="Arial"/>
          <w:noProof/>
          <w:sz w:val="24"/>
          <w:szCs w:val="24"/>
        </w:rPr>
        <w:tab/>
      </w:r>
      <w:r w:rsidRPr="007F0E42">
        <w:rPr>
          <w:rFonts w:ascii="Arial" w:hAnsi="Arial" w:cs="Arial"/>
          <w:b/>
          <w:bCs/>
          <w:noProof/>
          <w:sz w:val="24"/>
          <w:szCs w:val="24"/>
        </w:rPr>
        <w:t xml:space="preserve">Molnár Z, </w:t>
      </w:r>
      <w:r w:rsidRPr="007F0E42">
        <w:rPr>
          <w:rFonts w:ascii="Arial" w:hAnsi="Arial" w:cs="Arial"/>
          <w:b/>
          <w:bCs/>
          <w:i/>
          <w:iCs/>
          <w:noProof/>
          <w:sz w:val="24"/>
          <w:szCs w:val="24"/>
        </w:rPr>
        <w:t>et al.</w:t>
      </w:r>
      <w:r w:rsidRPr="007F0E42">
        <w:rPr>
          <w:rFonts w:ascii="Arial" w:hAnsi="Arial" w:cs="Arial"/>
          <w:noProof/>
          <w:sz w:val="24"/>
          <w:szCs w:val="24"/>
        </w:rPr>
        <w:t xml:space="preserve"> Local mumps outbreak in Hungary, 2007. </w:t>
      </w:r>
      <w:r w:rsidRPr="007F0E42">
        <w:rPr>
          <w:rFonts w:ascii="Arial" w:hAnsi="Arial" w:cs="Arial"/>
          <w:i/>
          <w:iCs/>
          <w:noProof/>
          <w:sz w:val="24"/>
          <w:szCs w:val="24"/>
        </w:rPr>
        <w:t>Weekly releases (1997–2007)</w:t>
      </w:r>
      <w:r w:rsidRPr="007F0E42">
        <w:rPr>
          <w:rFonts w:ascii="Arial" w:hAnsi="Arial" w:cs="Arial"/>
          <w:noProof/>
          <w:sz w:val="24"/>
          <w:szCs w:val="24"/>
        </w:rPr>
        <w:t xml:space="preserve"> European Centre for Disease Prevention and Control, 2007; </w:t>
      </w:r>
      <w:r w:rsidRPr="007F0E42">
        <w:rPr>
          <w:rFonts w:ascii="Arial" w:hAnsi="Arial" w:cs="Arial"/>
          <w:b/>
          <w:bCs/>
          <w:noProof/>
          <w:sz w:val="24"/>
          <w:szCs w:val="24"/>
        </w:rPr>
        <w:t>12</w:t>
      </w:r>
      <w:r w:rsidRPr="007F0E42">
        <w:rPr>
          <w:rFonts w:ascii="Arial" w:hAnsi="Arial" w:cs="Arial"/>
          <w:noProof/>
          <w:sz w:val="24"/>
          <w:szCs w:val="24"/>
        </w:rPr>
        <w:t xml:space="preserve">: 3167.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12.</w:t>
      </w:r>
      <w:r w:rsidRPr="007F0E42">
        <w:rPr>
          <w:rFonts w:ascii="Arial" w:hAnsi="Arial" w:cs="Arial"/>
          <w:noProof/>
          <w:sz w:val="24"/>
          <w:szCs w:val="24"/>
        </w:rPr>
        <w:tab/>
      </w:r>
      <w:r w:rsidRPr="007F0E42">
        <w:rPr>
          <w:rFonts w:ascii="Arial" w:hAnsi="Arial" w:cs="Arial"/>
          <w:b/>
          <w:bCs/>
          <w:noProof/>
          <w:sz w:val="24"/>
          <w:szCs w:val="24"/>
        </w:rPr>
        <w:t>Office E, Office R</w:t>
      </w:r>
      <w:r w:rsidRPr="007F0E42">
        <w:rPr>
          <w:rFonts w:ascii="Arial" w:hAnsi="Arial" w:cs="Arial"/>
          <w:noProof/>
          <w:sz w:val="24"/>
          <w:szCs w:val="24"/>
        </w:rPr>
        <w:t xml:space="preserve">. </w:t>
      </w:r>
      <w:r w:rsidRPr="007F0E42">
        <w:rPr>
          <w:rFonts w:ascii="Arial" w:hAnsi="Arial" w:cs="Arial"/>
          <w:i/>
          <w:iCs/>
          <w:noProof/>
          <w:sz w:val="24"/>
          <w:szCs w:val="24"/>
        </w:rPr>
        <w:t>Measles and rubella elimination country profile Hungary</w:t>
      </w:r>
      <w:r w:rsidRPr="007F0E42">
        <w:rPr>
          <w:rFonts w:ascii="Arial" w:hAnsi="Arial" w:cs="Arial"/>
          <w:noProof/>
          <w:sz w:val="24"/>
          <w:szCs w:val="24"/>
        </w:rPr>
        <w:t xml:space="preserve">. 2017.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13.</w:t>
      </w:r>
      <w:r w:rsidRPr="007F0E42">
        <w:rPr>
          <w:rFonts w:ascii="Arial" w:hAnsi="Arial" w:cs="Arial"/>
          <w:noProof/>
          <w:sz w:val="24"/>
          <w:szCs w:val="24"/>
        </w:rPr>
        <w:tab/>
      </w:r>
      <w:r w:rsidRPr="007F0E42">
        <w:rPr>
          <w:rFonts w:ascii="Arial" w:hAnsi="Arial" w:cs="Arial"/>
          <w:b/>
          <w:bCs/>
          <w:noProof/>
          <w:sz w:val="24"/>
          <w:szCs w:val="24"/>
        </w:rPr>
        <w:t>Ecdc</w:t>
      </w:r>
      <w:r w:rsidRPr="007F0E42">
        <w:rPr>
          <w:rFonts w:ascii="Arial" w:hAnsi="Arial" w:cs="Arial"/>
          <w:noProof/>
          <w:sz w:val="24"/>
          <w:szCs w:val="24"/>
        </w:rPr>
        <w:t xml:space="preserve">. </w:t>
      </w:r>
      <w:r w:rsidRPr="007F0E42">
        <w:rPr>
          <w:rFonts w:ascii="Arial" w:hAnsi="Arial" w:cs="Arial"/>
          <w:i/>
          <w:iCs/>
          <w:noProof/>
          <w:sz w:val="24"/>
          <w:szCs w:val="24"/>
        </w:rPr>
        <w:t>Monthly measles and rubella monitoring report – April 2019</w:t>
      </w:r>
      <w:r w:rsidRPr="007F0E42">
        <w:rPr>
          <w:rFonts w:ascii="Arial" w:hAnsi="Arial" w:cs="Arial"/>
          <w:noProof/>
          <w:sz w:val="24"/>
          <w:szCs w:val="24"/>
        </w:rPr>
        <w:t xml:space="preserve">.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14.</w:t>
      </w:r>
      <w:r w:rsidRPr="007F0E42">
        <w:rPr>
          <w:rFonts w:ascii="Arial" w:hAnsi="Arial" w:cs="Arial"/>
          <w:noProof/>
          <w:sz w:val="24"/>
          <w:szCs w:val="24"/>
        </w:rPr>
        <w:tab/>
        <w:t xml:space="preserve">WHO | Immunization Country Profile. World Health Organization,.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15.</w:t>
      </w:r>
      <w:r w:rsidRPr="007F0E42">
        <w:rPr>
          <w:rFonts w:ascii="Arial" w:hAnsi="Arial" w:cs="Arial"/>
          <w:noProof/>
          <w:sz w:val="24"/>
          <w:szCs w:val="24"/>
        </w:rPr>
        <w:tab/>
      </w:r>
      <w:r w:rsidRPr="007F0E42">
        <w:rPr>
          <w:rFonts w:ascii="Arial" w:hAnsi="Arial" w:cs="Arial"/>
          <w:b/>
          <w:bCs/>
          <w:noProof/>
          <w:sz w:val="24"/>
          <w:szCs w:val="24"/>
        </w:rPr>
        <w:t xml:space="preserve">Lambert N, </w:t>
      </w:r>
      <w:r w:rsidRPr="007F0E42">
        <w:rPr>
          <w:rFonts w:ascii="Arial" w:hAnsi="Arial" w:cs="Arial"/>
          <w:b/>
          <w:bCs/>
          <w:i/>
          <w:iCs/>
          <w:noProof/>
          <w:sz w:val="24"/>
          <w:szCs w:val="24"/>
        </w:rPr>
        <w:t>et al.</w:t>
      </w:r>
      <w:r w:rsidRPr="007F0E42">
        <w:rPr>
          <w:rFonts w:ascii="Arial" w:hAnsi="Arial" w:cs="Arial"/>
          <w:noProof/>
          <w:sz w:val="24"/>
          <w:szCs w:val="24"/>
        </w:rPr>
        <w:t xml:space="preserve"> Rubella. </w:t>
      </w:r>
      <w:r w:rsidRPr="007F0E42">
        <w:rPr>
          <w:rFonts w:ascii="Arial" w:hAnsi="Arial" w:cs="Arial"/>
          <w:i/>
          <w:iCs/>
          <w:noProof/>
          <w:sz w:val="24"/>
          <w:szCs w:val="24"/>
        </w:rPr>
        <w:t>The Lancet</w:t>
      </w:r>
      <w:r w:rsidRPr="007F0E42">
        <w:rPr>
          <w:rFonts w:ascii="Arial" w:hAnsi="Arial" w:cs="Arial"/>
          <w:noProof/>
          <w:sz w:val="24"/>
          <w:szCs w:val="24"/>
        </w:rPr>
        <w:t xml:space="preserve"> 2015; </w:t>
      </w:r>
      <w:r w:rsidRPr="007F0E42">
        <w:rPr>
          <w:rFonts w:ascii="Arial" w:hAnsi="Arial" w:cs="Arial"/>
          <w:b/>
          <w:bCs/>
          <w:noProof/>
          <w:sz w:val="24"/>
          <w:szCs w:val="24"/>
        </w:rPr>
        <w:t>385</w:t>
      </w:r>
      <w:r w:rsidRPr="007F0E42">
        <w:rPr>
          <w:rFonts w:ascii="Arial" w:hAnsi="Arial" w:cs="Arial"/>
          <w:noProof/>
          <w:sz w:val="24"/>
          <w:szCs w:val="24"/>
        </w:rPr>
        <w:t xml:space="preserve">: 2297–2307.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16.</w:t>
      </w:r>
      <w:r w:rsidRPr="007F0E42">
        <w:rPr>
          <w:rFonts w:ascii="Arial" w:hAnsi="Arial" w:cs="Arial"/>
          <w:noProof/>
          <w:sz w:val="24"/>
          <w:szCs w:val="24"/>
        </w:rPr>
        <w:tab/>
      </w:r>
      <w:r w:rsidRPr="007F0E42">
        <w:rPr>
          <w:rFonts w:ascii="Arial" w:hAnsi="Arial" w:cs="Arial"/>
          <w:b/>
          <w:bCs/>
          <w:noProof/>
          <w:sz w:val="24"/>
          <w:szCs w:val="24"/>
        </w:rPr>
        <w:t>Moss WJ</w:t>
      </w:r>
      <w:r w:rsidRPr="007F0E42">
        <w:rPr>
          <w:rFonts w:ascii="Arial" w:hAnsi="Arial" w:cs="Arial"/>
          <w:noProof/>
          <w:sz w:val="24"/>
          <w:szCs w:val="24"/>
        </w:rPr>
        <w:t xml:space="preserve">. Measles. </w:t>
      </w:r>
      <w:r w:rsidRPr="007F0E42">
        <w:rPr>
          <w:rFonts w:ascii="Arial" w:hAnsi="Arial" w:cs="Arial"/>
          <w:i/>
          <w:iCs/>
          <w:noProof/>
          <w:sz w:val="24"/>
          <w:szCs w:val="24"/>
        </w:rPr>
        <w:t>The Lancet</w:t>
      </w:r>
      <w:r w:rsidRPr="007F0E42">
        <w:rPr>
          <w:rFonts w:ascii="Arial" w:hAnsi="Arial" w:cs="Arial"/>
          <w:noProof/>
          <w:sz w:val="24"/>
          <w:szCs w:val="24"/>
        </w:rPr>
        <w:t xml:space="preserve"> Elsevier, 2017; </w:t>
      </w:r>
      <w:r w:rsidRPr="007F0E42">
        <w:rPr>
          <w:rFonts w:ascii="Arial" w:hAnsi="Arial" w:cs="Arial"/>
          <w:b/>
          <w:bCs/>
          <w:noProof/>
          <w:sz w:val="24"/>
          <w:szCs w:val="24"/>
        </w:rPr>
        <w:t>390</w:t>
      </w:r>
      <w:r w:rsidRPr="007F0E42">
        <w:rPr>
          <w:rFonts w:ascii="Arial" w:hAnsi="Arial" w:cs="Arial"/>
          <w:noProof/>
          <w:sz w:val="24"/>
          <w:szCs w:val="24"/>
        </w:rPr>
        <w:t xml:space="preserve">: 2490–2502.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17.</w:t>
      </w:r>
      <w:r w:rsidRPr="007F0E42">
        <w:rPr>
          <w:rFonts w:ascii="Arial" w:hAnsi="Arial" w:cs="Arial"/>
          <w:noProof/>
          <w:sz w:val="24"/>
          <w:szCs w:val="24"/>
        </w:rPr>
        <w:tab/>
      </w:r>
      <w:r w:rsidRPr="007F0E42">
        <w:rPr>
          <w:rFonts w:ascii="Arial" w:hAnsi="Arial" w:cs="Arial"/>
          <w:b/>
          <w:bCs/>
          <w:noProof/>
          <w:sz w:val="24"/>
          <w:szCs w:val="24"/>
        </w:rPr>
        <w:t>Lewnard JA, Grad YH</w:t>
      </w:r>
      <w:r w:rsidRPr="007F0E42">
        <w:rPr>
          <w:rFonts w:ascii="Arial" w:hAnsi="Arial" w:cs="Arial"/>
          <w:noProof/>
          <w:sz w:val="24"/>
          <w:szCs w:val="24"/>
        </w:rPr>
        <w:t xml:space="preserve">. Vaccine waning and mumps re-emergence in the United States. </w:t>
      </w:r>
      <w:r w:rsidRPr="007F0E42">
        <w:rPr>
          <w:rFonts w:ascii="Arial" w:hAnsi="Arial" w:cs="Arial"/>
          <w:i/>
          <w:iCs/>
          <w:noProof/>
          <w:sz w:val="24"/>
          <w:szCs w:val="24"/>
        </w:rPr>
        <w:t>Science Translational Medicine</w:t>
      </w:r>
      <w:r w:rsidRPr="007F0E42">
        <w:rPr>
          <w:rFonts w:ascii="Arial" w:hAnsi="Arial" w:cs="Arial"/>
          <w:noProof/>
          <w:sz w:val="24"/>
          <w:szCs w:val="24"/>
        </w:rPr>
        <w:t xml:space="preserve"> American Association for the Advancement of Science, 2018; </w:t>
      </w:r>
      <w:r w:rsidRPr="007F0E42">
        <w:rPr>
          <w:rFonts w:ascii="Arial" w:hAnsi="Arial" w:cs="Arial"/>
          <w:b/>
          <w:bCs/>
          <w:noProof/>
          <w:sz w:val="24"/>
          <w:szCs w:val="24"/>
        </w:rPr>
        <w:t>10</w:t>
      </w:r>
      <w:r w:rsidRPr="007F0E42">
        <w:rPr>
          <w:rFonts w:ascii="Arial" w:hAnsi="Arial" w:cs="Arial"/>
          <w:noProof/>
          <w:sz w:val="24"/>
          <w:szCs w:val="24"/>
        </w:rPr>
        <w:t xml:space="preserve">: eaao5945.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18.</w:t>
      </w:r>
      <w:r w:rsidRPr="007F0E42">
        <w:rPr>
          <w:rFonts w:ascii="Arial" w:hAnsi="Arial" w:cs="Arial"/>
          <w:noProof/>
          <w:sz w:val="24"/>
          <w:szCs w:val="24"/>
        </w:rPr>
        <w:tab/>
      </w:r>
      <w:r w:rsidRPr="007F0E42">
        <w:rPr>
          <w:rFonts w:ascii="Arial" w:hAnsi="Arial" w:cs="Arial"/>
          <w:b/>
          <w:bCs/>
          <w:noProof/>
          <w:sz w:val="24"/>
          <w:szCs w:val="24"/>
        </w:rPr>
        <w:t>Hviid A, Rubin S, Mühlemann K</w:t>
      </w:r>
      <w:r w:rsidRPr="007F0E42">
        <w:rPr>
          <w:rFonts w:ascii="Arial" w:hAnsi="Arial" w:cs="Arial"/>
          <w:noProof/>
          <w:sz w:val="24"/>
          <w:szCs w:val="24"/>
        </w:rPr>
        <w:t xml:space="preserve">. Mumps. </w:t>
      </w:r>
      <w:r w:rsidRPr="007F0E42">
        <w:rPr>
          <w:rFonts w:ascii="Arial" w:hAnsi="Arial" w:cs="Arial"/>
          <w:i/>
          <w:iCs/>
          <w:noProof/>
          <w:sz w:val="24"/>
          <w:szCs w:val="24"/>
        </w:rPr>
        <w:t>The Lancet</w:t>
      </w:r>
      <w:r w:rsidRPr="007F0E42">
        <w:rPr>
          <w:rFonts w:ascii="Arial" w:hAnsi="Arial" w:cs="Arial"/>
          <w:noProof/>
          <w:sz w:val="24"/>
          <w:szCs w:val="24"/>
        </w:rPr>
        <w:t xml:space="preserve"> Elsevier, 2008; </w:t>
      </w:r>
      <w:r w:rsidRPr="007F0E42">
        <w:rPr>
          <w:rFonts w:ascii="Arial" w:hAnsi="Arial" w:cs="Arial"/>
          <w:b/>
          <w:bCs/>
          <w:noProof/>
          <w:sz w:val="24"/>
          <w:szCs w:val="24"/>
        </w:rPr>
        <w:t>371</w:t>
      </w:r>
      <w:r w:rsidRPr="007F0E42">
        <w:rPr>
          <w:rFonts w:ascii="Arial" w:hAnsi="Arial" w:cs="Arial"/>
          <w:noProof/>
          <w:sz w:val="24"/>
          <w:szCs w:val="24"/>
        </w:rPr>
        <w:t xml:space="preserve">: 932–944.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19.</w:t>
      </w:r>
      <w:r w:rsidRPr="007F0E42">
        <w:rPr>
          <w:rFonts w:ascii="Arial" w:hAnsi="Arial" w:cs="Arial"/>
          <w:noProof/>
          <w:sz w:val="24"/>
          <w:szCs w:val="24"/>
        </w:rPr>
        <w:tab/>
      </w:r>
      <w:r w:rsidRPr="007F0E42">
        <w:rPr>
          <w:rFonts w:ascii="Arial" w:hAnsi="Arial" w:cs="Arial"/>
          <w:b/>
          <w:bCs/>
          <w:noProof/>
          <w:sz w:val="24"/>
          <w:szCs w:val="24"/>
        </w:rPr>
        <w:t>MMWR  Weekly</w:t>
      </w:r>
      <w:r w:rsidRPr="007F0E42">
        <w:rPr>
          <w:rFonts w:ascii="Arial" w:hAnsi="Arial" w:cs="Arial"/>
          <w:noProof/>
          <w:sz w:val="24"/>
          <w:szCs w:val="24"/>
        </w:rPr>
        <w:t xml:space="preserve">. </w:t>
      </w:r>
      <w:r w:rsidRPr="007F0E42">
        <w:rPr>
          <w:rFonts w:ascii="Arial" w:hAnsi="Arial" w:cs="Arial"/>
          <w:i/>
          <w:iCs/>
          <w:noProof/>
          <w:sz w:val="24"/>
          <w:szCs w:val="24"/>
        </w:rPr>
        <w:t>MMWR Publications | MMWR</w:t>
      </w:r>
      <w:r w:rsidRPr="007F0E42">
        <w:rPr>
          <w:rFonts w:ascii="Arial" w:hAnsi="Arial" w:cs="Arial"/>
          <w:noProof/>
          <w:sz w:val="24"/>
          <w:szCs w:val="24"/>
        </w:rPr>
        <w:t xml:space="preserve">. </w:t>
      </w:r>
      <w:r w:rsidRPr="007F0E42">
        <w:rPr>
          <w:rFonts w:ascii="Arial" w:hAnsi="Arial" w:cs="Arial"/>
          <w:noProof/>
          <w:sz w:val="24"/>
          <w:szCs w:val="24"/>
        </w:rPr>
        <w:lastRenderedPageBreak/>
        <w:t xml:space="preserve">(https://www.cdc.gov/mmwr/publications/index.html). Accessed 5 May 2019.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20.</w:t>
      </w:r>
      <w:r w:rsidRPr="007F0E42">
        <w:rPr>
          <w:rFonts w:ascii="Arial" w:hAnsi="Arial" w:cs="Arial"/>
          <w:noProof/>
          <w:sz w:val="24"/>
          <w:szCs w:val="24"/>
        </w:rPr>
        <w:tab/>
      </w:r>
      <w:r w:rsidRPr="007F0E42">
        <w:rPr>
          <w:rFonts w:ascii="Arial" w:hAnsi="Arial" w:cs="Arial"/>
          <w:b/>
          <w:bCs/>
          <w:noProof/>
          <w:sz w:val="24"/>
          <w:szCs w:val="24"/>
        </w:rPr>
        <w:t xml:space="preserve">Liu Y, </w:t>
      </w:r>
      <w:r w:rsidRPr="007F0E42">
        <w:rPr>
          <w:rFonts w:ascii="Arial" w:hAnsi="Arial" w:cs="Arial"/>
          <w:b/>
          <w:bCs/>
          <w:i/>
          <w:iCs/>
          <w:noProof/>
          <w:sz w:val="24"/>
          <w:szCs w:val="24"/>
        </w:rPr>
        <w:t>et al.</w:t>
      </w:r>
      <w:r w:rsidRPr="007F0E42">
        <w:rPr>
          <w:rFonts w:ascii="Arial" w:hAnsi="Arial" w:cs="Arial"/>
          <w:noProof/>
          <w:sz w:val="24"/>
          <w:szCs w:val="24"/>
        </w:rPr>
        <w:t xml:space="preserve"> Waning immunity of one-dose measles-mumps-rubella vaccine to mumps in children from kindergarten to early school age: a prospective study. </w:t>
      </w:r>
      <w:r w:rsidRPr="007F0E42">
        <w:rPr>
          <w:rFonts w:ascii="Arial" w:hAnsi="Arial" w:cs="Arial"/>
          <w:i/>
          <w:iCs/>
          <w:noProof/>
          <w:sz w:val="24"/>
          <w:szCs w:val="24"/>
        </w:rPr>
        <w:t>Expert Review of Vaccines</w:t>
      </w:r>
      <w:r w:rsidRPr="007F0E42">
        <w:rPr>
          <w:rFonts w:ascii="Arial" w:hAnsi="Arial" w:cs="Arial"/>
          <w:noProof/>
          <w:sz w:val="24"/>
          <w:szCs w:val="24"/>
        </w:rPr>
        <w:t xml:space="preserve"> 2018; </w:t>
      </w:r>
      <w:r w:rsidRPr="007F0E42">
        <w:rPr>
          <w:rFonts w:ascii="Arial" w:hAnsi="Arial" w:cs="Arial"/>
          <w:b/>
          <w:bCs/>
          <w:noProof/>
          <w:sz w:val="24"/>
          <w:szCs w:val="24"/>
        </w:rPr>
        <w:t>17</w:t>
      </w:r>
      <w:r w:rsidRPr="007F0E42">
        <w:rPr>
          <w:rFonts w:ascii="Arial" w:hAnsi="Arial" w:cs="Arial"/>
          <w:noProof/>
          <w:sz w:val="24"/>
          <w:szCs w:val="24"/>
        </w:rPr>
        <w:t xml:space="preserve">: 445–452.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21.</w:t>
      </w:r>
      <w:r w:rsidRPr="007F0E42">
        <w:rPr>
          <w:rFonts w:ascii="Arial" w:hAnsi="Arial" w:cs="Arial"/>
          <w:noProof/>
          <w:sz w:val="24"/>
          <w:szCs w:val="24"/>
        </w:rPr>
        <w:tab/>
      </w:r>
      <w:r w:rsidRPr="007F0E42">
        <w:rPr>
          <w:rFonts w:ascii="Arial" w:hAnsi="Arial" w:cs="Arial"/>
          <w:b/>
          <w:bCs/>
          <w:noProof/>
          <w:sz w:val="24"/>
          <w:szCs w:val="24"/>
        </w:rPr>
        <w:t xml:space="preserve">Bankamp B, </w:t>
      </w:r>
      <w:r w:rsidRPr="007F0E42">
        <w:rPr>
          <w:rFonts w:ascii="Arial" w:hAnsi="Arial" w:cs="Arial"/>
          <w:b/>
          <w:bCs/>
          <w:i/>
          <w:iCs/>
          <w:noProof/>
          <w:sz w:val="24"/>
          <w:szCs w:val="24"/>
        </w:rPr>
        <w:t>et al.</w:t>
      </w:r>
      <w:r w:rsidRPr="007F0E42">
        <w:rPr>
          <w:rFonts w:ascii="Arial" w:hAnsi="Arial" w:cs="Arial"/>
          <w:noProof/>
          <w:sz w:val="24"/>
          <w:szCs w:val="24"/>
        </w:rPr>
        <w:t xml:space="preserve"> Successes and challenges for preventing measles, mumps and rubella by vaccination. </w:t>
      </w:r>
      <w:r w:rsidRPr="007F0E42">
        <w:rPr>
          <w:rFonts w:ascii="Arial" w:hAnsi="Arial" w:cs="Arial"/>
          <w:i/>
          <w:iCs/>
          <w:noProof/>
          <w:sz w:val="24"/>
          <w:szCs w:val="24"/>
        </w:rPr>
        <w:t>Current Opinion in Virology</w:t>
      </w:r>
      <w:r w:rsidRPr="007F0E42">
        <w:rPr>
          <w:rFonts w:ascii="Arial" w:hAnsi="Arial" w:cs="Arial"/>
          <w:noProof/>
          <w:sz w:val="24"/>
          <w:szCs w:val="24"/>
        </w:rPr>
        <w:t xml:space="preserve"> 2019; </w:t>
      </w:r>
      <w:r w:rsidRPr="007F0E42">
        <w:rPr>
          <w:rFonts w:ascii="Arial" w:hAnsi="Arial" w:cs="Arial"/>
          <w:b/>
          <w:bCs/>
          <w:noProof/>
          <w:sz w:val="24"/>
          <w:szCs w:val="24"/>
        </w:rPr>
        <w:t>34</w:t>
      </w:r>
      <w:r w:rsidRPr="007F0E42">
        <w:rPr>
          <w:rFonts w:ascii="Arial" w:hAnsi="Arial" w:cs="Arial"/>
          <w:noProof/>
          <w:sz w:val="24"/>
          <w:szCs w:val="24"/>
        </w:rPr>
        <w:t xml:space="preserve">: 110–116.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22.</w:t>
      </w:r>
      <w:r w:rsidRPr="007F0E42">
        <w:rPr>
          <w:rFonts w:ascii="Arial" w:hAnsi="Arial" w:cs="Arial"/>
          <w:noProof/>
          <w:sz w:val="24"/>
          <w:szCs w:val="24"/>
        </w:rPr>
        <w:tab/>
      </w:r>
      <w:r w:rsidRPr="007F0E42">
        <w:rPr>
          <w:rFonts w:ascii="Arial" w:hAnsi="Arial" w:cs="Arial"/>
          <w:b/>
          <w:bCs/>
          <w:noProof/>
          <w:sz w:val="24"/>
          <w:szCs w:val="24"/>
        </w:rPr>
        <w:t xml:space="preserve">Kontio M, </w:t>
      </w:r>
      <w:r w:rsidRPr="007F0E42">
        <w:rPr>
          <w:rFonts w:ascii="Arial" w:hAnsi="Arial" w:cs="Arial"/>
          <w:b/>
          <w:bCs/>
          <w:i/>
          <w:iCs/>
          <w:noProof/>
          <w:sz w:val="24"/>
          <w:szCs w:val="24"/>
        </w:rPr>
        <w:t>et al.</w:t>
      </w:r>
      <w:r w:rsidRPr="007F0E42">
        <w:rPr>
          <w:rFonts w:ascii="Arial" w:hAnsi="Arial" w:cs="Arial"/>
          <w:noProof/>
          <w:sz w:val="24"/>
          <w:szCs w:val="24"/>
        </w:rPr>
        <w:t xml:space="preserve"> Waning Antibody Levels and Avidity: Implications for MMR Vaccine-Induced Protection. </w:t>
      </w:r>
      <w:r w:rsidRPr="007F0E42">
        <w:rPr>
          <w:rFonts w:ascii="Arial" w:hAnsi="Arial" w:cs="Arial"/>
          <w:i/>
          <w:iCs/>
          <w:noProof/>
          <w:sz w:val="24"/>
          <w:szCs w:val="24"/>
        </w:rPr>
        <w:t>Journal of Infectious Diseases</w:t>
      </w:r>
      <w:r w:rsidRPr="007F0E42">
        <w:rPr>
          <w:rFonts w:ascii="Arial" w:hAnsi="Arial" w:cs="Arial"/>
          <w:noProof/>
          <w:sz w:val="24"/>
          <w:szCs w:val="24"/>
        </w:rPr>
        <w:t xml:space="preserve"> 2012; </w:t>
      </w:r>
      <w:r w:rsidRPr="007F0E42">
        <w:rPr>
          <w:rFonts w:ascii="Arial" w:hAnsi="Arial" w:cs="Arial"/>
          <w:b/>
          <w:bCs/>
          <w:noProof/>
          <w:sz w:val="24"/>
          <w:szCs w:val="24"/>
        </w:rPr>
        <w:t>206</w:t>
      </w:r>
      <w:r w:rsidRPr="007F0E42">
        <w:rPr>
          <w:rFonts w:ascii="Arial" w:hAnsi="Arial" w:cs="Arial"/>
          <w:noProof/>
          <w:sz w:val="24"/>
          <w:szCs w:val="24"/>
        </w:rPr>
        <w:t xml:space="preserve">: 1542–1548.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23.</w:t>
      </w:r>
      <w:r w:rsidRPr="007F0E42">
        <w:rPr>
          <w:rFonts w:ascii="Arial" w:hAnsi="Arial" w:cs="Arial"/>
          <w:noProof/>
          <w:sz w:val="24"/>
          <w:szCs w:val="24"/>
        </w:rPr>
        <w:tab/>
      </w:r>
      <w:r w:rsidRPr="007F0E42">
        <w:rPr>
          <w:rFonts w:ascii="Arial" w:hAnsi="Arial" w:cs="Arial"/>
          <w:b/>
          <w:bCs/>
          <w:noProof/>
          <w:sz w:val="24"/>
          <w:szCs w:val="24"/>
        </w:rPr>
        <w:t xml:space="preserve">Gibney KB, </w:t>
      </w:r>
      <w:r w:rsidRPr="007F0E42">
        <w:rPr>
          <w:rFonts w:ascii="Arial" w:hAnsi="Arial" w:cs="Arial"/>
          <w:b/>
          <w:bCs/>
          <w:i/>
          <w:iCs/>
          <w:noProof/>
          <w:sz w:val="24"/>
          <w:szCs w:val="24"/>
        </w:rPr>
        <w:t>et al.</w:t>
      </w:r>
      <w:r w:rsidRPr="007F0E42">
        <w:rPr>
          <w:rFonts w:ascii="Arial" w:hAnsi="Arial" w:cs="Arial"/>
          <w:noProof/>
          <w:sz w:val="24"/>
          <w:szCs w:val="24"/>
        </w:rPr>
        <w:t xml:space="preserve"> Emergence of attenuated measles illness among IgG positive/IgM negative measles cases, Victoria​, Australia 2008–2017. </w:t>
      </w:r>
      <w:r w:rsidRPr="007F0E42">
        <w:rPr>
          <w:rFonts w:ascii="Arial" w:hAnsi="Arial" w:cs="Arial"/>
          <w:i/>
          <w:iCs/>
          <w:noProof/>
          <w:sz w:val="24"/>
          <w:szCs w:val="24"/>
        </w:rPr>
        <w:t>Clinical Infectious Diseases</w:t>
      </w:r>
      <w:r w:rsidRPr="007F0E42">
        <w:rPr>
          <w:rFonts w:ascii="Arial" w:hAnsi="Arial" w:cs="Arial"/>
          <w:noProof/>
          <w:sz w:val="24"/>
          <w:szCs w:val="24"/>
        </w:rPr>
        <w:t xml:space="preserve"> 2019; Published online: 6 May 2019.doi:10.1093/cid/ciz363.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24.</w:t>
      </w:r>
      <w:r w:rsidRPr="007F0E42">
        <w:rPr>
          <w:rFonts w:ascii="Arial" w:hAnsi="Arial" w:cs="Arial"/>
          <w:noProof/>
          <w:sz w:val="24"/>
          <w:szCs w:val="24"/>
        </w:rPr>
        <w:tab/>
      </w:r>
      <w:r w:rsidRPr="007F0E42">
        <w:rPr>
          <w:rFonts w:ascii="Arial" w:hAnsi="Arial" w:cs="Arial"/>
          <w:b/>
          <w:bCs/>
          <w:noProof/>
          <w:sz w:val="24"/>
          <w:szCs w:val="24"/>
        </w:rPr>
        <w:t xml:space="preserve">Böröcz K, </w:t>
      </w:r>
      <w:r w:rsidRPr="007F0E42">
        <w:rPr>
          <w:rFonts w:ascii="Arial" w:hAnsi="Arial" w:cs="Arial"/>
          <w:b/>
          <w:bCs/>
          <w:i/>
          <w:iCs/>
          <w:noProof/>
          <w:sz w:val="24"/>
          <w:szCs w:val="24"/>
        </w:rPr>
        <w:t>et al.</w:t>
      </w:r>
      <w:r w:rsidRPr="007F0E42">
        <w:rPr>
          <w:rFonts w:ascii="Arial" w:hAnsi="Arial" w:cs="Arial"/>
          <w:noProof/>
          <w:sz w:val="24"/>
          <w:szCs w:val="24"/>
        </w:rPr>
        <w:t xml:space="preserve"> Development of a robust and standardized immunoserological assay for detection of anti-measles IgG antibodies in human sera. </w:t>
      </w:r>
      <w:r w:rsidRPr="007F0E42">
        <w:rPr>
          <w:rFonts w:ascii="Arial" w:hAnsi="Arial" w:cs="Arial"/>
          <w:i/>
          <w:iCs/>
          <w:noProof/>
          <w:sz w:val="24"/>
          <w:szCs w:val="24"/>
        </w:rPr>
        <w:t>Journal of Immunological Methods</w:t>
      </w:r>
      <w:r w:rsidRPr="007F0E42">
        <w:rPr>
          <w:rFonts w:ascii="Arial" w:hAnsi="Arial" w:cs="Arial"/>
          <w:noProof/>
          <w:sz w:val="24"/>
          <w:szCs w:val="24"/>
        </w:rPr>
        <w:t xml:space="preserve"> 2019; </w:t>
      </w:r>
      <w:r w:rsidRPr="007F0E42">
        <w:rPr>
          <w:rFonts w:ascii="Arial" w:hAnsi="Arial" w:cs="Arial"/>
          <w:b/>
          <w:bCs/>
          <w:noProof/>
          <w:sz w:val="24"/>
          <w:szCs w:val="24"/>
        </w:rPr>
        <w:t>464</w:t>
      </w:r>
      <w:r w:rsidRPr="007F0E42">
        <w:rPr>
          <w:rFonts w:ascii="Arial" w:hAnsi="Arial" w:cs="Arial"/>
          <w:noProof/>
          <w:sz w:val="24"/>
          <w:szCs w:val="24"/>
        </w:rPr>
        <w:t xml:space="preserve">: 1–8.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25.</w:t>
      </w:r>
      <w:r w:rsidRPr="007F0E42">
        <w:rPr>
          <w:rFonts w:ascii="Arial" w:hAnsi="Arial" w:cs="Arial"/>
          <w:noProof/>
          <w:sz w:val="24"/>
          <w:szCs w:val="24"/>
        </w:rPr>
        <w:tab/>
      </w:r>
      <w:r w:rsidRPr="007F0E42">
        <w:rPr>
          <w:rFonts w:ascii="Arial" w:hAnsi="Arial" w:cs="Arial"/>
          <w:b/>
          <w:bCs/>
          <w:noProof/>
          <w:sz w:val="24"/>
          <w:szCs w:val="24"/>
        </w:rPr>
        <w:t>Griner PF, Mayewski RJ, Mushlin AI GP</w:t>
      </w:r>
      <w:r w:rsidRPr="007F0E42">
        <w:rPr>
          <w:rFonts w:ascii="Arial" w:hAnsi="Arial" w:cs="Arial"/>
          <w:noProof/>
          <w:sz w:val="24"/>
          <w:szCs w:val="24"/>
        </w:rPr>
        <w:t xml:space="preserve">. Selection and interpretation of diagnostic tests and procedures. Principles and applications. - PubMed - NCBI. </w:t>
      </w:r>
      <w:r w:rsidRPr="007F0E42">
        <w:rPr>
          <w:rFonts w:ascii="Arial" w:hAnsi="Arial" w:cs="Arial"/>
          <w:i/>
          <w:iCs/>
          <w:noProof/>
          <w:sz w:val="24"/>
          <w:szCs w:val="24"/>
        </w:rPr>
        <w:t>Annals of Internal Medicine</w:t>
      </w:r>
      <w:r w:rsidRPr="007F0E42">
        <w:rPr>
          <w:rFonts w:ascii="Arial" w:hAnsi="Arial" w:cs="Arial"/>
          <w:noProof/>
          <w:sz w:val="24"/>
          <w:szCs w:val="24"/>
        </w:rPr>
        <w:t xml:space="preserve"> 1981; </w:t>
      </w:r>
      <w:r w:rsidRPr="007F0E42">
        <w:rPr>
          <w:rFonts w:ascii="Arial" w:hAnsi="Arial" w:cs="Arial"/>
          <w:b/>
          <w:bCs/>
          <w:noProof/>
          <w:sz w:val="24"/>
          <w:szCs w:val="24"/>
        </w:rPr>
        <w:t>94</w:t>
      </w:r>
      <w:r w:rsidRPr="007F0E42">
        <w:rPr>
          <w:rFonts w:ascii="Arial" w:hAnsi="Arial" w:cs="Arial"/>
          <w:noProof/>
          <w:sz w:val="24"/>
          <w:szCs w:val="24"/>
        </w:rPr>
        <w:t xml:space="preserve">: 557–592.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26.</w:t>
      </w:r>
      <w:r w:rsidRPr="007F0E42">
        <w:rPr>
          <w:rFonts w:ascii="Arial" w:hAnsi="Arial" w:cs="Arial"/>
          <w:noProof/>
          <w:sz w:val="24"/>
          <w:szCs w:val="24"/>
        </w:rPr>
        <w:tab/>
      </w:r>
      <w:r w:rsidRPr="007F0E42">
        <w:rPr>
          <w:rFonts w:ascii="Arial" w:hAnsi="Arial" w:cs="Arial"/>
          <w:b/>
          <w:bCs/>
          <w:noProof/>
          <w:sz w:val="24"/>
          <w:szCs w:val="24"/>
        </w:rPr>
        <w:t>ECDC</w:t>
      </w:r>
      <w:r w:rsidRPr="007F0E42">
        <w:rPr>
          <w:rFonts w:ascii="Arial" w:hAnsi="Arial" w:cs="Arial"/>
          <w:noProof/>
          <w:sz w:val="24"/>
          <w:szCs w:val="24"/>
        </w:rPr>
        <w:t xml:space="preserve">. </w:t>
      </w:r>
      <w:r w:rsidRPr="007F0E42">
        <w:rPr>
          <w:rFonts w:ascii="Arial" w:hAnsi="Arial" w:cs="Arial"/>
          <w:i/>
          <w:iCs/>
          <w:noProof/>
          <w:sz w:val="24"/>
          <w:szCs w:val="24"/>
        </w:rPr>
        <w:t>SURVEILLANCE REPORT-Annual Epidemiological Report for 2016</w:t>
      </w:r>
      <w:r w:rsidRPr="007F0E42">
        <w:rPr>
          <w:rFonts w:ascii="Arial" w:hAnsi="Arial" w:cs="Arial"/>
          <w:noProof/>
          <w:sz w:val="24"/>
          <w:szCs w:val="24"/>
        </w:rPr>
        <w:t xml:space="preserve">.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27.</w:t>
      </w:r>
      <w:r w:rsidRPr="007F0E42">
        <w:rPr>
          <w:rFonts w:ascii="Arial" w:hAnsi="Arial" w:cs="Arial"/>
          <w:noProof/>
          <w:sz w:val="24"/>
          <w:szCs w:val="24"/>
        </w:rPr>
        <w:tab/>
      </w:r>
      <w:r w:rsidRPr="007F0E42">
        <w:rPr>
          <w:rFonts w:ascii="Arial" w:hAnsi="Arial" w:cs="Arial"/>
          <w:i/>
          <w:iCs/>
          <w:noProof/>
          <w:sz w:val="24"/>
          <w:szCs w:val="24"/>
        </w:rPr>
        <w:t>International Notes Measles -- Hungary</w:t>
      </w:r>
      <w:r w:rsidRPr="007F0E42">
        <w:rPr>
          <w:rFonts w:ascii="Arial" w:hAnsi="Arial" w:cs="Arial"/>
          <w:noProof/>
          <w:sz w:val="24"/>
          <w:szCs w:val="24"/>
        </w:rPr>
        <w:t xml:space="preserve">. (https://www.cdc.gov/mmwr/preview/mmwrhtml/00001472.htm). Accessed 3 May </w:t>
      </w:r>
      <w:r w:rsidRPr="007F0E42">
        <w:rPr>
          <w:rFonts w:ascii="Arial" w:hAnsi="Arial" w:cs="Arial"/>
          <w:noProof/>
          <w:sz w:val="24"/>
          <w:szCs w:val="24"/>
        </w:rPr>
        <w:lastRenderedPageBreak/>
        <w:t xml:space="preserve">2018.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28.</w:t>
      </w:r>
      <w:r w:rsidRPr="007F0E42">
        <w:rPr>
          <w:rFonts w:ascii="Arial" w:hAnsi="Arial" w:cs="Arial"/>
          <w:noProof/>
          <w:sz w:val="24"/>
          <w:szCs w:val="24"/>
        </w:rPr>
        <w:tab/>
      </w:r>
      <w:r w:rsidRPr="007F0E42">
        <w:rPr>
          <w:rFonts w:ascii="Arial" w:hAnsi="Arial" w:cs="Arial"/>
          <w:b/>
          <w:bCs/>
          <w:noProof/>
          <w:sz w:val="24"/>
          <w:szCs w:val="24"/>
        </w:rPr>
        <w:t xml:space="preserve">Redd SC, </w:t>
      </w:r>
      <w:r w:rsidRPr="007F0E42">
        <w:rPr>
          <w:rFonts w:ascii="Arial" w:hAnsi="Arial" w:cs="Arial"/>
          <w:b/>
          <w:bCs/>
          <w:i/>
          <w:iCs/>
          <w:noProof/>
          <w:sz w:val="24"/>
          <w:szCs w:val="24"/>
        </w:rPr>
        <w:t>et al.</w:t>
      </w:r>
      <w:r w:rsidRPr="007F0E42">
        <w:rPr>
          <w:rFonts w:ascii="Arial" w:hAnsi="Arial" w:cs="Arial"/>
          <w:noProof/>
          <w:sz w:val="24"/>
          <w:szCs w:val="24"/>
        </w:rPr>
        <w:t xml:space="preserve"> Comparison of Vaccination with Measles-Mumps-Rubella Vaccine at 9, 12, and 15 Months of Age. Hinman AR, ed. </w:t>
      </w:r>
      <w:r w:rsidRPr="007F0E42">
        <w:rPr>
          <w:rFonts w:ascii="Arial" w:hAnsi="Arial" w:cs="Arial"/>
          <w:i/>
          <w:iCs/>
          <w:noProof/>
          <w:sz w:val="24"/>
          <w:szCs w:val="24"/>
        </w:rPr>
        <w:t>The Journal of Infectious Diseases</w:t>
      </w:r>
      <w:r w:rsidRPr="007F0E42">
        <w:rPr>
          <w:rFonts w:ascii="Arial" w:hAnsi="Arial" w:cs="Arial"/>
          <w:noProof/>
          <w:sz w:val="24"/>
          <w:szCs w:val="24"/>
        </w:rPr>
        <w:t xml:space="preserve"> Narnia, 2004; </w:t>
      </w:r>
      <w:r w:rsidRPr="007F0E42">
        <w:rPr>
          <w:rFonts w:ascii="Arial" w:hAnsi="Arial" w:cs="Arial"/>
          <w:b/>
          <w:bCs/>
          <w:noProof/>
          <w:sz w:val="24"/>
          <w:szCs w:val="24"/>
        </w:rPr>
        <w:t>189</w:t>
      </w:r>
      <w:r w:rsidRPr="007F0E42">
        <w:rPr>
          <w:rFonts w:ascii="Arial" w:hAnsi="Arial" w:cs="Arial"/>
          <w:noProof/>
          <w:sz w:val="24"/>
          <w:szCs w:val="24"/>
        </w:rPr>
        <w:t xml:space="preserve">: S116–S122.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29.</w:t>
      </w:r>
      <w:r w:rsidRPr="007F0E42">
        <w:rPr>
          <w:rFonts w:ascii="Arial" w:hAnsi="Arial" w:cs="Arial"/>
          <w:noProof/>
          <w:sz w:val="24"/>
          <w:szCs w:val="24"/>
        </w:rPr>
        <w:tab/>
      </w:r>
      <w:r w:rsidRPr="007F0E42">
        <w:rPr>
          <w:rFonts w:ascii="Arial" w:hAnsi="Arial" w:cs="Arial"/>
          <w:b/>
          <w:bCs/>
          <w:noProof/>
          <w:sz w:val="24"/>
          <w:szCs w:val="24"/>
        </w:rPr>
        <w:t xml:space="preserve">Orenstein WA, </w:t>
      </w:r>
      <w:r w:rsidRPr="007F0E42">
        <w:rPr>
          <w:rFonts w:ascii="Arial" w:hAnsi="Arial" w:cs="Arial"/>
          <w:b/>
          <w:bCs/>
          <w:i/>
          <w:iCs/>
          <w:noProof/>
          <w:sz w:val="24"/>
          <w:szCs w:val="24"/>
        </w:rPr>
        <w:t>et al.</w:t>
      </w:r>
      <w:r w:rsidRPr="007F0E42">
        <w:rPr>
          <w:rFonts w:ascii="Arial" w:hAnsi="Arial" w:cs="Arial"/>
          <w:noProof/>
          <w:sz w:val="24"/>
          <w:szCs w:val="24"/>
        </w:rPr>
        <w:t xml:space="preserve"> Appropriate age for measles vaccination in the United States. </w:t>
      </w:r>
      <w:r w:rsidRPr="007F0E42">
        <w:rPr>
          <w:rFonts w:ascii="Arial" w:hAnsi="Arial" w:cs="Arial"/>
          <w:i/>
          <w:iCs/>
          <w:noProof/>
          <w:sz w:val="24"/>
          <w:szCs w:val="24"/>
        </w:rPr>
        <w:t>Developments in biological standardization</w:t>
      </w:r>
      <w:r w:rsidRPr="007F0E42">
        <w:rPr>
          <w:rFonts w:ascii="Arial" w:hAnsi="Arial" w:cs="Arial"/>
          <w:noProof/>
          <w:sz w:val="24"/>
          <w:szCs w:val="24"/>
        </w:rPr>
        <w:t xml:space="preserve"> 1986; </w:t>
      </w:r>
      <w:r w:rsidRPr="007F0E42">
        <w:rPr>
          <w:rFonts w:ascii="Arial" w:hAnsi="Arial" w:cs="Arial"/>
          <w:b/>
          <w:bCs/>
          <w:noProof/>
          <w:sz w:val="24"/>
          <w:szCs w:val="24"/>
        </w:rPr>
        <w:t>65</w:t>
      </w:r>
      <w:r w:rsidRPr="007F0E42">
        <w:rPr>
          <w:rFonts w:ascii="Arial" w:hAnsi="Arial" w:cs="Arial"/>
          <w:noProof/>
          <w:sz w:val="24"/>
          <w:szCs w:val="24"/>
        </w:rPr>
        <w:t xml:space="preserve">: 13–21.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30.</w:t>
      </w:r>
      <w:r w:rsidRPr="007F0E42">
        <w:rPr>
          <w:rFonts w:ascii="Arial" w:hAnsi="Arial" w:cs="Arial"/>
          <w:noProof/>
          <w:sz w:val="24"/>
          <w:szCs w:val="24"/>
        </w:rPr>
        <w:tab/>
      </w:r>
      <w:r w:rsidRPr="007F0E42">
        <w:rPr>
          <w:rFonts w:ascii="Arial" w:hAnsi="Arial" w:cs="Arial"/>
          <w:i/>
          <w:iCs/>
          <w:noProof/>
          <w:sz w:val="24"/>
          <w:szCs w:val="24"/>
        </w:rPr>
        <w:t>The Immunological Basis for Immunization Series</w:t>
      </w:r>
      <w:r w:rsidRPr="007F0E42">
        <w:rPr>
          <w:rFonts w:ascii="Arial" w:hAnsi="Arial" w:cs="Arial"/>
          <w:noProof/>
          <w:sz w:val="24"/>
          <w:szCs w:val="24"/>
        </w:rPr>
        <w:t xml:space="preserve">. 2009.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31.</w:t>
      </w:r>
      <w:r w:rsidRPr="007F0E42">
        <w:rPr>
          <w:rFonts w:ascii="Arial" w:hAnsi="Arial" w:cs="Arial"/>
          <w:noProof/>
          <w:sz w:val="24"/>
          <w:szCs w:val="24"/>
        </w:rPr>
        <w:tab/>
      </w:r>
      <w:r w:rsidRPr="007F0E42">
        <w:rPr>
          <w:rFonts w:ascii="Arial" w:hAnsi="Arial" w:cs="Arial"/>
          <w:i/>
          <w:iCs/>
          <w:noProof/>
          <w:sz w:val="24"/>
          <w:szCs w:val="24"/>
        </w:rPr>
        <w:t>Chapter 3 Immunisation of Immunocompromised Persons Immunisation of Immunocompromised Persons</w:t>
      </w:r>
      <w:r w:rsidRPr="007F0E42">
        <w:rPr>
          <w:rFonts w:ascii="Arial" w:hAnsi="Arial" w:cs="Arial"/>
          <w:noProof/>
          <w:sz w:val="24"/>
          <w:szCs w:val="24"/>
        </w:rPr>
        <w:t xml:space="preserve">.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32.</w:t>
      </w:r>
      <w:r w:rsidRPr="007F0E42">
        <w:rPr>
          <w:rFonts w:ascii="Arial" w:hAnsi="Arial" w:cs="Arial"/>
          <w:noProof/>
          <w:sz w:val="24"/>
          <w:szCs w:val="24"/>
        </w:rPr>
        <w:tab/>
      </w:r>
      <w:r w:rsidRPr="007F0E42">
        <w:rPr>
          <w:rFonts w:ascii="Arial" w:hAnsi="Arial" w:cs="Arial"/>
          <w:b/>
          <w:bCs/>
          <w:noProof/>
          <w:sz w:val="24"/>
          <w:szCs w:val="24"/>
        </w:rPr>
        <w:t>Arvas A</w:t>
      </w:r>
      <w:r w:rsidRPr="007F0E42">
        <w:rPr>
          <w:rFonts w:ascii="Arial" w:hAnsi="Arial" w:cs="Arial"/>
          <w:noProof/>
          <w:sz w:val="24"/>
          <w:szCs w:val="24"/>
        </w:rPr>
        <w:t xml:space="preserve">. Vaccination in patients with immunosuppression. </w:t>
      </w:r>
      <w:r w:rsidRPr="007F0E42">
        <w:rPr>
          <w:rFonts w:ascii="Arial" w:hAnsi="Arial" w:cs="Arial"/>
          <w:i/>
          <w:iCs/>
          <w:noProof/>
          <w:sz w:val="24"/>
          <w:szCs w:val="24"/>
        </w:rPr>
        <w:t>Turk pediatri arsivi</w:t>
      </w:r>
      <w:r w:rsidRPr="007F0E42">
        <w:rPr>
          <w:rFonts w:ascii="Arial" w:hAnsi="Arial" w:cs="Arial"/>
          <w:noProof/>
          <w:sz w:val="24"/>
          <w:szCs w:val="24"/>
        </w:rPr>
        <w:t xml:space="preserve"> Turkish Pediatrics Association, 2014; </w:t>
      </w:r>
      <w:r w:rsidRPr="007F0E42">
        <w:rPr>
          <w:rFonts w:ascii="Arial" w:hAnsi="Arial" w:cs="Arial"/>
          <w:b/>
          <w:bCs/>
          <w:noProof/>
          <w:sz w:val="24"/>
          <w:szCs w:val="24"/>
        </w:rPr>
        <w:t>49</w:t>
      </w:r>
      <w:r w:rsidRPr="007F0E42">
        <w:rPr>
          <w:rFonts w:ascii="Arial" w:hAnsi="Arial" w:cs="Arial"/>
          <w:noProof/>
          <w:sz w:val="24"/>
          <w:szCs w:val="24"/>
        </w:rPr>
        <w:t xml:space="preserve">: 181–5.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33.</w:t>
      </w:r>
      <w:r w:rsidRPr="007F0E42">
        <w:rPr>
          <w:rFonts w:ascii="Arial" w:hAnsi="Arial" w:cs="Arial"/>
          <w:noProof/>
          <w:sz w:val="24"/>
          <w:szCs w:val="24"/>
        </w:rPr>
        <w:tab/>
      </w:r>
      <w:r w:rsidRPr="007F0E42">
        <w:rPr>
          <w:rFonts w:ascii="Arial" w:hAnsi="Arial" w:cs="Arial"/>
          <w:b/>
          <w:bCs/>
          <w:noProof/>
          <w:sz w:val="24"/>
          <w:szCs w:val="24"/>
        </w:rPr>
        <w:t xml:space="preserve">Lengyel G, </w:t>
      </w:r>
      <w:r w:rsidRPr="007F0E42">
        <w:rPr>
          <w:rFonts w:ascii="Arial" w:hAnsi="Arial" w:cs="Arial"/>
          <w:b/>
          <w:bCs/>
          <w:i/>
          <w:iCs/>
          <w:noProof/>
          <w:sz w:val="24"/>
          <w:szCs w:val="24"/>
        </w:rPr>
        <w:t>et al.</w:t>
      </w:r>
      <w:r w:rsidRPr="007F0E42">
        <w:rPr>
          <w:rFonts w:ascii="Arial" w:hAnsi="Arial" w:cs="Arial"/>
          <w:noProof/>
          <w:sz w:val="24"/>
          <w:szCs w:val="24"/>
        </w:rPr>
        <w:t xml:space="preserve"> Screening of more than 2000 Hungarian healthcare workers’ anti-measles antibody level: results and possible population-level consequences. </w:t>
      </w:r>
      <w:r w:rsidRPr="007F0E42">
        <w:rPr>
          <w:rFonts w:ascii="Arial" w:hAnsi="Arial" w:cs="Arial"/>
          <w:i/>
          <w:iCs/>
          <w:noProof/>
          <w:sz w:val="24"/>
          <w:szCs w:val="24"/>
        </w:rPr>
        <w:t>Epidemiology and Infection</w:t>
      </w:r>
      <w:r w:rsidRPr="007F0E42">
        <w:rPr>
          <w:rFonts w:ascii="Arial" w:hAnsi="Arial" w:cs="Arial"/>
          <w:noProof/>
          <w:sz w:val="24"/>
          <w:szCs w:val="24"/>
        </w:rPr>
        <w:t xml:space="preserve"> 2019; </w:t>
      </w:r>
      <w:r w:rsidRPr="007F0E42">
        <w:rPr>
          <w:rFonts w:ascii="Arial" w:hAnsi="Arial" w:cs="Arial"/>
          <w:b/>
          <w:bCs/>
          <w:noProof/>
          <w:sz w:val="24"/>
          <w:szCs w:val="24"/>
        </w:rPr>
        <w:t>147</w:t>
      </w:r>
      <w:r w:rsidRPr="007F0E42">
        <w:rPr>
          <w:rFonts w:ascii="Arial" w:hAnsi="Arial" w:cs="Arial"/>
          <w:noProof/>
          <w:sz w:val="24"/>
          <w:szCs w:val="24"/>
        </w:rPr>
        <w:t xml:space="preserve">: e7.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34.</w:t>
      </w:r>
      <w:r w:rsidRPr="007F0E42">
        <w:rPr>
          <w:rFonts w:ascii="Arial" w:hAnsi="Arial" w:cs="Arial"/>
          <w:noProof/>
          <w:sz w:val="24"/>
          <w:szCs w:val="24"/>
        </w:rPr>
        <w:tab/>
      </w:r>
      <w:r w:rsidRPr="007F0E42">
        <w:rPr>
          <w:rFonts w:ascii="Arial" w:hAnsi="Arial" w:cs="Arial"/>
          <w:b/>
          <w:bCs/>
          <w:noProof/>
          <w:sz w:val="24"/>
          <w:szCs w:val="24"/>
        </w:rPr>
        <w:t xml:space="preserve">Agócs MM, </w:t>
      </w:r>
      <w:r w:rsidRPr="007F0E42">
        <w:rPr>
          <w:rFonts w:ascii="Arial" w:hAnsi="Arial" w:cs="Arial"/>
          <w:b/>
          <w:bCs/>
          <w:i/>
          <w:iCs/>
          <w:noProof/>
          <w:sz w:val="24"/>
          <w:szCs w:val="24"/>
        </w:rPr>
        <w:t>et al.</w:t>
      </w:r>
      <w:r w:rsidRPr="007F0E42">
        <w:rPr>
          <w:rFonts w:ascii="Arial" w:hAnsi="Arial" w:cs="Arial"/>
          <w:noProof/>
          <w:sz w:val="24"/>
          <w:szCs w:val="24"/>
        </w:rPr>
        <w:t xml:space="preserve"> The 1988-1989 measles epidemic in Hungary: assessment of vaccine failure. </w:t>
      </w:r>
      <w:r w:rsidRPr="007F0E42">
        <w:rPr>
          <w:rFonts w:ascii="Arial" w:hAnsi="Arial" w:cs="Arial"/>
          <w:i/>
          <w:iCs/>
          <w:noProof/>
          <w:sz w:val="24"/>
          <w:szCs w:val="24"/>
        </w:rPr>
        <w:t>International journal of epidemiology</w:t>
      </w:r>
      <w:r w:rsidRPr="007F0E42">
        <w:rPr>
          <w:rFonts w:ascii="Arial" w:hAnsi="Arial" w:cs="Arial"/>
          <w:noProof/>
          <w:sz w:val="24"/>
          <w:szCs w:val="24"/>
        </w:rPr>
        <w:t xml:space="preserve"> 1992; </w:t>
      </w:r>
      <w:r w:rsidRPr="007F0E42">
        <w:rPr>
          <w:rFonts w:ascii="Arial" w:hAnsi="Arial" w:cs="Arial"/>
          <w:b/>
          <w:bCs/>
          <w:noProof/>
          <w:sz w:val="24"/>
          <w:szCs w:val="24"/>
        </w:rPr>
        <w:t>21</w:t>
      </w:r>
      <w:r w:rsidRPr="007F0E42">
        <w:rPr>
          <w:rFonts w:ascii="Arial" w:hAnsi="Arial" w:cs="Arial"/>
          <w:noProof/>
          <w:sz w:val="24"/>
          <w:szCs w:val="24"/>
        </w:rPr>
        <w:t xml:space="preserve">: 1007–13.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35.</w:t>
      </w:r>
      <w:r w:rsidRPr="007F0E42">
        <w:rPr>
          <w:rFonts w:ascii="Arial" w:hAnsi="Arial" w:cs="Arial"/>
          <w:noProof/>
          <w:sz w:val="24"/>
          <w:szCs w:val="24"/>
        </w:rPr>
        <w:tab/>
      </w:r>
      <w:r w:rsidRPr="007F0E42">
        <w:rPr>
          <w:rFonts w:ascii="Arial" w:hAnsi="Arial" w:cs="Arial"/>
          <w:b/>
          <w:bCs/>
          <w:noProof/>
          <w:sz w:val="24"/>
          <w:szCs w:val="24"/>
        </w:rPr>
        <w:t>Fine P, Eames K, Heymann DL</w:t>
      </w:r>
      <w:r w:rsidRPr="007F0E42">
        <w:rPr>
          <w:rFonts w:ascii="Arial" w:hAnsi="Arial" w:cs="Arial"/>
          <w:noProof/>
          <w:sz w:val="24"/>
          <w:szCs w:val="24"/>
        </w:rPr>
        <w:t xml:space="preserve">. ‘Herd immunity’: A rough guide. </w:t>
      </w:r>
      <w:r w:rsidRPr="007F0E42">
        <w:rPr>
          <w:rFonts w:ascii="Arial" w:hAnsi="Arial" w:cs="Arial"/>
          <w:i/>
          <w:iCs/>
          <w:noProof/>
          <w:sz w:val="24"/>
          <w:szCs w:val="24"/>
        </w:rPr>
        <w:t>Clinical Infectious Diseases</w:t>
      </w:r>
      <w:r w:rsidRPr="007F0E42">
        <w:rPr>
          <w:rFonts w:ascii="Arial" w:hAnsi="Arial" w:cs="Arial"/>
          <w:noProof/>
          <w:sz w:val="24"/>
          <w:szCs w:val="24"/>
        </w:rPr>
        <w:t xml:space="preserve"> 2011; </w:t>
      </w:r>
      <w:r w:rsidRPr="007F0E42">
        <w:rPr>
          <w:rFonts w:ascii="Arial" w:hAnsi="Arial" w:cs="Arial"/>
          <w:b/>
          <w:bCs/>
          <w:noProof/>
          <w:sz w:val="24"/>
          <w:szCs w:val="24"/>
        </w:rPr>
        <w:t>52</w:t>
      </w:r>
      <w:r w:rsidRPr="007F0E42">
        <w:rPr>
          <w:rFonts w:ascii="Arial" w:hAnsi="Arial" w:cs="Arial"/>
          <w:noProof/>
          <w:sz w:val="24"/>
          <w:szCs w:val="24"/>
        </w:rPr>
        <w:t xml:space="preserve">: 911–916.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36.</w:t>
      </w:r>
      <w:r w:rsidRPr="007F0E42">
        <w:rPr>
          <w:rFonts w:ascii="Arial" w:hAnsi="Arial" w:cs="Arial"/>
          <w:noProof/>
          <w:sz w:val="24"/>
          <w:szCs w:val="24"/>
        </w:rPr>
        <w:tab/>
      </w:r>
      <w:r w:rsidRPr="007F0E42">
        <w:rPr>
          <w:rFonts w:ascii="Arial" w:hAnsi="Arial" w:cs="Arial"/>
          <w:b/>
          <w:bCs/>
          <w:noProof/>
          <w:sz w:val="24"/>
          <w:szCs w:val="24"/>
        </w:rPr>
        <w:t xml:space="preserve">Edmunds WJ, </w:t>
      </w:r>
      <w:r w:rsidRPr="007F0E42">
        <w:rPr>
          <w:rFonts w:ascii="Arial" w:hAnsi="Arial" w:cs="Arial"/>
          <w:b/>
          <w:bCs/>
          <w:i/>
          <w:iCs/>
          <w:noProof/>
          <w:sz w:val="24"/>
          <w:szCs w:val="24"/>
        </w:rPr>
        <w:t>et al.</w:t>
      </w:r>
      <w:r w:rsidRPr="007F0E42">
        <w:rPr>
          <w:rFonts w:ascii="Arial" w:hAnsi="Arial" w:cs="Arial"/>
          <w:noProof/>
          <w:sz w:val="24"/>
          <w:szCs w:val="24"/>
        </w:rPr>
        <w:t xml:space="preserve"> The pre-vaccination epidemiology of measles, mumps and rubella in Europe: implications for modelling studies. </w:t>
      </w:r>
      <w:r w:rsidRPr="007F0E42">
        <w:rPr>
          <w:rFonts w:ascii="Arial" w:hAnsi="Arial" w:cs="Arial"/>
          <w:i/>
          <w:iCs/>
          <w:noProof/>
          <w:sz w:val="24"/>
          <w:szCs w:val="24"/>
        </w:rPr>
        <w:t>Epidemiology and infection</w:t>
      </w:r>
      <w:r w:rsidRPr="007F0E42">
        <w:rPr>
          <w:rFonts w:ascii="Arial" w:hAnsi="Arial" w:cs="Arial"/>
          <w:noProof/>
          <w:sz w:val="24"/>
          <w:szCs w:val="24"/>
        </w:rPr>
        <w:t xml:space="preserve"> </w:t>
      </w:r>
      <w:r w:rsidRPr="007F0E42">
        <w:rPr>
          <w:rFonts w:ascii="Arial" w:hAnsi="Arial" w:cs="Arial"/>
          <w:noProof/>
          <w:sz w:val="24"/>
          <w:szCs w:val="24"/>
        </w:rPr>
        <w:lastRenderedPageBreak/>
        <w:t xml:space="preserve">Cambridge University Press, 2000; </w:t>
      </w:r>
      <w:r w:rsidRPr="007F0E42">
        <w:rPr>
          <w:rFonts w:ascii="Arial" w:hAnsi="Arial" w:cs="Arial"/>
          <w:b/>
          <w:bCs/>
          <w:noProof/>
          <w:sz w:val="24"/>
          <w:szCs w:val="24"/>
        </w:rPr>
        <w:t>125</w:t>
      </w:r>
      <w:r w:rsidRPr="007F0E42">
        <w:rPr>
          <w:rFonts w:ascii="Arial" w:hAnsi="Arial" w:cs="Arial"/>
          <w:noProof/>
          <w:sz w:val="24"/>
          <w:szCs w:val="24"/>
        </w:rPr>
        <w:t xml:space="preserve">: 635–50.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37.</w:t>
      </w:r>
      <w:r w:rsidRPr="007F0E42">
        <w:rPr>
          <w:rFonts w:ascii="Arial" w:hAnsi="Arial" w:cs="Arial"/>
          <w:noProof/>
          <w:sz w:val="24"/>
          <w:szCs w:val="24"/>
        </w:rPr>
        <w:tab/>
      </w:r>
      <w:r w:rsidRPr="007F0E42">
        <w:rPr>
          <w:rFonts w:ascii="Arial" w:hAnsi="Arial" w:cs="Arial"/>
          <w:b/>
          <w:bCs/>
          <w:noProof/>
          <w:sz w:val="24"/>
          <w:szCs w:val="24"/>
        </w:rPr>
        <w:t xml:space="preserve">Guerra FM, </w:t>
      </w:r>
      <w:r w:rsidRPr="007F0E42">
        <w:rPr>
          <w:rFonts w:ascii="Arial" w:hAnsi="Arial" w:cs="Arial"/>
          <w:b/>
          <w:bCs/>
          <w:i/>
          <w:iCs/>
          <w:noProof/>
          <w:sz w:val="24"/>
          <w:szCs w:val="24"/>
        </w:rPr>
        <w:t>et al.</w:t>
      </w:r>
      <w:r w:rsidRPr="007F0E42">
        <w:rPr>
          <w:rFonts w:ascii="Arial" w:hAnsi="Arial" w:cs="Arial"/>
          <w:noProof/>
          <w:sz w:val="24"/>
          <w:szCs w:val="24"/>
        </w:rPr>
        <w:t xml:space="preserve"> The basic reproduction number (R0) of measles: a systematic review. </w:t>
      </w:r>
      <w:r w:rsidRPr="007F0E42">
        <w:rPr>
          <w:rFonts w:ascii="Arial" w:hAnsi="Arial" w:cs="Arial"/>
          <w:i/>
          <w:iCs/>
          <w:noProof/>
          <w:sz w:val="24"/>
          <w:szCs w:val="24"/>
        </w:rPr>
        <w:t>The Lancet. Infectious diseases</w:t>
      </w:r>
      <w:r w:rsidRPr="007F0E42">
        <w:rPr>
          <w:rFonts w:ascii="Arial" w:hAnsi="Arial" w:cs="Arial"/>
          <w:noProof/>
          <w:sz w:val="24"/>
          <w:szCs w:val="24"/>
        </w:rPr>
        <w:t xml:space="preserve"> Elsevier, 2017; </w:t>
      </w:r>
      <w:r w:rsidRPr="007F0E42">
        <w:rPr>
          <w:rFonts w:ascii="Arial" w:hAnsi="Arial" w:cs="Arial"/>
          <w:b/>
          <w:bCs/>
          <w:noProof/>
          <w:sz w:val="24"/>
          <w:szCs w:val="24"/>
        </w:rPr>
        <w:t>17</w:t>
      </w:r>
      <w:r w:rsidRPr="007F0E42">
        <w:rPr>
          <w:rFonts w:ascii="Arial" w:hAnsi="Arial" w:cs="Arial"/>
          <w:noProof/>
          <w:sz w:val="24"/>
          <w:szCs w:val="24"/>
        </w:rPr>
        <w:t xml:space="preserve">: e420–e428.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38.</w:t>
      </w:r>
      <w:r w:rsidRPr="007F0E42">
        <w:rPr>
          <w:rFonts w:ascii="Arial" w:hAnsi="Arial" w:cs="Arial"/>
          <w:noProof/>
          <w:sz w:val="24"/>
          <w:szCs w:val="24"/>
        </w:rPr>
        <w:tab/>
      </w:r>
      <w:r w:rsidRPr="007F0E42">
        <w:rPr>
          <w:rFonts w:ascii="Arial" w:hAnsi="Arial" w:cs="Arial"/>
          <w:b/>
          <w:bCs/>
          <w:noProof/>
          <w:sz w:val="24"/>
          <w:szCs w:val="24"/>
        </w:rPr>
        <w:t xml:space="preserve">Masterson SG, </w:t>
      </w:r>
      <w:r w:rsidRPr="007F0E42">
        <w:rPr>
          <w:rFonts w:ascii="Arial" w:hAnsi="Arial" w:cs="Arial"/>
          <w:b/>
          <w:bCs/>
          <w:i/>
          <w:iCs/>
          <w:noProof/>
          <w:sz w:val="24"/>
          <w:szCs w:val="24"/>
        </w:rPr>
        <w:t>et al.</w:t>
      </w:r>
      <w:r w:rsidRPr="007F0E42">
        <w:rPr>
          <w:rFonts w:ascii="Arial" w:hAnsi="Arial" w:cs="Arial"/>
          <w:noProof/>
          <w:sz w:val="24"/>
          <w:szCs w:val="24"/>
        </w:rPr>
        <w:t xml:space="preserve"> Herd Immunity to Ebolaviruses Is Not a Realistic Target for Current Vaccination Strategies. </w:t>
      </w:r>
      <w:r w:rsidRPr="007F0E42">
        <w:rPr>
          <w:rFonts w:ascii="Arial" w:hAnsi="Arial" w:cs="Arial"/>
          <w:i/>
          <w:iCs/>
          <w:noProof/>
          <w:sz w:val="24"/>
          <w:szCs w:val="24"/>
        </w:rPr>
        <w:t>Frontiers in immunology</w:t>
      </w:r>
      <w:r w:rsidRPr="007F0E42">
        <w:rPr>
          <w:rFonts w:ascii="Arial" w:hAnsi="Arial" w:cs="Arial"/>
          <w:noProof/>
          <w:sz w:val="24"/>
          <w:szCs w:val="24"/>
        </w:rPr>
        <w:t xml:space="preserve"> Frontiers Media SA, 2018; </w:t>
      </w:r>
      <w:r w:rsidRPr="007F0E42">
        <w:rPr>
          <w:rFonts w:ascii="Arial" w:hAnsi="Arial" w:cs="Arial"/>
          <w:b/>
          <w:bCs/>
          <w:noProof/>
          <w:sz w:val="24"/>
          <w:szCs w:val="24"/>
        </w:rPr>
        <w:t>9</w:t>
      </w:r>
      <w:r w:rsidRPr="007F0E42">
        <w:rPr>
          <w:rFonts w:ascii="Arial" w:hAnsi="Arial" w:cs="Arial"/>
          <w:noProof/>
          <w:sz w:val="24"/>
          <w:szCs w:val="24"/>
        </w:rPr>
        <w:t xml:space="preserve">: 1025.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39.</w:t>
      </w:r>
      <w:r w:rsidRPr="007F0E42">
        <w:rPr>
          <w:rFonts w:ascii="Arial" w:hAnsi="Arial" w:cs="Arial"/>
          <w:noProof/>
          <w:sz w:val="24"/>
          <w:szCs w:val="24"/>
        </w:rPr>
        <w:tab/>
      </w:r>
      <w:r w:rsidRPr="007F0E42">
        <w:rPr>
          <w:rFonts w:ascii="Arial" w:hAnsi="Arial" w:cs="Arial"/>
          <w:i/>
          <w:iCs/>
          <w:noProof/>
          <w:sz w:val="24"/>
          <w:szCs w:val="24"/>
        </w:rPr>
        <w:t>Manual for the Laboratory-based Surveillance of Measles, Rubella, and Congenital Rubella Syndrome</w:t>
      </w:r>
      <w:r w:rsidRPr="007F0E42">
        <w:rPr>
          <w:rFonts w:ascii="Arial" w:hAnsi="Arial" w:cs="Arial"/>
          <w:noProof/>
          <w:sz w:val="24"/>
          <w:szCs w:val="24"/>
        </w:rPr>
        <w:t xml:space="preserve">.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40.</w:t>
      </w:r>
      <w:r w:rsidRPr="007F0E42">
        <w:rPr>
          <w:rFonts w:ascii="Arial" w:hAnsi="Arial" w:cs="Arial"/>
          <w:noProof/>
          <w:sz w:val="24"/>
          <w:szCs w:val="24"/>
        </w:rPr>
        <w:tab/>
      </w:r>
      <w:r w:rsidRPr="007F0E42">
        <w:rPr>
          <w:rFonts w:ascii="Arial" w:hAnsi="Arial" w:cs="Arial"/>
          <w:b/>
          <w:bCs/>
          <w:noProof/>
          <w:sz w:val="24"/>
          <w:szCs w:val="24"/>
        </w:rPr>
        <w:t xml:space="preserve">Vyse AJ, </w:t>
      </w:r>
      <w:r w:rsidRPr="007F0E42">
        <w:rPr>
          <w:rFonts w:ascii="Arial" w:hAnsi="Arial" w:cs="Arial"/>
          <w:b/>
          <w:bCs/>
          <w:i/>
          <w:iCs/>
          <w:noProof/>
          <w:sz w:val="24"/>
          <w:szCs w:val="24"/>
        </w:rPr>
        <w:t>et al.</w:t>
      </w:r>
      <w:r w:rsidRPr="007F0E42">
        <w:rPr>
          <w:rFonts w:ascii="Arial" w:hAnsi="Arial" w:cs="Arial"/>
          <w:noProof/>
          <w:sz w:val="24"/>
          <w:szCs w:val="24"/>
        </w:rPr>
        <w:t xml:space="preserve"> Interpreting serological surveys using mixture models: the seroepidemiology of measles, mumps and rubella in England and Wales at the beginning of the 21st century. </w:t>
      </w:r>
      <w:r w:rsidRPr="007F0E42">
        <w:rPr>
          <w:rFonts w:ascii="Arial" w:hAnsi="Arial" w:cs="Arial"/>
          <w:i/>
          <w:iCs/>
          <w:noProof/>
          <w:sz w:val="24"/>
          <w:szCs w:val="24"/>
        </w:rPr>
        <w:t>Epidemiology and infection</w:t>
      </w:r>
      <w:r w:rsidRPr="007F0E42">
        <w:rPr>
          <w:rFonts w:ascii="Arial" w:hAnsi="Arial" w:cs="Arial"/>
          <w:noProof/>
          <w:sz w:val="24"/>
          <w:szCs w:val="24"/>
        </w:rPr>
        <w:t xml:space="preserve"> Cambridge University Press, 2006; </w:t>
      </w:r>
      <w:r w:rsidRPr="007F0E42">
        <w:rPr>
          <w:rFonts w:ascii="Arial" w:hAnsi="Arial" w:cs="Arial"/>
          <w:b/>
          <w:bCs/>
          <w:noProof/>
          <w:sz w:val="24"/>
          <w:szCs w:val="24"/>
        </w:rPr>
        <w:t>134</w:t>
      </w:r>
      <w:r w:rsidRPr="007F0E42">
        <w:rPr>
          <w:rFonts w:ascii="Arial" w:hAnsi="Arial" w:cs="Arial"/>
          <w:noProof/>
          <w:sz w:val="24"/>
          <w:szCs w:val="24"/>
        </w:rPr>
        <w:t xml:space="preserve">: 1303–12.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41.</w:t>
      </w:r>
      <w:r w:rsidRPr="007F0E42">
        <w:rPr>
          <w:rFonts w:ascii="Arial" w:hAnsi="Arial" w:cs="Arial"/>
          <w:noProof/>
          <w:sz w:val="24"/>
          <w:szCs w:val="24"/>
        </w:rPr>
        <w:tab/>
      </w:r>
      <w:r w:rsidRPr="007F0E42">
        <w:rPr>
          <w:rFonts w:ascii="Arial" w:hAnsi="Arial" w:cs="Arial"/>
          <w:b/>
          <w:bCs/>
          <w:noProof/>
          <w:sz w:val="24"/>
          <w:szCs w:val="24"/>
        </w:rPr>
        <w:t>Skendzel LP</w:t>
      </w:r>
      <w:r w:rsidRPr="007F0E42">
        <w:rPr>
          <w:rFonts w:ascii="Arial" w:hAnsi="Arial" w:cs="Arial"/>
          <w:noProof/>
          <w:sz w:val="24"/>
          <w:szCs w:val="24"/>
        </w:rPr>
        <w:t xml:space="preserve">. Rubella Immunity: </w:t>
      </w:r>
      <w:r w:rsidRPr="007F0E42">
        <w:rPr>
          <w:rFonts w:ascii="Arial" w:hAnsi="Arial" w:cs="Arial"/>
          <w:i/>
          <w:iCs/>
          <w:noProof/>
          <w:sz w:val="24"/>
          <w:szCs w:val="24"/>
        </w:rPr>
        <w:t>Defining the Level of Protective Antibody</w:t>
      </w:r>
      <w:r w:rsidRPr="007F0E42">
        <w:rPr>
          <w:rFonts w:ascii="Arial" w:hAnsi="Arial" w:cs="Arial"/>
          <w:noProof/>
          <w:sz w:val="24"/>
          <w:szCs w:val="24"/>
        </w:rPr>
        <w:t xml:space="preserve">. </w:t>
      </w:r>
      <w:r w:rsidRPr="007F0E42">
        <w:rPr>
          <w:rFonts w:ascii="Arial" w:hAnsi="Arial" w:cs="Arial"/>
          <w:i/>
          <w:iCs/>
          <w:noProof/>
          <w:sz w:val="24"/>
          <w:szCs w:val="24"/>
        </w:rPr>
        <w:t>American Journal of Clinical Pathology</w:t>
      </w:r>
      <w:r w:rsidRPr="007F0E42">
        <w:rPr>
          <w:rFonts w:ascii="Arial" w:hAnsi="Arial" w:cs="Arial"/>
          <w:noProof/>
          <w:sz w:val="24"/>
          <w:szCs w:val="24"/>
        </w:rPr>
        <w:t xml:space="preserve"> Narnia, 1996; </w:t>
      </w:r>
      <w:r w:rsidRPr="007F0E42">
        <w:rPr>
          <w:rFonts w:ascii="Arial" w:hAnsi="Arial" w:cs="Arial"/>
          <w:b/>
          <w:bCs/>
          <w:noProof/>
          <w:sz w:val="24"/>
          <w:szCs w:val="24"/>
        </w:rPr>
        <w:t>106</w:t>
      </w:r>
      <w:r w:rsidRPr="007F0E42">
        <w:rPr>
          <w:rFonts w:ascii="Arial" w:hAnsi="Arial" w:cs="Arial"/>
          <w:noProof/>
          <w:sz w:val="24"/>
          <w:szCs w:val="24"/>
        </w:rPr>
        <w:t xml:space="preserve">: 170–174.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42.</w:t>
      </w:r>
      <w:r w:rsidRPr="007F0E42">
        <w:rPr>
          <w:rFonts w:ascii="Arial" w:hAnsi="Arial" w:cs="Arial"/>
          <w:noProof/>
          <w:sz w:val="24"/>
          <w:szCs w:val="24"/>
        </w:rPr>
        <w:tab/>
      </w:r>
      <w:r w:rsidRPr="007F0E42">
        <w:rPr>
          <w:rFonts w:ascii="Arial" w:hAnsi="Arial" w:cs="Arial"/>
          <w:b/>
          <w:bCs/>
          <w:noProof/>
          <w:sz w:val="24"/>
          <w:szCs w:val="24"/>
        </w:rPr>
        <w:t xml:space="preserve">Ward BJ, </w:t>
      </w:r>
      <w:r w:rsidRPr="007F0E42">
        <w:rPr>
          <w:rFonts w:ascii="Arial" w:hAnsi="Arial" w:cs="Arial"/>
          <w:b/>
          <w:bCs/>
          <w:i/>
          <w:iCs/>
          <w:noProof/>
          <w:sz w:val="24"/>
          <w:szCs w:val="24"/>
        </w:rPr>
        <w:t>et al.</w:t>
      </w:r>
      <w:r w:rsidRPr="007F0E42">
        <w:rPr>
          <w:rFonts w:ascii="Arial" w:hAnsi="Arial" w:cs="Arial"/>
          <w:noProof/>
          <w:sz w:val="24"/>
          <w:szCs w:val="24"/>
        </w:rPr>
        <w:t xml:space="preserve"> Cellular Immunity in Measles Vaccine Failure: Demonstration of Measles Antigen-Specific Lymphoproliferative Responses despite Limited Serum Antibody Production after Revaccination. </w:t>
      </w:r>
      <w:r w:rsidRPr="007F0E42">
        <w:rPr>
          <w:rFonts w:ascii="Arial" w:hAnsi="Arial" w:cs="Arial"/>
          <w:i/>
          <w:iCs/>
          <w:noProof/>
          <w:sz w:val="24"/>
          <w:szCs w:val="24"/>
        </w:rPr>
        <w:t>Journal of Infectious Diseases</w:t>
      </w:r>
      <w:r w:rsidRPr="007F0E42">
        <w:rPr>
          <w:rFonts w:ascii="Arial" w:hAnsi="Arial" w:cs="Arial"/>
          <w:noProof/>
          <w:sz w:val="24"/>
          <w:szCs w:val="24"/>
        </w:rPr>
        <w:t xml:space="preserve"> Narnia, 1995; </w:t>
      </w:r>
      <w:r w:rsidRPr="007F0E42">
        <w:rPr>
          <w:rFonts w:ascii="Arial" w:hAnsi="Arial" w:cs="Arial"/>
          <w:b/>
          <w:bCs/>
          <w:noProof/>
          <w:sz w:val="24"/>
          <w:szCs w:val="24"/>
        </w:rPr>
        <w:t>172</w:t>
      </w:r>
      <w:r w:rsidRPr="007F0E42">
        <w:rPr>
          <w:rFonts w:ascii="Arial" w:hAnsi="Arial" w:cs="Arial"/>
          <w:noProof/>
          <w:sz w:val="24"/>
          <w:szCs w:val="24"/>
        </w:rPr>
        <w:t xml:space="preserve">: 1591–1595.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43.</w:t>
      </w:r>
      <w:r w:rsidRPr="007F0E42">
        <w:rPr>
          <w:rFonts w:ascii="Arial" w:hAnsi="Arial" w:cs="Arial"/>
          <w:noProof/>
          <w:sz w:val="24"/>
          <w:szCs w:val="24"/>
        </w:rPr>
        <w:tab/>
      </w:r>
      <w:r w:rsidRPr="007F0E42">
        <w:rPr>
          <w:rFonts w:ascii="Arial" w:hAnsi="Arial" w:cs="Arial"/>
          <w:b/>
          <w:bCs/>
          <w:noProof/>
          <w:sz w:val="24"/>
          <w:szCs w:val="24"/>
        </w:rPr>
        <w:t>Plotkin SA</w:t>
      </w:r>
      <w:r w:rsidRPr="007F0E42">
        <w:rPr>
          <w:rFonts w:ascii="Arial" w:hAnsi="Arial" w:cs="Arial"/>
          <w:noProof/>
          <w:sz w:val="24"/>
          <w:szCs w:val="24"/>
        </w:rPr>
        <w:t xml:space="preserve">. Correlates of protection induced by vaccination. </w:t>
      </w:r>
      <w:r w:rsidRPr="007F0E42">
        <w:rPr>
          <w:rFonts w:ascii="Arial" w:hAnsi="Arial" w:cs="Arial"/>
          <w:i/>
          <w:iCs/>
          <w:noProof/>
          <w:sz w:val="24"/>
          <w:szCs w:val="24"/>
        </w:rPr>
        <w:t>Clinical and vaccine immunology : CVI</w:t>
      </w:r>
      <w:r w:rsidRPr="007F0E42">
        <w:rPr>
          <w:rFonts w:ascii="Arial" w:hAnsi="Arial" w:cs="Arial"/>
          <w:noProof/>
          <w:sz w:val="24"/>
          <w:szCs w:val="24"/>
        </w:rPr>
        <w:t xml:space="preserve"> American Society for Microbiology (ASM), 2010; </w:t>
      </w:r>
      <w:r w:rsidRPr="007F0E42">
        <w:rPr>
          <w:rFonts w:ascii="Arial" w:hAnsi="Arial" w:cs="Arial"/>
          <w:b/>
          <w:bCs/>
          <w:noProof/>
          <w:sz w:val="24"/>
          <w:szCs w:val="24"/>
        </w:rPr>
        <w:t>17</w:t>
      </w:r>
      <w:r w:rsidRPr="007F0E42">
        <w:rPr>
          <w:rFonts w:ascii="Arial" w:hAnsi="Arial" w:cs="Arial"/>
          <w:noProof/>
          <w:sz w:val="24"/>
          <w:szCs w:val="24"/>
        </w:rPr>
        <w:t xml:space="preserve">: 1055–65.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44.</w:t>
      </w:r>
      <w:r w:rsidRPr="007F0E42">
        <w:rPr>
          <w:rFonts w:ascii="Arial" w:hAnsi="Arial" w:cs="Arial"/>
          <w:noProof/>
          <w:sz w:val="24"/>
          <w:szCs w:val="24"/>
        </w:rPr>
        <w:tab/>
      </w:r>
      <w:r w:rsidRPr="007F0E42">
        <w:rPr>
          <w:rFonts w:ascii="Arial" w:hAnsi="Arial" w:cs="Arial"/>
          <w:b/>
          <w:bCs/>
          <w:noProof/>
          <w:sz w:val="24"/>
          <w:szCs w:val="24"/>
        </w:rPr>
        <w:t>Plotkin SA, Gilbert PB</w:t>
      </w:r>
      <w:r w:rsidRPr="007F0E42">
        <w:rPr>
          <w:rFonts w:ascii="Arial" w:hAnsi="Arial" w:cs="Arial"/>
          <w:noProof/>
          <w:sz w:val="24"/>
          <w:szCs w:val="24"/>
        </w:rPr>
        <w:t xml:space="preserve">. Nomenclature for immune correlates of protection after </w:t>
      </w:r>
      <w:r w:rsidRPr="007F0E42">
        <w:rPr>
          <w:rFonts w:ascii="Arial" w:hAnsi="Arial" w:cs="Arial"/>
          <w:noProof/>
          <w:sz w:val="24"/>
          <w:szCs w:val="24"/>
        </w:rPr>
        <w:lastRenderedPageBreak/>
        <w:t xml:space="preserve">vaccination. </w:t>
      </w:r>
      <w:r w:rsidRPr="007F0E42">
        <w:rPr>
          <w:rFonts w:ascii="Arial" w:hAnsi="Arial" w:cs="Arial"/>
          <w:i/>
          <w:iCs/>
          <w:noProof/>
          <w:sz w:val="24"/>
          <w:szCs w:val="24"/>
        </w:rPr>
        <w:t>Clinical infectious diseases : an official publication of the Infectious Diseases Society of America</w:t>
      </w:r>
      <w:r w:rsidRPr="007F0E42">
        <w:rPr>
          <w:rFonts w:ascii="Arial" w:hAnsi="Arial" w:cs="Arial"/>
          <w:noProof/>
          <w:sz w:val="24"/>
          <w:szCs w:val="24"/>
        </w:rPr>
        <w:t xml:space="preserve"> Oxford University Press, 2012; </w:t>
      </w:r>
      <w:r w:rsidRPr="007F0E42">
        <w:rPr>
          <w:rFonts w:ascii="Arial" w:hAnsi="Arial" w:cs="Arial"/>
          <w:b/>
          <w:bCs/>
          <w:noProof/>
          <w:sz w:val="24"/>
          <w:szCs w:val="24"/>
        </w:rPr>
        <w:t>54</w:t>
      </w:r>
      <w:r w:rsidRPr="007F0E42">
        <w:rPr>
          <w:rFonts w:ascii="Arial" w:hAnsi="Arial" w:cs="Arial"/>
          <w:noProof/>
          <w:sz w:val="24"/>
          <w:szCs w:val="24"/>
        </w:rPr>
        <w:t xml:space="preserve">: 1615–7.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45.</w:t>
      </w:r>
      <w:r w:rsidRPr="007F0E42">
        <w:rPr>
          <w:rFonts w:ascii="Arial" w:hAnsi="Arial" w:cs="Arial"/>
          <w:noProof/>
          <w:sz w:val="24"/>
          <w:szCs w:val="24"/>
        </w:rPr>
        <w:tab/>
      </w:r>
      <w:r w:rsidRPr="007F0E42">
        <w:rPr>
          <w:rFonts w:ascii="Arial" w:hAnsi="Arial" w:cs="Arial"/>
          <w:i/>
          <w:iCs/>
          <w:noProof/>
          <w:sz w:val="24"/>
          <w:szCs w:val="24"/>
        </w:rPr>
        <w:t>Correlates of vaccine-induced protection: methods and implications Immunization, Vaccines and Biologicals</w:t>
      </w:r>
      <w:r w:rsidRPr="007F0E42">
        <w:rPr>
          <w:rFonts w:ascii="Arial" w:hAnsi="Arial" w:cs="Arial"/>
          <w:noProof/>
          <w:sz w:val="24"/>
          <w:szCs w:val="24"/>
        </w:rPr>
        <w:t xml:space="preserve">. 2013.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46.</w:t>
      </w:r>
      <w:r w:rsidRPr="007F0E42">
        <w:rPr>
          <w:rFonts w:ascii="Arial" w:hAnsi="Arial" w:cs="Arial"/>
          <w:noProof/>
          <w:sz w:val="24"/>
          <w:szCs w:val="24"/>
        </w:rPr>
        <w:tab/>
      </w:r>
      <w:r w:rsidRPr="007F0E42">
        <w:rPr>
          <w:rFonts w:ascii="Arial" w:hAnsi="Arial" w:cs="Arial"/>
          <w:b/>
          <w:bCs/>
          <w:noProof/>
          <w:sz w:val="24"/>
          <w:szCs w:val="24"/>
        </w:rPr>
        <w:t xml:space="preserve">Dorigo-Zetsma JW, </w:t>
      </w:r>
      <w:r w:rsidRPr="007F0E42">
        <w:rPr>
          <w:rFonts w:ascii="Arial" w:hAnsi="Arial" w:cs="Arial"/>
          <w:b/>
          <w:bCs/>
          <w:i/>
          <w:iCs/>
          <w:noProof/>
          <w:sz w:val="24"/>
          <w:szCs w:val="24"/>
        </w:rPr>
        <w:t>et al.</w:t>
      </w:r>
      <w:r w:rsidRPr="007F0E42">
        <w:rPr>
          <w:rFonts w:ascii="Arial" w:hAnsi="Arial" w:cs="Arial"/>
          <w:noProof/>
          <w:sz w:val="24"/>
          <w:szCs w:val="24"/>
        </w:rPr>
        <w:t xml:space="preserve"> Immune status of health care workers to measles virus: evaluation of protective titers in four measles IgG EIAs. </w:t>
      </w:r>
      <w:r w:rsidRPr="007F0E42">
        <w:rPr>
          <w:rFonts w:ascii="Arial" w:hAnsi="Arial" w:cs="Arial"/>
          <w:i/>
          <w:iCs/>
          <w:noProof/>
          <w:sz w:val="24"/>
          <w:szCs w:val="24"/>
        </w:rPr>
        <w:t>Journal of Clinical Virology</w:t>
      </w:r>
      <w:r w:rsidRPr="007F0E42">
        <w:rPr>
          <w:rFonts w:ascii="Arial" w:hAnsi="Arial" w:cs="Arial"/>
          <w:noProof/>
          <w:sz w:val="24"/>
          <w:szCs w:val="24"/>
        </w:rPr>
        <w:t xml:space="preserve"> Elsevier, 2015; </w:t>
      </w:r>
      <w:r w:rsidRPr="007F0E42">
        <w:rPr>
          <w:rFonts w:ascii="Arial" w:hAnsi="Arial" w:cs="Arial"/>
          <w:b/>
          <w:bCs/>
          <w:noProof/>
          <w:sz w:val="24"/>
          <w:szCs w:val="24"/>
        </w:rPr>
        <w:t>69</w:t>
      </w:r>
      <w:r w:rsidRPr="007F0E42">
        <w:rPr>
          <w:rFonts w:ascii="Arial" w:hAnsi="Arial" w:cs="Arial"/>
          <w:noProof/>
          <w:sz w:val="24"/>
          <w:szCs w:val="24"/>
        </w:rPr>
        <w:t xml:space="preserve">: 214–218.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47.</w:t>
      </w:r>
      <w:r w:rsidRPr="007F0E42">
        <w:rPr>
          <w:rFonts w:ascii="Arial" w:hAnsi="Arial" w:cs="Arial"/>
          <w:noProof/>
          <w:sz w:val="24"/>
          <w:szCs w:val="24"/>
        </w:rPr>
        <w:tab/>
      </w:r>
      <w:r w:rsidRPr="007F0E42">
        <w:rPr>
          <w:rFonts w:ascii="Arial" w:hAnsi="Arial" w:cs="Arial"/>
          <w:b/>
          <w:bCs/>
          <w:noProof/>
          <w:sz w:val="24"/>
          <w:szCs w:val="24"/>
        </w:rPr>
        <w:t xml:space="preserve">Tischer A, </w:t>
      </w:r>
      <w:r w:rsidRPr="007F0E42">
        <w:rPr>
          <w:rFonts w:ascii="Arial" w:hAnsi="Arial" w:cs="Arial"/>
          <w:b/>
          <w:bCs/>
          <w:i/>
          <w:iCs/>
          <w:noProof/>
          <w:sz w:val="24"/>
          <w:szCs w:val="24"/>
        </w:rPr>
        <w:t>et al.</w:t>
      </w:r>
      <w:r w:rsidRPr="007F0E42">
        <w:rPr>
          <w:rFonts w:ascii="Arial" w:hAnsi="Arial" w:cs="Arial"/>
          <w:noProof/>
          <w:sz w:val="24"/>
          <w:szCs w:val="24"/>
        </w:rPr>
        <w:t xml:space="preserve"> Vaccinated students with negative enzyme immunoassay results show positive measles virus-specific antibody levels by immunofluorescence and plaque neutralisation tests. </w:t>
      </w:r>
      <w:r w:rsidRPr="007F0E42">
        <w:rPr>
          <w:rFonts w:ascii="Arial" w:hAnsi="Arial" w:cs="Arial"/>
          <w:i/>
          <w:iCs/>
          <w:noProof/>
          <w:sz w:val="24"/>
          <w:szCs w:val="24"/>
        </w:rPr>
        <w:t>Journal of Clinical Virology</w:t>
      </w:r>
      <w:r w:rsidRPr="007F0E42">
        <w:rPr>
          <w:rFonts w:ascii="Arial" w:hAnsi="Arial" w:cs="Arial"/>
          <w:noProof/>
          <w:sz w:val="24"/>
          <w:szCs w:val="24"/>
        </w:rPr>
        <w:t xml:space="preserve"> Elsevier, 2007; </w:t>
      </w:r>
      <w:r w:rsidRPr="007F0E42">
        <w:rPr>
          <w:rFonts w:ascii="Arial" w:hAnsi="Arial" w:cs="Arial"/>
          <w:b/>
          <w:bCs/>
          <w:noProof/>
          <w:sz w:val="24"/>
          <w:szCs w:val="24"/>
        </w:rPr>
        <w:t>38</w:t>
      </w:r>
      <w:r w:rsidRPr="007F0E42">
        <w:rPr>
          <w:rFonts w:ascii="Arial" w:hAnsi="Arial" w:cs="Arial"/>
          <w:noProof/>
          <w:sz w:val="24"/>
          <w:szCs w:val="24"/>
        </w:rPr>
        <w:t xml:space="preserve">: 204–209.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48.</w:t>
      </w:r>
      <w:r w:rsidRPr="007F0E42">
        <w:rPr>
          <w:rFonts w:ascii="Arial" w:hAnsi="Arial" w:cs="Arial"/>
          <w:noProof/>
          <w:sz w:val="24"/>
          <w:szCs w:val="24"/>
        </w:rPr>
        <w:tab/>
      </w:r>
      <w:r w:rsidRPr="007F0E42">
        <w:rPr>
          <w:rFonts w:ascii="Arial" w:hAnsi="Arial" w:cs="Arial"/>
          <w:b/>
          <w:bCs/>
          <w:noProof/>
          <w:sz w:val="24"/>
          <w:szCs w:val="24"/>
        </w:rPr>
        <w:t xml:space="preserve">Meyer J, </w:t>
      </w:r>
      <w:r w:rsidRPr="007F0E42">
        <w:rPr>
          <w:rFonts w:ascii="Arial" w:hAnsi="Arial" w:cs="Arial"/>
          <w:b/>
          <w:bCs/>
          <w:i/>
          <w:iCs/>
          <w:noProof/>
          <w:sz w:val="24"/>
          <w:szCs w:val="24"/>
        </w:rPr>
        <w:t>et al.</w:t>
      </w:r>
      <w:r w:rsidRPr="007F0E42">
        <w:rPr>
          <w:rFonts w:ascii="Arial" w:hAnsi="Arial" w:cs="Arial"/>
          <w:noProof/>
          <w:sz w:val="24"/>
          <w:szCs w:val="24"/>
        </w:rPr>
        <w:t xml:space="preserve"> of the pharmacist Vaccination Schedule 2018. 2018; </w:t>
      </w:r>
      <w:r w:rsidRPr="007F0E42">
        <w:rPr>
          <w:rFonts w:ascii="Arial" w:hAnsi="Arial" w:cs="Arial"/>
          <w:b/>
          <w:bCs/>
          <w:noProof/>
          <w:sz w:val="24"/>
          <w:szCs w:val="24"/>
        </w:rPr>
        <w:t>85</w:t>
      </w:r>
      <w:r w:rsidRPr="007F0E42">
        <w:rPr>
          <w:rFonts w:ascii="Arial" w:hAnsi="Arial" w:cs="Arial"/>
          <w:noProof/>
          <w:sz w:val="24"/>
          <w:szCs w:val="24"/>
        </w:rPr>
        <w:t xml:space="preserve">: 26–39.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49.</w:t>
      </w:r>
      <w:r w:rsidRPr="007F0E42">
        <w:rPr>
          <w:rFonts w:ascii="Arial" w:hAnsi="Arial" w:cs="Arial"/>
          <w:noProof/>
          <w:sz w:val="24"/>
          <w:szCs w:val="24"/>
        </w:rPr>
        <w:tab/>
      </w:r>
      <w:r w:rsidRPr="007F0E42">
        <w:rPr>
          <w:rFonts w:ascii="Arial" w:hAnsi="Arial" w:cs="Arial"/>
          <w:b/>
          <w:bCs/>
          <w:noProof/>
          <w:sz w:val="24"/>
          <w:szCs w:val="24"/>
        </w:rPr>
        <w:t>Nishiura H, Kayano T, Kinoshita R</w:t>
      </w:r>
      <w:r w:rsidRPr="007F0E42">
        <w:rPr>
          <w:rFonts w:ascii="Arial" w:hAnsi="Arial" w:cs="Arial"/>
          <w:noProof/>
          <w:sz w:val="24"/>
          <w:szCs w:val="24"/>
        </w:rPr>
        <w:t xml:space="preserve">. Overcoming the difficulty of achieving elimination status for measles and rubella due to imported infections: Estimation of the reproduction number R for measles and rubella. </w:t>
      </w:r>
      <w:r w:rsidRPr="007F0E42">
        <w:rPr>
          <w:rFonts w:ascii="Arial" w:hAnsi="Arial" w:cs="Arial"/>
          <w:i/>
          <w:iCs/>
          <w:noProof/>
          <w:sz w:val="24"/>
          <w:szCs w:val="24"/>
        </w:rPr>
        <w:t>Travel Medicine and Infectious Disease</w:t>
      </w:r>
      <w:r w:rsidRPr="007F0E42">
        <w:rPr>
          <w:rFonts w:ascii="Arial" w:hAnsi="Arial" w:cs="Arial"/>
          <w:noProof/>
          <w:sz w:val="24"/>
          <w:szCs w:val="24"/>
        </w:rPr>
        <w:t xml:space="preserve"> 2019; Published online: 7 May 2019.doi:10.1016/j.tmaid.2019.05.004.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50.</w:t>
      </w:r>
      <w:r w:rsidRPr="007F0E42">
        <w:rPr>
          <w:rFonts w:ascii="Arial" w:hAnsi="Arial" w:cs="Arial"/>
          <w:noProof/>
          <w:sz w:val="24"/>
          <w:szCs w:val="24"/>
        </w:rPr>
        <w:tab/>
      </w:r>
      <w:r w:rsidRPr="007F0E42">
        <w:rPr>
          <w:rFonts w:ascii="Arial" w:hAnsi="Arial" w:cs="Arial"/>
          <w:b/>
          <w:bCs/>
          <w:noProof/>
          <w:sz w:val="24"/>
          <w:szCs w:val="24"/>
        </w:rPr>
        <w:t xml:space="preserve">Sarkar S, </w:t>
      </w:r>
      <w:r w:rsidRPr="007F0E42">
        <w:rPr>
          <w:rFonts w:ascii="Arial" w:hAnsi="Arial" w:cs="Arial"/>
          <w:b/>
          <w:bCs/>
          <w:i/>
          <w:iCs/>
          <w:noProof/>
          <w:sz w:val="24"/>
          <w:szCs w:val="24"/>
        </w:rPr>
        <w:t>et al.</w:t>
      </w:r>
      <w:r w:rsidRPr="007F0E42">
        <w:rPr>
          <w:rFonts w:ascii="Arial" w:hAnsi="Arial" w:cs="Arial"/>
          <w:noProof/>
          <w:sz w:val="24"/>
          <w:szCs w:val="24"/>
        </w:rPr>
        <w:t xml:space="preserve"> Measles resurgence in the USA: how international travel compounds vaccine resistance. </w:t>
      </w:r>
      <w:r w:rsidRPr="007F0E42">
        <w:rPr>
          <w:rFonts w:ascii="Arial" w:hAnsi="Arial" w:cs="Arial"/>
          <w:i/>
          <w:iCs/>
          <w:noProof/>
          <w:sz w:val="24"/>
          <w:szCs w:val="24"/>
        </w:rPr>
        <w:t>The Lancet Infectious Diseases</w:t>
      </w:r>
      <w:r w:rsidRPr="007F0E42">
        <w:rPr>
          <w:rFonts w:ascii="Arial" w:hAnsi="Arial" w:cs="Arial"/>
          <w:noProof/>
          <w:sz w:val="24"/>
          <w:szCs w:val="24"/>
        </w:rPr>
        <w:t xml:space="preserve"> 2019; Published online: 9 May 2019.doi:10.1016/S1473-3099(19)30231-2.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51.</w:t>
      </w:r>
      <w:r w:rsidRPr="007F0E42">
        <w:rPr>
          <w:rFonts w:ascii="Arial" w:hAnsi="Arial" w:cs="Arial"/>
          <w:noProof/>
          <w:sz w:val="24"/>
          <w:szCs w:val="24"/>
        </w:rPr>
        <w:tab/>
      </w:r>
      <w:r w:rsidRPr="007F0E42">
        <w:rPr>
          <w:rFonts w:ascii="Arial" w:hAnsi="Arial" w:cs="Arial"/>
          <w:b/>
          <w:bCs/>
          <w:noProof/>
          <w:sz w:val="24"/>
          <w:szCs w:val="24"/>
        </w:rPr>
        <w:t>Patel D, Simons H, Schlagenhauf P</w:t>
      </w:r>
      <w:r w:rsidRPr="007F0E42">
        <w:rPr>
          <w:rFonts w:ascii="Arial" w:hAnsi="Arial" w:cs="Arial"/>
          <w:noProof/>
          <w:sz w:val="24"/>
          <w:szCs w:val="24"/>
        </w:rPr>
        <w:t xml:space="preserve">. The March of measles - Can travel </w:t>
      </w:r>
      <w:r w:rsidRPr="007F0E42">
        <w:rPr>
          <w:rFonts w:ascii="Arial" w:hAnsi="Arial" w:cs="Arial"/>
          <w:noProof/>
          <w:sz w:val="24"/>
          <w:szCs w:val="24"/>
        </w:rPr>
        <w:lastRenderedPageBreak/>
        <w:t xml:space="preserve">medicine halt the pace? </w:t>
      </w:r>
      <w:r w:rsidRPr="007F0E42">
        <w:rPr>
          <w:rFonts w:ascii="Arial" w:hAnsi="Arial" w:cs="Arial"/>
          <w:i/>
          <w:iCs/>
          <w:noProof/>
          <w:sz w:val="24"/>
          <w:szCs w:val="24"/>
        </w:rPr>
        <w:t>Travel Medicine and Infectious Disease</w:t>
      </w:r>
      <w:r w:rsidRPr="007F0E42">
        <w:rPr>
          <w:rFonts w:ascii="Arial" w:hAnsi="Arial" w:cs="Arial"/>
          <w:noProof/>
          <w:sz w:val="24"/>
          <w:szCs w:val="24"/>
        </w:rPr>
        <w:t xml:space="preserve"> 2019; Published online: 11 May 2019.doi:10.1016/j.tmaid.2019.05.008.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szCs w:val="24"/>
        </w:rPr>
      </w:pPr>
      <w:r w:rsidRPr="007F0E42">
        <w:rPr>
          <w:rFonts w:ascii="Arial" w:hAnsi="Arial" w:cs="Arial"/>
          <w:noProof/>
          <w:sz w:val="24"/>
          <w:szCs w:val="24"/>
        </w:rPr>
        <w:t>52.</w:t>
      </w:r>
      <w:r w:rsidRPr="007F0E42">
        <w:rPr>
          <w:rFonts w:ascii="Arial" w:hAnsi="Arial" w:cs="Arial"/>
          <w:noProof/>
          <w:sz w:val="24"/>
          <w:szCs w:val="24"/>
        </w:rPr>
        <w:tab/>
      </w:r>
      <w:r w:rsidRPr="007F0E42">
        <w:rPr>
          <w:rFonts w:ascii="Arial" w:hAnsi="Arial" w:cs="Arial"/>
          <w:b/>
          <w:bCs/>
          <w:noProof/>
          <w:sz w:val="24"/>
          <w:szCs w:val="24"/>
        </w:rPr>
        <w:t xml:space="preserve">Thole S, </w:t>
      </w:r>
      <w:r w:rsidRPr="007F0E42">
        <w:rPr>
          <w:rFonts w:ascii="Arial" w:hAnsi="Arial" w:cs="Arial"/>
          <w:b/>
          <w:bCs/>
          <w:i/>
          <w:iCs/>
          <w:noProof/>
          <w:sz w:val="24"/>
          <w:szCs w:val="24"/>
        </w:rPr>
        <w:t>et al.</w:t>
      </w:r>
      <w:r w:rsidRPr="007F0E42">
        <w:rPr>
          <w:rFonts w:ascii="Arial" w:hAnsi="Arial" w:cs="Arial"/>
          <w:noProof/>
          <w:sz w:val="24"/>
          <w:szCs w:val="24"/>
        </w:rPr>
        <w:t xml:space="preserve"> Contact tracing following measles exposure on three international flights, Germany, 2017. </w:t>
      </w:r>
      <w:r w:rsidRPr="007F0E42">
        <w:rPr>
          <w:rFonts w:ascii="Arial" w:hAnsi="Arial" w:cs="Arial"/>
          <w:i/>
          <w:iCs/>
          <w:noProof/>
          <w:sz w:val="24"/>
          <w:szCs w:val="24"/>
        </w:rPr>
        <w:t>Eurosurveillance</w:t>
      </w:r>
      <w:r w:rsidRPr="007F0E42">
        <w:rPr>
          <w:rFonts w:ascii="Arial" w:hAnsi="Arial" w:cs="Arial"/>
          <w:noProof/>
          <w:sz w:val="24"/>
          <w:szCs w:val="24"/>
        </w:rPr>
        <w:t xml:space="preserve"> 2019; </w:t>
      </w:r>
      <w:r w:rsidRPr="007F0E42">
        <w:rPr>
          <w:rFonts w:ascii="Arial" w:hAnsi="Arial" w:cs="Arial"/>
          <w:b/>
          <w:bCs/>
          <w:noProof/>
          <w:sz w:val="24"/>
          <w:szCs w:val="24"/>
        </w:rPr>
        <w:t>24</w:t>
      </w:r>
      <w:r w:rsidRPr="007F0E42">
        <w:rPr>
          <w:rFonts w:ascii="Arial" w:hAnsi="Arial" w:cs="Arial"/>
          <w:noProof/>
          <w:sz w:val="24"/>
          <w:szCs w:val="24"/>
        </w:rPr>
        <w:t xml:space="preserve">Published online: 9 May 2019.doi:10.2807/1560-7917.ES.2019.24.19.1800500. </w:t>
      </w:r>
    </w:p>
    <w:p w:rsidR="007F0E42" w:rsidRPr="007F0E42" w:rsidRDefault="007F0E42" w:rsidP="007F0E42">
      <w:pPr>
        <w:widowControl w:val="0"/>
        <w:autoSpaceDE w:val="0"/>
        <w:autoSpaceDN w:val="0"/>
        <w:adjustRightInd w:val="0"/>
        <w:spacing w:line="480" w:lineRule="auto"/>
        <w:ind w:left="640" w:hanging="640"/>
        <w:rPr>
          <w:rFonts w:ascii="Arial" w:hAnsi="Arial" w:cs="Arial"/>
          <w:noProof/>
          <w:sz w:val="24"/>
        </w:rPr>
      </w:pPr>
      <w:r w:rsidRPr="007F0E42">
        <w:rPr>
          <w:rFonts w:ascii="Arial" w:hAnsi="Arial" w:cs="Arial"/>
          <w:noProof/>
          <w:sz w:val="24"/>
          <w:szCs w:val="24"/>
        </w:rPr>
        <w:t>53.</w:t>
      </w:r>
      <w:r w:rsidRPr="007F0E42">
        <w:rPr>
          <w:rFonts w:ascii="Arial" w:hAnsi="Arial" w:cs="Arial"/>
          <w:noProof/>
          <w:sz w:val="24"/>
          <w:szCs w:val="24"/>
        </w:rPr>
        <w:tab/>
      </w:r>
      <w:r w:rsidRPr="007F0E42">
        <w:rPr>
          <w:rFonts w:ascii="Arial" w:hAnsi="Arial" w:cs="Arial"/>
          <w:b/>
          <w:bCs/>
          <w:noProof/>
          <w:sz w:val="24"/>
          <w:szCs w:val="24"/>
        </w:rPr>
        <w:t xml:space="preserve">Orosz L, </w:t>
      </w:r>
      <w:r w:rsidRPr="007F0E42">
        <w:rPr>
          <w:rFonts w:ascii="Arial" w:hAnsi="Arial" w:cs="Arial"/>
          <w:b/>
          <w:bCs/>
          <w:i/>
          <w:iCs/>
          <w:noProof/>
          <w:sz w:val="24"/>
          <w:szCs w:val="24"/>
        </w:rPr>
        <w:t>et al.</w:t>
      </w:r>
      <w:r w:rsidRPr="007F0E42">
        <w:rPr>
          <w:rFonts w:ascii="Arial" w:hAnsi="Arial" w:cs="Arial"/>
          <w:noProof/>
          <w:sz w:val="24"/>
          <w:szCs w:val="24"/>
        </w:rPr>
        <w:t xml:space="preserve"> Epidemiological situation of measles in Romania, Italy, and Hungary: On what threats should we focus nowadays? </w:t>
      </w:r>
      <w:r w:rsidRPr="007F0E42">
        <w:rPr>
          <w:rFonts w:ascii="Arial" w:hAnsi="Arial" w:cs="Arial"/>
          <w:i/>
          <w:iCs/>
          <w:noProof/>
          <w:sz w:val="24"/>
          <w:szCs w:val="24"/>
        </w:rPr>
        <w:t>Acta Microbiologica et Immunologica Hungarica</w:t>
      </w:r>
      <w:r w:rsidRPr="007F0E42">
        <w:rPr>
          <w:rFonts w:ascii="Arial" w:hAnsi="Arial" w:cs="Arial"/>
          <w:noProof/>
          <w:sz w:val="24"/>
          <w:szCs w:val="24"/>
        </w:rPr>
        <w:t xml:space="preserve"> 2018; </w:t>
      </w:r>
      <w:r w:rsidRPr="007F0E42">
        <w:rPr>
          <w:rFonts w:ascii="Arial" w:hAnsi="Arial" w:cs="Arial"/>
          <w:b/>
          <w:bCs/>
          <w:noProof/>
          <w:sz w:val="24"/>
          <w:szCs w:val="24"/>
        </w:rPr>
        <w:t>65</w:t>
      </w:r>
      <w:r w:rsidRPr="007F0E42">
        <w:rPr>
          <w:rFonts w:ascii="Arial" w:hAnsi="Arial" w:cs="Arial"/>
          <w:noProof/>
          <w:sz w:val="24"/>
          <w:szCs w:val="24"/>
        </w:rPr>
        <w:t xml:space="preserve">: 127–134. </w:t>
      </w:r>
    </w:p>
    <w:p w:rsidR="005D3349" w:rsidRPr="002D21B6" w:rsidRDefault="00EC4383" w:rsidP="007F0E42">
      <w:pPr>
        <w:widowControl w:val="0"/>
        <w:autoSpaceDE w:val="0"/>
        <w:autoSpaceDN w:val="0"/>
        <w:adjustRightInd w:val="0"/>
        <w:spacing w:line="480" w:lineRule="auto"/>
        <w:ind w:left="640" w:hanging="640"/>
        <w:rPr>
          <w:rFonts w:ascii="Arial" w:hAnsi="Arial" w:cs="Arial"/>
          <w:strike/>
          <w:sz w:val="24"/>
          <w:szCs w:val="24"/>
        </w:rPr>
      </w:pPr>
      <w:r w:rsidRPr="002D21B6">
        <w:rPr>
          <w:rFonts w:ascii="Arial" w:hAnsi="Arial" w:cs="Arial"/>
          <w:strike/>
          <w:sz w:val="24"/>
          <w:szCs w:val="24"/>
        </w:rPr>
        <w:fldChar w:fldCharType="end"/>
      </w:r>
    </w:p>
    <w:sectPr w:rsidR="005D3349" w:rsidRPr="002D21B6" w:rsidSect="000A3BDA">
      <w:footerReference w:type="default" r:id="rId9"/>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C3" w:rsidRDefault="00DE55C3" w:rsidP="004861AE">
      <w:pPr>
        <w:spacing w:after="0" w:line="240" w:lineRule="auto"/>
      </w:pPr>
      <w:r>
        <w:separator/>
      </w:r>
    </w:p>
  </w:endnote>
  <w:endnote w:type="continuationSeparator" w:id="0">
    <w:p w:rsidR="00DE55C3" w:rsidRDefault="00DE55C3" w:rsidP="0048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71181"/>
      <w:docPartObj>
        <w:docPartGallery w:val="Page Numbers (Bottom of Page)"/>
        <w:docPartUnique/>
      </w:docPartObj>
    </w:sdtPr>
    <w:sdtEndPr/>
    <w:sdtContent>
      <w:p w:rsidR="00AA5838" w:rsidRDefault="00AA5838">
        <w:pPr>
          <w:pStyle w:val="llb"/>
          <w:jc w:val="center"/>
        </w:pPr>
        <w:r>
          <w:fldChar w:fldCharType="begin"/>
        </w:r>
        <w:r>
          <w:instrText>PAGE   \* MERGEFORMAT</w:instrText>
        </w:r>
        <w:r>
          <w:fldChar w:fldCharType="separate"/>
        </w:r>
        <w:r w:rsidR="004451B8" w:rsidRPr="004451B8">
          <w:rPr>
            <w:noProof/>
            <w:lang w:val="hu-HU"/>
          </w:rPr>
          <w:t>30</w:t>
        </w:r>
        <w:r>
          <w:fldChar w:fldCharType="end"/>
        </w:r>
      </w:p>
    </w:sdtContent>
  </w:sdt>
  <w:p w:rsidR="00AA5838" w:rsidRDefault="00AA583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C3" w:rsidRDefault="00DE55C3" w:rsidP="004861AE">
      <w:pPr>
        <w:spacing w:after="0" w:line="240" w:lineRule="auto"/>
      </w:pPr>
      <w:r>
        <w:separator/>
      </w:r>
    </w:p>
  </w:footnote>
  <w:footnote w:type="continuationSeparator" w:id="0">
    <w:p w:rsidR="00DE55C3" w:rsidRDefault="00DE55C3" w:rsidP="00486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CA0"/>
    <w:multiLevelType w:val="hybridMultilevel"/>
    <w:tmpl w:val="355673A6"/>
    <w:lvl w:ilvl="0" w:tplc="3DEE221E">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9B677F"/>
    <w:multiLevelType w:val="hybridMultilevel"/>
    <w:tmpl w:val="9914433E"/>
    <w:lvl w:ilvl="0" w:tplc="5C5485F6">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15F1C86"/>
    <w:multiLevelType w:val="hybridMultilevel"/>
    <w:tmpl w:val="F6CE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A085A"/>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nsid w:val="4E136D88"/>
    <w:multiLevelType w:val="hybridMultilevel"/>
    <w:tmpl w:val="F148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D4B35"/>
    <w:multiLevelType w:val="hybridMultilevel"/>
    <w:tmpl w:val="C712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B7502"/>
    <w:multiLevelType w:val="hybridMultilevel"/>
    <w:tmpl w:val="19AEB22E"/>
    <w:lvl w:ilvl="0" w:tplc="0AB05068">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Najbauer József">
    <w15:presenceInfo w15:providerId="AD" w15:userId="S-1-5-21-1177238915-287218729-1801674531-146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565&lt;/HangingIndent&gt;&lt;LineSpacing&gt;1&lt;/LineSpacing&gt;&lt;SpaceAfter&gt;2&lt;/SpaceAfter&gt;&lt;/ENLayout&gt;"/>
    <w:docVar w:name="EN.Libraries" w:val="&lt;Libraries&gt;&lt;/Libraries&gt;"/>
  </w:docVars>
  <w:rsids>
    <w:rsidRoot w:val="002B62F6"/>
    <w:rsid w:val="00000DA8"/>
    <w:rsid w:val="000015FD"/>
    <w:rsid w:val="00001C64"/>
    <w:rsid w:val="00001D38"/>
    <w:rsid w:val="00002E0F"/>
    <w:rsid w:val="00003323"/>
    <w:rsid w:val="0000457F"/>
    <w:rsid w:val="00004CBF"/>
    <w:rsid w:val="00005A2C"/>
    <w:rsid w:val="000065B7"/>
    <w:rsid w:val="00011E4D"/>
    <w:rsid w:val="00011FCD"/>
    <w:rsid w:val="00012429"/>
    <w:rsid w:val="000148C0"/>
    <w:rsid w:val="00014ACC"/>
    <w:rsid w:val="00014D9F"/>
    <w:rsid w:val="000164EC"/>
    <w:rsid w:val="000175F9"/>
    <w:rsid w:val="00017CD9"/>
    <w:rsid w:val="00017D40"/>
    <w:rsid w:val="000227B2"/>
    <w:rsid w:val="00023125"/>
    <w:rsid w:val="00024A13"/>
    <w:rsid w:val="00024CB3"/>
    <w:rsid w:val="00024E5A"/>
    <w:rsid w:val="00025366"/>
    <w:rsid w:val="0002701B"/>
    <w:rsid w:val="000270E0"/>
    <w:rsid w:val="0002777F"/>
    <w:rsid w:val="0003098E"/>
    <w:rsid w:val="0003162E"/>
    <w:rsid w:val="00033783"/>
    <w:rsid w:val="000352C0"/>
    <w:rsid w:val="000355E0"/>
    <w:rsid w:val="00036FED"/>
    <w:rsid w:val="000376E9"/>
    <w:rsid w:val="00040C86"/>
    <w:rsid w:val="00040F6A"/>
    <w:rsid w:val="000426B5"/>
    <w:rsid w:val="0004348F"/>
    <w:rsid w:val="00043924"/>
    <w:rsid w:val="00043FC1"/>
    <w:rsid w:val="00044214"/>
    <w:rsid w:val="00044F5D"/>
    <w:rsid w:val="00046085"/>
    <w:rsid w:val="00046D64"/>
    <w:rsid w:val="00046D77"/>
    <w:rsid w:val="000470F0"/>
    <w:rsid w:val="00047E8D"/>
    <w:rsid w:val="0005077B"/>
    <w:rsid w:val="00051E8C"/>
    <w:rsid w:val="00052023"/>
    <w:rsid w:val="00052F0A"/>
    <w:rsid w:val="00054429"/>
    <w:rsid w:val="000554F2"/>
    <w:rsid w:val="00055966"/>
    <w:rsid w:val="000562DC"/>
    <w:rsid w:val="000563BE"/>
    <w:rsid w:val="0005648C"/>
    <w:rsid w:val="000572B0"/>
    <w:rsid w:val="0006036C"/>
    <w:rsid w:val="000613B1"/>
    <w:rsid w:val="00061ED1"/>
    <w:rsid w:val="0006200B"/>
    <w:rsid w:val="0006226A"/>
    <w:rsid w:val="00063704"/>
    <w:rsid w:val="00063C66"/>
    <w:rsid w:val="0006579C"/>
    <w:rsid w:val="00067C7F"/>
    <w:rsid w:val="00071221"/>
    <w:rsid w:val="000714F4"/>
    <w:rsid w:val="0007327D"/>
    <w:rsid w:val="00073299"/>
    <w:rsid w:val="00073D75"/>
    <w:rsid w:val="00074425"/>
    <w:rsid w:val="00074BCF"/>
    <w:rsid w:val="00075AAA"/>
    <w:rsid w:val="0007605E"/>
    <w:rsid w:val="000760F9"/>
    <w:rsid w:val="00080D12"/>
    <w:rsid w:val="0008110F"/>
    <w:rsid w:val="00082403"/>
    <w:rsid w:val="000825A5"/>
    <w:rsid w:val="0008266C"/>
    <w:rsid w:val="00082CCB"/>
    <w:rsid w:val="00083273"/>
    <w:rsid w:val="00083EDA"/>
    <w:rsid w:val="00083F9D"/>
    <w:rsid w:val="000855AF"/>
    <w:rsid w:val="000862F8"/>
    <w:rsid w:val="00087BE8"/>
    <w:rsid w:val="00090A26"/>
    <w:rsid w:val="00090DF5"/>
    <w:rsid w:val="00090DF7"/>
    <w:rsid w:val="00090FBA"/>
    <w:rsid w:val="00091041"/>
    <w:rsid w:val="00092020"/>
    <w:rsid w:val="00092D9D"/>
    <w:rsid w:val="00093151"/>
    <w:rsid w:val="000936AB"/>
    <w:rsid w:val="0009372E"/>
    <w:rsid w:val="00093824"/>
    <w:rsid w:val="00093C2E"/>
    <w:rsid w:val="00093CCD"/>
    <w:rsid w:val="000949A8"/>
    <w:rsid w:val="00096133"/>
    <w:rsid w:val="000966CD"/>
    <w:rsid w:val="000967B4"/>
    <w:rsid w:val="00096D91"/>
    <w:rsid w:val="000971CD"/>
    <w:rsid w:val="000972DF"/>
    <w:rsid w:val="00097638"/>
    <w:rsid w:val="000A015D"/>
    <w:rsid w:val="000A0336"/>
    <w:rsid w:val="000A0716"/>
    <w:rsid w:val="000A2BE6"/>
    <w:rsid w:val="000A3BDA"/>
    <w:rsid w:val="000A44B9"/>
    <w:rsid w:val="000A5560"/>
    <w:rsid w:val="000A59DF"/>
    <w:rsid w:val="000A6FA7"/>
    <w:rsid w:val="000B1148"/>
    <w:rsid w:val="000B3C7A"/>
    <w:rsid w:val="000B48E4"/>
    <w:rsid w:val="000B4A88"/>
    <w:rsid w:val="000B53B9"/>
    <w:rsid w:val="000B6C0C"/>
    <w:rsid w:val="000B6EF5"/>
    <w:rsid w:val="000B7610"/>
    <w:rsid w:val="000B768D"/>
    <w:rsid w:val="000C01A4"/>
    <w:rsid w:val="000C13D8"/>
    <w:rsid w:val="000C2269"/>
    <w:rsid w:val="000C356F"/>
    <w:rsid w:val="000C3668"/>
    <w:rsid w:val="000C6338"/>
    <w:rsid w:val="000D0C78"/>
    <w:rsid w:val="000D128F"/>
    <w:rsid w:val="000D2447"/>
    <w:rsid w:val="000D2476"/>
    <w:rsid w:val="000D2BDB"/>
    <w:rsid w:val="000D2F4B"/>
    <w:rsid w:val="000D4E63"/>
    <w:rsid w:val="000D5D9A"/>
    <w:rsid w:val="000D6675"/>
    <w:rsid w:val="000D6A02"/>
    <w:rsid w:val="000D734F"/>
    <w:rsid w:val="000D7FD7"/>
    <w:rsid w:val="000E0AC2"/>
    <w:rsid w:val="000E15E9"/>
    <w:rsid w:val="000E1F0B"/>
    <w:rsid w:val="000E2AE1"/>
    <w:rsid w:val="000E32E2"/>
    <w:rsid w:val="000E368C"/>
    <w:rsid w:val="000E4AA9"/>
    <w:rsid w:val="000E4F61"/>
    <w:rsid w:val="000E5B0C"/>
    <w:rsid w:val="000E69EA"/>
    <w:rsid w:val="000E71B5"/>
    <w:rsid w:val="000E7476"/>
    <w:rsid w:val="000F0014"/>
    <w:rsid w:val="000F1F97"/>
    <w:rsid w:val="000F3556"/>
    <w:rsid w:val="000F4590"/>
    <w:rsid w:val="000F54BF"/>
    <w:rsid w:val="000F6347"/>
    <w:rsid w:val="001002FC"/>
    <w:rsid w:val="00100B62"/>
    <w:rsid w:val="0010169D"/>
    <w:rsid w:val="00101721"/>
    <w:rsid w:val="00102BC7"/>
    <w:rsid w:val="00102FE0"/>
    <w:rsid w:val="00103D43"/>
    <w:rsid w:val="0010443F"/>
    <w:rsid w:val="00104AFA"/>
    <w:rsid w:val="00106D68"/>
    <w:rsid w:val="00110673"/>
    <w:rsid w:val="0011078A"/>
    <w:rsid w:val="0011210D"/>
    <w:rsid w:val="00113035"/>
    <w:rsid w:val="001150A5"/>
    <w:rsid w:val="00115330"/>
    <w:rsid w:val="001153E7"/>
    <w:rsid w:val="00115EA1"/>
    <w:rsid w:val="001163E0"/>
    <w:rsid w:val="00120EB6"/>
    <w:rsid w:val="00122A9C"/>
    <w:rsid w:val="00122D27"/>
    <w:rsid w:val="0012335E"/>
    <w:rsid w:val="0012447A"/>
    <w:rsid w:val="00124EEF"/>
    <w:rsid w:val="00126372"/>
    <w:rsid w:val="001264C3"/>
    <w:rsid w:val="00130818"/>
    <w:rsid w:val="0013090B"/>
    <w:rsid w:val="00130B1E"/>
    <w:rsid w:val="00130BAB"/>
    <w:rsid w:val="00130C1E"/>
    <w:rsid w:val="001310CD"/>
    <w:rsid w:val="0013205F"/>
    <w:rsid w:val="00132635"/>
    <w:rsid w:val="00134120"/>
    <w:rsid w:val="00134730"/>
    <w:rsid w:val="0013476E"/>
    <w:rsid w:val="00134993"/>
    <w:rsid w:val="001355D6"/>
    <w:rsid w:val="00135612"/>
    <w:rsid w:val="0013652F"/>
    <w:rsid w:val="0014063A"/>
    <w:rsid w:val="00140A52"/>
    <w:rsid w:val="00142B9D"/>
    <w:rsid w:val="001430B9"/>
    <w:rsid w:val="001436AA"/>
    <w:rsid w:val="00143D13"/>
    <w:rsid w:val="00144595"/>
    <w:rsid w:val="00144F3C"/>
    <w:rsid w:val="00145162"/>
    <w:rsid w:val="00145D55"/>
    <w:rsid w:val="00146551"/>
    <w:rsid w:val="00146729"/>
    <w:rsid w:val="00147311"/>
    <w:rsid w:val="00147B60"/>
    <w:rsid w:val="001518F0"/>
    <w:rsid w:val="00151E21"/>
    <w:rsid w:val="00151F23"/>
    <w:rsid w:val="001523BE"/>
    <w:rsid w:val="00154F98"/>
    <w:rsid w:val="0015569F"/>
    <w:rsid w:val="00157706"/>
    <w:rsid w:val="00157C69"/>
    <w:rsid w:val="001623B1"/>
    <w:rsid w:val="00162D10"/>
    <w:rsid w:val="00164251"/>
    <w:rsid w:val="0016476D"/>
    <w:rsid w:val="00167865"/>
    <w:rsid w:val="00170C5A"/>
    <w:rsid w:val="00171C26"/>
    <w:rsid w:val="0017342D"/>
    <w:rsid w:val="001749EC"/>
    <w:rsid w:val="00174C9A"/>
    <w:rsid w:val="00175249"/>
    <w:rsid w:val="00175B1F"/>
    <w:rsid w:val="00175EAB"/>
    <w:rsid w:val="001761F3"/>
    <w:rsid w:val="001765B3"/>
    <w:rsid w:val="00176969"/>
    <w:rsid w:val="00180CAD"/>
    <w:rsid w:val="00180F2E"/>
    <w:rsid w:val="00182ABB"/>
    <w:rsid w:val="00183B60"/>
    <w:rsid w:val="00184754"/>
    <w:rsid w:val="001848BA"/>
    <w:rsid w:val="00184C43"/>
    <w:rsid w:val="001859C6"/>
    <w:rsid w:val="001868DF"/>
    <w:rsid w:val="00187C7D"/>
    <w:rsid w:val="00191A6F"/>
    <w:rsid w:val="00191D48"/>
    <w:rsid w:val="00194CE1"/>
    <w:rsid w:val="001952FA"/>
    <w:rsid w:val="00195364"/>
    <w:rsid w:val="00196061"/>
    <w:rsid w:val="001967BB"/>
    <w:rsid w:val="00196DB8"/>
    <w:rsid w:val="00196FE1"/>
    <w:rsid w:val="001A10F9"/>
    <w:rsid w:val="001A2282"/>
    <w:rsid w:val="001A2DED"/>
    <w:rsid w:val="001A2EEA"/>
    <w:rsid w:val="001A2F8B"/>
    <w:rsid w:val="001A397D"/>
    <w:rsid w:val="001A679E"/>
    <w:rsid w:val="001A77FA"/>
    <w:rsid w:val="001B135C"/>
    <w:rsid w:val="001B1407"/>
    <w:rsid w:val="001B2A6D"/>
    <w:rsid w:val="001B473C"/>
    <w:rsid w:val="001B4BFF"/>
    <w:rsid w:val="001B56FC"/>
    <w:rsid w:val="001B646D"/>
    <w:rsid w:val="001C053A"/>
    <w:rsid w:val="001C0623"/>
    <w:rsid w:val="001C0EE6"/>
    <w:rsid w:val="001C1027"/>
    <w:rsid w:val="001C1DEE"/>
    <w:rsid w:val="001C3105"/>
    <w:rsid w:val="001C55E6"/>
    <w:rsid w:val="001C62F6"/>
    <w:rsid w:val="001C6D90"/>
    <w:rsid w:val="001D0BDD"/>
    <w:rsid w:val="001D2894"/>
    <w:rsid w:val="001D2DBF"/>
    <w:rsid w:val="001D2E8E"/>
    <w:rsid w:val="001D3C2A"/>
    <w:rsid w:val="001D5921"/>
    <w:rsid w:val="001D5B33"/>
    <w:rsid w:val="001D6011"/>
    <w:rsid w:val="001D718C"/>
    <w:rsid w:val="001E28FC"/>
    <w:rsid w:val="001E313B"/>
    <w:rsid w:val="001E3D5F"/>
    <w:rsid w:val="001E4F5F"/>
    <w:rsid w:val="001E53A2"/>
    <w:rsid w:val="001E567C"/>
    <w:rsid w:val="001E6D12"/>
    <w:rsid w:val="001E6FEF"/>
    <w:rsid w:val="001E70E8"/>
    <w:rsid w:val="001F00D4"/>
    <w:rsid w:val="001F0F0E"/>
    <w:rsid w:val="001F105A"/>
    <w:rsid w:val="001F2540"/>
    <w:rsid w:val="001F2B4E"/>
    <w:rsid w:val="001F32FE"/>
    <w:rsid w:val="001F3E89"/>
    <w:rsid w:val="001F56D0"/>
    <w:rsid w:val="001F6409"/>
    <w:rsid w:val="00201400"/>
    <w:rsid w:val="0020209B"/>
    <w:rsid w:val="00202C52"/>
    <w:rsid w:val="00204182"/>
    <w:rsid w:val="002043BD"/>
    <w:rsid w:val="00204F46"/>
    <w:rsid w:val="0020612A"/>
    <w:rsid w:val="00206BD4"/>
    <w:rsid w:val="00207F80"/>
    <w:rsid w:val="0021077E"/>
    <w:rsid w:val="00210829"/>
    <w:rsid w:val="00211D16"/>
    <w:rsid w:val="0021287B"/>
    <w:rsid w:val="002136E4"/>
    <w:rsid w:val="00213E29"/>
    <w:rsid w:val="002143FA"/>
    <w:rsid w:val="00215B34"/>
    <w:rsid w:val="002179B2"/>
    <w:rsid w:val="00217BD6"/>
    <w:rsid w:val="002203B1"/>
    <w:rsid w:val="00221D04"/>
    <w:rsid w:val="00222CF0"/>
    <w:rsid w:val="00224F9F"/>
    <w:rsid w:val="0022517A"/>
    <w:rsid w:val="00225C22"/>
    <w:rsid w:val="002270E7"/>
    <w:rsid w:val="00227AAE"/>
    <w:rsid w:val="00231BBE"/>
    <w:rsid w:val="002322D0"/>
    <w:rsid w:val="002324DD"/>
    <w:rsid w:val="00234AC7"/>
    <w:rsid w:val="00235021"/>
    <w:rsid w:val="00236F9C"/>
    <w:rsid w:val="002372D0"/>
    <w:rsid w:val="00237349"/>
    <w:rsid w:val="00240514"/>
    <w:rsid w:val="00240E15"/>
    <w:rsid w:val="00241A6A"/>
    <w:rsid w:val="00241BEA"/>
    <w:rsid w:val="00242B37"/>
    <w:rsid w:val="00242BF4"/>
    <w:rsid w:val="002440AB"/>
    <w:rsid w:val="00246444"/>
    <w:rsid w:val="002476AD"/>
    <w:rsid w:val="00250B29"/>
    <w:rsid w:val="00253012"/>
    <w:rsid w:val="002537AE"/>
    <w:rsid w:val="002539BD"/>
    <w:rsid w:val="00253D21"/>
    <w:rsid w:val="00255256"/>
    <w:rsid w:val="002569FF"/>
    <w:rsid w:val="00257A97"/>
    <w:rsid w:val="0026107D"/>
    <w:rsid w:val="0026198D"/>
    <w:rsid w:val="002629C1"/>
    <w:rsid w:val="00263EA4"/>
    <w:rsid w:val="00264DF9"/>
    <w:rsid w:val="002669F4"/>
    <w:rsid w:val="002672CE"/>
    <w:rsid w:val="002677AC"/>
    <w:rsid w:val="00271E33"/>
    <w:rsid w:val="00272AA1"/>
    <w:rsid w:val="00272D02"/>
    <w:rsid w:val="00273064"/>
    <w:rsid w:val="0027370C"/>
    <w:rsid w:val="0027411B"/>
    <w:rsid w:val="002761F6"/>
    <w:rsid w:val="00276DEF"/>
    <w:rsid w:val="002776A6"/>
    <w:rsid w:val="002776C8"/>
    <w:rsid w:val="002810C3"/>
    <w:rsid w:val="00281F3C"/>
    <w:rsid w:val="00282281"/>
    <w:rsid w:val="00282CE0"/>
    <w:rsid w:val="00283457"/>
    <w:rsid w:val="00283FC4"/>
    <w:rsid w:val="00287BA2"/>
    <w:rsid w:val="00291AB1"/>
    <w:rsid w:val="00292196"/>
    <w:rsid w:val="0029302E"/>
    <w:rsid w:val="00295878"/>
    <w:rsid w:val="002961D5"/>
    <w:rsid w:val="0029621D"/>
    <w:rsid w:val="002969E0"/>
    <w:rsid w:val="002A05F2"/>
    <w:rsid w:val="002A2DB8"/>
    <w:rsid w:val="002A5029"/>
    <w:rsid w:val="002A573E"/>
    <w:rsid w:val="002A6812"/>
    <w:rsid w:val="002A6E8F"/>
    <w:rsid w:val="002B1568"/>
    <w:rsid w:val="002B25F0"/>
    <w:rsid w:val="002B271F"/>
    <w:rsid w:val="002B2F0A"/>
    <w:rsid w:val="002B3433"/>
    <w:rsid w:val="002B3455"/>
    <w:rsid w:val="002B3BB6"/>
    <w:rsid w:val="002B46FA"/>
    <w:rsid w:val="002B62F6"/>
    <w:rsid w:val="002B6364"/>
    <w:rsid w:val="002B6A43"/>
    <w:rsid w:val="002C0506"/>
    <w:rsid w:val="002C18BC"/>
    <w:rsid w:val="002C1AF3"/>
    <w:rsid w:val="002C2BAC"/>
    <w:rsid w:val="002C314D"/>
    <w:rsid w:val="002C5478"/>
    <w:rsid w:val="002C59C1"/>
    <w:rsid w:val="002C5B3C"/>
    <w:rsid w:val="002C64DD"/>
    <w:rsid w:val="002C68D7"/>
    <w:rsid w:val="002C6F34"/>
    <w:rsid w:val="002C767F"/>
    <w:rsid w:val="002D01A8"/>
    <w:rsid w:val="002D0A6F"/>
    <w:rsid w:val="002D0C77"/>
    <w:rsid w:val="002D21B6"/>
    <w:rsid w:val="002D2216"/>
    <w:rsid w:val="002D280E"/>
    <w:rsid w:val="002D284E"/>
    <w:rsid w:val="002D49B8"/>
    <w:rsid w:val="002D5FDC"/>
    <w:rsid w:val="002D7895"/>
    <w:rsid w:val="002E06C3"/>
    <w:rsid w:val="002E0DC9"/>
    <w:rsid w:val="002E14B1"/>
    <w:rsid w:val="002E17DE"/>
    <w:rsid w:val="002E1B02"/>
    <w:rsid w:val="002E4519"/>
    <w:rsid w:val="002E4564"/>
    <w:rsid w:val="002E4F12"/>
    <w:rsid w:val="002E4FE5"/>
    <w:rsid w:val="002E5E69"/>
    <w:rsid w:val="002E6DE2"/>
    <w:rsid w:val="002E70D4"/>
    <w:rsid w:val="002E76AA"/>
    <w:rsid w:val="002F0EA1"/>
    <w:rsid w:val="002F2384"/>
    <w:rsid w:val="002F25E0"/>
    <w:rsid w:val="002F2B25"/>
    <w:rsid w:val="002F3805"/>
    <w:rsid w:val="002F4002"/>
    <w:rsid w:val="002F5F93"/>
    <w:rsid w:val="00301427"/>
    <w:rsid w:val="00302A84"/>
    <w:rsid w:val="003032C8"/>
    <w:rsid w:val="00303AEF"/>
    <w:rsid w:val="00303D78"/>
    <w:rsid w:val="003040CB"/>
    <w:rsid w:val="0030458B"/>
    <w:rsid w:val="00304834"/>
    <w:rsid w:val="00305C05"/>
    <w:rsid w:val="00305F7E"/>
    <w:rsid w:val="00310994"/>
    <w:rsid w:val="00311278"/>
    <w:rsid w:val="0031142B"/>
    <w:rsid w:val="00311AB1"/>
    <w:rsid w:val="00312567"/>
    <w:rsid w:val="00313262"/>
    <w:rsid w:val="00313705"/>
    <w:rsid w:val="003139BD"/>
    <w:rsid w:val="003158DB"/>
    <w:rsid w:val="00315C19"/>
    <w:rsid w:val="00316320"/>
    <w:rsid w:val="00316B9B"/>
    <w:rsid w:val="00317491"/>
    <w:rsid w:val="00317A85"/>
    <w:rsid w:val="00321E9D"/>
    <w:rsid w:val="00321F94"/>
    <w:rsid w:val="00323BDA"/>
    <w:rsid w:val="00324CA9"/>
    <w:rsid w:val="00325C9A"/>
    <w:rsid w:val="00326B67"/>
    <w:rsid w:val="00327C1D"/>
    <w:rsid w:val="00327DA2"/>
    <w:rsid w:val="0033047A"/>
    <w:rsid w:val="00330B4D"/>
    <w:rsid w:val="0033161F"/>
    <w:rsid w:val="00332396"/>
    <w:rsid w:val="003325D8"/>
    <w:rsid w:val="00332993"/>
    <w:rsid w:val="00334D34"/>
    <w:rsid w:val="00335825"/>
    <w:rsid w:val="00335B2B"/>
    <w:rsid w:val="0033622D"/>
    <w:rsid w:val="00336978"/>
    <w:rsid w:val="0033789F"/>
    <w:rsid w:val="00337E17"/>
    <w:rsid w:val="00340357"/>
    <w:rsid w:val="0034055C"/>
    <w:rsid w:val="00340EFE"/>
    <w:rsid w:val="00341554"/>
    <w:rsid w:val="00342F42"/>
    <w:rsid w:val="0034391F"/>
    <w:rsid w:val="00344056"/>
    <w:rsid w:val="00344703"/>
    <w:rsid w:val="0034652A"/>
    <w:rsid w:val="00346D82"/>
    <w:rsid w:val="00346E7A"/>
    <w:rsid w:val="003475A2"/>
    <w:rsid w:val="00347637"/>
    <w:rsid w:val="00350D56"/>
    <w:rsid w:val="00350E25"/>
    <w:rsid w:val="00351940"/>
    <w:rsid w:val="00351D3A"/>
    <w:rsid w:val="0035279C"/>
    <w:rsid w:val="0035281A"/>
    <w:rsid w:val="0035298D"/>
    <w:rsid w:val="0035317D"/>
    <w:rsid w:val="003532E0"/>
    <w:rsid w:val="003549D8"/>
    <w:rsid w:val="003550AF"/>
    <w:rsid w:val="003550EB"/>
    <w:rsid w:val="003558BF"/>
    <w:rsid w:val="00356E15"/>
    <w:rsid w:val="00357B90"/>
    <w:rsid w:val="00361CE1"/>
    <w:rsid w:val="0036230C"/>
    <w:rsid w:val="00362DEB"/>
    <w:rsid w:val="00363A3E"/>
    <w:rsid w:val="00363F5F"/>
    <w:rsid w:val="0036511A"/>
    <w:rsid w:val="003652C0"/>
    <w:rsid w:val="0036583F"/>
    <w:rsid w:val="00367618"/>
    <w:rsid w:val="00371ACA"/>
    <w:rsid w:val="0037211E"/>
    <w:rsid w:val="003739A3"/>
    <w:rsid w:val="00373BC9"/>
    <w:rsid w:val="00376354"/>
    <w:rsid w:val="00377B73"/>
    <w:rsid w:val="00380BBD"/>
    <w:rsid w:val="003818DA"/>
    <w:rsid w:val="003826B5"/>
    <w:rsid w:val="00382C45"/>
    <w:rsid w:val="00383752"/>
    <w:rsid w:val="003837C5"/>
    <w:rsid w:val="00385790"/>
    <w:rsid w:val="00385B75"/>
    <w:rsid w:val="0038605E"/>
    <w:rsid w:val="003862ED"/>
    <w:rsid w:val="0038708B"/>
    <w:rsid w:val="00387134"/>
    <w:rsid w:val="00392883"/>
    <w:rsid w:val="00394A51"/>
    <w:rsid w:val="00395390"/>
    <w:rsid w:val="0039585A"/>
    <w:rsid w:val="00397E03"/>
    <w:rsid w:val="003A1A78"/>
    <w:rsid w:val="003A3740"/>
    <w:rsid w:val="003A4497"/>
    <w:rsid w:val="003A4B12"/>
    <w:rsid w:val="003A4F38"/>
    <w:rsid w:val="003A4F60"/>
    <w:rsid w:val="003A5255"/>
    <w:rsid w:val="003A637B"/>
    <w:rsid w:val="003A7344"/>
    <w:rsid w:val="003B01F3"/>
    <w:rsid w:val="003B02A3"/>
    <w:rsid w:val="003B02A7"/>
    <w:rsid w:val="003B09B3"/>
    <w:rsid w:val="003B10C2"/>
    <w:rsid w:val="003B22F4"/>
    <w:rsid w:val="003B2BD9"/>
    <w:rsid w:val="003B2D67"/>
    <w:rsid w:val="003B3776"/>
    <w:rsid w:val="003B5214"/>
    <w:rsid w:val="003B58A6"/>
    <w:rsid w:val="003B7BBD"/>
    <w:rsid w:val="003C00D8"/>
    <w:rsid w:val="003C0CBD"/>
    <w:rsid w:val="003C1173"/>
    <w:rsid w:val="003C2021"/>
    <w:rsid w:val="003C4693"/>
    <w:rsid w:val="003C4E97"/>
    <w:rsid w:val="003C6D76"/>
    <w:rsid w:val="003C7128"/>
    <w:rsid w:val="003C7420"/>
    <w:rsid w:val="003C78AB"/>
    <w:rsid w:val="003C7EFC"/>
    <w:rsid w:val="003D09FB"/>
    <w:rsid w:val="003D0FAB"/>
    <w:rsid w:val="003D283F"/>
    <w:rsid w:val="003D3A4E"/>
    <w:rsid w:val="003D3D90"/>
    <w:rsid w:val="003D497A"/>
    <w:rsid w:val="003D71BC"/>
    <w:rsid w:val="003D7B7B"/>
    <w:rsid w:val="003E005D"/>
    <w:rsid w:val="003E0E23"/>
    <w:rsid w:val="003E1814"/>
    <w:rsid w:val="003E403C"/>
    <w:rsid w:val="003E4094"/>
    <w:rsid w:val="003E4557"/>
    <w:rsid w:val="003E4F16"/>
    <w:rsid w:val="003E5145"/>
    <w:rsid w:val="003E541F"/>
    <w:rsid w:val="003E5CCF"/>
    <w:rsid w:val="003E7204"/>
    <w:rsid w:val="003E7299"/>
    <w:rsid w:val="003F0BE6"/>
    <w:rsid w:val="003F1600"/>
    <w:rsid w:val="003F21CF"/>
    <w:rsid w:val="003F22FF"/>
    <w:rsid w:val="003F2AEE"/>
    <w:rsid w:val="003F301B"/>
    <w:rsid w:val="003F33BD"/>
    <w:rsid w:val="003F38A2"/>
    <w:rsid w:val="003F3CCA"/>
    <w:rsid w:val="003F466C"/>
    <w:rsid w:val="003F48E5"/>
    <w:rsid w:val="003F4DEA"/>
    <w:rsid w:val="003F5296"/>
    <w:rsid w:val="003F66B5"/>
    <w:rsid w:val="00400495"/>
    <w:rsid w:val="00400DBB"/>
    <w:rsid w:val="00401C34"/>
    <w:rsid w:val="0040216F"/>
    <w:rsid w:val="004023DD"/>
    <w:rsid w:val="004038A9"/>
    <w:rsid w:val="00403F37"/>
    <w:rsid w:val="00404211"/>
    <w:rsid w:val="00404637"/>
    <w:rsid w:val="00407738"/>
    <w:rsid w:val="00407A7F"/>
    <w:rsid w:val="004116A1"/>
    <w:rsid w:val="0041208C"/>
    <w:rsid w:val="004132B7"/>
    <w:rsid w:val="00414026"/>
    <w:rsid w:val="00414282"/>
    <w:rsid w:val="00416074"/>
    <w:rsid w:val="0041622D"/>
    <w:rsid w:val="00416E38"/>
    <w:rsid w:val="00417619"/>
    <w:rsid w:val="004177DB"/>
    <w:rsid w:val="00417C82"/>
    <w:rsid w:val="00421614"/>
    <w:rsid w:val="0042463E"/>
    <w:rsid w:val="004275C4"/>
    <w:rsid w:val="00427E2F"/>
    <w:rsid w:val="00432B00"/>
    <w:rsid w:val="00432D40"/>
    <w:rsid w:val="004338FE"/>
    <w:rsid w:val="00433B66"/>
    <w:rsid w:val="0043403D"/>
    <w:rsid w:val="00434BB7"/>
    <w:rsid w:val="00436778"/>
    <w:rsid w:val="00436C07"/>
    <w:rsid w:val="00437CF0"/>
    <w:rsid w:val="004400FC"/>
    <w:rsid w:val="00440856"/>
    <w:rsid w:val="004418F2"/>
    <w:rsid w:val="00441C74"/>
    <w:rsid w:val="004423A4"/>
    <w:rsid w:val="004439D0"/>
    <w:rsid w:val="00444266"/>
    <w:rsid w:val="00444D8C"/>
    <w:rsid w:val="00445017"/>
    <w:rsid w:val="004451B8"/>
    <w:rsid w:val="004457FC"/>
    <w:rsid w:val="004476A9"/>
    <w:rsid w:val="00447E71"/>
    <w:rsid w:val="00450C87"/>
    <w:rsid w:val="00451393"/>
    <w:rsid w:val="00452D63"/>
    <w:rsid w:val="00453D40"/>
    <w:rsid w:val="00454255"/>
    <w:rsid w:val="00455DDA"/>
    <w:rsid w:val="00455EED"/>
    <w:rsid w:val="00456F78"/>
    <w:rsid w:val="00456F9C"/>
    <w:rsid w:val="00457094"/>
    <w:rsid w:val="004572DE"/>
    <w:rsid w:val="00460720"/>
    <w:rsid w:val="00461CDC"/>
    <w:rsid w:val="00462A3A"/>
    <w:rsid w:val="00463940"/>
    <w:rsid w:val="00464986"/>
    <w:rsid w:val="00465F00"/>
    <w:rsid w:val="00465FD4"/>
    <w:rsid w:val="00467201"/>
    <w:rsid w:val="0047015F"/>
    <w:rsid w:val="00470391"/>
    <w:rsid w:val="00470FBB"/>
    <w:rsid w:val="00471362"/>
    <w:rsid w:val="00471BC2"/>
    <w:rsid w:val="00471F9D"/>
    <w:rsid w:val="004744B8"/>
    <w:rsid w:val="00474A83"/>
    <w:rsid w:val="00475C6C"/>
    <w:rsid w:val="0047693E"/>
    <w:rsid w:val="00476C52"/>
    <w:rsid w:val="00476FC9"/>
    <w:rsid w:val="00481D5A"/>
    <w:rsid w:val="00483514"/>
    <w:rsid w:val="00483D5A"/>
    <w:rsid w:val="004861AE"/>
    <w:rsid w:val="004868B8"/>
    <w:rsid w:val="004900D0"/>
    <w:rsid w:val="00490A70"/>
    <w:rsid w:val="00490DDF"/>
    <w:rsid w:val="0049117C"/>
    <w:rsid w:val="004912F0"/>
    <w:rsid w:val="00491630"/>
    <w:rsid w:val="004916C2"/>
    <w:rsid w:val="00491B0F"/>
    <w:rsid w:val="00492DEC"/>
    <w:rsid w:val="0049746B"/>
    <w:rsid w:val="004976C7"/>
    <w:rsid w:val="00497979"/>
    <w:rsid w:val="004A1227"/>
    <w:rsid w:val="004A19E4"/>
    <w:rsid w:val="004A356E"/>
    <w:rsid w:val="004A3E60"/>
    <w:rsid w:val="004A429E"/>
    <w:rsid w:val="004A4605"/>
    <w:rsid w:val="004A5E12"/>
    <w:rsid w:val="004A6B3A"/>
    <w:rsid w:val="004A7BDF"/>
    <w:rsid w:val="004B0673"/>
    <w:rsid w:val="004B1916"/>
    <w:rsid w:val="004B1C92"/>
    <w:rsid w:val="004B2124"/>
    <w:rsid w:val="004B2F90"/>
    <w:rsid w:val="004B42D5"/>
    <w:rsid w:val="004B5304"/>
    <w:rsid w:val="004B59C2"/>
    <w:rsid w:val="004B5A24"/>
    <w:rsid w:val="004B6845"/>
    <w:rsid w:val="004B79D4"/>
    <w:rsid w:val="004B7B5B"/>
    <w:rsid w:val="004B7B6F"/>
    <w:rsid w:val="004C2334"/>
    <w:rsid w:val="004C3821"/>
    <w:rsid w:val="004C426B"/>
    <w:rsid w:val="004C4BF1"/>
    <w:rsid w:val="004C4F45"/>
    <w:rsid w:val="004C5D0B"/>
    <w:rsid w:val="004C6FCF"/>
    <w:rsid w:val="004C7C27"/>
    <w:rsid w:val="004D0A7E"/>
    <w:rsid w:val="004D1379"/>
    <w:rsid w:val="004D14F1"/>
    <w:rsid w:val="004D158E"/>
    <w:rsid w:val="004D2DE7"/>
    <w:rsid w:val="004D3242"/>
    <w:rsid w:val="004D6276"/>
    <w:rsid w:val="004D7347"/>
    <w:rsid w:val="004E1038"/>
    <w:rsid w:val="004E2BB2"/>
    <w:rsid w:val="004E2C4C"/>
    <w:rsid w:val="004E2EE0"/>
    <w:rsid w:val="004E36F2"/>
    <w:rsid w:val="004E3BFF"/>
    <w:rsid w:val="004E41EF"/>
    <w:rsid w:val="004E478C"/>
    <w:rsid w:val="004E4B01"/>
    <w:rsid w:val="004E4CC9"/>
    <w:rsid w:val="004E6B7F"/>
    <w:rsid w:val="004F0D2F"/>
    <w:rsid w:val="004F1373"/>
    <w:rsid w:val="004F21B9"/>
    <w:rsid w:val="004F3F97"/>
    <w:rsid w:val="004F4AA2"/>
    <w:rsid w:val="004F4E33"/>
    <w:rsid w:val="00503A01"/>
    <w:rsid w:val="005043B4"/>
    <w:rsid w:val="005047CD"/>
    <w:rsid w:val="00505D67"/>
    <w:rsid w:val="0050653E"/>
    <w:rsid w:val="00510A15"/>
    <w:rsid w:val="00511F46"/>
    <w:rsid w:val="005120F3"/>
    <w:rsid w:val="005121AD"/>
    <w:rsid w:val="00513948"/>
    <w:rsid w:val="00513D76"/>
    <w:rsid w:val="005159DC"/>
    <w:rsid w:val="00515C6C"/>
    <w:rsid w:val="00517791"/>
    <w:rsid w:val="005179AF"/>
    <w:rsid w:val="005206AA"/>
    <w:rsid w:val="0052148C"/>
    <w:rsid w:val="00521921"/>
    <w:rsid w:val="00522A90"/>
    <w:rsid w:val="00523FA7"/>
    <w:rsid w:val="00524081"/>
    <w:rsid w:val="005243B9"/>
    <w:rsid w:val="0052447C"/>
    <w:rsid w:val="00525F16"/>
    <w:rsid w:val="0052667E"/>
    <w:rsid w:val="00530204"/>
    <w:rsid w:val="00530401"/>
    <w:rsid w:val="0053086B"/>
    <w:rsid w:val="00530AF0"/>
    <w:rsid w:val="00530B79"/>
    <w:rsid w:val="00530BE7"/>
    <w:rsid w:val="00530FBA"/>
    <w:rsid w:val="00531CEA"/>
    <w:rsid w:val="005322D9"/>
    <w:rsid w:val="0053555D"/>
    <w:rsid w:val="00535779"/>
    <w:rsid w:val="00535E6B"/>
    <w:rsid w:val="005365C4"/>
    <w:rsid w:val="00540B70"/>
    <w:rsid w:val="00540DE9"/>
    <w:rsid w:val="005423A7"/>
    <w:rsid w:val="00542909"/>
    <w:rsid w:val="005442B0"/>
    <w:rsid w:val="00544E63"/>
    <w:rsid w:val="00544FC9"/>
    <w:rsid w:val="0054606A"/>
    <w:rsid w:val="00546749"/>
    <w:rsid w:val="00550481"/>
    <w:rsid w:val="00551AC2"/>
    <w:rsid w:val="005530B0"/>
    <w:rsid w:val="0055472E"/>
    <w:rsid w:val="005550F8"/>
    <w:rsid w:val="005579A5"/>
    <w:rsid w:val="00560090"/>
    <w:rsid w:val="005601CC"/>
    <w:rsid w:val="00560716"/>
    <w:rsid w:val="005619C2"/>
    <w:rsid w:val="0056230E"/>
    <w:rsid w:val="0056257A"/>
    <w:rsid w:val="005627F4"/>
    <w:rsid w:val="00562C0C"/>
    <w:rsid w:val="005656A6"/>
    <w:rsid w:val="00566BA3"/>
    <w:rsid w:val="00572059"/>
    <w:rsid w:val="00572702"/>
    <w:rsid w:val="00572C89"/>
    <w:rsid w:val="00573DBA"/>
    <w:rsid w:val="00574EF1"/>
    <w:rsid w:val="005759CF"/>
    <w:rsid w:val="00575A5F"/>
    <w:rsid w:val="00575BFB"/>
    <w:rsid w:val="00575FC5"/>
    <w:rsid w:val="005765D8"/>
    <w:rsid w:val="00577923"/>
    <w:rsid w:val="00580326"/>
    <w:rsid w:val="00580667"/>
    <w:rsid w:val="00580A3D"/>
    <w:rsid w:val="00582125"/>
    <w:rsid w:val="00582561"/>
    <w:rsid w:val="00582D86"/>
    <w:rsid w:val="0058480E"/>
    <w:rsid w:val="00584896"/>
    <w:rsid w:val="005864B5"/>
    <w:rsid w:val="00586D8B"/>
    <w:rsid w:val="005909EF"/>
    <w:rsid w:val="005912DA"/>
    <w:rsid w:val="00593C95"/>
    <w:rsid w:val="00594746"/>
    <w:rsid w:val="00595782"/>
    <w:rsid w:val="00596551"/>
    <w:rsid w:val="00596B45"/>
    <w:rsid w:val="005977D9"/>
    <w:rsid w:val="00597CBB"/>
    <w:rsid w:val="005A0B26"/>
    <w:rsid w:val="005A23F6"/>
    <w:rsid w:val="005A3A50"/>
    <w:rsid w:val="005A41A3"/>
    <w:rsid w:val="005A432B"/>
    <w:rsid w:val="005A5E6F"/>
    <w:rsid w:val="005A66FE"/>
    <w:rsid w:val="005B0992"/>
    <w:rsid w:val="005B0BD1"/>
    <w:rsid w:val="005B18EC"/>
    <w:rsid w:val="005B39CD"/>
    <w:rsid w:val="005B39FD"/>
    <w:rsid w:val="005B3B98"/>
    <w:rsid w:val="005B3BB7"/>
    <w:rsid w:val="005B3D9E"/>
    <w:rsid w:val="005B598E"/>
    <w:rsid w:val="005B7DD7"/>
    <w:rsid w:val="005C0396"/>
    <w:rsid w:val="005C03BF"/>
    <w:rsid w:val="005C1448"/>
    <w:rsid w:val="005C347A"/>
    <w:rsid w:val="005C54DD"/>
    <w:rsid w:val="005C5550"/>
    <w:rsid w:val="005C63D1"/>
    <w:rsid w:val="005C6864"/>
    <w:rsid w:val="005C6E80"/>
    <w:rsid w:val="005C6F00"/>
    <w:rsid w:val="005C7430"/>
    <w:rsid w:val="005C7BA8"/>
    <w:rsid w:val="005D27BC"/>
    <w:rsid w:val="005D3349"/>
    <w:rsid w:val="005D36C2"/>
    <w:rsid w:val="005D5D9A"/>
    <w:rsid w:val="005D73C4"/>
    <w:rsid w:val="005D794A"/>
    <w:rsid w:val="005E1D50"/>
    <w:rsid w:val="005E1D7F"/>
    <w:rsid w:val="005E46A7"/>
    <w:rsid w:val="005E5746"/>
    <w:rsid w:val="005E5C65"/>
    <w:rsid w:val="005E6019"/>
    <w:rsid w:val="005F1259"/>
    <w:rsid w:val="005F1BCF"/>
    <w:rsid w:val="005F4793"/>
    <w:rsid w:val="005F56B7"/>
    <w:rsid w:val="005F7FAA"/>
    <w:rsid w:val="0060052F"/>
    <w:rsid w:val="00600E54"/>
    <w:rsid w:val="006023F0"/>
    <w:rsid w:val="00602625"/>
    <w:rsid w:val="00605277"/>
    <w:rsid w:val="0060623F"/>
    <w:rsid w:val="006074AE"/>
    <w:rsid w:val="00607AB5"/>
    <w:rsid w:val="006133F3"/>
    <w:rsid w:val="006138B6"/>
    <w:rsid w:val="00614796"/>
    <w:rsid w:val="00614F3D"/>
    <w:rsid w:val="00615917"/>
    <w:rsid w:val="00616046"/>
    <w:rsid w:val="00617BF7"/>
    <w:rsid w:val="006201DD"/>
    <w:rsid w:val="0062031E"/>
    <w:rsid w:val="00621A15"/>
    <w:rsid w:val="00621AC3"/>
    <w:rsid w:val="00622A4F"/>
    <w:rsid w:val="00622B99"/>
    <w:rsid w:val="00623103"/>
    <w:rsid w:val="00623392"/>
    <w:rsid w:val="0062409B"/>
    <w:rsid w:val="00624CC9"/>
    <w:rsid w:val="00625BE5"/>
    <w:rsid w:val="0063082C"/>
    <w:rsid w:val="00632C48"/>
    <w:rsid w:val="00632D1D"/>
    <w:rsid w:val="00632E14"/>
    <w:rsid w:val="00635914"/>
    <w:rsid w:val="00637DED"/>
    <w:rsid w:val="006400DE"/>
    <w:rsid w:val="006406BD"/>
    <w:rsid w:val="0064110E"/>
    <w:rsid w:val="00641CA9"/>
    <w:rsid w:val="0064281F"/>
    <w:rsid w:val="00642BF3"/>
    <w:rsid w:val="006430F0"/>
    <w:rsid w:val="00643683"/>
    <w:rsid w:val="00644B7F"/>
    <w:rsid w:val="006450E7"/>
    <w:rsid w:val="00645A0F"/>
    <w:rsid w:val="006462CD"/>
    <w:rsid w:val="0064778F"/>
    <w:rsid w:val="00647C27"/>
    <w:rsid w:val="00650622"/>
    <w:rsid w:val="00650D1B"/>
    <w:rsid w:val="00650ED6"/>
    <w:rsid w:val="00651ED5"/>
    <w:rsid w:val="0065341B"/>
    <w:rsid w:val="00654039"/>
    <w:rsid w:val="00654151"/>
    <w:rsid w:val="0065453A"/>
    <w:rsid w:val="00655A5C"/>
    <w:rsid w:val="00655EE6"/>
    <w:rsid w:val="00656442"/>
    <w:rsid w:val="00656A60"/>
    <w:rsid w:val="006573A6"/>
    <w:rsid w:val="006575EE"/>
    <w:rsid w:val="00657B6C"/>
    <w:rsid w:val="00660585"/>
    <w:rsid w:val="00660BE7"/>
    <w:rsid w:val="006613D5"/>
    <w:rsid w:val="006617BC"/>
    <w:rsid w:val="0066207D"/>
    <w:rsid w:val="00662457"/>
    <w:rsid w:val="00663C11"/>
    <w:rsid w:val="0066458A"/>
    <w:rsid w:val="00664A85"/>
    <w:rsid w:val="00665081"/>
    <w:rsid w:val="00665351"/>
    <w:rsid w:val="0066670A"/>
    <w:rsid w:val="0066689A"/>
    <w:rsid w:val="00666B44"/>
    <w:rsid w:val="00667C7E"/>
    <w:rsid w:val="00671648"/>
    <w:rsid w:val="0067167E"/>
    <w:rsid w:val="00671AE6"/>
    <w:rsid w:val="00672BA8"/>
    <w:rsid w:val="00672D48"/>
    <w:rsid w:val="0067319B"/>
    <w:rsid w:val="00674A8E"/>
    <w:rsid w:val="00675A55"/>
    <w:rsid w:val="00677734"/>
    <w:rsid w:val="00681085"/>
    <w:rsid w:val="0068168B"/>
    <w:rsid w:val="00681B6F"/>
    <w:rsid w:val="00681CB7"/>
    <w:rsid w:val="00681DDE"/>
    <w:rsid w:val="00683C85"/>
    <w:rsid w:val="00684C22"/>
    <w:rsid w:val="00685BFE"/>
    <w:rsid w:val="00686D2A"/>
    <w:rsid w:val="006901F6"/>
    <w:rsid w:val="00690A20"/>
    <w:rsid w:val="00691190"/>
    <w:rsid w:val="006924D9"/>
    <w:rsid w:val="0069311A"/>
    <w:rsid w:val="0069351D"/>
    <w:rsid w:val="006937E8"/>
    <w:rsid w:val="00693E9F"/>
    <w:rsid w:val="0069466A"/>
    <w:rsid w:val="00695106"/>
    <w:rsid w:val="00695F51"/>
    <w:rsid w:val="006969B8"/>
    <w:rsid w:val="00696B96"/>
    <w:rsid w:val="006A11CA"/>
    <w:rsid w:val="006A20AC"/>
    <w:rsid w:val="006A247A"/>
    <w:rsid w:val="006A31B0"/>
    <w:rsid w:val="006A3779"/>
    <w:rsid w:val="006A4834"/>
    <w:rsid w:val="006A60EF"/>
    <w:rsid w:val="006A6374"/>
    <w:rsid w:val="006A689C"/>
    <w:rsid w:val="006A72C8"/>
    <w:rsid w:val="006A74AD"/>
    <w:rsid w:val="006A7897"/>
    <w:rsid w:val="006B268F"/>
    <w:rsid w:val="006B34C0"/>
    <w:rsid w:val="006B40D6"/>
    <w:rsid w:val="006B482C"/>
    <w:rsid w:val="006B7101"/>
    <w:rsid w:val="006C0A07"/>
    <w:rsid w:val="006C2784"/>
    <w:rsid w:val="006C3720"/>
    <w:rsid w:val="006C3F3C"/>
    <w:rsid w:val="006C4211"/>
    <w:rsid w:val="006C4514"/>
    <w:rsid w:val="006C4627"/>
    <w:rsid w:val="006C5231"/>
    <w:rsid w:val="006C6375"/>
    <w:rsid w:val="006D0755"/>
    <w:rsid w:val="006D07A4"/>
    <w:rsid w:val="006D0DA2"/>
    <w:rsid w:val="006D0DF0"/>
    <w:rsid w:val="006D0F8C"/>
    <w:rsid w:val="006D126A"/>
    <w:rsid w:val="006D148B"/>
    <w:rsid w:val="006D1865"/>
    <w:rsid w:val="006D2D11"/>
    <w:rsid w:val="006D3B2F"/>
    <w:rsid w:val="006D48B6"/>
    <w:rsid w:val="006D6C17"/>
    <w:rsid w:val="006D6D7D"/>
    <w:rsid w:val="006D6E30"/>
    <w:rsid w:val="006D70BF"/>
    <w:rsid w:val="006D7C6E"/>
    <w:rsid w:val="006E1A60"/>
    <w:rsid w:val="006E1AC5"/>
    <w:rsid w:val="006E4A71"/>
    <w:rsid w:val="006F09FE"/>
    <w:rsid w:val="006F17E0"/>
    <w:rsid w:val="006F1D21"/>
    <w:rsid w:val="006F512F"/>
    <w:rsid w:val="006F51A7"/>
    <w:rsid w:val="006F602B"/>
    <w:rsid w:val="00700FA4"/>
    <w:rsid w:val="007022D0"/>
    <w:rsid w:val="00703982"/>
    <w:rsid w:val="00703FE9"/>
    <w:rsid w:val="007064D8"/>
    <w:rsid w:val="007071B9"/>
    <w:rsid w:val="007074EF"/>
    <w:rsid w:val="0071184D"/>
    <w:rsid w:val="00711AC2"/>
    <w:rsid w:val="00711AEB"/>
    <w:rsid w:val="00713E72"/>
    <w:rsid w:val="00714D2B"/>
    <w:rsid w:val="00715015"/>
    <w:rsid w:val="00715030"/>
    <w:rsid w:val="00715B14"/>
    <w:rsid w:val="00715E4E"/>
    <w:rsid w:val="007166CA"/>
    <w:rsid w:val="007170D3"/>
    <w:rsid w:val="00717823"/>
    <w:rsid w:val="00717881"/>
    <w:rsid w:val="00717939"/>
    <w:rsid w:val="00717A38"/>
    <w:rsid w:val="00717A3A"/>
    <w:rsid w:val="00721BAD"/>
    <w:rsid w:val="00723025"/>
    <w:rsid w:val="00724A9A"/>
    <w:rsid w:val="0072547C"/>
    <w:rsid w:val="00725A5A"/>
    <w:rsid w:val="00726EA1"/>
    <w:rsid w:val="007304E6"/>
    <w:rsid w:val="00730D10"/>
    <w:rsid w:val="00731168"/>
    <w:rsid w:val="00731681"/>
    <w:rsid w:val="00734EB5"/>
    <w:rsid w:val="00735611"/>
    <w:rsid w:val="007401C3"/>
    <w:rsid w:val="00740918"/>
    <w:rsid w:val="007412E3"/>
    <w:rsid w:val="0074413E"/>
    <w:rsid w:val="00744512"/>
    <w:rsid w:val="00746B6C"/>
    <w:rsid w:val="00747981"/>
    <w:rsid w:val="0075014C"/>
    <w:rsid w:val="00750151"/>
    <w:rsid w:val="00750EA1"/>
    <w:rsid w:val="00751182"/>
    <w:rsid w:val="007523B0"/>
    <w:rsid w:val="00753DDA"/>
    <w:rsid w:val="00753FF0"/>
    <w:rsid w:val="00757043"/>
    <w:rsid w:val="00760800"/>
    <w:rsid w:val="00761A64"/>
    <w:rsid w:val="00762C2D"/>
    <w:rsid w:val="0076301C"/>
    <w:rsid w:val="0076358B"/>
    <w:rsid w:val="0076379C"/>
    <w:rsid w:val="00765F20"/>
    <w:rsid w:val="0077066E"/>
    <w:rsid w:val="00771D01"/>
    <w:rsid w:val="0077282D"/>
    <w:rsid w:val="00772961"/>
    <w:rsid w:val="0077299C"/>
    <w:rsid w:val="00772E91"/>
    <w:rsid w:val="00774618"/>
    <w:rsid w:val="00774B6F"/>
    <w:rsid w:val="00776956"/>
    <w:rsid w:val="00777821"/>
    <w:rsid w:val="00780058"/>
    <w:rsid w:val="007804D8"/>
    <w:rsid w:val="007810FF"/>
    <w:rsid w:val="00781BAA"/>
    <w:rsid w:val="00781EB2"/>
    <w:rsid w:val="00782C29"/>
    <w:rsid w:val="00782D02"/>
    <w:rsid w:val="00783867"/>
    <w:rsid w:val="007843BF"/>
    <w:rsid w:val="00790A27"/>
    <w:rsid w:val="00792146"/>
    <w:rsid w:val="00792207"/>
    <w:rsid w:val="0079251C"/>
    <w:rsid w:val="007930C9"/>
    <w:rsid w:val="00793EE9"/>
    <w:rsid w:val="00794D5F"/>
    <w:rsid w:val="00797DE6"/>
    <w:rsid w:val="007A0EFA"/>
    <w:rsid w:val="007A1F84"/>
    <w:rsid w:val="007A321E"/>
    <w:rsid w:val="007A455D"/>
    <w:rsid w:val="007A4AE8"/>
    <w:rsid w:val="007A513F"/>
    <w:rsid w:val="007A6EA2"/>
    <w:rsid w:val="007A7CB3"/>
    <w:rsid w:val="007B0B2D"/>
    <w:rsid w:val="007B2529"/>
    <w:rsid w:val="007B27EE"/>
    <w:rsid w:val="007B3303"/>
    <w:rsid w:val="007B48BE"/>
    <w:rsid w:val="007B5138"/>
    <w:rsid w:val="007B5720"/>
    <w:rsid w:val="007B68AC"/>
    <w:rsid w:val="007C0AD8"/>
    <w:rsid w:val="007C1DDC"/>
    <w:rsid w:val="007C2D15"/>
    <w:rsid w:val="007C2E36"/>
    <w:rsid w:val="007C3367"/>
    <w:rsid w:val="007C475A"/>
    <w:rsid w:val="007C48C2"/>
    <w:rsid w:val="007C5107"/>
    <w:rsid w:val="007C5785"/>
    <w:rsid w:val="007C64D3"/>
    <w:rsid w:val="007C6813"/>
    <w:rsid w:val="007D0A6D"/>
    <w:rsid w:val="007D0DEE"/>
    <w:rsid w:val="007D1A7F"/>
    <w:rsid w:val="007D282B"/>
    <w:rsid w:val="007D3E3B"/>
    <w:rsid w:val="007D4402"/>
    <w:rsid w:val="007D5B14"/>
    <w:rsid w:val="007D60A7"/>
    <w:rsid w:val="007D66E4"/>
    <w:rsid w:val="007D7491"/>
    <w:rsid w:val="007E1EA2"/>
    <w:rsid w:val="007E1FE9"/>
    <w:rsid w:val="007E2723"/>
    <w:rsid w:val="007E2D03"/>
    <w:rsid w:val="007E3432"/>
    <w:rsid w:val="007E367F"/>
    <w:rsid w:val="007E3D7D"/>
    <w:rsid w:val="007E3EE3"/>
    <w:rsid w:val="007E4007"/>
    <w:rsid w:val="007E522F"/>
    <w:rsid w:val="007E5398"/>
    <w:rsid w:val="007F02B7"/>
    <w:rsid w:val="007F057A"/>
    <w:rsid w:val="007F0BBA"/>
    <w:rsid w:val="007F0E42"/>
    <w:rsid w:val="007F1816"/>
    <w:rsid w:val="007F1BDB"/>
    <w:rsid w:val="007F505A"/>
    <w:rsid w:val="007F579B"/>
    <w:rsid w:val="007F6635"/>
    <w:rsid w:val="007F6E83"/>
    <w:rsid w:val="007F7654"/>
    <w:rsid w:val="008007BD"/>
    <w:rsid w:val="00801910"/>
    <w:rsid w:val="00804CBF"/>
    <w:rsid w:val="00804D29"/>
    <w:rsid w:val="00804F65"/>
    <w:rsid w:val="0080558C"/>
    <w:rsid w:val="008058A1"/>
    <w:rsid w:val="00805D9D"/>
    <w:rsid w:val="0080692D"/>
    <w:rsid w:val="00810C9B"/>
    <w:rsid w:val="008157F9"/>
    <w:rsid w:val="00815D69"/>
    <w:rsid w:val="00815D86"/>
    <w:rsid w:val="00816119"/>
    <w:rsid w:val="008170DA"/>
    <w:rsid w:val="00820C5D"/>
    <w:rsid w:val="00820FDB"/>
    <w:rsid w:val="00821134"/>
    <w:rsid w:val="00821B00"/>
    <w:rsid w:val="00821CCD"/>
    <w:rsid w:val="00823983"/>
    <w:rsid w:val="008253BD"/>
    <w:rsid w:val="00825A38"/>
    <w:rsid w:val="008264DD"/>
    <w:rsid w:val="0082774C"/>
    <w:rsid w:val="00831D96"/>
    <w:rsid w:val="00833665"/>
    <w:rsid w:val="00834276"/>
    <w:rsid w:val="0083444E"/>
    <w:rsid w:val="008356AE"/>
    <w:rsid w:val="008400A6"/>
    <w:rsid w:val="00840F52"/>
    <w:rsid w:val="0084159A"/>
    <w:rsid w:val="008425A2"/>
    <w:rsid w:val="00842810"/>
    <w:rsid w:val="00842892"/>
    <w:rsid w:val="00842A13"/>
    <w:rsid w:val="00842CC5"/>
    <w:rsid w:val="00842E11"/>
    <w:rsid w:val="00842E23"/>
    <w:rsid w:val="0084383C"/>
    <w:rsid w:val="00845CB0"/>
    <w:rsid w:val="0084624A"/>
    <w:rsid w:val="008469EA"/>
    <w:rsid w:val="00846C81"/>
    <w:rsid w:val="00847850"/>
    <w:rsid w:val="00851264"/>
    <w:rsid w:val="00851C62"/>
    <w:rsid w:val="00853B55"/>
    <w:rsid w:val="00856389"/>
    <w:rsid w:val="0085742D"/>
    <w:rsid w:val="00857872"/>
    <w:rsid w:val="008579AD"/>
    <w:rsid w:val="0086030E"/>
    <w:rsid w:val="00861243"/>
    <w:rsid w:val="008632EC"/>
    <w:rsid w:val="00863818"/>
    <w:rsid w:val="00864056"/>
    <w:rsid w:val="0086534A"/>
    <w:rsid w:val="008677C9"/>
    <w:rsid w:val="00870DD1"/>
    <w:rsid w:val="008714E4"/>
    <w:rsid w:val="0087260D"/>
    <w:rsid w:val="00873AEC"/>
    <w:rsid w:val="00874344"/>
    <w:rsid w:val="008746FE"/>
    <w:rsid w:val="00874EAA"/>
    <w:rsid w:val="00875755"/>
    <w:rsid w:val="00876046"/>
    <w:rsid w:val="008760DB"/>
    <w:rsid w:val="00876787"/>
    <w:rsid w:val="00876F56"/>
    <w:rsid w:val="0087735D"/>
    <w:rsid w:val="008809C7"/>
    <w:rsid w:val="0088127A"/>
    <w:rsid w:val="00884809"/>
    <w:rsid w:val="00884B09"/>
    <w:rsid w:val="00885EF3"/>
    <w:rsid w:val="00886820"/>
    <w:rsid w:val="00886D69"/>
    <w:rsid w:val="00886F62"/>
    <w:rsid w:val="008877B3"/>
    <w:rsid w:val="008905EC"/>
    <w:rsid w:val="00891986"/>
    <w:rsid w:val="00891F86"/>
    <w:rsid w:val="00892206"/>
    <w:rsid w:val="00892F17"/>
    <w:rsid w:val="00893958"/>
    <w:rsid w:val="00893C76"/>
    <w:rsid w:val="00895054"/>
    <w:rsid w:val="008957EC"/>
    <w:rsid w:val="00895EC8"/>
    <w:rsid w:val="00897588"/>
    <w:rsid w:val="008A0417"/>
    <w:rsid w:val="008A0934"/>
    <w:rsid w:val="008A0C0C"/>
    <w:rsid w:val="008A1109"/>
    <w:rsid w:val="008A124A"/>
    <w:rsid w:val="008A136A"/>
    <w:rsid w:val="008A1D86"/>
    <w:rsid w:val="008A23BC"/>
    <w:rsid w:val="008A2E4B"/>
    <w:rsid w:val="008A3795"/>
    <w:rsid w:val="008A3869"/>
    <w:rsid w:val="008A3971"/>
    <w:rsid w:val="008A52C1"/>
    <w:rsid w:val="008A57C9"/>
    <w:rsid w:val="008A7120"/>
    <w:rsid w:val="008A7B72"/>
    <w:rsid w:val="008B035D"/>
    <w:rsid w:val="008B0B93"/>
    <w:rsid w:val="008B0DD8"/>
    <w:rsid w:val="008B1116"/>
    <w:rsid w:val="008B2624"/>
    <w:rsid w:val="008B3413"/>
    <w:rsid w:val="008B3D51"/>
    <w:rsid w:val="008B5542"/>
    <w:rsid w:val="008B5921"/>
    <w:rsid w:val="008B5C77"/>
    <w:rsid w:val="008B5D65"/>
    <w:rsid w:val="008B673F"/>
    <w:rsid w:val="008B7E01"/>
    <w:rsid w:val="008C0037"/>
    <w:rsid w:val="008C11E4"/>
    <w:rsid w:val="008C22D1"/>
    <w:rsid w:val="008C232F"/>
    <w:rsid w:val="008C4D17"/>
    <w:rsid w:val="008C541F"/>
    <w:rsid w:val="008C7282"/>
    <w:rsid w:val="008C735F"/>
    <w:rsid w:val="008C7657"/>
    <w:rsid w:val="008C7E3D"/>
    <w:rsid w:val="008D051D"/>
    <w:rsid w:val="008D0668"/>
    <w:rsid w:val="008D0BDA"/>
    <w:rsid w:val="008D2955"/>
    <w:rsid w:val="008D36F6"/>
    <w:rsid w:val="008D40C1"/>
    <w:rsid w:val="008D520B"/>
    <w:rsid w:val="008D55C2"/>
    <w:rsid w:val="008D62C1"/>
    <w:rsid w:val="008D6D5E"/>
    <w:rsid w:val="008D7F07"/>
    <w:rsid w:val="008E0472"/>
    <w:rsid w:val="008E0BB1"/>
    <w:rsid w:val="008E194E"/>
    <w:rsid w:val="008E22E1"/>
    <w:rsid w:val="008E3DD1"/>
    <w:rsid w:val="008E4AE3"/>
    <w:rsid w:val="008F0EAF"/>
    <w:rsid w:val="008F172C"/>
    <w:rsid w:val="008F2787"/>
    <w:rsid w:val="008F3473"/>
    <w:rsid w:val="008F5EA0"/>
    <w:rsid w:val="008F6FEA"/>
    <w:rsid w:val="008F71E9"/>
    <w:rsid w:val="008F7F69"/>
    <w:rsid w:val="00902721"/>
    <w:rsid w:val="00902992"/>
    <w:rsid w:val="0090628F"/>
    <w:rsid w:val="00907280"/>
    <w:rsid w:val="00911624"/>
    <w:rsid w:val="00912D26"/>
    <w:rsid w:val="00914325"/>
    <w:rsid w:val="009156DF"/>
    <w:rsid w:val="00916C4F"/>
    <w:rsid w:val="00917A5F"/>
    <w:rsid w:val="009207A3"/>
    <w:rsid w:val="00920BB4"/>
    <w:rsid w:val="00920FFA"/>
    <w:rsid w:val="009212AD"/>
    <w:rsid w:val="00921A9C"/>
    <w:rsid w:val="009233C9"/>
    <w:rsid w:val="00923DAD"/>
    <w:rsid w:val="00924670"/>
    <w:rsid w:val="0092514B"/>
    <w:rsid w:val="00925B0E"/>
    <w:rsid w:val="0092654C"/>
    <w:rsid w:val="00926E79"/>
    <w:rsid w:val="009273A1"/>
    <w:rsid w:val="00927452"/>
    <w:rsid w:val="009274C4"/>
    <w:rsid w:val="00934108"/>
    <w:rsid w:val="009341FF"/>
    <w:rsid w:val="009343D5"/>
    <w:rsid w:val="009351E5"/>
    <w:rsid w:val="00935D3C"/>
    <w:rsid w:val="009374DC"/>
    <w:rsid w:val="0093773F"/>
    <w:rsid w:val="00937C35"/>
    <w:rsid w:val="00940554"/>
    <w:rsid w:val="00940D6E"/>
    <w:rsid w:val="009411DA"/>
    <w:rsid w:val="009421AD"/>
    <w:rsid w:val="00942595"/>
    <w:rsid w:val="00942769"/>
    <w:rsid w:val="00943DED"/>
    <w:rsid w:val="00943E1C"/>
    <w:rsid w:val="009441C1"/>
    <w:rsid w:val="00947A5D"/>
    <w:rsid w:val="00947BC7"/>
    <w:rsid w:val="00951868"/>
    <w:rsid w:val="00952C12"/>
    <w:rsid w:val="00954C0C"/>
    <w:rsid w:val="00955797"/>
    <w:rsid w:val="009558D3"/>
    <w:rsid w:val="00956257"/>
    <w:rsid w:val="0095736C"/>
    <w:rsid w:val="00961097"/>
    <w:rsid w:val="00961EC6"/>
    <w:rsid w:val="00962763"/>
    <w:rsid w:val="00963850"/>
    <w:rsid w:val="0096403B"/>
    <w:rsid w:val="009646AB"/>
    <w:rsid w:val="00964780"/>
    <w:rsid w:val="00965CF7"/>
    <w:rsid w:val="0096620D"/>
    <w:rsid w:val="00966375"/>
    <w:rsid w:val="009673D2"/>
    <w:rsid w:val="0096762E"/>
    <w:rsid w:val="009728D4"/>
    <w:rsid w:val="00972DB8"/>
    <w:rsid w:val="0097307C"/>
    <w:rsid w:val="009735A6"/>
    <w:rsid w:val="009744AC"/>
    <w:rsid w:val="00974799"/>
    <w:rsid w:val="00980F16"/>
    <w:rsid w:val="00982126"/>
    <w:rsid w:val="0098294F"/>
    <w:rsid w:val="00985B8F"/>
    <w:rsid w:val="0098698F"/>
    <w:rsid w:val="00987660"/>
    <w:rsid w:val="009917C3"/>
    <w:rsid w:val="0099191C"/>
    <w:rsid w:val="00991DE6"/>
    <w:rsid w:val="00992650"/>
    <w:rsid w:val="0099269E"/>
    <w:rsid w:val="00992910"/>
    <w:rsid w:val="009962B9"/>
    <w:rsid w:val="00997F0A"/>
    <w:rsid w:val="009A03B4"/>
    <w:rsid w:val="009A5BE6"/>
    <w:rsid w:val="009A5EFC"/>
    <w:rsid w:val="009A5FA7"/>
    <w:rsid w:val="009A6C6B"/>
    <w:rsid w:val="009A7591"/>
    <w:rsid w:val="009B164F"/>
    <w:rsid w:val="009B24A4"/>
    <w:rsid w:val="009B323A"/>
    <w:rsid w:val="009B4C07"/>
    <w:rsid w:val="009B5845"/>
    <w:rsid w:val="009B794F"/>
    <w:rsid w:val="009C279A"/>
    <w:rsid w:val="009C2A52"/>
    <w:rsid w:val="009C2CFD"/>
    <w:rsid w:val="009C4667"/>
    <w:rsid w:val="009C60AF"/>
    <w:rsid w:val="009C7714"/>
    <w:rsid w:val="009D058F"/>
    <w:rsid w:val="009D23C2"/>
    <w:rsid w:val="009D3014"/>
    <w:rsid w:val="009D342E"/>
    <w:rsid w:val="009D37D5"/>
    <w:rsid w:val="009D3E73"/>
    <w:rsid w:val="009D4C55"/>
    <w:rsid w:val="009D537C"/>
    <w:rsid w:val="009D7C2E"/>
    <w:rsid w:val="009E0C4B"/>
    <w:rsid w:val="009E1428"/>
    <w:rsid w:val="009E2FB5"/>
    <w:rsid w:val="009E50BF"/>
    <w:rsid w:val="009E5D4D"/>
    <w:rsid w:val="009E6D33"/>
    <w:rsid w:val="009E7255"/>
    <w:rsid w:val="009E748C"/>
    <w:rsid w:val="009E7A08"/>
    <w:rsid w:val="009F0234"/>
    <w:rsid w:val="009F0464"/>
    <w:rsid w:val="009F2E72"/>
    <w:rsid w:val="009F550A"/>
    <w:rsid w:val="009F6693"/>
    <w:rsid w:val="009F6DFA"/>
    <w:rsid w:val="00A000DB"/>
    <w:rsid w:val="00A00A7E"/>
    <w:rsid w:val="00A00E03"/>
    <w:rsid w:val="00A01CE0"/>
    <w:rsid w:val="00A02772"/>
    <w:rsid w:val="00A02FF7"/>
    <w:rsid w:val="00A04D21"/>
    <w:rsid w:val="00A0501D"/>
    <w:rsid w:val="00A05E4F"/>
    <w:rsid w:val="00A078AF"/>
    <w:rsid w:val="00A07E94"/>
    <w:rsid w:val="00A1176F"/>
    <w:rsid w:val="00A136F6"/>
    <w:rsid w:val="00A1417E"/>
    <w:rsid w:val="00A143BD"/>
    <w:rsid w:val="00A154BB"/>
    <w:rsid w:val="00A15AC7"/>
    <w:rsid w:val="00A15BCE"/>
    <w:rsid w:val="00A15C9A"/>
    <w:rsid w:val="00A17170"/>
    <w:rsid w:val="00A201DC"/>
    <w:rsid w:val="00A205A4"/>
    <w:rsid w:val="00A22C04"/>
    <w:rsid w:val="00A230F9"/>
    <w:rsid w:val="00A24A39"/>
    <w:rsid w:val="00A2620A"/>
    <w:rsid w:val="00A26696"/>
    <w:rsid w:val="00A3017A"/>
    <w:rsid w:val="00A310DB"/>
    <w:rsid w:val="00A31853"/>
    <w:rsid w:val="00A3216B"/>
    <w:rsid w:val="00A322AC"/>
    <w:rsid w:val="00A32CFE"/>
    <w:rsid w:val="00A33C68"/>
    <w:rsid w:val="00A35282"/>
    <w:rsid w:val="00A35AFF"/>
    <w:rsid w:val="00A36865"/>
    <w:rsid w:val="00A379D3"/>
    <w:rsid w:val="00A406EF"/>
    <w:rsid w:val="00A4098E"/>
    <w:rsid w:val="00A411B0"/>
    <w:rsid w:val="00A41DDD"/>
    <w:rsid w:val="00A424C2"/>
    <w:rsid w:val="00A459D0"/>
    <w:rsid w:val="00A46945"/>
    <w:rsid w:val="00A4724D"/>
    <w:rsid w:val="00A47753"/>
    <w:rsid w:val="00A501C7"/>
    <w:rsid w:val="00A50216"/>
    <w:rsid w:val="00A5047B"/>
    <w:rsid w:val="00A505D4"/>
    <w:rsid w:val="00A5121B"/>
    <w:rsid w:val="00A51420"/>
    <w:rsid w:val="00A52C95"/>
    <w:rsid w:val="00A53C9F"/>
    <w:rsid w:val="00A54609"/>
    <w:rsid w:val="00A55C30"/>
    <w:rsid w:val="00A55FAD"/>
    <w:rsid w:val="00A57105"/>
    <w:rsid w:val="00A610E4"/>
    <w:rsid w:val="00A6124B"/>
    <w:rsid w:val="00A61519"/>
    <w:rsid w:val="00A61FBF"/>
    <w:rsid w:val="00A66651"/>
    <w:rsid w:val="00A666C1"/>
    <w:rsid w:val="00A672B1"/>
    <w:rsid w:val="00A70FA5"/>
    <w:rsid w:val="00A72869"/>
    <w:rsid w:val="00A73D30"/>
    <w:rsid w:val="00A748D5"/>
    <w:rsid w:val="00A751A9"/>
    <w:rsid w:val="00A77317"/>
    <w:rsid w:val="00A775B0"/>
    <w:rsid w:val="00A77661"/>
    <w:rsid w:val="00A77D36"/>
    <w:rsid w:val="00A80099"/>
    <w:rsid w:val="00A81CE2"/>
    <w:rsid w:val="00A82BFF"/>
    <w:rsid w:val="00A833AA"/>
    <w:rsid w:val="00A8660A"/>
    <w:rsid w:val="00A86783"/>
    <w:rsid w:val="00A86831"/>
    <w:rsid w:val="00A86918"/>
    <w:rsid w:val="00A87031"/>
    <w:rsid w:val="00A9093F"/>
    <w:rsid w:val="00A90B25"/>
    <w:rsid w:val="00A90EE2"/>
    <w:rsid w:val="00A92C85"/>
    <w:rsid w:val="00A93ACF"/>
    <w:rsid w:val="00A93DD3"/>
    <w:rsid w:val="00A9478B"/>
    <w:rsid w:val="00A95A65"/>
    <w:rsid w:val="00A95BA8"/>
    <w:rsid w:val="00A95BF6"/>
    <w:rsid w:val="00A9687C"/>
    <w:rsid w:val="00A9699E"/>
    <w:rsid w:val="00A979B5"/>
    <w:rsid w:val="00AA0959"/>
    <w:rsid w:val="00AA0AF7"/>
    <w:rsid w:val="00AA0F4C"/>
    <w:rsid w:val="00AA13E0"/>
    <w:rsid w:val="00AA2C73"/>
    <w:rsid w:val="00AA3287"/>
    <w:rsid w:val="00AA3297"/>
    <w:rsid w:val="00AA5838"/>
    <w:rsid w:val="00AA6B97"/>
    <w:rsid w:val="00AA7806"/>
    <w:rsid w:val="00AA7DFA"/>
    <w:rsid w:val="00AB02A4"/>
    <w:rsid w:val="00AB0BE5"/>
    <w:rsid w:val="00AB256F"/>
    <w:rsid w:val="00AB47F6"/>
    <w:rsid w:val="00AB482B"/>
    <w:rsid w:val="00AB4D99"/>
    <w:rsid w:val="00AB5256"/>
    <w:rsid w:val="00AB718F"/>
    <w:rsid w:val="00AC09FD"/>
    <w:rsid w:val="00AC0E69"/>
    <w:rsid w:val="00AC1CF7"/>
    <w:rsid w:val="00AC2435"/>
    <w:rsid w:val="00AC2A84"/>
    <w:rsid w:val="00AC5251"/>
    <w:rsid w:val="00AC5A22"/>
    <w:rsid w:val="00AC66AF"/>
    <w:rsid w:val="00AD18D5"/>
    <w:rsid w:val="00AD1B9F"/>
    <w:rsid w:val="00AD2397"/>
    <w:rsid w:val="00AD3D6C"/>
    <w:rsid w:val="00AD4E59"/>
    <w:rsid w:val="00AD602F"/>
    <w:rsid w:val="00AE1289"/>
    <w:rsid w:val="00AE133C"/>
    <w:rsid w:val="00AE2554"/>
    <w:rsid w:val="00AE3E97"/>
    <w:rsid w:val="00AE6E4B"/>
    <w:rsid w:val="00AE796C"/>
    <w:rsid w:val="00AE7AB7"/>
    <w:rsid w:val="00AF1010"/>
    <w:rsid w:val="00AF1184"/>
    <w:rsid w:val="00AF2736"/>
    <w:rsid w:val="00AF2C7C"/>
    <w:rsid w:val="00AF41C3"/>
    <w:rsid w:val="00AF4669"/>
    <w:rsid w:val="00AF6052"/>
    <w:rsid w:val="00AF69BB"/>
    <w:rsid w:val="00AF6ACD"/>
    <w:rsid w:val="00B00717"/>
    <w:rsid w:val="00B03552"/>
    <w:rsid w:val="00B04D59"/>
    <w:rsid w:val="00B06956"/>
    <w:rsid w:val="00B06A50"/>
    <w:rsid w:val="00B12F6A"/>
    <w:rsid w:val="00B13697"/>
    <w:rsid w:val="00B13948"/>
    <w:rsid w:val="00B1399A"/>
    <w:rsid w:val="00B14911"/>
    <w:rsid w:val="00B1615E"/>
    <w:rsid w:val="00B16322"/>
    <w:rsid w:val="00B20266"/>
    <w:rsid w:val="00B203FE"/>
    <w:rsid w:val="00B20EAD"/>
    <w:rsid w:val="00B2169A"/>
    <w:rsid w:val="00B2262D"/>
    <w:rsid w:val="00B2275F"/>
    <w:rsid w:val="00B25387"/>
    <w:rsid w:val="00B27BAB"/>
    <w:rsid w:val="00B30300"/>
    <w:rsid w:val="00B30B44"/>
    <w:rsid w:val="00B325F6"/>
    <w:rsid w:val="00B33CED"/>
    <w:rsid w:val="00B42FEB"/>
    <w:rsid w:val="00B442FC"/>
    <w:rsid w:val="00B455F5"/>
    <w:rsid w:val="00B45FBF"/>
    <w:rsid w:val="00B4772A"/>
    <w:rsid w:val="00B47B87"/>
    <w:rsid w:val="00B50580"/>
    <w:rsid w:val="00B531CF"/>
    <w:rsid w:val="00B53B9D"/>
    <w:rsid w:val="00B544F3"/>
    <w:rsid w:val="00B55B80"/>
    <w:rsid w:val="00B55E90"/>
    <w:rsid w:val="00B57217"/>
    <w:rsid w:val="00B60E35"/>
    <w:rsid w:val="00B6120F"/>
    <w:rsid w:val="00B6127B"/>
    <w:rsid w:val="00B62386"/>
    <w:rsid w:val="00B64224"/>
    <w:rsid w:val="00B64A02"/>
    <w:rsid w:val="00B64B08"/>
    <w:rsid w:val="00B66958"/>
    <w:rsid w:val="00B67C64"/>
    <w:rsid w:val="00B70BAC"/>
    <w:rsid w:val="00B71487"/>
    <w:rsid w:val="00B72EA6"/>
    <w:rsid w:val="00B7340A"/>
    <w:rsid w:val="00B738C2"/>
    <w:rsid w:val="00B7550F"/>
    <w:rsid w:val="00B759B8"/>
    <w:rsid w:val="00B76A72"/>
    <w:rsid w:val="00B77B98"/>
    <w:rsid w:val="00B80587"/>
    <w:rsid w:val="00B81945"/>
    <w:rsid w:val="00B81AC1"/>
    <w:rsid w:val="00B828B0"/>
    <w:rsid w:val="00B82B9C"/>
    <w:rsid w:val="00B832EF"/>
    <w:rsid w:val="00B8433D"/>
    <w:rsid w:val="00B84468"/>
    <w:rsid w:val="00B84716"/>
    <w:rsid w:val="00B85400"/>
    <w:rsid w:val="00B87199"/>
    <w:rsid w:val="00B87264"/>
    <w:rsid w:val="00B9009E"/>
    <w:rsid w:val="00B91C05"/>
    <w:rsid w:val="00B92153"/>
    <w:rsid w:val="00B92206"/>
    <w:rsid w:val="00B92472"/>
    <w:rsid w:val="00B9375F"/>
    <w:rsid w:val="00B93A0B"/>
    <w:rsid w:val="00B968F9"/>
    <w:rsid w:val="00B96AA9"/>
    <w:rsid w:val="00B97165"/>
    <w:rsid w:val="00B97BC3"/>
    <w:rsid w:val="00BA01FD"/>
    <w:rsid w:val="00BA0AF6"/>
    <w:rsid w:val="00BA132D"/>
    <w:rsid w:val="00BA208E"/>
    <w:rsid w:val="00BA22F5"/>
    <w:rsid w:val="00BA2A65"/>
    <w:rsid w:val="00BA2E29"/>
    <w:rsid w:val="00BA2E53"/>
    <w:rsid w:val="00BA386E"/>
    <w:rsid w:val="00BA42A4"/>
    <w:rsid w:val="00BA463F"/>
    <w:rsid w:val="00BA7CB0"/>
    <w:rsid w:val="00BB1278"/>
    <w:rsid w:val="00BB20D4"/>
    <w:rsid w:val="00BB60F9"/>
    <w:rsid w:val="00BB637B"/>
    <w:rsid w:val="00BB70F0"/>
    <w:rsid w:val="00BC0439"/>
    <w:rsid w:val="00BC6A3E"/>
    <w:rsid w:val="00BC7041"/>
    <w:rsid w:val="00BD04EA"/>
    <w:rsid w:val="00BD069D"/>
    <w:rsid w:val="00BD192D"/>
    <w:rsid w:val="00BD1BE9"/>
    <w:rsid w:val="00BD27DA"/>
    <w:rsid w:val="00BD327A"/>
    <w:rsid w:val="00BD3839"/>
    <w:rsid w:val="00BD407C"/>
    <w:rsid w:val="00BD4ADB"/>
    <w:rsid w:val="00BD4D8D"/>
    <w:rsid w:val="00BD6C80"/>
    <w:rsid w:val="00BE0714"/>
    <w:rsid w:val="00BE0FA7"/>
    <w:rsid w:val="00BE18E7"/>
    <w:rsid w:val="00BE3B1C"/>
    <w:rsid w:val="00BE460E"/>
    <w:rsid w:val="00BE56EC"/>
    <w:rsid w:val="00BE7A6D"/>
    <w:rsid w:val="00BF0FAE"/>
    <w:rsid w:val="00BF1862"/>
    <w:rsid w:val="00BF1DF4"/>
    <w:rsid w:val="00BF3627"/>
    <w:rsid w:val="00BF4BC3"/>
    <w:rsid w:val="00BF4FD4"/>
    <w:rsid w:val="00C00C62"/>
    <w:rsid w:val="00C034EB"/>
    <w:rsid w:val="00C036EF"/>
    <w:rsid w:val="00C04722"/>
    <w:rsid w:val="00C047AC"/>
    <w:rsid w:val="00C04BBC"/>
    <w:rsid w:val="00C04D9C"/>
    <w:rsid w:val="00C05531"/>
    <w:rsid w:val="00C05807"/>
    <w:rsid w:val="00C07BE4"/>
    <w:rsid w:val="00C10901"/>
    <w:rsid w:val="00C113F3"/>
    <w:rsid w:val="00C123C1"/>
    <w:rsid w:val="00C12E37"/>
    <w:rsid w:val="00C135BE"/>
    <w:rsid w:val="00C13D0F"/>
    <w:rsid w:val="00C1491D"/>
    <w:rsid w:val="00C14A98"/>
    <w:rsid w:val="00C16445"/>
    <w:rsid w:val="00C17378"/>
    <w:rsid w:val="00C2139D"/>
    <w:rsid w:val="00C21644"/>
    <w:rsid w:val="00C21FC5"/>
    <w:rsid w:val="00C225AC"/>
    <w:rsid w:val="00C243E3"/>
    <w:rsid w:val="00C24C7C"/>
    <w:rsid w:val="00C254B7"/>
    <w:rsid w:val="00C26BDE"/>
    <w:rsid w:val="00C27B45"/>
    <w:rsid w:val="00C30AAB"/>
    <w:rsid w:val="00C3169B"/>
    <w:rsid w:val="00C328F0"/>
    <w:rsid w:val="00C32B8C"/>
    <w:rsid w:val="00C34936"/>
    <w:rsid w:val="00C3574D"/>
    <w:rsid w:val="00C35B03"/>
    <w:rsid w:val="00C35D14"/>
    <w:rsid w:val="00C37454"/>
    <w:rsid w:val="00C37D23"/>
    <w:rsid w:val="00C40278"/>
    <w:rsid w:val="00C423A1"/>
    <w:rsid w:val="00C43430"/>
    <w:rsid w:val="00C4344E"/>
    <w:rsid w:val="00C43609"/>
    <w:rsid w:val="00C443FD"/>
    <w:rsid w:val="00C44EBA"/>
    <w:rsid w:val="00C459D3"/>
    <w:rsid w:val="00C462B4"/>
    <w:rsid w:val="00C46862"/>
    <w:rsid w:val="00C46A47"/>
    <w:rsid w:val="00C47D09"/>
    <w:rsid w:val="00C47F41"/>
    <w:rsid w:val="00C50D5B"/>
    <w:rsid w:val="00C5105E"/>
    <w:rsid w:val="00C51B21"/>
    <w:rsid w:val="00C525E0"/>
    <w:rsid w:val="00C52C9F"/>
    <w:rsid w:val="00C53F75"/>
    <w:rsid w:val="00C556F7"/>
    <w:rsid w:val="00C55986"/>
    <w:rsid w:val="00C55CF1"/>
    <w:rsid w:val="00C55EE3"/>
    <w:rsid w:val="00C575A9"/>
    <w:rsid w:val="00C60CBA"/>
    <w:rsid w:val="00C611FC"/>
    <w:rsid w:val="00C63D1D"/>
    <w:rsid w:val="00C64462"/>
    <w:rsid w:val="00C652D3"/>
    <w:rsid w:val="00C657E0"/>
    <w:rsid w:val="00C667DD"/>
    <w:rsid w:val="00C706A9"/>
    <w:rsid w:val="00C706E2"/>
    <w:rsid w:val="00C70829"/>
    <w:rsid w:val="00C73725"/>
    <w:rsid w:val="00C73DFB"/>
    <w:rsid w:val="00C74672"/>
    <w:rsid w:val="00C747BB"/>
    <w:rsid w:val="00C74C93"/>
    <w:rsid w:val="00C74E44"/>
    <w:rsid w:val="00C75438"/>
    <w:rsid w:val="00C77346"/>
    <w:rsid w:val="00C7760A"/>
    <w:rsid w:val="00C807E9"/>
    <w:rsid w:val="00C81665"/>
    <w:rsid w:val="00C819F1"/>
    <w:rsid w:val="00C81D7A"/>
    <w:rsid w:val="00C8210A"/>
    <w:rsid w:val="00C83007"/>
    <w:rsid w:val="00C849D3"/>
    <w:rsid w:val="00C874CE"/>
    <w:rsid w:val="00C877CB"/>
    <w:rsid w:val="00C87FCA"/>
    <w:rsid w:val="00C90BD1"/>
    <w:rsid w:val="00C9107C"/>
    <w:rsid w:val="00C91381"/>
    <w:rsid w:val="00C91F99"/>
    <w:rsid w:val="00C93702"/>
    <w:rsid w:val="00C9558F"/>
    <w:rsid w:val="00C955CF"/>
    <w:rsid w:val="00C966A0"/>
    <w:rsid w:val="00C97284"/>
    <w:rsid w:val="00C97C24"/>
    <w:rsid w:val="00CA4120"/>
    <w:rsid w:val="00CA4E26"/>
    <w:rsid w:val="00CA7EF1"/>
    <w:rsid w:val="00CB250A"/>
    <w:rsid w:val="00CB3961"/>
    <w:rsid w:val="00CB3A8B"/>
    <w:rsid w:val="00CB4603"/>
    <w:rsid w:val="00CB5CE8"/>
    <w:rsid w:val="00CB7349"/>
    <w:rsid w:val="00CB7EAA"/>
    <w:rsid w:val="00CC133E"/>
    <w:rsid w:val="00CC68E7"/>
    <w:rsid w:val="00CC737C"/>
    <w:rsid w:val="00CD029C"/>
    <w:rsid w:val="00CD02DF"/>
    <w:rsid w:val="00CD08CB"/>
    <w:rsid w:val="00CD12A7"/>
    <w:rsid w:val="00CD1F0D"/>
    <w:rsid w:val="00CD1F48"/>
    <w:rsid w:val="00CD2826"/>
    <w:rsid w:val="00CD5411"/>
    <w:rsid w:val="00CD78B3"/>
    <w:rsid w:val="00CD7BD3"/>
    <w:rsid w:val="00CE101A"/>
    <w:rsid w:val="00CE36B4"/>
    <w:rsid w:val="00CE3D1C"/>
    <w:rsid w:val="00CE46FE"/>
    <w:rsid w:val="00CE4987"/>
    <w:rsid w:val="00CE4D50"/>
    <w:rsid w:val="00CE5C33"/>
    <w:rsid w:val="00CE66B5"/>
    <w:rsid w:val="00CE6F5D"/>
    <w:rsid w:val="00CE746F"/>
    <w:rsid w:val="00CF0728"/>
    <w:rsid w:val="00CF0BD6"/>
    <w:rsid w:val="00CF18A7"/>
    <w:rsid w:val="00CF25C7"/>
    <w:rsid w:val="00CF3698"/>
    <w:rsid w:val="00CF3CD3"/>
    <w:rsid w:val="00CF4A0F"/>
    <w:rsid w:val="00CF5E02"/>
    <w:rsid w:val="00CF75F8"/>
    <w:rsid w:val="00CF78DE"/>
    <w:rsid w:val="00CF7D6A"/>
    <w:rsid w:val="00D00642"/>
    <w:rsid w:val="00D01F5C"/>
    <w:rsid w:val="00D0430F"/>
    <w:rsid w:val="00D053A5"/>
    <w:rsid w:val="00D05E00"/>
    <w:rsid w:val="00D06B10"/>
    <w:rsid w:val="00D06B45"/>
    <w:rsid w:val="00D06CE4"/>
    <w:rsid w:val="00D06E99"/>
    <w:rsid w:val="00D07688"/>
    <w:rsid w:val="00D07E58"/>
    <w:rsid w:val="00D10971"/>
    <w:rsid w:val="00D111AD"/>
    <w:rsid w:val="00D1124E"/>
    <w:rsid w:val="00D11797"/>
    <w:rsid w:val="00D127B9"/>
    <w:rsid w:val="00D12803"/>
    <w:rsid w:val="00D13314"/>
    <w:rsid w:val="00D13A17"/>
    <w:rsid w:val="00D14035"/>
    <w:rsid w:val="00D145CB"/>
    <w:rsid w:val="00D15532"/>
    <w:rsid w:val="00D15F0E"/>
    <w:rsid w:val="00D16A85"/>
    <w:rsid w:val="00D176E2"/>
    <w:rsid w:val="00D20086"/>
    <w:rsid w:val="00D20309"/>
    <w:rsid w:val="00D21637"/>
    <w:rsid w:val="00D23B06"/>
    <w:rsid w:val="00D2622A"/>
    <w:rsid w:val="00D2740D"/>
    <w:rsid w:val="00D2758A"/>
    <w:rsid w:val="00D2798D"/>
    <w:rsid w:val="00D315BD"/>
    <w:rsid w:val="00D31A3C"/>
    <w:rsid w:val="00D31A6F"/>
    <w:rsid w:val="00D3224A"/>
    <w:rsid w:val="00D34021"/>
    <w:rsid w:val="00D35CF8"/>
    <w:rsid w:val="00D35D12"/>
    <w:rsid w:val="00D36197"/>
    <w:rsid w:val="00D36506"/>
    <w:rsid w:val="00D37A18"/>
    <w:rsid w:val="00D37D2B"/>
    <w:rsid w:val="00D37ECD"/>
    <w:rsid w:val="00D40A11"/>
    <w:rsid w:val="00D410D2"/>
    <w:rsid w:val="00D4252A"/>
    <w:rsid w:val="00D42F45"/>
    <w:rsid w:val="00D432CD"/>
    <w:rsid w:val="00D456AA"/>
    <w:rsid w:val="00D45B96"/>
    <w:rsid w:val="00D46097"/>
    <w:rsid w:val="00D461EB"/>
    <w:rsid w:val="00D46785"/>
    <w:rsid w:val="00D46F75"/>
    <w:rsid w:val="00D47836"/>
    <w:rsid w:val="00D47CCE"/>
    <w:rsid w:val="00D5084C"/>
    <w:rsid w:val="00D50B80"/>
    <w:rsid w:val="00D51018"/>
    <w:rsid w:val="00D51FE1"/>
    <w:rsid w:val="00D52256"/>
    <w:rsid w:val="00D52ADC"/>
    <w:rsid w:val="00D52C62"/>
    <w:rsid w:val="00D53083"/>
    <w:rsid w:val="00D53BF0"/>
    <w:rsid w:val="00D54673"/>
    <w:rsid w:val="00D55CBD"/>
    <w:rsid w:val="00D55CD7"/>
    <w:rsid w:val="00D569AC"/>
    <w:rsid w:val="00D60871"/>
    <w:rsid w:val="00D609C4"/>
    <w:rsid w:val="00D625B4"/>
    <w:rsid w:val="00D62957"/>
    <w:rsid w:val="00D63170"/>
    <w:rsid w:val="00D6369D"/>
    <w:rsid w:val="00D63E9E"/>
    <w:rsid w:val="00D644C6"/>
    <w:rsid w:val="00D668C4"/>
    <w:rsid w:val="00D717A4"/>
    <w:rsid w:val="00D72814"/>
    <w:rsid w:val="00D74CD1"/>
    <w:rsid w:val="00D762AD"/>
    <w:rsid w:val="00D770E9"/>
    <w:rsid w:val="00D803C3"/>
    <w:rsid w:val="00D8050B"/>
    <w:rsid w:val="00D8142B"/>
    <w:rsid w:val="00D8279F"/>
    <w:rsid w:val="00D82A85"/>
    <w:rsid w:val="00D83400"/>
    <w:rsid w:val="00D83408"/>
    <w:rsid w:val="00D849A2"/>
    <w:rsid w:val="00D849E2"/>
    <w:rsid w:val="00D84E93"/>
    <w:rsid w:val="00D8578F"/>
    <w:rsid w:val="00D862A1"/>
    <w:rsid w:val="00D863C2"/>
    <w:rsid w:val="00D86424"/>
    <w:rsid w:val="00D86CE6"/>
    <w:rsid w:val="00D87DD7"/>
    <w:rsid w:val="00D90192"/>
    <w:rsid w:val="00D905A3"/>
    <w:rsid w:val="00D906B7"/>
    <w:rsid w:val="00D90821"/>
    <w:rsid w:val="00D94873"/>
    <w:rsid w:val="00D94B5E"/>
    <w:rsid w:val="00D9540B"/>
    <w:rsid w:val="00D95A4A"/>
    <w:rsid w:val="00D95CD6"/>
    <w:rsid w:val="00D96ECF"/>
    <w:rsid w:val="00D96F36"/>
    <w:rsid w:val="00D97B05"/>
    <w:rsid w:val="00D97FE6"/>
    <w:rsid w:val="00DA0EB0"/>
    <w:rsid w:val="00DA1DB4"/>
    <w:rsid w:val="00DA28C9"/>
    <w:rsid w:val="00DA2EB9"/>
    <w:rsid w:val="00DA349A"/>
    <w:rsid w:val="00DA35B8"/>
    <w:rsid w:val="00DA5451"/>
    <w:rsid w:val="00DB005E"/>
    <w:rsid w:val="00DB0923"/>
    <w:rsid w:val="00DB1086"/>
    <w:rsid w:val="00DB1B82"/>
    <w:rsid w:val="00DB1D2C"/>
    <w:rsid w:val="00DB22DE"/>
    <w:rsid w:val="00DB2CEA"/>
    <w:rsid w:val="00DB311A"/>
    <w:rsid w:val="00DB36BB"/>
    <w:rsid w:val="00DB3887"/>
    <w:rsid w:val="00DB4D7E"/>
    <w:rsid w:val="00DB6717"/>
    <w:rsid w:val="00DB683A"/>
    <w:rsid w:val="00DC016E"/>
    <w:rsid w:val="00DC0EF7"/>
    <w:rsid w:val="00DC1047"/>
    <w:rsid w:val="00DC1CB2"/>
    <w:rsid w:val="00DC2C9F"/>
    <w:rsid w:val="00DC4A7F"/>
    <w:rsid w:val="00DC60A9"/>
    <w:rsid w:val="00DC7CC9"/>
    <w:rsid w:val="00DD1E5A"/>
    <w:rsid w:val="00DD2044"/>
    <w:rsid w:val="00DD2D4F"/>
    <w:rsid w:val="00DD7113"/>
    <w:rsid w:val="00DE2CE5"/>
    <w:rsid w:val="00DE39CE"/>
    <w:rsid w:val="00DE3A84"/>
    <w:rsid w:val="00DE4736"/>
    <w:rsid w:val="00DE4FD2"/>
    <w:rsid w:val="00DE53B6"/>
    <w:rsid w:val="00DE55C3"/>
    <w:rsid w:val="00DE5A7A"/>
    <w:rsid w:val="00DE5BC9"/>
    <w:rsid w:val="00DE7609"/>
    <w:rsid w:val="00DE7CD5"/>
    <w:rsid w:val="00DF0523"/>
    <w:rsid w:val="00DF0558"/>
    <w:rsid w:val="00DF0F1C"/>
    <w:rsid w:val="00DF27F4"/>
    <w:rsid w:val="00DF2D1E"/>
    <w:rsid w:val="00DF2D29"/>
    <w:rsid w:val="00DF2EB9"/>
    <w:rsid w:val="00DF36AC"/>
    <w:rsid w:val="00DF3D82"/>
    <w:rsid w:val="00DF4C1F"/>
    <w:rsid w:val="00DF5CE3"/>
    <w:rsid w:val="00DF752F"/>
    <w:rsid w:val="00E01064"/>
    <w:rsid w:val="00E01129"/>
    <w:rsid w:val="00E01312"/>
    <w:rsid w:val="00E021CA"/>
    <w:rsid w:val="00E0296C"/>
    <w:rsid w:val="00E02A39"/>
    <w:rsid w:val="00E02B19"/>
    <w:rsid w:val="00E0399F"/>
    <w:rsid w:val="00E03F08"/>
    <w:rsid w:val="00E066CA"/>
    <w:rsid w:val="00E07ABC"/>
    <w:rsid w:val="00E11184"/>
    <w:rsid w:val="00E1153D"/>
    <w:rsid w:val="00E12917"/>
    <w:rsid w:val="00E12B22"/>
    <w:rsid w:val="00E135B0"/>
    <w:rsid w:val="00E13FC0"/>
    <w:rsid w:val="00E1473D"/>
    <w:rsid w:val="00E14A74"/>
    <w:rsid w:val="00E16E48"/>
    <w:rsid w:val="00E1769B"/>
    <w:rsid w:val="00E17EB3"/>
    <w:rsid w:val="00E206B6"/>
    <w:rsid w:val="00E21160"/>
    <w:rsid w:val="00E2449A"/>
    <w:rsid w:val="00E24A22"/>
    <w:rsid w:val="00E24A39"/>
    <w:rsid w:val="00E251FB"/>
    <w:rsid w:val="00E2529E"/>
    <w:rsid w:val="00E25C84"/>
    <w:rsid w:val="00E27A2A"/>
    <w:rsid w:val="00E30EB1"/>
    <w:rsid w:val="00E31209"/>
    <w:rsid w:val="00E316B0"/>
    <w:rsid w:val="00E31D24"/>
    <w:rsid w:val="00E33017"/>
    <w:rsid w:val="00E35976"/>
    <w:rsid w:val="00E3724D"/>
    <w:rsid w:val="00E3765C"/>
    <w:rsid w:val="00E40571"/>
    <w:rsid w:val="00E4117B"/>
    <w:rsid w:val="00E42485"/>
    <w:rsid w:val="00E42C0B"/>
    <w:rsid w:val="00E42CE1"/>
    <w:rsid w:val="00E4409D"/>
    <w:rsid w:val="00E45101"/>
    <w:rsid w:val="00E457E3"/>
    <w:rsid w:val="00E45EBF"/>
    <w:rsid w:val="00E47C2B"/>
    <w:rsid w:val="00E5309F"/>
    <w:rsid w:val="00E534E1"/>
    <w:rsid w:val="00E550FD"/>
    <w:rsid w:val="00E55972"/>
    <w:rsid w:val="00E57100"/>
    <w:rsid w:val="00E6074E"/>
    <w:rsid w:val="00E62BFD"/>
    <w:rsid w:val="00E63225"/>
    <w:rsid w:val="00E63FE1"/>
    <w:rsid w:val="00E64D88"/>
    <w:rsid w:val="00E65502"/>
    <w:rsid w:val="00E658F8"/>
    <w:rsid w:val="00E66ACA"/>
    <w:rsid w:val="00E66E78"/>
    <w:rsid w:val="00E67304"/>
    <w:rsid w:val="00E67F72"/>
    <w:rsid w:val="00E70C93"/>
    <w:rsid w:val="00E7188C"/>
    <w:rsid w:val="00E72D31"/>
    <w:rsid w:val="00E72D62"/>
    <w:rsid w:val="00E73175"/>
    <w:rsid w:val="00E73F1F"/>
    <w:rsid w:val="00E743A1"/>
    <w:rsid w:val="00E75181"/>
    <w:rsid w:val="00E76D3E"/>
    <w:rsid w:val="00E774BA"/>
    <w:rsid w:val="00E82CAB"/>
    <w:rsid w:val="00E84A03"/>
    <w:rsid w:val="00E84B62"/>
    <w:rsid w:val="00E85B0F"/>
    <w:rsid w:val="00E91A5C"/>
    <w:rsid w:val="00E92054"/>
    <w:rsid w:val="00E92E72"/>
    <w:rsid w:val="00E93BB9"/>
    <w:rsid w:val="00E93D56"/>
    <w:rsid w:val="00E94128"/>
    <w:rsid w:val="00E95363"/>
    <w:rsid w:val="00E95513"/>
    <w:rsid w:val="00E96B9F"/>
    <w:rsid w:val="00E973D9"/>
    <w:rsid w:val="00E97AD1"/>
    <w:rsid w:val="00EA25EB"/>
    <w:rsid w:val="00EA2CDB"/>
    <w:rsid w:val="00EA42C0"/>
    <w:rsid w:val="00EA4A8D"/>
    <w:rsid w:val="00EA4D45"/>
    <w:rsid w:val="00EA5111"/>
    <w:rsid w:val="00EA55E4"/>
    <w:rsid w:val="00EA6931"/>
    <w:rsid w:val="00EA6C16"/>
    <w:rsid w:val="00EA779C"/>
    <w:rsid w:val="00EA7A2C"/>
    <w:rsid w:val="00EA7F23"/>
    <w:rsid w:val="00EB007F"/>
    <w:rsid w:val="00EB06CF"/>
    <w:rsid w:val="00EB0E27"/>
    <w:rsid w:val="00EB105E"/>
    <w:rsid w:val="00EB2893"/>
    <w:rsid w:val="00EB3E9E"/>
    <w:rsid w:val="00EB5140"/>
    <w:rsid w:val="00EB5666"/>
    <w:rsid w:val="00EB577E"/>
    <w:rsid w:val="00EB5FD9"/>
    <w:rsid w:val="00EB6087"/>
    <w:rsid w:val="00EB7DB6"/>
    <w:rsid w:val="00EB7F36"/>
    <w:rsid w:val="00EC1772"/>
    <w:rsid w:val="00EC1A65"/>
    <w:rsid w:val="00EC1BC7"/>
    <w:rsid w:val="00EC33F3"/>
    <w:rsid w:val="00EC4383"/>
    <w:rsid w:val="00EC4810"/>
    <w:rsid w:val="00EC4A77"/>
    <w:rsid w:val="00EC51B0"/>
    <w:rsid w:val="00EC6187"/>
    <w:rsid w:val="00EC662D"/>
    <w:rsid w:val="00ED18F2"/>
    <w:rsid w:val="00ED1B9F"/>
    <w:rsid w:val="00ED2539"/>
    <w:rsid w:val="00ED415E"/>
    <w:rsid w:val="00ED41EE"/>
    <w:rsid w:val="00ED4CFD"/>
    <w:rsid w:val="00ED7422"/>
    <w:rsid w:val="00EE05B2"/>
    <w:rsid w:val="00EE1C7E"/>
    <w:rsid w:val="00EE221C"/>
    <w:rsid w:val="00EE3700"/>
    <w:rsid w:val="00EE6DB3"/>
    <w:rsid w:val="00EE7D57"/>
    <w:rsid w:val="00EE7DBB"/>
    <w:rsid w:val="00EF0F41"/>
    <w:rsid w:val="00EF3DED"/>
    <w:rsid w:val="00EF4091"/>
    <w:rsid w:val="00EF4C0D"/>
    <w:rsid w:val="00EF5E56"/>
    <w:rsid w:val="00F0004C"/>
    <w:rsid w:val="00F010A6"/>
    <w:rsid w:val="00F01A42"/>
    <w:rsid w:val="00F043FB"/>
    <w:rsid w:val="00F04D0B"/>
    <w:rsid w:val="00F04E4D"/>
    <w:rsid w:val="00F05572"/>
    <w:rsid w:val="00F059B4"/>
    <w:rsid w:val="00F0678E"/>
    <w:rsid w:val="00F0679C"/>
    <w:rsid w:val="00F078BD"/>
    <w:rsid w:val="00F07A30"/>
    <w:rsid w:val="00F10F59"/>
    <w:rsid w:val="00F110B1"/>
    <w:rsid w:val="00F11446"/>
    <w:rsid w:val="00F126B3"/>
    <w:rsid w:val="00F12892"/>
    <w:rsid w:val="00F14288"/>
    <w:rsid w:val="00F143D1"/>
    <w:rsid w:val="00F157C9"/>
    <w:rsid w:val="00F15E2B"/>
    <w:rsid w:val="00F161BF"/>
    <w:rsid w:val="00F17313"/>
    <w:rsid w:val="00F174BD"/>
    <w:rsid w:val="00F17B87"/>
    <w:rsid w:val="00F20C67"/>
    <w:rsid w:val="00F21DBD"/>
    <w:rsid w:val="00F223D3"/>
    <w:rsid w:val="00F22EF3"/>
    <w:rsid w:val="00F26EB3"/>
    <w:rsid w:val="00F27158"/>
    <w:rsid w:val="00F2738C"/>
    <w:rsid w:val="00F27BE7"/>
    <w:rsid w:val="00F27ED2"/>
    <w:rsid w:val="00F30BFB"/>
    <w:rsid w:val="00F31614"/>
    <w:rsid w:val="00F323A6"/>
    <w:rsid w:val="00F330D0"/>
    <w:rsid w:val="00F33258"/>
    <w:rsid w:val="00F340C1"/>
    <w:rsid w:val="00F36294"/>
    <w:rsid w:val="00F36869"/>
    <w:rsid w:val="00F37AEE"/>
    <w:rsid w:val="00F411F2"/>
    <w:rsid w:val="00F42863"/>
    <w:rsid w:val="00F43620"/>
    <w:rsid w:val="00F43BB8"/>
    <w:rsid w:val="00F44757"/>
    <w:rsid w:val="00F4502A"/>
    <w:rsid w:val="00F45BCB"/>
    <w:rsid w:val="00F469BD"/>
    <w:rsid w:val="00F46C7D"/>
    <w:rsid w:val="00F46C83"/>
    <w:rsid w:val="00F5059A"/>
    <w:rsid w:val="00F51349"/>
    <w:rsid w:val="00F517DF"/>
    <w:rsid w:val="00F5193B"/>
    <w:rsid w:val="00F53471"/>
    <w:rsid w:val="00F53A24"/>
    <w:rsid w:val="00F53C3D"/>
    <w:rsid w:val="00F53D16"/>
    <w:rsid w:val="00F55CA8"/>
    <w:rsid w:val="00F56FBA"/>
    <w:rsid w:val="00F57124"/>
    <w:rsid w:val="00F57669"/>
    <w:rsid w:val="00F57E7C"/>
    <w:rsid w:val="00F57ECF"/>
    <w:rsid w:val="00F60754"/>
    <w:rsid w:val="00F6119A"/>
    <w:rsid w:val="00F6206A"/>
    <w:rsid w:val="00F624E6"/>
    <w:rsid w:val="00F625C4"/>
    <w:rsid w:val="00F62D7F"/>
    <w:rsid w:val="00F63087"/>
    <w:rsid w:val="00F6468B"/>
    <w:rsid w:val="00F65E14"/>
    <w:rsid w:val="00F70912"/>
    <w:rsid w:val="00F72906"/>
    <w:rsid w:val="00F74D8F"/>
    <w:rsid w:val="00F75A60"/>
    <w:rsid w:val="00F75D43"/>
    <w:rsid w:val="00F76A5C"/>
    <w:rsid w:val="00F7790C"/>
    <w:rsid w:val="00F811A6"/>
    <w:rsid w:val="00F81438"/>
    <w:rsid w:val="00F81E03"/>
    <w:rsid w:val="00F82028"/>
    <w:rsid w:val="00F82222"/>
    <w:rsid w:val="00F82AF0"/>
    <w:rsid w:val="00F83394"/>
    <w:rsid w:val="00F842D0"/>
    <w:rsid w:val="00F85350"/>
    <w:rsid w:val="00F85E91"/>
    <w:rsid w:val="00F85EF3"/>
    <w:rsid w:val="00F85FC4"/>
    <w:rsid w:val="00F86903"/>
    <w:rsid w:val="00F86C1E"/>
    <w:rsid w:val="00F86CE0"/>
    <w:rsid w:val="00F87B79"/>
    <w:rsid w:val="00F91C6B"/>
    <w:rsid w:val="00F91FA4"/>
    <w:rsid w:val="00F92820"/>
    <w:rsid w:val="00F934BC"/>
    <w:rsid w:val="00F94754"/>
    <w:rsid w:val="00F948DE"/>
    <w:rsid w:val="00F952B0"/>
    <w:rsid w:val="00F95AE8"/>
    <w:rsid w:val="00F96FF3"/>
    <w:rsid w:val="00FA0FEA"/>
    <w:rsid w:val="00FA1FD1"/>
    <w:rsid w:val="00FA2E8C"/>
    <w:rsid w:val="00FA346C"/>
    <w:rsid w:val="00FA47DC"/>
    <w:rsid w:val="00FA5C6F"/>
    <w:rsid w:val="00FA616D"/>
    <w:rsid w:val="00FB066E"/>
    <w:rsid w:val="00FB1874"/>
    <w:rsid w:val="00FB37BE"/>
    <w:rsid w:val="00FB4ED4"/>
    <w:rsid w:val="00FB6F3D"/>
    <w:rsid w:val="00FB7E1D"/>
    <w:rsid w:val="00FC27C9"/>
    <w:rsid w:val="00FC48A0"/>
    <w:rsid w:val="00FC49EB"/>
    <w:rsid w:val="00FC4E3A"/>
    <w:rsid w:val="00FC524A"/>
    <w:rsid w:val="00FD032F"/>
    <w:rsid w:val="00FD0EE8"/>
    <w:rsid w:val="00FD1138"/>
    <w:rsid w:val="00FD14CF"/>
    <w:rsid w:val="00FD179D"/>
    <w:rsid w:val="00FD1B11"/>
    <w:rsid w:val="00FD467E"/>
    <w:rsid w:val="00FD5050"/>
    <w:rsid w:val="00FD5349"/>
    <w:rsid w:val="00FD53F9"/>
    <w:rsid w:val="00FD5AA5"/>
    <w:rsid w:val="00FE17DA"/>
    <w:rsid w:val="00FE1AEF"/>
    <w:rsid w:val="00FE1DE8"/>
    <w:rsid w:val="00FE2C22"/>
    <w:rsid w:val="00FE48CB"/>
    <w:rsid w:val="00FE5B1E"/>
    <w:rsid w:val="00FE62F0"/>
    <w:rsid w:val="00FE7428"/>
    <w:rsid w:val="00FF044A"/>
    <w:rsid w:val="00FF069F"/>
    <w:rsid w:val="00FF42B1"/>
    <w:rsid w:val="00FF4ADB"/>
    <w:rsid w:val="00FF4BB2"/>
    <w:rsid w:val="00FF4C10"/>
    <w:rsid w:val="00FF5557"/>
    <w:rsid w:val="00FF5C80"/>
    <w:rsid w:val="00FF6E14"/>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28B0"/>
    <w:rPr>
      <w:lang w:val="en-GB"/>
    </w:rPr>
  </w:style>
  <w:style w:type="paragraph" w:styleId="Cmsor1">
    <w:name w:val="heading 1"/>
    <w:basedOn w:val="Norml"/>
    <w:next w:val="Norml"/>
    <w:link w:val="Cmsor1Char"/>
    <w:uiPriority w:val="9"/>
    <w:qFormat/>
    <w:rsid w:val="00305C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05C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305C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305C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305C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305C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305C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305C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305C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05C05"/>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05C05"/>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305C05"/>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305C0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305C0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305C0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305C0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305C05"/>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305C05"/>
    <w:rPr>
      <w:rFonts w:asciiTheme="majorHAnsi" w:eastAsiaTheme="majorEastAsia" w:hAnsiTheme="majorHAnsi" w:cstheme="majorBidi"/>
      <w:i/>
      <w:iCs/>
      <w:color w:val="404040" w:themeColor="text1" w:themeTint="BF"/>
      <w:sz w:val="20"/>
      <w:szCs w:val="20"/>
    </w:rPr>
  </w:style>
  <w:style w:type="paragraph" w:styleId="Listaszerbekezds">
    <w:name w:val="List Paragraph"/>
    <w:basedOn w:val="Norml"/>
    <w:uiPriority w:val="34"/>
    <w:qFormat/>
    <w:rsid w:val="002677AC"/>
    <w:pPr>
      <w:ind w:left="720"/>
      <w:contextualSpacing/>
    </w:pPr>
  </w:style>
  <w:style w:type="paragraph" w:styleId="Nincstrkz">
    <w:name w:val="No Spacing"/>
    <w:uiPriority w:val="1"/>
    <w:qFormat/>
    <w:rsid w:val="00F57124"/>
    <w:pPr>
      <w:spacing w:after="0" w:line="240" w:lineRule="auto"/>
    </w:pPr>
  </w:style>
  <w:style w:type="table" w:styleId="Rcsostblzat">
    <w:name w:val="Table Grid"/>
    <w:basedOn w:val="Normltblzat"/>
    <w:uiPriority w:val="59"/>
    <w:rsid w:val="0017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3C78AB"/>
    <w:rPr>
      <w:i/>
      <w:iCs/>
    </w:rPr>
  </w:style>
  <w:style w:type="character" w:styleId="Hiperhivatkozs">
    <w:name w:val="Hyperlink"/>
    <w:basedOn w:val="Bekezdsalapbettpusa"/>
    <w:uiPriority w:val="99"/>
    <w:unhideWhenUsed/>
    <w:rsid w:val="00363F5F"/>
    <w:rPr>
      <w:color w:val="0000FF"/>
      <w:u w:val="single"/>
    </w:rPr>
  </w:style>
  <w:style w:type="paragraph" w:styleId="NormlWeb">
    <w:name w:val="Normal (Web)"/>
    <w:basedOn w:val="Norml"/>
    <w:uiPriority w:val="99"/>
    <w:unhideWhenUsed/>
    <w:rsid w:val="006E1A60"/>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E67F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7F72"/>
    <w:rPr>
      <w:rFonts w:ascii="Tahoma" w:hAnsi="Tahoma" w:cs="Tahoma"/>
      <w:sz w:val="16"/>
      <w:szCs w:val="16"/>
    </w:rPr>
  </w:style>
  <w:style w:type="paragraph" w:customStyle="1" w:styleId="EndNoteBibliographyTitle">
    <w:name w:val="EndNote Bibliography Title"/>
    <w:basedOn w:val="Norml"/>
    <w:link w:val="EndNoteBibliographyTitleChar"/>
    <w:rsid w:val="00B53B9D"/>
    <w:pPr>
      <w:spacing w:after="0"/>
      <w:jc w:val="center"/>
    </w:pPr>
    <w:rPr>
      <w:rFonts w:ascii="Arial" w:hAnsi="Arial" w:cs="Arial"/>
      <w:noProof/>
    </w:rPr>
  </w:style>
  <w:style w:type="character" w:customStyle="1" w:styleId="EndNoteBibliographyTitleChar">
    <w:name w:val="EndNote Bibliography Title Char"/>
    <w:basedOn w:val="Bekezdsalapbettpusa"/>
    <w:link w:val="EndNoteBibliographyTitle"/>
    <w:rsid w:val="00B53B9D"/>
    <w:rPr>
      <w:rFonts w:ascii="Arial" w:hAnsi="Arial" w:cs="Arial"/>
      <w:noProof/>
    </w:rPr>
  </w:style>
  <w:style w:type="paragraph" w:customStyle="1" w:styleId="EndNoteBibliography">
    <w:name w:val="EndNote Bibliography"/>
    <w:basedOn w:val="Norml"/>
    <w:link w:val="EndNoteBibliographyChar"/>
    <w:rsid w:val="00B53B9D"/>
    <w:pPr>
      <w:spacing w:line="360" w:lineRule="auto"/>
    </w:pPr>
    <w:rPr>
      <w:rFonts w:ascii="Arial" w:hAnsi="Arial" w:cs="Arial"/>
      <w:noProof/>
    </w:rPr>
  </w:style>
  <w:style w:type="character" w:customStyle="1" w:styleId="EndNoteBibliographyChar">
    <w:name w:val="EndNote Bibliography Char"/>
    <w:basedOn w:val="Bekezdsalapbettpusa"/>
    <w:link w:val="EndNoteBibliography"/>
    <w:rsid w:val="00B53B9D"/>
    <w:rPr>
      <w:rFonts w:ascii="Arial" w:hAnsi="Arial" w:cs="Arial"/>
      <w:noProof/>
    </w:rPr>
  </w:style>
  <w:style w:type="paragraph" w:styleId="lfej">
    <w:name w:val="header"/>
    <w:basedOn w:val="Norml"/>
    <w:link w:val="lfejChar"/>
    <w:uiPriority w:val="99"/>
    <w:unhideWhenUsed/>
    <w:rsid w:val="004861AE"/>
    <w:pPr>
      <w:tabs>
        <w:tab w:val="center" w:pos="4703"/>
        <w:tab w:val="right" w:pos="9406"/>
      </w:tabs>
      <w:spacing w:after="0" w:line="240" w:lineRule="auto"/>
    </w:pPr>
  </w:style>
  <w:style w:type="character" w:customStyle="1" w:styleId="lfejChar">
    <w:name w:val="Élőfej Char"/>
    <w:basedOn w:val="Bekezdsalapbettpusa"/>
    <w:link w:val="lfej"/>
    <w:uiPriority w:val="99"/>
    <w:rsid w:val="004861AE"/>
  </w:style>
  <w:style w:type="paragraph" w:styleId="llb">
    <w:name w:val="footer"/>
    <w:basedOn w:val="Norml"/>
    <w:link w:val="llbChar"/>
    <w:uiPriority w:val="99"/>
    <w:unhideWhenUsed/>
    <w:rsid w:val="004861AE"/>
    <w:pPr>
      <w:tabs>
        <w:tab w:val="center" w:pos="4703"/>
        <w:tab w:val="right" w:pos="9406"/>
      </w:tabs>
      <w:spacing w:after="0" w:line="240" w:lineRule="auto"/>
    </w:pPr>
  </w:style>
  <w:style w:type="character" w:customStyle="1" w:styleId="llbChar">
    <w:name w:val="Élőláb Char"/>
    <w:basedOn w:val="Bekezdsalapbettpusa"/>
    <w:link w:val="llb"/>
    <w:uiPriority w:val="99"/>
    <w:rsid w:val="004861AE"/>
  </w:style>
  <w:style w:type="character" w:styleId="Sorszma">
    <w:name w:val="line number"/>
    <w:basedOn w:val="Bekezdsalapbettpusa"/>
    <w:uiPriority w:val="99"/>
    <w:semiHidden/>
    <w:unhideWhenUsed/>
    <w:rsid w:val="000D6A02"/>
  </w:style>
  <w:style w:type="table" w:customStyle="1" w:styleId="Tblzategyszer21">
    <w:name w:val="Táblázat (egyszerű) 21"/>
    <w:basedOn w:val="Normltblzat"/>
    <w:uiPriority w:val="42"/>
    <w:rsid w:val="00B57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Bekezdsalapbettpusa"/>
    <w:rsid w:val="008E4AE3"/>
  </w:style>
  <w:style w:type="paragraph" w:styleId="Lbjegyzetszveg">
    <w:name w:val="footnote text"/>
    <w:basedOn w:val="Norml"/>
    <w:link w:val="LbjegyzetszvegChar"/>
    <w:uiPriority w:val="99"/>
    <w:semiHidden/>
    <w:unhideWhenUsed/>
    <w:rsid w:val="002D0C7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0C77"/>
    <w:rPr>
      <w:sz w:val="20"/>
      <w:szCs w:val="20"/>
    </w:rPr>
  </w:style>
  <w:style w:type="character" w:styleId="Lbjegyzet-hivatkozs">
    <w:name w:val="footnote reference"/>
    <w:basedOn w:val="Bekezdsalapbettpusa"/>
    <w:uiPriority w:val="99"/>
    <w:semiHidden/>
    <w:unhideWhenUsed/>
    <w:rsid w:val="002D0C77"/>
    <w:rPr>
      <w:vertAlign w:val="superscript"/>
    </w:rPr>
  </w:style>
  <w:style w:type="table" w:styleId="Kzepesrnykols2">
    <w:name w:val="Medium Shading 2"/>
    <w:basedOn w:val="Normltblzat"/>
    <w:uiPriority w:val="64"/>
    <w:rsid w:val="008574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1jellszn">
    <w:name w:val="Medium Shading 2 Accent 1"/>
    <w:basedOn w:val="Normltblzat"/>
    <w:uiPriority w:val="64"/>
    <w:rsid w:val="008574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lgosrnykols1jellszn">
    <w:name w:val="Light Shading Accent 1"/>
    <w:basedOn w:val="Normltblzat"/>
    <w:uiPriority w:val="60"/>
    <w:rsid w:val="005047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tnus">
    <w:name w:val="Light Shading"/>
    <w:basedOn w:val="Normltblzat"/>
    <w:uiPriority w:val="60"/>
    <w:rsid w:val="005047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5jellszn">
    <w:name w:val="Light Shading Accent 5"/>
    <w:basedOn w:val="Normltblzat"/>
    <w:uiPriority w:val="60"/>
    <w:rsid w:val="00965C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828B0"/>
    <w:rPr>
      <w:lang w:val="en-GB"/>
    </w:rPr>
  </w:style>
  <w:style w:type="paragraph" w:styleId="Cmsor1">
    <w:name w:val="heading 1"/>
    <w:basedOn w:val="Norml"/>
    <w:next w:val="Norml"/>
    <w:link w:val="Cmsor1Char"/>
    <w:uiPriority w:val="9"/>
    <w:qFormat/>
    <w:rsid w:val="00305C0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05C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305C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305C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305C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305C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305C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305C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305C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05C05"/>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05C05"/>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305C05"/>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305C0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305C0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305C0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305C0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305C05"/>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305C05"/>
    <w:rPr>
      <w:rFonts w:asciiTheme="majorHAnsi" w:eastAsiaTheme="majorEastAsia" w:hAnsiTheme="majorHAnsi" w:cstheme="majorBidi"/>
      <w:i/>
      <w:iCs/>
      <w:color w:val="404040" w:themeColor="text1" w:themeTint="BF"/>
      <w:sz w:val="20"/>
      <w:szCs w:val="20"/>
    </w:rPr>
  </w:style>
  <w:style w:type="paragraph" w:styleId="Listaszerbekezds">
    <w:name w:val="List Paragraph"/>
    <w:basedOn w:val="Norml"/>
    <w:uiPriority w:val="34"/>
    <w:qFormat/>
    <w:rsid w:val="002677AC"/>
    <w:pPr>
      <w:ind w:left="720"/>
      <w:contextualSpacing/>
    </w:pPr>
  </w:style>
  <w:style w:type="paragraph" w:styleId="Nincstrkz">
    <w:name w:val="No Spacing"/>
    <w:uiPriority w:val="1"/>
    <w:qFormat/>
    <w:rsid w:val="00F57124"/>
    <w:pPr>
      <w:spacing w:after="0" w:line="240" w:lineRule="auto"/>
    </w:pPr>
  </w:style>
  <w:style w:type="table" w:styleId="Rcsostblzat">
    <w:name w:val="Table Grid"/>
    <w:basedOn w:val="Normltblzat"/>
    <w:uiPriority w:val="59"/>
    <w:rsid w:val="0017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3C78AB"/>
    <w:rPr>
      <w:i/>
      <w:iCs/>
    </w:rPr>
  </w:style>
  <w:style w:type="character" w:styleId="Hiperhivatkozs">
    <w:name w:val="Hyperlink"/>
    <w:basedOn w:val="Bekezdsalapbettpusa"/>
    <w:uiPriority w:val="99"/>
    <w:unhideWhenUsed/>
    <w:rsid w:val="00363F5F"/>
    <w:rPr>
      <w:color w:val="0000FF"/>
      <w:u w:val="single"/>
    </w:rPr>
  </w:style>
  <w:style w:type="paragraph" w:styleId="NormlWeb">
    <w:name w:val="Normal (Web)"/>
    <w:basedOn w:val="Norml"/>
    <w:uiPriority w:val="99"/>
    <w:unhideWhenUsed/>
    <w:rsid w:val="006E1A60"/>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E67F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67F72"/>
    <w:rPr>
      <w:rFonts w:ascii="Tahoma" w:hAnsi="Tahoma" w:cs="Tahoma"/>
      <w:sz w:val="16"/>
      <w:szCs w:val="16"/>
    </w:rPr>
  </w:style>
  <w:style w:type="paragraph" w:customStyle="1" w:styleId="EndNoteBibliographyTitle">
    <w:name w:val="EndNote Bibliography Title"/>
    <w:basedOn w:val="Norml"/>
    <w:link w:val="EndNoteBibliographyTitleChar"/>
    <w:rsid w:val="00B53B9D"/>
    <w:pPr>
      <w:spacing w:after="0"/>
      <w:jc w:val="center"/>
    </w:pPr>
    <w:rPr>
      <w:rFonts w:ascii="Arial" w:hAnsi="Arial" w:cs="Arial"/>
      <w:noProof/>
    </w:rPr>
  </w:style>
  <w:style w:type="character" w:customStyle="1" w:styleId="EndNoteBibliographyTitleChar">
    <w:name w:val="EndNote Bibliography Title Char"/>
    <w:basedOn w:val="Bekezdsalapbettpusa"/>
    <w:link w:val="EndNoteBibliographyTitle"/>
    <w:rsid w:val="00B53B9D"/>
    <w:rPr>
      <w:rFonts w:ascii="Arial" w:hAnsi="Arial" w:cs="Arial"/>
      <w:noProof/>
    </w:rPr>
  </w:style>
  <w:style w:type="paragraph" w:customStyle="1" w:styleId="EndNoteBibliography">
    <w:name w:val="EndNote Bibliography"/>
    <w:basedOn w:val="Norml"/>
    <w:link w:val="EndNoteBibliographyChar"/>
    <w:rsid w:val="00B53B9D"/>
    <w:pPr>
      <w:spacing w:line="360" w:lineRule="auto"/>
    </w:pPr>
    <w:rPr>
      <w:rFonts w:ascii="Arial" w:hAnsi="Arial" w:cs="Arial"/>
      <w:noProof/>
    </w:rPr>
  </w:style>
  <w:style w:type="character" w:customStyle="1" w:styleId="EndNoteBibliographyChar">
    <w:name w:val="EndNote Bibliography Char"/>
    <w:basedOn w:val="Bekezdsalapbettpusa"/>
    <w:link w:val="EndNoteBibliography"/>
    <w:rsid w:val="00B53B9D"/>
    <w:rPr>
      <w:rFonts w:ascii="Arial" w:hAnsi="Arial" w:cs="Arial"/>
      <w:noProof/>
    </w:rPr>
  </w:style>
  <w:style w:type="paragraph" w:styleId="lfej">
    <w:name w:val="header"/>
    <w:basedOn w:val="Norml"/>
    <w:link w:val="lfejChar"/>
    <w:uiPriority w:val="99"/>
    <w:unhideWhenUsed/>
    <w:rsid w:val="004861AE"/>
    <w:pPr>
      <w:tabs>
        <w:tab w:val="center" w:pos="4703"/>
        <w:tab w:val="right" w:pos="9406"/>
      </w:tabs>
      <w:spacing w:after="0" w:line="240" w:lineRule="auto"/>
    </w:pPr>
  </w:style>
  <w:style w:type="character" w:customStyle="1" w:styleId="lfejChar">
    <w:name w:val="Élőfej Char"/>
    <w:basedOn w:val="Bekezdsalapbettpusa"/>
    <w:link w:val="lfej"/>
    <w:uiPriority w:val="99"/>
    <w:rsid w:val="004861AE"/>
  </w:style>
  <w:style w:type="paragraph" w:styleId="llb">
    <w:name w:val="footer"/>
    <w:basedOn w:val="Norml"/>
    <w:link w:val="llbChar"/>
    <w:uiPriority w:val="99"/>
    <w:unhideWhenUsed/>
    <w:rsid w:val="004861AE"/>
    <w:pPr>
      <w:tabs>
        <w:tab w:val="center" w:pos="4703"/>
        <w:tab w:val="right" w:pos="9406"/>
      </w:tabs>
      <w:spacing w:after="0" w:line="240" w:lineRule="auto"/>
    </w:pPr>
  </w:style>
  <w:style w:type="character" w:customStyle="1" w:styleId="llbChar">
    <w:name w:val="Élőláb Char"/>
    <w:basedOn w:val="Bekezdsalapbettpusa"/>
    <w:link w:val="llb"/>
    <w:uiPriority w:val="99"/>
    <w:rsid w:val="004861AE"/>
  </w:style>
  <w:style w:type="character" w:styleId="Sorszma">
    <w:name w:val="line number"/>
    <w:basedOn w:val="Bekezdsalapbettpusa"/>
    <w:uiPriority w:val="99"/>
    <w:semiHidden/>
    <w:unhideWhenUsed/>
    <w:rsid w:val="000D6A02"/>
  </w:style>
  <w:style w:type="table" w:customStyle="1" w:styleId="Tblzategyszer21">
    <w:name w:val="Táblázat (egyszerű) 21"/>
    <w:basedOn w:val="Normltblzat"/>
    <w:uiPriority w:val="42"/>
    <w:rsid w:val="00B57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Bekezdsalapbettpusa"/>
    <w:rsid w:val="008E4AE3"/>
  </w:style>
  <w:style w:type="paragraph" w:styleId="Lbjegyzetszveg">
    <w:name w:val="footnote text"/>
    <w:basedOn w:val="Norml"/>
    <w:link w:val="LbjegyzetszvegChar"/>
    <w:uiPriority w:val="99"/>
    <w:semiHidden/>
    <w:unhideWhenUsed/>
    <w:rsid w:val="002D0C7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0C77"/>
    <w:rPr>
      <w:sz w:val="20"/>
      <w:szCs w:val="20"/>
    </w:rPr>
  </w:style>
  <w:style w:type="character" w:styleId="Lbjegyzet-hivatkozs">
    <w:name w:val="footnote reference"/>
    <w:basedOn w:val="Bekezdsalapbettpusa"/>
    <w:uiPriority w:val="99"/>
    <w:semiHidden/>
    <w:unhideWhenUsed/>
    <w:rsid w:val="002D0C77"/>
    <w:rPr>
      <w:vertAlign w:val="superscript"/>
    </w:rPr>
  </w:style>
  <w:style w:type="table" w:styleId="Kzepesrnykols2">
    <w:name w:val="Medium Shading 2"/>
    <w:basedOn w:val="Normltblzat"/>
    <w:uiPriority w:val="64"/>
    <w:rsid w:val="008574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zepesrnykols21jellszn">
    <w:name w:val="Medium Shading 2 Accent 1"/>
    <w:basedOn w:val="Normltblzat"/>
    <w:uiPriority w:val="64"/>
    <w:rsid w:val="008574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Vilgosrnykols1jellszn">
    <w:name w:val="Light Shading Accent 1"/>
    <w:basedOn w:val="Normltblzat"/>
    <w:uiPriority w:val="60"/>
    <w:rsid w:val="005047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lgostnus">
    <w:name w:val="Light Shading"/>
    <w:basedOn w:val="Normltblzat"/>
    <w:uiPriority w:val="60"/>
    <w:rsid w:val="005047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5jellszn">
    <w:name w:val="Light Shading Accent 5"/>
    <w:basedOn w:val="Normltblzat"/>
    <w:uiPriority w:val="60"/>
    <w:rsid w:val="00965C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306">
      <w:bodyDiv w:val="1"/>
      <w:marLeft w:val="0"/>
      <w:marRight w:val="0"/>
      <w:marTop w:val="0"/>
      <w:marBottom w:val="0"/>
      <w:divBdr>
        <w:top w:val="none" w:sz="0" w:space="0" w:color="auto"/>
        <w:left w:val="none" w:sz="0" w:space="0" w:color="auto"/>
        <w:bottom w:val="none" w:sz="0" w:space="0" w:color="auto"/>
        <w:right w:val="none" w:sz="0" w:space="0" w:color="auto"/>
      </w:divBdr>
    </w:div>
    <w:div w:id="256525720">
      <w:bodyDiv w:val="1"/>
      <w:marLeft w:val="0"/>
      <w:marRight w:val="0"/>
      <w:marTop w:val="0"/>
      <w:marBottom w:val="0"/>
      <w:divBdr>
        <w:top w:val="none" w:sz="0" w:space="0" w:color="auto"/>
        <w:left w:val="none" w:sz="0" w:space="0" w:color="auto"/>
        <w:bottom w:val="none" w:sz="0" w:space="0" w:color="auto"/>
        <w:right w:val="none" w:sz="0" w:space="0" w:color="auto"/>
      </w:divBdr>
    </w:div>
    <w:div w:id="460269757">
      <w:bodyDiv w:val="1"/>
      <w:marLeft w:val="0"/>
      <w:marRight w:val="0"/>
      <w:marTop w:val="0"/>
      <w:marBottom w:val="0"/>
      <w:divBdr>
        <w:top w:val="none" w:sz="0" w:space="0" w:color="auto"/>
        <w:left w:val="none" w:sz="0" w:space="0" w:color="auto"/>
        <w:bottom w:val="none" w:sz="0" w:space="0" w:color="auto"/>
        <w:right w:val="none" w:sz="0" w:space="0" w:color="auto"/>
      </w:divBdr>
    </w:div>
    <w:div w:id="467675508">
      <w:bodyDiv w:val="1"/>
      <w:marLeft w:val="0"/>
      <w:marRight w:val="0"/>
      <w:marTop w:val="0"/>
      <w:marBottom w:val="0"/>
      <w:divBdr>
        <w:top w:val="none" w:sz="0" w:space="0" w:color="auto"/>
        <w:left w:val="none" w:sz="0" w:space="0" w:color="auto"/>
        <w:bottom w:val="none" w:sz="0" w:space="0" w:color="auto"/>
        <w:right w:val="none" w:sz="0" w:space="0" w:color="auto"/>
      </w:divBdr>
    </w:div>
    <w:div w:id="721444946">
      <w:bodyDiv w:val="1"/>
      <w:marLeft w:val="0"/>
      <w:marRight w:val="0"/>
      <w:marTop w:val="0"/>
      <w:marBottom w:val="0"/>
      <w:divBdr>
        <w:top w:val="none" w:sz="0" w:space="0" w:color="auto"/>
        <w:left w:val="none" w:sz="0" w:space="0" w:color="auto"/>
        <w:bottom w:val="none" w:sz="0" w:space="0" w:color="auto"/>
        <w:right w:val="none" w:sz="0" w:space="0" w:color="auto"/>
      </w:divBdr>
    </w:div>
    <w:div w:id="757169400">
      <w:bodyDiv w:val="1"/>
      <w:marLeft w:val="0"/>
      <w:marRight w:val="0"/>
      <w:marTop w:val="0"/>
      <w:marBottom w:val="0"/>
      <w:divBdr>
        <w:top w:val="none" w:sz="0" w:space="0" w:color="auto"/>
        <w:left w:val="none" w:sz="0" w:space="0" w:color="auto"/>
        <w:bottom w:val="none" w:sz="0" w:space="0" w:color="auto"/>
        <w:right w:val="none" w:sz="0" w:space="0" w:color="auto"/>
      </w:divBdr>
    </w:div>
    <w:div w:id="842359049">
      <w:bodyDiv w:val="1"/>
      <w:marLeft w:val="0"/>
      <w:marRight w:val="0"/>
      <w:marTop w:val="0"/>
      <w:marBottom w:val="0"/>
      <w:divBdr>
        <w:top w:val="none" w:sz="0" w:space="0" w:color="auto"/>
        <w:left w:val="none" w:sz="0" w:space="0" w:color="auto"/>
        <w:bottom w:val="none" w:sz="0" w:space="0" w:color="auto"/>
        <w:right w:val="none" w:sz="0" w:space="0" w:color="auto"/>
      </w:divBdr>
    </w:div>
    <w:div w:id="893202021">
      <w:bodyDiv w:val="1"/>
      <w:marLeft w:val="0"/>
      <w:marRight w:val="0"/>
      <w:marTop w:val="0"/>
      <w:marBottom w:val="0"/>
      <w:divBdr>
        <w:top w:val="none" w:sz="0" w:space="0" w:color="auto"/>
        <w:left w:val="none" w:sz="0" w:space="0" w:color="auto"/>
        <w:bottom w:val="none" w:sz="0" w:space="0" w:color="auto"/>
        <w:right w:val="none" w:sz="0" w:space="0" w:color="auto"/>
      </w:divBdr>
    </w:div>
    <w:div w:id="964431298">
      <w:bodyDiv w:val="1"/>
      <w:marLeft w:val="0"/>
      <w:marRight w:val="0"/>
      <w:marTop w:val="0"/>
      <w:marBottom w:val="0"/>
      <w:divBdr>
        <w:top w:val="none" w:sz="0" w:space="0" w:color="auto"/>
        <w:left w:val="none" w:sz="0" w:space="0" w:color="auto"/>
        <w:bottom w:val="none" w:sz="0" w:space="0" w:color="auto"/>
        <w:right w:val="none" w:sz="0" w:space="0" w:color="auto"/>
      </w:divBdr>
    </w:div>
    <w:div w:id="1172183719">
      <w:bodyDiv w:val="1"/>
      <w:marLeft w:val="0"/>
      <w:marRight w:val="0"/>
      <w:marTop w:val="0"/>
      <w:marBottom w:val="0"/>
      <w:divBdr>
        <w:top w:val="none" w:sz="0" w:space="0" w:color="auto"/>
        <w:left w:val="none" w:sz="0" w:space="0" w:color="auto"/>
        <w:bottom w:val="none" w:sz="0" w:space="0" w:color="auto"/>
        <w:right w:val="none" w:sz="0" w:space="0" w:color="auto"/>
      </w:divBdr>
    </w:div>
    <w:div w:id="1194804225">
      <w:bodyDiv w:val="1"/>
      <w:marLeft w:val="0"/>
      <w:marRight w:val="0"/>
      <w:marTop w:val="0"/>
      <w:marBottom w:val="0"/>
      <w:divBdr>
        <w:top w:val="none" w:sz="0" w:space="0" w:color="auto"/>
        <w:left w:val="none" w:sz="0" w:space="0" w:color="auto"/>
        <w:bottom w:val="none" w:sz="0" w:space="0" w:color="auto"/>
        <w:right w:val="none" w:sz="0" w:space="0" w:color="auto"/>
      </w:divBdr>
    </w:div>
    <w:div w:id="1385328362">
      <w:bodyDiv w:val="1"/>
      <w:marLeft w:val="0"/>
      <w:marRight w:val="0"/>
      <w:marTop w:val="0"/>
      <w:marBottom w:val="0"/>
      <w:divBdr>
        <w:top w:val="none" w:sz="0" w:space="0" w:color="auto"/>
        <w:left w:val="none" w:sz="0" w:space="0" w:color="auto"/>
        <w:bottom w:val="none" w:sz="0" w:space="0" w:color="auto"/>
        <w:right w:val="none" w:sz="0" w:space="0" w:color="auto"/>
      </w:divBdr>
    </w:div>
    <w:div w:id="1389301006">
      <w:bodyDiv w:val="1"/>
      <w:marLeft w:val="0"/>
      <w:marRight w:val="0"/>
      <w:marTop w:val="0"/>
      <w:marBottom w:val="0"/>
      <w:divBdr>
        <w:top w:val="none" w:sz="0" w:space="0" w:color="auto"/>
        <w:left w:val="none" w:sz="0" w:space="0" w:color="auto"/>
        <w:bottom w:val="none" w:sz="0" w:space="0" w:color="auto"/>
        <w:right w:val="none" w:sz="0" w:space="0" w:color="auto"/>
      </w:divBdr>
    </w:div>
    <w:div w:id="1582368555">
      <w:bodyDiv w:val="1"/>
      <w:marLeft w:val="0"/>
      <w:marRight w:val="0"/>
      <w:marTop w:val="0"/>
      <w:marBottom w:val="0"/>
      <w:divBdr>
        <w:top w:val="none" w:sz="0" w:space="0" w:color="auto"/>
        <w:left w:val="none" w:sz="0" w:space="0" w:color="auto"/>
        <w:bottom w:val="none" w:sz="0" w:space="0" w:color="auto"/>
        <w:right w:val="none" w:sz="0" w:space="0" w:color="auto"/>
      </w:divBdr>
    </w:div>
    <w:div w:id="1620792083">
      <w:bodyDiv w:val="1"/>
      <w:marLeft w:val="0"/>
      <w:marRight w:val="0"/>
      <w:marTop w:val="0"/>
      <w:marBottom w:val="0"/>
      <w:divBdr>
        <w:top w:val="none" w:sz="0" w:space="0" w:color="auto"/>
        <w:left w:val="none" w:sz="0" w:space="0" w:color="auto"/>
        <w:bottom w:val="none" w:sz="0" w:space="0" w:color="auto"/>
        <w:right w:val="none" w:sz="0" w:space="0" w:color="auto"/>
      </w:divBdr>
    </w:div>
    <w:div w:id="1792549948">
      <w:bodyDiv w:val="1"/>
      <w:marLeft w:val="0"/>
      <w:marRight w:val="0"/>
      <w:marTop w:val="0"/>
      <w:marBottom w:val="0"/>
      <w:divBdr>
        <w:top w:val="none" w:sz="0" w:space="0" w:color="auto"/>
        <w:left w:val="none" w:sz="0" w:space="0" w:color="auto"/>
        <w:bottom w:val="none" w:sz="0" w:space="0" w:color="auto"/>
        <w:right w:val="none" w:sz="0" w:space="0" w:color="auto"/>
      </w:divBdr>
    </w:div>
    <w:div w:id="1795294500">
      <w:bodyDiv w:val="1"/>
      <w:marLeft w:val="0"/>
      <w:marRight w:val="0"/>
      <w:marTop w:val="0"/>
      <w:marBottom w:val="0"/>
      <w:divBdr>
        <w:top w:val="none" w:sz="0" w:space="0" w:color="auto"/>
        <w:left w:val="none" w:sz="0" w:space="0" w:color="auto"/>
        <w:bottom w:val="none" w:sz="0" w:space="0" w:color="auto"/>
        <w:right w:val="none" w:sz="0" w:space="0" w:color="auto"/>
      </w:divBdr>
    </w:div>
    <w:div w:id="1797021020">
      <w:bodyDiv w:val="1"/>
      <w:marLeft w:val="0"/>
      <w:marRight w:val="0"/>
      <w:marTop w:val="0"/>
      <w:marBottom w:val="0"/>
      <w:divBdr>
        <w:top w:val="none" w:sz="0" w:space="0" w:color="auto"/>
        <w:left w:val="none" w:sz="0" w:space="0" w:color="auto"/>
        <w:bottom w:val="none" w:sz="0" w:space="0" w:color="auto"/>
        <w:right w:val="none" w:sz="0" w:space="0" w:color="auto"/>
      </w:divBdr>
    </w:div>
    <w:div w:id="1888563941">
      <w:bodyDiv w:val="1"/>
      <w:marLeft w:val="0"/>
      <w:marRight w:val="0"/>
      <w:marTop w:val="0"/>
      <w:marBottom w:val="0"/>
      <w:divBdr>
        <w:top w:val="none" w:sz="0" w:space="0" w:color="auto"/>
        <w:left w:val="none" w:sz="0" w:space="0" w:color="auto"/>
        <w:bottom w:val="none" w:sz="0" w:space="0" w:color="auto"/>
        <w:right w:val="none" w:sz="0" w:space="0" w:color="auto"/>
      </w:divBdr>
    </w:div>
    <w:div w:id="19324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BBFD-1965-4DA2-A499-491FC79A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43</Pages>
  <Words>30936</Words>
  <Characters>176340</Characters>
  <Application>Microsoft Office Word</Application>
  <DocSecurity>0</DocSecurity>
  <Lines>1469</Lines>
  <Paragraphs>413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Böröcz Katalin</dc:creator>
  <cp:lastModifiedBy>Böröcz Katalin</cp:lastModifiedBy>
  <cp:revision>106</cp:revision>
  <dcterms:created xsi:type="dcterms:W3CDTF">2019-10-29T11:36:00Z</dcterms:created>
  <dcterms:modified xsi:type="dcterms:W3CDTF">2019-10-30T12:53:00Z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http://www.zotero.org/styles/epidemiology-and-infection</vt:lpwstr>
  </property>
  <property fmtid="{D5CDD505-2E9C-101B-9397-08002B2CF9AE}" pid="7" name="Mendeley Recent Style Name 2_1">
    <vt:lpwstr>Epidemiology &amp; Infection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http://www.zotero.org/styles/journal-of-immunological-methods</vt:lpwstr>
  </property>
  <property fmtid="{D5CDD505-2E9C-101B-9397-08002B2CF9AE}" pid="11" name="Mendeley Recent Style Name 4_1">
    <vt:lpwstr>Journal of Immunological Methods</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http://www.zotero.org/styles/vaccine</vt:lpwstr>
  </property>
  <property fmtid="{D5CDD505-2E9C-101B-9397-08002B2CF9AE}" pid="19" name="Mendeley Recent Style Name 8_1">
    <vt:lpwstr>Vaccine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ae063d2a-3f6c-3ccd-9a50-73a34d796eaf</vt:lpwstr>
  </property>
  <property fmtid="{D5CDD505-2E9C-101B-9397-08002B2CF9AE}" pid="24" name="Mendeley Citation Style_1">
    <vt:lpwstr>http://www.zotero.org/styles/epidemiology-and-infection</vt:lpwstr>
  </property>
</Properties>
</file>