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673A9" w14:textId="164F8917" w:rsidR="0056661A" w:rsidRPr="0056661A" w:rsidRDefault="0056661A" w:rsidP="00EA4E30">
      <w:pPr>
        <w:jc w:val="center"/>
        <w:rPr>
          <w:rFonts w:cs="Times New Roman"/>
          <w:bCs/>
          <w:i/>
          <w:iCs/>
          <w:szCs w:val="24"/>
        </w:rPr>
      </w:pPr>
      <w:bookmarkStart w:id="0" w:name="_GoBack"/>
      <w:bookmarkEnd w:id="0"/>
      <w:r w:rsidRPr="0056661A">
        <w:rPr>
          <w:rFonts w:cs="Times New Roman"/>
          <w:bCs/>
          <w:i/>
          <w:iCs/>
          <w:szCs w:val="24"/>
        </w:rPr>
        <w:t>Epidemiology and Infection</w:t>
      </w:r>
    </w:p>
    <w:p w14:paraId="678772BA" w14:textId="77777777" w:rsidR="0056661A" w:rsidRDefault="0056661A" w:rsidP="0056661A">
      <w:pPr>
        <w:jc w:val="center"/>
        <w:rPr>
          <w:b/>
          <w:sz w:val="28"/>
          <w:szCs w:val="28"/>
        </w:rPr>
      </w:pPr>
      <w:r w:rsidRPr="0056661A">
        <w:rPr>
          <w:b/>
          <w:sz w:val="28"/>
          <w:szCs w:val="28"/>
        </w:rPr>
        <w:t>Strategic investment in tuberculosis control in the</w:t>
      </w:r>
      <w:r>
        <w:rPr>
          <w:b/>
          <w:sz w:val="28"/>
          <w:szCs w:val="28"/>
        </w:rPr>
        <w:t xml:space="preserve"> </w:t>
      </w:r>
      <w:r w:rsidRPr="0056661A">
        <w:rPr>
          <w:b/>
          <w:sz w:val="28"/>
          <w:szCs w:val="28"/>
        </w:rPr>
        <w:t>Republic of Bulgaria</w:t>
      </w:r>
    </w:p>
    <w:p w14:paraId="6D9ACD5D" w14:textId="320BE4FE" w:rsidR="0056661A" w:rsidRPr="0056661A" w:rsidRDefault="0056661A" w:rsidP="0056661A">
      <w:pPr>
        <w:jc w:val="center"/>
        <w:rPr>
          <w:bCs/>
          <w:szCs w:val="24"/>
        </w:rPr>
      </w:pPr>
      <w:r w:rsidRPr="0056661A">
        <w:rPr>
          <w:bCs/>
          <w:szCs w:val="24"/>
        </w:rPr>
        <w:t xml:space="preserve">T. N. Doan, T. Varleva, M. Zamfirova, M. Tyufekchieva, A. Keshelava, K. Hristov, A. Yaneva, B. Gadzheva, S. Zhang, S. Irbe, R. Ragonnet, E. S. McBryde, J. M. Trauer </w:t>
      </w:r>
    </w:p>
    <w:p w14:paraId="6785B20E" w14:textId="6FABBE75" w:rsidR="00284C14" w:rsidRPr="0056661A" w:rsidRDefault="00623C2F" w:rsidP="00EA4E30">
      <w:pPr>
        <w:jc w:val="center"/>
        <w:rPr>
          <w:rFonts w:cs="Times New Roman"/>
          <w:b/>
          <w:sz w:val="28"/>
          <w:szCs w:val="28"/>
        </w:rPr>
      </w:pPr>
      <w:r w:rsidRPr="0056661A">
        <w:rPr>
          <w:rFonts w:cs="Times New Roman"/>
          <w:b/>
          <w:sz w:val="28"/>
          <w:szCs w:val="28"/>
        </w:rPr>
        <w:t>Supplementary Material</w:t>
      </w:r>
    </w:p>
    <w:p w14:paraId="013C4CE4" w14:textId="0EB17D91" w:rsidR="002C05F2" w:rsidRPr="002C05F2" w:rsidRDefault="002C05F2" w:rsidP="000F7DAD">
      <w:pPr>
        <w:pStyle w:val="Title"/>
        <w:pBdr>
          <w:bottom w:val="single" w:sz="8" w:space="5" w:color="5B9BD5" w:themeColor="accent1"/>
        </w:pBdr>
        <w:rPr>
          <w:rFonts w:ascii="Times New Roman" w:hAnsi="Times New Roman" w:cs="Times New Roman"/>
          <w:b/>
          <w:sz w:val="36"/>
        </w:rPr>
      </w:pPr>
    </w:p>
    <w:p w14:paraId="4A39A4E3" w14:textId="77777777" w:rsidR="00AB4904" w:rsidRDefault="00AB4904" w:rsidP="00AB4904">
      <w:pPr>
        <w:pStyle w:val="Heading1"/>
        <w:numPr>
          <w:ilvl w:val="0"/>
          <w:numId w:val="9"/>
        </w:numPr>
      </w:pPr>
      <w:r>
        <w:t>General approach</w:t>
      </w:r>
    </w:p>
    <w:p w14:paraId="6EDF0354" w14:textId="779C79B4" w:rsidR="003C556B" w:rsidRDefault="00AB4904" w:rsidP="00AB4904">
      <w:r>
        <w:t>This Supplement describes our approach to simulatin</w:t>
      </w:r>
      <w:r w:rsidR="000F7DAD">
        <w:t>g the TB epidemic in Bulgaria</w:t>
      </w:r>
      <w:r w:rsidR="00A858E1">
        <w:t xml:space="preserve">. We introduced this approach </w:t>
      </w:r>
      <w:r>
        <w:t xml:space="preserve">in our </w:t>
      </w:r>
      <w:r w:rsidR="000F7DAD">
        <w:t xml:space="preserve">earlier </w:t>
      </w:r>
      <w:r>
        <w:t>publication</w:t>
      </w:r>
      <w:r w:rsidR="000F7DAD">
        <w:t xml:space="preserve"> which focused on the computational and technical aspects of our approach.</w:t>
      </w:r>
      <w:r>
        <w:fldChar w:fldCharType="begin" w:fldLock="1"/>
      </w:r>
      <w:r>
        <w:instrText>ADDIN CSL_CITATION { "citationItems" : [ { "id" : "ITEM-1", "itemData" : { "DOI" : "10.1186/s12879-017-2648-6", "ISSN" : "1471-2334", "abstract" : "Tuberculosis (TB) is now the world\u2019s leading infectious killer and major programmatic advances will be needed if we are to meet the ambitious new End TB Targets. Although mathematical models are powerful tools for TB control, such models must be flexible enough to capture the complexity and heterogeneity of the global TB epidemic. This includes simulating a disease that affects age groups and other risk groups differently, has varying levels of infectiousness depending upon the organ involved and varying outcomes from treatment depending on the drug resistance pattern of the infecting strain. We adopted sound basic principles of software engineering to develop a modular software platform for simulation of TB control interventions (\u201cAuTuMN\u201d). These included object-oriented programming, logical linkage between modules and consistency of code syntax and variable naming. The underlying transmission dynamic model incorporates optional stratification by age, risk group, strain and organ involvement, while our approach to simulating time-variant programmatic parameters better captures the historical progression of the epidemic. An economic model is overlaid upon this epidemiological model which facilitates comparison between new and existing technologies. A \u201cModel runner\u201d module allows for predictions of future disease burden trajectories under alternative scenario situations, as well as uncertainty, automatic calibration, cost-effectiveness and optimisation. The model has now been used to guide TB control strategies across a range of settings and countries, with our modular approach enabling repeated application of the tool without the need for extensive modification for each application. The modular construction of the platform minimises errors, enhances readability and collaboration between multiple programmers and enables rapid adaptation to answer questions in a broad range of contexts without the need for extensive re-programming. Such features are particularly important in simulating an epidemic as complex and diverse as TB.", "author" : [ { "dropping-particle" : "", "family" : "Trauer", "given" : "James McCracken", "non-dropping-particle" : "", "parse-names" : false, "suffix" : "" }, { "dropping-particle" : "", "family" : "Ragonnet", "given" : "Romain", "non-dropping-particle" : "", "parse-names" : false, "suffix" : "" }, { "dropping-particle" : "", "family" : "Doan", "given" : "Tan Nhut", "non-dropping-particle" : "", "parse-names" : false, "suffix" : "" }, { "dropping-particle" : "", "family" : "McBryde", "given" : "Emma Sue", "non-dropping-particle" : "", "parse-names" : false, "suffix" : "" } ], "container-title" : "BMC Infectious Diseases", "id" : "ITEM-1", "issue" : "1", "issued" : { "date-parts" : [ [ "2017", "12", "7" ] ] }, "page" : "546", "publisher" : "BioMed Central", "title" : "Modular programming for tuberculosis control, the \u201cAuTuMN\u201d platform", "type" : "article-journal", "volume" : "17" }, "uris" : [ "http://www.mendeley.com/documents/?uuid=c6d17a99-b876-4320-a6e9-f2f269bbfe2f" ] } ], "mendeley" : { "formattedCitation" : "&lt;sup&gt;1&lt;/sup&gt;", "plainTextFormattedCitation" : "1", "previouslyFormattedCitation" : "&lt;sup&gt;1&lt;/sup&gt;" }, "properties" : { "noteIndex" : 0 }, "schema" : "https://github.com/citation-style-language/schema/raw/master/csl-citation.json" }</w:instrText>
      </w:r>
      <w:r>
        <w:fldChar w:fldCharType="separate"/>
      </w:r>
      <w:r w:rsidRPr="00EE2D5E">
        <w:rPr>
          <w:noProof/>
          <w:vertAlign w:val="superscript"/>
        </w:rPr>
        <w:t>1</w:t>
      </w:r>
      <w:r>
        <w:fldChar w:fldCharType="end"/>
      </w:r>
      <w:r w:rsidR="003C556B">
        <w:t xml:space="preserve"> This previous publication </w:t>
      </w:r>
      <w:r w:rsidR="002F14EC">
        <w:t>presents</w:t>
      </w:r>
      <w:r w:rsidR="003C556B">
        <w:t xml:space="preserve"> the structure of the code</w:t>
      </w:r>
      <w:r w:rsidR="009D289B">
        <w:t xml:space="preserve"> </w:t>
      </w:r>
      <w:r w:rsidR="003C556B">
        <w:t>base (</w:t>
      </w:r>
      <w:r w:rsidR="009D289B">
        <w:t>including providing the</w:t>
      </w:r>
      <w:r w:rsidR="003C556B">
        <w:t xml:space="preserve"> code framewor</w:t>
      </w:r>
      <w:r w:rsidR="009D289B">
        <w:t>k as an open access repository),</w:t>
      </w:r>
      <w:r w:rsidR="00147BE4">
        <w:t xml:space="preserve"> </w:t>
      </w:r>
      <w:r w:rsidR="003C556B">
        <w:t>the principles for how model compartments interact and the details of the logistic function that relates intervention spending to coverage.</w:t>
      </w:r>
    </w:p>
    <w:p w14:paraId="202CBA3C" w14:textId="4420A10F" w:rsidR="00AB4904" w:rsidRDefault="00147BE4" w:rsidP="00AB4904">
      <w:r>
        <w:t>Briefly to introduce the epidemiological model</w:t>
      </w:r>
      <w:r w:rsidR="000F7DAD">
        <w:t>, w</w:t>
      </w:r>
      <w:r w:rsidR="00AB4904">
        <w:t xml:space="preserve">e developed a flexible modelling platform that first divides the population into compartments </w:t>
      </w:r>
      <w:r w:rsidR="009D289B">
        <w:t>concerning</w:t>
      </w:r>
      <w:r w:rsidR="00AB4904">
        <w:t xml:space="preserve"> their status</w:t>
      </w:r>
      <w:r w:rsidR="009D289B">
        <w:t xml:space="preserve"> in relation to </w:t>
      </w:r>
      <w:r w:rsidR="009D289B">
        <w:rPr>
          <w:i/>
        </w:rPr>
        <w:t xml:space="preserve">Mycobacterium tuberculosis </w:t>
      </w:r>
      <w:r w:rsidR="009D289B">
        <w:t>(</w:t>
      </w:r>
      <w:r w:rsidR="009D289B">
        <w:rPr>
          <w:i/>
        </w:rPr>
        <w:t>Mtb</w:t>
      </w:r>
      <w:r w:rsidR="009D289B">
        <w:t>) infection and TB disease. S</w:t>
      </w:r>
      <w:r w:rsidR="00AB4904">
        <w:t>pecifically</w:t>
      </w:r>
      <w:r w:rsidR="009D289B">
        <w:t>, these are</w:t>
      </w:r>
      <w:r w:rsidR="00AB4904">
        <w:t xml:space="preserve">: </w:t>
      </w:r>
      <w:r w:rsidR="00B23F43">
        <w:t>fully susceptible, partially immune susceptible</w:t>
      </w:r>
      <w:r w:rsidR="00AB4904">
        <w:t xml:space="preserve">, early latent, active, detected, </w:t>
      </w:r>
      <w:r w:rsidR="00B23F43">
        <w:t xml:space="preserve">missed, early treatment, late treatment, </w:t>
      </w:r>
      <w:r w:rsidR="00AB4904">
        <w:t xml:space="preserve">recovered </w:t>
      </w:r>
      <w:r w:rsidR="00B23F43">
        <w:t>and</w:t>
      </w:r>
      <w:r w:rsidR="009D289B">
        <w:t xml:space="preserve"> receiving</w:t>
      </w:r>
      <w:r w:rsidR="00B23F43">
        <w:t xml:space="preserve"> preventive therapy population </w:t>
      </w:r>
      <w:r w:rsidR="00AB4904">
        <w:t xml:space="preserve">groups </w:t>
      </w:r>
      <w:r w:rsidR="00B23F43">
        <w:t>(</w:t>
      </w:r>
      <w:r w:rsidR="00AB4904">
        <w:t>or compartments</w:t>
      </w:r>
      <w:r w:rsidR="00B23F43">
        <w:t>)</w:t>
      </w:r>
      <w:r w:rsidR="00AB4904">
        <w:t>.</w:t>
      </w:r>
      <w:r>
        <w:t xml:space="preserve"> </w:t>
      </w:r>
      <w:r w:rsidR="00AB4904">
        <w:t>The entire population is stratified according to</w:t>
      </w:r>
      <w:r w:rsidR="00C37E97">
        <w:t xml:space="preserve"> </w:t>
      </w:r>
      <w:r w:rsidR="00AB4904">
        <w:t xml:space="preserve">age groups and treatment history groups (new and retreatment), with these stratifications applied to all population groups and compartments, such that these </w:t>
      </w:r>
      <w:r w:rsidR="00C37E97">
        <w:t xml:space="preserve">two </w:t>
      </w:r>
      <w:r w:rsidR="00AB4904">
        <w:t xml:space="preserve">stratifications are fully multiplicative (except that there can be no </w:t>
      </w:r>
      <w:r w:rsidR="009D289B">
        <w:t xml:space="preserve">fully </w:t>
      </w:r>
      <w:r w:rsidR="00AB4904">
        <w:t xml:space="preserve">susceptible retreatment group). </w:t>
      </w:r>
      <w:r w:rsidR="00C37E97">
        <w:t xml:space="preserve">Risk group stratification is applied to all age groups, except that no prisoners under 15 and no diabetics under 25 are allowed, but is otherwise a multiplicative stratification. </w:t>
      </w:r>
      <w:r w:rsidR="00AB4904">
        <w:t>Stratification by access to care of variable quality (which is</w:t>
      </w:r>
      <w:r w:rsidR="009D289B">
        <w:t xml:space="preserve"> a previously used</w:t>
      </w:r>
      <w:r w:rsidR="00AB4904">
        <w:t xml:space="preserve"> option </w:t>
      </w:r>
      <w:r w:rsidR="009D289B">
        <w:t xml:space="preserve">of </w:t>
      </w:r>
      <w:r w:rsidR="00AB4904">
        <w:t xml:space="preserve">the AuTuMN platform) </w:t>
      </w:r>
      <w:r w:rsidR="004B5C69">
        <w:t>is</w:t>
      </w:r>
      <w:r w:rsidR="00AB4904">
        <w:t xml:space="preserve"> not applicable to this application to Bulgaria. Stratification by organ manifestation (smear-positive, smear-negative and extrapulmonary) is applied only to the compartments that represent active disease, and hence is not applied to </w:t>
      </w:r>
      <w:r w:rsidR="004B5C69">
        <w:t xml:space="preserve">the </w:t>
      </w:r>
      <w:r w:rsidR="00AB4904">
        <w:t>susceptible, latently infected and recovered groups.</w:t>
      </w:r>
    </w:p>
    <w:p w14:paraId="6EF16224" w14:textId="40C31F77" w:rsidR="00AB4904" w:rsidRDefault="00AB4904" w:rsidP="00AB4904">
      <w:r>
        <w:lastRenderedPageBreak/>
        <w:t>Model parameters may be time-variant and informed by reported data over multiple time points or constant throughout a model run. Of the constant parameters, some are varied from run to run during the calibration process, while the remainder remain fixed throughout</w:t>
      </w:r>
      <w:r w:rsidR="009D289B">
        <w:t xml:space="preserve"> all simulations</w:t>
      </w:r>
      <w:r>
        <w:t xml:space="preserve">. This is intended to capture a high degree of historical consistency with TB epidemiology in </w:t>
      </w:r>
      <w:r w:rsidR="00185140">
        <w:t>Bulgaria</w:t>
      </w:r>
      <w:r>
        <w:t>, incorporating both TB-related and demographic aspects.</w:t>
      </w:r>
    </w:p>
    <w:p w14:paraId="43619667" w14:textId="77777777" w:rsidR="009D289B" w:rsidRDefault="00AB4904" w:rsidP="00AB4904">
      <w:r>
        <w:t>Last, our approach to calibration allows for variation in highly uncertain epidemiological quantities relevant to TB transmission, permitting both model calibration and quantification of the uncertainty around baseline extrapolations of the t</w:t>
      </w:r>
      <w:r w:rsidR="009D289B">
        <w:t>rajectory of TB burden markers.</w:t>
      </w:r>
    </w:p>
    <w:p w14:paraId="3D4EF0D2" w14:textId="3B2B0F6A" w:rsidR="00AB4904" w:rsidRDefault="00AB4904" w:rsidP="00AB4904">
      <w:r>
        <w:t xml:space="preserve">By contrast, to quantify uncertainty around the effects of interventions, we do not consider the uncertainty around disease-specific model parameters, aiming instead to isolate and quantify </w:t>
      </w:r>
      <w:r w:rsidR="003C2CAF">
        <w:t xml:space="preserve">the </w:t>
      </w:r>
      <w:r>
        <w:t>uncertainty relating to the evidence for the interventions alone.</w:t>
      </w:r>
      <w:r w:rsidR="009D289B">
        <w:t xml:space="preserve"> This is achieved by varying a small number of parameters specifically related to the intervention of interest using a Latin Hypercube sampling approach to fully explore their plausible ranges. This process of quantifying uncertainty in intervention impact is undertaken after model calibration has been completed and the final calibration values of these parameters remain fixed throughout this intervention uncertainty process.</w:t>
      </w:r>
    </w:p>
    <w:p w14:paraId="2590B2B3" w14:textId="72026EFF" w:rsidR="00A51F99" w:rsidRDefault="00267F64" w:rsidP="00AB4904">
      <w:pPr>
        <w:pStyle w:val="Heading1"/>
        <w:numPr>
          <w:ilvl w:val="0"/>
          <w:numId w:val="9"/>
        </w:numPr>
      </w:pPr>
      <w:bookmarkStart w:id="1" w:name="_Ref521067299"/>
      <w:r>
        <w:t>P</w:t>
      </w:r>
      <w:r w:rsidR="00A51F99">
        <w:t>arameter</w:t>
      </w:r>
      <w:r>
        <w:t xml:space="preserve"> type</w:t>
      </w:r>
      <w:r w:rsidR="00A51F99">
        <w:t>s</w:t>
      </w:r>
      <w:bookmarkEnd w:id="1"/>
    </w:p>
    <w:p w14:paraId="1F133895" w14:textId="42F2B05C" w:rsidR="003C2CAF" w:rsidRDefault="003C2CAF" w:rsidP="003C2CAF">
      <w:r>
        <w:t xml:space="preserve">There are </w:t>
      </w:r>
      <w:r w:rsidR="009D289B">
        <w:t>five</w:t>
      </w:r>
      <w:r>
        <w:t xml:space="preserve"> broad types of parameters implemented:</w:t>
      </w:r>
    </w:p>
    <w:p w14:paraId="3F6E6EBE" w14:textId="77777777" w:rsidR="003C2CAF" w:rsidRDefault="003C2CAF" w:rsidP="003C2CAF">
      <w:pPr>
        <w:pStyle w:val="ListParagraph"/>
        <w:numPr>
          <w:ilvl w:val="0"/>
          <w:numId w:val="11"/>
        </w:numPr>
      </w:pPr>
      <w:r>
        <w:t>Constant parameters</w:t>
      </w:r>
    </w:p>
    <w:p w14:paraId="0A9B34DC" w14:textId="10639245" w:rsidR="003C2CAF" w:rsidRDefault="003C2CAF" w:rsidP="003C2CAF">
      <w:pPr>
        <w:pStyle w:val="ListParagraph"/>
        <w:numPr>
          <w:ilvl w:val="1"/>
          <w:numId w:val="11"/>
        </w:numPr>
      </w:pPr>
      <w:r>
        <w:t>These parameters are set to a constant value</w:t>
      </w:r>
      <w:r w:rsidR="000D0F7B">
        <w:t>, both</w:t>
      </w:r>
      <w:r>
        <w:t xml:space="preserve"> throughout </w:t>
      </w:r>
      <w:r w:rsidR="000D0F7B">
        <w:t xml:space="preserve">historical </w:t>
      </w:r>
      <w:r>
        <w:t>time during the course of a model run</w:t>
      </w:r>
      <w:r w:rsidR="000D0F7B">
        <w:t>,</w:t>
      </w:r>
      <w:r>
        <w:t xml:space="preserve"> over </w:t>
      </w:r>
      <w:r w:rsidR="000D0F7B">
        <w:t xml:space="preserve">the series of model </w:t>
      </w:r>
      <w:r>
        <w:t xml:space="preserve">runs </w:t>
      </w:r>
      <w:r w:rsidR="000D0F7B">
        <w:t xml:space="preserve">constituting </w:t>
      </w:r>
      <w:r w:rsidR="00F92AC3">
        <w:t>an uncertainty simulation and throughout intervention uncertainty.</w:t>
      </w:r>
    </w:p>
    <w:p w14:paraId="7F479A7C" w14:textId="77777777" w:rsidR="003C2CAF" w:rsidRDefault="003C2CAF" w:rsidP="003C2CAF">
      <w:pPr>
        <w:pStyle w:val="ListParagraph"/>
        <w:numPr>
          <w:ilvl w:val="0"/>
          <w:numId w:val="11"/>
        </w:numPr>
      </w:pPr>
      <w:r>
        <w:t>Calibration parameters</w:t>
      </w:r>
    </w:p>
    <w:p w14:paraId="78FE7A95" w14:textId="5CE487CA" w:rsidR="003C2CAF" w:rsidRDefault="003C2CAF" w:rsidP="003C2CAF">
      <w:pPr>
        <w:pStyle w:val="ListParagraph"/>
        <w:numPr>
          <w:ilvl w:val="1"/>
          <w:numId w:val="11"/>
        </w:numPr>
      </w:pPr>
      <w:r>
        <w:t>These parameters are a limited set of time-invariant parameters (five in this application), which are varied between consecutive runs of the model during the process of calibration and estimation of epidemiological uncertainty.</w:t>
      </w:r>
    </w:p>
    <w:p w14:paraId="55B1A9C7" w14:textId="77777777" w:rsidR="003C2CAF" w:rsidRDefault="003C2CAF" w:rsidP="003C2CAF">
      <w:pPr>
        <w:pStyle w:val="ListParagraph"/>
        <w:numPr>
          <w:ilvl w:val="0"/>
          <w:numId w:val="11"/>
        </w:numPr>
      </w:pPr>
      <w:bookmarkStart w:id="2" w:name="_Ref521586399"/>
      <w:r>
        <w:t>Time-variant parameters</w:t>
      </w:r>
      <w:bookmarkEnd w:id="2"/>
    </w:p>
    <w:p w14:paraId="1BCB16AE" w14:textId="31CED179" w:rsidR="003C2CAF" w:rsidRDefault="003C2CAF" w:rsidP="003C2CAF">
      <w:pPr>
        <w:pStyle w:val="ListParagraph"/>
        <w:numPr>
          <w:ilvl w:val="1"/>
          <w:numId w:val="11"/>
        </w:numPr>
      </w:pPr>
      <w:r>
        <w:t xml:space="preserve">Functions mapping parameter values to time are created by fitting to multiple data points provided for different times. This approach allows programmatic parameters to vary in </w:t>
      </w:r>
      <w:r w:rsidR="000D0F7B">
        <w:t>a way that reflects the</w:t>
      </w:r>
      <w:r>
        <w:t xml:space="preserve"> programmatic history of </w:t>
      </w:r>
      <w:r w:rsidR="000D0F7B">
        <w:t xml:space="preserve">TB control in </w:t>
      </w:r>
      <w:r>
        <w:t>Bulgaria and so enhances realism.</w:t>
      </w:r>
    </w:p>
    <w:p w14:paraId="5931CD74" w14:textId="617ADD82" w:rsidR="003C2CAF" w:rsidRDefault="003C2CAF" w:rsidP="003C2CAF">
      <w:pPr>
        <w:pStyle w:val="ListParagraph"/>
        <w:numPr>
          <w:ilvl w:val="1"/>
          <w:numId w:val="11"/>
        </w:numPr>
      </w:pPr>
      <w:r>
        <w:lastRenderedPageBreak/>
        <w:t xml:space="preserve">Polynomial spline fitting techniques are used </w:t>
      </w:r>
      <w:r w:rsidR="000D0F7B">
        <w:t xml:space="preserve">to fit curves to available data and presented in Section </w:t>
      </w:r>
      <w:r w:rsidR="000D0F7B">
        <w:fldChar w:fldCharType="begin"/>
      </w:r>
      <w:r w:rsidR="000D0F7B">
        <w:instrText xml:space="preserve"> REF _Ref521586399 \r \h </w:instrText>
      </w:r>
      <w:r w:rsidR="000D0F7B">
        <w:fldChar w:fldCharType="separate"/>
      </w:r>
      <w:r w:rsidR="000D0F7B">
        <w:t>3</w:t>
      </w:r>
      <w:r w:rsidR="000D0F7B">
        <w:fldChar w:fldCharType="end"/>
      </w:r>
      <w:r w:rsidR="000D0F7B">
        <w:t>.</w:t>
      </w:r>
    </w:p>
    <w:p w14:paraId="66A3B67A" w14:textId="77777777" w:rsidR="003C2CAF" w:rsidRDefault="003C2CAF" w:rsidP="003C2CAF">
      <w:pPr>
        <w:pStyle w:val="ListParagraph"/>
        <w:numPr>
          <w:ilvl w:val="0"/>
          <w:numId w:val="11"/>
        </w:numPr>
      </w:pPr>
      <w:bookmarkStart w:id="3" w:name="_Ref504309355"/>
      <w:r>
        <w:t>Calculated parameters</w:t>
      </w:r>
      <w:bookmarkEnd w:id="3"/>
    </w:p>
    <w:p w14:paraId="319C5045" w14:textId="3F8AC67D" w:rsidR="003C2CAF" w:rsidRDefault="003C2CAF" w:rsidP="003C2CAF">
      <w:pPr>
        <w:pStyle w:val="ListParagraph"/>
        <w:numPr>
          <w:ilvl w:val="1"/>
          <w:numId w:val="11"/>
        </w:numPr>
      </w:pPr>
      <w:r>
        <w:t xml:space="preserve">Some parameters are calculated from simulated quantities at each time step of model integration. In this application, this only applies to the forces of infection for each </w:t>
      </w:r>
      <w:r w:rsidR="000D0F7B">
        <w:t xml:space="preserve">population </w:t>
      </w:r>
      <w:r>
        <w:t>group that is susceptible to infection</w:t>
      </w:r>
      <w:r w:rsidR="009E4A67">
        <w:t xml:space="preserve"> and for each strain</w:t>
      </w:r>
      <w:r w:rsidR="009E4A67" w:rsidRPr="00F51064">
        <w:rPr>
          <w:rStyle w:val="FootnoteReference"/>
        </w:rPr>
        <w:footnoteReference w:id="1"/>
      </w:r>
      <w:r w:rsidR="009E4A67">
        <w:t xml:space="preserve"> of TB</w:t>
      </w:r>
      <w:r>
        <w:t xml:space="preserve">. Frequency-dependent transmission and homogeneous mixing is assumed, such that the force of infection is proportional to a weighted proportion of all groups with active TB </w:t>
      </w:r>
      <w:r w:rsidR="009E4A67">
        <w:t xml:space="preserve">of the relevant strain </w:t>
      </w:r>
      <w:r>
        <w:t xml:space="preserve">in </w:t>
      </w:r>
      <w:r w:rsidR="009E4A67">
        <w:t xml:space="preserve">Bulgaria </w:t>
      </w:r>
      <w:r>
        <w:t xml:space="preserve">who have not yet entered the </w:t>
      </w:r>
      <w:r w:rsidR="000D0F7B">
        <w:t>late (</w:t>
      </w:r>
      <w:r>
        <w:t>non-infectious</w:t>
      </w:r>
      <w:r w:rsidR="000D0F7B">
        <w:t>)</w:t>
      </w:r>
      <w:r>
        <w:t xml:space="preserve"> phase of treatment. The force of infection is modified for persons who are already infected and in late latency, for BCG-vaccinated persons and for persons </w:t>
      </w:r>
      <w:r w:rsidR="009E4A67">
        <w:t>who have previously completed</w:t>
      </w:r>
      <w:r>
        <w:t xml:space="preserve"> treatment for active disease (with the parameters reflecting partial immunity being fixed for the first two of these groups and varied w</w:t>
      </w:r>
      <w:r w:rsidR="009E4A67">
        <w:t>ith calibration for the third).</w:t>
      </w:r>
    </w:p>
    <w:p w14:paraId="04BA1707" w14:textId="42BEAD2C" w:rsidR="009D289B" w:rsidRDefault="009D289B" w:rsidP="009D289B">
      <w:pPr>
        <w:pStyle w:val="ListParagraph"/>
        <w:numPr>
          <w:ilvl w:val="0"/>
          <w:numId w:val="11"/>
        </w:numPr>
      </w:pPr>
      <w:r>
        <w:t>Intervention uncertainty parameters</w:t>
      </w:r>
    </w:p>
    <w:p w14:paraId="272EA00C" w14:textId="299C504F" w:rsidR="009D289B" w:rsidRDefault="009D289B" w:rsidP="009D289B">
      <w:pPr>
        <w:pStyle w:val="ListParagraph"/>
        <w:numPr>
          <w:ilvl w:val="1"/>
          <w:numId w:val="11"/>
        </w:numPr>
      </w:pPr>
      <w:r>
        <w:t>A small number of parameters pertaining to a single intervention whose uncertainty is being quantified are varied using a Latin Hypercube sampling approach. This is done only from the point that the intervention commences onwards and is applied to the previously calibrated model.</w:t>
      </w:r>
    </w:p>
    <w:p w14:paraId="78961D50" w14:textId="161FEE20" w:rsidR="00A51F99" w:rsidRPr="00A51F99" w:rsidRDefault="00140333" w:rsidP="001C2A3E">
      <w:pPr>
        <w:pStyle w:val="Heading1"/>
        <w:numPr>
          <w:ilvl w:val="0"/>
          <w:numId w:val="9"/>
        </w:numPr>
      </w:pPr>
      <w:r>
        <w:t>Scale-up functions</w:t>
      </w:r>
    </w:p>
    <w:p w14:paraId="31EF87D7" w14:textId="298F8F8E" w:rsidR="00591EA2" w:rsidRDefault="005E012E" w:rsidP="00591EA2">
      <w:r>
        <w:t xml:space="preserve">This section presents the parameter values included within the model that vary with time according to fitting of functions to publicly available data </w:t>
      </w:r>
      <w:r w:rsidR="00E02605">
        <w:t xml:space="preserve">from </w:t>
      </w:r>
      <w:r w:rsidR="00284C14">
        <w:t>Bulgaria</w:t>
      </w:r>
      <w:r w:rsidR="00E02605">
        <w:t xml:space="preserve"> for the quantities consi</w:t>
      </w:r>
      <w:r w:rsidR="0073757F">
        <w:t xml:space="preserve">dered. </w:t>
      </w:r>
      <w:r w:rsidR="00184AA1">
        <w:t>(As described in S</w:t>
      </w:r>
      <w:r w:rsidR="0073757F">
        <w:t>ection</w:t>
      </w:r>
      <w:r w:rsidR="00F92838">
        <w:t xml:space="preserve"> </w:t>
      </w:r>
      <w:r w:rsidR="00F92838">
        <w:fldChar w:fldCharType="begin"/>
      </w:r>
      <w:r w:rsidR="00F92838">
        <w:instrText xml:space="preserve"> REF _Ref521067299 \r \h </w:instrText>
      </w:r>
      <w:r w:rsidR="00F92838">
        <w:fldChar w:fldCharType="separate"/>
      </w:r>
      <w:r w:rsidR="00F92838">
        <w:t>2</w:t>
      </w:r>
      <w:r w:rsidR="00F92838">
        <w:fldChar w:fldCharType="end"/>
      </w:r>
      <w:r w:rsidR="00915671">
        <w:t xml:space="preserve"> above</w:t>
      </w:r>
      <w:r w:rsidR="0073757F">
        <w:t>, t</w:t>
      </w:r>
      <w:r>
        <w:t xml:space="preserve">he only time-variant parameter that do not fall into this category </w:t>
      </w:r>
      <w:r w:rsidR="00C37E97">
        <w:t xml:space="preserve">are </w:t>
      </w:r>
      <w:r>
        <w:t xml:space="preserve">the </w:t>
      </w:r>
      <w:r w:rsidR="00C37E97">
        <w:t xml:space="preserve">strain-specific </w:t>
      </w:r>
      <w:r>
        <w:t>force</w:t>
      </w:r>
      <w:r w:rsidR="00C37E97">
        <w:t>s</w:t>
      </w:r>
      <w:r>
        <w:t xml:space="preserve"> of infection, which varies </w:t>
      </w:r>
      <w:r w:rsidR="00915671">
        <w:t>over</w:t>
      </w:r>
      <w:r>
        <w:t xml:space="preserve"> time </w:t>
      </w:r>
      <w:r w:rsidR="00915671">
        <w:t xml:space="preserve">with </w:t>
      </w:r>
      <w:r>
        <w:t xml:space="preserve">the </w:t>
      </w:r>
      <w:r w:rsidR="00915671">
        <w:t xml:space="preserve">proportion </w:t>
      </w:r>
      <w:r>
        <w:t xml:space="preserve">of persons </w:t>
      </w:r>
      <w:r w:rsidR="00915671">
        <w:t xml:space="preserve">manifesting active infectious </w:t>
      </w:r>
      <w:r>
        <w:t>TB</w:t>
      </w:r>
      <w:r w:rsidR="00AD0D6C">
        <w:t xml:space="preserve"> of each strain</w:t>
      </w:r>
      <w:r w:rsidR="00F92838">
        <w:t>.</w:t>
      </w:r>
      <w:r w:rsidR="00184AA1">
        <w:t>)</w:t>
      </w:r>
    </w:p>
    <w:p w14:paraId="4D3B0DA9" w14:textId="0ABDC412" w:rsidR="005E012E" w:rsidRDefault="005E012E" w:rsidP="00562232">
      <w:pPr>
        <w:spacing w:before="120"/>
      </w:pPr>
      <w:r>
        <w:t xml:space="preserve">For each of the following figures, the </w:t>
      </w:r>
      <w:r w:rsidR="00617EED">
        <w:t>blue</w:t>
      </w:r>
      <w:r>
        <w:t xml:space="preserve"> circles represent the data points fitted to </w:t>
      </w:r>
      <w:r w:rsidR="00184AA1">
        <w:t>(data sources vary</w:t>
      </w:r>
      <w:r w:rsidR="00F92AC3">
        <w:t xml:space="preserve"> as noted in figure captions</w:t>
      </w:r>
      <w:r w:rsidR="00184AA1">
        <w:t xml:space="preserve">) </w:t>
      </w:r>
      <w:r>
        <w:t>and the black line</w:t>
      </w:r>
      <w:r w:rsidR="00F92AC3">
        <w:t>s</w:t>
      </w:r>
      <w:r>
        <w:t xml:space="preserve"> represe</w:t>
      </w:r>
      <w:r w:rsidR="00F92AC3">
        <w:t>nt</w:t>
      </w:r>
      <w:r w:rsidR="00184AA1">
        <w:t xml:space="preserve"> the parameter value used in model integration by calendar year</w:t>
      </w:r>
      <w:r>
        <w:t xml:space="preserve">. </w:t>
      </w:r>
      <w:r w:rsidR="001609B6">
        <w:t xml:space="preserve">The left and right panels present the same data and only </w:t>
      </w:r>
      <w:r w:rsidR="001609B6">
        <w:lastRenderedPageBreak/>
        <w:t xml:space="preserve">differ in the range of the x-axis (time) displayed. </w:t>
      </w:r>
      <w:r>
        <w:t xml:space="preserve">The effective value of some of these parameter values (e.g. case detection rate) may be changed </w:t>
      </w:r>
      <w:r w:rsidR="00ED3900">
        <w:t>during</w:t>
      </w:r>
      <w:r w:rsidR="00F92AC3">
        <w:t xml:space="preserve"> the</w:t>
      </w:r>
      <w:r w:rsidR="00ED3900">
        <w:t xml:space="preserve"> analysis of specific </w:t>
      </w:r>
      <w:r>
        <w:t>scenario</w:t>
      </w:r>
      <w:r w:rsidR="00ED3900">
        <w:t>s</w:t>
      </w:r>
      <w:r w:rsidR="00E25DD3">
        <w:t xml:space="preserve"> (usually after 2016)</w:t>
      </w:r>
      <w:r>
        <w:t>, which is not illustrated in the figures below.</w:t>
      </w:r>
    </w:p>
    <w:p w14:paraId="6D87DBF7" w14:textId="70A3CA04" w:rsidR="005E012E" w:rsidRDefault="005E012E" w:rsidP="00562232">
      <w:pPr>
        <w:spacing w:before="120"/>
      </w:pPr>
      <w:r>
        <w:t xml:space="preserve">Bounded polynomial spline functions </w:t>
      </w:r>
      <w:r w:rsidR="00562232">
        <w:t>are</w:t>
      </w:r>
      <w:r>
        <w:t xml:space="preserve"> used for data fitting, where the range of the function </w:t>
      </w:r>
      <w:r w:rsidR="00562232">
        <w:t>is</w:t>
      </w:r>
      <w:r>
        <w:t xml:space="preserve"> restricted as appropriate. </w:t>
      </w:r>
      <w:r w:rsidR="00F92AC3">
        <w:t>That is</w:t>
      </w:r>
      <w:r>
        <w:t xml:space="preserve">, the range of fitted functions </w:t>
      </w:r>
      <w:r w:rsidR="003376BC">
        <w:t>is</w:t>
      </w:r>
      <w:r>
        <w:t xml:space="preserve"> limited to positive values for all functions and to </w:t>
      </w:r>
      <w:r w:rsidR="009E7492">
        <w:t>values from zero to one</w:t>
      </w:r>
      <w:r w:rsidR="001609B6">
        <w:t xml:space="preserve"> for proportions.</w:t>
      </w:r>
    </w:p>
    <w:p w14:paraId="4646500A" w14:textId="26F9EF8F" w:rsidR="003109EC" w:rsidRDefault="00C94220" w:rsidP="00C94220">
      <w:pPr>
        <w:tabs>
          <w:tab w:val="left" w:pos="3525"/>
        </w:tabs>
        <w:spacing w:after="0" w:line="276" w:lineRule="auto"/>
        <w:jc w:val="center"/>
      </w:pPr>
      <w:r>
        <w:rPr>
          <w:noProof/>
          <w:lang w:val="en-GB" w:eastAsia="en-GB"/>
        </w:rPr>
        <w:drawing>
          <wp:inline distT="0" distB="0" distL="0" distR="0" wp14:anchorId="36551593" wp14:editId="3A2FD183">
            <wp:extent cx="5438775" cy="276122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314" t="12757" r="7269" b="7066"/>
                    <a:stretch/>
                  </pic:blipFill>
                  <pic:spPr bwMode="auto">
                    <a:xfrm>
                      <a:off x="0" y="0"/>
                      <a:ext cx="5446396" cy="2765093"/>
                    </a:xfrm>
                    <a:prstGeom prst="rect">
                      <a:avLst/>
                    </a:prstGeom>
                    <a:noFill/>
                    <a:ln>
                      <a:noFill/>
                    </a:ln>
                    <a:extLst>
                      <a:ext uri="{53640926-AAD7-44D8-BBD7-CCE9431645EC}">
                        <a14:shadowObscured xmlns:a14="http://schemas.microsoft.com/office/drawing/2010/main"/>
                      </a:ext>
                    </a:extLst>
                  </pic:spPr>
                </pic:pic>
              </a:graphicData>
            </a:graphic>
          </wp:inline>
        </w:drawing>
      </w:r>
    </w:p>
    <w:p w14:paraId="75538EDC" w14:textId="2C46FD39" w:rsidR="00591EA2" w:rsidRDefault="002E68BA" w:rsidP="009248D5">
      <w:pPr>
        <w:pStyle w:val="Heading4"/>
      </w:pPr>
      <w:r>
        <w:rPr>
          <w:b/>
        </w:rPr>
        <w:t>Figure S</w:t>
      </w:r>
      <w:r w:rsidR="00507347">
        <w:rPr>
          <w:b/>
        </w:rPr>
        <w:t>1</w:t>
      </w:r>
      <w:r w:rsidR="003376BC" w:rsidRPr="009248D5">
        <w:rPr>
          <w:b/>
        </w:rPr>
        <w:t xml:space="preserve">. </w:t>
      </w:r>
      <w:r w:rsidR="00C60206" w:rsidRPr="009248D5">
        <w:rPr>
          <w:b/>
        </w:rPr>
        <w:t xml:space="preserve">Population </w:t>
      </w:r>
      <w:r w:rsidR="009B7CFE" w:rsidRPr="009248D5">
        <w:rPr>
          <w:b/>
        </w:rPr>
        <w:t xml:space="preserve">per capita </w:t>
      </w:r>
      <w:r w:rsidR="00C60206" w:rsidRPr="009248D5">
        <w:rPr>
          <w:b/>
        </w:rPr>
        <w:t>b</w:t>
      </w:r>
      <w:r w:rsidR="00D413B9">
        <w:rPr>
          <w:b/>
        </w:rPr>
        <w:t>irth rate</w:t>
      </w:r>
      <w:r w:rsidR="00591EA2" w:rsidRPr="009248D5">
        <w:rPr>
          <w:b/>
        </w:rPr>
        <w:t xml:space="preserve"> parameter</w:t>
      </w:r>
      <w:r w:rsidR="00B72A0E">
        <w:rPr>
          <w:b/>
        </w:rPr>
        <w:t xml:space="preserve"> in births</w:t>
      </w:r>
      <w:r w:rsidR="002A196F">
        <w:rPr>
          <w:b/>
        </w:rPr>
        <w:t xml:space="preserve"> per 1,000 population</w:t>
      </w:r>
      <w:r w:rsidR="009B7CFE" w:rsidRPr="009248D5">
        <w:rPr>
          <w:b/>
        </w:rPr>
        <w:t>.</w:t>
      </w:r>
      <w:r w:rsidR="009B7CFE">
        <w:t xml:space="preserve"> Data source: the World Bank 2016.</w:t>
      </w:r>
    </w:p>
    <w:p w14:paraId="219C9206" w14:textId="09E3B7F9" w:rsidR="00591EA2" w:rsidRPr="003109EC" w:rsidRDefault="00591EA2" w:rsidP="00591EA2">
      <w:pPr>
        <w:pStyle w:val="Subtitle"/>
      </w:pPr>
    </w:p>
    <w:p w14:paraId="3E4B4637" w14:textId="640B8974" w:rsidR="00BA40A6" w:rsidRDefault="00C94220" w:rsidP="00C94220">
      <w:pPr>
        <w:spacing w:after="0"/>
        <w:jc w:val="center"/>
      </w:pPr>
      <w:r>
        <w:rPr>
          <w:noProof/>
          <w:lang w:val="en-GB" w:eastAsia="en-GB"/>
        </w:rPr>
        <w:drawing>
          <wp:inline distT="0" distB="0" distL="0" distR="0" wp14:anchorId="748242EF" wp14:editId="7EC29FFC">
            <wp:extent cx="5143500" cy="25962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5318" t="12453" r="7434" b="7065"/>
                    <a:stretch/>
                  </pic:blipFill>
                  <pic:spPr bwMode="auto">
                    <a:xfrm>
                      <a:off x="0" y="0"/>
                      <a:ext cx="5147958" cy="2598493"/>
                    </a:xfrm>
                    <a:prstGeom prst="rect">
                      <a:avLst/>
                    </a:prstGeom>
                    <a:noFill/>
                    <a:ln>
                      <a:noFill/>
                    </a:ln>
                    <a:extLst>
                      <a:ext uri="{53640926-AAD7-44D8-BBD7-CCE9431645EC}">
                        <a14:shadowObscured xmlns:a14="http://schemas.microsoft.com/office/drawing/2010/main"/>
                      </a:ext>
                    </a:extLst>
                  </pic:spPr>
                </pic:pic>
              </a:graphicData>
            </a:graphic>
          </wp:inline>
        </w:drawing>
      </w:r>
    </w:p>
    <w:p w14:paraId="30BEAFC2" w14:textId="3A6D3053" w:rsidR="009102D9" w:rsidRDefault="00591EA2" w:rsidP="00AD680C">
      <w:pPr>
        <w:pStyle w:val="Heading4"/>
      </w:pPr>
      <w:r w:rsidRPr="00AD680C">
        <w:rPr>
          <w:b/>
        </w:rPr>
        <w:t>Figure S</w:t>
      </w:r>
      <w:r w:rsidR="00507347">
        <w:rPr>
          <w:b/>
        </w:rPr>
        <w:t>2</w:t>
      </w:r>
      <w:r w:rsidR="003376BC" w:rsidRPr="00AD680C">
        <w:rPr>
          <w:b/>
        </w:rPr>
        <w:t xml:space="preserve">. </w:t>
      </w:r>
      <w:r w:rsidRPr="00AD680C">
        <w:rPr>
          <w:b/>
        </w:rPr>
        <w:t>BCG vaccination coverage parameter</w:t>
      </w:r>
      <w:r w:rsidR="005E012E" w:rsidRPr="00AD680C">
        <w:rPr>
          <w:b/>
        </w:rPr>
        <w:t>.</w:t>
      </w:r>
      <w:r w:rsidR="005E012E">
        <w:t xml:space="preserve"> One additional data point added </w:t>
      </w:r>
      <w:r w:rsidR="00535B65">
        <w:t xml:space="preserve">manually </w:t>
      </w:r>
      <w:r w:rsidR="005E012E">
        <w:t>(value of zero in 1927) to reflect unavailability of BCG vaccination prior to this date.</w:t>
      </w:r>
      <w:r w:rsidR="009B7CFE">
        <w:t xml:space="preserve"> Data source: WHO/UNICEF.</w:t>
      </w:r>
    </w:p>
    <w:p w14:paraId="516595B7" w14:textId="412D8165" w:rsidR="00D026E7" w:rsidRDefault="00D026E7" w:rsidP="005A4566">
      <w:pPr>
        <w:jc w:val="center"/>
      </w:pPr>
    </w:p>
    <w:p w14:paraId="1FA82836" w14:textId="55C5BD81" w:rsidR="00D026E7" w:rsidRDefault="00C94220" w:rsidP="00C94220">
      <w:pPr>
        <w:spacing w:after="0"/>
        <w:jc w:val="center"/>
      </w:pPr>
      <w:r>
        <w:rPr>
          <w:noProof/>
          <w:lang w:val="en-GB" w:eastAsia="en-GB"/>
        </w:rPr>
        <w:lastRenderedPageBreak/>
        <w:drawing>
          <wp:inline distT="0" distB="0" distL="0" distR="0" wp14:anchorId="45A4F1E9" wp14:editId="7A14CCB0">
            <wp:extent cx="5192056" cy="267652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7146" t="12756" r="7102" b="6458"/>
                    <a:stretch/>
                  </pic:blipFill>
                  <pic:spPr bwMode="auto">
                    <a:xfrm>
                      <a:off x="0" y="0"/>
                      <a:ext cx="5194531" cy="2677801"/>
                    </a:xfrm>
                    <a:prstGeom prst="rect">
                      <a:avLst/>
                    </a:prstGeom>
                    <a:noFill/>
                    <a:ln>
                      <a:noFill/>
                    </a:ln>
                    <a:extLst>
                      <a:ext uri="{53640926-AAD7-44D8-BBD7-CCE9431645EC}">
                        <a14:shadowObscured xmlns:a14="http://schemas.microsoft.com/office/drawing/2010/main"/>
                      </a:ext>
                    </a:extLst>
                  </pic:spPr>
                </pic:pic>
              </a:graphicData>
            </a:graphic>
          </wp:inline>
        </w:drawing>
      </w:r>
    </w:p>
    <w:p w14:paraId="04DD46AC" w14:textId="00157A71" w:rsidR="005A4566" w:rsidRDefault="002E68BA" w:rsidP="00AD680C">
      <w:pPr>
        <w:pStyle w:val="Heading4"/>
      </w:pPr>
      <w:r>
        <w:rPr>
          <w:b/>
        </w:rPr>
        <w:t>Figure S</w:t>
      </w:r>
      <w:r w:rsidR="00507347">
        <w:rPr>
          <w:b/>
        </w:rPr>
        <w:t>3</w:t>
      </w:r>
      <w:r w:rsidR="00D026E7" w:rsidRPr="00E541C3">
        <w:rPr>
          <w:b/>
        </w:rPr>
        <w:t>. Life expectancy parameter</w:t>
      </w:r>
      <w:r w:rsidR="00B72A0E">
        <w:rPr>
          <w:b/>
        </w:rPr>
        <w:t xml:space="preserve"> in</w:t>
      </w:r>
      <w:r w:rsidR="002A196F">
        <w:rPr>
          <w:b/>
        </w:rPr>
        <w:t xml:space="preserve"> years</w:t>
      </w:r>
      <w:r w:rsidR="00D026E7" w:rsidRPr="00E541C3">
        <w:rPr>
          <w:b/>
        </w:rPr>
        <w:t>.</w:t>
      </w:r>
      <w:r w:rsidR="00D026E7">
        <w:t xml:space="preserve"> Data source: the World Bank 2016.</w:t>
      </w:r>
    </w:p>
    <w:p w14:paraId="4EEA9205" w14:textId="77777777" w:rsidR="00455158" w:rsidRDefault="00455158" w:rsidP="00455158">
      <w:pPr>
        <w:jc w:val="center"/>
      </w:pPr>
    </w:p>
    <w:p w14:paraId="17F0A349" w14:textId="1794262A" w:rsidR="00455158" w:rsidRDefault="00C94220" w:rsidP="00C94220">
      <w:pPr>
        <w:spacing w:after="0"/>
        <w:jc w:val="center"/>
      </w:pPr>
      <w:r>
        <w:rPr>
          <w:noProof/>
          <w:lang w:val="en-GB" w:eastAsia="en-GB"/>
        </w:rPr>
        <w:drawing>
          <wp:inline distT="0" distB="0" distL="0" distR="0" wp14:anchorId="174E0AFE" wp14:editId="3D3A45D9">
            <wp:extent cx="5440844" cy="28098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6647" t="12452" r="7434" b="6458"/>
                    <a:stretch/>
                  </pic:blipFill>
                  <pic:spPr bwMode="auto">
                    <a:xfrm>
                      <a:off x="0" y="0"/>
                      <a:ext cx="5444335" cy="2811678"/>
                    </a:xfrm>
                    <a:prstGeom prst="rect">
                      <a:avLst/>
                    </a:prstGeom>
                    <a:noFill/>
                    <a:ln>
                      <a:noFill/>
                    </a:ln>
                    <a:extLst>
                      <a:ext uri="{53640926-AAD7-44D8-BBD7-CCE9431645EC}">
                        <a14:shadowObscured xmlns:a14="http://schemas.microsoft.com/office/drawing/2010/main"/>
                      </a:ext>
                    </a:extLst>
                  </pic:spPr>
                </pic:pic>
              </a:graphicData>
            </a:graphic>
          </wp:inline>
        </w:drawing>
      </w:r>
    </w:p>
    <w:p w14:paraId="05B4D65B" w14:textId="37774EDD" w:rsidR="00455158" w:rsidRDefault="00455158" w:rsidP="00455158">
      <w:pPr>
        <w:pStyle w:val="Heading4"/>
      </w:pPr>
      <w:r>
        <w:rPr>
          <w:b/>
        </w:rPr>
        <w:t>Figure S</w:t>
      </w:r>
      <w:r w:rsidR="00507347">
        <w:rPr>
          <w:b/>
        </w:rPr>
        <w:t>4</w:t>
      </w:r>
      <w:r w:rsidRPr="00993F33">
        <w:rPr>
          <w:b/>
        </w:rPr>
        <w:t xml:space="preserve">. </w:t>
      </w:r>
      <w:r w:rsidR="002E68BA">
        <w:rPr>
          <w:b/>
        </w:rPr>
        <w:t>P</w:t>
      </w:r>
      <w:r w:rsidRPr="00993F33">
        <w:rPr>
          <w:b/>
        </w:rPr>
        <w:t>roportion of population with diabetes mellitus.</w:t>
      </w:r>
      <w:r>
        <w:rPr>
          <w:b/>
        </w:rPr>
        <w:t xml:space="preserve"> </w:t>
      </w:r>
      <w:r>
        <w:t xml:space="preserve">Note that the proportion of the population in the other risk groups (Roma and prison populations) is </w:t>
      </w:r>
      <w:r w:rsidR="00507347">
        <w:t>fixed</w:t>
      </w:r>
      <w:r>
        <w:t>.</w:t>
      </w:r>
      <w:r w:rsidR="00D3165B">
        <w:t xml:space="preserve"> Sources are published estimates of diabetes burden in Bulgaria</w:t>
      </w:r>
      <w:r w:rsidR="00D3165B">
        <w:fldChar w:fldCharType="begin" w:fldLock="1"/>
      </w:r>
      <w:r w:rsidR="00583138">
        <w:instrText>ADDIN CSL_CITATION { "citationItems" : [ { "id" : "ITEM-1", "itemData" : { "DOI" : "10.4137/CMED.S24742", "ISSN" : "1179-5514", "PMID" : "26005363", "abstract" : "AIM The aim of this study was to compare two nationwide cross-sectional studies of diabetes prevalence in Bulgaria (2006 and 2012) and to assess its dynamics. MATERIAL AND METHODS The two studies included 2396 and 2033 subjects, respectively. The International Diabetes Federation (IDF) diagnostic criteria were applied, and the data were weighed for type of settlement and age. RESULTS Diabetes prevalence was found to be 7.9% in 2006 and 9.55% in 2012, P = 0.06, showing an increase of 20.9%. The absolute increase was 0.9% in the females and 2.3% in the males (P &lt; 0.09). The increase was the largest in those aged 50-59: [9.4%, 2006 vs. 15.7%, 2012, P &lt; 0.01]. Diabetes prevalence increased in the 20-60-year olds by 6.8% and decreased in the elderly by 6.1%. Obesity increased from 26.7 to 32.7%, P &lt; 0.02. CONCLUSIONS A significant increase in diabetes prevalence was found that necessitates healthcare measures and resources for community-based awareness and prevention programs.", "author" : [ { "dropping-particle" : "", "family" : "Borissova", "given" : "Anna-Maria", "non-dropping-particle" : "", "parse-names" : false, "suffix" : "" }, { "dropping-particle" : "", "family" : "Shinkov", "given" : "Alexander", "non-dropping-particle" : "", "parse-names" : false, "suffix" : "" }, { "dropping-particle" : "", "family" : "Kovatcheva", "given" : "Roussanka", "non-dropping-particle" : "", "parse-names" : false, "suffix" : "" }, { "dropping-particle" : "", "family" : "Vlahov", "given" : "Jordan", "non-dropping-particle" : "", "parse-names" : false, "suffix" : "" }, { "dropping-particle" : "", "family" : "Dakovska", "given" : "Lilia", "non-dropping-particle" : "", "parse-names" : false, "suffix" : "" }, { "dropping-particle" : "", "family" : "Todorov", "given" : "Todor", "non-dropping-particle" : "", "parse-names" : false, "suffix" : "" } ], "container-title" : "Clinical medicine insights. Endocrinology and diabetes", "id" : "ITEM-1", "issued" : { "date-parts" : [ [ "2015", "1", "10" ] ] }, "page" : "41-5", "title" : "Changes in the prevalence of diabetes mellitus in bulgaria (2006-2012).", "type" : "article-journal", "volume" : "8" }, "uris" : [ "http://www.mendeley.com/documents/?uuid=86aae259-fccc-38bf-b4f3-1c2d1975b6a9" ] } ], "mendeley" : { "formattedCitation" : "&lt;sup&gt;2&lt;/sup&gt;", "plainTextFormattedCitation" : "2", "previouslyFormattedCitation" : "&lt;sup&gt;2&lt;/sup&gt;" }, "properties" : { "noteIndex" : 0 }, "schema" : "https://github.com/citation-style-language/schema/raw/master/csl-citation.json" }</w:instrText>
      </w:r>
      <w:r w:rsidR="00D3165B">
        <w:fldChar w:fldCharType="separate"/>
      </w:r>
      <w:r w:rsidR="00D3165B" w:rsidRPr="00D3165B">
        <w:rPr>
          <w:i w:val="0"/>
          <w:noProof/>
          <w:vertAlign w:val="superscript"/>
        </w:rPr>
        <w:t>2</w:t>
      </w:r>
      <w:r w:rsidR="00D3165B">
        <w:fldChar w:fldCharType="end"/>
      </w:r>
      <w:r w:rsidR="00D3165B">
        <w:t xml:space="preserve"> and the International Diabetes Federation Bulgaria country profile.</w:t>
      </w:r>
    </w:p>
    <w:p w14:paraId="133AA892" w14:textId="77777777" w:rsidR="002B13E3" w:rsidRPr="002B13E3" w:rsidRDefault="002B13E3" w:rsidP="002B13E3"/>
    <w:p w14:paraId="55E79630" w14:textId="1AD41FF6" w:rsidR="00BA40A6" w:rsidRDefault="00C94220" w:rsidP="00C94220">
      <w:pPr>
        <w:spacing w:after="0" w:line="276" w:lineRule="auto"/>
        <w:jc w:val="left"/>
      </w:pPr>
      <w:r>
        <w:rPr>
          <w:noProof/>
          <w:lang w:val="en-GB" w:eastAsia="en-GB"/>
        </w:rPr>
        <w:lastRenderedPageBreak/>
        <w:drawing>
          <wp:inline distT="0" distB="0" distL="0" distR="0" wp14:anchorId="35CEE1BB" wp14:editId="07761015">
            <wp:extent cx="5430693" cy="2705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4819" t="12148" r="7102" b="7674"/>
                    <a:stretch/>
                  </pic:blipFill>
                  <pic:spPr bwMode="auto">
                    <a:xfrm>
                      <a:off x="0" y="0"/>
                      <a:ext cx="5433529" cy="2706513"/>
                    </a:xfrm>
                    <a:prstGeom prst="rect">
                      <a:avLst/>
                    </a:prstGeom>
                    <a:noFill/>
                    <a:ln>
                      <a:noFill/>
                    </a:ln>
                    <a:extLst>
                      <a:ext uri="{53640926-AAD7-44D8-BBD7-CCE9431645EC}">
                        <a14:shadowObscured xmlns:a14="http://schemas.microsoft.com/office/drawing/2010/main"/>
                      </a:ext>
                    </a:extLst>
                  </pic:spPr>
                </pic:pic>
              </a:graphicData>
            </a:graphic>
          </wp:inline>
        </w:drawing>
      </w:r>
    </w:p>
    <w:p w14:paraId="76CE9F89" w14:textId="15AC8E19" w:rsidR="00267F64" w:rsidRDefault="00B72A0E" w:rsidP="00E541C3">
      <w:pPr>
        <w:pStyle w:val="Heading4"/>
      </w:pPr>
      <w:r>
        <w:rPr>
          <w:b/>
        </w:rPr>
        <w:t>Figure S</w:t>
      </w:r>
      <w:r w:rsidR="00507347">
        <w:rPr>
          <w:b/>
        </w:rPr>
        <w:t>5</w:t>
      </w:r>
      <w:r w:rsidR="00ED7EFF" w:rsidRPr="00E541C3">
        <w:rPr>
          <w:b/>
        </w:rPr>
        <w:t xml:space="preserve">. </w:t>
      </w:r>
      <w:r w:rsidR="00591EA2" w:rsidRPr="00E541C3">
        <w:rPr>
          <w:b/>
        </w:rPr>
        <w:t>Case detection rate parameter</w:t>
      </w:r>
      <w:r w:rsidR="005E012E" w:rsidRPr="00E541C3">
        <w:rPr>
          <w:b/>
        </w:rPr>
        <w:t>.</w:t>
      </w:r>
      <w:r w:rsidR="005E012E">
        <w:t xml:space="preserve"> One additional value </w:t>
      </w:r>
      <w:r w:rsidR="006773DC">
        <w:t xml:space="preserve">(zero in 1950) </w:t>
      </w:r>
      <w:r w:rsidR="005E012E">
        <w:t>added to those available to reflect unavailability of treatment prior to this date.</w:t>
      </w:r>
      <w:r w:rsidR="009B7CFE">
        <w:t xml:space="preserve"> </w:t>
      </w:r>
      <w:r w:rsidR="00523741">
        <w:t xml:space="preserve">All values were multiplied by 0.95 for model implementation on advice of the country team, given the very high reported case detection rates were considered to be over-estimates. </w:t>
      </w:r>
      <w:r w:rsidR="009B7CFE">
        <w:t>Data source: WHO, Global Tuberculosis Report 2016.</w:t>
      </w:r>
    </w:p>
    <w:p w14:paraId="5C48141D" w14:textId="77777777" w:rsidR="00455158" w:rsidRPr="00455158" w:rsidRDefault="00455158" w:rsidP="00455158"/>
    <w:p w14:paraId="5157516A" w14:textId="50DDD3EB" w:rsidR="00455158" w:rsidRDefault="00C94220" w:rsidP="00455158">
      <w:r>
        <w:rPr>
          <w:noProof/>
          <w:lang w:val="en-GB" w:eastAsia="en-GB"/>
        </w:rPr>
        <w:drawing>
          <wp:inline distT="0" distB="0" distL="0" distR="0" wp14:anchorId="59964124" wp14:editId="624275CB">
            <wp:extent cx="5683155" cy="2895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5317" t="12147" r="7268" b="6460"/>
                    <a:stretch/>
                  </pic:blipFill>
                  <pic:spPr bwMode="auto">
                    <a:xfrm>
                      <a:off x="0" y="0"/>
                      <a:ext cx="5687192" cy="2897657"/>
                    </a:xfrm>
                    <a:prstGeom prst="rect">
                      <a:avLst/>
                    </a:prstGeom>
                    <a:noFill/>
                    <a:ln>
                      <a:noFill/>
                    </a:ln>
                    <a:extLst>
                      <a:ext uri="{53640926-AAD7-44D8-BBD7-CCE9431645EC}">
                        <a14:shadowObscured xmlns:a14="http://schemas.microsoft.com/office/drawing/2010/main"/>
                      </a:ext>
                    </a:extLst>
                  </pic:spPr>
                </pic:pic>
              </a:graphicData>
            </a:graphic>
          </wp:inline>
        </w:drawing>
      </w:r>
    </w:p>
    <w:p w14:paraId="268951E7" w14:textId="76738630" w:rsidR="00455158" w:rsidRDefault="00B72A0E" w:rsidP="00455158">
      <w:pPr>
        <w:pStyle w:val="Heading4"/>
        <w:rPr>
          <w:b/>
        </w:rPr>
      </w:pPr>
      <w:r>
        <w:rPr>
          <w:b/>
        </w:rPr>
        <w:t>Figure S</w:t>
      </w:r>
      <w:r w:rsidR="00507347">
        <w:rPr>
          <w:b/>
        </w:rPr>
        <w:t>6</w:t>
      </w:r>
      <w:r w:rsidR="00455158" w:rsidRPr="00E541C3">
        <w:rPr>
          <w:b/>
        </w:rPr>
        <w:t>.</w:t>
      </w:r>
      <w:r w:rsidR="00455158">
        <w:rPr>
          <w:b/>
        </w:rPr>
        <w:t xml:space="preserve"> Sensitivity of the diagnostic algorithm parameter.</w:t>
      </w:r>
      <w:r w:rsidR="00B33D1D" w:rsidRPr="00B33D1D">
        <w:t xml:space="preserve"> </w:t>
      </w:r>
      <w:r w:rsidR="00B33D1D">
        <w:t>Note that value of this parameter is irrelevant until case detection rate exceeds zero in 1950.</w:t>
      </w:r>
    </w:p>
    <w:p w14:paraId="4C61B71D" w14:textId="5BBAB7B7" w:rsidR="002B13E3" w:rsidRDefault="002B13E3">
      <w:pPr>
        <w:spacing w:after="200" w:line="276" w:lineRule="auto"/>
        <w:jc w:val="left"/>
      </w:pPr>
      <w:r>
        <w:br w:type="page"/>
      </w:r>
    </w:p>
    <w:p w14:paraId="1674BE95" w14:textId="5338A774" w:rsidR="00507347" w:rsidRDefault="00C94220" w:rsidP="00264908">
      <w:r>
        <w:rPr>
          <w:noProof/>
          <w:lang w:val="en-GB" w:eastAsia="en-GB"/>
        </w:rPr>
        <w:lastRenderedPageBreak/>
        <w:drawing>
          <wp:inline distT="0" distB="0" distL="0" distR="0" wp14:anchorId="05143177" wp14:editId="1AD4A1C4">
            <wp:extent cx="5426701" cy="273367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4819" t="11540" r="6437" b="6762"/>
                    <a:stretch/>
                  </pic:blipFill>
                  <pic:spPr bwMode="auto">
                    <a:xfrm>
                      <a:off x="0" y="0"/>
                      <a:ext cx="5430579" cy="2735629"/>
                    </a:xfrm>
                    <a:prstGeom prst="rect">
                      <a:avLst/>
                    </a:prstGeom>
                    <a:noFill/>
                    <a:ln>
                      <a:noFill/>
                    </a:ln>
                    <a:extLst>
                      <a:ext uri="{53640926-AAD7-44D8-BBD7-CCE9431645EC}">
                        <a14:shadowObscured xmlns:a14="http://schemas.microsoft.com/office/drawing/2010/main"/>
                      </a:ext>
                    </a:extLst>
                  </pic:spPr>
                </pic:pic>
              </a:graphicData>
            </a:graphic>
          </wp:inline>
        </w:drawing>
      </w:r>
    </w:p>
    <w:p w14:paraId="473A9B7B" w14:textId="4FC7B486" w:rsidR="00AB6F2D" w:rsidRDefault="005609EB" w:rsidP="00E541C3">
      <w:pPr>
        <w:pStyle w:val="Heading4"/>
      </w:pPr>
      <w:r>
        <w:rPr>
          <w:b/>
        </w:rPr>
        <w:t>Figure S</w:t>
      </w:r>
      <w:r w:rsidR="00507347">
        <w:rPr>
          <w:b/>
        </w:rPr>
        <w:t>7</w:t>
      </w:r>
      <w:r w:rsidR="00ED7EFF" w:rsidRPr="00E541C3">
        <w:rPr>
          <w:b/>
        </w:rPr>
        <w:t xml:space="preserve">. </w:t>
      </w:r>
      <w:r w:rsidR="00AB6F2D" w:rsidRPr="00E541C3">
        <w:rPr>
          <w:b/>
        </w:rPr>
        <w:t xml:space="preserve">Treatment success outcome for new </w:t>
      </w:r>
      <w:r w:rsidR="004B0B02" w:rsidRPr="00E541C3">
        <w:rPr>
          <w:b/>
        </w:rPr>
        <w:t xml:space="preserve">DS-TB </w:t>
      </w:r>
      <w:r w:rsidR="00AB6F2D" w:rsidRPr="00E541C3">
        <w:rPr>
          <w:b/>
        </w:rPr>
        <w:t>patients parameter</w:t>
      </w:r>
      <w:r w:rsidR="009B7CFE" w:rsidRPr="00E541C3">
        <w:rPr>
          <w:b/>
        </w:rPr>
        <w:t xml:space="preserve">. </w:t>
      </w:r>
      <w:r w:rsidR="009B7CFE" w:rsidRPr="00523741">
        <w:t>Data</w:t>
      </w:r>
      <w:r w:rsidR="009B7CFE">
        <w:t xml:space="preserve"> source: WHO,</w:t>
      </w:r>
      <w:r w:rsidR="00535B65">
        <w:t xml:space="preserve"> Global Tuberculosis Report 2017</w:t>
      </w:r>
      <w:r w:rsidR="009B7CFE">
        <w:t>.</w:t>
      </w:r>
      <w:r w:rsidR="00BA0825">
        <w:t xml:space="preserve"> Note that value of </w:t>
      </w:r>
      <w:r w:rsidR="00E541C3">
        <w:t xml:space="preserve">this </w:t>
      </w:r>
      <w:r w:rsidR="00BA0825">
        <w:t>parameter is irrelevant until case detection rate exceeds zero in 1950.</w:t>
      </w:r>
    </w:p>
    <w:p w14:paraId="4410B39F" w14:textId="77777777" w:rsidR="00507347" w:rsidRDefault="00507347" w:rsidP="00535B65">
      <w:pPr>
        <w:jc w:val="center"/>
      </w:pPr>
    </w:p>
    <w:p w14:paraId="6F9B2D1E" w14:textId="1CA2FC89" w:rsidR="00FA1C22" w:rsidRDefault="00C94220" w:rsidP="00437E87">
      <w:r>
        <w:rPr>
          <w:noProof/>
          <w:lang w:val="en-GB" w:eastAsia="en-GB"/>
        </w:rPr>
        <w:drawing>
          <wp:inline distT="0" distB="0" distL="0" distR="0" wp14:anchorId="06CAFAE1" wp14:editId="05BB44DE">
            <wp:extent cx="5019675" cy="2600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5317" t="10022" r="7102" b="7067"/>
                    <a:stretch/>
                  </pic:blipFill>
                  <pic:spPr bwMode="auto">
                    <a:xfrm>
                      <a:off x="0" y="0"/>
                      <a:ext cx="5019675"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2F1ECF09" w14:textId="6042A84A" w:rsidR="00AB6F2D" w:rsidRDefault="00507347" w:rsidP="00E541C3">
      <w:pPr>
        <w:pStyle w:val="Heading4"/>
      </w:pPr>
      <w:r>
        <w:rPr>
          <w:b/>
        </w:rPr>
        <w:t>Figure S8</w:t>
      </w:r>
      <w:r w:rsidR="00ED7EFF" w:rsidRPr="00E541C3">
        <w:rPr>
          <w:b/>
        </w:rPr>
        <w:t xml:space="preserve">. </w:t>
      </w:r>
      <w:r w:rsidR="00914E83" w:rsidRPr="00E541C3">
        <w:rPr>
          <w:b/>
        </w:rPr>
        <w:t xml:space="preserve">Proportion of unsuccessful outcomes </w:t>
      </w:r>
      <w:r w:rsidR="00E25DD3">
        <w:rPr>
          <w:b/>
        </w:rPr>
        <w:t xml:space="preserve">resulting in </w:t>
      </w:r>
      <w:r w:rsidR="00914E83" w:rsidRPr="00E541C3">
        <w:rPr>
          <w:b/>
        </w:rPr>
        <w:t>d</w:t>
      </w:r>
      <w:r w:rsidR="00AB6F2D" w:rsidRPr="00E541C3">
        <w:rPr>
          <w:b/>
        </w:rPr>
        <w:t xml:space="preserve">eath </w:t>
      </w:r>
      <w:r w:rsidR="00914E83" w:rsidRPr="00E541C3">
        <w:rPr>
          <w:b/>
        </w:rPr>
        <w:t xml:space="preserve">for </w:t>
      </w:r>
      <w:r w:rsidR="00AB6F2D" w:rsidRPr="00E541C3">
        <w:rPr>
          <w:b/>
        </w:rPr>
        <w:t xml:space="preserve">new </w:t>
      </w:r>
      <w:r w:rsidR="004B0B02" w:rsidRPr="00E541C3">
        <w:rPr>
          <w:b/>
        </w:rPr>
        <w:t xml:space="preserve">DS-TB </w:t>
      </w:r>
      <w:r w:rsidR="00AB6F2D" w:rsidRPr="00E541C3">
        <w:rPr>
          <w:b/>
        </w:rPr>
        <w:t>patients parameter</w:t>
      </w:r>
      <w:r w:rsidR="009B7CFE" w:rsidRPr="00E541C3">
        <w:rPr>
          <w:b/>
        </w:rPr>
        <w:t>.</w:t>
      </w:r>
      <w:r w:rsidR="009B7CFE">
        <w:t xml:space="preserve"> </w:t>
      </w:r>
      <w:r w:rsidR="00B33D1D">
        <w:t xml:space="preserve">This parameter is used to calculate the proportion of treatment outcomes resulting in death by multiplying its value by the complement of the treatment success rate. </w:t>
      </w:r>
      <w:r w:rsidR="009B7CFE">
        <w:t>Data source: WHO,</w:t>
      </w:r>
      <w:r w:rsidR="00535B65">
        <w:t xml:space="preserve"> Global Tuberculosis Report 2017</w:t>
      </w:r>
      <w:r w:rsidR="009B7CFE">
        <w:t>.</w:t>
      </w:r>
      <w:r w:rsidR="00BA0825">
        <w:t xml:space="preserve"> Note that value of </w:t>
      </w:r>
      <w:r w:rsidR="00E541C3">
        <w:t xml:space="preserve">this </w:t>
      </w:r>
      <w:r w:rsidR="00BA0825">
        <w:t>parameter is irrelevant until case detection rate exceeds zero in 1950.</w:t>
      </w:r>
    </w:p>
    <w:p w14:paraId="4BF95EEA" w14:textId="20FC9B85" w:rsidR="00CC2459" w:rsidRDefault="00CC2459" w:rsidP="00CC2459">
      <w:pPr>
        <w:spacing w:after="200" w:line="276" w:lineRule="auto"/>
        <w:jc w:val="left"/>
      </w:pPr>
    </w:p>
    <w:p w14:paraId="3EAE0658" w14:textId="56B003DC" w:rsidR="00E541C3" w:rsidRDefault="00C94220" w:rsidP="00CC2459">
      <w:pPr>
        <w:spacing w:after="200" w:line="276" w:lineRule="auto"/>
        <w:jc w:val="left"/>
      </w:pPr>
      <w:r>
        <w:rPr>
          <w:noProof/>
          <w:lang w:val="en-GB" w:eastAsia="en-GB"/>
        </w:rPr>
        <w:lastRenderedPageBreak/>
        <w:drawing>
          <wp:inline distT="0" distB="0" distL="0" distR="0" wp14:anchorId="70647736" wp14:editId="3785E3CF">
            <wp:extent cx="5489419" cy="2724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4819" t="12148" r="6437" b="7369"/>
                    <a:stretch/>
                  </pic:blipFill>
                  <pic:spPr bwMode="auto">
                    <a:xfrm>
                      <a:off x="0" y="0"/>
                      <a:ext cx="5492456" cy="2725657"/>
                    </a:xfrm>
                    <a:prstGeom prst="rect">
                      <a:avLst/>
                    </a:prstGeom>
                    <a:noFill/>
                    <a:ln>
                      <a:noFill/>
                    </a:ln>
                    <a:extLst>
                      <a:ext uri="{53640926-AAD7-44D8-BBD7-CCE9431645EC}">
                        <a14:shadowObscured xmlns:a14="http://schemas.microsoft.com/office/drawing/2010/main"/>
                      </a:ext>
                    </a:extLst>
                  </pic:spPr>
                </pic:pic>
              </a:graphicData>
            </a:graphic>
          </wp:inline>
        </w:drawing>
      </w:r>
    </w:p>
    <w:p w14:paraId="26D095DF" w14:textId="073DA558" w:rsidR="003F4885" w:rsidRDefault="00D001EF" w:rsidP="003F4885">
      <w:pPr>
        <w:pStyle w:val="Heading4"/>
      </w:pPr>
      <w:r>
        <w:rPr>
          <w:b/>
        </w:rPr>
        <w:t>Figure S</w:t>
      </w:r>
      <w:r w:rsidR="00507347">
        <w:rPr>
          <w:b/>
        </w:rPr>
        <w:t>9</w:t>
      </w:r>
      <w:r w:rsidR="003F4885" w:rsidRPr="00E541C3">
        <w:rPr>
          <w:b/>
        </w:rPr>
        <w:t xml:space="preserve">. Treatment success </w:t>
      </w:r>
      <w:r w:rsidR="003F4885">
        <w:rPr>
          <w:b/>
        </w:rPr>
        <w:t>proportion</w:t>
      </w:r>
      <w:r w:rsidR="003F4885" w:rsidRPr="00E541C3">
        <w:rPr>
          <w:b/>
        </w:rPr>
        <w:t xml:space="preserve"> </w:t>
      </w:r>
      <w:r w:rsidR="00B20B74">
        <w:rPr>
          <w:b/>
        </w:rPr>
        <w:t>for</w:t>
      </w:r>
      <w:r w:rsidR="003F4885" w:rsidRPr="00E541C3">
        <w:rPr>
          <w:b/>
        </w:rPr>
        <w:t xml:space="preserve"> previously treated DS-TB patients parameter.</w:t>
      </w:r>
      <w:r w:rsidR="003F4885">
        <w:t xml:space="preserve"> Data source: WHO, Global Tuberculosis Report 2017. Two additional values added to those available at 1920 and 1980 for historical realism.</w:t>
      </w:r>
      <w:r w:rsidR="003F4885" w:rsidRPr="004D0160">
        <w:t xml:space="preserve"> </w:t>
      </w:r>
      <w:r w:rsidR="003F4885">
        <w:t>Note that the value of this parameter is irrelevant until case detection rate exceeds zero in 1950.</w:t>
      </w:r>
    </w:p>
    <w:p w14:paraId="5958515D" w14:textId="77777777" w:rsidR="00267F64" w:rsidRDefault="00267F64" w:rsidP="00507347"/>
    <w:p w14:paraId="664806AE" w14:textId="02E5622C" w:rsidR="00BA40A6" w:rsidRDefault="00C94220" w:rsidP="00C47DF8">
      <w:pPr>
        <w:spacing w:after="200" w:line="276" w:lineRule="auto"/>
        <w:jc w:val="center"/>
      </w:pPr>
      <w:r>
        <w:rPr>
          <w:noProof/>
          <w:lang w:val="en-GB" w:eastAsia="en-GB"/>
        </w:rPr>
        <w:drawing>
          <wp:inline distT="0" distB="0" distL="0" distR="0" wp14:anchorId="097B1649" wp14:editId="2302640E">
            <wp:extent cx="5559059" cy="280035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l="5484" t="11845" r="5772" b="6459"/>
                    <a:stretch/>
                  </pic:blipFill>
                  <pic:spPr bwMode="auto">
                    <a:xfrm>
                      <a:off x="0" y="0"/>
                      <a:ext cx="5562107" cy="2801885"/>
                    </a:xfrm>
                    <a:prstGeom prst="rect">
                      <a:avLst/>
                    </a:prstGeom>
                    <a:noFill/>
                    <a:ln>
                      <a:noFill/>
                    </a:ln>
                    <a:extLst>
                      <a:ext uri="{53640926-AAD7-44D8-BBD7-CCE9431645EC}">
                        <a14:shadowObscured xmlns:a14="http://schemas.microsoft.com/office/drawing/2010/main"/>
                      </a:ext>
                    </a:extLst>
                  </pic:spPr>
                </pic:pic>
              </a:graphicData>
            </a:graphic>
          </wp:inline>
        </w:drawing>
      </w:r>
    </w:p>
    <w:p w14:paraId="74352C21" w14:textId="4A804028" w:rsidR="00AB6F2D" w:rsidRDefault="009E6B91" w:rsidP="00993F33">
      <w:pPr>
        <w:pStyle w:val="Heading4"/>
      </w:pPr>
      <w:r>
        <w:rPr>
          <w:b/>
        </w:rPr>
        <w:t>Figure S</w:t>
      </w:r>
      <w:r w:rsidR="00507347">
        <w:rPr>
          <w:b/>
        </w:rPr>
        <w:t>10</w:t>
      </w:r>
      <w:r w:rsidR="00ED7EFF" w:rsidRPr="00993F33">
        <w:rPr>
          <w:b/>
        </w:rPr>
        <w:t xml:space="preserve">. </w:t>
      </w:r>
      <w:r w:rsidR="00045E22" w:rsidRPr="00993F33">
        <w:rPr>
          <w:b/>
        </w:rPr>
        <w:t xml:space="preserve">Proportion of unsuccessful outcomes resulting in death on treatment for previously treated </w:t>
      </w:r>
      <w:r w:rsidR="00C47DF8" w:rsidRPr="00993F33">
        <w:rPr>
          <w:b/>
        </w:rPr>
        <w:t xml:space="preserve">DS-TB </w:t>
      </w:r>
      <w:r w:rsidR="00045E22" w:rsidRPr="00993F33">
        <w:rPr>
          <w:b/>
        </w:rPr>
        <w:t>patients parameter.</w:t>
      </w:r>
      <w:r w:rsidR="00045E22">
        <w:t xml:space="preserve"> </w:t>
      </w:r>
      <w:r w:rsidR="00B33D1D">
        <w:t xml:space="preserve">This parameter is used to calculate the proportion of treatment outcomes resulting in death by multiplying its value by the complement of the treatment success rate. </w:t>
      </w:r>
      <w:r w:rsidR="009B7CFE">
        <w:t>Data source: WHO,</w:t>
      </w:r>
      <w:r w:rsidR="00267F64">
        <w:t xml:space="preserve"> Global Tuberculosis Report 2017</w:t>
      </w:r>
      <w:r w:rsidR="009B7CFE">
        <w:t>.</w:t>
      </w:r>
      <w:r w:rsidR="00BA0825">
        <w:t xml:space="preserve"> Note that </w:t>
      </w:r>
      <w:r w:rsidR="003F4885">
        <w:t xml:space="preserve">the </w:t>
      </w:r>
      <w:r w:rsidR="00BA0825">
        <w:t xml:space="preserve">value of </w:t>
      </w:r>
      <w:r w:rsidR="00993F33">
        <w:t xml:space="preserve">this </w:t>
      </w:r>
      <w:r w:rsidR="00BA0825">
        <w:t>parameter is irrelevant until case detection rate exceeds zero in 1950.</w:t>
      </w:r>
    </w:p>
    <w:p w14:paraId="0BFA1C3D" w14:textId="77777777" w:rsidR="00071847" w:rsidRPr="00071847" w:rsidRDefault="00071847" w:rsidP="00071847"/>
    <w:p w14:paraId="4763F6BE" w14:textId="5B30D0D5" w:rsidR="00413862" w:rsidRDefault="00DA5480" w:rsidP="00413862">
      <w:r>
        <w:rPr>
          <w:noProof/>
          <w:lang w:val="en-GB" w:eastAsia="en-GB"/>
        </w:rPr>
        <w:lastRenderedPageBreak/>
        <w:drawing>
          <wp:inline distT="0" distB="0" distL="0" distR="0" wp14:anchorId="465493F1" wp14:editId="17DDA677">
            <wp:extent cx="5517952" cy="2847975"/>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a:extLst>
                        <a:ext uri="{28A0092B-C50C-407E-A947-70E740481C1C}">
                          <a14:useLocalDpi xmlns:a14="http://schemas.microsoft.com/office/drawing/2010/main" val="0"/>
                        </a:ext>
                      </a:extLst>
                    </a:blip>
                    <a:srcRect l="5650" t="11845" r="6769" b="5548"/>
                    <a:stretch/>
                  </pic:blipFill>
                  <pic:spPr bwMode="auto">
                    <a:xfrm>
                      <a:off x="0" y="0"/>
                      <a:ext cx="5519650" cy="2848851"/>
                    </a:xfrm>
                    <a:prstGeom prst="rect">
                      <a:avLst/>
                    </a:prstGeom>
                    <a:noFill/>
                    <a:ln>
                      <a:noFill/>
                    </a:ln>
                    <a:extLst>
                      <a:ext uri="{53640926-AAD7-44D8-BBD7-CCE9431645EC}">
                        <a14:shadowObscured xmlns:a14="http://schemas.microsoft.com/office/drawing/2010/main"/>
                      </a:ext>
                    </a:extLst>
                  </pic:spPr>
                </pic:pic>
              </a:graphicData>
            </a:graphic>
          </wp:inline>
        </w:drawing>
      </w:r>
    </w:p>
    <w:p w14:paraId="556EBDCF" w14:textId="501F1D47" w:rsidR="009E6B91" w:rsidRDefault="00413862" w:rsidP="000D4450">
      <w:pPr>
        <w:pStyle w:val="Heading4"/>
      </w:pPr>
      <w:r>
        <w:rPr>
          <w:b/>
        </w:rPr>
        <w:t>Figure S</w:t>
      </w:r>
      <w:r w:rsidR="00507347">
        <w:rPr>
          <w:b/>
        </w:rPr>
        <w:t>11</w:t>
      </w:r>
      <w:r w:rsidRPr="00993F33">
        <w:rPr>
          <w:b/>
        </w:rPr>
        <w:t xml:space="preserve">. </w:t>
      </w:r>
      <w:r>
        <w:rPr>
          <w:b/>
        </w:rPr>
        <w:t xml:space="preserve">Treatment success proportion </w:t>
      </w:r>
      <w:r w:rsidR="00B20B74">
        <w:rPr>
          <w:b/>
        </w:rPr>
        <w:t>for</w:t>
      </w:r>
      <w:r>
        <w:rPr>
          <w:b/>
        </w:rPr>
        <w:t xml:space="preserve"> MDR-TB patients. </w:t>
      </w:r>
      <w:r>
        <w:t>Parameter applies to both new and re-treatment cases.</w:t>
      </w:r>
    </w:p>
    <w:p w14:paraId="0D83F093" w14:textId="77777777" w:rsidR="000D4450" w:rsidRPr="000D4450" w:rsidRDefault="000D4450" w:rsidP="000D4450"/>
    <w:p w14:paraId="55827A14" w14:textId="67CC9CD9" w:rsidR="009E6B91" w:rsidRDefault="00DA5480" w:rsidP="009E6B91">
      <w:r>
        <w:rPr>
          <w:noProof/>
          <w:lang w:val="en-GB" w:eastAsia="en-GB"/>
        </w:rPr>
        <w:drawing>
          <wp:inline distT="0" distB="0" distL="0" distR="0" wp14:anchorId="4324BE0A" wp14:editId="306565DA">
            <wp:extent cx="5603852" cy="2838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a:extLst>
                        <a:ext uri="{28A0092B-C50C-407E-A947-70E740481C1C}">
                          <a14:useLocalDpi xmlns:a14="http://schemas.microsoft.com/office/drawing/2010/main" val="0"/>
                        </a:ext>
                      </a:extLst>
                    </a:blip>
                    <a:srcRect l="4154" t="10630" r="6603" b="6762"/>
                    <a:stretch/>
                  </pic:blipFill>
                  <pic:spPr bwMode="auto">
                    <a:xfrm>
                      <a:off x="0" y="0"/>
                      <a:ext cx="5606292" cy="2839686"/>
                    </a:xfrm>
                    <a:prstGeom prst="rect">
                      <a:avLst/>
                    </a:prstGeom>
                    <a:noFill/>
                    <a:ln>
                      <a:noFill/>
                    </a:ln>
                    <a:extLst>
                      <a:ext uri="{53640926-AAD7-44D8-BBD7-CCE9431645EC}">
                        <a14:shadowObscured xmlns:a14="http://schemas.microsoft.com/office/drawing/2010/main"/>
                      </a:ext>
                    </a:extLst>
                  </pic:spPr>
                </pic:pic>
              </a:graphicData>
            </a:graphic>
          </wp:inline>
        </w:drawing>
      </w:r>
    </w:p>
    <w:p w14:paraId="54F4D9CB" w14:textId="76356BA4" w:rsidR="009E6B91" w:rsidRPr="009E6B91" w:rsidRDefault="009E6B91" w:rsidP="009E6B91">
      <w:pPr>
        <w:pStyle w:val="Heading4"/>
        <w:rPr>
          <w:b/>
        </w:rPr>
      </w:pPr>
      <w:r>
        <w:rPr>
          <w:b/>
        </w:rPr>
        <w:t>Figure S</w:t>
      </w:r>
      <w:r w:rsidR="000D4450">
        <w:rPr>
          <w:b/>
        </w:rPr>
        <w:t>12</w:t>
      </w:r>
      <w:r>
        <w:rPr>
          <w:b/>
        </w:rPr>
        <w:t xml:space="preserve">. </w:t>
      </w:r>
      <w:r w:rsidRPr="00993F33">
        <w:rPr>
          <w:b/>
        </w:rPr>
        <w:t xml:space="preserve">Proportion of unsuccessful outcomes resulting in death on treatment for </w:t>
      </w:r>
      <w:r>
        <w:rPr>
          <w:b/>
        </w:rPr>
        <w:t>MDR</w:t>
      </w:r>
      <w:r w:rsidRPr="00993F33">
        <w:rPr>
          <w:b/>
        </w:rPr>
        <w:t>-TB patients parameter.</w:t>
      </w:r>
      <w:r w:rsidR="00B20B74" w:rsidRPr="00B20B74">
        <w:t xml:space="preserve"> </w:t>
      </w:r>
      <w:r w:rsidR="00B20B74">
        <w:t>Parameter applies to both new and re-treatment cases.</w:t>
      </w:r>
    </w:p>
    <w:p w14:paraId="2BC0EACA" w14:textId="22FBFFCE" w:rsidR="000B36B5" w:rsidRDefault="000B36B5">
      <w:pPr>
        <w:spacing w:after="200" w:line="276" w:lineRule="auto"/>
        <w:jc w:val="left"/>
      </w:pPr>
      <w:r>
        <w:br w:type="page"/>
      </w:r>
    </w:p>
    <w:p w14:paraId="21D092A3" w14:textId="66BCAA17" w:rsidR="00D001EF" w:rsidRDefault="00DA5480" w:rsidP="000B36B5">
      <w:r>
        <w:rPr>
          <w:noProof/>
          <w:lang w:val="en-GB" w:eastAsia="en-GB"/>
        </w:rPr>
        <w:lastRenderedPageBreak/>
        <w:drawing>
          <wp:inline distT="0" distB="0" distL="0" distR="0" wp14:anchorId="1981C116" wp14:editId="3AB8C09C">
            <wp:extent cx="5254553" cy="265747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a:extLst>
                        <a:ext uri="{28A0092B-C50C-407E-A947-70E740481C1C}">
                          <a14:useLocalDpi xmlns:a14="http://schemas.microsoft.com/office/drawing/2010/main" val="0"/>
                        </a:ext>
                      </a:extLst>
                    </a:blip>
                    <a:srcRect l="6481" t="12756" r="6769" b="7065"/>
                    <a:stretch/>
                  </pic:blipFill>
                  <pic:spPr bwMode="auto">
                    <a:xfrm>
                      <a:off x="0" y="0"/>
                      <a:ext cx="5256403" cy="2658411"/>
                    </a:xfrm>
                    <a:prstGeom prst="rect">
                      <a:avLst/>
                    </a:prstGeom>
                    <a:noFill/>
                    <a:ln>
                      <a:noFill/>
                    </a:ln>
                    <a:extLst>
                      <a:ext uri="{53640926-AAD7-44D8-BBD7-CCE9431645EC}">
                        <a14:shadowObscured xmlns:a14="http://schemas.microsoft.com/office/drawing/2010/main"/>
                      </a:ext>
                    </a:extLst>
                  </pic:spPr>
                </pic:pic>
              </a:graphicData>
            </a:graphic>
          </wp:inline>
        </w:drawing>
      </w:r>
    </w:p>
    <w:p w14:paraId="34DB15AF" w14:textId="29320DAB" w:rsidR="00D001EF" w:rsidRDefault="00D001EF" w:rsidP="00D001EF">
      <w:pPr>
        <w:pStyle w:val="Heading4"/>
      </w:pPr>
      <w:r>
        <w:rPr>
          <w:b/>
        </w:rPr>
        <w:t>Figure S</w:t>
      </w:r>
      <w:r w:rsidR="00177B60">
        <w:rPr>
          <w:b/>
        </w:rPr>
        <w:t>13</w:t>
      </w:r>
      <w:r>
        <w:rPr>
          <w:b/>
        </w:rPr>
        <w:t xml:space="preserve">. Treatment success proportion </w:t>
      </w:r>
      <w:r w:rsidR="00B20B74">
        <w:rPr>
          <w:b/>
        </w:rPr>
        <w:t>for</w:t>
      </w:r>
      <w:r>
        <w:rPr>
          <w:b/>
        </w:rPr>
        <w:t xml:space="preserve"> patients on an inappropriate regimen. </w:t>
      </w:r>
      <w:r>
        <w:t xml:space="preserve">In this </w:t>
      </w:r>
      <w:r w:rsidR="00177B60">
        <w:t xml:space="preserve">two-strain </w:t>
      </w:r>
      <w:r>
        <w:t>application to Bulgaria, inappropriate regimen refers to patients with MDR-TB treated with a standard regimen for DS-TB only. Parameter applies to both new and re-treatment patients.</w:t>
      </w:r>
    </w:p>
    <w:p w14:paraId="53DBB383" w14:textId="77777777" w:rsidR="00D001EF" w:rsidRDefault="00D001EF" w:rsidP="000B36B5"/>
    <w:p w14:paraId="3891530F" w14:textId="3C8DE14D" w:rsidR="000B36B5" w:rsidRDefault="00DA5480" w:rsidP="000B36B5">
      <w:r>
        <w:rPr>
          <w:noProof/>
          <w:lang w:val="en-GB" w:eastAsia="en-GB"/>
        </w:rPr>
        <w:drawing>
          <wp:inline distT="0" distB="0" distL="0" distR="0" wp14:anchorId="5520A58E" wp14:editId="64A013D7">
            <wp:extent cx="5423279" cy="275272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a:extLst>
                        <a:ext uri="{28A0092B-C50C-407E-A947-70E740481C1C}">
                          <a14:useLocalDpi xmlns:a14="http://schemas.microsoft.com/office/drawing/2010/main" val="0"/>
                        </a:ext>
                      </a:extLst>
                    </a:blip>
                    <a:srcRect l="5318" t="13059" r="6936" b="5548"/>
                    <a:stretch/>
                  </pic:blipFill>
                  <pic:spPr bwMode="auto">
                    <a:xfrm>
                      <a:off x="0" y="0"/>
                      <a:ext cx="5427039" cy="2754634"/>
                    </a:xfrm>
                    <a:prstGeom prst="rect">
                      <a:avLst/>
                    </a:prstGeom>
                    <a:noFill/>
                    <a:ln>
                      <a:noFill/>
                    </a:ln>
                    <a:extLst>
                      <a:ext uri="{53640926-AAD7-44D8-BBD7-CCE9431645EC}">
                        <a14:shadowObscured xmlns:a14="http://schemas.microsoft.com/office/drawing/2010/main"/>
                      </a:ext>
                    </a:extLst>
                  </pic:spPr>
                </pic:pic>
              </a:graphicData>
            </a:graphic>
          </wp:inline>
        </w:drawing>
      </w:r>
    </w:p>
    <w:p w14:paraId="183193B9" w14:textId="352A099C" w:rsidR="000B36B5" w:rsidRPr="00884655" w:rsidRDefault="000B36B5" w:rsidP="000B36B5">
      <w:pPr>
        <w:pStyle w:val="Heading4"/>
      </w:pPr>
      <w:r>
        <w:rPr>
          <w:b/>
        </w:rPr>
        <w:t>Figure S</w:t>
      </w:r>
      <w:r w:rsidR="00177B60">
        <w:rPr>
          <w:b/>
        </w:rPr>
        <w:t>14</w:t>
      </w:r>
      <w:r>
        <w:rPr>
          <w:b/>
        </w:rPr>
        <w:t xml:space="preserve">. </w:t>
      </w:r>
      <w:r w:rsidRPr="00993F33">
        <w:rPr>
          <w:b/>
        </w:rPr>
        <w:t xml:space="preserve">Proportion of unsuccessful outcomes resulting in death on treatment for </w:t>
      </w:r>
      <w:r>
        <w:rPr>
          <w:b/>
        </w:rPr>
        <w:t>patient</w:t>
      </w:r>
      <w:r w:rsidR="00BB0FAB">
        <w:rPr>
          <w:b/>
        </w:rPr>
        <w:t>s</w:t>
      </w:r>
      <w:r>
        <w:rPr>
          <w:b/>
        </w:rPr>
        <w:t xml:space="preserve"> on an inappropriate regimen. </w:t>
      </w:r>
      <w:r w:rsidR="00B33D1D">
        <w:t xml:space="preserve">This parameter is used to calculate the proportion of treatment outcomes resulting in death by multiplying its value by the complement of the treatment success rate. </w:t>
      </w:r>
      <w:r w:rsidR="00884655">
        <w:t>Parameter applies to both new and re-treatment patients.</w:t>
      </w:r>
    </w:p>
    <w:p w14:paraId="3E85B7DE" w14:textId="77777777" w:rsidR="00817282" w:rsidRPr="00817282" w:rsidRDefault="00817282" w:rsidP="00817282"/>
    <w:p w14:paraId="70974D96" w14:textId="7C63CAF1" w:rsidR="0075053C" w:rsidRDefault="00DA5480" w:rsidP="00264908">
      <w:r>
        <w:rPr>
          <w:noProof/>
          <w:lang w:val="en-GB" w:eastAsia="en-GB"/>
        </w:rPr>
        <w:lastRenderedPageBreak/>
        <w:drawing>
          <wp:inline distT="0" distB="0" distL="0" distR="0" wp14:anchorId="67881A46" wp14:editId="548DE85D">
            <wp:extent cx="5302165" cy="26765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l="6315" t="12148" r="7102" b="7977"/>
                    <a:stretch/>
                  </pic:blipFill>
                  <pic:spPr bwMode="auto">
                    <a:xfrm>
                      <a:off x="0" y="0"/>
                      <a:ext cx="5303844" cy="2677373"/>
                    </a:xfrm>
                    <a:prstGeom prst="rect">
                      <a:avLst/>
                    </a:prstGeom>
                    <a:noFill/>
                    <a:ln>
                      <a:noFill/>
                    </a:ln>
                    <a:extLst>
                      <a:ext uri="{53640926-AAD7-44D8-BBD7-CCE9431645EC}">
                        <a14:shadowObscured xmlns:a14="http://schemas.microsoft.com/office/drawing/2010/main"/>
                      </a:ext>
                    </a:extLst>
                  </pic:spPr>
                </pic:pic>
              </a:graphicData>
            </a:graphic>
          </wp:inline>
        </w:drawing>
      </w:r>
    </w:p>
    <w:p w14:paraId="5CD0ABDB" w14:textId="781ACC62" w:rsidR="0075053C" w:rsidRDefault="0075053C" w:rsidP="0075053C">
      <w:pPr>
        <w:pStyle w:val="Heading4"/>
        <w:rPr>
          <w:b/>
        </w:rPr>
      </w:pPr>
      <w:r>
        <w:rPr>
          <w:b/>
        </w:rPr>
        <w:t>Figure S</w:t>
      </w:r>
      <w:r w:rsidR="00BB0FAB">
        <w:rPr>
          <w:b/>
        </w:rPr>
        <w:t>15</w:t>
      </w:r>
      <w:r w:rsidRPr="00993F33">
        <w:rPr>
          <w:b/>
        </w:rPr>
        <w:t xml:space="preserve">. </w:t>
      </w:r>
      <w:r>
        <w:rPr>
          <w:b/>
        </w:rPr>
        <w:t xml:space="preserve">Coverage of </w:t>
      </w:r>
      <w:r w:rsidR="00B33D1D">
        <w:rPr>
          <w:b/>
          <w:i w:val="0"/>
        </w:rPr>
        <w:t xml:space="preserve">Mtb </w:t>
      </w:r>
      <w:r>
        <w:rPr>
          <w:b/>
        </w:rPr>
        <w:t>culture testing.</w:t>
      </w:r>
    </w:p>
    <w:p w14:paraId="6C866287" w14:textId="77777777" w:rsidR="0075053C" w:rsidRPr="0075053C" w:rsidRDefault="0075053C" w:rsidP="0075053C"/>
    <w:p w14:paraId="4E693578" w14:textId="77777777" w:rsidR="00DA5480" w:rsidRDefault="00DA5480" w:rsidP="00DA5480">
      <w:pPr>
        <w:rPr>
          <w:b/>
        </w:rPr>
      </w:pPr>
      <w:r>
        <w:rPr>
          <w:noProof/>
          <w:lang w:val="en-GB" w:eastAsia="en-GB"/>
        </w:rPr>
        <w:drawing>
          <wp:inline distT="0" distB="0" distL="0" distR="0" wp14:anchorId="57163F30" wp14:editId="7808CB18">
            <wp:extent cx="5517648" cy="290512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a:extLst>
                        <a:ext uri="{28A0092B-C50C-407E-A947-70E740481C1C}">
                          <a14:useLocalDpi xmlns:a14="http://schemas.microsoft.com/office/drawing/2010/main" val="0"/>
                        </a:ext>
                      </a:extLst>
                    </a:blip>
                    <a:srcRect l="5483" t="10326" r="6770" b="5244"/>
                    <a:stretch/>
                  </pic:blipFill>
                  <pic:spPr bwMode="auto">
                    <a:xfrm>
                      <a:off x="0" y="0"/>
                      <a:ext cx="5520656" cy="2906709"/>
                    </a:xfrm>
                    <a:prstGeom prst="rect">
                      <a:avLst/>
                    </a:prstGeom>
                    <a:noFill/>
                    <a:ln>
                      <a:noFill/>
                    </a:ln>
                    <a:extLst>
                      <a:ext uri="{53640926-AAD7-44D8-BBD7-CCE9431645EC}">
                        <a14:shadowObscured xmlns:a14="http://schemas.microsoft.com/office/drawing/2010/main"/>
                      </a:ext>
                    </a:extLst>
                  </pic:spPr>
                </pic:pic>
              </a:graphicData>
            </a:graphic>
          </wp:inline>
        </w:drawing>
      </w:r>
    </w:p>
    <w:p w14:paraId="315DCC39" w14:textId="74F3F775" w:rsidR="00817282" w:rsidRPr="0075053C" w:rsidRDefault="003F597E" w:rsidP="00817282">
      <w:pPr>
        <w:pStyle w:val="Heading4"/>
      </w:pPr>
      <w:r>
        <w:rPr>
          <w:b/>
        </w:rPr>
        <w:t>Figure S</w:t>
      </w:r>
      <w:r w:rsidR="00BB0FAB">
        <w:rPr>
          <w:b/>
        </w:rPr>
        <w:t>16</w:t>
      </w:r>
      <w:r w:rsidR="00817282" w:rsidRPr="00993F33">
        <w:rPr>
          <w:b/>
        </w:rPr>
        <w:t xml:space="preserve">. </w:t>
      </w:r>
      <w:r w:rsidR="00817282">
        <w:rPr>
          <w:b/>
        </w:rPr>
        <w:t>Coverage of first-line drug susceptibility testing.</w:t>
      </w:r>
      <w:r w:rsidR="0075053C">
        <w:rPr>
          <w:b/>
        </w:rPr>
        <w:t xml:space="preserve"> </w:t>
      </w:r>
      <w:r w:rsidR="00B20B74">
        <w:t>Applicable only</w:t>
      </w:r>
      <w:r w:rsidR="0075053C">
        <w:t xml:space="preserve"> to those for whom culture testing is available.</w:t>
      </w:r>
    </w:p>
    <w:p w14:paraId="5BE62CB6" w14:textId="77777777" w:rsidR="002F374A" w:rsidRPr="002F374A" w:rsidRDefault="002F374A" w:rsidP="002F374A"/>
    <w:p w14:paraId="483A6D6E" w14:textId="2258408C" w:rsidR="004D442E" w:rsidRDefault="00DA5480" w:rsidP="004D442E">
      <w:r>
        <w:rPr>
          <w:noProof/>
          <w:lang w:val="en-GB" w:eastAsia="en-GB"/>
        </w:rPr>
        <w:lastRenderedPageBreak/>
        <w:drawing>
          <wp:inline distT="0" distB="0" distL="0" distR="0" wp14:anchorId="16090527" wp14:editId="448C1E34">
            <wp:extent cx="5552686" cy="28289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a:extLst>
                        <a:ext uri="{28A0092B-C50C-407E-A947-70E740481C1C}">
                          <a14:useLocalDpi xmlns:a14="http://schemas.microsoft.com/office/drawing/2010/main" val="0"/>
                        </a:ext>
                      </a:extLst>
                    </a:blip>
                    <a:srcRect l="5318" t="11237" r="6936" b="7066"/>
                    <a:stretch/>
                  </pic:blipFill>
                  <pic:spPr bwMode="auto">
                    <a:xfrm>
                      <a:off x="0" y="0"/>
                      <a:ext cx="5555682" cy="2830451"/>
                    </a:xfrm>
                    <a:prstGeom prst="rect">
                      <a:avLst/>
                    </a:prstGeom>
                    <a:noFill/>
                    <a:ln>
                      <a:noFill/>
                    </a:ln>
                    <a:extLst>
                      <a:ext uri="{53640926-AAD7-44D8-BBD7-CCE9431645EC}">
                        <a14:shadowObscured xmlns:a14="http://schemas.microsoft.com/office/drawing/2010/main"/>
                      </a:ext>
                    </a:extLst>
                  </pic:spPr>
                </pic:pic>
              </a:graphicData>
            </a:graphic>
          </wp:inline>
        </w:drawing>
      </w:r>
    </w:p>
    <w:p w14:paraId="0FFD3ABA" w14:textId="65EEADB6" w:rsidR="004D442E" w:rsidRPr="00BB0FAB" w:rsidRDefault="004D442E" w:rsidP="004D442E">
      <w:pPr>
        <w:pStyle w:val="Heading4"/>
      </w:pPr>
      <w:r>
        <w:rPr>
          <w:b/>
        </w:rPr>
        <w:t>Figure S1</w:t>
      </w:r>
      <w:r w:rsidR="00BB0FAB">
        <w:rPr>
          <w:b/>
        </w:rPr>
        <w:t>7</w:t>
      </w:r>
      <w:r w:rsidRPr="00993F33">
        <w:rPr>
          <w:b/>
        </w:rPr>
        <w:t xml:space="preserve">. </w:t>
      </w:r>
      <w:r>
        <w:rPr>
          <w:b/>
        </w:rPr>
        <w:t>Coverage of isoniazid preventive therapy in ages 15 and under.</w:t>
      </w:r>
      <w:r w:rsidR="00BB0FAB">
        <w:t xml:space="preserve"> That is, applied </w:t>
      </w:r>
      <w:r w:rsidR="00B20B74">
        <w:t>to both the under 5 age group</w:t>
      </w:r>
      <w:r w:rsidR="00BB0FAB">
        <w:t xml:space="preserve"> and </w:t>
      </w:r>
      <w:r w:rsidR="00B20B74">
        <w:t xml:space="preserve">the </w:t>
      </w:r>
      <w:r w:rsidR="00BB0FAB">
        <w:t>5</w:t>
      </w:r>
      <w:r w:rsidR="00B20B74">
        <w:t xml:space="preserve"> to 15 age group</w:t>
      </w:r>
      <w:r w:rsidR="00BB0FAB">
        <w:t>.</w:t>
      </w:r>
    </w:p>
    <w:p w14:paraId="062BCE59" w14:textId="77777777" w:rsidR="00455158" w:rsidRDefault="00455158" w:rsidP="00455158">
      <w:pPr>
        <w:spacing w:after="200" w:line="276" w:lineRule="auto"/>
        <w:jc w:val="left"/>
      </w:pPr>
    </w:p>
    <w:p w14:paraId="61895611" w14:textId="2213B9F0" w:rsidR="00D31E22" w:rsidRDefault="00DA5480" w:rsidP="00455158">
      <w:pPr>
        <w:spacing w:after="200" w:line="276" w:lineRule="auto"/>
        <w:jc w:val="left"/>
      </w:pPr>
      <w:r>
        <w:rPr>
          <w:noProof/>
          <w:lang w:val="en-GB" w:eastAsia="en-GB"/>
        </w:rPr>
        <w:drawing>
          <wp:inline distT="0" distB="0" distL="0" distR="0" wp14:anchorId="24C32C7D" wp14:editId="4828C190">
            <wp:extent cx="5435411" cy="274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a:extLst>
                        <a:ext uri="{28A0092B-C50C-407E-A947-70E740481C1C}">
                          <a14:useLocalDpi xmlns:a14="http://schemas.microsoft.com/office/drawing/2010/main" val="0"/>
                        </a:ext>
                      </a:extLst>
                    </a:blip>
                    <a:srcRect l="5153" t="11845" r="6270" b="6459"/>
                    <a:stretch/>
                  </pic:blipFill>
                  <pic:spPr bwMode="auto">
                    <a:xfrm>
                      <a:off x="0" y="0"/>
                      <a:ext cx="5438189" cy="2744602"/>
                    </a:xfrm>
                    <a:prstGeom prst="rect">
                      <a:avLst/>
                    </a:prstGeom>
                    <a:noFill/>
                    <a:ln>
                      <a:noFill/>
                    </a:ln>
                    <a:extLst>
                      <a:ext uri="{53640926-AAD7-44D8-BBD7-CCE9431645EC}">
                        <a14:shadowObscured xmlns:a14="http://schemas.microsoft.com/office/drawing/2010/main"/>
                      </a:ext>
                    </a:extLst>
                  </pic:spPr>
                </pic:pic>
              </a:graphicData>
            </a:graphic>
          </wp:inline>
        </w:drawing>
      </w:r>
    </w:p>
    <w:p w14:paraId="39986667" w14:textId="6232C8DA" w:rsidR="00D31E22" w:rsidRPr="00557951" w:rsidRDefault="00D31E22" w:rsidP="00D31E22">
      <w:pPr>
        <w:pStyle w:val="Heading4"/>
      </w:pPr>
      <w:r>
        <w:rPr>
          <w:b/>
        </w:rPr>
        <w:t>Figure S1</w:t>
      </w:r>
      <w:r w:rsidR="00892353">
        <w:rPr>
          <w:b/>
        </w:rPr>
        <w:t>8</w:t>
      </w:r>
      <w:r w:rsidRPr="00993F33">
        <w:rPr>
          <w:b/>
        </w:rPr>
        <w:t xml:space="preserve">. </w:t>
      </w:r>
      <w:r>
        <w:rPr>
          <w:b/>
        </w:rPr>
        <w:t xml:space="preserve">Baseline coverage of treatment support intervention for </w:t>
      </w:r>
      <w:r w:rsidR="00E3551E">
        <w:rPr>
          <w:b/>
        </w:rPr>
        <w:t>DS-</w:t>
      </w:r>
      <w:r>
        <w:rPr>
          <w:b/>
        </w:rPr>
        <w:t>TB.</w:t>
      </w:r>
    </w:p>
    <w:p w14:paraId="32243D5D" w14:textId="3352EE5B" w:rsidR="00455158" w:rsidRDefault="00455158">
      <w:pPr>
        <w:spacing w:after="200" w:line="276" w:lineRule="auto"/>
        <w:jc w:val="left"/>
      </w:pPr>
      <w:r>
        <w:br w:type="page"/>
      </w:r>
    </w:p>
    <w:p w14:paraId="0F8EDD2C" w14:textId="58746ADF" w:rsidR="00455158" w:rsidRDefault="00DA5480" w:rsidP="00455158">
      <w:r>
        <w:rPr>
          <w:noProof/>
          <w:lang w:val="en-GB" w:eastAsia="en-GB"/>
        </w:rPr>
        <w:lastRenderedPageBreak/>
        <w:drawing>
          <wp:inline distT="0" distB="0" distL="0" distR="0" wp14:anchorId="3F4CF349" wp14:editId="507EFFAE">
            <wp:extent cx="5590172" cy="2800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a:extLst>
                        <a:ext uri="{28A0092B-C50C-407E-A947-70E740481C1C}">
                          <a14:useLocalDpi xmlns:a14="http://schemas.microsoft.com/office/drawing/2010/main" val="0"/>
                        </a:ext>
                      </a:extLst>
                    </a:blip>
                    <a:srcRect l="4987" t="12756" r="6769" b="6458"/>
                    <a:stretch/>
                  </pic:blipFill>
                  <pic:spPr bwMode="auto">
                    <a:xfrm>
                      <a:off x="0" y="0"/>
                      <a:ext cx="5592841" cy="2801687"/>
                    </a:xfrm>
                    <a:prstGeom prst="rect">
                      <a:avLst/>
                    </a:prstGeom>
                    <a:noFill/>
                    <a:ln>
                      <a:noFill/>
                    </a:ln>
                    <a:extLst>
                      <a:ext uri="{53640926-AAD7-44D8-BBD7-CCE9431645EC}">
                        <a14:shadowObscured xmlns:a14="http://schemas.microsoft.com/office/drawing/2010/main"/>
                      </a:ext>
                    </a:extLst>
                  </pic:spPr>
                </pic:pic>
              </a:graphicData>
            </a:graphic>
          </wp:inline>
        </w:drawing>
      </w:r>
    </w:p>
    <w:p w14:paraId="6A35F955" w14:textId="51504922" w:rsidR="00455158" w:rsidRDefault="00455158" w:rsidP="00455158">
      <w:pPr>
        <w:pStyle w:val="Heading4"/>
        <w:rPr>
          <w:b/>
        </w:rPr>
      </w:pPr>
      <w:r>
        <w:rPr>
          <w:b/>
        </w:rPr>
        <w:t>Figure S</w:t>
      </w:r>
      <w:r w:rsidR="00892353">
        <w:rPr>
          <w:b/>
        </w:rPr>
        <w:t>19</w:t>
      </w:r>
      <w:r w:rsidRPr="00993F33">
        <w:rPr>
          <w:b/>
        </w:rPr>
        <w:t xml:space="preserve">. </w:t>
      </w:r>
      <w:r>
        <w:rPr>
          <w:b/>
        </w:rPr>
        <w:t>Baseline coverage of treatment support intervention for MDR-TB.</w:t>
      </w:r>
    </w:p>
    <w:p w14:paraId="063CE8C2" w14:textId="59FBA229" w:rsidR="008C6780" w:rsidRDefault="00325C67" w:rsidP="00993F33">
      <w:pPr>
        <w:pStyle w:val="Heading1"/>
        <w:numPr>
          <w:ilvl w:val="0"/>
          <w:numId w:val="9"/>
        </w:numPr>
      </w:pPr>
      <w:r>
        <w:t>Constant parameters</w:t>
      </w:r>
    </w:p>
    <w:p w14:paraId="69BA1571" w14:textId="21A33082" w:rsidR="00325C67" w:rsidRDefault="001D3BA4" w:rsidP="00325C67">
      <w:r>
        <w:t xml:space="preserve">The constant parameters that do not vary with calendar time of model integration are presented in </w:t>
      </w:r>
      <w:r w:rsidR="00C61657">
        <w:t>T</w:t>
      </w:r>
      <w:r>
        <w:t>able</w:t>
      </w:r>
      <w:r w:rsidR="001C7673">
        <w:t xml:space="preserve"> </w:t>
      </w:r>
      <w:r w:rsidR="00C61657">
        <w:t xml:space="preserve">S1 </w:t>
      </w:r>
      <w:r>
        <w:t>below. The rationale and review of relevant evidence used to determine these parameter values are presented in the following sections (S</w:t>
      </w:r>
      <w:r w:rsidR="002B13E3">
        <w:t xml:space="preserve">ection </w:t>
      </w:r>
      <w:r w:rsidR="002B13E3">
        <w:fldChar w:fldCharType="begin"/>
      </w:r>
      <w:r w:rsidR="002B13E3">
        <w:instrText xml:space="preserve"> REF _Ref521591616 \r \h </w:instrText>
      </w:r>
      <w:r w:rsidR="002B13E3">
        <w:fldChar w:fldCharType="separate"/>
      </w:r>
      <w:r w:rsidR="002B13E3">
        <w:t>7</w:t>
      </w:r>
      <w:r w:rsidR="002B13E3">
        <w:fldChar w:fldCharType="end"/>
      </w:r>
      <w:r>
        <w:t xml:space="preserve"> and beyond).</w:t>
      </w:r>
    </w:p>
    <w:p w14:paraId="1FC1D6C4" w14:textId="2696D905" w:rsidR="00C61657" w:rsidRPr="001C7673" w:rsidRDefault="00C61657" w:rsidP="001C7673">
      <w:pPr>
        <w:pStyle w:val="Heading4"/>
        <w:rPr>
          <w:b/>
        </w:rPr>
      </w:pPr>
      <w:r w:rsidRPr="001C7673">
        <w:rPr>
          <w:b/>
        </w:rPr>
        <w:t>Table S1. Input values of constant parameters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365"/>
        <w:gridCol w:w="1274"/>
      </w:tblGrid>
      <w:tr w:rsidR="000633AF" w14:paraId="7C2AFFCC" w14:textId="77777777" w:rsidTr="001C7673">
        <w:tc>
          <w:tcPr>
            <w:tcW w:w="5387" w:type="dxa"/>
            <w:tcBorders>
              <w:bottom w:val="single" w:sz="4" w:space="0" w:color="auto"/>
            </w:tcBorders>
          </w:tcPr>
          <w:p w14:paraId="22D58E62" w14:textId="77777777" w:rsidR="000633AF" w:rsidRDefault="000633AF" w:rsidP="001C7673">
            <w:pPr>
              <w:pStyle w:val="Subtitle"/>
              <w:jc w:val="left"/>
            </w:pPr>
            <w:r>
              <w:t>Parameter</w:t>
            </w:r>
          </w:p>
        </w:tc>
        <w:tc>
          <w:tcPr>
            <w:tcW w:w="2365" w:type="dxa"/>
            <w:tcBorders>
              <w:bottom w:val="single" w:sz="4" w:space="0" w:color="auto"/>
            </w:tcBorders>
          </w:tcPr>
          <w:p w14:paraId="75C40284" w14:textId="77777777" w:rsidR="000633AF" w:rsidRDefault="000633AF" w:rsidP="001C7673">
            <w:pPr>
              <w:pStyle w:val="Subtitle"/>
              <w:jc w:val="left"/>
            </w:pPr>
            <w:r>
              <w:t>Value</w:t>
            </w:r>
          </w:p>
        </w:tc>
        <w:tc>
          <w:tcPr>
            <w:tcW w:w="1274" w:type="dxa"/>
            <w:tcBorders>
              <w:bottom w:val="single" w:sz="4" w:space="0" w:color="auto"/>
            </w:tcBorders>
          </w:tcPr>
          <w:p w14:paraId="7BA175A4" w14:textId="77777777" w:rsidR="000633AF" w:rsidRDefault="000633AF" w:rsidP="001C7673">
            <w:pPr>
              <w:pStyle w:val="Subtitle"/>
              <w:jc w:val="left"/>
            </w:pPr>
            <w:r>
              <w:t>Unit</w:t>
            </w:r>
          </w:p>
        </w:tc>
      </w:tr>
      <w:tr w:rsidR="000633AF" w14:paraId="4383E8E7" w14:textId="77777777" w:rsidTr="001C7673">
        <w:tc>
          <w:tcPr>
            <w:tcW w:w="5387" w:type="dxa"/>
            <w:tcBorders>
              <w:top w:val="single" w:sz="4" w:space="0" w:color="auto"/>
              <w:bottom w:val="single" w:sz="4" w:space="0" w:color="BFBFBF" w:themeColor="background1" w:themeShade="BF"/>
            </w:tcBorders>
          </w:tcPr>
          <w:p w14:paraId="18A4329E" w14:textId="77777777" w:rsidR="000633AF" w:rsidRDefault="000D29A3" w:rsidP="001C7673">
            <w:pPr>
              <w:pStyle w:val="Subtitle"/>
              <w:jc w:val="left"/>
            </w:pPr>
            <w:r>
              <w:t>Latency progression parameters</w:t>
            </w:r>
          </w:p>
        </w:tc>
        <w:tc>
          <w:tcPr>
            <w:tcW w:w="2365" w:type="dxa"/>
            <w:tcBorders>
              <w:top w:val="single" w:sz="4" w:space="0" w:color="auto"/>
              <w:bottom w:val="single" w:sz="4" w:space="0" w:color="BFBFBF" w:themeColor="background1" w:themeShade="BF"/>
            </w:tcBorders>
          </w:tcPr>
          <w:p w14:paraId="6E369476" w14:textId="77777777" w:rsidR="000633AF" w:rsidRDefault="000633AF" w:rsidP="001C7673">
            <w:pPr>
              <w:pStyle w:val="Subtitle"/>
              <w:jc w:val="left"/>
            </w:pPr>
          </w:p>
        </w:tc>
        <w:tc>
          <w:tcPr>
            <w:tcW w:w="1274" w:type="dxa"/>
            <w:tcBorders>
              <w:top w:val="single" w:sz="4" w:space="0" w:color="auto"/>
              <w:bottom w:val="single" w:sz="4" w:space="0" w:color="BFBFBF" w:themeColor="background1" w:themeShade="BF"/>
            </w:tcBorders>
          </w:tcPr>
          <w:p w14:paraId="3EEA747E" w14:textId="77777777" w:rsidR="000633AF" w:rsidRDefault="000633AF" w:rsidP="001C7673">
            <w:pPr>
              <w:pStyle w:val="Subtitle"/>
              <w:jc w:val="left"/>
            </w:pPr>
          </w:p>
        </w:tc>
      </w:tr>
      <w:tr w:rsidR="00856C33" w14:paraId="7DFE5AA0" w14:textId="77777777" w:rsidTr="001C7673">
        <w:tc>
          <w:tcPr>
            <w:tcW w:w="5387" w:type="dxa"/>
            <w:tcBorders>
              <w:top w:val="single" w:sz="4" w:space="0" w:color="BFBFBF" w:themeColor="background1" w:themeShade="BF"/>
              <w:bottom w:val="single" w:sz="4" w:space="0" w:color="BFBFBF" w:themeColor="background1" w:themeShade="BF"/>
            </w:tcBorders>
          </w:tcPr>
          <w:p w14:paraId="368ACBAC" w14:textId="77777777" w:rsidR="00856C33" w:rsidRDefault="00856C33" w:rsidP="001C7673">
            <w:pPr>
              <w:pStyle w:val="ListParagraph"/>
              <w:jc w:val="left"/>
            </w:pPr>
            <w:r>
              <w:t>Duration in early latency</w:t>
            </w:r>
            <w:r w:rsidRPr="008C6780">
              <w:t xml:space="preserve"> </w:t>
            </w:r>
            <w:r w:rsidR="00262E55">
              <w:t>(all age groups)</w:t>
            </w:r>
          </w:p>
        </w:tc>
        <w:tc>
          <w:tcPr>
            <w:tcW w:w="2365" w:type="dxa"/>
            <w:tcBorders>
              <w:top w:val="single" w:sz="4" w:space="0" w:color="BFBFBF" w:themeColor="background1" w:themeShade="BF"/>
              <w:bottom w:val="single" w:sz="4" w:space="0" w:color="BFBFBF" w:themeColor="background1" w:themeShade="BF"/>
            </w:tcBorders>
          </w:tcPr>
          <w:p w14:paraId="05B45297" w14:textId="77777777" w:rsidR="00856C33" w:rsidRDefault="00856C33" w:rsidP="001C7673">
            <w:pPr>
              <w:pStyle w:val="ListParagraph"/>
              <w:jc w:val="left"/>
            </w:pPr>
            <w:r>
              <w:t>60</w:t>
            </w:r>
          </w:p>
        </w:tc>
        <w:tc>
          <w:tcPr>
            <w:tcW w:w="1274" w:type="dxa"/>
            <w:tcBorders>
              <w:top w:val="single" w:sz="4" w:space="0" w:color="BFBFBF" w:themeColor="background1" w:themeShade="BF"/>
              <w:bottom w:val="single" w:sz="4" w:space="0" w:color="BFBFBF" w:themeColor="background1" w:themeShade="BF"/>
            </w:tcBorders>
          </w:tcPr>
          <w:p w14:paraId="71D11ACF" w14:textId="77777777" w:rsidR="00856C33" w:rsidRPr="008C6780" w:rsidRDefault="00856C33" w:rsidP="001C7673">
            <w:pPr>
              <w:pStyle w:val="ListParagraph"/>
              <w:jc w:val="left"/>
            </w:pPr>
            <w:r>
              <w:t>Days</w:t>
            </w:r>
          </w:p>
        </w:tc>
      </w:tr>
      <w:tr w:rsidR="00856C33" w14:paraId="27CDE730" w14:textId="77777777" w:rsidTr="001C7673">
        <w:tc>
          <w:tcPr>
            <w:tcW w:w="5387" w:type="dxa"/>
            <w:tcBorders>
              <w:top w:val="single" w:sz="4" w:space="0" w:color="BFBFBF" w:themeColor="background1" w:themeShade="BF"/>
              <w:bottom w:val="single" w:sz="4" w:space="0" w:color="BFBFBF" w:themeColor="background1" w:themeShade="BF"/>
            </w:tcBorders>
          </w:tcPr>
          <w:p w14:paraId="21E7ADD4" w14:textId="77777777" w:rsidR="00856C33" w:rsidRDefault="00856C33" w:rsidP="001C7673">
            <w:pPr>
              <w:pStyle w:val="ListParagraph"/>
              <w:jc w:val="left"/>
            </w:pPr>
            <w:r>
              <w:t>Proportion of persons progressing to active TB from early latency if aged under 5 years</w:t>
            </w:r>
          </w:p>
        </w:tc>
        <w:tc>
          <w:tcPr>
            <w:tcW w:w="2365" w:type="dxa"/>
            <w:tcBorders>
              <w:top w:val="single" w:sz="4" w:space="0" w:color="BFBFBF" w:themeColor="background1" w:themeShade="BF"/>
              <w:bottom w:val="single" w:sz="4" w:space="0" w:color="BFBFBF" w:themeColor="background1" w:themeShade="BF"/>
            </w:tcBorders>
          </w:tcPr>
          <w:p w14:paraId="500461AD" w14:textId="4DF3420C" w:rsidR="00856C33" w:rsidRDefault="00856C33" w:rsidP="001C7673">
            <w:pPr>
              <w:pStyle w:val="ListParagraph"/>
              <w:jc w:val="left"/>
            </w:pPr>
            <w:r>
              <w:t>56</w:t>
            </w:r>
          </w:p>
        </w:tc>
        <w:tc>
          <w:tcPr>
            <w:tcW w:w="1274" w:type="dxa"/>
            <w:tcBorders>
              <w:top w:val="single" w:sz="4" w:space="0" w:color="BFBFBF" w:themeColor="background1" w:themeShade="BF"/>
              <w:bottom w:val="single" w:sz="4" w:space="0" w:color="BFBFBF" w:themeColor="background1" w:themeShade="BF"/>
            </w:tcBorders>
          </w:tcPr>
          <w:p w14:paraId="53240483" w14:textId="77777777" w:rsidR="00856C33" w:rsidRDefault="00325C67" w:rsidP="001C7673">
            <w:pPr>
              <w:pStyle w:val="ListParagraph"/>
              <w:jc w:val="left"/>
            </w:pPr>
            <w:r>
              <w:t>%</w:t>
            </w:r>
          </w:p>
        </w:tc>
      </w:tr>
      <w:tr w:rsidR="000D29A3" w14:paraId="166D7EEA" w14:textId="77777777" w:rsidTr="001C7673">
        <w:tc>
          <w:tcPr>
            <w:tcW w:w="5387" w:type="dxa"/>
            <w:tcBorders>
              <w:top w:val="single" w:sz="4" w:space="0" w:color="BFBFBF" w:themeColor="background1" w:themeShade="BF"/>
              <w:bottom w:val="single" w:sz="4" w:space="0" w:color="BFBFBF" w:themeColor="background1" w:themeShade="BF"/>
            </w:tcBorders>
            <w:shd w:val="clear" w:color="auto" w:fill="auto"/>
          </w:tcPr>
          <w:p w14:paraId="212AEEDC" w14:textId="77777777" w:rsidR="000D29A3" w:rsidRDefault="000D29A3" w:rsidP="001C7673">
            <w:pPr>
              <w:pStyle w:val="ListParagraph"/>
              <w:jc w:val="left"/>
            </w:pPr>
            <w:r>
              <w:t>Proportion of persons progressing to active TB from early latency if aged 5 to 15 years</w:t>
            </w:r>
          </w:p>
        </w:tc>
        <w:tc>
          <w:tcPr>
            <w:tcW w:w="2365" w:type="dxa"/>
            <w:tcBorders>
              <w:top w:val="single" w:sz="4" w:space="0" w:color="BFBFBF" w:themeColor="background1" w:themeShade="BF"/>
              <w:bottom w:val="single" w:sz="4" w:space="0" w:color="BFBFBF" w:themeColor="background1" w:themeShade="BF"/>
            </w:tcBorders>
            <w:shd w:val="clear" w:color="auto" w:fill="auto"/>
          </w:tcPr>
          <w:p w14:paraId="071A4046" w14:textId="1E78613C" w:rsidR="000D29A3" w:rsidRDefault="000D29A3" w:rsidP="001C7673">
            <w:pPr>
              <w:pStyle w:val="ListParagraph"/>
              <w:jc w:val="left"/>
            </w:pPr>
            <w:r>
              <w:t>26</w:t>
            </w:r>
          </w:p>
        </w:tc>
        <w:tc>
          <w:tcPr>
            <w:tcW w:w="1274" w:type="dxa"/>
            <w:tcBorders>
              <w:top w:val="single" w:sz="4" w:space="0" w:color="BFBFBF" w:themeColor="background1" w:themeShade="BF"/>
              <w:bottom w:val="single" w:sz="4" w:space="0" w:color="BFBFBF" w:themeColor="background1" w:themeShade="BF"/>
            </w:tcBorders>
          </w:tcPr>
          <w:p w14:paraId="15206272" w14:textId="77777777" w:rsidR="000D29A3" w:rsidRPr="008C6780" w:rsidRDefault="000D29A3" w:rsidP="001C7673">
            <w:pPr>
              <w:pStyle w:val="ListParagraph"/>
              <w:jc w:val="left"/>
            </w:pPr>
            <w:r>
              <w:t>%</w:t>
            </w:r>
          </w:p>
        </w:tc>
      </w:tr>
      <w:tr w:rsidR="000D29A3" w14:paraId="4FE681D6" w14:textId="77777777" w:rsidTr="001C7673">
        <w:tc>
          <w:tcPr>
            <w:tcW w:w="5387" w:type="dxa"/>
            <w:tcBorders>
              <w:top w:val="single" w:sz="4" w:space="0" w:color="BFBFBF" w:themeColor="background1" w:themeShade="BF"/>
              <w:bottom w:val="single" w:sz="4" w:space="0" w:color="BFBFBF" w:themeColor="background1" w:themeShade="BF"/>
            </w:tcBorders>
          </w:tcPr>
          <w:p w14:paraId="01AAA623" w14:textId="004A2F57" w:rsidR="000D29A3" w:rsidRPr="008C6780" w:rsidRDefault="000D29A3" w:rsidP="001C7673">
            <w:pPr>
              <w:pStyle w:val="ListParagraph"/>
              <w:jc w:val="left"/>
            </w:pPr>
            <w:r>
              <w:t xml:space="preserve">Proportion of persons progressing to active TB from early latency if aged 15 and above (i.e. </w:t>
            </w:r>
            <w:r w:rsidR="001C7673">
              <w:t xml:space="preserve">both the </w:t>
            </w:r>
            <w:r>
              <w:t>15</w:t>
            </w:r>
            <w:r w:rsidR="001C7673">
              <w:t>-to-</w:t>
            </w:r>
            <w:r w:rsidR="00856C33">
              <w:t xml:space="preserve">25 and </w:t>
            </w:r>
            <w:r w:rsidR="001C7673">
              <w:t>the 25-and-</w:t>
            </w:r>
            <w:r w:rsidR="00856C33">
              <w:t>up age groups,</w:t>
            </w:r>
            <w:r w:rsidR="001C7673">
              <w:t xml:space="preserve"> in the absence of comorbidities</w:t>
            </w:r>
            <w:r w:rsidR="00856C33">
              <w:t>)</w:t>
            </w:r>
          </w:p>
        </w:tc>
        <w:tc>
          <w:tcPr>
            <w:tcW w:w="2365" w:type="dxa"/>
            <w:tcBorders>
              <w:top w:val="single" w:sz="4" w:space="0" w:color="BFBFBF" w:themeColor="background1" w:themeShade="BF"/>
              <w:bottom w:val="single" w:sz="4" w:space="0" w:color="BFBFBF" w:themeColor="background1" w:themeShade="BF"/>
            </w:tcBorders>
          </w:tcPr>
          <w:p w14:paraId="0AB43900" w14:textId="5D080B75" w:rsidR="000D29A3" w:rsidRPr="008C6780" w:rsidRDefault="000D29A3" w:rsidP="001C7673">
            <w:pPr>
              <w:pStyle w:val="ListParagraph"/>
              <w:jc w:val="left"/>
            </w:pPr>
            <w:r>
              <w:t>3</w:t>
            </w:r>
          </w:p>
        </w:tc>
        <w:tc>
          <w:tcPr>
            <w:tcW w:w="1274" w:type="dxa"/>
            <w:tcBorders>
              <w:top w:val="single" w:sz="4" w:space="0" w:color="BFBFBF" w:themeColor="background1" w:themeShade="BF"/>
              <w:bottom w:val="single" w:sz="4" w:space="0" w:color="BFBFBF" w:themeColor="background1" w:themeShade="BF"/>
            </w:tcBorders>
          </w:tcPr>
          <w:p w14:paraId="3EFB75E4" w14:textId="77777777" w:rsidR="000D29A3" w:rsidRPr="008C6780" w:rsidRDefault="000D29A3" w:rsidP="001C7673">
            <w:pPr>
              <w:pStyle w:val="ListParagraph"/>
              <w:jc w:val="left"/>
            </w:pPr>
            <w:r>
              <w:t>%</w:t>
            </w:r>
          </w:p>
        </w:tc>
      </w:tr>
      <w:tr w:rsidR="000D29A3" w14:paraId="0A139B7E" w14:textId="77777777" w:rsidTr="001C7673">
        <w:tc>
          <w:tcPr>
            <w:tcW w:w="5387" w:type="dxa"/>
            <w:tcBorders>
              <w:top w:val="single" w:sz="4" w:space="0" w:color="BFBFBF" w:themeColor="background1" w:themeShade="BF"/>
              <w:bottom w:val="single" w:sz="4" w:space="0" w:color="auto"/>
            </w:tcBorders>
          </w:tcPr>
          <w:p w14:paraId="590FCD60" w14:textId="3E09C2D1" w:rsidR="000D29A3" w:rsidRDefault="00856C33" w:rsidP="001C7673">
            <w:pPr>
              <w:pStyle w:val="ListParagraph"/>
              <w:jc w:val="left"/>
            </w:pPr>
            <w:r>
              <w:t>Rate of progression from late latency to active disease (all age groups)</w:t>
            </w:r>
          </w:p>
        </w:tc>
        <w:tc>
          <w:tcPr>
            <w:tcW w:w="2365" w:type="dxa"/>
            <w:tcBorders>
              <w:top w:val="single" w:sz="4" w:space="0" w:color="BFBFBF" w:themeColor="background1" w:themeShade="BF"/>
              <w:bottom w:val="single" w:sz="4" w:space="0" w:color="auto"/>
            </w:tcBorders>
          </w:tcPr>
          <w:p w14:paraId="4E46C586" w14:textId="77777777" w:rsidR="000D29A3" w:rsidRDefault="00262E55" w:rsidP="001C7673">
            <w:pPr>
              <w:pStyle w:val="ListParagraph"/>
              <w:jc w:val="left"/>
            </w:pPr>
            <w:r>
              <w:t>0.245</w:t>
            </w:r>
          </w:p>
        </w:tc>
        <w:tc>
          <w:tcPr>
            <w:tcW w:w="1274" w:type="dxa"/>
            <w:tcBorders>
              <w:top w:val="single" w:sz="4" w:space="0" w:color="BFBFBF" w:themeColor="background1" w:themeShade="BF"/>
              <w:bottom w:val="single" w:sz="4" w:space="0" w:color="auto"/>
            </w:tcBorders>
          </w:tcPr>
          <w:p w14:paraId="0C1483DE" w14:textId="77777777" w:rsidR="000D29A3" w:rsidRPr="008C6780" w:rsidRDefault="00262E55" w:rsidP="001C7673">
            <w:pPr>
              <w:pStyle w:val="ListParagraph"/>
              <w:jc w:val="left"/>
            </w:pPr>
            <w:r>
              <w:t>% per year</w:t>
            </w:r>
          </w:p>
        </w:tc>
      </w:tr>
      <w:tr w:rsidR="000D29A3" w14:paraId="728CD7B4" w14:textId="77777777" w:rsidTr="001C7673">
        <w:tc>
          <w:tcPr>
            <w:tcW w:w="5387" w:type="dxa"/>
            <w:tcBorders>
              <w:top w:val="single" w:sz="4" w:space="0" w:color="auto"/>
              <w:bottom w:val="single" w:sz="4" w:space="0" w:color="BFBFBF" w:themeColor="background1" w:themeShade="BF"/>
            </w:tcBorders>
          </w:tcPr>
          <w:p w14:paraId="2D40DAF6" w14:textId="77777777" w:rsidR="000D29A3" w:rsidRPr="008C6780" w:rsidRDefault="000D29A3" w:rsidP="001C7673">
            <w:pPr>
              <w:pStyle w:val="Subtitle"/>
            </w:pPr>
            <w:r>
              <w:lastRenderedPageBreak/>
              <w:t>Natural history of disease</w:t>
            </w:r>
          </w:p>
        </w:tc>
        <w:tc>
          <w:tcPr>
            <w:tcW w:w="2365" w:type="dxa"/>
            <w:tcBorders>
              <w:top w:val="single" w:sz="4" w:space="0" w:color="auto"/>
              <w:bottom w:val="single" w:sz="4" w:space="0" w:color="BFBFBF" w:themeColor="background1" w:themeShade="BF"/>
            </w:tcBorders>
          </w:tcPr>
          <w:p w14:paraId="2C1CCCF6" w14:textId="77777777" w:rsidR="000D29A3" w:rsidRPr="008C6780" w:rsidRDefault="000D29A3" w:rsidP="001C7673">
            <w:pPr>
              <w:pStyle w:val="Subtitle"/>
            </w:pPr>
          </w:p>
        </w:tc>
        <w:tc>
          <w:tcPr>
            <w:tcW w:w="1274" w:type="dxa"/>
            <w:tcBorders>
              <w:top w:val="single" w:sz="4" w:space="0" w:color="auto"/>
              <w:bottom w:val="single" w:sz="4" w:space="0" w:color="BFBFBF" w:themeColor="background1" w:themeShade="BF"/>
            </w:tcBorders>
          </w:tcPr>
          <w:p w14:paraId="67EFB8AE" w14:textId="77777777" w:rsidR="000D29A3" w:rsidRPr="008C6780" w:rsidRDefault="000D29A3" w:rsidP="001C7673">
            <w:pPr>
              <w:pStyle w:val="Subtitle"/>
            </w:pPr>
          </w:p>
        </w:tc>
      </w:tr>
      <w:tr w:rsidR="000D29A3" w14:paraId="09614E16" w14:textId="77777777" w:rsidTr="001C7673">
        <w:tc>
          <w:tcPr>
            <w:tcW w:w="5387" w:type="dxa"/>
            <w:tcBorders>
              <w:top w:val="single" w:sz="4" w:space="0" w:color="BFBFBF" w:themeColor="background1" w:themeShade="BF"/>
              <w:bottom w:val="single" w:sz="4" w:space="0" w:color="BFBFBF" w:themeColor="background1" w:themeShade="BF"/>
            </w:tcBorders>
          </w:tcPr>
          <w:p w14:paraId="203C1532" w14:textId="6E58562D" w:rsidR="000D29A3" w:rsidRDefault="000D29A3" w:rsidP="001C7673">
            <w:pPr>
              <w:pStyle w:val="ListParagraph"/>
              <w:jc w:val="left"/>
            </w:pPr>
            <w:r>
              <w:t>Duration of active disease if untreated</w:t>
            </w:r>
          </w:p>
        </w:tc>
        <w:tc>
          <w:tcPr>
            <w:tcW w:w="2365" w:type="dxa"/>
            <w:tcBorders>
              <w:top w:val="single" w:sz="4" w:space="0" w:color="BFBFBF" w:themeColor="background1" w:themeShade="BF"/>
              <w:bottom w:val="single" w:sz="4" w:space="0" w:color="BFBFBF" w:themeColor="background1" w:themeShade="BF"/>
            </w:tcBorders>
          </w:tcPr>
          <w:p w14:paraId="3C05DBEE" w14:textId="788922B0" w:rsidR="000D29A3" w:rsidRPr="0056581E" w:rsidRDefault="000D29A3" w:rsidP="001C7673">
            <w:pPr>
              <w:pStyle w:val="ListParagraph"/>
              <w:jc w:val="left"/>
            </w:pPr>
            <w:r>
              <w:t>3</w:t>
            </w:r>
            <w:r w:rsidR="005427BC">
              <w:t xml:space="preserve"> (2 to 4)*</w:t>
            </w:r>
          </w:p>
        </w:tc>
        <w:tc>
          <w:tcPr>
            <w:tcW w:w="1274" w:type="dxa"/>
            <w:tcBorders>
              <w:top w:val="single" w:sz="4" w:space="0" w:color="BFBFBF" w:themeColor="background1" w:themeShade="BF"/>
              <w:bottom w:val="single" w:sz="4" w:space="0" w:color="BFBFBF" w:themeColor="background1" w:themeShade="BF"/>
            </w:tcBorders>
          </w:tcPr>
          <w:p w14:paraId="47D31F37" w14:textId="77777777" w:rsidR="000D29A3" w:rsidRPr="008C6780" w:rsidRDefault="000D29A3" w:rsidP="001C7673">
            <w:pPr>
              <w:pStyle w:val="ListParagraph"/>
              <w:jc w:val="left"/>
            </w:pPr>
            <w:r>
              <w:t>Years</w:t>
            </w:r>
          </w:p>
        </w:tc>
      </w:tr>
      <w:tr w:rsidR="000D29A3" w14:paraId="00CDCD4A" w14:textId="77777777" w:rsidTr="001C7673">
        <w:tc>
          <w:tcPr>
            <w:tcW w:w="5387" w:type="dxa"/>
            <w:tcBorders>
              <w:top w:val="single" w:sz="4" w:space="0" w:color="BFBFBF" w:themeColor="background1" w:themeShade="BF"/>
              <w:bottom w:val="single" w:sz="4" w:space="0" w:color="BFBFBF" w:themeColor="background1" w:themeShade="BF"/>
            </w:tcBorders>
          </w:tcPr>
          <w:p w14:paraId="74FD51F2" w14:textId="77777777" w:rsidR="000D29A3" w:rsidRDefault="000D29A3" w:rsidP="001C7673">
            <w:pPr>
              <w:pStyle w:val="ListParagraph"/>
              <w:jc w:val="left"/>
            </w:pPr>
            <w:r>
              <w:t>Case fatality of untreated smear-positive active TB</w:t>
            </w:r>
          </w:p>
        </w:tc>
        <w:tc>
          <w:tcPr>
            <w:tcW w:w="2365" w:type="dxa"/>
            <w:tcBorders>
              <w:top w:val="single" w:sz="4" w:space="0" w:color="BFBFBF" w:themeColor="background1" w:themeShade="BF"/>
              <w:bottom w:val="single" w:sz="4" w:space="0" w:color="BFBFBF" w:themeColor="background1" w:themeShade="BF"/>
            </w:tcBorders>
          </w:tcPr>
          <w:p w14:paraId="353D9458" w14:textId="4A392360" w:rsidR="000D29A3" w:rsidRPr="0056581E" w:rsidRDefault="000D29A3" w:rsidP="001C7673">
            <w:pPr>
              <w:pStyle w:val="ListParagraph"/>
              <w:jc w:val="left"/>
              <w:rPr>
                <w:vertAlign w:val="superscript"/>
              </w:rPr>
            </w:pPr>
            <w:r>
              <w:t>70</w:t>
            </w:r>
            <w:r w:rsidR="005427BC">
              <w:t xml:space="preserve"> (35 to 85)*</w:t>
            </w:r>
          </w:p>
        </w:tc>
        <w:tc>
          <w:tcPr>
            <w:tcW w:w="1274" w:type="dxa"/>
            <w:tcBorders>
              <w:top w:val="single" w:sz="4" w:space="0" w:color="BFBFBF" w:themeColor="background1" w:themeShade="BF"/>
              <w:bottom w:val="single" w:sz="4" w:space="0" w:color="BFBFBF" w:themeColor="background1" w:themeShade="BF"/>
            </w:tcBorders>
          </w:tcPr>
          <w:p w14:paraId="1670CF4F" w14:textId="77777777" w:rsidR="000D29A3" w:rsidRPr="008C6780" w:rsidRDefault="000D29A3" w:rsidP="001C7673">
            <w:pPr>
              <w:pStyle w:val="ListParagraph"/>
              <w:jc w:val="left"/>
            </w:pPr>
            <w:r>
              <w:t>%</w:t>
            </w:r>
          </w:p>
        </w:tc>
      </w:tr>
      <w:tr w:rsidR="00CC11CC" w14:paraId="165867EF" w14:textId="77777777" w:rsidTr="001C7673">
        <w:tc>
          <w:tcPr>
            <w:tcW w:w="5387" w:type="dxa"/>
            <w:tcBorders>
              <w:top w:val="single" w:sz="4" w:space="0" w:color="BFBFBF" w:themeColor="background1" w:themeShade="BF"/>
              <w:bottom w:val="single" w:sz="4" w:space="0" w:color="auto"/>
            </w:tcBorders>
          </w:tcPr>
          <w:p w14:paraId="72493D36" w14:textId="00E8E545" w:rsidR="00CC11CC" w:rsidRDefault="000D29A3" w:rsidP="001C7673">
            <w:pPr>
              <w:pStyle w:val="ListParagraph"/>
              <w:jc w:val="left"/>
            </w:pPr>
            <w:r>
              <w:t>Relative case fatality for smear-negative and extrapulmonary TB, by com</w:t>
            </w:r>
            <w:r w:rsidR="00307ED6">
              <w:t>parison to smear-positive TB (</w:t>
            </w:r>
            <w:r w:rsidR="00D573A4">
              <w:t xml:space="preserve">e.g. </w:t>
            </w:r>
            <w:r>
              <w:t>20%</w:t>
            </w:r>
            <w:r w:rsidR="00307ED6">
              <w:t xml:space="preserve"> if smear-positive CFR is 70%</w:t>
            </w:r>
            <w:r>
              <w:t>)</w:t>
            </w:r>
          </w:p>
        </w:tc>
        <w:tc>
          <w:tcPr>
            <w:tcW w:w="2365" w:type="dxa"/>
            <w:tcBorders>
              <w:top w:val="single" w:sz="4" w:space="0" w:color="BFBFBF" w:themeColor="background1" w:themeShade="BF"/>
              <w:bottom w:val="single" w:sz="4" w:space="0" w:color="auto"/>
            </w:tcBorders>
          </w:tcPr>
          <w:p w14:paraId="7EBE3CB2" w14:textId="77777777" w:rsidR="00CC11CC" w:rsidRDefault="000D29A3" w:rsidP="001C7673">
            <w:pPr>
              <w:pStyle w:val="ListParagraph"/>
              <w:jc w:val="left"/>
            </w:pPr>
            <w:r>
              <w:t xml:space="preserve">2 </w:t>
            </w:r>
            <w:r>
              <w:rPr>
                <w:rFonts w:cs="Times New Roman"/>
              </w:rPr>
              <w:t>÷</w:t>
            </w:r>
            <w:r>
              <w:t xml:space="preserve"> 7</w:t>
            </w:r>
          </w:p>
        </w:tc>
        <w:tc>
          <w:tcPr>
            <w:tcW w:w="1274" w:type="dxa"/>
            <w:tcBorders>
              <w:top w:val="single" w:sz="4" w:space="0" w:color="BFBFBF" w:themeColor="background1" w:themeShade="BF"/>
              <w:bottom w:val="single" w:sz="4" w:space="0" w:color="auto"/>
            </w:tcBorders>
          </w:tcPr>
          <w:p w14:paraId="632B7C9C" w14:textId="77777777" w:rsidR="00CC11CC" w:rsidRPr="008C6780" w:rsidRDefault="000D29A3" w:rsidP="001C7673">
            <w:pPr>
              <w:pStyle w:val="ListParagraph"/>
              <w:jc w:val="left"/>
            </w:pPr>
            <w:r>
              <w:t>Multiplier</w:t>
            </w:r>
          </w:p>
        </w:tc>
      </w:tr>
      <w:tr w:rsidR="000633AF" w14:paraId="48DBCB38" w14:textId="77777777" w:rsidTr="001C7673">
        <w:tc>
          <w:tcPr>
            <w:tcW w:w="5387" w:type="dxa"/>
            <w:tcBorders>
              <w:top w:val="single" w:sz="4" w:space="0" w:color="auto"/>
              <w:bottom w:val="single" w:sz="4" w:space="0" w:color="BFBFBF" w:themeColor="background1" w:themeShade="BF"/>
            </w:tcBorders>
          </w:tcPr>
          <w:p w14:paraId="5897E795" w14:textId="77777777" w:rsidR="000633AF" w:rsidRDefault="000633AF" w:rsidP="001C7673">
            <w:pPr>
              <w:pStyle w:val="Subtitle"/>
            </w:pPr>
            <w:r>
              <w:t>Other biological</w:t>
            </w:r>
          </w:p>
        </w:tc>
        <w:tc>
          <w:tcPr>
            <w:tcW w:w="2365" w:type="dxa"/>
            <w:tcBorders>
              <w:top w:val="single" w:sz="4" w:space="0" w:color="auto"/>
              <w:bottom w:val="single" w:sz="4" w:space="0" w:color="BFBFBF" w:themeColor="background1" w:themeShade="BF"/>
            </w:tcBorders>
          </w:tcPr>
          <w:p w14:paraId="569C1BF7" w14:textId="77777777" w:rsidR="000633AF" w:rsidRDefault="000633AF" w:rsidP="001C7673">
            <w:pPr>
              <w:pStyle w:val="Subtitle"/>
            </w:pPr>
          </w:p>
        </w:tc>
        <w:tc>
          <w:tcPr>
            <w:tcW w:w="1274" w:type="dxa"/>
            <w:tcBorders>
              <w:top w:val="single" w:sz="4" w:space="0" w:color="auto"/>
              <w:bottom w:val="single" w:sz="4" w:space="0" w:color="BFBFBF" w:themeColor="background1" w:themeShade="BF"/>
            </w:tcBorders>
          </w:tcPr>
          <w:p w14:paraId="3DE9AE98" w14:textId="77777777" w:rsidR="000633AF" w:rsidRDefault="000633AF" w:rsidP="001C7673">
            <w:pPr>
              <w:pStyle w:val="Subtitle"/>
            </w:pPr>
          </w:p>
        </w:tc>
      </w:tr>
      <w:tr w:rsidR="0056581E" w14:paraId="4970FEA4" w14:textId="77777777" w:rsidTr="001C7673">
        <w:tc>
          <w:tcPr>
            <w:tcW w:w="5387" w:type="dxa"/>
            <w:tcBorders>
              <w:top w:val="single" w:sz="4" w:space="0" w:color="BFBFBF" w:themeColor="background1" w:themeShade="BF"/>
              <w:bottom w:val="single" w:sz="4" w:space="0" w:color="BFBFBF" w:themeColor="background1" w:themeShade="BF"/>
            </w:tcBorders>
          </w:tcPr>
          <w:p w14:paraId="3310008E" w14:textId="77777777" w:rsidR="0056581E" w:rsidRDefault="0056581E" w:rsidP="001C7673">
            <w:pPr>
              <w:pStyle w:val="ListParagraph"/>
              <w:jc w:val="left"/>
            </w:pPr>
            <w:r>
              <w:t>Effective contact rate</w:t>
            </w:r>
          </w:p>
        </w:tc>
        <w:tc>
          <w:tcPr>
            <w:tcW w:w="2365" w:type="dxa"/>
            <w:tcBorders>
              <w:top w:val="single" w:sz="4" w:space="0" w:color="BFBFBF" w:themeColor="background1" w:themeShade="BF"/>
              <w:bottom w:val="single" w:sz="4" w:space="0" w:color="BFBFBF" w:themeColor="background1" w:themeShade="BF"/>
            </w:tcBorders>
          </w:tcPr>
          <w:p w14:paraId="07F21FEE" w14:textId="7DB65059" w:rsidR="0056581E" w:rsidRPr="0056581E" w:rsidRDefault="005427BC" w:rsidP="001C7673">
            <w:pPr>
              <w:pStyle w:val="ListParagraph"/>
              <w:jc w:val="left"/>
              <w:rPr>
                <w:vertAlign w:val="superscript"/>
              </w:rPr>
            </w:pPr>
            <w:r>
              <w:t>6 (5 to 20)*</w:t>
            </w:r>
          </w:p>
        </w:tc>
        <w:tc>
          <w:tcPr>
            <w:tcW w:w="1274" w:type="dxa"/>
            <w:tcBorders>
              <w:top w:val="single" w:sz="4" w:space="0" w:color="BFBFBF" w:themeColor="background1" w:themeShade="BF"/>
              <w:bottom w:val="single" w:sz="4" w:space="0" w:color="BFBFBF" w:themeColor="background1" w:themeShade="BF"/>
            </w:tcBorders>
          </w:tcPr>
          <w:p w14:paraId="6EBFA6DA" w14:textId="3F7FC7E0" w:rsidR="0056581E" w:rsidRDefault="00404D34" w:rsidP="001C7673">
            <w:pPr>
              <w:pStyle w:val="ListParagraph"/>
              <w:jc w:val="left"/>
            </w:pPr>
            <w:r>
              <w:t>C</w:t>
            </w:r>
            <w:r w:rsidR="001D3BA4">
              <w:t>ontacts per year</w:t>
            </w:r>
          </w:p>
        </w:tc>
      </w:tr>
      <w:tr w:rsidR="000E532D" w14:paraId="4CEF2901" w14:textId="77777777" w:rsidTr="001C7673">
        <w:tc>
          <w:tcPr>
            <w:tcW w:w="5387" w:type="dxa"/>
            <w:tcBorders>
              <w:top w:val="single" w:sz="4" w:space="0" w:color="BFBFBF" w:themeColor="background1" w:themeShade="BF"/>
              <w:bottom w:val="single" w:sz="4" w:space="0" w:color="BFBFBF" w:themeColor="background1" w:themeShade="BF"/>
            </w:tcBorders>
          </w:tcPr>
          <w:p w14:paraId="0EE5C6C1" w14:textId="77777777" w:rsidR="000E532D" w:rsidRPr="008C6780" w:rsidRDefault="000E532D" w:rsidP="001C7673">
            <w:pPr>
              <w:pStyle w:val="ListParagraph"/>
              <w:jc w:val="left"/>
            </w:pPr>
            <w:r>
              <w:t>Proportion of incident cases smear-positive</w:t>
            </w:r>
          </w:p>
        </w:tc>
        <w:tc>
          <w:tcPr>
            <w:tcW w:w="2365" w:type="dxa"/>
            <w:tcBorders>
              <w:top w:val="single" w:sz="4" w:space="0" w:color="BFBFBF" w:themeColor="background1" w:themeShade="BF"/>
              <w:bottom w:val="single" w:sz="4" w:space="0" w:color="BFBFBF" w:themeColor="background1" w:themeShade="BF"/>
            </w:tcBorders>
          </w:tcPr>
          <w:p w14:paraId="2006802E" w14:textId="761AD302" w:rsidR="000E532D" w:rsidRDefault="005B3495" w:rsidP="001C7673">
            <w:pPr>
              <w:pStyle w:val="ListParagraph"/>
              <w:jc w:val="left"/>
            </w:pPr>
            <w:r>
              <w:t>33.1</w:t>
            </w:r>
          </w:p>
        </w:tc>
        <w:tc>
          <w:tcPr>
            <w:tcW w:w="1274" w:type="dxa"/>
            <w:tcBorders>
              <w:top w:val="single" w:sz="4" w:space="0" w:color="BFBFBF" w:themeColor="background1" w:themeShade="BF"/>
              <w:bottom w:val="single" w:sz="4" w:space="0" w:color="BFBFBF" w:themeColor="background1" w:themeShade="BF"/>
            </w:tcBorders>
          </w:tcPr>
          <w:p w14:paraId="347022AD" w14:textId="77777777" w:rsidR="000E532D" w:rsidRDefault="000E532D" w:rsidP="001C7673">
            <w:pPr>
              <w:pStyle w:val="ListParagraph"/>
              <w:jc w:val="left"/>
            </w:pPr>
            <w:r>
              <w:t>%</w:t>
            </w:r>
          </w:p>
        </w:tc>
      </w:tr>
      <w:tr w:rsidR="000E532D" w14:paraId="7372306A" w14:textId="77777777" w:rsidTr="001C7673">
        <w:tc>
          <w:tcPr>
            <w:tcW w:w="5387" w:type="dxa"/>
            <w:tcBorders>
              <w:top w:val="single" w:sz="4" w:space="0" w:color="BFBFBF" w:themeColor="background1" w:themeShade="BF"/>
              <w:bottom w:val="single" w:sz="4" w:space="0" w:color="BFBFBF" w:themeColor="background1" w:themeShade="BF"/>
            </w:tcBorders>
          </w:tcPr>
          <w:p w14:paraId="0E04E342" w14:textId="77777777" w:rsidR="000E532D" w:rsidRPr="008C6780" w:rsidRDefault="000E532D" w:rsidP="001C7673">
            <w:pPr>
              <w:pStyle w:val="ListParagraph"/>
              <w:jc w:val="left"/>
            </w:pPr>
            <w:r>
              <w:t>Proportion of incident cases smear-negative</w:t>
            </w:r>
          </w:p>
        </w:tc>
        <w:tc>
          <w:tcPr>
            <w:tcW w:w="2365" w:type="dxa"/>
            <w:tcBorders>
              <w:top w:val="single" w:sz="4" w:space="0" w:color="BFBFBF" w:themeColor="background1" w:themeShade="BF"/>
              <w:bottom w:val="single" w:sz="4" w:space="0" w:color="BFBFBF" w:themeColor="background1" w:themeShade="BF"/>
            </w:tcBorders>
          </w:tcPr>
          <w:p w14:paraId="6C8F10EC" w14:textId="35CD16FC" w:rsidR="000E532D" w:rsidRDefault="005B3495" w:rsidP="001C7673">
            <w:pPr>
              <w:pStyle w:val="ListParagraph"/>
              <w:jc w:val="left"/>
            </w:pPr>
            <w:r>
              <w:t>39.4</w:t>
            </w:r>
          </w:p>
        </w:tc>
        <w:tc>
          <w:tcPr>
            <w:tcW w:w="1274" w:type="dxa"/>
            <w:tcBorders>
              <w:top w:val="single" w:sz="4" w:space="0" w:color="BFBFBF" w:themeColor="background1" w:themeShade="BF"/>
              <w:bottom w:val="single" w:sz="4" w:space="0" w:color="BFBFBF" w:themeColor="background1" w:themeShade="BF"/>
            </w:tcBorders>
          </w:tcPr>
          <w:p w14:paraId="4789258B" w14:textId="77777777" w:rsidR="000E532D" w:rsidRDefault="000E532D" w:rsidP="001C7673">
            <w:pPr>
              <w:pStyle w:val="ListParagraph"/>
              <w:jc w:val="left"/>
            </w:pPr>
            <w:r>
              <w:t>%</w:t>
            </w:r>
          </w:p>
        </w:tc>
      </w:tr>
      <w:tr w:rsidR="000E532D" w14:paraId="34AB01B2" w14:textId="77777777" w:rsidTr="001C7673">
        <w:tc>
          <w:tcPr>
            <w:tcW w:w="5387" w:type="dxa"/>
            <w:tcBorders>
              <w:top w:val="single" w:sz="4" w:space="0" w:color="BFBFBF" w:themeColor="background1" w:themeShade="BF"/>
              <w:bottom w:val="single" w:sz="4" w:space="0" w:color="BFBFBF" w:themeColor="background1" w:themeShade="BF"/>
            </w:tcBorders>
          </w:tcPr>
          <w:p w14:paraId="7EB85A6D" w14:textId="77777777" w:rsidR="000E532D" w:rsidRPr="008C6780" w:rsidRDefault="000E532D" w:rsidP="001C7673">
            <w:pPr>
              <w:pStyle w:val="ListParagraph"/>
              <w:jc w:val="left"/>
            </w:pPr>
            <w:r>
              <w:t>Proportion of incident cases extrapulmonary</w:t>
            </w:r>
          </w:p>
        </w:tc>
        <w:tc>
          <w:tcPr>
            <w:tcW w:w="2365" w:type="dxa"/>
            <w:tcBorders>
              <w:top w:val="single" w:sz="4" w:space="0" w:color="BFBFBF" w:themeColor="background1" w:themeShade="BF"/>
              <w:bottom w:val="single" w:sz="4" w:space="0" w:color="BFBFBF" w:themeColor="background1" w:themeShade="BF"/>
            </w:tcBorders>
          </w:tcPr>
          <w:p w14:paraId="0171F49F" w14:textId="5A89E3C2" w:rsidR="000E532D" w:rsidRDefault="005B3495" w:rsidP="001C7673">
            <w:pPr>
              <w:pStyle w:val="ListParagraph"/>
              <w:jc w:val="left"/>
            </w:pPr>
            <w:r>
              <w:t>28.5</w:t>
            </w:r>
          </w:p>
        </w:tc>
        <w:tc>
          <w:tcPr>
            <w:tcW w:w="1274" w:type="dxa"/>
            <w:tcBorders>
              <w:top w:val="single" w:sz="4" w:space="0" w:color="BFBFBF" w:themeColor="background1" w:themeShade="BF"/>
              <w:bottom w:val="single" w:sz="4" w:space="0" w:color="BFBFBF" w:themeColor="background1" w:themeShade="BF"/>
            </w:tcBorders>
          </w:tcPr>
          <w:p w14:paraId="0BC23655" w14:textId="77777777" w:rsidR="000E532D" w:rsidRPr="008C6780" w:rsidRDefault="000E532D" w:rsidP="001C7673">
            <w:pPr>
              <w:pStyle w:val="ListParagraph"/>
              <w:jc w:val="left"/>
            </w:pPr>
            <w:r>
              <w:t>%</w:t>
            </w:r>
          </w:p>
        </w:tc>
      </w:tr>
      <w:tr w:rsidR="000E532D" w14:paraId="4DB58DC1" w14:textId="77777777" w:rsidTr="00AB769F">
        <w:tc>
          <w:tcPr>
            <w:tcW w:w="5387" w:type="dxa"/>
            <w:tcBorders>
              <w:top w:val="single" w:sz="4" w:space="0" w:color="BFBFBF" w:themeColor="background1" w:themeShade="BF"/>
              <w:bottom w:val="single" w:sz="4" w:space="0" w:color="BFBFBF" w:themeColor="background1" w:themeShade="BF"/>
            </w:tcBorders>
          </w:tcPr>
          <w:p w14:paraId="1F6CCC17" w14:textId="2A6A2D19" w:rsidR="000E532D" w:rsidRDefault="000E532D" w:rsidP="001C7673">
            <w:pPr>
              <w:pStyle w:val="ListParagraph"/>
              <w:jc w:val="left"/>
            </w:pPr>
            <w:r>
              <w:t xml:space="preserve">Relative protection from further infection </w:t>
            </w:r>
            <w:r w:rsidR="0078770A">
              <w:t xml:space="preserve">(i.e. multiplier applied to the force of infection) </w:t>
            </w:r>
            <w:r>
              <w:t>conferred by current latent infection</w:t>
            </w:r>
          </w:p>
        </w:tc>
        <w:tc>
          <w:tcPr>
            <w:tcW w:w="2365" w:type="dxa"/>
            <w:tcBorders>
              <w:top w:val="single" w:sz="4" w:space="0" w:color="BFBFBF" w:themeColor="background1" w:themeShade="BF"/>
              <w:bottom w:val="single" w:sz="4" w:space="0" w:color="BFBFBF" w:themeColor="background1" w:themeShade="BF"/>
            </w:tcBorders>
          </w:tcPr>
          <w:p w14:paraId="2BDE55F3" w14:textId="77777777" w:rsidR="000E532D" w:rsidRDefault="000E532D" w:rsidP="001C7673">
            <w:pPr>
              <w:pStyle w:val="ListParagraph"/>
              <w:jc w:val="left"/>
            </w:pPr>
            <w:r>
              <w:t>0.21</w:t>
            </w:r>
          </w:p>
        </w:tc>
        <w:tc>
          <w:tcPr>
            <w:tcW w:w="1274" w:type="dxa"/>
            <w:tcBorders>
              <w:top w:val="single" w:sz="4" w:space="0" w:color="BFBFBF" w:themeColor="background1" w:themeShade="BF"/>
              <w:bottom w:val="single" w:sz="4" w:space="0" w:color="BFBFBF" w:themeColor="background1" w:themeShade="BF"/>
            </w:tcBorders>
          </w:tcPr>
          <w:p w14:paraId="0B942755" w14:textId="77777777" w:rsidR="000E532D" w:rsidRPr="008C6780" w:rsidRDefault="000E532D" w:rsidP="001C7673">
            <w:pPr>
              <w:pStyle w:val="ListParagraph"/>
              <w:jc w:val="left"/>
            </w:pPr>
            <w:r>
              <w:t>Multiplier</w:t>
            </w:r>
          </w:p>
        </w:tc>
      </w:tr>
      <w:tr w:rsidR="000E532D" w14:paraId="4814448A" w14:textId="77777777" w:rsidTr="00AB769F">
        <w:tc>
          <w:tcPr>
            <w:tcW w:w="5387" w:type="dxa"/>
            <w:tcBorders>
              <w:top w:val="single" w:sz="4" w:space="0" w:color="BFBFBF" w:themeColor="background1" w:themeShade="BF"/>
              <w:bottom w:val="single" w:sz="4" w:space="0" w:color="BFBFBF" w:themeColor="background1" w:themeShade="BF"/>
            </w:tcBorders>
          </w:tcPr>
          <w:p w14:paraId="490C0B34" w14:textId="7E875F91" w:rsidR="000E532D" w:rsidRDefault="000E532D" w:rsidP="0078770A">
            <w:pPr>
              <w:pStyle w:val="ListParagraph"/>
              <w:jc w:val="left"/>
            </w:pPr>
            <w:r>
              <w:t xml:space="preserve">Relative protection from infection </w:t>
            </w:r>
            <w:r w:rsidR="00A72AD9">
              <w:t>for vaccinated persons whose immunity has not waned</w:t>
            </w:r>
          </w:p>
        </w:tc>
        <w:tc>
          <w:tcPr>
            <w:tcW w:w="2365" w:type="dxa"/>
            <w:tcBorders>
              <w:top w:val="single" w:sz="4" w:space="0" w:color="BFBFBF" w:themeColor="background1" w:themeShade="BF"/>
              <w:bottom w:val="single" w:sz="4" w:space="0" w:color="BFBFBF" w:themeColor="background1" w:themeShade="BF"/>
            </w:tcBorders>
          </w:tcPr>
          <w:p w14:paraId="6E16A334" w14:textId="77777777" w:rsidR="000E532D" w:rsidRDefault="000E532D" w:rsidP="001C7673">
            <w:pPr>
              <w:pStyle w:val="ListParagraph"/>
              <w:jc w:val="left"/>
            </w:pPr>
            <w:r>
              <w:t>0.5</w:t>
            </w:r>
          </w:p>
        </w:tc>
        <w:tc>
          <w:tcPr>
            <w:tcW w:w="1274" w:type="dxa"/>
            <w:tcBorders>
              <w:top w:val="single" w:sz="4" w:space="0" w:color="BFBFBF" w:themeColor="background1" w:themeShade="BF"/>
              <w:bottom w:val="single" w:sz="4" w:space="0" w:color="BFBFBF" w:themeColor="background1" w:themeShade="BF"/>
            </w:tcBorders>
          </w:tcPr>
          <w:p w14:paraId="757FEF82" w14:textId="77777777" w:rsidR="000E532D" w:rsidRPr="008C6780" w:rsidRDefault="000E532D" w:rsidP="001C7673">
            <w:pPr>
              <w:pStyle w:val="ListParagraph"/>
              <w:jc w:val="left"/>
            </w:pPr>
            <w:r>
              <w:t>Multiplier</w:t>
            </w:r>
          </w:p>
        </w:tc>
      </w:tr>
      <w:tr w:rsidR="000E532D" w14:paraId="1193DC00" w14:textId="77777777" w:rsidTr="001C7673">
        <w:tc>
          <w:tcPr>
            <w:tcW w:w="5387" w:type="dxa"/>
            <w:tcBorders>
              <w:top w:val="single" w:sz="4" w:space="0" w:color="BFBFBF" w:themeColor="background1" w:themeShade="BF"/>
              <w:bottom w:val="single" w:sz="4" w:space="0" w:color="BFBFBF" w:themeColor="background1" w:themeShade="BF"/>
            </w:tcBorders>
          </w:tcPr>
          <w:p w14:paraId="4C9634C7" w14:textId="77777777" w:rsidR="000E532D" w:rsidRDefault="000E532D" w:rsidP="001C7673">
            <w:pPr>
              <w:pStyle w:val="ListParagraph"/>
              <w:jc w:val="left"/>
            </w:pPr>
            <w:r>
              <w:t>Age after which protection against infection conferred by BCG vaccination wanes (i.e. BCG vaccination protects youngest two age groups only)</w:t>
            </w:r>
          </w:p>
        </w:tc>
        <w:tc>
          <w:tcPr>
            <w:tcW w:w="2365" w:type="dxa"/>
            <w:tcBorders>
              <w:top w:val="single" w:sz="4" w:space="0" w:color="BFBFBF" w:themeColor="background1" w:themeShade="BF"/>
              <w:bottom w:val="single" w:sz="4" w:space="0" w:color="BFBFBF" w:themeColor="background1" w:themeShade="BF"/>
            </w:tcBorders>
          </w:tcPr>
          <w:p w14:paraId="39739D8B" w14:textId="77777777" w:rsidR="000E532D" w:rsidRDefault="000E532D" w:rsidP="001C7673">
            <w:pPr>
              <w:pStyle w:val="ListParagraph"/>
              <w:jc w:val="left"/>
            </w:pPr>
            <w:r>
              <w:t>15</w:t>
            </w:r>
          </w:p>
        </w:tc>
        <w:tc>
          <w:tcPr>
            <w:tcW w:w="1274" w:type="dxa"/>
            <w:tcBorders>
              <w:top w:val="single" w:sz="4" w:space="0" w:color="BFBFBF" w:themeColor="background1" w:themeShade="BF"/>
              <w:bottom w:val="single" w:sz="4" w:space="0" w:color="BFBFBF" w:themeColor="background1" w:themeShade="BF"/>
            </w:tcBorders>
          </w:tcPr>
          <w:p w14:paraId="236FC2E0" w14:textId="2BDBCD94" w:rsidR="000E532D" w:rsidRPr="008C6780" w:rsidRDefault="007154DC" w:rsidP="001C7673">
            <w:pPr>
              <w:pStyle w:val="ListParagraph"/>
              <w:jc w:val="left"/>
            </w:pPr>
            <w:r>
              <w:t>Y</w:t>
            </w:r>
            <w:r w:rsidR="000E532D">
              <w:t>ears</w:t>
            </w:r>
          </w:p>
        </w:tc>
      </w:tr>
      <w:tr w:rsidR="000E532D" w14:paraId="3669D708" w14:textId="77777777" w:rsidTr="001C7673">
        <w:tc>
          <w:tcPr>
            <w:tcW w:w="5387" w:type="dxa"/>
            <w:tcBorders>
              <w:top w:val="single" w:sz="4" w:space="0" w:color="BFBFBF" w:themeColor="background1" w:themeShade="BF"/>
              <w:bottom w:val="single" w:sz="4" w:space="0" w:color="BFBFBF" w:themeColor="background1" w:themeShade="BF"/>
            </w:tcBorders>
          </w:tcPr>
          <w:p w14:paraId="706BB08F" w14:textId="77777777" w:rsidR="000E532D" w:rsidRDefault="000E532D" w:rsidP="001C7673">
            <w:pPr>
              <w:pStyle w:val="ListParagraph"/>
              <w:jc w:val="left"/>
            </w:pPr>
            <w:r>
              <w:t>Relative infectiousness of smear-negative cases (by comparison to smear-positive)</w:t>
            </w:r>
          </w:p>
        </w:tc>
        <w:tc>
          <w:tcPr>
            <w:tcW w:w="2365" w:type="dxa"/>
            <w:tcBorders>
              <w:top w:val="single" w:sz="4" w:space="0" w:color="BFBFBF" w:themeColor="background1" w:themeShade="BF"/>
              <w:bottom w:val="single" w:sz="4" w:space="0" w:color="BFBFBF" w:themeColor="background1" w:themeShade="BF"/>
            </w:tcBorders>
          </w:tcPr>
          <w:p w14:paraId="6E613F81" w14:textId="77777777" w:rsidR="000E532D" w:rsidRDefault="000E532D" w:rsidP="001C7673">
            <w:pPr>
              <w:pStyle w:val="ListParagraph"/>
              <w:jc w:val="left"/>
            </w:pPr>
            <w:r w:rsidRPr="008C6780">
              <w:t>24</w:t>
            </w:r>
          </w:p>
        </w:tc>
        <w:tc>
          <w:tcPr>
            <w:tcW w:w="1274" w:type="dxa"/>
            <w:tcBorders>
              <w:top w:val="single" w:sz="4" w:space="0" w:color="BFBFBF" w:themeColor="background1" w:themeShade="BF"/>
              <w:bottom w:val="single" w:sz="4" w:space="0" w:color="BFBFBF" w:themeColor="background1" w:themeShade="BF"/>
            </w:tcBorders>
          </w:tcPr>
          <w:p w14:paraId="23CE24E3" w14:textId="77777777" w:rsidR="000E532D" w:rsidRPr="008C6780" w:rsidRDefault="000E532D" w:rsidP="001C7673">
            <w:pPr>
              <w:pStyle w:val="ListParagraph"/>
              <w:jc w:val="left"/>
            </w:pPr>
            <w:r>
              <w:t>%</w:t>
            </w:r>
          </w:p>
        </w:tc>
      </w:tr>
      <w:tr w:rsidR="000E532D" w14:paraId="015E4811" w14:textId="77777777" w:rsidTr="001C7673">
        <w:tc>
          <w:tcPr>
            <w:tcW w:w="5387" w:type="dxa"/>
            <w:tcBorders>
              <w:top w:val="single" w:sz="4" w:space="0" w:color="BFBFBF" w:themeColor="background1" w:themeShade="BF"/>
              <w:bottom w:val="single" w:sz="4" w:space="0" w:color="BFBFBF" w:themeColor="background1" w:themeShade="BF"/>
            </w:tcBorders>
          </w:tcPr>
          <w:p w14:paraId="156B1B16" w14:textId="3277611D" w:rsidR="000E532D" w:rsidRDefault="00DC29DA" w:rsidP="00AF5E23">
            <w:pPr>
              <w:pStyle w:val="ListParagraph"/>
              <w:jc w:val="left"/>
            </w:pPr>
            <w:r>
              <w:t>Relative infectiousness (i.e. contribution to the fo</w:t>
            </w:r>
            <w:r w:rsidR="00AF5E23">
              <w:t xml:space="preserve">rce of infection) for children </w:t>
            </w:r>
            <w:r>
              <w:t xml:space="preserve">aged </w:t>
            </w:r>
            <w:r w:rsidR="00ED4CD1">
              <w:t>10</w:t>
            </w:r>
            <w:r>
              <w:t xml:space="preserve"> and below </w:t>
            </w:r>
            <w:r w:rsidR="00AF5E23">
              <w:t>(</w:t>
            </w:r>
            <w:r>
              <w:t xml:space="preserve">applied </w:t>
            </w:r>
            <w:r w:rsidR="00A72AD9">
              <w:t xml:space="preserve">directly </w:t>
            </w:r>
            <w:r>
              <w:t xml:space="preserve">to the </w:t>
            </w:r>
            <w:r w:rsidR="0078770A">
              <w:t>under 5</w:t>
            </w:r>
            <w:r>
              <w:t xml:space="preserve"> age group)</w:t>
            </w:r>
          </w:p>
        </w:tc>
        <w:tc>
          <w:tcPr>
            <w:tcW w:w="2365" w:type="dxa"/>
            <w:tcBorders>
              <w:top w:val="single" w:sz="4" w:space="0" w:color="BFBFBF" w:themeColor="background1" w:themeShade="BF"/>
              <w:bottom w:val="single" w:sz="4" w:space="0" w:color="BFBFBF" w:themeColor="background1" w:themeShade="BF"/>
            </w:tcBorders>
          </w:tcPr>
          <w:p w14:paraId="48FAD1EA" w14:textId="77777777" w:rsidR="000E532D" w:rsidRDefault="00DC29DA" w:rsidP="001C7673">
            <w:pPr>
              <w:pStyle w:val="ListParagraph"/>
              <w:jc w:val="left"/>
            </w:pPr>
            <w:r>
              <w:t>0.1</w:t>
            </w:r>
          </w:p>
        </w:tc>
        <w:tc>
          <w:tcPr>
            <w:tcW w:w="1274" w:type="dxa"/>
            <w:tcBorders>
              <w:top w:val="single" w:sz="4" w:space="0" w:color="BFBFBF" w:themeColor="background1" w:themeShade="BF"/>
              <w:bottom w:val="single" w:sz="4" w:space="0" w:color="BFBFBF" w:themeColor="background1" w:themeShade="BF"/>
            </w:tcBorders>
          </w:tcPr>
          <w:p w14:paraId="5953DD51" w14:textId="77777777" w:rsidR="000E532D" w:rsidRPr="008C6780" w:rsidRDefault="00DC29DA" w:rsidP="001C7673">
            <w:pPr>
              <w:pStyle w:val="ListParagraph"/>
              <w:jc w:val="left"/>
            </w:pPr>
            <w:r>
              <w:t>Multiplier</w:t>
            </w:r>
          </w:p>
        </w:tc>
      </w:tr>
      <w:tr w:rsidR="000E532D" w14:paraId="17DE7538" w14:textId="77777777" w:rsidTr="001C7673">
        <w:tc>
          <w:tcPr>
            <w:tcW w:w="5387" w:type="dxa"/>
            <w:tcBorders>
              <w:top w:val="single" w:sz="4" w:space="0" w:color="BFBFBF" w:themeColor="background1" w:themeShade="BF"/>
              <w:bottom w:val="single" w:sz="4" w:space="0" w:color="BFBFBF" w:themeColor="background1" w:themeShade="BF"/>
            </w:tcBorders>
          </w:tcPr>
          <w:p w14:paraId="18FF6D46" w14:textId="3793BBA4" w:rsidR="000E532D" w:rsidRDefault="000E532D" w:rsidP="001C7673">
            <w:pPr>
              <w:pStyle w:val="ListParagraph"/>
              <w:jc w:val="left"/>
            </w:pPr>
            <w:r>
              <w:t>Relative infectiousness of children aged 5 to 15</w:t>
            </w:r>
            <w:r w:rsidR="00EB209F">
              <w:t xml:space="preserve"> (calculated as mid-point of infectiousness of those under and over </w:t>
            </w:r>
            <w:r w:rsidR="00ED4CD1">
              <w:t>10</w:t>
            </w:r>
            <w:r w:rsidR="00EB209F">
              <w:t xml:space="preserve"> years of age)</w:t>
            </w:r>
          </w:p>
        </w:tc>
        <w:tc>
          <w:tcPr>
            <w:tcW w:w="2365" w:type="dxa"/>
            <w:tcBorders>
              <w:top w:val="single" w:sz="4" w:space="0" w:color="BFBFBF" w:themeColor="background1" w:themeShade="BF"/>
              <w:bottom w:val="single" w:sz="4" w:space="0" w:color="BFBFBF" w:themeColor="background1" w:themeShade="BF"/>
            </w:tcBorders>
          </w:tcPr>
          <w:p w14:paraId="1A0FD9A5" w14:textId="77777777" w:rsidR="000E532D" w:rsidRDefault="000E532D" w:rsidP="001C7673">
            <w:pPr>
              <w:pStyle w:val="ListParagraph"/>
              <w:jc w:val="left"/>
            </w:pPr>
            <w:r>
              <w:t>0.55</w:t>
            </w:r>
          </w:p>
        </w:tc>
        <w:tc>
          <w:tcPr>
            <w:tcW w:w="1274" w:type="dxa"/>
            <w:tcBorders>
              <w:top w:val="single" w:sz="4" w:space="0" w:color="BFBFBF" w:themeColor="background1" w:themeShade="BF"/>
              <w:bottom w:val="single" w:sz="4" w:space="0" w:color="BFBFBF" w:themeColor="background1" w:themeShade="BF"/>
            </w:tcBorders>
          </w:tcPr>
          <w:p w14:paraId="6D1D4B4B" w14:textId="77777777" w:rsidR="000E532D" w:rsidRDefault="00EB209F" w:rsidP="001C7673">
            <w:pPr>
              <w:pStyle w:val="ListParagraph"/>
              <w:jc w:val="left"/>
            </w:pPr>
            <w:r>
              <w:t>Multiplier</w:t>
            </w:r>
          </w:p>
        </w:tc>
      </w:tr>
      <w:tr w:rsidR="0056581E" w14:paraId="763B76C7" w14:textId="77777777" w:rsidTr="001C7673">
        <w:tc>
          <w:tcPr>
            <w:tcW w:w="5387" w:type="dxa"/>
            <w:tcBorders>
              <w:top w:val="single" w:sz="4" w:space="0" w:color="BFBFBF" w:themeColor="background1" w:themeShade="BF"/>
              <w:bottom w:val="single" w:sz="4" w:space="0" w:color="auto"/>
            </w:tcBorders>
          </w:tcPr>
          <w:p w14:paraId="4C43B60B" w14:textId="77777777" w:rsidR="0056581E" w:rsidRDefault="0056581E" w:rsidP="001C7673">
            <w:pPr>
              <w:pStyle w:val="ListParagraph"/>
              <w:jc w:val="left"/>
            </w:pPr>
            <w:r>
              <w:t>Relative susceptibility to reinfection for previously treated patients compared to fully susceptible</w:t>
            </w:r>
          </w:p>
        </w:tc>
        <w:tc>
          <w:tcPr>
            <w:tcW w:w="2365" w:type="dxa"/>
            <w:tcBorders>
              <w:top w:val="single" w:sz="4" w:space="0" w:color="BFBFBF" w:themeColor="background1" w:themeShade="BF"/>
              <w:bottom w:val="single" w:sz="4" w:space="0" w:color="auto"/>
            </w:tcBorders>
          </w:tcPr>
          <w:p w14:paraId="5CAB8F86" w14:textId="437AF24F" w:rsidR="0056581E" w:rsidRPr="00EA19AA" w:rsidRDefault="005427BC" w:rsidP="001C7673">
            <w:pPr>
              <w:pStyle w:val="ListParagraph"/>
              <w:jc w:val="left"/>
              <w:rPr>
                <w:vertAlign w:val="superscript"/>
              </w:rPr>
            </w:pPr>
            <w:r>
              <w:t>1 (0.25 to 2)*</w:t>
            </w:r>
          </w:p>
        </w:tc>
        <w:tc>
          <w:tcPr>
            <w:tcW w:w="1274" w:type="dxa"/>
            <w:tcBorders>
              <w:top w:val="single" w:sz="4" w:space="0" w:color="BFBFBF" w:themeColor="background1" w:themeShade="BF"/>
              <w:bottom w:val="single" w:sz="4" w:space="0" w:color="auto"/>
            </w:tcBorders>
          </w:tcPr>
          <w:p w14:paraId="3CADE51E" w14:textId="77777777" w:rsidR="0056581E" w:rsidRDefault="0056581E" w:rsidP="001C7673">
            <w:pPr>
              <w:pStyle w:val="ListParagraph"/>
              <w:jc w:val="left"/>
            </w:pPr>
            <w:r>
              <w:t>Multiplier</w:t>
            </w:r>
          </w:p>
        </w:tc>
      </w:tr>
      <w:tr w:rsidR="000E532D" w14:paraId="4ACC5E88" w14:textId="77777777" w:rsidTr="001C7673">
        <w:tc>
          <w:tcPr>
            <w:tcW w:w="5387" w:type="dxa"/>
            <w:tcBorders>
              <w:top w:val="single" w:sz="4" w:space="0" w:color="auto"/>
              <w:bottom w:val="single" w:sz="4" w:space="0" w:color="BFBFBF" w:themeColor="background1" w:themeShade="BF"/>
            </w:tcBorders>
          </w:tcPr>
          <w:p w14:paraId="6248AA0D" w14:textId="5EC6A7A1" w:rsidR="000E532D" w:rsidRDefault="00BC5232" w:rsidP="001C7673">
            <w:pPr>
              <w:pStyle w:val="Subtitle"/>
            </w:pPr>
            <w:r>
              <w:lastRenderedPageBreak/>
              <w:t>Risk group</w:t>
            </w:r>
            <w:r w:rsidR="000E532D">
              <w:t>-related</w:t>
            </w:r>
          </w:p>
        </w:tc>
        <w:tc>
          <w:tcPr>
            <w:tcW w:w="2365" w:type="dxa"/>
            <w:tcBorders>
              <w:top w:val="single" w:sz="4" w:space="0" w:color="auto"/>
              <w:bottom w:val="single" w:sz="4" w:space="0" w:color="BFBFBF" w:themeColor="background1" w:themeShade="BF"/>
            </w:tcBorders>
          </w:tcPr>
          <w:p w14:paraId="18B09502" w14:textId="77777777" w:rsidR="000E532D" w:rsidRDefault="000E532D" w:rsidP="001C7673">
            <w:pPr>
              <w:pStyle w:val="Subtitle"/>
            </w:pPr>
          </w:p>
        </w:tc>
        <w:tc>
          <w:tcPr>
            <w:tcW w:w="1274" w:type="dxa"/>
            <w:tcBorders>
              <w:top w:val="single" w:sz="4" w:space="0" w:color="auto"/>
              <w:bottom w:val="single" w:sz="4" w:space="0" w:color="BFBFBF" w:themeColor="background1" w:themeShade="BF"/>
            </w:tcBorders>
          </w:tcPr>
          <w:p w14:paraId="495130DD" w14:textId="77777777" w:rsidR="000E532D" w:rsidRDefault="000E532D" w:rsidP="001C7673">
            <w:pPr>
              <w:pStyle w:val="Subtitle"/>
            </w:pPr>
          </w:p>
        </w:tc>
      </w:tr>
      <w:tr w:rsidR="000E532D" w14:paraId="32AE8198" w14:textId="77777777" w:rsidTr="001C7673">
        <w:tc>
          <w:tcPr>
            <w:tcW w:w="5387" w:type="dxa"/>
            <w:tcBorders>
              <w:top w:val="single" w:sz="4" w:space="0" w:color="BFBFBF" w:themeColor="background1" w:themeShade="BF"/>
              <w:bottom w:val="single" w:sz="4" w:space="0" w:color="BFBFBF" w:themeColor="background1" w:themeShade="BF"/>
            </w:tcBorders>
          </w:tcPr>
          <w:p w14:paraId="1D5375DA" w14:textId="11383F22" w:rsidR="000E532D" w:rsidRDefault="000E532D" w:rsidP="00AF5E23">
            <w:pPr>
              <w:pStyle w:val="ListParagraph"/>
              <w:jc w:val="left"/>
            </w:pPr>
            <w:r>
              <w:t xml:space="preserve">Age </w:t>
            </w:r>
            <w:r w:rsidR="0012277B">
              <w:t xml:space="preserve">from which </w:t>
            </w:r>
            <w:r>
              <w:t xml:space="preserve">diabetes </w:t>
            </w:r>
            <w:r w:rsidR="00A72AD9">
              <w:t>is applied</w:t>
            </w:r>
            <w:r w:rsidR="0012277B">
              <w:t xml:space="preserve"> (i.e. </w:t>
            </w:r>
            <w:r w:rsidR="00674D0F">
              <w:t xml:space="preserve">applied </w:t>
            </w:r>
            <w:r w:rsidR="00AF5E23">
              <w:t xml:space="preserve">only </w:t>
            </w:r>
            <w:r w:rsidR="00674D0F">
              <w:t xml:space="preserve">to </w:t>
            </w:r>
            <w:r w:rsidR="0012277B">
              <w:t xml:space="preserve">the oldest of the </w:t>
            </w:r>
            <w:r w:rsidR="000D29A3">
              <w:t>four</w:t>
            </w:r>
            <w:r w:rsidR="0012277B">
              <w:t xml:space="preserve"> </w:t>
            </w:r>
            <w:r w:rsidR="00AF5E23">
              <w:t xml:space="preserve">simulated </w:t>
            </w:r>
            <w:r w:rsidR="0012277B">
              <w:t>age groups)</w:t>
            </w:r>
          </w:p>
        </w:tc>
        <w:tc>
          <w:tcPr>
            <w:tcW w:w="2365" w:type="dxa"/>
            <w:tcBorders>
              <w:top w:val="single" w:sz="4" w:space="0" w:color="BFBFBF" w:themeColor="background1" w:themeShade="BF"/>
              <w:bottom w:val="single" w:sz="4" w:space="0" w:color="BFBFBF" w:themeColor="background1" w:themeShade="BF"/>
            </w:tcBorders>
          </w:tcPr>
          <w:p w14:paraId="25DCFBFF" w14:textId="77777777" w:rsidR="000E532D" w:rsidRDefault="0012277B" w:rsidP="001C7673">
            <w:pPr>
              <w:pStyle w:val="ListParagraph"/>
              <w:jc w:val="left"/>
            </w:pPr>
            <w:r>
              <w:t>25</w:t>
            </w:r>
          </w:p>
        </w:tc>
        <w:tc>
          <w:tcPr>
            <w:tcW w:w="1274" w:type="dxa"/>
            <w:tcBorders>
              <w:top w:val="single" w:sz="4" w:space="0" w:color="BFBFBF" w:themeColor="background1" w:themeShade="BF"/>
              <w:bottom w:val="single" w:sz="4" w:space="0" w:color="BFBFBF" w:themeColor="background1" w:themeShade="BF"/>
            </w:tcBorders>
          </w:tcPr>
          <w:p w14:paraId="29BC2A46" w14:textId="77777777" w:rsidR="000E532D" w:rsidRDefault="0012277B" w:rsidP="001C7673">
            <w:pPr>
              <w:pStyle w:val="ListParagraph"/>
              <w:jc w:val="left"/>
            </w:pPr>
            <w:r>
              <w:t>Years</w:t>
            </w:r>
          </w:p>
        </w:tc>
      </w:tr>
      <w:tr w:rsidR="000E532D" w14:paraId="55233A4C" w14:textId="77777777" w:rsidTr="001C7673">
        <w:tc>
          <w:tcPr>
            <w:tcW w:w="5387" w:type="dxa"/>
            <w:tcBorders>
              <w:top w:val="single" w:sz="4" w:space="0" w:color="BFBFBF" w:themeColor="background1" w:themeShade="BF"/>
              <w:bottom w:val="single" w:sz="4" w:space="0" w:color="BFBFBF" w:themeColor="background1" w:themeShade="BF"/>
            </w:tcBorders>
          </w:tcPr>
          <w:p w14:paraId="6BAE669A" w14:textId="77777777" w:rsidR="000E532D" w:rsidRDefault="0012277B" w:rsidP="001C7673">
            <w:pPr>
              <w:pStyle w:val="ListParagraph"/>
              <w:jc w:val="left"/>
            </w:pPr>
            <w:r>
              <w:t>Odds ratio applied to proportion of persons progressing early to active TB if diabetic</w:t>
            </w:r>
          </w:p>
        </w:tc>
        <w:tc>
          <w:tcPr>
            <w:tcW w:w="2365" w:type="dxa"/>
            <w:tcBorders>
              <w:top w:val="single" w:sz="4" w:space="0" w:color="BFBFBF" w:themeColor="background1" w:themeShade="BF"/>
              <w:bottom w:val="single" w:sz="4" w:space="0" w:color="BFBFBF" w:themeColor="background1" w:themeShade="BF"/>
            </w:tcBorders>
          </w:tcPr>
          <w:p w14:paraId="1CA31F9A" w14:textId="77777777" w:rsidR="000E532D" w:rsidRDefault="0012277B" w:rsidP="001C7673">
            <w:pPr>
              <w:pStyle w:val="ListParagraph"/>
              <w:jc w:val="left"/>
            </w:pPr>
            <w:r>
              <w:t>3.11</w:t>
            </w:r>
          </w:p>
        </w:tc>
        <w:tc>
          <w:tcPr>
            <w:tcW w:w="1274" w:type="dxa"/>
            <w:tcBorders>
              <w:top w:val="single" w:sz="4" w:space="0" w:color="BFBFBF" w:themeColor="background1" w:themeShade="BF"/>
              <w:bottom w:val="single" w:sz="4" w:space="0" w:color="BFBFBF" w:themeColor="background1" w:themeShade="BF"/>
            </w:tcBorders>
          </w:tcPr>
          <w:p w14:paraId="390021F3" w14:textId="77777777" w:rsidR="000E532D" w:rsidRPr="008C6780" w:rsidRDefault="0012277B" w:rsidP="001C7673">
            <w:pPr>
              <w:pStyle w:val="ListParagraph"/>
              <w:jc w:val="left"/>
            </w:pPr>
            <w:r>
              <w:t>Multiplier</w:t>
            </w:r>
          </w:p>
        </w:tc>
      </w:tr>
      <w:tr w:rsidR="0012277B" w14:paraId="78E2FB9C" w14:textId="77777777" w:rsidTr="00BC5232">
        <w:tc>
          <w:tcPr>
            <w:tcW w:w="5387" w:type="dxa"/>
            <w:tcBorders>
              <w:top w:val="single" w:sz="4" w:space="0" w:color="BFBFBF" w:themeColor="background1" w:themeShade="BF"/>
              <w:bottom w:val="single" w:sz="4" w:space="0" w:color="D9D9D9" w:themeColor="background1" w:themeShade="D9"/>
            </w:tcBorders>
          </w:tcPr>
          <w:p w14:paraId="43805957" w14:textId="77777777" w:rsidR="0012277B" w:rsidRDefault="0012277B" w:rsidP="001C7673">
            <w:pPr>
              <w:pStyle w:val="ListParagraph"/>
              <w:jc w:val="left"/>
            </w:pPr>
            <w:r>
              <w:t>Relative risk of progression to active TB from late latency if diabetic</w:t>
            </w:r>
          </w:p>
        </w:tc>
        <w:tc>
          <w:tcPr>
            <w:tcW w:w="2365" w:type="dxa"/>
            <w:tcBorders>
              <w:top w:val="single" w:sz="4" w:space="0" w:color="BFBFBF" w:themeColor="background1" w:themeShade="BF"/>
              <w:bottom w:val="single" w:sz="4" w:space="0" w:color="D9D9D9" w:themeColor="background1" w:themeShade="D9"/>
            </w:tcBorders>
          </w:tcPr>
          <w:p w14:paraId="2DF02F61" w14:textId="77777777" w:rsidR="0012277B" w:rsidRDefault="0012277B" w:rsidP="001C7673">
            <w:pPr>
              <w:pStyle w:val="ListParagraph"/>
              <w:jc w:val="left"/>
            </w:pPr>
            <w:r>
              <w:t>3.11</w:t>
            </w:r>
          </w:p>
        </w:tc>
        <w:tc>
          <w:tcPr>
            <w:tcW w:w="1274" w:type="dxa"/>
            <w:tcBorders>
              <w:top w:val="single" w:sz="4" w:space="0" w:color="BFBFBF" w:themeColor="background1" w:themeShade="BF"/>
              <w:bottom w:val="single" w:sz="4" w:space="0" w:color="D9D9D9" w:themeColor="background1" w:themeShade="D9"/>
            </w:tcBorders>
          </w:tcPr>
          <w:p w14:paraId="72566EBB" w14:textId="77777777" w:rsidR="0012277B" w:rsidRDefault="0012277B" w:rsidP="001C7673">
            <w:pPr>
              <w:pStyle w:val="ListParagraph"/>
              <w:jc w:val="left"/>
            </w:pPr>
            <w:r>
              <w:t>Multiplier</w:t>
            </w:r>
          </w:p>
        </w:tc>
      </w:tr>
      <w:tr w:rsidR="00BC5232" w14:paraId="4DAA62C2" w14:textId="77777777" w:rsidTr="00BC5232">
        <w:tc>
          <w:tcPr>
            <w:tcW w:w="5387" w:type="dxa"/>
            <w:tcBorders>
              <w:top w:val="single" w:sz="4" w:space="0" w:color="D9D9D9" w:themeColor="background1" w:themeShade="D9"/>
              <w:bottom w:val="single" w:sz="4" w:space="0" w:color="D9D9D9" w:themeColor="background1" w:themeShade="D9"/>
            </w:tcBorders>
          </w:tcPr>
          <w:p w14:paraId="7E64B884" w14:textId="2B41AFCF" w:rsidR="00BC5232" w:rsidRDefault="0085221C" w:rsidP="009679FD">
            <w:pPr>
              <w:pStyle w:val="ListParagraph"/>
              <w:jc w:val="left"/>
            </w:pPr>
            <w:r>
              <w:t>Relative infectiousness in</w:t>
            </w:r>
            <w:r w:rsidR="00BC5232">
              <w:t xml:space="preserve"> </w:t>
            </w:r>
            <w:r w:rsidR="000636F1">
              <w:t>pr</w:t>
            </w:r>
            <w:r>
              <w:t>ison population</w:t>
            </w:r>
          </w:p>
        </w:tc>
        <w:tc>
          <w:tcPr>
            <w:tcW w:w="2365" w:type="dxa"/>
            <w:tcBorders>
              <w:top w:val="single" w:sz="4" w:space="0" w:color="D9D9D9" w:themeColor="background1" w:themeShade="D9"/>
              <w:bottom w:val="single" w:sz="4" w:space="0" w:color="D9D9D9" w:themeColor="background1" w:themeShade="D9"/>
            </w:tcBorders>
          </w:tcPr>
          <w:p w14:paraId="7907A3E6" w14:textId="127B7B0B" w:rsidR="00BC5232" w:rsidRDefault="0085221C" w:rsidP="009679FD">
            <w:pPr>
              <w:pStyle w:val="ListParagraph"/>
              <w:jc w:val="left"/>
            </w:pPr>
            <w:r>
              <w:t>13</w:t>
            </w:r>
          </w:p>
        </w:tc>
        <w:tc>
          <w:tcPr>
            <w:tcW w:w="1274" w:type="dxa"/>
            <w:tcBorders>
              <w:top w:val="single" w:sz="4" w:space="0" w:color="D9D9D9" w:themeColor="background1" w:themeShade="D9"/>
              <w:bottom w:val="single" w:sz="4" w:space="0" w:color="D9D9D9" w:themeColor="background1" w:themeShade="D9"/>
            </w:tcBorders>
          </w:tcPr>
          <w:p w14:paraId="3527A9D0" w14:textId="262C00FB" w:rsidR="00BC5232" w:rsidRPr="008C6780" w:rsidRDefault="0085221C" w:rsidP="009679FD">
            <w:pPr>
              <w:pStyle w:val="ListParagraph"/>
              <w:jc w:val="left"/>
            </w:pPr>
            <w:r>
              <w:t>Multiplier</w:t>
            </w:r>
          </w:p>
        </w:tc>
      </w:tr>
      <w:tr w:rsidR="00BC5232" w14:paraId="72E2881F" w14:textId="77777777" w:rsidTr="00BC5232">
        <w:tc>
          <w:tcPr>
            <w:tcW w:w="5387" w:type="dxa"/>
            <w:tcBorders>
              <w:top w:val="single" w:sz="4" w:space="0" w:color="D9D9D9" w:themeColor="background1" w:themeShade="D9"/>
              <w:bottom w:val="single" w:sz="4" w:space="0" w:color="D9D9D9" w:themeColor="background1" w:themeShade="D9"/>
            </w:tcBorders>
          </w:tcPr>
          <w:p w14:paraId="6B0E7745" w14:textId="29F1C76C" w:rsidR="00BC5232" w:rsidRDefault="0085221C" w:rsidP="0085221C">
            <w:pPr>
              <w:pStyle w:val="ListParagraph"/>
              <w:jc w:val="left"/>
            </w:pPr>
            <w:r>
              <w:t>Relative infectiousness in Roma communities</w:t>
            </w:r>
          </w:p>
        </w:tc>
        <w:tc>
          <w:tcPr>
            <w:tcW w:w="2365" w:type="dxa"/>
            <w:tcBorders>
              <w:top w:val="single" w:sz="4" w:space="0" w:color="D9D9D9" w:themeColor="background1" w:themeShade="D9"/>
              <w:bottom w:val="single" w:sz="4" w:space="0" w:color="D9D9D9" w:themeColor="background1" w:themeShade="D9"/>
            </w:tcBorders>
          </w:tcPr>
          <w:p w14:paraId="25028742" w14:textId="3B7C40D0" w:rsidR="00BC5232" w:rsidRDefault="0085221C" w:rsidP="001C7673">
            <w:pPr>
              <w:pStyle w:val="ListParagraph"/>
              <w:jc w:val="left"/>
            </w:pPr>
            <w:r>
              <w:t>6</w:t>
            </w:r>
          </w:p>
        </w:tc>
        <w:tc>
          <w:tcPr>
            <w:tcW w:w="1274" w:type="dxa"/>
            <w:tcBorders>
              <w:top w:val="single" w:sz="4" w:space="0" w:color="D9D9D9" w:themeColor="background1" w:themeShade="D9"/>
              <w:bottom w:val="single" w:sz="4" w:space="0" w:color="D9D9D9" w:themeColor="background1" w:themeShade="D9"/>
            </w:tcBorders>
          </w:tcPr>
          <w:p w14:paraId="6D0BA5BF" w14:textId="28CF3658" w:rsidR="00BC5232" w:rsidRDefault="0085221C" w:rsidP="001C7673">
            <w:pPr>
              <w:pStyle w:val="ListParagraph"/>
              <w:jc w:val="left"/>
            </w:pPr>
            <w:r>
              <w:t>Multiplier</w:t>
            </w:r>
          </w:p>
        </w:tc>
      </w:tr>
      <w:tr w:rsidR="000E532D" w14:paraId="42D6C294" w14:textId="77777777" w:rsidTr="001C7673">
        <w:tc>
          <w:tcPr>
            <w:tcW w:w="5387" w:type="dxa"/>
            <w:tcBorders>
              <w:top w:val="single" w:sz="4" w:space="0" w:color="auto"/>
              <w:bottom w:val="single" w:sz="4" w:space="0" w:color="BFBFBF" w:themeColor="background1" w:themeShade="BF"/>
            </w:tcBorders>
          </w:tcPr>
          <w:p w14:paraId="36DB7D4B" w14:textId="77777777" w:rsidR="000E532D" w:rsidRDefault="000E532D" w:rsidP="001C7673">
            <w:pPr>
              <w:pStyle w:val="Subtitle"/>
            </w:pPr>
            <w:r>
              <w:t>Programmatic</w:t>
            </w:r>
          </w:p>
        </w:tc>
        <w:tc>
          <w:tcPr>
            <w:tcW w:w="2365" w:type="dxa"/>
            <w:tcBorders>
              <w:top w:val="single" w:sz="4" w:space="0" w:color="auto"/>
              <w:bottom w:val="single" w:sz="4" w:space="0" w:color="BFBFBF" w:themeColor="background1" w:themeShade="BF"/>
            </w:tcBorders>
          </w:tcPr>
          <w:p w14:paraId="1D627632" w14:textId="77777777" w:rsidR="000E532D" w:rsidRDefault="000E532D" w:rsidP="001C7673">
            <w:pPr>
              <w:pStyle w:val="Subtitle"/>
            </w:pPr>
          </w:p>
        </w:tc>
        <w:tc>
          <w:tcPr>
            <w:tcW w:w="1274" w:type="dxa"/>
            <w:tcBorders>
              <w:top w:val="single" w:sz="4" w:space="0" w:color="auto"/>
              <w:bottom w:val="single" w:sz="4" w:space="0" w:color="BFBFBF" w:themeColor="background1" w:themeShade="BF"/>
            </w:tcBorders>
          </w:tcPr>
          <w:p w14:paraId="655D2EBC" w14:textId="77777777" w:rsidR="000E532D" w:rsidRDefault="000E532D" w:rsidP="001C7673">
            <w:pPr>
              <w:pStyle w:val="Subtitle"/>
            </w:pPr>
          </w:p>
        </w:tc>
      </w:tr>
      <w:tr w:rsidR="000E532D" w14:paraId="07767FCB" w14:textId="77777777" w:rsidTr="001C7673">
        <w:tc>
          <w:tcPr>
            <w:tcW w:w="5387" w:type="dxa"/>
            <w:tcBorders>
              <w:top w:val="single" w:sz="4" w:space="0" w:color="BFBFBF" w:themeColor="background1" w:themeShade="BF"/>
              <w:bottom w:val="single" w:sz="4" w:space="0" w:color="BFBFBF" w:themeColor="background1" w:themeShade="BF"/>
            </w:tcBorders>
          </w:tcPr>
          <w:p w14:paraId="057C0F1B" w14:textId="6EBEB70B" w:rsidR="000E532D" w:rsidRDefault="00FF0B03" w:rsidP="001C7673">
            <w:pPr>
              <w:pStyle w:val="ListParagraph"/>
              <w:jc w:val="left"/>
            </w:pPr>
            <w:r>
              <w:t xml:space="preserve">Relative sensitivity of </w:t>
            </w:r>
            <w:r w:rsidR="00DB3618">
              <w:t xml:space="preserve">the </w:t>
            </w:r>
            <w:r>
              <w:t>baseline diagnostic algorithm for smear-negative and extrapulmonary cases</w:t>
            </w:r>
          </w:p>
        </w:tc>
        <w:tc>
          <w:tcPr>
            <w:tcW w:w="2365" w:type="dxa"/>
            <w:tcBorders>
              <w:top w:val="single" w:sz="4" w:space="0" w:color="BFBFBF" w:themeColor="background1" w:themeShade="BF"/>
              <w:bottom w:val="single" w:sz="4" w:space="0" w:color="BFBFBF" w:themeColor="background1" w:themeShade="BF"/>
            </w:tcBorders>
          </w:tcPr>
          <w:p w14:paraId="035C38BB" w14:textId="77777777" w:rsidR="000E532D" w:rsidRDefault="000E532D" w:rsidP="001C7673">
            <w:pPr>
              <w:pStyle w:val="ListParagraph"/>
              <w:jc w:val="left"/>
            </w:pPr>
            <w:r w:rsidRPr="008C6780">
              <w:t>0.61</w:t>
            </w:r>
          </w:p>
        </w:tc>
        <w:tc>
          <w:tcPr>
            <w:tcW w:w="1274" w:type="dxa"/>
            <w:tcBorders>
              <w:top w:val="single" w:sz="4" w:space="0" w:color="BFBFBF" w:themeColor="background1" w:themeShade="BF"/>
              <w:bottom w:val="single" w:sz="4" w:space="0" w:color="BFBFBF" w:themeColor="background1" w:themeShade="BF"/>
            </w:tcBorders>
          </w:tcPr>
          <w:p w14:paraId="03F92113" w14:textId="77777777" w:rsidR="000E532D" w:rsidRPr="008C6780" w:rsidRDefault="00FF0B03" w:rsidP="001C7673">
            <w:pPr>
              <w:pStyle w:val="ListParagraph"/>
              <w:jc w:val="left"/>
            </w:pPr>
            <w:r>
              <w:t>Multiplier</w:t>
            </w:r>
          </w:p>
        </w:tc>
      </w:tr>
      <w:tr w:rsidR="000E532D" w14:paraId="0D94CEA9" w14:textId="77777777" w:rsidTr="00A1607B">
        <w:tc>
          <w:tcPr>
            <w:tcW w:w="5387" w:type="dxa"/>
            <w:tcBorders>
              <w:top w:val="single" w:sz="4" w:space="0" w:color="BFBFBF" w:themeColor="background1" w:themeShade="BF"/>
              <w:bottom w:val="single" w:sz="4" w:space="0" w:color="BFBFBF" w:themeColor="background1" w:themeShade="BF"/>
            </w:tcBorders>
          </w:tcPr>
          <w:p w14:paraId="68113076" w14:textId="62B31800" w:rsidR="000E532D" w:rsidRDefault="00FF0B03" w:rsidP="001C7673">
            <w:pPr>
              <w:pStyle w:val="ListParagraph"/>
              <w:jc w:val="left"/>
            </w:pPr>
            <w:r>
              <w:t>Treatment duration</w:t>
            </w:r>
            <w:r w:rsidR="00DB3618">
              <w:t>, drug-susceptible TB</w:t>
            </w:r>
          </w:p>
        </w:tc>
        <w:tc>
          <w:tcPr>
            <w:tcW w:w="2365" w:type="dxa"/>
            <w:tcBorders>
              <w:top w:val="single" w:sz="4" w:space="0" w:color="BFBFBF" w:themeColor="background1" w:themeShade="BF"/>
              <w:bottom w:val="single" w:sz="4" w:space="0" w:color="BFBFBF" w:themeColor="background1" w:themeShade="BF"/>
            </w:tcBorders>
          </w:tcPr>
          <w:p w14:paraId="767D1507" w14:textId="77777777" w:rsidR="000E532D" w:rsidRDefault="00FF0B03" w:rsidP="001C7673">
            <w:pPr>
              <w:pStyle w:val="ListParagraph"/>
              <w:jc w:val="left"/>
            </w:pPr>
            <w:r>
              <w:t>6</w:t>
            </w:r>
          </w:p>
        </w:tc>
        <w:tc>
          <w:tcPr>
            <w:tcW w:w="1274" w:type="dxa"/>
            <w:tcBorders>
              <w:top w:val="single" w:sz="4" w:space="0" w:color="BFBFBF" w:themeColor="background1" w:themeShade="BF"/>
              <w:bottom w:val="single" w:sz="4" w:space="0" w:color="BFBFBF" w:themeColor="background1" w:themeShade="BF"/>
            </w:tcBorders>
          </w:tcPr>
          <w:p w14:paraId="379C988B" w14:textId="77777777" w:rsidR="000E532D" w:rsidRPr="008C6780" w:rsidRDefault="00FF0B03" w:rsidP="001C7673">
            <w:pPr>
              <w:pStyle w:val="ListParagraph"/>
              <w:jc w:val="left"/>
            </w:pPr>
            <w:r>
              <w:t>Months</w:t>
            </w:r>
          </w:p>
        </w:tc>
      </w:tr>
      <w:tr w:rsidR="000E532D" w14:paraId="76C71C4E" w14:textId="77777777" w:rsidTr="00A1607B">
        <w:tc>
          <w:tcPr>
            <w:tcW w:w="5387" w:type="dxa"/>
            <w:tcBorders>
              <w:top w:val="single" w:sz="4" w:space="0" w:color="BFBFBF" w:themeColor="background1" w:themeShade="BF"/>
              <w:bottom w:val="single" w:sz="4" w:space="0" w:color="BFBFBF" w:themeColor="background1" w:themeShade="BF"/>
            </w:tcBorders>
          </w:tcPr>
          <w:p w14:paraId="20C8EBC9" w14:textId="7A4929E6" w:rsidR="000E532D" w:rsidRPr="00706ED5" w:rsidRDefault="00706ED5" w:rsidP="001C7673">
            <w:pPr>
              <w:pStyle w:val="ListParagraph"/>
              <w:jc w:val="left"/>
            </w:pPr>
            <w:r>
              <w:t>Duration infectious after commencing treatment</w:t>
            </w:r>
            <w:r w:rsidR="00DB3618">
              <w:t>, drug-susceptible TB</w:t>
            </w:r>
          </w:p>
        </w:tc>
        <w:tc>
          <w:tcPr>
            <w:tcW w:w="2365" w:type="dxa"/>
            <w:tcBorders>
              <w:top w:val="single" w:sz="4" w:space="0" w:color="BFBFBF" w:themeColor="background1" w:themeShade="BF"/>
              <w:bottom w:val="single" w:sz="4" w:space="0" w:color="BFBFBF" w:themeColor="background1" w:themeShade="BF"/>
            </w:tcBorders>
          </w:tcPr>
          <w:p w14:paraId="570A2EF2" w14:textId="77777777" w:rsidR="000E532D" w:rsidRDefault="00706ED5" w:rsidP="001C7673">
            <w:pPr>
              <w:pStyle w:val="ListParagraph"/>
              <w:jc w:val="left"/>
            </w:pPr>
            <w:r>
              <w:t>10</w:t>
            </w:r>
          </w:p>
        </w:tc>
        <w:tc>
          <w:tcPr>
            <w:tcW w:w="1274" w:type="dxa"/>
            <w:tcBorders>
              <w:top w:val="single" w:sz="4" w:space="0" w:color="BFBFBF" w:themeColor="background1" w:themeShade="BF"/>
              <w:bottom w:val="single" w:sz="4" w:space="0" w:color="BFBFBF" w:themeColor="background1" w:themeShade="BF"/>
            </w:tcBorders>
          </w:tcPr>
          <w:p w14:paraId="3CB7EB35" w14:textId="77777777" w:rsidR="000E532D" w:rsidRPr="008C6780" w:rsidRDefault="00706ED5" w:rsidP="001C7673">
            <w:pPr>
              <w:pStyle w:val="ListParagraph"/>
              <w:jc w:val="left"/>
            </w:pPr>
            <w:r>
              <w:t>Days</w:t>
            </w:r>
          </w:p>
        </w:tc>
      </w:tr>
      <w:tr w:rsidR="00DB3618" w14:paraId="234A6090" w14:textId="77777777" w:rsidTr="00A1607B">
        <w:tc>
          <w:tcPr>
            <w:tcW w:w="5387" w:type="dxa"/>
            <w:tcBorders>
              <w:top w:val="single" w:sz="4" w:space="0" w:color="BFBFBF" w:themeColor="background1" w:themeShade="BF"/>
              <w:bottom w:val="single" w:sz="4" w:space="0" w:color="BFBFBF" w:themeColor="background1" w:themeShade="BF"/>
            </w:tcBorders>
          </w:tcPr>
          <w:p w14:paraId="40F78D95" w14:textId="77673B7E" w:rsidR="00DB3618" w:rsidRDefault="00DB3618" w:rsidP="001C7673">
            <w:pPr>
              <w:pStyle w:val="ListParagraph"/>
              <w:jc w:val="left"/>
            </w:pPr>
            <w:r>
              <w:t>Treatment duration, MDR-TB</w:t>
            </w:r>
          </w:p>
        </w:tc>
        <w:tc>
          <w:tcPr>
            <w:tcW w:w="2365" w:type="dxa"/>
            <w:tcBorders>
              <w:top w:val="single" w:sz="4" w:space="0" w:color="BFBFBF" w:themeColor="background1" w:themeShade="BF"/>
              <w:bottom w:val="single" w:sz="4" w:space="0" w:color="BFBFBF" w:themeColor="background1" w:themeShade="BF"/>
            </w:tcBorders>
          </w:tcPr>
          <w:p w14:paraId="73FF6BD6" w14:textId="4E62400B" w:rsidR="00DB3618" w:rsidRDefault="00DB3618" w:rsidP="001C7673">
            <w:pPr>
              <w:pStyle w:val="ListParagraph"/>
              <w:jc w:val="left"/>
            </w:pPr>
            <w:r>
              <w:t>24</w:t>
            </w:r>
          </w:p>
        </w:tc>
        <w:tc>
          <w:tcPr>
            <w:tcW w:w="1274" w:type="dxa"/>
            <w:tcBorders>
              <w:top w:val="single" w:sz="4" w:space="0" w:color="BFBFBF" w:themeColor="background1" w:themeShade="BF"/>
              <w:bottom w:val="single" w:sz="4" w:space="0" w:color="BFBFBF" w:themeColor="background1" w:themeShade="BF"/>
            </w:tcBorders>
          </w:tcPr>
          <w:p w14:paraId="28D8E15C" w14:textId="2A3FB5CC" w:rsidR="00DB3618" w:rsidRDefault="00DB3618" w:rsidP="001C7673">
            <w:pPr>
              <w:pStyle w:val="ListParagraph"/>
              <w:jc w:val="left"/>
            </w:pPr>
            <w:r>
              <w:t>Months</w:t>
            </w:r>
          </w:p>
        </w:tc>
      </w:tr>
      <w:tr w:rsidR="00DB3618" w14:paraId="64297043" w14:textId="77777777" w:rsidTr="00A1607B">
        <w:tc>
          <w:tcPr>
            <w:tcW w:w="5387" w:type="dxa"/>
            <w:tcBorders>
              <w:top w:val="single" w:sz="4" w:space="0" w:color="BFBFBF" w:themeColor="background1" w:themeShade="BF"/>
              <w:bottom w:val="single" w:sz="4" w:space="0" w:color="BFBFBF" w:themeColor="background1" w:themeShade="BF"/>
            </w:tcBorders>
          </w:tcPr>
          <w:p w14:paraId="421E4AF7" w14:textId="28CB0877" w:rsidR="00DB3618" w:rsidRDefault="00DB3618" w:rsidP="001C7673">
            <w:pPr>
              <w:pStyle w:val="ListParagraph"/>
              <w:jc w:val="left"/>
            </w:pPr>
            <w:r>
              <w:t>Duration infectious after commencing treatment, MDR-TB</w:t>
            </w:r>
          </w:p>
        </w:tc>
        <w:tc>
          <w:tcPr>
            <w:tcW w:w="2365" w:type="dxa"/>
            <w:tcBorders>
              <w:top w:val="single" w:sz="4" w:space="0" w:color="BFBFBF" w:themeColor="background1" w:themeShade="BF"/>
              <w:bottom w:val="single" w:sz="4" w:space="0" w:color="BFBFBF" w:themeColor="background1" w:themeShade="BF"/>
            </w:tcBorders>
          </w:tcPr>
          <w:p w14:paraId="1F2EB0A9" w14:textId="101084CA" w:rsidR="00DB3618" w:rsidRDefault="00DB3618" w:rsidP="001C7673">
            <w:pPr>
              <w:pStyle w:val="ListParagraph"/>
              <w:jc w:val="left"/>
            </w:pPr>
            <w:r>
              <w:t>1</w:t>
            </w:r>
          </w:p>
        </w:tc>
        <w:tc>
          <w:tcPr>
            <w:tcW w:w="1274" w:type="dxa"/>
            <w:tcBorders>
              <w:top w:val="single" w:sz="4" w:space="0" w:color="BFBFBF" w:themeColor="background1" w:themeShade="BF"/>
              <w:bottom w:val="single" w:sz="4" w:space="0" w:color="BFBFBF" w:themeColor="background1" w:themeShade="BF"/>
            </w:tcBorders>
          </w:tcPr>
          <w:p w14:paraId="5D3C0F72" w14:textId="64C2FEC4" w:rsidR="00DB3618" w:rsidRDefault="00DB3618" w:rsidP="001C7673">
            <w:pPr>
              <w:pStyle w:val="ListParagraph"/>
              <w:jc w:val="left"/>
            </w:pPr>
            <w:r>
              <w:t>Month</w:t>
            </w:r>
          </w:p>
        </w:tc>
      </w:tr>
      <w:tr w:rsidR="000E532D" w14:paraId="62CF5C2D" w14:textId="77777777" w:rsidTr="00A1607B">
        <w:tc>
          <w:tcPr>
            <w:tcW w:w="5387" w:type="dxa"/>
            <w:tcBorders>
              <w:top w:val="single" w:sz="4" w:space="0" w:color="BFBFBF" w:themeColor="background1" w:themeShade="BF"/>
              <w:bottom w:val="single" w:sz="4" w:space="0" w:color="BFBFBF" w:themeColor="background1" w:themeShade="BF"/>
            </w:tcBorders>
          </w:tcPr>
          <w:p w14:paraId="4F95C430" w14:textId="301498EE" w:rsidR="000E532D" w:rsidRDefault="000C5563" w:rsidP="001C7673">
            <w:pPr>
              <w:pStyle w:val="ListParagraph"/>
              <w:jc w:val="left"/>
            </w:pPr>
            <w:r>
              <w:t>Time period before patients re-start seeking care after a</w:t>
            </w:r>
            <w:r w:rsidR="0078770A">
              <w:t xml:space="preserve"> false-negative diagnosis of TB</w:t>
            </w:r>
            <w:r w:rsidR="00A73E72">
              <w:t xml:space="preserve"> (the “missed” compartment)</w:t>
            </w:r>
          </w:p>
        </w:tc>
        <w:tc>
          <w:tcPr>
            <w:tcW w:w="2365" w:type="dxa"/>
            <w:tcBorders>
              <w:top w:val="single" w:sz="4" w:space="0" w:color="BFBFBF" w:themeColor="background1" w:themeShade="BF"/>
              <w:bottom w:val="single" w:sz="4" w:space="0" w:color="BFBFBF" w:themeColor="background1" w:themeShade="BF"/>
            </w:tcBorders>
          </w:tcPr>
          <w:p w14:paraId="3F9435FC" w14:textId="77777777" w:rsidR="000E532D" w:rsidRDefault="000C5563" w:rsidP="001C7673">
            <w:pPr>
              <w:pStyle w:val="ListParagraph"/>
              <w:jc w:val="left"/>
            </w:pPr>
            <w:r>
              <w:t>3</w:t>
            </w:r>
          </w:p>
        </w:tc>
        <w:tc>
          <w:tcPr>
            <w:tcW w:w="1274" w:type="dxa"/>
            <w:tcBorders>
              <w:top w:val="single" w:sz="4" w:space="0" w:color="BFBFBF" w:themeColor="background1" w:themeShade="BF"/>
              <w:bottom w:val="single" w:sz="4" w:space="0" w:color="BFBFBF" w:themeColor="background1" w:themeShade="BF"/>
            </w:tcBorders>
          </w:tcPr>
          <w:p w14:paraId="33E7E881" w14:textId="77777777" w:rsidR="000E532D" w:rsidRPr="008C6780" w:rsidRDefault="000C5563" w:rsidP="001C7673">
            <w:pPr>
              <w:pStyle w:val="ListParagraph"/>
              <w:jc w:val="left"/>
            </w:pPr>
            <w:r>
              <w:t>Months</w:t>
            </w:r>
          </w:p>
        </w:tc>
      </w:tr>
      <w:tr w:rsidR="000E532D" w14:paraId="2A8CD307" w14:textId="77777777" w:rsidTr="001C7673">
        <w:tc>
          <w:tcPr>
            <w:tcW w:w="5387" w:type="dxa"/>
            <w:tcBorders>
              <w:top w:val="single" w:sz="4" w:space="0" w:color="BFBFBF" w:themeColor="background1" w:themeShade="BF"/>
              <w:bottom w:val="single" w:sz="4" w:space="0" w:color="BFBFBF" w:themeColor="background1" w:themeShade="BF"/>
            </w:tcBorders>
          </w:tcPr>
          <w:p w14:paraId="481016D8" w14:textId="77777777" w:rsidR="000E532D" w:rsidRDefault="000E532D" w:rsidP="001C7673">
            <w:pPr>
              <w:pStyle w:val="ListParagraph"/>
              <w:jc w:val="left"/>
            </w:pPr>
            <w:r>
              <w:t>Time from presentation to treatment commencement, smear-positive and extrapulmonary cases</w:t>
            </w:r>
          </w:p>
        </w:tc>
        <w:tc>
          <w:tcPr>
            <w:tcW w:w="2365" w:type="dxa"/>
            <w:tcBorders>
              <w:top w:val="single" w:sz="4" w:space="0" w:color="BFBFBF" w:themeColor="background1" w:themeShade="BF"/>
              <w:bottom w:val="single" w:sz="4" w:space="0" w:color="BFBFBF" w:themeColor="background1" w:themeShade="BF"/>
            </w:tcBorders>
          </w:tcPr>
          <w:p w14:paraId="2C4936E9" w14:textId="77777777" w:rsidR="000E532D" w:rsidRDefault="000E532D" w:rsidP="001C7673">
            <w:pPr>
              <w:pStyle w:val="ListParagraph"/>
              <w:jc w:val="left"/>
            </w:pPr>
            <w:r>
              <w:t>7</w:t>
            </w:r>
          </w:p>
        </w:tc>
        <w:tc>
          <w:tcPr>
            <w:tcW w:w="1274" w:type="dxa"/>
            <w:tcBorders>
              <w:top w:val="single" w:sz="4" w:space="0" w:color="BFBFBF" w:themeColor="background1" w:themeShade="BF"/>
              <w:bottom w:val="single" w:sz="4" w:space="0" w:color="BFBFBF" w:themeColor="background1" w:themeShade="BF"/>
            </w:tcBorders>
          </w:tcPr>
          <w:p w14:paraId="0FCC4557" w14:textId="77777777" w:rsidR="000E532D" w:rsidRPr="008C6780" w:rsidRDefault="000E532D" w:rsidP="001C7673">
            <w:pPr>
              <w:pStyle w:val="ListParagraph"/>
              <w:jc w:val="left"/>
            </w:pPr>
            <w:r>
              <w:t>Days</w:t>
            </w:r>
          </w:p>
        </w:tc>
      </w:tr>
      <w:tr w:rsidR="000E532D" w14:paraId="7ECD6710" w14:textId="77777777" w:rsidTr="001C7673">
        <w:tc>
          <w:tcPr>
            <w:tcW w:w="5387" w:type="dxa"/>
            <w:tcBorders>
              <w:top w:val="single" w:sz="4" w:space="0" w:color="BFBFBF" w:themeColor="background1" w:themeShade="BF"/>
              <w:bottom w:val="single" w:sz="4" w:space="0" w:color="auto"/>
            </w:tcBorders>
          </w:tcPr>
          <w:p w14:paraId="778884C3" w14:textId="77777777" w:rsidR="000E532D" w:rsidRDefault="000E532D" w:rsidP="001C7673">
            <w:pPr>
              <w:pStyle w:val="ListParagraph"/>
              <w:jc w:val="left"/>
            </w:pPr>
            <w:r>
              <w:t>Time from presentation to treatment commencement, smear-negative cases</w:t>
            </w:r>
          </w:p>
        </w:tc>
        <w:tc>
          <w:tcPr>
            <w:tcW w:w="2365" w:type="dxa"/>
            <w:tcBorders>
              <w:top w:val="single" w:sz="4" w:space="0" w:color="BFBFBF" w:themeColor="background1" w:themeShade="BF"/>
              <w:bottom w:val="single" w:sz="4" w:space="0" w:color="auto"/>
            </w:tcBorders>
          </w:tcPr>
          <w:p w14:paraId="4B5A2925" w14:textId="77777777" w:rsidR="000E532D" w:rsidRDefault="000E532D" w:rsidP="001C7673">
            <w:pPr>
              <w:pStyle w:val="ListParagraph"/>
              <w:jc w:val="left"/>
            </w:pPr>
            <w:r>
              <w:t>30</w:t>
            </w:r>
          </w:p>
        </w:tc>
        <w:tc>
          <w:tcPr>
            <w:tcW w:w="1274" w:type="dxa"/>
            <w:tcBorders>
              <w:top w:val="single" w:sz="4" w:space="0" w:color="BFBFBF" w:themeColor="background1" w:themeShade="BF"/>
              <w:bottom w:val="single" w:sz="4" w:space="0" w:color="auto"/>
            </w:tcBorders>
          </w:tcPr>
          <w:p w14:paraId="5CE95777" w14:textId="77777777" w:rsidR="000E532D" w:rsidRPr="008C6780" w:rsidRDefault="000E532D" w:rsidP="001C7673">
            <w:pPr>
              <w:pStyle w:val="ListParagraph"/>
              <w:jc w:val="left"/>
            </w:pPr>
            <w:r>
              <w:t>Days</w:t>
            </w:r>
          </w:p>
        </w:tc>
      </w:tr>
      <w:tr w:rsidR="00D34C65" w14:paraId="52E2C4D5" w14:textId="77777777" w:rsidTr="00B23F43">
        <w:tc>
          <w:tcPr>
            <w:tcW w:w="5387" w:type="dxa"/>
            <w:tcBorders>
              <w:top w:val="single" w:sz="4" w:space="0" w:color="auto"/>
              <w:bottom w:val="single" w:sz="4" w:space="0" w:color="BFBFBF" w:themeColor="background1" w:themeShade="BF"/>
            </w:tcBorders>
          </w:tcPr>
          <w:p w14:paraId="50BC3D95" w14:textId="07A95B52" w:rsidR="00D34C65" w:rsidRDefault="00D34C65" w:rsidP="00B23F43">
            <w:pPr>
              <w:pStyle w:val="Subtitle"/>
            </w:pPr>
            <w:r>
              <w:t>Other miscellaneous</w:t>
            </w:r>
          </w:p>
        </w:tc>
        <w:tc>
          <w:tcPr>
            <w:tcW w:w="2365" w:type="dxa"/>
            <w:tcBorders>
              <w:top w:val="single" w:sz="4" w:space="0" w:color="auto"/>
              <w:bottom w:val="single" w:sz="4" w:space="0" w:color="BFBFBF" w:themeColor="background1" w:themeShade="BF"/>
            </w:tcBorders>
          </w:tcPr>
          <w:p w14:paraId="60936115" w14:textId="77777777" w:rsidR="00D34C65" w:rsidRDefault="00D34C65" w:rsidP="00B23F43">
            <w:pPr>
              <w:pStyle w:val="Subtitle"/>
            </w:pPr>
          </w:p>
        </w:tc>
        <w:tc>
          <w:tcPr>
            <w:tcW w:w="1274" w:type="dxa"/>
            <w:tcBorders>
              <w:top w:val="single" w:sz="4" w:space="0" w:color="auto"/>
              <w:bottom w:val="single" w:sz="4" w:space="0" w:color="BFBFBF" w:themeColor="background1" w:themeShade="BF"/>
            </w:tcBorders>
          </w:tcPr>
          <w:p w14:paraId="1100484F" w14:textId="77777777" w:rsidR="00D34C65" w:rsidRDefault="00D34C65" w:rsidP="00B23F43">
            <w:pPr>
              <w:pStyle w:val="Subtitle"/>
            </w:pPr>
          </w:p>
        </w:tc>
      </w:tr>
      <w:tr w:rsidR="00EA19AA" w14:paraId="216BADA9" w14:textId="77777777" w:rsidTr="001C7673">
        <w:tc>
          <w:tcPr>
            <w:tcW w:w="5387" w:type="dxa"/>
            <w:tcBorders>
              <w:top w:val="nil"/>
              <w:bottom w:val="single" w:sz="4" w:space="0" w:color="BFBFBF" w:themeColor="background1" w:themeShade="BF"/>
            </w:tcBorders>
          </w:tcPr>
          <w:p w14:paraId="63EE34AA" w14:textId="77777777" w:rsidR="00EA19AA" w:rsidRDefault="00EA19AA" w:rsidP="001C7673">
            <w:pPr>
              <w:pStyle w:val="ListParagraph"/>
              <w:jc w:val="left"/>
            </w:pPr>
            <w:r>
              <w:t>Model run start time</w:t>
            </w:r>
          </w:p>
        </w:tc>
        <w:tc>
          <w:tcPr>
            <w:tcW w:w="2365" w:type="dxa"/>
            <w:tcBorders>
              <w:top w:val="nil"/>
              <w:bottom w:val="single" w:sz="4" w:space="0" w:color="BFBFBF" w:themeColor="background1" w:themeShade="BF"/>
            </w:tcBorders>
          </w:tcPr>
          <w:p w14:paraId="44673726" w14:textId="0269AFBC" w:rsidR="00EA19AA" w:rsidRPr="00EA19AA" w:rsidRDefault="00EA19AA" w:rsidP="001C7673">
            <w:pPr>
              <w:pStyle w:val="ListParagraph"/>
              <w:jc w:val="left"/>
            </w:pPr>
            <w:r>
              <w:t>1865</w:t>
            </w:r>
            <w:r w:rsidR="00ED4CD1">
              <w:t xml:space="preserve"> </w:t>
            </w:r>
            <w:r w:rsidR="005427BC">
              <w:t>(1830 to 1920)*</w:t>
            </w:r>
          </w:p>
        </w:tc>
        <w:tc>
          <w:tcPr>
            <w:tcW w:w="1274" w:type="dxa"/>
            <w:tcBorders>
              <w:top w:val="nil"/>
              <w:bottom w:val="single" w:sz="4" w:space="0" w:color="BFBFBF" w:themeColor="background1" w:themeShade="BF"/>
            </w:tcBorders>
          </w:tcPr>
          <w:p w14:paraId="46BB7B08" w14:textId="77777777" w:rsidR="00EA19AA" w:rsidRDefault="00EA19AA" w:rsidP="001C7673">
            <w:pPr>
              <w:pStyle w:val="ListParagraph"/>
              <w:jc w:val="left"/>
            </w:pPr>
          </w:p>
        </w:tc>
      </w:tr>
      <w:tr w:rsidR="000E532D" w14:paraId="23144543" w14:textId="77777777" w:rsidTr="001C7673">
        <w:tc>
          <w:tcPr>
            <w:tcW w:w="5387" w:type="dxa"/>
            <w:tcBorders>
              <w:top w:val="single" w:sz="4" w:space="0" w:color="BFBFBF" w:themeColor="background1" w:themeShade="BF"/>
              <w:bottom w:val="single" w:sz="4" w:space="0" w:color="BFBFBF" w:themeColor="background1" w:themeShade="BF"/>
            </w:tcBorders>
          </w:tcPr>
          <w:p w14:paraId="3AF1F85F" w14:textId="77777777" w:rsidR="000E532D" w:rsidRDefault="00480FC6" w:rsidP="001C7673">
            <w:pPr>
              <w:pStyle w:val="ListParagraph"/>
              <w:jc w:val="left"/>
            </w:pPr>
            <w:r>
              <w:t>Modern population targeted in 2016</w:t>
            </w:r>
          </w:p>
        </w:tc>
        <w:tc>
          <w:tcPr>
            <w:tcW w:w="2365" w:type="dxa"/>
            <w:tcBorders>
              <w:top w:val="single" w:sz="4" w:space="0" w:color="BFBFBF" w:themeColor="background1" w:themeShade="BF"/>
              <w:bottom w:val="single" w:sz="4" w:space="0" w:color="BFBFBF" w:themeColor="background1" w:themeShade="BF"/>
            </w:tcBorders>
          </w:tcPr>
          <w:p w14:paraId="6FD23564" w14:textId="25CA81E5" w:rsidR="000E532D" w:rsidRDefault="001A258F" w:rsidP="001C7673">
            <w:pPr>
              <w:pStyle w:val="ListParagraph"/>
              <w:jc w:val="left"/>
            </w:pPr>
            <w:r>
              <w:t>7,200,000</w:t>
            </w:r>
          </w:p>
        </w:tc>
        <w:tc>
          <w:tcPr>
            <w:tcW w:w="1274" w:type="dxa"/>
            <w:tcBorders>
              <w:top w:val="single" w:sz="4" w:space="0" w:color="BFBFBF" w:themeColor="background1" w:themeShade="BF"/>
              <w:bottom w:val="single" w:sz="4" w:space="0" w:color="BFBFBF" w:themeColor="background1" w:themeShade="BF"/>
            </w:tcBorders>
          </w:tcPr>
          <w:p w14:paraId="6E573835" w14:textId="77777777" w:rsidR="000E532D" w:rsidRPr="008C6780" w:rsidRDefault="00480FC6" w:rsidP="001C7673">
            <w:pPr>
              <w:pStyle w:val="ListParagraph"/>
              <w:jc w:val="left"/>
            </w:pPr>
            <w:r>
              <w:t>Persons</w:t>
            </w:r>
          </w:p>
        </w:tc>
      </w:tr>
      <w:tr w:rsidR="000E532D" w14:paraId="5EAF8DC1" w14:textId="77777777" w:rsidTr="001C7673">
        <w:tc>
          <w:tcPr>
            <w:tcW w:w="5387" w:type="dxa"/>
            <w:tcBorders>
              <w:top w:val="single" w:sz="4" w:space="0" w:color="BFBFBF" w:themeColor="background1" w:themeShade="BF"/>
              <w:bottom w:val="single" w:sz="4" w:space="0" w:color="auto"/>
            </w:tcBorders>
          </w:tcPr>
          <w:p w14:paraId="5BB1E67E" w14:textId="7347E5A8" w:rsidR="000E532D" w:rsidRDefault="00480FC6" w:rsidP="001C7673">
            <w:pPr>
              <w:pStyle w:val="ListParagraph"/>
              <w:jc w:val="left"/>
            </w:pPr>
            <w:r>
              <w:lastRenderedPageBreak/>
              <w:t>Infectious seed</w:t>
            </w:r>
            <w:r w:rsidR="002235FC">
              <w:t xml:space="preserve"> of active DS-TB patients</w:t>
            </w:r>
            <w:r>
              <w:t xml:space="preserve"> (i.e. first calibration run starts with 1</w:t>
            </w:r>
            <w:r w:rsidR="001A258F">
              <w:t xml:space="preserve">,000,000 </w:t>
            </w:r>
            <w:r>
              <w:t>susceptible and three infectious, with total starting population varied but proportion infectious at commencement</w:t>
            </w:r>
            <w:r w:rsidR="00A73E72">
              <w:t xml:space="preserve"> remaining</w:t>
            </w:r>
            <w:r w:rsidR="00A72AD9">
              <w:t xml:space="preserve"> constant</w:t>
            </w:r>
            <w:r>
              <w:t>)</w:t>
            </w:r>
          </w:p>
        </w:tc>
        <w:tc>
          <w:tcPr>
            <w:tcW w:w="2365" w:type="dxa"/>
            <w:tcBorders>
              <w:top w:val="single" w:sz="4" w:space="0" w:color="BFBFBF" w:themeColor="background1" w:themeShade="BF"/>
              <w:bottom w:val="single" w:sz="4" w:space="0" w:color="auto"/>
            </w:tcBorders>
          </w:tcPr>
          <w:p w14:paraId="52E450BB" w14:textId="5A237FFB" w:rsidR="000E532D" w:rsidRDefault="00480FC6" w:rsidP="001C7673">
            <w:pPr>
              <w:pStyle w:val="ListParagraph"/>
              <w:jc w:val="left"/>
            </w:pPr>
            <w:r>
              <w:t xml:space="preserve">3 </w:t>
            </w:r>
            <w:r>
              <w:rPr>
                <w:rFonts w:cs="Times New Roman"/>
              </w:rPr>
              <w:t xml:space="preserve">÷ (3 + </w:t>
            </w:r>
            <w:r w:rsidR="001A258F">
              <w:rPr>
                <w:rFonts w:cs="Times New Roman"/>
              </w:rPr>
              <w:t>1,000</w:t>
            </w:r>
            <w:r>
              <w:rPr>
                <w:rFonts w:cs="Times New Roman"/>
              </w:rPr>
              <w:t>,000)</w:t>
            </w:r>
          </w:p>
        </w:tc>
        <w:tc>
          <w:tcPr>
            <w:tcW w:w="1274" w:type="dxa"/>
            <w:tcBorders>
              <w:top w:val="single" w:sz="4" w:space="0" w:color="BFBFBF" w:themeColor="background1" w:themeShade="BF"/>
              <w:bottom w:val="single" w:sz="4" w:space="0" w:color="auto"/>
            </w:tcBorders>
          </w:tcPr>
          <w:p w14:paraId="1BF9F16C" w14:textId="77777777" w:rsidR="000E532D" w:rsidRPr="008C6780" w:rsidRDefault="00480FC6" w:rsidP="001C7673">
            <w:pPr>
              <w:pStyle w:val="ListParagraph"/>
              <w:jc w:val="left"/>
            </w:pPr>
            <w:r>
              <w:t>Proportion</w:t>
            </w:r>
          </w:p>
        </w:tc>
      </w:tr>
    </w:tbl>
    <w:p w14:paraId="0FDE16EF" w14:textId="3BAA203E" w:rsidR="008C6780" w:rsidRDefault="005427BC" w:rsidP="001C7673">
      <w:pPr>
        <w:pStyle w:val="Heading4"/>
      </w:pPr>
      <w:r>
        <w:rPr>
          <w:vertAlign w:val="superscript"/>
        </w:rPr>
        <w:t>*</w:t>
      </w:r>
      <w:r w:rsidR="00EA19AA">
        <w:t>Epidemiological uncertainty parameter</w:t>
      </w:r>
      <w:r w:rsidR="00264EEA">
        <w:t>s</w:t>
      </w:r>
      <w:r w:rsidR="00EA19AA">
        <w:t xml:space="preserve"> varied during calibration.</w:t>
      </w:r>
    </w:p>
    <w:p w14:paraId="6C127BEE" w14:textId="15CFC6DB" w:rsidR="00BA13F9" w:rsidRDefault="00BA13F9" w:rsidP="00D045CE">
      <w:pPr>
        <w:pStyle w:val="Heading1"/>
        <w:numPr>
          <w:ilvl w:val="0"/>
          <w:numId w:val="9"/>
        </w:numPr>
      </w:pPr>
      <w:r>
        <w:t>Uncertainty parameters</w:t>
      </w:r>
    </w:p>
    <w:p w14:paraId="574C0260" w14:textId="659452BF" w:rsidR="000A1B35" w:rsidRDefault="00182C27" w:rsidP="005A4936">
      <w:r>
        <w:t>We restrict t</w:t>
      </w:r>
      <w:r w:rsidR="00910264">
        <w:t xml:space="preserve">he parameters that can be varied to TB-specific parameters that would otherwise remain constant throughout model runs. This behaviour </w:t>
      </w:r>
      <w:r w:rsidR="001C178A">
        <w:t xml:space="preserve">is </w:t>
      </w:r>
      <w:r w:rsidR="0053135D">
        <w:t>chosen</w:t>
      </w:r>
      <w:r w:rsidR="00910264">
        <w:t xml:space="preserve"> in order that the uncertainty calculations capture the considerable epidemiological uncertainty in such parameters, whereas programmatic parameters are fitted to the best available data for each time point available. Similarly, intervention-related and economic parameters are held constant throughout the epidemiological uncertainty simulations. </w:t>
      </w:r>
      <w:r w:rsidR="001C178A">
        <w:t>E</w:t>
      </w:r>
      <w:r>
        <w:t xml:space="preserve">ach uncertainty parameter </w:t>
      </w:r>
      <w:r w:rsidR="001C178A">
        <w:t xml:space="preserve">is </w:t>
      </w:r>
      <w:r>
        <w:t>varied between each simulation using a Metropolis-Hastings algorithm</w:t>
      </w:r>
      <w:r w:rsidR="0053135D">
        <w:t xml:space="preserve"> with a Gaussian proposal distribution</w:t>
      </w:r>
      <w:r>
        <w:t>. When runnin</w:t>
      </w:r>
      <w:r w:rsidR="00B43E01">
        <w:t xml:space="preserve">g uncertainty, the base case </w:t>
      </w:r>
      <w:r>
        <w:t xml:space="preserve">is run </w:t>
      </w:r>
      <w:r w:rsidR="00B43E01">
        <w:t>to completion</w:t>
      </w:r>
      <w:r w:rsidR="00E84EA0">
        <w:t xml:space="preserve"> and acceptance is determined based on this simulation only.</w:t>
      </w:r>
      <w:r w:rsidR="000A1B35">
        <w:br w:type="page"/>
      </w:r>
    </w:p>
    <w:p w14:paraId="063759C8" w14:textId="77777777" w:rsidR="002235FC" w:rsidRDefault="002235FC" w:rsidP="005A4936"/>
    <w:p w14:paraId="4ECA9D3E" w14:textId="509E1585" w:rsidR="00364E6C" w:rsidRDefault="004861A2" w:rsidP="00CB05A9">
      <w:r>
        <w:rPr>
          <w:noProof/>
          <w:lang w:val="en-GB" w:eastAsia="en-GB"/>
        </w:rPr>
        <w:drawing>
          <wp:inline distT="0" distB="0" distL="0" distR="0" wp14:anchorId="05797DE1" wp14:editId="497BB974">
            <wp:extent cx="5703703" cy="3780000"/>
            <wp:effectExtent l="0" t="0" r="0" b="0"/>
            <wp:docPr id="7" name="Picture 7" descr="C:\Users\James\Desktop\AuTuMN\projects\test_bulgaria\bulgaria_pri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esktop\AuTuMN\projects\test_bulgaria\bulgaria_priors.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7543" b="4028"/>
                    <a:stretch/>
                  </pic:blipFill>
                  <pic:spPr bwMode="auto">
                    <a:xfrm>
                      <a:off x="0" y="0"/>
                      <a:ext cx="5731510" cy="3798429"/>
                    </a:xfrm>
                    <a:prstGeom prst="rect">
                      <a:avLst/>
                    </a:prstGeom>
                    <a:noFill/>
                    <a:ln>
                      <a:noFill/>
                    </a:ln>
                    <a:extLst>
                      <a:ext uri="{53640926-AAD7-44D8-BBD7-CCE9431645EC}">
                        <a14:shadowObscured xmlns:a14="http://schemas.microsoft.com/office/drawing/2010/main"/>
                      </a:ext>
                    </a:extLst>
                  </pic:spPr>
                </pic:pic>
              </a:graphicData>
            </a:graphic>
          </wp:inline>
        </w:drawing>
      </w:r>
    </w:p>
    <w:p w14:paraId="4D6BA061" w14:textId="4117C4D6" w:rsidR="00431FE5" w:rsidRDefault="00187492" w:rsidP="00BB3B88">
      <w:pPr>
        <w:pStyle w:val="Heading4"/>
      </w:pPr>
      <w:r>
        <w:rPr>
          <w:b/>
        </w:rPr>
        <w:t>Figure S2</w:t>
      </w:r>
      <w:r w:rsidR="001A258F" w:rsidRPr="002F1392">
        <w:rPr>
          <w:b/>
        </w:rPr>
        <w:t>0</w:t>
      </w:r>
      <w:r w:rsidR="00E84EA0" w:rsidRPr="002F1392">
        <w:rPr>
          <w:b/>
        </w:rPr>
        <w:t>. Prior distributions for uncertainty parameters.</w:t>
      </w:r>
      <w:r w:rsidR="005427BC">
        <w:rPr>
          <w:b/>
        </w:rPr>
        <w:t xml:space="preserve"> </w:t>
      </w:r>
      <w:r w:rsidR="005427BC">
        <w:t>Horizontal axis, parameter value; vertical axis, probability density.</w:t>
      </w:r>
    </w:p>
    <w:p w14:paraId="4A2E785E" w14:textId="443ED711" w:rsidR="00B26DC5" w:rsidRDefault="00B26DC5">
      <w:pPr>
        <w:spacing w:after="200" w:line="276" w:lineRule="auto"/>
        <w:jc w:val="left"/>
      </w:pPr>
      <w:r>
        <w:br w:type="page"/>
      </w:r>
    </w:p>
    <w:p w14:paraId="0F5DD6B1" w14:textId="47039033" w:rsidR="00E84EA0" w:rsidRPr="005427BC" w:rsidRDefault="00431FE5" w:rsidP="00B26DC5">
      <w:r>
        <w:rPr>
          <w:noProof/>
          <w:lang w:val="en-GB" w:eastAsia="en-GB"/>
        </w:rPr>
        <w:lastRenderedPageBreak/>
        <w:drawing>
          <wp:inline distT="0" distB="0" distL="0" distR="0" wp14:anchorId="47233706" wp14:editId="7F8FC967">
            <wp:extent cx="5705475" cy="3744000"/>
            <wp:effectExtent l="0" t="0" r="0" b="8890"/>
            <wp:docPr id="1" name="Picture 1" descr="C:\Users\James\Desktop\test_bulgaria\bulgaria_parameter_h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esktop\test_bulgaria\bulgaria_parameter_hist.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7527" b="5073"/>
                    <a:stretch/>
                  </pic:blipFill>
                  <pic:spPr bwMode="auto">
                    <a:xfrm>
                      <a:off x="0" y="0"/>
                      <a:ext cx="5705475" cy="3744000"/>
                    </a:xfrm>
                    <a:prstGeom prst="rect">
                      <a:avLst/>
                    </a:prstGeom>
                    <a:noFill/>
                    <a:ln>
                      <a:noFill/>
                    </a:ln>
                    <a:extLst>
                      <a:ext uri="{53640926-AAD7-44D8-BBD7-CCE9431645EC}">
                        <a14:shadowObscured xmlns:a14="http://schemas.microsoft.com/office/drawing/2010/main"/>
                      </a:ext>
                    </a:extLst>
                  </pic:spPr>
                </pic:pic>
              </a:graphicData>
            </a:graphic>
          </wp:inline>
        </w:drawing>
      </w:r>
    </w:p>
    <w:p w14:paraId="626144D6" w14:textId="3BF7CEBC" w:rsidR="00431FE5" w:rsidRDefault="00431FE5" w:rsidP="00431FE5">
      <w:pPr>
        <w:pStyle w:val="Heading4"/>
      </w:pPr>
      <w:r>
        <w:rPr>
          <w:b/>
        </w:rPr>
        <w:t>Figure S2</w:t>
      </w:r>
      <w:r w:rsidR="005B60FD">
        <w:rPr>
          <w:b/>
        </w:rPr>
        <w:t>1</w:t>
      </w:r>
      <w:r w:rsidRPr="002F1392">
        <w:rPr>
          <w:b/>
        </w:rPr>
        <w:t xml:space="preserve">. </w:t>
      </w:r>
      <w:r>
        <w:rPr>
          <w:b/>
        </w:rPr>
        <w:t xml:space="preserve">Posterior </w:t>
      </w:r>
      <w:r w:rsidRPr="002F1392">
        <w:rPr>
          <w:b/>
        </w:rPr>
        <w:t>distribution</w:t>
      </w:r>
      <w:r>
        <w:rPr>
          <w:b/>
        </w:rPr>
        <w:t xml:space="preserve"> histogram</w:t>
      </w:r>
      <w:r w:rsidRPr="002F1392">
        <w:rPr>
          <w:b/>
        </w:rPr>
        <w:t>s for uncertainty parameters.</w:t>
      </w:r>
      <w:r>
        <w:rPr>
          <w:b/>
        </w:rPr>
        <w:t xml:space="preserve"> </w:t>
      </w:r>
      <w:r>
        <w:t>Horizontal axis, parameter value; vertical axis, frequency.</w:t>
      </w:r>
    </w:p>
    <w:p w14:paraId="56227EED" w14:textId="403809E2" w:rsidR="00A51F99" w:rsidRDefault="00A51F99" w:rsidP="00D045CE">
      <w:pPr>
        <w:pStyle w:val="Heading1"/>
        <w:numPr>
          <w:ilvl w:val="0"/>
          <w:numId w:val="9"/>
        </w:numPr>
      </w:pPr>
      <w:r>
        <w:t>Initialisation</w:t>
      </w:r>
    </w:p>
    <w:p w14:paraId="44F0257D" w14:textId="76EAA880" w:rsidR="00C84B60" w:rsidRDefault="00C84B60" w:rsidP="008E716E">
      <w:r>
        <w:t xml:space="preserve">At model commencement, persons are assigned to the </w:t>
      </w:r>
      <w:r w:rsidR="002235FC">
        <w:t>drug-</w:t>
      </w:r>
      <w:r>
        <w:t xml:space="preserve">susceptible and active </w:t>
      </w:r>
      <w:r w:rsidR="00C96D24">
        <w:t xml:space="preserve">TB </w:t>
      </w:r>
      <w:r>
        <w:t xml:space="preserve">compartments only. The proportion of persons assigned to </w:t>
      </w:r>
      <w:r w:rsidR="00C96D24">
        <w:t xml:space="preserve">the </w:t>
      </w:r>
      <w:r>
        <w:t xml:space="preserve">active </w:t>
      </w:r>
      <w:r w:rsidR="00C96D24">
        <w:t xml:space="preserve">compartments </w:t>
      </w:r>
      <w:r>
        <w:t>remains constant throughout all calibration model runs</w:t>
      </w:r>
      <w:r w:rsidR="0094460A">
        <w:t xml:space="preserve"> (Table S1)</w:t>
      </w:r>
      <w:r>
        <w:t>, while the total starting population is algorithmically varied to target a specified modern population</w:t>
      </w:r>
      <w:r w:rsidR="00C96D24">
        <w:t xml:space="preserve"> (7,200,000)</w:t>
      </w:r>
      <w:r>
        <w:t xml:space="preserve">. This is achieved by first calculating the ratio of the simulated modern population and targeted modern population at each integration run. </w:t>
      </w:r>
      <w:r w:rsidR="00C96D24">
        <w:t>At the following run</w:t>
      </w:r>
      <w:r>
        <w:t>, the starting population is multiplied by the reciprocal of this ratio. For example, if a run over-shoots the modern population by 1%, the starting population is multiplied by 100/101 (</w:t>
      </w:r>
      <w:r w:rsidR="00DB1A61">
        <w:t>decreasing</w:t>
      </w:r>
      <w:r>
        <w:t xml:space="preserve"> the starting p</w:t>
      </w:r>
      <w:r w:rsidR="001E2147">
        <w:t>opulation by approximately 1%).</w:t>
      </w:r>
      <w:r w:rsidR="00A65CB4">
        <w:t xml:space="preserve"> This approach is adopted because under frequency-dependent transmission, the compartment sizes as a proportion of the total population remain the same at any integration </w:t>
      </w:r>
      <w:r w:rsidR="00DB1A61">
        <w:t xml:space="preserve">time </w:t>
      </w:r>
      <w:r w:rsidR="00A65CB4">
        <w:t>if the starting proportions also remain unchanged.</w:t>
      </w:r>
    </w:p>
    <w:p w14:paraId="47321740" w14:textId="1B4C7CB9" w:rsidR="00A51F99" w:rsidRDefault="00A51F99" w:rsidP="00D045CE">
      <w:pPr>
        <w:pStyle w:val="Heading1"/>
        <w:numPr>
          <w:ilvl w:val="0"/>
          <w:numId w:val="9"/>
        </w:numPr>
      </w:pPr>
      <w:bookmarkStart w:id="4" w:name="_Ref521591616"/>
      <w:r>
        <w:lastRenderedPageBreak/>
        <w:t>Demographic parameters</w:t>
      </w:r>
      <w:bookmarkEnd w:id="4"/>
    </w:p>
    <w:p w14:paraId="0361D520" w14:textId="50B97CAF" w:rsidR="00330A10" w:rsidRDefault="00021AC0" w:rsidP="00330A10">
      <w:r>
        <w:t xml:space="preserve">For simulating births into the model, </w:t>
      </w:r>
      <w:r w:rsidR="001D6DBB">
        <w:t xml:space="preserve">we </w:t>
      </w:r>
      <w:r>
        <w:t xml:space="preserve">assign a time-variant parameter using </w:t>
      </w:r>
      <w:r w:rsidR="00D24344">
        <w:t>publicly</w:t>
      </w:r>
      <w:r>
        <w:t xml:space="preserve"> available </w:t>
      </w:r>
      <w:r w:rsidR="0094460A">
        <w:t xml:space="preserve">data for the </w:t>
      </w:r>
      <w:r>
        <w:t>crude birth rate from the World Bank.</w:t>
      </w:r>
      <w:r>
        <w:fldChar w:fldCharType="begin" w:fldLock="1"/>
      </w:r>
      <w:r w:rsidR="00583138">
        <w:instrText>ADDIN CSL_CITATION { "citationItems" : [ { "id" : "ITEM-1", "itemData" : { "URL" : "http://databank.worldbank.org/data/reports.aspx?source=world-development-indicators", "accessed" : { "date-parts" : [ [ "2017", "2", "27" ] ] }, "author" : [ { "dropping-particle" : "", "family" : "The World Bank", "given" : "", "non-dropping-particle" : "", "parse-names" : false, "suffix" : "" } ], "id" : "ITEM-1", "issued" : { "date-parts" : [ [ "0" ] ] }, "title" : "World Development Indicators | DataBank", "type" : "webpage" }, "uris" : [ "http://www.mendeley.com/documents/?uuid=ef92fdde-d631-3194-8dca-ea896e9d8e49" ] } ], "mendeley" : { "formattedCitation" : "&lt;sup&gt;3&lt;/sup&gt;", "plainTextFormattedCitation" : "3", "previouslyFormattedCitation" : "&lt;sup&gt;3&lt;/sup&gt;" }, "properties" : { "noteIndex" : 0 }, "schema" : "https://github.com/citation-style-language/schema/raw/master/csl-citation.json" }</w:instrText>
      </w:r>
      <w:r>
        <w:fldChar w:fldCharType="separate"/>
      </w:r>
      <w:r w:rsidR="00D3165B" w:rsidRPr="00D3165B">
        <w:rPr>
          <w:noProof/>
          <w:vertAlign w:val="superscript"/>
        </w:rPr>
        <w:t>3</w:t>
      </w:r>
      <w:r>
        <w:fldChar w:fldCharType="end"/>
      </w:r>
      <w:r>
        <w:t xml:space="preserve"> The birth rate is interpreted as cru</w:t>
      </w:r>
      <w:r w:rsidR="0094460A">
        <w:t xml:space="preserve">de births per 1,000 population </w:t>
      </w:r>
      <w:r>
        <w:t>and so is multiplied by the total population of the model divided by 1,000 to determine the overall birth rate</w:t>
      </w:r>
      <w:r w:rsidR="00116C61">
        <w:t xml:space="preserve"> (Figure S1)</w:t>
      </w:r>
      <w:r>
        <w:t>. This is then distributed between vaccinated and unvaccinated births</w:t>
      </w:r>
      <w:r w:rsidR="00330A10">
        <w:t xml:space="preserve"> according to </w:t>
      </w:r>
      <w:r w:rsidR="003A3828">
        <w:t>Bacillus Calmette-</w:t>
      </w:r>
      <w:r w:rsidR="00FE19FA" w:rsidRPr="00F07B01">
        <w:t>Guérin</w:t>
      </w:r>
      <w:r w:rsidR="00FE19FA">
        <w:t xml:space="preserve"> (BCG) </w:t>
      </w:r>
      <w:r w:rsidR="00330A10">
        <w:t>coverage at the time point simulated</w:t>
      </w:r>
      <w:r w:rsidR="00264908">
        <w:t xml:space="preserve"> (Figure S2)</w:t>
      </w:r>
      <w:r w:rsidR="00330A10">
        <w:t>.</w:t>
      </w:r>
    </w:p>
    <w:p w14:paraId="28D6CB2C" w14:textId="234F28C5" w:rsidR="00021AC0" w:rsidRDefault="00021AC0" w:rsidP="00330A10">
      <w:r>
        <w:t xml:space="preserve">Simulating non-TB-related deaths or the background death rate is achieved with an analogous method. Life expectancy is obtained from </w:t>
      </w:r>
      <w:r w:rsidR="006F3E99">
        <w:t>publicly</w:t>
      </w:r>
      <w:r>
        <w:t xml:space="preserve"> available data from the World Bank</w:t>
      </w:r>
      <w:r>
        <w:fldChar w:fldCharType="begin" w:fldLock="1"/>
      </w:r>
      <w:r w:rsidR="00583138">
        <w:instrText>ADDIN CSL_CITATION { "citationItems" : [ { "id" : "ITEM-1", "itemData" : { "URL" : "http://data.worldbank.org/indicator/SP.DYN.LE00.IN", "accessed" : { "date-parts" : [ [ "2017", "6", "19" ] ] }, "author" : [ { "dropping-particle" : "", "family" : "World Bank", "given" : "", "non-dropping-particle" : "", "parse-names" : false, "suffix" : "" } ], "id" : "ITEM-1", "issued" : { "date-parts" : [ [ "0" ] ] }, "title" : "Life expectancy at birth, total (years) | Data", "type" : "webpage" }, "uris" : [ "http://www.mendeley.com/documents/?uuid=0d873d5d-6487-3e6a-a899-0457895980b1" ] } ], "mendeley" : { "formattedCitation" : "&lt;sup&gt;4&lt;/sup&gt;", "plainTextFormattedCitation" : "4", "previouslyFormattedCitation" : "&lt;sup&gt;4&lt;/sup&gt;" }, "properties" : { "noteIndex" : 0 }, "schema" : "https://github.com/citation-style-language/schema/raw/master/csl-citation.json" }</w:instrText>
      </w:r>
      <w:r>
        <w:fldChar w:fldCharType="separate"/>
      </w:r>
      <w:r w:rsidR="00D3165B" w:rsidRPr="00D3165B">
        <w:rPr>
          <w:noProof/>
          <w:vertAlign w:val="superscript"/>
        </w:rPr>
        <w:t>4</w:t>
      </w:r>
      <w:r>
        <w:fldChar w:fldCharType="end"/>
      </w:r>
      <w:r>
        <w:t xml:space="preserve"> and a time-variant parameter </w:t>
      </w:r>
      <w:r w:rsidR="00116C61">
        <w:t xml:space="preserve">is </w:t>
      </w:r>
      <w:r>
        <w:t>fit</w:t>
      </w:r>
      <w:r w:rsidR="006F3E99">
        <w:t>ted</w:t>
      </w:r>
      <w:r>
        <w:t xml:space="preserve"> to these data points</w:t>
      </w:r>
      <w:r w:rsidR="00FE6EA9">
        <w:t xml:space="preserve"> (Figure S</w:t>
      </w:r>
      <w:r w:rsidR="00FE19FA">
        <w:t>3</w:t>
      </w:r>
      <w:r w:rsidR="00FE6EA9">
        <w:t>)</w:t>
      </w:r>
      <w:r w:rsidR="006F3E99">
        <w:t xml:space="preserve">. </w:t>
      </w:r>
      <w:r>
        <w:t xml:space="preserve">Population deaths are then calculated as the reciprocal of this value and applied equally to every </w:t>
      </w:r>
      <w:r w:rsidR="003B07BA">
        <w:t xml:space="preserve">model </w:t>
      </w:r>
      <w:r>
        <w:t xml:space="preserve">compartment, </w:t>
      </w:r>
      <w:r w:rsidR="00FD2DE7">
        <w:t>(</w:t>
      </w:r>
      <w:r>
        <w:t>including all compartments for patients with active TB</w:t>
      </w:r>
      <w:r w:rsidR="00FD2DE7">
        <w:t>,</w:t>
      </w:r>
      <w:r>
        <w:t xml:space="preserve"> in addition to TB-specific mortality), all risk groups and all age groups.</w:t>
      </w:r>
    </w:p>
    <w:p w14:paraId="52C7CEF5" w14:textId="52F74F36" w:rsidR="00A51F99" w:rsidRDefault="00A51F99" w:rsidP="00D045CE">
      <w:pPr>
        <w:pStyle w:val="Heading1"/>
        <w:numPr>
          <w:ilvl w:val="0"/>
          <w:numId w:val="9"/>
        </w:numPr>
      </w:pPr>
      <w:r>
        <w:t>Susceptibility/immunity to infection</w:t>
      </w:r>
    </w:p>
    <w:p w14:paraId="0783F119" w14:textId="4E37346C" w:rsidR="002B5A30" w:rsidRPr="00CB384E" w:rsidRDefault="002B5A30" w:rsidP="002B5A30">
      <w:r>
        <w:t xml:space="preserve">The </w:t>
      </w:r>
      <w:r w:rsidR="0094460A">
        <w:t>extent</w:t>
      </w:r>
      <w:r>
        <w:t xml:space="preserve"> of susceptibility or immunity to infection among different population groups given their vaccination status, </w:t>
      </w:r>
      <w:r w:rsidRPr="002B5A30">
        <w:rPr>
          <w:i/>
        </w:rPr>
        <w:t>Mtb</w:t>
      </w:r>
      <w:r>
        <w:t xml:space="preserve"> infection-related compartment, age and treatment history is one of the most uncertain parameters in TB epidemiology. We consider homogeneous susceptibility/immunity to </w:t>
      </w:r>
      <w:r w:rsidRPr="002B5A30">
        <w:rPr>
          <w:i/>
        </w:rPr>
        <w:t>Mtb</w:t>
      </w:r>
      <w:r>
        <w:t xml:space="preserve"> </w:t>
      </w:r>
      <w:r w:rsidR="00A70360">
        <w:t xml:space="preserve">infection </w:t>
      </w:r>
      <w:r>
        <w:t>across risk groups and age groups, assuming that the differing rates of TB disease in these groups are related to other factors (explained further</w:t>
      </w:r>
      <w:r w:rsidR="003B07BA">
        <w:t xml:space="preserve"> below</w:t>
      </w:r>
      <w:r>
        <w:t>).</w:t>
      </w:r>
      <w:r w:rsidR="005215AD">
        <w:t xml:space="preserve"> </w:t>
      </w:r>
      <w:r>
        <w:t>By contrast, BCG</w:t>
      </w:r>
      <w:r w:rsidR="00FE19FA">
        <w:t xml:space="preserve"> </w:t>
      </w:r>
      <w:r>
        <w:t xml:space="preserve">vaccination and latent infection with </w:t>
      </w:r>
      <w:r w:rsidRPr="002B5A30">
        <w:rPr>
          <w:i/>
        </w:rPr>
        <w:t>Mtb</w:t>
      </w:r>
      <w:r>
        <w:t xml:space="preserve"> are considered to influence the likelihood of infection after exposure to an infectious individual</w:t>
      </w:r>
      <w:r w:rsidR="001543AF">
        <w:t xml:space="preserve"> (Table S1)</w:t>
      </w:r>
      <w:r>
        <w:t xml:space="preserve">. The effect of prior latent infection on reinfection is estimated from a review of cohort studies comparing those with evidence of prior </w:t>
      </w:r>
      <w:r w:rsidRPr="002B5A30">
        <w:rPr>
          <w:i/>
        </w:rPr>
        <w:t>Mtb</w:t>
      </w:r>
      <w:r>
        <w:t xml:space="preserve"> infection to those without such evidence among persons exposed to infectious TB.</w:t>
      </w:r>
      <w:r w:rsidR="003A3828">
        <w:fldChar w:fldCharType="begin" w:fldLock="1"/>
      </w:r>
      <w:r w:rsidR="00583138">
        <w:instrText>ADDIN CSL_CITATION { "citationItems" : [ { "id" : "ITEM-1", "itemData" : { "DOI" : "10.1093/cid/cir951", "ISBN" : "1537-6591 (Electronic)\r1058-4838 (Linking)", "PMID" : "22267721", "abstract" : "BACKGROUND: The risk of progression to active tuberculosis is greatest in the several years following initial infection. The extent to which latent tuberculosis infection reduces the risk of progressive disease following reexposure and reinfection is not known. Indirect estimates from population models have been highly variable. METHODS: We reviewed prospective cohort studies of persons exposed to individuals with infectious tuberculosis that were published prior to the widespread treatment of latent tuberculosis to estimate the incidence of tuberculosis among individuals with latent tuberculosis infection (LTBI group) and without latent tuberculosis (uninfected; UI group). We calculated the incidence rate ratio (IRR) of tuberculosis disease following infection between these 2 groups. We then adjusted incidence for expected reactivation, proportion of each group that was infected, and median time of observation following infection during the study. RESULTS: We identified 18 publications reporting tuberculosis incidence among 23 paired cohorts of individuals with and without latent infection (total N = 19 886). The weighted mean adjusted incidence rate of tuberculosis in the LTBI and UI groups attributable to reinfection was 13.5 per 1000 person-years (95% confidence interval [CI]: 5.0-26.2 per 1000 person-years) and that attributable to primary infection was 60.1 per 1000 person-years (95% CI: 38.6-87.4 per 1000 person-years). The adjusted IRR for tuberculosis in the LTBI group compared with the UI group was 0.21 (95% CI: .14-.30). CONCLUSIONS: Individuals with latent tuberculosis had 79% lower risk of progressive tuberculosis after reinfection than uninfected individuals. The risk reduction estimated in this study is greater than most previous estimates made through population models.", "author" : [ { "dropping-particle" : "", "family" : "Andrews", "given" : "J R", "non-dropping-particle" : "", "parse-names" : false, "suffix" : "" }, { "dropping-particle" : "", "family" : "Noubary", "given" : "F", "non-dropping-particle" : "", "parse-names" : false, "suffix" : "" }, { "dropping-particle" : "", "family" : "Walensky", "given" : "R P", "non-dropping-particle" : "", "parse-names" : false, "suffix" : "" }, { "dropping-particle" : "", "family" : "Cerda", "given" : "R", "non-dropping-particle" : "", "parse-names" : false, "suffix" : "" }, { "dropping-particle" : "", "family" : "Losina", "given" : "E", "non-dropping-particle" : "", "parse-names" : false, "suffix" : "" }, { "dropping-particle" : "", "family" : "Horsburgh", "given" : "C R", "non-dropping-particle" : "", "parse-names" : false, "suffix" : "" } ], "container-title" : "Clin Infect Dis", "id" : "ITEM-1", "issue" : "6", "issued" : { "date-parts" : [ [ "2012" ] ] }, "note" : "Andrews, Jason R\nNoubary, Farzad\nWalensky, Rochelle P\nCerda, Rodrigo\nLosina, Elena\nHorsburgh, C Robert\neng\nP30 AI060354/AI/NIAID NIH HHS/\nR01 AI058736/AI/NIAID NIH HHS/\nT32 AI007433-20/AI/NIAID NIH HHS/\nU01 AI068636/AI/NIAID NIH HHS/\nU54 GM088558/GM/NIGMS NIH HHS/\nMeta-Analysis\nResearch Support, N.I.H., Extramural\nResearch Support, Non-U.S. Gov't\nReview\n2012/01/24 06:00\nClin Infect Dis. 2012 Mar;54(6):784-91. doi: 10.1093/cid/cir951. Epub 2012 Jan 19.", "page" : "784-791", "title" : "Risk of progression to active tuberculosis following reinfection with Mycobacterium tuberculosis", "type" : "article-journal", "volume" : "54" }, "uris" : [ "http://www.mendeley.com/documents/?uuid=bb64d4c4-1423-48de-959e-ceb7704af928", "http://www.mendeley.com/documents/?uuid=df85ff3e-9ef2-4768-8be5-f2fc1d9740fe" ] } ], "mendeley" : { "formattedCitation" : "&lt;sup&gt;5&lt;/sup&gt;", "plainTextFormattedCitation" : "5", "previouslyFormattedCitation" : "&lt;sup&gt;5&lt;/sup&gt;" }, "properties" : { "noteIndex" : 0 }, "schema" : "https://github.com/citation-style-language/schema/raw/master/csl-citation.json" }</w:instrText>
      </w:r>
      <w:r w:rsidR="003A3828">
        <w:fldChar w:fldCharType="separate"/>
      </w:r>
      <w:r w:rsidR="00D3165B" w:rsidRPr="00D3165B">
        <w:rPr>
          <w:noProof/>
          <w:vertAlign w:val="superscript"/>
        </w:rPr>
        <w:t>5</w:t>
      </w:r>
      <w:r w:rsidR="003A3828">
        <w:fldChar w:fldCharType="end"/>
      </w:r>
      <w:r>
        <w:t xml:space="preserve"> This study found that the rate of new episodes of TB disease in those with prior latent infection was 0.21-fold that in those without. Because reinfection should be a minor consideration given the design of this study and because </w:t>
      </w:r>
      <w:r w:rsidR="003A3828">
        <w:t xml:space="preserve">unrecognised </w:t>
      </w:r>
      <w:r>
        <w:t xml:space="preserve">reactivation of past infection would lead to even lower values, we use this estimate as our parameter value for the relative rate of reinfection among currently latently infected persons (by comparison to the rate of infection in fully susceptible persons). Note that this only applies to the late latent compartment, as reinfection of those in the early latent compartment will not affect their risk </w:t>
      </w:r>
      <w:r>
        <w:lastRenderedPageBreak/>
        <w:t>of progression to active disease, as these persons are already at the highest risk of progression to TB.</w:t>
      </w:r>
    </w:p>
    <w:p w14:paraId="565B5F80" w14:textId="5C8D3DF5" w:rsidR="00A51F99" w:rsidRDefault="002B5A30" w:rsidP="00F07655">
      <w:pPr>
        <w:spacing w:before="120"/>
      </w:pPr>
      <w:r>
        <w:t>Subsequent episodes of TB disease after recovery from a prior episode are known to occur at a higher rate than that in the background population.</w:t>
      </w:r>
      <w:r>
        <w:fldChar w:fldCharType="begin" w:fldLock="1"/>
      </w:r>
      <w:r w:rsidR="00583138">
        <w:instrText>ADDIN CSL_CITATION { "citationItems" : [ { "id" : "ITEM-1", "itemData" : { "DOI" : "10.1164/rccm.200409-1200OC", "ISBN" : "1073-449X (Print)\r1073-449X (Linking)", "PMID" : "15831840", "abstract" : "RATIONALE: In a high-tuberculosis (TB) incidence area of Cape Town, South Africa, there is a very high rate of unexplained recurrent TB. The incidence of new bacteriologically confirmed disease in the area is 313 per 100,000 individuals. OBJECTIVE: To estimate the rate of recurrent TB attributable to reinfection after successful treatment. METHODS: All patients with reported TB in the area between 1993 and 1998 were followed up to 2001 for disease needing retreatment (recurrences). Patients who were multi-drug-resistant or who had treatment failure, were transferred, or died during treatment were excluded. Analysis was restricted to patients for whom DNA fingerprinting of their Mycobacterium tuberculosis isolates was obtained. Reinfection TB was defined as a recurrent TB episode in which the strains of the separate episodes differed by more than four bands. MEASUREMENTS AND MAIN RESULTS: 612 of 897 (68%) patients had a DNA fingerprint available at enrollment. Median duration of follow-up was 5.2 years. Recurrent TB occurred in 108 of 612 (18%) patients, of whom 61 of 447 (14%) experienced recurrence after successful treatment, and 47 of 165 (28%) experience recurrence after default. Of the 108 patients with recurrent TB, 68 (63%) had a DNA fingerprint in the second episode. Among these patients, 24 of 31 (77%) recurrences after successful treatment and 4 of 37 (11%) recurrences after default were attributable to reinfection. The reinfection disease rate after successful treatment was estimated at 2.2 per 100 person-years. CONCLUSIONS: The age-adjusted incidence rate of TB attributable to reinfection after successful treatment was four times that of new TB. People who had TB once are at a strongly increased risk of developing TB when reinfected.", "author" : [ { "dropping-particle" : "", "family" : "Verver", "given" : "S", "non-dropping-particle" : "", "parse-names" : false, "suffix" : "" }, { "dropping-particle" : "", "family" : "Warren", "given" : "R M", "non-dropping-particle" : "", "parse-names" : false, "suffix" : "" }, { "dropping-particle" : "", "family" : "Beyers", "given" : "N", "non-dropping-particle" : "", "parse-names" : false, "suffix" : "" }, { "dropping-particle" : "", "family" : "Richardson", "given" : "M", "non-dropping-particle" : "", "parse-names" : false, "suffix" : "" }, { "dropping-particle" : "", "family" : "Spuy", "given" : "G D", "non-dropping-particle" : "van der", "parse-names" : false, "suffix" : "" }, { "dropping-particle" : "", "family" : "Borgdorff", "given" : "M W", "non-dropping-particle" : "", "parse-names" : false, "suffix" : "" }, { "dropping-particle" : "", "family" : "Enarson", "given" : "D A", "non-dropping-particle" : "", "parse-names" : false, "suffix" : "" }, { "dropping-particle" : "", "family" : "Behr", "given" : "M A", "non-dropping-particle" : "", "parse-names" : false, "suffix" : "" }, { "dropping-particle" : "", "family" : "Helden", "given" : "P D", "non-dropping-particle" : "van", "parse-names" : false, "suffix" : "" } ], "container-title" : "Am J Respir Crit Care Med", "id" : "ITEM-1", "issue" : "12", "issued" : { "date-parts" : [ [ "2005" ] ] }, "note" : "Verver, Suzanne\nWarren, Robin M\nBeyers, Nulda\nRichardson, Madalene\nvan der Spuy, Gian D\nBorgdorff, Martien W\nEnarson, Donald A\nBehr, Marcel A\nvan Helden, Paul D\neng\nComparative Study\nResearch Support, Non-U.S. Gov't\n2005/04/16 09:00\nAm J Respir Crit Care Med. 2005 Jun 15;171(12):1430-5. Epub 2005 Apr 14.", "page" : "1430-1435", "title" : "Rate of reinfection tuberculosis after successful treatment is higher than rate of new tuberculosis", "type" : "article-journal", "volume" : "171" }, "uris" : [ "http://www.mendeley.com/documents/?uuid=8729e5aa-5ef5-419e-a0a1-c7722e438828", "http://www.mendeley.com/documents/?uuid=f60b5df7-0a39-45e0-98aa-5c3e9b20a97b" ] } ], "mendeley" : { "formattedCitation" : "&lt;sup&gt;6&lt;/sup&gt;", "plainTextFormattedCitation" : "6", "previouslyFormattedCitation" : "&lt;sup&gt;6&lt;/sup&gt;" }, "properties" : { "noteIndex" : 0 }, "schema" : "https://github.com/citation-style-language/schema/raw/master/csl-citation.json" }</w:instrText>
      </w:r>
      <w:r>
        <w:fldChar w:fldCharType="separate"/>
      </w:r>
      <w:r w:rsidR="00D3165B" w:rsidRPr="00D3165B">
        <w:rPr>
          <w:noProof/>
          <w:vertAlign w:val="superscript"/>
        </w:rPr>
        <w:t>6</w:t>
      </w:r>
      <w:r>
        <w:fldChar w:fldCharType="end"/>
      </w:r>
      <w:r>
        <w:t xml:space="preserve"> However, whether this is due to increased host susceptibility to reinfection incurred by the previous episode or to underlying heterogeneity in rates of reinfection at the population level is unclear. In the latter case, it is feasible that recovered or treated individuals have equivalent or even decreased susceptibility to future infection </w:t>
      </w:r>
      <w:r w:rsidR="0094460A">
        <w:t>compared to</w:t>
      </w:r>
      <w:r>
        <w:t xml:space="preserve"> those who have never been infected.</w:t>
      </w:r>
      <w:r>
        <w:fldChar w:fldCharType="begin" w:fldLock="1"/>
      </w:r>
      <w:r w:rsidR="00583138">
        <w:instrText>ADDIN CSL_CITATION { "citationItems" : [ { "id" : "ITEM-1", "itemData" : { "DOI" : "10.1098/rspb.2011.2712", "ISBN" : "1471-2954 (Electronic) 0962-8452 (Linking)", "PMID" : "22357260", "abstract" : "Recurrent episodes of tuberculosis (TB) can be due to relapse of latent infection or exogenous reinfection, and discrimination is crucial for control planning. Molecular genotyping of Mycobacterium tuberculosis isolates offers concrete opportunities to measure the relative contribution of reinfection in recurrent disease. Here, a mathematical model of TB transmission is fitted to data from 14 molecular epidemiology studies, enabling the estimation of relevant epidemiological parameters. Meta-analysis reveals that rates of reinfection after successful treatment are higher than rates of new TB, raising an important question about the underlying mechanism. We formulate two alternative mechanisms within our model framework: (i) infection increases susceptibility to reinfection or (ii) infection affects individuals differentially, thereby recruiting high-risk individuals to the group at risk for reinfection. The second mechanism is better supported by the fittings to the data, suggesting that reinfection rates are inflated through a population phenomenon that occurs in the presence of heterogeneity in individual risk of infection. As a result, rates of reinfection are higher when measured at the population level even though they might be lower at the individual level. Finally, differential host recruitment is modulated by transmission intensity, being less pronounced when incidence is high.", "author" : [ { "dropping-particle" : "", "family" : "Gomes", "given" : "M G M", "non-dropping-particle" : "", "parse-names" : false, "suffix" : "" }, { "dropping-particle" : "", "family" : "Aguas", "given" : "R", "non-dropping-particle" : "", "parse-names" : false, "suffix" : "" }, { "dropping-particle" : "", "family" : "Lopes", "given" : "J S", "non-dropping-particle" : "", "parse-names" : false, "suffix" : "" }, { "dropping-particle" : "", "family" : "Nunes", "given" : "M C", "non-dropping-particle" : "", "parse-names" : false, "suffix" : "" }, { "dropping-particle" : "", "family" : "Rebelo", "given" : "C", "non-dropping-particle" : "", "parse-names" : false, "suffix" : "" }, { "dropping-particle" : "", "family" : "Rodrigues", "given" : "P", "non-dropping-particle" : "", "parse-names" : false, "suffix" : "" }, { "dropping-particle" : "", "family" : "Struchiner", "given" : "C J", "non-dropping-particle" : "", "parse-names" : false, "suffix" : "" } ], "container-title" : "Proc Biol Sci", "id" : "ITEM-1", "issue" : "1737", "issued" : { "date-parts" : [ [ "2012" ] ] }, "note" : "Gomes, M Gabriela M\nAguas, Ricardo\nLopes, Joao S\nNunes, Marta C\nRebelo, Carlota\nRodrigues, Paula\nStruchiner, Claudio J\neng\nMeta-Analysis\nResearch Support, Non-U.S. Gov't\nEngland\n2012/02/24 06:00\nProc Biol Sci. 2012 Jun 22;279(1737):2473-8. doi: 10.1098/rspb.2011.2712. Epub 2012 Feb 22.", "page" : "2473-2478", "title" : "How host heterogeneity governs tuberculosis reinfection?", "type" : "article-journal", "volume" : "279" }, "uris" : [ "http://www.mendeley.com/documents/?uuid=d861a230-0f13-4e26-8f8a-10955eba1aeb", "http://www.mendeley.com/documents/?uuid=ae86254f-c4cc-49a3-bac0-f213ebc28fb7" ] } ], "mendeley" : { "formattedCitation" : "&lt;sup&gt;7&lt;/sup&gt;", "plainTextFormattedCitation" : "7", "previouslyFormattedCitation" : "&lt;sup&gt;7&lt;/sup&gt;" }, "properties" : { "noteIndex" : 0 }, "schema" : "https://github.com/citation-style-language/schema/raw/master/csl-citation.json" }</w:instrText>
      </w:r>
      <w:r>
        <w:fldChar w:fldCharType="separate"/>
      </w:r>
      <w:r w:rsidR="00D3165B" w:rsidRPr="00D3165B">
        <w:rPr>
          <w:noProof/>
          <w:vertAlign w:val="superscript"/>
        </w:rPr>
        <w:t>7</w:t>
      </w:r>
      <w:r>
        <w:fldChar w:fldCharType="end"/>
      </w:r>
      <w:r w:rsidR="001543AF">
        <w:t xml:space="preserve"> We use a multiplier</w:t>
      </w:r>
      <w:r>
        <w:t xml:space="preserve"> parameter to allow for individuals who have previously been treated for active TB to be assigned a different level of susceptibility to subsequent infection from those who have not. This multiplier is applied </w:t>
      </w:r>
      <w:r w:rsidR="0094460A">
        <w:t>in conjunction with</w:t>
      </w:r>
      <w:r>
        <w:t xml:space="preserve"> the parameters described above for latent infection and vaccination, such that the level of susceptibility </w:t>
      </w:r>
      <w:r w:rsidR="003A3828">
        <w:t xml:space="preserve">for compartments for which both these conditions are true </w:t>
      </w:r>
      <w:r>
        <w:t xml:space="preserve">is the product of these two parameters. </w:t>
      </w:r>
      <w:r w:rsidR="003A3828">
        <w:t xml:space="preserve">For example, previously treated and latently infected persons would have a relative risk of 0.21 compared to fully susceptible persons </w:t>
      </w:r>
      <w:r w:rsidR="0094460A">
        <w:t>if</w:t>
      </w:r>
      <w:r w:rsidR="001543AF">
        <w:t xml:space="preserve"> this parameter </w:t>
      </w:r>
      <w:r w:rsidR="0094460A">
        <w:t xml:space="preserve">were </w:t>
      </w:r>
      <w:r w:rsidR="001543AF">
        <w:t>set to one.</w:t>
      </w:r>
      <w:r w:rsidR="003A3828">
        <w:t xml:space="preserve"> </w:t>
      </w:r>
      <w:r w:rsidR="00EE1A30">
        <w:t xml:space="preserve">This </w:t>
      </w:r>
      <w:r w:rsidR="0094460A">
        <w:t xml:space="preserve">multiplier </w:t>
      </w:r>
      <w:r w:rsidR="00EE1A30">
        <w:t xml:space="preserve">parameter is </w:t>
      </w:r>
      <w:r w:rsidR="0094460A">
        <w:t xml:space="preserve">varied during </w:t>
      </w:r>
      <w:r w:rsidR="00A55C2E">
        <w:t xml:space="preserve">the epidemiological </w:t>
      </w:r>
      <w:r w:rsidR="0094460A">
        <w:t xml:space="preserve">uncertainty </w:t>
      </w:r>
      <w:r w:rsidR="00A55C2E">
        <w:t xml:space="preserve">process </w:t>
      </w:r>
      <w:r w:rsidR="00306991">
        <w:t>(second panels of</w:t>
      </w:r>
      <w:r w:rsidR="0094460A">
        <w:t xml:space="preserve"> </w:t>
      </w:r>
      <w:r w:rsidR="009A7B9A">
        <w:t>Figure</w:t>
      </w:r>
      <w:r w:rsidR="00581A45">
        <w:t>s</w:t>
      </w:r>
      <w:r w:rsidR="009A7B9A">
        <w:t xml:space="preserve"> S2</w:t>
      </w:r>
      <w:r w:rsidR="004A1303">
        <w:t>0</w:t>
      </w:r>
      <w:r w:rsidR="00581A45">
        <w:t xml:space="preserve"> and S21</w:t>
      </w:r>
      <w:r w:rsidR="0094460A">
        <w:t>)</w:t>
      </w:r>
      <w:r w:rsidR="00EE1A30">
        <w:t>.</w:t>
      </w:r>
    </w:p>
    <w:p w14:paraId="0A6B8AD1" w14:textId="11C83BC3" w:rsidR="00A51F99" w:rsidRDefault="00A51F99" w:rsidP="00D045CE">
      <w:pPr>
        <w:pStyle w:val="Heading1"/>
        <w:numPr>
          <w:ilvl w:val="0"/>
          <w:numId w:val="9"/>
        </w:numPr>
      </w:pPr>
      <w:bookmarkStart w:id="5" w:name="_Toc489257916"/>
      <w:bookmarkStart w:id="6" w:name="_Toc495931961"/>
      <w:r>
        <w:t xml:space="preserve">Model of </w:t>
      </w:r>
      <w:r>
        <w:rPr>
          <w:i/>
        </w:rPr>
        <w:t>M. tuberculosis</w:t>
      </w:r>
      <w:r>
        <w:t xml:space="preserve"> infection and progression</w:t>
      </w:r>
      <w:bookmarkEnd w:id="5"/>
      <w:bookmarkEnd w:id="6"/>
    </w:p>
    <w:p w14:paraId="46434D99" w14:textId="44EBA24C" w:rsidR="00ED4C9D" w:rsidRPr="00C84FCE" w:rsidRDefault="00A12BCF" w:rsidP="00ED4C9D">
      <w:pPr>
        <w:pStyle w:val="Heading3"/>
      </w:pPr>
      <w:r>
        <w:t>Progression from infection to disease</w:t>
      </w:r>
    </w:p>
    <w:p w14:paraId="49A95625" w14:textId="320B42CD" w:rsidR="00ED4C9D" w:rsidRDefault="00ED4C9D" w:rsidP="00ED4C9D">
      <w:r>
        <w:t>Our approach to quantifying rates of progression from latency to active disease is described in detail in two published journal articles. The first uses TB surveillance data from a very low transmission setting to estimate rates of active disease following a defined index exposure to an infectious case and evidence of exposure.</w:t>
      </w:r>
      <w:r>
        <w:fldChar w:fldCharType="begin" w:fldLock="1"/>
      </w:r>
      <w:r w:rsidR="00583138">
        <w:instrText>ADDIN CSL_CITATION { "citationItems" : [ { "id" : "ITEM-1", "itemData" : { "DOI" : "10.1016/j.chest.2015.11.017", "ISSN" : "19313543", "abstract" : "Copyright \u00a9 2016 American College of Chest Physicians. Published by Elsevier Inc. All rights reserved.Background: It is often stated that the lifetime risk of developing active TB after an index infection is 5% to 10%, one-half of which accrues in the 2 to 5 years following infection. The goal of this study was to determine whether such estimates are consistent with local programmatic data. Methods: This study included close contacts of individuals with active pulmonary TB notified in the Australian state of Victoria from January 1, 2005, to December 31, 2013, who we deemed to have been infected as a result of their exposure. Survival analysis was first performed on the assumption of complete follow-up through to the end of the study period. The analysis was then repeated with imputation of censorship for migration, death, and preventive treatment, using local mortality and migration data combined with programmatic data on the administration of preventive therapy. Results: Of 613 infected close contacts, 67 (10.9%) developed active TB during the study period. Assuming complete follow-up, the 1,650-day cumulative hazard was 11.5% (95% CI, 8.9-14.1). With imputation of censorship for death, migration, and preventive therapy, the median 1,650-day cumulative hazard over 10,000 simulations was 14.5% (95% CI, 11.1-17.9). Most risk accrued in the first 5 months after infection, and risk was greatest in the group aged &lt; 5 years, reaching 56.0% with imputation, but it was also elevated in older children (27.6% in the group aged 5-14 years). Conclusions: The risk of active TB following infection is several-fold higher than traditionally accepted estimates, and it is particularly high immediately following infection and in children.", "author" : [ { "dropping-particle" : "", "family" : "Trauer", "given" : "J.M.", "non-dropping-particle" : "", "parse-names" : false, "suffix" : "" }, { "dropping-particle" : "", "family" : "Moyo", "given" : "N.", "non-dropping-particle" : "", "parse-names" : false, "suffix" : "" }, { "dropping-particle" : "", "family" : "Tay", "given" : "E.-L.", "non-dropping-particle" : "", "parse-names" : false, "suffix" : "" }, { "dropping-particle" : "", "family" : "Dale", "given" : "K.", "non-dropping-particle" : "", "parse-names" : false, "suffix" : "" }, { "dropping-particle" : "", "family" : "Ragonnet", "given" : "R.", "non-dropping-particle" : "", "parse-names" : false, "suffix" : "" }, { "dropping-particle" : "", "family" : "McBryde", "given" : "E.S.", "non-dropping-particle" : "", "parse-names" : false, "suffix" : "" }, { "dropping-particle" : "", "family" : "Denholm", "given" : "J.T.", "non-dropping-particle" : "", "parse-names" : false, "suffix" : "" } ], "container-title" : "Chest", "id" : "ITEM-1", "issue" : "2", "issued" : { "date-parts" : [ [ "2016" ] ] }, "title" : "Risk of active tuberculosis in the five years following infection \u22ef 15%?", "type" : "article-journal", "volume" : "149" }, "uris" : [ "http://www.mendeley.com/documents/?uuid=09e40a5d-79ca-34fa-bf17-40b966ea5fed", "http://www.mendeley.com/documents/?uuid=91b378e3-b6ef-4726-b8ea-1cd91ea925c8" ] } ], "mendeley" : { "formattedCitation" : "&lt;sup&gt;8&lt;/sup&gt;", "plainTextFormattedCitation" : "8", "previouslyFormattedCitation" : "&lt;sup&gt;8&lt;/sup&gt;" }, "properties" : { "noteIndex" : 0 }, "schema" : "https://github.com/citation-style-language/schema/raw/master/csl-citation.json" }</w:instrText>
      </w:r>
      <w:r>
        <w:fldChar w:fldCharType="separate"/>
      </w:r>
      <w:r w:rsidR="00D3165B" w:rsidRPr="00D3165B">
        <w:rPr>
          <w:noProof/>
          <w:vertAlign w:val="superscript"/>
        </w:rPr>
        <w:t>8</w:t>
      </w:r>
      <w:r>
        <w:fldChar w:fldCharType="end"/>
      </w:r>
      <w:r>
        <w:t xml:space="preserve"> The second article uses the reactivation profiles from this study and from a similar epidemiological investigation</w:t>
      </w:r>
      <w:r>
        <w:fldChar w:fldCharType="begin" w:fldLock="1"/>
      </w:r>
      <w:r w:rsidR="00583138">
        <w:instrText>ADDIN CSL_CITATION { "citationItems" : [ { "id" : "ITEM-1", "itemData" : { "DOI" : "10.1164/rccm.201406-1159OC", "ISBN" : "1535-4970 (Electronic)\r1073-449X (Linking)", "PMID" : "25265362", "abstract" : "RATIONALE: The lifetime risk of tuberculosis (TB) for infected contacts is often mentioned to be 5-10%, but these estimates are based on studies conducted decades ago, and thus may not reflect current epidemiologic conditions. OBJECTIVES: To estimate the risk of TB among contacts with evidence of infection and to compare this with estimates often stated in the literature. METHODS: A retrospective cohort study was performed using records on contacts of pulmonary TB patients at the Public Health Service Amsterdam, 2002-2011. The Public Health Service Amsterdam TB electronic registration system identified TB cases during follow-up until October 2012; these were defined as coprevalent if diagnosed less than or equal to 180 days and incident if diagnosed greater than 180 days after TB diagnosis of index patient. Cumulative TB risk was estimated with Kaplan-Meier curves. MEASUREMENTS AND MAIN RESULTS: Of 9,332 contacts of pulmonary TB patients, 4,774 were screened for latent TB infection (LTBI) of whom 739 (16%) had evidence of infection. Among these the 5-year Kaplan-Meier TB cumulative risk was 9.5% (95% confidence interval, 7.5-11.9). This varied by age: 33.3% of 36 contacts aged less than 5 years, 19.1% of 84 contacts aged 5-14 years, and 6.7% of 619 contacts aged greater than or equal to 15 years (log rank, P &lt; 0.001). Of 739 contacts with evidence of infection, 57 had coprevalent TB and 14 developed incident TB. Of patients without coprevalent TB but with LTBI diagnosis, 45% received preventive therapy. Five-year risk of incident TB was 2.4% (95% confidence interval, 1.2-4.7) among contacts with LTBI who did not start preventive therapy. CONCLUSIONS: Five-year risk of TB among contacts with evidence of infection was higher compared with older estimates, and differed considerably by age. Incidence of TB among contacts with LTBI was low, suggesting limited impact may be expected of expanding preventive therapy.", "author" : [ { "dropping-particle" : "", "family" : "Sloot", "given" : "R", "non-dropping-particle" : "", "parse-names" : false, "suffix" : "" }, { "dropping-particle" : "", "family" : "Schim van der Loeff", "given" : "M F", "non-dropping-particle" : "", "parse-names" : false, "suffix" : "" }, { "dropping-particle" : "", "family" : "Kouw", "given" : "P M", "non-dropping-particle" : "", "parse-names" : false, "suffix" : "" }, { "dropping-particle" : "", "family" : "Borgdorff", "given" : "M W", "non-dropping-particle" : "", "parse-names" : false, "suffix" : "" } ], "container-title" : "Am J Respir Crit Care Med", "id" : "ITEM-1", "issue" : "9", "issued" : { "date-parts" : [ [ "2014" ] ] }, "note" : "Sloot, Rosa\nSchim van der Loeff, Maarten F\nKouw, Peter M\nBorgdorff, Martien W\neng\n2014/09/30 06:00\nAm J Respir Crit Care Med. 2014 Nov 1;190(9):1044-52. doi: 10.1164/rccm.201406-1159OC.", "page" : "1044-1052", "title" : "Risk of Tuberculosis after Recent Exposure. A 10-Year Follow-up Study of Contacts in Amsterdam", "type" : "article-journal", "volume" : "190" }, "uris" : [ "http://www.mendeley.com/documents/?uuid=a4e13bbb-4e36-4d3a-99d3-fa05d96b5707", "http://www.mendeley.com/documents/?uuid=1c1a1884-4cd2-403d-9a37-b6a28a35196d" ] } ], "mendeley" : { "formattedCitation" : "&lt;sup&gt;9&lt;/sup&gt;", "plainTextFormattedCitation" : "9", "previouslyFormattedCitation" : "&lt;sup&gt;9&lt;/sup&gt;" }, "properties" : { "noteIndex" : 0 }, "schema" : "https://github.com/citation-style-language/schema/raw/master/csl-citation.json" }</w:instrText>
      </w:r>
      <w:r>
        <w:fldChar w:fldCharType="separate"/>
      </w:r>
      <w:r w:rsidR="00D3165B" w:rsidRPr="00D3165B">
        <w:rPr>
          <w:noProof/>
          <w:vertAlign w:val="superscript"/>
        </w:rPr>
        <w:t>9</w:t>
      </w:r>
      <w:r>
        <w:fldChar w:fldCharType="end"/>
      </w:r>
      <w:r>
        <w:t xml:space="preserve"> to determine the ideal compartmental structure and progression parameters to accurately capture progression to active TB following infection.</w:t>
      </w:r>
      <w:r>
        <w:fldChar w:fldCharType="begin" w:fldLock="1"/>
      </w:r>
      <w:r w:rsidR="00583138">
        <w:instrText>ADDIN CSL_CITATION { "citationItems" : [ { "id" : "ITEM-1", "itemData" : { "DOI" : "10.1016/j.epidem.2017.06.002", "ISSN" : "18780067", "PMID" : "28641948", "abstract" : "Although different structures are used in modern tuberculosis (TB) models to simulate TB latency, it remains unclear whether they are all capable of reproducing the particular activation dynamics empirically observed. We aimed to determine which of these structures replicate the dynamics of progression accurately. We reviewed 88 TB-modelling articles and classified them according to the latency structure employed. We then fitted these different models to the activation dynamics observed from 1352 infected contacts diagnosed in Victoria (Australia) and Amsterdam (Netherlands) to obtain parameter estimates. Six different model structures were identified, of which only those incorporating two latency compartments were capable of reproducing the activation dynamics empirically observed. We found important differences in parameter estimates by age. We also observed marked differences between our estimates and the parameter values used in many previous models. In particular, when two successive latency phases are considered, the first period should have a duration that is much shorter than that used in previous studies. In conclusion, structures incorporating two latency compartments and age-stratification should be employed to accurately replicate the dynamics of TB latency. We provide a catalogue of parameter values and an approach to parameter estimation from empiric data for calibration of future TB-models.", "author" : [ { "dropping-particle" : "", "family" : "Ragonnet", "given" : "Romain", "non-dropping-particle" : "", "parse-names" : false, "suffix" : "" }, { "dropping-particle" : "", "family" : "Trauer", "given" : "James M.", "non-dropping-particle" : "", "parse-names" : false, "suffix" : "" }, { "dropping-particle" : "", "family" : "Scott", "given" : "Nick", "non-dropping-particle" : "", "parse-names" : false, "suffix" : "" }, { "dropping-particle" : "", "family" : "Meehan", "given" : "Michael T.", "non-dropping-particle" : "", "parse-names" : false, "suffix" : "" }, { "dropping-particle" : "", "family" : "Denholm", "given" : "Justin T.", "non-dropping-particle" : "", "parse-names" : false, "suffix" : "" }, { "dropping-particle" : "", "family" : "McBryde", "given" : "Emma S.", "non-dropping-particle" : "", "parse-names" : false, "suffix" : "" } ], "container-title" : "Epidemics", "id" : "ITEM-1", "issued" : { "date-parts" : [ [ "2017" ] ] }, "page" : "39-47", "title" : "Optimally capturing latency dynamics in models of tuberculosis transmission", "type" : "article-journal", "volume" : "21" }, "uris" : [ "http://www.mendeley.com/documents/?uuid=9d5cd068-9ca5-386d-8b4d-adecb55a1979", "http://www.mendeley.com/documents/?uuid=cdf74a7c-8714-4d69-83bb-974535bc8ff6" ] } ], "mendeley" : { "formattedCitation" : "&lt;sup&gt;10&lt;/sup&gt;", "plainTextFormattedCitation" : "10", "previouslyFormattedCitation" : "&lt;sup&gt;10&lt;/sup&gt;" }, "properties" : { "noteIndex" : 0 }, "schema" : "https://github.com/citation-style-language/schema/raw/master/csl-citation.json" }</w:instrText>
      </w:r>
      <w:r>
        <w:fldChar w:fldCharType="separate"/>
      </w:r>
      <w:r w:rsidR="00D3165B" w:rsidRPr="00D3165B">
        <w:rPr>
          <w:noProof/>
          <w:vertAlign w:val="superscript"/>
        </w:rPr>
        <w:t>10</w:t>
      </w:r>
      <w:r>
        <w:fldChar w:fldCharType="end"/>
      </w:r>
      <w:r>
        <w:t xml:space="preserve"> This </w:t>
      </w:r>
      <w:r w:rsidR="005F0D42">
        <w:t>latter</w:t>
      </w:r>
      <w:r>
        <w:t xml:space="preserve"> publication f</w:t>
      </w:r>
      <w:r w:rsidR="00DF4A08">
        <w:t>ound</w:t>
      </w:r>
      <w:r>
        <w:t xml:space="preserve"> that two latency compartments placed in series are highly effective at reproducing epidemiological observations when appropriately parameterised and provides appropriate parameter values. Specifically, following infection, all latently infected individuals first progress to a high-risk “early latent” compartment, from which they may progress rapidly (within months) to active TB. Alternatively, these individuals may “stabilise”, transitioning to a low-risk “late latent” compartment, from which progression to active TB occurs much more slowly. This configuration is also consistent with that used or </w:t>
      </w:r>
      <w:r>
        <w:lastRenderedPageBreak/>
        <w:t>recommended in other important TB modelling papers.</w:t>
      </w:r>
      <w:r>
        <w:fldChar w:fldCharType="begin" w:fldLock="1"/>
      </w:r>
      <w:r w:rsidR="00583138">
        <w:instrText>ADDIN CSL_CITATION { "citationItems" : [ { "id" : "ITEM-1", "itemData" : { "DOI" : "10.5588/ijtld.12.0573", "ISBN" : "1815-7920 (Electronic)\r1027-3719 (Linking)", "PMID" : "23743307", "abstract" : "Infectious disease models are important tools for understanding epidemiology and supporting policy decisions for disease control. In the case of tuberculosis (TB), such models have informed our understanding and control strategies for over 40 years, but the primary assumptions of these models--and their most urgent data needs--remain obscure to many TB researchers and control officers. The structure and parameter values of TB models are informed by observational studies and experiments, but the evidence base in support of these models remains incomplete. Speaking from the perspective of infectious disease modelers addressing the broader TB research and control communities, we describe the basic structure common to most TB models and present a 'wish list' that would improve the evidence foundation upon which these models are built. As a comprehensive TB research agenda is formulated, we argue that the data needs of infectious disease models--our primary long-term decision-making tools--should figure prominently.", "author" : [ { "dropping-particle" : "", "family" : "Dowdy", "given" : "D W", "non-dropping-particle" : "", "parse-names" : false, "suffix" : "" }, { "dropping-particle" : "", "family" : "Dye", "given" : "C", "non-dropping-particle" : "", "parse-names" : false, "suffix" : "" }, { "dropping-particle" : "", "family" : "Cohen", "given" : "T", "non-dropping-particle" : "", "parse-names" : false, "suffix" : "" } ], "container-title" : "Int J Tuberc Lung Dis", "edition" : "2013/06/08", "id" : "ITEM-1", "issue" : "7", "issued" : { "date-parts" : [ [ "2013" ] ] }, "language" : "eng", "note" : "Dowdy, D W\nDye, C\nCohen, T\nFrance\nInt J Tuberc Lung Dis. 2013 Jul;17(7):866-77. doi: 10.5588/ijtld.12.0573.", "page" : "866-877", "title" : "Data Needs for Evidence-Based Decisions: a Tuberculosis Modeler's 'Wish List'", "type" : "article-journal", "volume" : "17" }, "uris" : [ "http://www.mendeley.com/documents/?uuid=d0c4654e-0c1e-48ea-9c57-03d0c26c7fcd", "http://www.mendeley.com/documents/?uuid=01f96fee-e121-4f54-8fac-7c4e5f5169da" ] }, { "id" : "ITEM-2", "itemData" : { "DOI" : "10.1016/S1473-3099(18)30134-8", "ISSN" : "1474-4457", "PMID" : "29653698", "abstract" : "Mathematical modelling is commonly used to evaluate infectious disease control policy and is influential in shaping policy and budgets. Mathematical models necessarily make assumptions about disease natural history and, if these assumptions are not valid, the results of these studies can be biased. We did a systematic review of published tuberculosis transmission models to assess the validity of assumptions about progression to active disease after initial infection (PROSPERO ID CRD42016030009). We searched PubMed, Web of Science, Embase, Biosis, and Cochrane Library, and included studies from the earliest available date (Jan 1, 1962) to Aug 31, 2017. We identified 312 studies that met inclusion criteria. Predicted tuberculosis incidence varied widely across studies for each risk factor investigated. For population groups with no individual risk factors, annual incidence varied by several orders of magnitude, and 20-year cumulative incidence ranged from close to 0% to 100%. A substantial proportion of modelled results were inconsistent with empirical evidence: for 10-year cumulative incidence, 40% of modelled results were more than double or less than half the empirical estimates. These results demonstrate substantial disagreement between modelling studies on a central feature of tuberculosis natural history. Greater attention to reproducing known features of epidemiology would strengthen future tuberculosis modelling studies, and readers of modelling studies are recommended to assess how well those studies demonstrate their validity.", "author" : [ { "dropping-particle" : "", "family" : "Menzies", "given" : "Nicolas A", "non-dropping-particle" : "", "parse-names" : false, "suffix" : "" }, { "dropping-particle" : "", "family" : "Wolf", "given" : "Emory", "non-dropping-particle" : "", "parse-names" : false, "suffix" : "" }, { "dropping-particle" : "", "family" : "Connors", "given" : "David", "non-dropping-particle" : "", "parse-names" : false, "suffix" : "" }, { "dropping-particle" : "", "family" : "Bellerose", "given" : "Meghan", "non-dropping-particle" : "", "parse-names" : false, "suffix" : "" }, { "dropping-particle" : "", "family" : "Sbarra", "given" : "Alyssa N", "non-dropping-particle" : "", "parse-names" : false, "suffix" : "" }, { "dropping-particle" : "", "family" : "Cohen", "given" : "Ted", "non-dropping-particle" : "", "parse-names" : false, "suffix" : "" }, { "dropping-particle" : "", "family" : "Hill", "given" : "Andrew N", "non-dropping-particle" : "", "parse-names" : false, "suffix" : "" }, { "dropping-particle" : "", "family" : "Yaesoubi", "given" : "Reza", "non-dropping-particle" : "", "parse-names" : false, "suffix" : "" }, { "dropping-particle" : "", "family" : "Galer", "given" : "Kara", "non-dropping-particle" : "", "parse-names" : false, "suffix" : "" }, { "dropping-particle" : "", "family" : "White", "given" : "Peter J", "non-dropping-particle" : "", "parse-names" : false, "suffix" : "" }, { "dropping-particle" : "", "family" : "Abubakar", "given" : "Ibrahim", "non-dropping-particle" : "", "parse-names" : false, "suffix" : "" }, { "dropping-particle" : "", "family" : "Salomon", "given" : "Joshua A", "non-dropping-particle" : "", "parse-names" : false, "suffix" : "" } ], "container-title" : "The Lancet. Infectious diseases", "id" : "ITEM-2", "issue" : "0", "issued" : { "date-parts" : [ [ "2018", "4", "10" ] ] }, "publisher" : "Elsevier", "title" : "Progression from latent infection to active disease in dynamic tuberculosis transmission models: a systematic review of the validity of modelling assumptions.", "type" : "article-journal", "volume" : "0" }, "uris" : [ "http://www.mendeley.com/documents/?uuid=60e56fd9-daea-37d0-88bb-4c637b019a4a" ] } ], "mendeley" : { "formattedCitation" : "&lt;sup&gt;11,12&lt;/sup&gt;", "plainTextFormattedCitation" : "11,12", "previouslyFormattedCitation" : "&lt;sup&gt;11,12&lt;/sup&gt;" }, "properties" : { "noteIndex" : 0 }, "schema" : "https://github.com/citation-style-language/schema/raw/master/csl-citation.json" }</w:instrText>
      </w:r>
      <w:r>
        <w:fldChar w:fldCharType="separate"/>
      </w:r>
      <w:r w:rsidR="00D3165B" w:rsidRPr="00D3165B">
        <w:rPr>
          <w:noProof/>
          <w:vertAlign w:val="superscript"/>
        </w:rPr>
        <w:t>11,12</w:t>
      </w:r>
      <w:r>
        <w:fldChar w:fldCharType="end"/>
      </w:r>
      <w:r w:rsidR="00DF4A08">
        <w:t xml:space="preserve"> </w:t>
      </w:r>
      <w:r>
        <w:t>This approach requires estimation of three epidemiological parameters</w:t>
      </w:r>
      <w:r w:rsidR="00A3645A">
        <w:t xml:space="preserve"> for each age group</w:t>
      </w:r>
      <w:r>
        <w:t>: the time period spent in the early latent compartment, the proportion of individuals progressing to active disease from the early latent compartment and the rate of progression from the late latent compartment to active disease</w:t>
      </w:r>
      <w:r w:rsidR="00AD46FB">
        <w:t xml:space="preserve"> (presented in Table S1)</w:t>
      </w:r>
      <w:r>
        <w:t xml:space="preserve">. These are then converted into three </w:t>
      </w:r>
      <w:r w:rsidR="005F0D42">
        <w:t xml:space="preserve">transition </w:t>
      </w:r>
      <w:r>
        <w:t>rates for early progression, stabilisation and late progression</w:t>
      </w:r>
      <w:r w:rsidR="00A12BCF">
        <w:t>. That is, the late progression rate requires no further processing, while the early progression and stabilisation rates are calculated as:</w:t>
      </w:r>
    </w:p>
    <w:p w14:paraId="13BAD9E4" w14:textId="0B0748EC" w:rsidR="00A12BCF" w:rsidRPr="00A12BCF" w:rsidRDefault="00A12BCF" w:rsidP="00ED4C9D">
      <w:pPr>
        <w:rPr>
          <w:rFonts w:eastAsiaTheme="minorEastAsia"/>
        </w:rPr>
      </w:pPr>
      <m:oMathPara>
        <m:oMath>
          <m:r>
            <w:rPr>
              <w:rFonts w:ascii="Cambria Math" w:hAnsi="Cambria Math"/>
            </w:rPr>
            <m:t xml:space="preserve">early progression rate= </m:t>
          </m:r>
          <m:f>
            <m:fPr>
              <m:ctrlPr>
                <w:rPr>
                  <w:rFonts w:ascii="Cambria Math" w:hAnsi="Cambria Math"/>
                  <w:i/>
                </w:rPr>
              </m:ctrlPr>
            </m:fPr>
            <m:num>
              <m:r>
                <w:rPr>
                  <w:rFonts w:ascii="Cambria Math" w:hAnsi="Cambria Math"/>
                </w:rPr>
                <m:t>early progression proportion</m:t>
              </m:r>
            </m:num>
            <m:den>
              <m:r>
                <w:rPr>
                  <w:rFonts w:ascii="Cambria Math" w:hAnsi="Cambria Math"/>
                </w:rPr>
                <m:t>time in early latency</m:t>
              </m:r>
            </m:den>
          </m:f>
        </m:oMath>
      </m:oMathPara>
    </w:p>
    <w:p w14:paraId="17AB9BE6" w14:textId="2CB64F45" w:rsidR="00A12BCF" w:rsidRPr="00A12BCF" w:rsidRDefault="00A12BCF" w:rsidP="00ED4C9D">
      <w:pPr>
        <w:rPr>
          <w:rFonts w:eastAsiaTheme="minorEastAsia"/>
        </w:rPr>
      </w:pPr>
      <m:oMathPara>
        <m:oMath>
          <m:r>
            <w:rPr>
              <w:rFonts w:ascii="Cambria Math" w:eastAsiaTheme="minorEastAsia" w:hAnsi="Cambria Math"/>
            </w:rPr>
            <m:t xml:space="preserve">stabilisation rate= </m:t>
          </m:r>
          <m:f>
            <m:fPr>
              <m:ctrlPr>
                <w:rPr>
                  <w:rFonts w:ascii="Cambria Math" w:eastAsiaTheme="minorEastAsia" w:hAnsi="Cambria Math"/>
                  <w:i/>
                </w:rPr>
              </m:ctrlPr>
            </m:fPr>
            <m:num>
              <m:r>
                <w:rPr>
                  <w:rFonts w:ascii="Cambria Math" w:eastAsiaTheme="minorEastAsia" w:hAnsi="Cambria Math"/>
                </w:rPr>
                <m:t>1-early progression proportion</m:t>
              </m:r>
            </m:num>
            <m:den>
              <m:r>
                <w:rPr>
                  <w:rFonts w:ascii="Cambria Math" w:eastAsiaTheme="minorEastAsia" w:hAnsi="Cambria Math"/>
                </w:rPr>
                <m:t>time in early latency</m:t>
              </m:r>
            </m:den>
          </m:f>
        </m:oMath>
      </m:oMathPara>
    </w:p>
    <w:p w14:paraId="0F2049F3" w14:textId="11CCCA20" w:rsidR="00A51F99" w:rsidRDefault="00A51F99" w:rsidP="001E45B7">
      <w:pPr>
        <w:pStyle w:val="Heading3"/>
      </w:pPr>
      <w:r>
        <w:t>Organ manifestation</w:t>
      </w:r>
      <w:r w:rsidR="00925C24">
        <w:t>s</w:t>
      </w:r>
    </w:p>
    <w:p w14:paraId="4949F59F" w14:textId="06086D07" w:rsidR="00CF120B" w:rsidRPr="00AD7F98" w:rsidRDefault="00CF120B" w:rsidP="00CF120B">
      <w:r>
        <w:t xml:space="preserve">We distinguish three types of </w:t>
      </w:r>
      <w:r w:rsidR="00E31F42">
        <w:t>“</w:t>
      </w:r>
      <w:r>
        <w:t>organ manifestation</w:t>
      </w:r>
      <w:r w:rsidR="00E31F42">
        <w:t>”</w:t>
      </w:r>
      <w:r>
        <w:t xml:space="preserve"> of active TB: smear-positive pulmonary, smear-negative pulmonary cases and extrapulmonary cases. </w:t>
      </w:r>
      <w:r w:rsidR="009752F2">
        <w:t>We assume that the proportion</w:t>
      </w:r>
      <w:r w:rsidR="001000BF">
        <w:t>s</w:t>
      </w:r>
      <w:r w:rsidR="009752F2">
        <w:t xml:space="preserve"> of </w:t>
      </w:r>
      <w:r w:rsidR="001000BF">
        <w:t>incident</w:t>
      </w:r>
      <w:r w:rsidR="009752F2">
        <w:t xml:space="preserve"> TB cases </w:t>
      </w:r>
      <w:r w:rsidR="001000BF">
        <w:t>entering each of these three categories</w:t>
      </w:r>
      <w:bookmarkStart w:id="7" w:name="_Hlk503527932"/>
      <w:r w:rsidR="009752F2">
        <w:t xml:space="preserve"> are</w:t>
      </w:r>
      <w:bookmarkEnd w:id="7"/>
      <w:r w:rsidR="009752F2">
        <w:t xml:space="preserve"> constant over time. </w:t>
      </w:r>
      <w:r w:rsidR="00AD46FB">
        <w:t>We</w:t>
      </w:r>
      <w:r>
        <w:t xml:space="preserve"> </w:t>
      </w:r>
      <w:r w:rsidR="00A3645A">
        <w:t>calculate these</w:t>
      </w:r>
      <w:r w:rsidR="00AD46FB">
        <w:t xml:space="preserve"> value</w:t>
      </w:r>
      <w:r w:rsidR="00A3645A">
        <w:t>s</w:t>
      </w:r>
      <w:r w:rsidR="00AD46FB">
        <w:t xml:space="preserve"> as </w:t>
      </w:r>
      <w:r>
        <w:t xml:space="preserve">the total number of notifications </w:t>
      </w:r>
      <w:r w:rsidR="00AD46FB">
        <w:t xml:space="preserve">reported </w:t>
      </w:r>
      <w:r>
        <w:t>by each organ manifestation and use this constant value for the proportion of incident cases by organ manifestation.</w:t>
      </w:r>
      <w:r w:rsidR="001000BF">
        <w:t xml:space="preserve"> These data are available for multiple time points and AuTuMN has functionality that allows the proportion of incident cases reaching each of these states to be time-variant. However, because these data reflect the proportion of notifications rather than incident cases by organ manifestation, we consider that an increase in notifications of a particular category may actually reflect improved detection of this form of TB (and vice versa). </w:t>
      </w:r>
      <w:r w:rsidR="005F3AE8">
        <w:t>Therefore, increasing the proportion of patients with a particular organ manifestation status by increasing the rate of incidence for this category may be the opposite of the epidemiologic reality, because the increased rate of detection for this category of patient would have decreased the proportion with this manifestation.</w:t>
      </w:r>
    </w:p>
    <w:p w14:paraId="772B2E24" w14:textId="19D7A51D" w:rsidR="00A51F99" w:rsidRDefault="00A51F99" w:rsidP="00925C24">
      <w:pPr>
        <w:pStyle w:val="Heading3"/>
      </w:pPr>
      <w:r>
        <w:t>Natural history</w:t>
      </w:r>
    </w:p>
    <w:p w14:paraId="6559E647" w14:textId="19EBBFCC" w:rsidR="002461BA" w:rsidRPr="006E0190" w:rsidRDefault="002461BA" w:rsidP="002461BA">
      <w:r>
        <w:t xml:space="preserve">Once </w:t>
      </w:r>
      <w:r w:rsidR="009225C9">
        <w:t>TB</w:t>
      </w:r>
      <w:r w:rsidR="002E559B">
        <w:t xml:space="preserve"> </w:t>
      </w:r>
      <w:r>
        <w:t>disease has manifest</w:t>
      </w:r>
      <w:r w:rsidR="002E559B">
        <w:t>ed</w:t>
      </w:r>
      <w:r>
        <w:t xml:space="preserve">, natural history parameters are first set to reflect outcomes in the absence of detection by the health care system. The total rates of progression to either death or spontaneous recovery are set </w:t>
      </w:r>
      <w:r w:rsidR="00A3645A">
        <w:t xml:space="preserve">equal </w:t>
      </w:r>
      <w:r>
        <w:t>to the reciprocal of the time period of untreated active disease.</w:t>
      </w:r>
      <w:r w:rsidR="00E953EC">
        <w:t xml:space="preserve"> </w:t>
      </w:r>
      <w:r>
        <w:t>Next, a proportion of this total rate is then allocated to each of the</w:t>
      </w:r>
      <w:r w:rsidR="00A3645A">
        <w:t>se</w:t>
      </w:r>
      <w:r>
        <w:t xml:space="preserve"> two possible outcomes (death and spontaneous recovery)</w:t>
      </w:r>
      <w:r w:rsidR="00A3645A">
        <w:t>,</w:t>
      </w:r>
      <w:r>
        <w:t xml:space="preserve"> accor</w:t>
      </w:r>
      <w:r w:rsidR="007033C9">
        <w:t xml:space="preserve">ding to the case fatality rate </w:t>
      </w:r>
      <w:r>
        <w:t>for smear-positive TB</w:t>
      </w:r>
      <w:r w:rsidR="007033C9">
        <w:t>, which is a</w:t>
      </w:r>
      <w:r w:rsidR="00A3645A">
        <w:t xml:space="preserve"> calibration parameter</w:t>
      </w:r>
      <w:r>
        <w:t xml:space="preserve">. The smear-negative and extrapulmonary case </w:t>
      </w:r>
      <w:r>
        <w:lastRenderedPageBreak/>
        <w:t>fatality rates are then both set to be proportionately lower than the smear-</w:t>
      </w:r>
      <w:r w:rsidR="003A55AB">
        <w:t xml:space="preserve">positive case fatality rate by multiplying by the fixed relative case fatality </w:t>
      </w:r>
      <w:r>
        <w:t>parameter</w:t>
      </w:r>
      <w:r w:rsidR="007033C9">
        <w:t>, such that these quantities vary with the case fatality rate for smear-positive TB</w:t>
      </w:r>
      <w:r>
        <w:t xml:space="preserve">. </w:t>
      </w:r>
      <w:r w:rsidR="001D4412">
        <w:t>P</w:t>
      </w:r>
      <w:r>
        <w:t xml:space="preserve">arameter values </w:t>
      </w:r>
      <w:r w:rsidR="001D4412">
        <w:t xml:space="preserve">and uncertainty ranges </w:t>
      </w:r>
      <w:r>
        <w:t xml:space="preserve">are estimated from a detailed </w:t>
      </w:r>
      <w:r w:rsidR="003A55AB">
        <w:t xml:space="preserve">published </w:t>
      </w:r>
      <w:r>
        <w:t>review of pre-chemotherapy era outcomes.</w:t>
      </w:r>
      <w:r>
        <w:fldChar w:fldCharType="begin" w:fldLock="1"/>
      </w:r>
      <w:r w:rsidR="00583138">
        <w:instrText>ADDIN CSL_CITATION { "citationItems" : [ { "id" : "ITEM-1", "itemData" : { "DOI" : "10.1371/journal.pone.0017601", "ISBN" : "1932-6203 (Electronic)\r1932-6203 (Linking)", "PMID" : "21483732", "abstract" : "BACKGROUND: The prognosis, specifically the case fatality and duration, of untreated tuberculosis is important as many patients are not correctly diagnosed and therefore receive inadequate or no treatment. Furthermore, duration and case fatality of tuberculosis are key parameters in interpreting epidemiological data. METHODOLOGY AND PRINCIPAL FINDINGS: To estimate the duration and case fatality of untreated pulmonary tuberculosis in HIV negative patients we reviewed studies from the pre-chemotherapy era. Untreated smear-positive tuberculosis among HIV negative individuals has a 10-year case fatality variously reported between 53% and 86%, with a weighted mean of 70%. Ten-year case fatality of culture-positive smear-negative tuberculosis was nowhere reported directly but can be indirectly estimated to be approximately 20%. The duration of tuberculosis from onset to cure or death is approximately 3 years and appears to be similar for smear-positive and smear-negative tuberculosis. CONCLUSIONS: Current models of untreated tuberculosis that assume a total duration of 2 years until self-cure or death underestimate the duration of disease by about one year, but their case fatality estimates of 70% for smear-positive and 20% for culture-positive smear-negative tuberculosis appear to be satisfactory.", "author" : [ { "dropping-particle" : "", "family" : "Tiemersma", "given" : "E W", "non-dropping-particle" : "", "parse-names" : false, "suffix" : "" }, { "dropping-particle" : "", "family" : "Werf", "given" : "M J", "non-dropping-particle" : "van der", "parse-names" : false, "suffix" : "" }, { "dropping-particle" : "", "family" : "Borgdorff", "given" : "M W", "non-dropping-particle" : "", "parse-names" : false, "suffix" : "" }, { "dropping-particle" : "", "family" : "Williams", "given" : "B G", "non-dropping-particle" : "", "parse-names" : false, "suffix" : "" }, { "dropping-particle" : "", "family" : "Nagelkerke", "given" : "N J", "non-dropping-particle" : "", "parse-names" : false, "suffix" : "" } ], "container-title" : "PLoS One", "edition" : "2011/04/13", "id" : "ITEM-1", "issue" : "4", "issued" : { "date-parts" : [ [ "2011" ] ] }, "language" : "eng", "note" : "Tiemersma, Edine W\nvan der Werf, Marieke J\nBorgdorff, Martien W\nWilliams, Brian G\nNagelkerke, Nico J D\nPLoS One. 2011 Apr 4;6(4):e17601. doi: 10.1371/journal.pone.0017601.", "page" : "e17601", "title" : "Natural history of tuberculosis: duration and fatality of untreated pulmonary tuberculosis in HIV negative patients: a systematic review", "type" : "article-journal", "volume" : "6" }, "uris" : [ "http://www.mendeley.com/documents/?uuid=bb20daca-1dea-4073-b2ed-aec83a50d55f", "http://www.mendeley.com/documents/?uuid=147aba9b-82d8-48d7-a446-391b3a7b4fef" ] } ], "mendeley" : { "formattedCitation" : "&lt;sup&gt;13&lt;/sup&gt;", "plainTextFormattedCitation" : "13", "previouslyFormattedCitation" : "&lt;sup&gt;13&lt;/sup&gt;" }, "properties" : { "noteIndex" : 0 }, "schema" : "https://github.com/citation-style-language/schema/raw/master/csl-citation.json" }</w:instrText>
      </w:r>
      <w:r>
        <w:fldChar w:fldCharType="separate"/>
      </w:r>
      <w:r w:rsidR="00D3165B" w:rsidRPr="00D3165B">
        <w:rPr>
          <w:noProof/>
          <w:vertAlign w:val="superscript"/>
        </w:rPr>
        <w:t>13</w:t>
      </w:r>
      <w:r>
        <w:fldChar w:fldCharType="end"/>
      </w:r>
    </w:p>
    <w:p w14:paraId="42F14986" w14:textId="563D7168" w:rsidR="00076D1A" w:rsidRDefault="00A51F99" w:rsidP="00D045CE">
      <w:pPr>
        <w:pStyle w:val="Heading1"/>
        <w:numPr>
          <w:ilvl w:val="0"/>
          <w:numId w:val="9"/>
        </w:numPr>
      </w:pPr>
      <w:r>
        <w:t>Case detection</w:t>
      </w:r>
      <w:bookmarkStart w:id="8" w:name="_Toc489257924"/>
      <w:bookmarkStart w:id="9" w:name="_Toc495931972"/>
    </w:p>
    <w:p w14:paraId="4C235022" w14:textId="11108CAB" w:rsidR="00076D1A" w:rsidRPr="00DB5DD8" w:rsidRDefault="00076D1A" w:rsidP="00076D1A">
      <w:pPr>
        <w:pStyle w:val="Heading3"/>
      </w:pPr>
      <w:r>
        <w:t>Obtaining the case detection ratio</w:t>
      </w:r>
      <w:bookmarkEnd w:id="8"/>
      <w:bookmarkEnd w:id="9"/>
    </w:p>
    <w:p w14:paraId="0CEE287C" w14:textId="1217D9BE" w:rsidR="00076D1A" w:rsidRDefault="00076D1A" w:rsidP="00076D1A">
      <w:r>
        <w:t>The case detectio</w:t>
      </w:r>
      <w:r w:rsidR="00EA7A56">
        <w:t>n rate</w:t>
      </w:r>
      <w:r>
        <w:t xml:space="preserve"> is a time-variant parameter and is a fundamental parameter determining the performance of TB programs at the country level. Esti</w:t>
      </w:r>
      <w:r w:rsidR="00EA7A56">
        <w:t>mates of the case detection rate</w:t>
      </w:r>
      <w:r>
        <w:t xml:space="preserve"> are provided by the World Health Organization in the Global TB Report.</w:t>
      </w:r>
      <w:r>
        <w:fldChar w:fldCharType="begin" w:fldLock="1"/>
      </w:r>
      <w:r w:rsidR="00583138">
        <w:instrText>ADDIN CSL_CITATION { "citationItems" : [ { "id" : "ITEM-1", "itemData" : { "URL" : "http://apps.who.int/iris/bitstream/10665/250441/1/9789241565394-eng.pdf?ua=1", "author" : [ { "dropping-particle" : "", "family" : "World Health Organization", "given" : "", "non-dropping-particle" : "", "parse-names" : false, "suffix" : "" } ], "id" : "ITEM-1", "issue" : "7th November", "issued" : { "date-parts" : [ [ "2016" ] ] }, "publisher" : "WHO", "publisher-place" : "Geneva, Switzerland", "title" : "Global Tuberculosis Report 2016", "type" : "webpage", "volume" : "2016" }, "uris" : [ "http://www.mendeley.com/documents/?uuid=26e983cf-9dde-4778-8cb9-ce14f88e86b3", "http://www.mendeley.com/documents/?uuid=0ce199c4-98ff-43fa-826f-c63eb4dfa956" ] } ], "mendeley" : { "formattedCitation" : "&lt;sup&gt;14&lt;/sup&gt;", "plainTextFormattedCitation" : "14", "previouslyFormattedCitation" : "&lt;sup&gt;14&lt;/sup&gt;" }, "properties" : { "noteIndex" : 0 }, "schema" : "https://github.com/citation-style-language/schema/raw/master/csl-citation.json" }</w:instrText>
      </w:r>
      <w:r>
        <w:fldChar w:fldCharType="separate"/>
      </w:r>
      <w:r w:rsidR="00D3165B" w:rsidRPr="00D3165B">
        <w:rPr>
          <w:noProof/>
          <w:vertAlign w:val="superscript"/>
        </w:rPr>
        <w:t>14</w:t>
      </w:r>
      <w:r>
        <w:fldChar w:fldCharType="end"/>
      </w:r>
      <w:r>
        <w:t xml:space="preserve"> It is important to note that this “rate” is actually a ratio or proportion and is referred to as the case detection ratio hereafter. Specifically, the case detection ratio is the proportion of all active cases that are detected during their </w:t>
      </w:r>
      <w:r w:rsidR="007033C9">
        <w:t>disease episode</w:t>
      </w:r>
      <w:r>
        <w:t xml:space="preserve">, </w:t>
      </w:r>
      <w:r w:rsidR="008D4C46">
        <w:t xml:space="preserve">closely related to </w:t>
      </w:r>
      <w:r>
        <w:t xml:space="preserve">the ratio of notifications to incidence in the region considered. </w:t>
      </w:r>
      <w:r w:rsidR="00A85A56">
        <w:t>V</w:t>
      </w:r>
      <w:r>
        <w:t xml:space="preserve">ariations in its magnitude have major impacts on disease burden that may only be realised decades later. </w:t>
      </w:r>
      <w:r w:rsidR="00BC2A22">
        <w:t>Because e</w:t>
      </w:r>
      <w:r>
        <w:t>ffective medical treatments for active TB only became av</w:t>
      </w:r>
      <w:r w:rsidR="00BC2A22">
        <w:t xml:space="preserve">ailable from the 1950s onwards, </w:t>
      </w:r>
      <w:r>
        <w:t xml:space="preserve">we apply an effective case detection ratio </w:t>
      </w:r>
      <w:r w:rsidR="00AE10CF">
        <w:t xml:space="preserve">of zero </w:t>
      </w:r>
      <w:r>
        <w:t>prior to that time.</w:t>
      </w:r>
      <w:r w:rsidR="00A85A56">
        <w:t xml:space="preserve"> </w:t>
      </w:r>
      <w:r>
        <w:t>As with other time-variant parameters, case detection ratio data are loaded from the Global TB Report data.</w:t>
      </w:r>
      <w:bookmarkStart w:id="10" w:name="_Toc489257925"/>
      <w:bookmarkStart w:id="11" w:name="_Toc495931973"/>
      <w:r w:rsidR="00E22AFF">
        <w:t xml:space="preserve"> In the case of Bulgaria, we multiply the reported values by 0.95 on advice from the local members of the country teams that the high reported values may be over-estimates.</w:t>
      </w:r>
    </w:p>
    <w:p w14:paraId="3ABAE240" w14:textId="5C0B4CEA" w:rsidR="00076D1A" w:rsidRDefault="00076D1A" w:rsidP="00076D1A">
      <w:pPr>
        <w:pStyle w:val="Heading3"/>
      </w:pPr>
      <w:bookmarkStart w:id="12" w:name="_Toc489257927"/>
      <w:bookmarkStart w:id="13" w:name="_Toc495931975"/>
      <w:bookmarkEnd w:id="10"/>
      <w:bookmarkEnd w:id="11"/>
      <w:r>
        <w:t>Adjustment to the case detection ratio by organ status</w:t>
      </w:r>
      <w:bookmarkEnd w:id="12"/>
      <w:bookmarkEnd w:id="13"/>
    </w:p>
    <w:p w14:paraId="7A95A2E5" w14:textId="4AC694CD" w:rsidR="00076D1A" w:rsidRDefault="00EC06BE" w:rsidP="00076D1A">
      <w:r>
        <w:t>We assign different values to the case detection ratio according to organ status because it is likely that smear-positive, smear-negative and extrapulmonary cases are diagnosed by the hea</w:t>
      </w:r>
      <w:r w:rsidR="00770A60">
        <w:t>l</w:t>
      </w:r>
      <w:r>
        <w:t>th care system at different rates. S</w:t>
      </w:r>
      <w:r w:rsidR="00076D1A">
        <w:t xml:space="preserve">mear-positive cases may be targeted </w:t>
      </w:r>
      <w:r w:rsidR="00F4436B">
        <w:t xml:space="preserve">for detection and </w:t>
      </w:r>
      <w:r w:rsidR="00076D1A">
        <w:t>may be easier to diagnose with locally available</w:t>
      </w:r>
      <w:r w:rsidR="00F4436B" w:rsidRPr="00F4436B">
        <w:t xml:space="preserve"> </w:t>
      </w:r>
      <w:r w:rsidR="00F4436B">
        <w:t>tools</w:t>
      </w:r>
      <w:r w:rsidR="00076D1A">
        <w:t>, in particular smear microscopy. Moreover, several interventions may act to close this diagnostic gap between smear-positive and smear-negative or extrapulmonary cases. For example,</w:t>
      </w:r>
      <w:r w:rsidR="007033C9">
        <w:t xml:space="preserve"> availability of phenotypic culture testing</w:t>
      </w:r>
      <w:r w:rsidR="00076D1A">
        <w:t xml:space="preserve"> improves the possibility of detection with smear-negative TB cases relative to smear microscopy and clinical judgement, partially closing this detection gap.</w:t>
      </w:r>
    </w:p>
    <w:p w14:paraId="4C574608" w14:textId="38C3F117" w:rsidR="00F62B2C" w:rsidRDefault="00F62B2C" w:rsidP="00F62B2C">
      <w:r>
        <w:t>In our model, the rate of detection for smear-positive cases is increased, while the rate</w:t>
      </w:r>
      <w:r w:rsidR="00F256DF">
        <w:t>s</w:t>
      </w:r>
      <w:r>
        <w:t xml:space="preserve"> of detection for smear-negative and extrapulmonary cases </w:t>
      </w:r>
      <w:r w:rsidR="00F256DF">
        <w:t xml:space="preserve">are </w:t>
      </w:r>
      <w:r>
        <w:t xml:space="preserve">decreased. This is calculated such </w:t>
      </w:r>
      <w:r>
        <w:lastRenderedPageBreak/>
        <w:t>that smear-negative and extrapulmonary cases have a case detection ratio that is lower than smear-positive cases by a</w:t>
      </w:r>
      <w:r w:rsidR="009504C2">
        <w:t xml:space="preserve"> constant </w:t>
      </w:r>
      <w:r w:rsidR="00F256DF">
        <w:t xml:space="preserve">specified </w:t>
      </w:r>
      <w:r w:rsidR="009504C2">
        <w:t>ratio</w:t>
      </w:r>
      <w:r>
        <w:t>, while the weighted average case detection ratio for all forms of TB remains equal to the unprocessed case detection ratio</w:t>
      </w:r>
      <w:r w:rsidR="009A348E">
        <w:t xml:space="preserve"> originally estimated.</w:t>
      </w:r>
    </w:p>
    <w:p w14:paraId="2480006B" w14:textId="57D062F0" w:rsidR="006D56F7" w:rsidRDefault="006D56F7" w:rsidP="006D56F7">
      <w:pPr>
        <w:pStyle w:val="Heading3"/>
      </w:pPr>
      <w:r>
        <w:t>Missed diagnosis and the accuracy of the diagnostic algorithm</w:t>
      </w:r>
    </w:p>
    <w:p w14:paraId="246D75B7" w14:textId="0D4736AC" w:rsidR="006D56F7" w:rsidRDefault="006D56F7" w:rsidP="00F62B2C">
      <w:pPr>
        <w:spacing w:before="120"/>
      </w:pPr>
      <w:r>
        <w:t>In order to explicitly simulate patients who presented for care but whose diagnosis was missed, a flow rate that transitions patients from the active untreated compartment to</w:t>
      </w:r>
      <w:r w:rsidR="00724A6D">
        <w:t xml:space="preserve"> a missed diagnosis compartment</w:t>
      </w:r>
      <w:r>
        <w:t xml:space="preserve"> is simulated. Patients whose diagnosis has been missed suffer outcomes applicable to those in the active treatment compartment in terms of death and spontaneous recovery, but do not re-start seeking treatment for a limited period of time. To achieve this, it is considered that case detection </w:t>
      </w:r>
      <w:r w:rsidR="00AE10CF">
        <w:t>is</w:t>
      </w:r>
      <w:r w:rsidR="007033C9">
        <w:t xml:space="preserve"> proportional to the diagnostic algorithm’s sensitivity</w:t>
      </w:r>
      <w:r w:rsidR="008057C3">
        <w:t>,</w:t>
      </w:r>
      <w:r w:rsidR="007033C9">
        <w:t xml:space="preserve"> </w:t>
      </w:r>
      <w:r>
        <w:t>as missed cases are proportional to its complement. That is:</w:t>
      </w:r>
    </w:p>
    <w:p w14:paraId="7AE02762" w14:textId="4B031D42" w:rsidR="006D56F7" w:rsidRDefault="006D56F7" w:rsidP="00F62B2C">
      <w:pPr>
        <w:spacing w:before="120"/>
      </w:pPr>
      <m:oMathPara>
        <m:oMath>
          <m:r>
            <w:rPr>
              <w:rFonts w:ascii="Cambria Math" w:hAnsi="Cambria Math"/>
            </w:rPr>
            <m:t>rate of case detection×algorithm accuracy= rate of missed diagnosis×</m:t>
          </m:r>
          <m:d>
            <m:dPr>
              <m:ctrlPr>
                <w:rPr>
                  <w:rFonts w:ascii="Cambria Math" w:hAnsi="Cambria Math"/>
                  <w:i/>
                </w:rPr>
              </m:ctrlPr>
            </m:dPr>
            <m:e>
              <m:r>
                <w:rPr>
                  <w:rFonts w:ascii="Cambria Math" w:hAnsi="Cambria Math"/>
                </w:rPr>
                <m:t>1-algorithm accuracy</m:t>
              </m:r>
            </m:e>
          </m:d>
        </m:oMath>
      </m:oMathPara>
    </w:p>
    <w:p w14:paraId="00378FC8" w14:textId="7839866A" w:rsidR="00076D1A" w:rsidRDefault="006D56F7" w:rsidP="00F62B2C">
      <w:pPr>
        <w:spacing w:before="120"/>
      </w:pPr>
      <w:r>
        <w:t>The</w:t>
      </w:r>
      <w:r w:rsidR="00076D1A">
        <w:t xml:space="preserve"> adjustment process </w:t>
      </w:r>
      <w:r w:rsidR="008057C3">
        <w:t xml:space="preserve">by organ status </w:t>
      </w:r>
      <w:r>
        <w:t xml:space="preserve">described for the rate of case detection </w:t>
      </w:r>
      <w:r w:rsidR="00076D1A">
        <w:t xml:space="preserve">is applied in the same way to the sensitivity of the baseline diagnostic algorithm parameter, </w:t>
      </w:r>
      <w:r w:rsidR="008057C3">
        <w:t xml:space="preserve">in order </w:t>
      </w:r>
      <w:r w:rsidR="00076D1A">
        <w:t>to simulate a greater proportion of smear-positive persons being detected rather than missed under baseline conditions through clinical assessment and smear microscopy</w:t>
      </w:r>
      <w:r w:rsidR="00CA683D">
        <w:t>.</w:t>
      </w:r>
      <w:bookmarkStart w:id="14" w:name="_Toc489257928"/>
      <w:bookmarkStart w:id="15" w:name="_Toc495931976"/>
    </w:p>
    <w:bookmarkEnd w:id="14"/>
    <w:bookmarkEnd w:id="15"/>
    <w:p w14:paraId="7739EF98" w14:textId="77777777" w:rsidR="00A51F99" w:rsidRDefault="00A51F99" w:rsidP="00D045CE">
      <w:pPr>
        <w:pStyle w:val="Heading1"/>
        <w:numPr>
          <w:ilvl w:val="0"/>
          <w:numId w:val="9"/>
        </w:numPr>
      </w:pPr>
      <w:r>
        <w:t>Treatment outcomes</w:t>
      </w:r>
    </w:p>
    <w:p w14:paraId="31520E6D" w14:textId="77777777" w:rsidR="009623DD" w:rsidRDefault="009623DD" w:rsidP="005F2C84">
      <w:pPr>
        <w:pStyle w:val="Heading3"/>
      </w:pPr>
      <w:bookmarkStart w:id="16" w:name="_Toc489257930"/>
      <w:bookmarkStart w:id="17" w:name="_Toc495931978"/>
      <w:r w:rsidRPr="005F2C84">
        <w:t>Determining</w:t>
      </w:r>
      <w:r>
        <w:t xml:space="preserve"> aggregate outcomes</w:t>
      </w:r>
      <w:bookmarkEnd w:id="16"/>
      <w:bookmarkEnd w:id="17"/>
    </w:p>
    <w:p w14:paraId="340048A9" w14:textId="39B37BAF" w:rsidR="009623DD" w:rsidRDefault="0061566B" w:rsidP="009623DD">
      <w:r>
        <w:t xml:space="preserve">Treatment outcomes are derived from the </w:t>
      </w:r>
      <w:r w:rsidR="009623DD">
        <w:t>Global TB Report, which reports outcomes for patients differently by strain, HIV status, sputum smear status and treatment history, as well as changing its reporting approach for some categories after 2011. All reported treatment outcomes are grouped into three broad categories for model interpretation: 1) treatment success, 2) death during treatment and 3) survival with unfavourable outcomes (i.e. any outcome other than success or death, the terminology for these path</w:t>
      </w:r>
      <w:r w:rsidR="009F6A87">
        <w:t>ways having changed over time as follows).</w:t>
      </w:r>
    </w:p>
    <w:p w14:paraId="61B28B1C" w14:textId="50C7AC43" w:rsidR="009623DD" w:rsidRDefault="009F6A87" w:rsidP="00CF0A75">
      <w:pPr>
        <w:spacing w:before="120"/>
      </w:pPr>
      <w:r>
        <w:t>U</w:t>
      </w:r>
      <w:r w:rsidR="009623DD">
        <w:t xml:space="preserve">p to and including 2011, patients achieving treatment completion or cure (the latter </w:t>
      </w:r>
      <w:r w:rsidR="002E663D">
        <w:t>applicable to</w:t>
      </w:r>
      <w:r w:rsidR="009623DD">
        <w:t xml:space="preserve"> smear-positive patients only) are classified as treatment success, patients dying on treatment </w:t>
      </w:r>
      <w:r w:rsidR="009623DD">
        <w:lastRenderedPageBreak/>
        <w:t>are classified as such and patients reported as default or failure are classified into the third category. Up to 2011, relapse cases are included with retreatment cases in Global TB Report data.</w:t>
      </w:r>
      <w:r w:rsidR="00CF0A75">
        <w:t xml:space="preserve"> </w:t>
      </w:r>
      <w:r w:rsidR="009623DD">
        <w:t xml:space="preserve">After 2011 for non-MDR-TB patients, loss to follow-up and failure are classified as unfavourable outcomes (as opposed to default and failure up to 2011). After 2011, relapse cases are included with new cases in official data, by contrast to the </w:t>
      </w:r>
      <w:r w:rsidR="00F7316F">
        <w:t xml:space="preserve">reverse </w:t>
      </w:r>
      <w:r w:rsidR="009623DD">
        <w:t xml:space="preserve">situation up to 2011. </w:t>
      </w:r>
      <w:r w:rsidR="007033C9">
        <w:t>Because</w:t>
      </w:r>
      <w:r w:rsidR="009623DD">
        <w:t xml:space="preserve"> there is no reliable way to account for this change, it s</w:t>
      </w:r>
      <w:r w:rsidR="009F199F">
        <w:t>hould be noted that outcome parameters</w:t>
      </w:r>
      <w:r w:rsidR="009623DD">
        <w:t xml:space="preserve"> are fit to data that changes </w:t>
      </w:r>
      <w:r w:rsidR="00F7316F">
        <w:t>in interpre</w:t>
      </w:r>
      <w:r w:rsidR="007033C9">
        <w:t>t</w:t>
      </w:r>
      <w:r w:rsidR="00F7316F">
        <w:t>ation</w:t>
      </w:r>
      <w:r w:rsidR="009623DD">
        <w:t xml:space="preserve"> after 2011, although this change </w:t>
      </w:r>
      <w:r w:rsidR="002E663D">
        <w:t xml:space="preserve">is </w:t>
      </w:r>
      <w:r w:rsidR="00D12D8E">
        <w:t>very</w:t>
      </w:r>
      <w:r w:rsidR="009623DD">
        <w:t xml:space="preserve"> minor numerically.</w:t>
      </w:r>
    </w:p>
    <w:p w14:paraId="33813C01" w14:textId="77777777" w:rsidR="009623DD" w:rsidRDefault="009623DD" w:rsidP="00CF0A75">
      <w:pPr>
        <w:pStyle w:val="Heading3"/>
      </w:pPr>
      <w:bookmarkStart w:id="18" w:name="_Toc489257931"/>
      <w:bookmarkStart w:id="19" w:name="_Toc495931979"/>
      <w:r>
        <w:t>Calculation of proportions</w:t>
      </w:r>
      <w:bookmarkEnd w:id="18"/>
      <w:bookmarkEnd w:id="19"/>
    </w:p>
    <w:p w14:paraId="7FE7BAAA" w14:textId="5F140124" w:rsidR="009623DD" w:rsidRDefault="009623DD" w:rsidP="00CF0A75">
      <w:r>
        <w:t>Once the total outcomes have been classified into the three categories described above, the proportion of patients falling in</w:t>
      </w:r>
      <w:r w:rsidR="00173656">
        <w:t>to each category is calculated. Two time-variant proportion functions are then defined. The first is the treatment success proportion, for which the numerator is successful treatment outcomes (cure and completion) and the denominator is al</w:t>
      </w:r>
      <w:r w:rsidR="007033C9">
        <w:t>l treatment outcomes (Figures S7, S9, S11 and S13</w:t>
      </w:r>
      <w:r w:rsidR="00173656">
        <w:t xml:space="preserve">). The second is the proportion of </w:t>
      </w:r>
      <w:r w:rsidR="00437E87">
        <w:t>non-success</w:t>
      </w:r>
      <w:r w:rsidR="00173656">
        <w:t xml:space="preserve"> outcomes resulting in death, for which the numerator is death outcomes and the denominator is all treatm</w:t>
      </w:r>
      <w:r w:rsidR="007033C9">
        <w:t>ent outcomes other than success (Figures S8, S10, S12 and S14).</w:t>
      </w:r>
    </w:p>
    <w:p w14:paraId="543A1894" w14:textId="788FEE14" w:rsidR="00D63B57" w:rsidRDefault="009623DD" w:rsidP="00EF52A8">
      <w:pPr>
        <w:rPr>
          <w:rFonts w:eastAsiaTheme="majorEastAsia" w:cstheme="majorBidi"/>
          <w:b/>
          <w:bCs/>
          <w:color w:val="2E74B5" w:themeColor="accent1" w:themeShade="BF"/>
          <w:sz w:val="32"/>
          <w:szCs w:val="28"/>
        </w:rPr>
      </w:pPr>
      <w:r>
        <w:t>Time-variant functions representing proportions (</w:t>
      </w:r>
      <w:r w:rsidR="00437E87">
        <w:t xml:space="preserve">and therefore </w:t>
      </w:r>
      <w:r>
        <w:t xml:space="preserve">limited to </w:t>
      </w:r>
      <w:r w:rsidR="00437E87">
        <w:t xml:space="preserve">a </w:t>
      </w:r>
      <w:r>
        <w:t xml:space="preserve">range </w:t>
      </w:r>
      <w:r w:rsidR="00437E87">
        <w:t xml:space="preserve">of </w:t>
      </w:r>
      <w:r>
        <w:t xml:space="preserve">zero to one) are then calculated for </w:t>
      </w:r>
      <w:r w:rsidR="00173656">
        <w:t xml:space="preserve">these </w:t>
      </w:r>
      <w:r w:rsidR="00437E87">
        <w:t xml:space="preserve">two </w:t>
      </w:r>
      <w:r w:rsidR="00173656">
        <w:t xml:space="preserve">quantities. The proportion of </w:t>
      </w:r>
      <w:r w:rsidR="00437E87">
        <w:t xml:space="preserve">treatment outcomes resulting in death </w:t>
      </w:r>
      <w:r w:rsidR="00173656">
        <w:t xml:space="preserve">is then calculated as the proportion of non-success outcomes multiplied by the proportion of unsuccessful outcomes resulting in death. </w:t>
      </w:r>
      <w:r w:rsidR="00437E87">
        <w:t xml:space="preserve">The proportion of treatment outcomes that are unfavourable other than death is the reciprocal of these two quantities. </w:t>
      </w:r>
      <w:r w:rsidR="00173656">
        <w:t>Using this approach, all treatment outcomes must consistently remain non-negative and the three possible outcomes always sum to one.</w:t>
      </w:r>
    </w:p>
    <w:p w14:paraId="75742292" w14:textId="2B6EC9A2" w:rsidR="00A51F99" w:rsidRDefault="00A51F99" w:rsidP="00D045CE">
      <w:pPr>
        <w:pStyle w:val="Heading1"/>
        <w:numPr>
          <w:ilvl w:val="0"/>
          <w:numId w:val="9"/>
        </w:numPr>
      </w:pPr>
      <w:r>
        <w:t>Treatment history</w:t>
      </w:r>
    </w:p>
    <w:p w14:paraId="793F730F" w14:textId="649FB228" w:rsidR="004A4A2B" w:rsidRPr="00721EB5" w:rsidRDefault="0028138A" w:rsidP="004A4A2B">
      <w:r>
        <w:t>A</w:t>
      </w:r>
      <w:r w:rsidR="004A4A2B">
        <w:t xml:space="preserve">ll compartments </w:t>
      </w:r>
      <w:r w:rsidR="00173656">
        <w:t>are</w:t>
      </w:r>
      <w:r w:rsidR="004A4A2B">
        <w:t xml:space="preserve"> duplicated according to whether patients have been previously treated or not. The only exception is for the fully suscept</w:t>
      </w:r>
      <w:r w:rsidR="00E14BF3">
        <w:t>ible unvaccinated compartments, which are not duplicated because</w:t>
      </w:r>
      <w:r w:rsidR="004A4A2B">
        <w:t xml:space="preserve"> there is no equivalent compartment representing fully susceptible individuals in t</w:t>
      </w:r>
      <w:r w:rsidR="00173656">
        <w:t>he previously treated stratum. This is because p</w:t>
      </w:r>
      <w:r w:rsidR="004A4A2B">
        <w:t xml:space="preserve">reviously treated individuals </w:t>
      </w:r>
      <w:r w:rsidR="00BE0FB2">
        <w:t xml:space="preserve">are </w:t>
      </w:r>
      <w:r w:rsidR="004A4A2B">
        <w:t xml:space="preserve">assigned a </w:t>
      </w:r>
      <w:r w:rsidR="00173656">
        <w:t xml:space="preserve">modified </w:t>
      </w:r>
      <w:r w:rsidR="004A4A2B">
        <w:t>level of immunity/susceptibility to future episodes of infection.</w:t>
      </w:r>
      <w:r w:rsidR="00D95C98">
        <w:t xml:space="preserve"> The treatment outcome parameters also differ for </w:t>
      </w:r>
      <w:r w:rsidR="00B438B4">
        <w:t xml:space="preserve">DS-TB </w:t>
      </w:r>
      <w:r w:rsidR="00D95C98">
        <w:t>patients under treatment who have been previously treate</w:t>
      </w:r>
      <w:r w:rsidR="00B438B4">
        <w:t>d, as shown in Figures S9 and S10</w:t>
      </w:r>
      <w:r w:rsidR="00D95C98">
        <w:t>.</w:t>
      </w:r>
      <w:r w:rsidR="00B438B4">
        <w:t xml:space="preserve"> Although treatment outcomes are likely to </w:t>
      </w:r>
      <w:r w:rsidR="00B438B4">
        <w:lastRenderedPageBreak/>
        <w:t xml:space="preserve">differ for re-treatment MDR-TB patients by comparison to new MDR-TB patients, the same treatment outcomes are used for the whole MDR-TB cohort in Bulgaria because the cohort size is too small to estimate </w:t>
      </w:r>
      <w:r w:rsidR="00E14BF3">
        <w:t xml:space="preserve">time-specific </w:t>
      </w:r>
      <w:r w:rsidR="00B438B4">
        <w:t>outcomes for each group separately.</w:t>
      </w:r>
    </w:p>
    <w:p w14:paraId="75B8BF21" w14:textId="44AD6582" w:rsidR="00A51F99" w:rsidRDefault="00A51F99" w:rsidP="00D045CE">
      <w:pPr>
        <w:pStyle w:val="Heading1"/>
        <w:numPr>
          <w:ilvl w:val="0"/>
          <w:numId w:val="9"/>
        </w:numPr>
      </w:pPr>
      <w:r>
        <w:t>Age differences</w:t>
      </w:r>
    </w:p>
    <w:p w14:paraId="42158DE1" w14:textId="77777777" w:rsidR="00B32738" w:rsidRPr="00DD6F69" w:rsidRDefault="00B32738" w:rsidP="00B32738">
      <w:pPr>
        <w:pStyle w:val="Heading3"/>
      </w:pPr>
      <w:bookmarkStart w:id="20" w:name="_Toc489257934"/>
      <w:bookmarkStart w:id="21" w:name="_Toc495931983"/>
      <w:r>
        <w:t xml:space="preserve">Risk of </w:t>
      </w:r>
      <w:r w:rsidRPr="00B32738">
        <w:t>progression</w:t>
      </w:r>
      <w:r>
        <w:t xml:space="preserve"> to active disease</w:t>
      </w:r>
      <w:bookmarkEnd w:id="20"/>
      <w:bookmarkEnd w:id="21"/>
    </w:p>
    <w:p w14:paraId="4FF0BDB0" w14:textId="2DB972AB" w:rsidR="00B32738" w:rsidRDefault="00B32738" w:rsidP="00B32738">
      <w:r>
        <w:t xml:space="preserve">The natural history of childhood TB was described in detail by Marais </w:t>
      </w:r>
      <w:r w:rsidRPr="00F52B3C">
        <w:rPr>
          <w:i/>
        </w:rPr>
        <w:t>et al</w:t>
      </w:r>
      <w:r>
        <w:t>. in their 2004 publication that considered historical publications on this topic in detail.</w:t>
      </w:r>
      <w:r>
        <w:fldChar w:fldCharType="begin" w:fldLock="1"/>
      </w:r>
      <w:r w:rsidR="00583138">
        <w:instrText>ADDIN CSL_CITATION { "citationItems" : [ { "id" : "ITEM-1", "itemData" : { "ISBN" : "1027-3719 (Print)\r1027-3719 (Linking)", "PMID" : "15141729", "abstract" : "The pre-chemotherapy literature documented the natural history of tuberculosis in childhood. These disease descriptions remain invaluable for guiding public health policy and research, as the introduction of effective chemotherapy radically changed the history of disease. Specific high-risk groups were identified. Primary infection before 2 years of age frequently progressed to serious disease within the first 12 months without significant prior symptoms. Primary infection between 2 and 10 years of age rarely progressed to serious disease, and such progression was associated with significant clinical symptoms. In children aged &gt;3 years the presence of symptoms represented a window of opportunity in which to establish a clinical diagnosis before serious disease progression. Primary infection after 10 years of age frequently progressed to adult-type disease. Early effective intervention in this group will reduce the burden of cavitating disease and associated disease transmission in the community. Although the pre-chemotherapy literature excluded the influence of human immune deficiency virus (HIV) infection, recent disease descriptions in HIV-infected children indicate that immune-compromised children behave in a similar fashion to immune immature children (less than 2 years of age). An important concept deduced from the natural history of tuberculosis in childhood is that of relevant disease. Deciding which children to treat may be extremely difficult in high-prevalence, low-resource settings. The concept of relevant disease provides guidance for more effective public health intervention.", "author" : [ { "dropping-particle" : "", "family" : "Marais", "given" : "B J", "non-dropping-particle" : "", "parse-names" : false, "suffix" : "" }, { "dropping-particle" : "", "family" : "Gie", "given" : "R P", "non-dropping-particle" : "", "parse-names" : false, "suffix" : "" }, { "dropping-particle" : "", "family" : "Schaaf", "given" : "H S", "non-dropping-particle" : "", "parse-names" : false, "suffix" : "" }, { "dropping-particle" : "", "family" : "Hesseling", "given" : "A C", "non-dropping-particle" : "", "parse-names" : false, "suffix" : "" }, { "dropping-particle" : "", "family" : "Obihara", "given" : "C C", "non-dropping-particle" : "", "parse-names" : false, "suffix" : "" }, { "dropping-particle" : "", "family" : "Starke", "given" : "J J", "non-dropping-particle" : "", "parse-names" : false, "suffix" : "" }, { "dropping-particle" : "", "family" : "Enarson", "given" : "D A", "non-dropping-particle" : "", "parse-names" : false, "suffix" : "" }, { "dropping-particle" : "", "family" : "Donald", "given" : "P R", "non-dropping-particle" : "", "parse-names" : false, "suffix" : "" }, { "dropping-particle" : "", "family" : "Beyers", "given" : "N", "non-dropping-particle" : "", "parse-names" : false, "suffix" : "" } ], "container-title" : "Int J Tuberc Lung Dis", "id" : "ITEM-1", "issue" : "4", "issued" : { "date-parts" : [ [ "2004" ] ] }, "note" : "Marais, B J\nGie, R P\nSchaaf, H S\nHesseling, A C\nObihara, C C\nStarke, J J\nEnarson, D A\nDonald, P R\nBeyers, N\neng\nResearch Support, U.S. Gov't, Non-P.H.S.\nReview\nFrance\n2004/05/15 05:00\nInt J Tuberc Lung Dis. 2004 Apr;8(4):392-402.", "page" : "392-402", "title" : "The natural history of childhood intra-thoracic tuberculosis: a critical review of literature from the pre-chemotherapy era", "type" : "article-journal", "volume" : "8" }, "uris" : [ "http://www.mendeley.com/documents/?uuid=b6c9d3dd-39db-4d7c-9a9d-0340755b4199", "http://www.mendeley.com/documents/?uuid=ef12d56e-4143-4121-9162-63093ed7b995" ] } ], "mendeley" : { "formattedCitation" : "&lt;sup&gt;15&lt;/sup&gt;", "plainTextFormattedCitation" : "15", "previouslyFormattedCitation" : "&lt;sup&gt;15&lt;/sup&gt;" }, "properties" : { "noteIndex" : 0 }, "schema" : "https://github.com/citation-style-language/schema/raw/master/csl-citation.json" }</w:instrText>
      </w:r>
      <w:r>
        <w:fldChar w:fldCharType="separate"/>
      </w:r>
      <w:r w:rsidR="00D3165B" w:rsidRPr="00D3165B">
        <w:rPr>
          <w:noProof/>
          <w:vertAlign w:val="superscript"/>
        </w:rPr>
        <w:t>15</w:t>
      </w:r>
      <w:r>
        <w:fldChar w:fldCharType="end"/>
      </w:r>
      <w:r>
        <w:t xml:space="preserve"> The period from 1920 to 1950 was particularly interesting for the study of the natural history of TB, as chest radiography had become available but effective treatment to modify the natural history had not. Although quantitative estimates of the risk of progression to active disease and subtypes are presented, we prefer the publications by Sloot </w:t>
      </w:r>
      <w:r w:rsidRPr="00F52B3C">
        <w:rPr>
          <w:i/>
        </w:rPr>
        <w:t>et al.</w:t>
      </w:r>
      <w:r>
        <w:t xml:space="preserve"> and Trauer </w:t>
      </w:r>
      <w:r w:rsidRPr="00F52B3C">
        <w:rPr>
          <w:i/>
        </w:rPr>
        <w:t>et al.</w:t>
      </w:r>
      <w:r>
        <w:t xml:space="preserve">, as these two modern estimates </w:t>
      </w:r>
      <w:r w:rsidR="00173656">
        <w:t xml:space="preserve">employ formal survival analysis techniques and </w:t>
      </w:r>
      <w:r>
        <w:t>are highly consistent with one another.</w:t>
      </w:r>
      <w:r>
        <w:fldChar w:fldCharType="begin" w:fldLock="1"/>
      </w:r>
      <w:r w:rsidR="00583138">
        <w:instrText>ADDIN CSL_CITATION { "citationItems" : [ { "id" : "ITEM-1", "itemData" : { "DOI" : "10.1164/rccm.201406-1159OC", "ISBN" : "1535-4970 (Electronic)\r1073-449X (Linking)", "PMID" : "25265362", "abstract" : "RATIONALE: The lifetime risk of tuberculosis (TB) for infected contacts is often mentioned to be 5-10%, but these estimates are based on studies conducted decades ago, and thus may not reflect current epidemiologic conditions. OBJECTIVES: To estimate the risk of TB among contacts with evidence of infection and to compare this with estimates often stated in the literature. METHODS: A retrospective cohort study was performed using records on contacts of pulmonary TB patients at the Public Health Service Amsterdam, 2002-2011. The Public Health Service Amsterdam TB electronic registration system identified TB cases during follow-up until October 2012; these were defined as coprevalent if diagnosed less than or equal to 180 days and incident if diagnosed greater than 180 days after TB diagnosis of index patient. Cumulative TB risk was estimated with Kaplan-Meier curves. MEASUREMENTS AND MAIN RESULTS: Of 9,332 contacts of pulmonary TB patients, 4,774 were screened for latent TB infection (LTBI) of whom 739 (16%) had evidence of infection. Among these the 5-year Kaplan-Meier TB cumulative risk was 9.5% (95% confidence interval, 7.5-11.9). This varied by age: 33.3% of 36 contacts aged less than 5 years, 19.1% of 84 contacts aged 5-14 years, and 6.7% of 619 contacts aged greater than or equal to 15 years (log rank, P &lt; 0.001). Of 739 contacts with evidence of infection, 57 had coprevalent TB and 14 developed incident TB. Of patients without coprevalent TB but with LTBI diagnosis, 45% received preventive therapy. Five-year risk of incident TB was 2.4% (95% confidence interval, 1.2-4.7) among contacts with LTBI who did not start preventive therapy. CONCLUSIONS: Five-year risk of TB among contacts with evidence of infection was higher compared with older estimates, and differed considerably by age. Incidence of TB among contacts with LTBI was low, suggesting limited impact may be expected of expanding preventive therapy.", "author" : [ { "dropping-particle" : "", "family" : "Sloot", "given" : "R", "non-dropping-particle" : "", "parse-names" : false, "suffix" : "" }, { "dropping-particle" : "", "family" : "Schim van der Loeff", "given" : "M F", "non-dropping-particle" : "", "parse-names" : false, "suffix" : "" }, { "dropping-particle" : "", "family" : "Kouw", "given" : "P M", "non-dropping-particle" : "", "parse-names" : false, "suffix" : "" }, { "dropping-particle" : "", "family" : "Borgdorff", "given" : "M W", "non-dropping-particle" : "", "parse-names" : false, "suffix" : "" } ], "container-title" : "Am J Respir Crit Care Med", "id" : "ITEM-1", "issue" : "9", "issued" : { "date-parts" : [ [ "2014" ] ] }, "note" : "Sloot, Rosa\nSchim van der Loeff, Maarten F\nKouw, Peter M\nBorgdorff, Martien W\neng\n2014/09/30 06:00\nAm J Respir Crit Care Med. 2014 Nov 1;190(9):1044-52. doi: 10.1164/rccm.201406-1159OC.", "page" : "1044-1052", "title" : "Risk of Tuberculosis after Recent Exposure. A 10-Year Follow-up Study of Contacts in Amsterdam", "type" : "article-journal", "volume" : "190" }, "uris" : [ "http://www.mendeley.com/documents/?uuid=1c1a1884-4cd2-403d-9a37-b6a28a35196d", "http://www.mendeley.com/documents/?uuid=a4e13bbb-4e36-4d3a-99d3-fa05d96b5707" ] }, { "id" : "ITEM-2", "itemData" : { "DOI" : "10.1016/j.chest.2015.11.017", "ISSN" : "19313543", "abstract" : "Copyright \u00a9 2016 American College of Chest Physicians. Published by Elsevier Inc. All rights reserved.Background: It is often stated that the lifetime risk of developing active TB after an index infection is 5% to 10%, one-half of which accrues in the 2 to 5 years following infection. The goal of this study was to determine whether such estimates are consistent with local programmatic data. Methods: This study included close contacts of individuals with active pulmonary TB notified in the Australian state of Victoria from January 1, 2005, to December 31, 2013, who we deemed to have been infected as a result of their exposure. Survival analysis was first performed on the assumption of complete follow-up through to the end of the study period. The analysis was then repeated with imputation of censorship for migration, death, and preventive treatment, using local mortality and migration data combined with programmatic data on the administration of preventive therapy. Results: Of 613 infected close contacts, 67 (10.9%) developed active TB during the study period. Assuming complete follow-up, the 1,650-day cumulative hazard was 11.5% (95% CI, 8.9-14.1). With imputation of censorship for death, migration, and preventive therapy, the median 1,650-day cumulative hazard over 10,000 simulations was 14.5% (95% CI, 11.1-17.9). Most risk accrued in the first 5 months after infection, and risk was greatest in the group aged &lt; 5 years, reaching 56.0% with imputation, but it was also elevated in older children (27.6% in the group aged 5-14 years). Conclusions: The risk of active TB following infection is several-fold higher than traditionally accepted estimates, and it is particularly high immediately following infection and in children.", "author" : [ { "dropping-particle" : "", "family" : "Trauer", "given" : "J.M.", "non-dropping-particle" : "", "parse-names" : false, "suffix" : "" }, { "dropping-particle" : "", "family" : "Moyo", "given" : "N.", "non-dropping-particle" : "", "parse-names" : false, "suffix" : "" }, { "dropping-particle" : "", "family" : "Tay", "given" : "E.-L.", "non-dropping-particle" : "", "parse-names" : false, "suffix" : "" }, { "dropping-particle" : "", "family" : "Dale", "given" : "K.", "non-dropping-particle" : "", "parse-names" : false, "suffix" : "" }, { "dropping-particle" : "", "family" : "Ragonnet", "given" : "R.", "non-dropping-particle" : "", "parse-names" : false, "suffix" : "" }, { "dropping-particle" : "", "family" : "McBryde", "given" : "E.S.", "non-dropping-particle" : "", "parse-names" : false, "suffix" : "" }, { "dropping-particle" : "", "family" : "Denholm", "given" : "J.T.", "non-dropping-particle" : "", "parse-names" : false, "suffix" : "" } ], "container-title" : "Chest", "id" : "ITEM-2", "issue" : "2", "issued" : { "date-parts" : [ [ "2016" ] ] }, "title" : "Risk of active tuberculosis in the five years following infection \u22ef 15%?", "type" : "article-journal", "volume" : "149" }, "uris" : [ "http://www.mendeley.com/documents/?uuid=91b378e3-b6ef-4726-b8ea-1cd91ea925c8", "http://www.mendeley.com/documents/?uuid=09e40a5d-79ca-34fa-bf17-40b966ea5fed", "http://www.mendeley.com/documents/?uuid=b9e4d268-2dba-4523-a86b-ea31ca442e4d" ] } ], "mendeley" : { "formattedCitation" : "&lt;sup&gt;8,9&lt;/sup&gt;", "plainTextFormattedCitation" : "8,9", "previouslyFormattedCitation" : "&lt;sup&gt;8,9&lt;/sup&gt;" }, "properties" : { "noteIndex" : 0 }, "schema" : "https://github.com/citation-style-language/schema/raw/master/csl-citation.json" }</w:instrText>
      </w:r>
      <w:r>
        <w:fldChar w:fldCharType="separate"/>
      </w:r>
      <w:r w:rsidR="00D3165B" w:rsidRPr="00D3165B">
        <w:rPr>
          <w:noProof/>
          <w:vertAlign w:val="superscript"/>
        </w:rPr>
        <w:t>8,9</w:t>
      </w:r>
      <w:r>
        <w:fldChar w:fldCharType="end"/>
      </w:r>
      <w:r w:rsidR="008C3097">
        <w:t xml:space="preserve"> Although widespread use of preventive therapy is a consideration in interpretation, this is offset by reinfection being a minor consideration.</w:t>
      </w:r>
    </w:p>
    <w:p w14:paraId="61A9F7AE" w14:textId="77777777" w:rsidR="00B32738" w:rsidRDefault="00B32738" w:rsidP="00B32738">
      <w:pPr>
        <w:pStyle w:val="Heading3"/>
      </w:pPr>
      <w:bookmarkStart w:id="22" w:name="_Toc489257935"/>
      <w:bookmarkStart w:id="23" w:name="_Toc495931984"/>
      <w:r w:rsidRPr="00B32738">
        <w:t>Infectiousness</w:t>
      </w:r>
      <w:bookmarkEnd w:id="22"/>
      <w:bookmarkEnd w:id="23"/>
    </w:p>
    <w:p w14:paraId="508FB9E2" w14:textId="3EB1C960" w:rsidR="00B32738" w:rsidRDefault="00B32738" w:rsidP="00B32738">
      <w:r>
        <w:t>Although children are often considered non-infectious, some groups of children are likely to have the potential to transmit infection, including adolescents who more often have adult-type reactivation TB. Other potentially infectious paediatric groups include those with pulmonary cavitation, positive smears for acid fast bacilli (AFBs), laryngeal involvement, widespread pulmonary disease and suspected congenital TB (which tends to be more extensive). However, younger children, including those with primary pulmonary TB are unlikely to be infectious because of their low bacillary load</w:t>
      </w:r>
      <w:r>
        <w:fldChar w:fldCharType="begin" w:fldLock="1"/>
      </w:r>
      <w:r w:rsidR="00583138">
        <w:instrText>ADDIN CSL_CITATION { "citationItems" : [ { "id" : "ITEM-1", "itemData" : { "DOI" : "10.1016/j.prrv.2007.04.008", "ISSN" : "15260542", "PMID" : "17574154", "abstract" : "The natural history and clinical manifestations of tuberculosis in children differ significantly from those of the disease seen in adults. The two main factors determining the risk of progression to disease are patient age and immune status. Neonates have the highest risk of progression to disease, and in infancy miliary and meningeal involvement is common. Children from 5 to 10 years of age are less likely to develop disease than other age groups, and adolescent patients can present with progressive primary tuberculosis or cavitary disease. Immunocompromised patients are more likely both to progress to tuberculous disease and to have extrapulmonary manifestations; diagnostic tests are also of lower yield in this population. The most common sites of disease in children are intrathoracic disease and superficial lymphadenopathy. Clinical manifestations are often due to a profound inflammatory response to a relatively low burden of organisms. This is reflected in the low yield of diagnostic tests; consequently, the diagnosis of tuberculosis is often based upon a positive skin test, epidemiological information, and compatible clinical and radiographic presentation.", "author" : [ { "dropping-particle" : "", "family" : "Cruz", "given" : "Andrea T.", "non-dropping-particle" : "", "parse-names" : false, "suffix" : "" }, { "dropping-particle" : "", "family" : "Starke", "given" : "Jeffrey R.", "non-dropping-particle" : "", "parse-names" : false, "suffix" : "" } ], "container-title" : "Paediatric Respiratory Reviews", "id" : "ITEM-1", "issue" : "2", "issued" : { "date-parts" : [ [ "2007", "6" ] ] }, "page" : "107-117", "title" : "Clinical manifestations of tuberculosis in children", "type" : "article-journal", "volume" : "8" }, "uris" : [ "http://www.mendeley.com/documents/?uuid=cbea627b-b1b0-35b4-b91a-c1b998382ef1", "http://www.mendeley.com/documents/?uuid=59ab85ac-2591-4279-904c-94de910f15f0" ] } ], "mendeley" : { "formattedCitation" : "&lt;sup&gt;16&lt;/sup&gt;", "plainTextFormattedCitation" : "16", "previouslyFormattedCitation" : "&lt;sup&gt;16&lt;/sup&gt;" }, "properties" : { "noteIndex" : 0 }, "schema" : "https://github.com/citation-style-language/schema/raw/master/csl-citation.json" }</w:instrText>
      </w:r>
      <w:r>
        <w:fldChar w:fldCharType="separate"/>
      </w:r>
      <w:r w:rsidR="00D3165B" w:rsidRPr="00D3165B">
        <w:rPr>
          <w:noProof/>
          <w:vertAlign w:val="superscript"/>
        </w:rPr>
        <w:t>16</w:t>
      </w:r>
      <w:r>
        <w:fldChar w:fldCharType="end"/>
      </w:r>
      <w:r>
        <w:t xml:space="preserve"> and inability to generate a sufficiently forceful cough.</w:t>
      </w:r>
      <w:r>
        <w:fldChar w:fldCharType="begin" w:fldLock="1"/>
      </w:r>
      <w:r w:rsidR="00583138">
        <w:instrText>ADDIN CSL_CITATION { "citationItems" : [ { "id" : "ITEM-1", "itemData" : { "ISSN" : "1918-1485", "PMID" : "20019856", "abstract" : "Tuberculosis (TB) in children requires close attention to infection control to prevent transmission to other patients and health care workers. Although many children with TB are not infectious, appropriate airborne precautions must be maintained until conditions that increase the risk of transmission have been ruled out and accompanying adults, who may also be infectious, have been screened. Concurrent strategies to prevent TB transmission should be implemented, including administrative, engineering and personal protective measures. The most important measure is maintaining a high clinical index of suspicion for TB in patients with compatible symptoms and epidemiological risk factors. Comprehensive tuberculin skin test programmes and the use of N 95 masks can reduce the risk of transmission within health care settings. Current standards of practice should be followed to prevent transmission from patients with active TB disease.", "author" : [ { "dropping-particle" : "", "family" : "Matlow", "given" : "Anne", "non-dropping-particle" : "", "parse-names" : false, "suffix" : "" }, { "dropping-particle" : "", "family" : "Robb", "given" : "Maryanne", "non-dropping-particle" : "", "parse-names" : false, "suffix" : "" }, { "dropping-particle" : "", "family" : "Goldman", "given" : "Carol", "non-dropping-particle" : "", "parse-names" : false, "suffix" : "" } ], "container-title" : "Paediatrics &amp; child health", "id" : "ITEM-1", "issue" : "10", "issued" : { "date-parts" : [ [ "2003", "12" ] ] }, "note" : "NULL", "page" : "624-6", "title" : "Infection control and paediatric tuberculosis: A practical guide for the practicing paediatrician.", "type" : "article-journal", "volume" : "8" }, "uris" : [ "http://www.mendeley.com/documents/?uuid=e9f9b6b3-2a01-4ce4-a083-5c009db76551" ] } ], "mendeley" : { "formattedCitation" : "&lt;sup&gt;17&lt;/sup&gt;", "plainTextFormattedCitation" : "17", "previouslyFormattedCitation" : "&lt;sup&gt;17&lt;/sup&gt;" }, "properties" : { "noteIndex" : 0 }, "schema" : "https://github.com/citation-style-language/schema/raw/master/csl-citation.json" }</w:instrText>
      </w:r>
      <w:r>
        <w:fldChar w:fldCharType="separate"/>
      </w:r>
      <w:r w:rsidR="00D3165B" w:rsidRPr="00D3165B">
        <w:rPr>
          <w:noProof/>
          <w:vertAlign w:val="superscript"/>
        </w:rPr>
        <w:t>17</w:t>
      </w:r>
      <w:r>
        <w:fldChar w:fldCharType="end"/>
      </w:r>
      <w:r>
        <w:t xml:space="preserve"> This is supported by the observation that an infectious adult was consistently identifiable in outbreaks of TB in orphanages and children’s hospitals, while such outbreaks did not occur when only a child was identified with active TB. Eight case reports of transmission from children were identified in a 2001 review, which included four children aged under one (including two with congenital TB), with the others aged 3, 5, 7 and 9. However, the extent of transmission was either limited or incompletely described in most of the six reports considering children aged five and below.</w:t>
      </w:r>
      <w:r w:rsidRPr="008C314E">
        <w:t xml:space="preserve"> </w:t>
      </w:r>
      <w:r>
        <w:t>Unpublished data recording low rates of tuberculin skin test (TST) conversion in staff of pa</w:t>
      </w:r>
      <w:r w:rsidR="00F26486">
        <w:t>ediatric hospitals also support</w:t>
      </w:r>
      <w:r>
        <w:t xml:space="preserve"> this contention.</w:t>
      </w:r>
      <w:r>
        <w:fldChar w:fldCharType="begin" w:fldLock="1"/>
      </w:r>
      <w:r w:rsidR="00583138">
        <w:instrText>ADDIN CSL_CITATION { "citationItems" : [ { "id" : "ITEM-1", "itemData" : { "DOI" : "10.1053/spid.2001.22785", "ISSN" : "10451870", "author" : [ { "dropping-particle" : "", "family" : "Starke", "given" : "Jeffrey R.", "non-dropping-particle" : "", "parse-names" : false, "suffix" : "" } ], "container-title" : "Seminars in Pediatric Infectious Diseases", "id" : "ITEM-1", "issue" : "2", "issued" : { "date-parts" : [ [ "2001", "4" ] ] }, "page" : "115-123", "title" : "Transmission of mycobacterium tuberculosis to and from children and adolescents", "type" : "article-journal", "volume" : "12" }, "uris" : [ "http://www.mendeley.com/documents/?uuid=5ecac8ca-f9cb-47db-bd61-43cec01a1962" ] } ], "mendeley" : { "formattedCitation" : "&lt;sup&gt;18&lt;/sup&gt;", "plainTextFormattedCitation" : "18", "previouslyFormattedCitation" : "&lt;sup&gt;18&lt;/sup&gt;" }, "properties" : { "noteIndex" : 0 }, "schema" : "https://github.com/citation-style-language/schema/raw/master/csl-citation.json" }</w:instrText>
      </w:r>
      <w:r>
        <w:fldChar w:fldCharType="separate"/>
      </w:r>
      <w:r w:rsidR="00D3165B" w:rsidRPr="00D3165B">
        <w:rPr>
          <w:noProof/>
          <w:vertAlign w:val="superscript"/>
        </w:rPr>
        <w:t>18</w:t>
      </w:r>
      <w:r>
        <w:fldChar w:fldCharType="end"/>
      </w:r>
      <w:bookmarkStart w:id="24" w:name="_Toc489257936"/>
      <w:r>
        <w:t xml:space="preserve"> </w:t>
      </w:r>
      <w:r w:rsidR="00DE6CA9">
        <w:t xml:space="preserve">For these </w:t>
      </w:r>
      <w:r w:rsidR="00DE6CA9">
        <w:lastRenderedPageBreak/>
        <w:t>reasons, we reduce the infectiousness of children by one order of magnitude (i.e. 0.1 times that of adults) and apply this estimate to the under-5 age group. For the age group aged 5 to 15, we assume that approximately half of these patients will have adult-type and half child-type manifestations of disease, resulting in a weighted average of 0.55 times the infectiousness of adults for this group.</w:t>
      </w:r>
    </w:p>
    <w:p w14:paraId="34DAED9E" w14:textId="77777777" w:rsidR="00B32738" w:rsidRPr="00AE60A3" w:rsidRDefault="00B32738" w:rsidP="00B32738">
      <w:pPr>
        <w:pStyle w:val="Heading3"/>
      </w:pPr>
      <w:bookmarkStart w:id="25" w:name="_Toc495931985"/>
      <w:r w:rsidRPr="00AE60A3">
        <w:t>Case fatality</w:t>
      </w:r>
      <w:bookmarkEnd w:id="24"/>
      <w:bookmarkEnd w:id="25"/>
    </w:p>
    <w:p w14:paraId="4DDA8A0F" w14:textId="492B6FF0" w:rsidR="00B32738" w:rsidRPr="00DD6F69" w:rsidRDefault="00B32738" w:rsidP="00B32738">
      <w:r>
        <w:t>The case fatality rate (a proportion) for children with miliary TB was estimated at 14% in one case series,</w:t>
      </w:r>
      <w:r>
        <w:fldChar w:fldCharType="begin" w:fldLock="1"/>
      </w:r>
      <w:r w:rsidR="00583138">
        <w:instrText>ADDIN CSL_CITATION { "citationItems" : [ { "id" : "ITEM-1", "itemData" : { "ISSN" : "0891-3668", "PMID" : "1749696", "abstract" : "This is a retrospective review of the clinical, radiologic and laboratory features of 94 cases of childhood miliary tuberculosis seen during a 5-year period, 1985 to 1989. A history of Bacillus Calmette-Gu\u00e9rin vaccination was documented in 88% of children. The median age at presentation was 10.5 months, 52% of cases occurring in those younger than 1 year. The presenting symptoms were nonspecific: cough (72%); fever (61%); loss of appetite and weight (40%); and diarrhea and vomiting (33%). The main presenting signs were hepatomegaly (82%), splenomegaly (54%), lymphadenopathy (46%) and pyrexia (39%). Most of the patients were malnourished and anergic. Meningitis occurred in 19% of patients and this was the only significant risk factor identified for mortality, the overall case fatality rate being 14%. The diagnosis in the vast majority was made on the clinical presentation supported by a classic miliary pattern on chest roentgenogram (91% of cases). Mycobacterium tuberculosis was cultured in 33% of cases. In addition a review of hospital admissions from 1981 to 1989 revealed that annually miliary tuberculosis in children and adults accounted for 8.3 and 1.3%, respectively, of all tuberculosis admissions. This study confirms that miliary tuberculosis is a relatively common complication of tuberculosis in young children.", "author" : [ { "dropping-particle" : "", "family" : "Hussey", "given" : "G", "non-dropping-particle" : "", "parse-names" : false, "suffix" : "" }, { "dropping-particle" : "", "family" : "Chisholm", "given" : "T", "non-dropping-particle" : "", "parse-names" : false, "suffix" : "" }, { "dropping-particle" : "", "family" : "Kibel", "given" : "M", "non-dropping-particle" : "", "parse-names" : false, "suffix" : "" } ], "container-title" : "The Pediatric infectious disease journal", "id" : "ITEM-1", "issue" : "11", "issued" : { "date-parts" : [ [ "1991", "11" ] ] }, "page" : "832-6", "title" : "Miliary tuberculosis in children: a review of 94 cases.", "type" : "article-journal", "volume" : "10" }, "uris" : [ "http://www.mendeley.com/documents/?uuid=dc681d96-7eb4-4f57-abe1-0c819a8524e0" ] } ], "mendeley" : { "formattedCitation" : "&lt;sup&gt;19&lt;/sup&gt;", "plainTextFormattedCitation" : "19", "previouslyFormattedCitation" : "&lt;sup&gt;19&lt;/sup&gt;" }, "properties" : { "noteIndex" : 0 }, "schema" : "https://github.com/citation-style-language/schema/raw/master/csl-citation.json" }</w:instrText>
      </w:r>
      <w:r>
        <w:fldChar w:fldCharType="separate"/>
      </w:r>
      <w:r w:rsidR="00D3165B" w:rsidRPr="00D3165B">
        <w:rPr>
          <w:noProof/>
          <w:vertAlign w:val="superscript"/>
        </w:rPr>
        <w:t>19</w:t>
      </w:r>
      <w:r>
        <w:fldChar w:fldCharType="end"/>
      </w:r>
      <w:r>
        <w:t xml:space="preserve"> which is considerably greater than the estimate of 3.5% for all cases from one meta-analysis.</w:t>
      </w:r>
      <w:r>
        <w:fldChar w:fldCharType="begin" w:fldLock="1"/>
      </w:r>
      <w:r w:rsidR="00583138">
        <w:instrText>ADDIN CSL_CITATION { "citationItems" : [ { "id" : "ITEM-1", "itemData" : { "DOI" : "10.1371/journal.pone.0020755", "ISBN" : "1932-6203 (Electronic)\r1932-6203 (Linking)", "PMID" : "21738585", "abstract" : "BACKGROUND: Recently, the tuberculosis (TB) Task Force Impact Measurement acknowledged the need to review the assumptions underlying the TB mortality estimates published annually by the World Health Organization (WHO). TB mortality is indirectly measured by multiplying estimated TB incidence with estimated case fatality ratio (CFR). We conducted a meta-analysis to estimate the TB case fatality ratio in TB patients having initiated TB treatment. METHODS: We searched for eligible studies in the PubMed and Embase databases through March 4(th) 2011 and by reference listing of relevant review articles. Main analyses included the estimation of the pooled percentages of: a) TB patients dying due to TB after having initiated TB treatment and b) TB patients dying during TB treatment. Pooled percentages were estimated using random effects regression models on the combined patient population from all studies. MAIN RESULTS: We identified 69 relevant studies of which 22 provided data on mortality due to TB and 59 provided data on mortality during TB treatment. Among HIV infected persons the pooled percentage of TB patients dying due to TB was 9.2% (95% Confidence Interval (CI): 3.7%-14.7%) and among HIV uninfected persons 3.0% (95% CI: -1.2%-7.4%) based on the results of eight and three studies respectively providing data for this analyses. The pooled percentage of TB patients dying during TB treatment was 18.8% (95% CI: 14.8%-22.8%) among HIV infected patients and 3.5% (95% CI: 2.0%-4.92%) among HIV uninfected patients based on the results of 27 and 19 studies respectively. CONCLUSION: The results of the literature review are useful in generating prior distributions of CFR in countries with vital registration systems and have contributed towards revised estimates of TB mortality This literature review did not provide us with all data needed for a valid estimation of TB CFR in TB patients initiating TB treatment.", "author" : [ { "dropping-particle" : "", "family" : "Straetemans", "given" : "M", "non-dropping-particle" : "", "parse-names" : false, "suffix" : "" }, { "dropping-particle" : "", "family" : "Glaziou", "given" : "P", "non-dropping-particle" : "", "parse-names" : false, "suffix" : "" }, { "dropping-particle" : "", "family" : "Bierrenbach", "given" : "A L", "non-dropping-particle" : "", "parse-names" : false, "suffix" : "" }, { "dropping-particle" : "", "family" : "Sismanidis", "given" : "C", "non-dropping-particle" : "", "parse-names" : false, "suffix" : "" }, { "dropping-particle" : "", "family" : "Werf", "given" : "M J", "non-dropping-particle" : "van der", "parse-names" : false, "suffix" : "" } ], "container-title" : "PLoS One", "id" : "ITEM-1", "issue" : "6", "issued" : { "date-parts" : [ [ "2011" ] ] }, "note" : "Straetemans, Masja\nGlaziou, Philippe\nBierrenbach, Ana L\nSismanidis, Charalambos\nvan der Werf, Marieke J\neng\nMeta-Analysis\nResearch Support, Non-U.S. Gov't\nReview\n2011/07/09 06:00\nPLoS One. 2011;6(6):e20755. doi: 10.1371/journal.pone.0020755. Epub 2011 Jun 27.", "page" : "e20755", "title" : "Assessing tuberculosis case fatality ratio: a meta-analysis", "type" : "article-journal", "volume" : "6" }, "uris" : [ "http://www.mendeley.com/documents/?uuid=13838014-10a9-4ca0-bb66-7579f7c3be39" ] } ], "mendeley" : { "formattedCitation" : "&lt;sup&gt;20&lt;/sup&gt;", "plainTextFormattedCitation" : "20", "previouslyFormattedCitation" : "&lt;sup&gt;20&lt;/sup&gt;" }, "properties" : { "noteIndex" : 0 }, "schema" : "https://github.com/citation-style-language/schema/raw/master/csl-citation.json" }</w:instrText>
      </w:r>
      <w:r>
        <w:fldChar w:fldCharType="separate"/>
      </w:r>
      <w:r w:rsidR="00D3165B" w:rsidRPr="00D3165B">
        <w:rPr>
          <w:noProof/>
          <w:vertAlign w:val="superscript"/>
        </w:rPr>
        <w:t>20</w:t>
      </w:r>
      <w:r>
        <w:fldChar w:fldCharType="end"/>
      </w:r>
      <w:r>
        <w:t xml:space="preserve"> However, this is clearly not a direct c</w:t>
      </w:r>
      <w:r w:rsidR="008A70A9">
        <w:t>omparison, as this higher rate wa</w:t>
      </w:r>
      <w:r>
        <w:t xml:space="preserve">s observed only in a subgroup of paediatric cases and may well be offset by lower case fatality rates in other subgroups, such as tuberculous lymphadenitis. Moreover, these estimates primarily </w:t>
      </w:r>
      <w:r w:rsidR="008A70A9">
        <w:t xml:space="preserve">consider </w:t>
      </w:r>
      <w:r>
        <w:t>patients under treatment and so cannot be used to estimate the case fatality of untreated TB (which is of greater relevance to our model parameters).</w:t>
      </w:r>
      <w:r w:rsidR="008E54A4">
        <w:t xml:space="preserve"> For these reasons, we apply the same natural history outcomes to children as to adults.</w:t>
      </w:r>
    </w:p>
    <w:p w14:paraId="53EF3C1D" w14:textId="390D3CD4" w:rsidR="00B32738" w:rsidRPr="00AE60A3" w:rsidRDefault="00B6596A" w:rsidP="00B32738">
      <w:pPr>
        <w:pStyle w:val="Heading3"/>
      </w:pPr>
      <w:bookmarkStart w:id="26" w:name="_Toc489257937"/>
      <w:bookmarkStart w:id="27" w:name="_Toc495931986"/>
      <w:r>
        <w:t>Summary of m</w:t>
      </w:r>
      <w:r w:rsidR="00B32738" w:rsidRPr="00AE60A3">
        <w:t xml:space="preserve">odel </w:t>
      </w:r>
      <w:r w:rsidR="00B32738" w:rsidRPr="00B32738">
        <w:t>implementation</w:t>
      </w:r>
      <w:bookmarkEnd w:id="26"/>
      <w:bookmarkEnd w:id="27"/>
    </w:p>
    <w:p w14:paraId="1BE1F622" w14:textId="3EA9E44F" w:rsidR="00B32738" w:rsidRDefault="00B32738" w:rsidP="00B32738">
      <w:r>
        <w:t xml:space="preserve">We use the age-specific </w:t>
      </w:r>
      <w:r w:rsidR="00BD0C94">
        <w:t xml:space="preserve">latency </w:t>
      </w:r>
      <w:r>
        <w:t xml:space="preserve">progression proportions reported by </w:t>
      </w:r>
      <w:r w:rsidR="00BD0C94">
        <w:t>Ragonnet</w:t>
      </w:r>
      <w:r>
        <w:t xml:space="preserve"> </w:t>
      </w:r>
      <w:r w:rsidRPr="00F52B3C">
        <w:rPr>
          <w:i/>
        </w:rPr>
        <w:t>et al.</w:t>
      </w:r>
      <w:r>
        <w:t xml:space="preserve"> and are currently undertaking further </w:t>
      </w:r>
      <w:r w:rsidR="00BD0C94">
        <w:t xml:space="preserve">research </w:t>
      </w:r>
      <w:r>
        <w:t>to refine these parameters</w:t>
      </w:r>
      <w:r w:rsidR="000954A2">
        <w:t xml:space="preserve"> further</w:t>
      </w:r>
      <w:r>
        <w:t>. Although difficult to quantify, the infectiousness of persons aged under 10 is lower than those of older ages, and we apply a ten-fold reduction</w:t>
      </w:r>
      <w:r w:rsidR="008A70A9">
        <w:t xml:space="preserve"> as described above</w:t>
      </w:r>
      <w:r>
        <w:t>. Case fatality rates are not currently modified for age, although we continue to seek evidence to quantify this</w:t>
      </w:r>
      <w:r w:rsidR="00965D57">
        <w:t>.</w:t>
      </w:r>
    </w:p>
    <w:p w14:paraId="6D5CB8B7" w14:textId="77777777" w:rsidR="00A51F99" w:rsidRDefault="00A51F99" w:rsidP="00D045CE">
      <w:pPr>
        <w:pStyle w:val="Heading1"/>
        <w:numPr>
          <w:ilvl w:val="0"/>
          <w:numId w:val="9"/>
        </w:numPr>
      </w:pPr>
      <w:r>
        <w:t>Diabetes</w:t>
      </w:r>
    </w:p>
    <w:p w14:paraId="1E22B551" w14:textId="19328F14" w:rsidR="00135F33" w:rsidRDefault="008A70A9" w:rsidP="00DA6943">
      <w:r>
        <w:t>W</w:t>
      </w:r>
      <w:r w:rsidR="00B32738">
        <w:t xml:space="preserve">e estimate the relative risk or odds ratio for developing TB in patients with </w:t>
      </w:r>
      <w:r>
        <w:t xml:space="preserve">diabetes </w:t>
      </w:r>
      <w:r w:rsidR="00B32738">
        <w:t xml:space="preserve">by comparing </w:t>
      </w:r>
      <w:r>
        <w:t xml:space="preserve">the </w:t>
      </w:r>
      <w:r w:rsidR="00B32738">
        <w:t xml:space="preserve">risk </w:t>
      </w:r>
      <w:r>
        <w:t xml:space="preserve">of </w:t>
      </w:r>
      <w:r w:rsidR="00B32738">
        <w:t xml:space="preserve">disease in affected patients to </w:t>
      </w:r>
      <w:r>
        <w:t xml:space="preserve">the </w:t>
      </w:r>
      <w:r w:rsidR="00B32738">
        <w:t>risk for patients without</w:t>
      </w:r>
      <w:r>
        <w:t xml:space="preserve"> diabetes</w:t>
      </w:r>
      <w:r w:rsidR="00B32738">
        <w:t xml:space="preserve">. </w:t>
      </w:r>
      <w:r>
        <w:t xml:space="preserve">Ideally, a relative risk or </w:t>
      </w:r>
      <w:r w:rsidR="00B32738">
        <w:t xml:space="preserve">hazard </w:t>
      </w:r>
      <w:r>
        <w:t xml:space="preserve">would </w:t>
      </w:r>
      <w:r w:rsidR="00B32738">
        <w:t xml:space="preserve">be applied to the rate of late progression from late latency to active disease, while </w:t>
      </w:r>
      <w:r>
        <w:t xml:space="preserve">an </w:t>
      </w:r>
      <w:r w:rsidR="00B32738">
        <w:t xml:space="preserve">odds ratio </w:t>
      </w:r>
      <w:r>
        <w:t xml:space="preserve">would be </w:t>
      </w:r>
      <w:r w:rsidR="00B32738">
        <w:t>applied to the proportion of patients in early latency who progress to active disease rather th</w:t>
      </w:r>
      <w:r w:rsidR="00DA6943">
        <w:t xml:space="preserve">an stabilising to late latency. </w:t>
      </w:r>
      <w:r w:rsidR="00DB5EB3">
        <w:t xml:space="preserve">However, we also consider </w:t>
      </w:r>
      <w:r w:rsidR="00135F33">
        <w:t>it desirable for these two quantities to be mutually consistent.</w:t>
      </w:r>
    </w:p>
    <w:p w14:paraId="26591153" w14:textId="3492B75F" w:rsidR="00B32738" w:rsidRDefault="00B32738" w:rsidP="00DA6943">
      <w:r>
        <w:t xml:space="preserve">For individuals in early latency, we do not adjust the duration of early latency for persons with comorbidities, but only the proportion of patients undergoing early progression to active TB. We apply an estimate of the odds ratio for progression to active disease associated with the </w:t>
      </w:r>
      <w:r>
        <w:lastRenderedPageBreak/>
        <w:t>comorbidity to the original estimate for the proportion progressing, which is age-specific in age stratified models. We term the proportion of persons in early latency progressing to active TB in the absence of comorbidities “</w:t>
      </w:r>
      <w:r w:rsidRPr="00135F33">
        <w:rPr>
          <w:rFonts w:ascii="Cambria Math" w:hAnsi="Cambria Math"/>
          <w:i/>
        </w:rPr>
        <w:t>p</w:t>
      </w:r>
      <w:r w:rsidRPr="00135F33">
        <w:rPr>
          <w:rFonts w:ascii="Cambria Math" w:hAnsi="Cambria Math"/>
          <w:i/>
          <w:vertAlign w:val="subscript"/>
        </w:rPr>
        <w:t>n</w:t>
      </w:r>
      <w:r>
        <w:t xml:space="preserve">”, such that the odds of progressing </w:t>
      </w:r>
      <w:r w:rsidR="001E2CC0">
        <w:t>are</w:t>
      </w:r>
      <w:r>
        <w:t xml:space="preserve"> equal to </w:t>
      </w:r>
      <w:r w:rsidRPr="00135F33">
        <w:rPr>
          <w:rFonts w:ascii="Cambria Math" w:hAnsi="Cambria Math"/>
          <w:i/>
        </w:rPr>
        <w:t>p</w:t>
      </w:r>
      <w:r w:rsidRPr="00135F33">
        <w:rPr>
          <w:rFonts w:ascii="Cambria Math" w:hAnsi="Cambria Math"/>
          <w:i/>
          <w:vertAlign w:val="subscript"/>
        </w:rPr>
        <w:t>n</w:t>
      </w:r>
      <w:r w:rsidRPr="00135F33">
        <w:rPr>
          <w:rFonts w:ascii="Cambria Math" w:hAnsi="Cambria Math"/>
          <w:i/>
        </w:rPr>
        <w:t xml:space="preserve"> / (1 – p</w:t>
      </w:r>
      <w:r w:rsidRPr="00135F33">
        <w:rPr>
          <w:rFonts w:ascii="Cambria Math" w:hAnsi="Cambria Math"/>
          <w:i/>
          <w:vertAlign w:val="subscript"/>
        </w:rPr>
        <w:t>n</w:t>
      </w:r>
      <w:r w:rsidRPr="00135F33">
        <w:rPr>
          <w:rFonts w:ascii="Cambria Math" w:hAnsi="Cambria Math"/>
          <w:i/>
        </w:rPr>
        <w:t>)</w:t>
      </w:r>
      <w:r>
        <w:t>. Similarly, the proportion progressing in the presence of the comorbidity is termed “</w:t>
      </w:r>
      <w:r w:rsidRPr="00135F33">
        <w:rPr>
          <w:rFonts w:ascii="Cambria Math" w:hAnsi="Cambria Math"/>
          <w:i/>
        </w:rPr>
        <w:t>p</w:t>
      </w:r>
      <w:r w:rsidRPr="00135F33">
        <w:rPr>
          <w:rFonts w:ascii="Cambria Math" w:hAnsi="Cambria Math"/>
          <w:i/>
          <w:vertAlign w:val="subscript"/>
        </w:rPr>
        <w:t>c</w:t>
      </w:r>
      <w:r>
        <w:t xml:space="preserve">”, with associated odds </w:t>
      </w:r>
      <w:r w:rsidRPr="00135F33">
        <w:rPr>
          <w:rFonts w:ascii="Cambria Math" w:hAnsi="Cambria Math"/>
          <w:i/>
        </w:rPr>
        <w:t>p</w:t>
      </w:r>
      <w:r w:rsidRPr="00135F33">
        <w:rPr>
          <w:rFonts w:ascii="Cambria Math" w:hAnsi="Cambria Math"/>
          <w:i/>
          <w:vertAlign w:val="subscript"/>
        </w:rPr>
        <w:t>c</w:t>
      </w:r>
      <w:r w:rsidRPr="00135F33">
        <w:rPr>
          <w:rFonts w:ascii="Cambria Math" w:hAnsi="Cambria Math"/>
          <w:i/>
        </w:rPr>
        <w:t xml:space="preserve"> / (1 – p</w:t>
      </w:r>
      <w:r w:rsidRPr="00135F33">
        <w:rPr>
          <w:rFonts w:ascii="Cambria Math" w:hAnsi="Cambria Math"/>
          <w:i/>
          <w:vertAlign w:val="subscript"/>
        </w:rPr>
        <w:t>c</w:t>
      </w:r>
      <w:r w:rsidRPr="00135F33">
        <w:rPr>
          <w:rFonts w:ascii="Cambria Math" w:hAnsi="Cambria Math"/>
          <w:i/>
        </w:rPr>
        <w:t>)</w:t>
      </w:r>
      <w:r>
        <w:t>. Therefore, if the odds ratio associated with the comorbidity is termed “OR”:</w:t>
      </w:r>
    </w:p>
    <w:p w14:paraId="41FA5A38" w14:textId="7115E5B7" w:rsidR="00B32738" w:rsidRPr="00686574" w:rsidRDefault="00603480" w:rsidP="00B32738">
      <w:pPr>
        <w:ind w:left="360"/>
        <w:rPr>
          <w:rFonts w:eastAsiaTheme="minorEastAsia"/>
          <w:i/>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m:t>
                  </m:r>
                </m:sub>
              </m:sSub>
            </m:num>
            <m:den>
              <m:r>
                <w:rPr>
                  <w:rFonts w:ascii="Cambria Math" w:hAnsi="Cambria Math"/>
                </w:rPr>
                <m:t xml:space="preserve">1- </m:t>
              </m:r>
              <m:sSub>
                <m:sSubPr>
                  <m:ctrlPr>
                    <w:rPr>
                      <w:rFonts w:ascii="Cambria Math" w:hAnsi="Cambria Math"/>
                      <w:i/>
                    </w:rPr>
                  </m:ctrlPr>
                </m:sSubPr>
                <m:e>
                  <m:r>
                    <w:rPr>
                      <w:rFonts w:ascii="Cambria Math" w:hAnsi="Cambria Math"/>
                    </w:rPr>
                    <m:t>p</m:t>
                  </m:r>
                </m:e>
                <m:sub>
                  <m:r>
                    <w:rPr>
                      <w:rFonts w:ascii="Cambria Math" w:hAnsi="Cambria Math"/>
                    </w:rPr>
                    <m:t>c</m:t>
                  </m:r>
                </m:sub>
              </m:sSub>
            </m:den>
          </m:f>
          <m:r>
            <w:rPr>
              <w:rFonts w:ascii="Cambria Math" w:hAnsi="Cambria Math"/>
            </w:rPr>
            <m:t>=OR×</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 xml:space="preserve">1- </m:t>
              </m:r>
              <m:sSub>
                <m:sSubPr>
                  <m:ctrlPr>
                    <w:rPr>
                      <w:rFonts w:ascii="Cambria Math" w:hAnsi="Cambria Math"/>
                      <w:i/>
                    </w:rPr>
                  </m:ctrlPr>
                </m:sSubPr>
                <m:e>
                  <m:r>
                    <w:rPr>
                      <w:rFonts w:ascii="Cambria Math" w:hAnsi="Cambria Math"/>
                    </w:rPr>
                    <m:t>p</m:t>
                  </m:r>
                </m:e>
                <m:sub>
                  <m:r>
                    <w:rPr>
                      <w:rFonts w:ascii="Cambria Math" w:hAnsi="Cambria Math"/>
                    </w:rPr>
                    <m:t>n</m:t>
                  </m:r>
                </m:sub>
              </m:sSub>
            </m:den>
          </m:f>
        </m:oMath>
      </m:oMathPara>
    </w:p>
    <w:p w14:paraId="3C63F19B" w14:textId="77777777" w:rsidR="00B32738" w:rsidRPr="00B32738" w:rsidRDefault="00B32738" w:rsidP="00B32738">
      <w:pPr>
        <w:rPr>
          <w:rFonts w:eastAsiaTheme="minorEastAsia"/>
        </w:rPr>
      </w:pPr>
      <w:r w:rsidRPr="00B32738">
        <w:rPr>
          <w:rFonts w:eastAsiaTheme="minorEastAsia"/>
        </w:rPr>
        <w:t>Solving for p</w:t>
      </w:r>
      <w:r w:rsidRPr="00B32738">
        <w:rPr>
          <w:rFonts w:eastAsiaTheme="minorEastAsia"/>
          <w:vertAlign w:val="subscript"/>
        </w:rPr>
        <w:t>c</w:t>
      </w:r>
      <w:r w:rsidRPr="00B32738">
        <w:rPr>
          <w:rFonts w:eastAsiaTheme="minorEastAsia"/>
        </w:rPr>
        <w:t xml:space="preserve"> gives:</w:t>
      </w:r>
    </w:p>
    <w:p w14:paraId="6138AA4A" w14:textId="2336B7F7" w:rsidR="00B32738" w:rsidRPr="00686574" w:rsidRDefault="00603480" w:rsidP="00B32738">
      <w:pPr>
        <w:pStyle w:val="ListParagraph"/>
        <w:ind w:left="72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×OR</m:t>
              </m:r>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OR-1</m:t>
                  </m:r>
                </m:e>
              </m:d>
              <m:r>
                <w:rPr>
                  <w:rFonts w:ascii="Cambria Math" w:eastAsiaTheme="minorEastAsia" w:hAnsi="Cambria Math"/>
                </w:rPr>
                <m:t>+1</m:t>
              </m:r>
            </m:den>
          </m:f>
        </m:oMath>
      </m:oMathPara>
    </w:p>
    <w:p w14:paraId="55E9B0B3" w14:textId="19AC31B4" w:rsidR="00B32738" w:rsidRPr="00B32738" w:rsidRDefault="00B32738" w:rsidP="00B32738">
      <w:pPr>
        <w:rPr>
          <w:rFonts w:eastAsiaTheme="minorEastAsia"/>
        </w:rPr>
      </w:pPr>
      <w:r w:rsidRPr="00B32738">
        <w:rPr>
          <w:rFonts w:eastAsiaTheme="minorEastAsia"/>
        </w:rPr>
        <w:t>This formula is used to calculate the rate of progression in the presence of</w:t>
      </w:r>
      <w:r w:rsidR="001E385F">
        <w:rPr>
          <w:rFonts w:eastAsiaTheme="minorEastAsia"/>
        </w:rPr>
        <w:t xml:space="preserve"> diabetes</w:t>
      </w:r>
      <w:r w:rsidRPr="00B32738">
        <w:rPr>
          <w:rFonts w:eastAsiaTheme="minorEastAsia"/>
        </w:rPr>
        <w:t xml:space="preserve">. It has the advantages of producing a similar modification in </w:t>
      </w:r>
      <w:r w:rsidRPr="00F672D1">
        <w:rPr>
          <w:rFonts w:ascii="Cambria Math" w:eastAsiaTheme="minorEastAsia" w:hAnsi="Cambria Math"/>
          <w:i/>
        </w:rPr>
        <w:t>p</w:t>
      </w:r>
      <w:r w:rsidRPr="00F672D1">
        <w:rPr>
          <w:rFonts w:ascii="Cambria Math" w:eastAsiaTheme="minorEastAsia" w:hAnsi="Cambria Math"/>
          <w:i/>
          <w:vertAlign w:val="subscript"/>
        </w:rPr>
        <w:t>c</w:t>
      </w:r>
      <w:r w:rsidRPr="00B32738">
        <w:rPr>
          <w:rFonts w:eastAsiaTheme="minorEastAsia"/>
        </w:rPr>
        <w:t xml:space="preserve"> to that achieved with a relative risk calculation if OR is relatively small, but having a ceiling value at one for large ORs. As this is a proportion that is used to determine the rates of flows from early latency, the rate of progression from early latency to active disease and to late latency are:</w:t>
      </w:r>
    </w:p>
    <w:p w14:paraId="012C9860" w14:textId="36E3B937" w:rsidR="00B32738" w:rsidRPr="00686574" w:rsidRDefault="00686574" w:rsidP="00B32738">
      <w:pPr>
        <w:pStyle w:val="ListParagraph"/>
        <w:ind w:left="720"/>
        <w:rPr>
          <w:rFonts w:eastAsiaTheme="minorEastAsia"/>
          <w:i/>
        </w:rPr>
      </w:pPr>
      <m:oMathPara>
        <m:oMath>
          <m:r>
            <w:rPr>
              <w:rFonts w:ascii="Cambria Math" w:eastAsiaTheme="minorEastAsia" w:hAnsi="Cambria Math"/>
            </w:rPr>
            <m:t>early latency to active disease progression rate=</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c</m:t>
                  </m:r>
                </m:sub>
              </m:sSub>
            </m:num>
            <m:den>
              <m:r>
                <w:rPr>
                  <w:rFonts w:ascii="Cambria Math" w:eastAsiaTheme="minorEastAsia" w:hAnsi="Cambria Math"/>
                </w:rPr>
                <m:t>duration early latency</m:t>
              </m:r>
            </m:den>
          </m:f>
        </m:oMath>
      </m:oMathPara>
    </w:p>
    <w:p w14:paraId="26DE4A15" w14:textId="2B1A158C" w:rsidR="00B32738" w:rsidRPr="00686574" w:rsidRDefault="00686574" w:rsidP="00B32738">
      <w:pPr>
        <w:pStyle w:val="ListParagraph"/>
        <w:ind w:left="720"/>
        <w:rPr>
          <w:rFonts w:eastAsiaTheme="minorEastAsia"/>
          <w:i/>
        </w:rPr>
      </w:pPr>
      <m:oMathPara>
        <m:oMath>
          <m:r>
            <w:rPr>
              <w:rFonts w:ascii="Cambria Math" w:eastAsiaTheme="minorEastAsia" w:hAnsi="Cambria Math"/>
            </w:rPr>
            <m:t>early to late latency progression rate=</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1 - p</m:t>
                  </m:r>
                </m:e>
                <m:sub>
                  <m:r>
                    <w:rPr>
                      <w:rFonts w:ascii="Cambria Math" w:eastAsiaTheme="minorEastAsia" w:hAnsi="Cambria Math"/>
                    </w:rPr>
                    <m:t>c</m:t>
                  </m:r>
                </m:sub>
              </m:sSub>
            </m:num>
            <m:den>
              <m:r>
                <w:rPr>
                  <w:rFonts w:ascii="Cambria Math" w:eastAsiaTheme="minorEastAsia" w:hAnsi="Cambria Math"/>
                </w:rPr>
                <m:t>duration early latency</m:t>
              </m:r>
            </m:den>
          </m:f>
        </m:oMath>
      </m:oMathPara>
    </w:p>
    <w:p w14:paraId="589ADAA7" w14:textId="01F3D2CE" w:rsidR="003A2E59" w:rsidRDefault="001E385F" w:rsidP="00667A62">
      <w:pPr>
        <w:spacing w:before="120"/>
      </w:pPr>
      <w:r>
        <w:t>Se</w:t>
      </w:r>
      <w:r w:rsidR="00667A62">
        <w:t>veral epidemiological studies have found a greater rate of incident TB in patients with diabetes across a range of contexts.</w:t>
      </w:r>
      <w:r w:rsidR="00667A62">
        <w:fldChar w:fldCharType="begin" w:fldLock="1"/>
      </w:r>
      <w:r w:rsidR="00583138">
        <w:instrText>ADDIN CSL_CITATION { "citationItems" : [ { "id" : "ITEM-1", "itemData" : { "ISSN" : "0090-0036", "PMID" : "9146434", "abstract" : "OBJECTIVES This research studied the relative contribution of diabetes mellitus to the increased prevalence of tuberculosis in Hispanics. METHODS A case-control study was conducted involving all 5290 discharges from civilian hospitals in California during 1991 who had a diagnosis of tuberculosis, and 37,366 control subjects who had a primary discharge diagnosis of deep venous thrombosis, pulmonary embolism, or acute appendicitis. Risk of tuberculosis was estimated as the odds ratio (OR) across race/ethnicity, with adjustment for other factors. RESULTS Diabetes mellitus was found to be an independent risk factor for tuberculosis. The association of diabetes and tuberculosis was higher among Hispanics (adjusted OR [ORadj] = 2.95: 95% confidence interval [CI] = 2.61, 3.33) than among non-Hispanic Whites (ORadj = 1.31: 95% CI = 1.19. 1.45): among non-Hispanic Blacks, diabetes was not found to be associated with tuberculosis (ORadj = 0.93: 95% CI = 0.78, 1.09). Among Hispanics aged 25 to 54, the estimated risk of tuberculosis attributable to diabetes (25.2%) was equivalent to that attributable to HIV infection (25.5%). CONCLUSIONS Diabetes mellitus remains a significant risk factor for tuberculosis in the United States. The association is especially notable in middle-aged Hispanics.", "author" : [ { "dropping-particle" : "", "family" : "Pablos-M\u00e9ndez", "given" : "A", "non-dropping-particle" : "", "parse-names" : false, "suffix" : "" }, { "dropping-particle" : "", "family" : "Blustein", "given" : "J", "non-dropping-particle" : "", "parse-names" : false, "suffix" : "" }, { "dropping-particle" : "", "family" : "Knirsch", "given" : "C A", "non-dropping-particle" : "", "parse-names" : false, "suffix" : "" } ], "container-title" : "American journal of public health", "id" : "ITEM-1", "issue" : "4", "issued" : { "date-parts" : [ [ "1997", "4" ] ] }, "page" : "574-9", "publisher" : "American Public Health Association", "title" : "The role of diabetes mellitus in the higher prevalence of tuberculosis among Hispanics.", "type" : "article-journal", "volume" : "87" }, "uris" : [ "http://www.mendeley.com/documents/?uuid=b97fee91-6952-456a-a5ef-c67d93f6f8c4" ] }, { "id" : "ITEM-2", "itemData" : { "ISSN" : "1027-3719", "PMID" : "16776459", "abstract" : "SETTING Diabetes mellitus is a known risk factor for tuberculosis (TB), but no studies have been reported from South-East Asia, which has a high burden of TB and a rapidly growing prevalence of diabetes. OBJECTIVE To examine if and to what extent diabetes is associated with an increased risk of TB in an urban setting in Indonesia. DESIGN Case-control study comparing the prevalence of diabetes mellitus (fasting blood glucose level &gt;126 mg/dl) among newly diagnosed pulmonary TB patients and matched neighbourhood controls. RESULTS Patients and control subjects had a similar age (median 30 years) and sex distribution (52% male), but malnutrition was more common among TB patients (median body mass index 17.7 vs. 21.5 kg/m2). HIV infection was uncommon (1.5% of patients). Diabetes mellitus was present in 60 of 454 TB patients (13.2%) and 18 of 556 (3.2%) control subjects (OR 4.7; 95%CI 2.7-8.1). Adjustment for possible confounding factors did not reduce the risk estimates. Following anti-tuberculosis treatment, hyperglycaemia reverted in a minority (3.7%) of TB patients. CONCLUSION Diabetes mellitus is strongly associated with TB in young and non-obese subjects in an urban setting in Indonesia. This may have implications for TB control and patient care in this region.", "author" : [ { "dropping-particle" : "", "family" : "Alisjahbana", "given" : "B", "non-dropping-particle" : "", "parse-names" : false, "suffix" : "" }, { "dropping-particle" : "", "family" : "Crevel", "given" : "R", "non-dropping-particle" : "van", "parse-names" : false, "suffix" : "" }, { "dropping-particle" : "", "family" : "Sahiratmadja", "given" : "E", "non-dropping-particle" : "", "parse-names" : false, "suffix" : "" }, { "dropping-particle" : "", "family" : "Heijer", "given" : "M", "non-dropping-particle" : "den", "parse-names" : false, "suffix" : "" }, { "dropping-particle" : "", "family" : "Maya", "given" : "A", "non-dropping-particle" : "", "parse-names" : false, "suffix" : "" }, { "dropping-particle" : "", "family" : "Istriana", "given" : "E", "non-dropping-particle" : "", "parse-names" : false, "suffix" : "" }, { "dropping-particle" : "", "family" : "Danusantoso", "given" : "H", "non-dropping-particle" : "", "parse-names" : false, "suffix" : "" }, { "dropping-particle" : "", "family" : "Ottenhoff", "given" : "T H M", "non-dropping-particle" : "", "parse-names" : false, "suffix" : "" }, { "dropping-particle" : "", "family" : "Nelwan", "given" : "R H H", "non-dropping-particle" : "", "parse-names" : false, "suffix" : "" }, { "dropping-particle" : "", "family" : "Meer", "given" : "J W M", "non-dropping-particle" : "van der", "parse-names" : false, "suffix" : "" } ], "container-title" : "The international journal of tuberculosis and lung disease : the official journal of the International Union against Tuberculosis and Lung Disease", "id" : "ITEM-2", "issue" : "6", "issued" : { "date-parts" : [ [ "2006", "6" ] ] }, "page" : "696-700", "title" : "Diabetes mellitus is strongly associated with tuberculosis in Indonesia.", "type" : "article-journal", "volume" : "10" }, "uris" : [ "http://www.mendeley.com/documents/?uuid=eda0df03-013e-4856-bb21-667f66dbd5bb" ] } ], "mendeley" : { "formattedCitation" : "&lt;sup&gt;21,22&lt;/sup&gt;", "plainTextFormattedCitation" : "21,22", "previouslyFormattedCitation" : "&lt;sup&gt;21,22&lt;/sup&gt;" }, "properties" : { "noteIndex" : 0 }, "schema" : "https://github.com/citation-style-language/schema/raw/master/csl-citation.json" }</w:instrText>
      </w:r>
      <w:r w:rsidR="00667A62">
        <w:fldChar w:fldCharType="separate"/>
      </w:r>
      <w:r w:rsidR="00D3165B" w:rsidRPr="00D3165B">
        <w:rPr>
          <w:noProof/>
          <w:vertAlign w:val="superscript"/>
        </w:rPr>
        <w:t>21,22</w:t>
      </w:r>
      <w:r w:rsidR="00667A62">
        <w:fldChar w:fldCharType="end"/>
      </w:r>
      <w:r w:rsidR="00667A62">
        <w:t xml:space="preserve"> Observations from such individual studies include a generally similar or greater rate of bacteriologically-confirmed disease than for all forms</w:t>
      </w:r>
      <w:r w:rsidR="00667A62">
        <w:fldChar w:fldCharType="begin" w:fldLock="1"/>
      </w:r>
      <w:r w:rsidR="00583138">
        <w:instrText>ADDIN CSL_CITATION { "citationItems" : [ { "id" : "ITEM-1", "itemData" : { "ISSN" : "0962-8479", "PMID" : "8593374", "abstract" : "SETTING Longitudinal epidemiological study based on diabetic and non-diabetic civil servants in Korea. OBJECTIVE To determine a comparative incidence of pulmonary tuberculosis (PTB) between diabetic and non-diabetic subjects. DESIGN Investigation of newly developed PTB among diabetics and non-diabetics between 1988 and 1990, on the basis of biennial medical examination and the medical records of those who claimed health insurance for tuberculosis. RESULTS The 1990 medical examination and investigation of medical records of the health insurance claimants revealed that PTB had developed in 170 patients (including 37 smear and eight culture positives) among 8015 diabetics, and in 4935 patients (including 538 smear and 342 culture positives) among 806,698 control subjects. Estimated annual incidence rates of PTB of (1) all types, (2) smear and/or culture positive versus (3) smear positive cases were 1061, 281 and 231 per 10(5) respectively among diabetics and 306, 55 and 33 per 10(5) among non-diabetic controls. PTB developed in 167 of 7695 male diabetics and in 3 of 320 female diabetics. The greater the age, the more diabetics were found. CONCLUSION Relative risks (RR) of developing PTB of all types and bacteriologically confirmed cases were 3.47 times and 5.15 times higher in the diabetics than in the matched controls. A greater RR was observed on those at the age of 30-49 than in those of 50 years or more.", "author" : [ { "dropping-particle" : "", "family" : "Kim", "given" : "S J", "non-dropping-particle" : "", "parse-names" : false, "suffix" : "" }, { "dropping-particle" : "", "family" : "Hong", "given" : "Y P", "non-dropping-particle" : "", "parse-names" : false, "suffix" : "" }, { "dropping-particle" : "", "family" : "Lew", "given" : "W J", "non-dropping-particle" : "", "parse-names" : false, "suffix" : "" }, { "dropping-particle" : "", "family" : "Yang", "given" : "S C", "non-dropping-particle" : "", "parse-names" : false, "suffix" : "" }, { "dropping-particle" : "", "family" : "Lee", "given" : "E G", "non-dropping-particle" : "", "parse-names" : false, "suffix" : "" } ], "container-title" : "Tubercle and lung disease : the official journal of the International Union against Tuberculosis and Lung Disease", "id" : "ITEM-1", "issue" : "6", "issued" : { "date-parts" : [ [ "1995", "12" ] ] }, "page" : "529-33", "title" : "Incidence of pulmonary tuberculosis among diabetics.", "type" : "article-journal", "volume" : "76" }, "uris" : [ "http://www.mendeley.com/documents/?uuid=65fde00d-1bac-410b-a92f-949d5713de47" ] } ], "mendeley" : { "formattedCitation" : "&lt;sup&gt;23&lt;/sup&gt;", "plainTextFormattedCitation" : "23", "previouslyFormattedCitation" : "&lt;sup&gt;23&lt;/sup&gt;" }, "properties" : { "noteIndex" : 0 }, "schema" : "https://github.com/citation-style-language/schema/raw/master/csl-citation.json" }</w:instrText>
      </w:r>
      <w:r w:rsidR="00667A62">
        <w:fldChar w:fldCharType="separate"/>
      </w:r>
      <w:r w:rsidR="00D3165B" w:rsidRPr="00D3165B">
        <w:rPr>
          <w:noProof/>
          <w:vertAlign w:val="superscript"/>
        </w:rPr>
        <w:t>23</w:t>
      </w:r>
      <w:r w:rsidR="00667A62">
        <w:fldChar w:fldCharType="end"/>
      </w:r>
      <w:r w:rsidR="00667A62">
        <w:t xml:space="preserve"> and similar increases in risk associated with recent and reactivation disease.</w:t>
      </w:r>
      <w:r w:rsidR="00667A62">
        <w:fldChar w:fldCharType="begin" w:fldLock="1"/>
      </w:r>
      <w:r w:rsidR="00583138">
        <w:instrText>ADDIN CSL_CITATION { "citationItems" : [ { "id" : "ITEM-1", "itemData" : { "ISSN" : "0149-5992", "PMID" : "15220232", "abstract" : "OBJECTIVE To determine the impact of diabetes on the rates of tuberculosis in a region where both diseases are prevalent. RESEARCH DESIGN AND METHODS Data from a population-based cohort of patients with pulmonary tuberculosis undergoing clinical and mycobacteriologic evaluation (isolation, identification, drug-susceptibility testing, and IS6110-based genotyping and spoligotyping) were linked to the 2000 National Health Survey (ENSA2000), a national probabilistic, polystage, stratified, cluster household survey of the civilian, noninstitutionalized population of Mexico. RESULTS From March 1995 to March 2003, 581 patients with Mycobacterium tuberculosis culture and fingerprint were diagnosed, 29.6% of whom had been diagnosed previously with diabetes by a physician. According to the ENSA2000, the estimated prevalence of diabetes in the study area was 5.3% (95% CI 4.1-6.5). The estimated rates of tuberculosis for the study area were greater for patients with diabetes than for nondiabetic individuals (209.5 vs. 30.7 per 100000 person-years, P &lt; 0.0001). CONCLUSIONS In this setting, the rate of tuberculosis was increased 6.8-fold (95% CI 5.7-8.2, P &lt; 0.0001) in patients with diabetes due to increases in both reactivated and recently transmitted infection. Comorbidity with diabetes may increase tuberculosis rates as much as coinfection with human immunodeficiency virus (HIV), with important implications for the allocation of health care resources.", "author" : [ { "dropping-particle" : "", "family" : "Ponce-De-Leon", "given" : "Alfredo", "non-dropping-particle" : "", "parse-names" : false, "suffix" : "" }, { "dropping-particle" : "", "family" : "Garcia-Garcia Md", "given" : "Ma de Lourdes", "non-dropping-particle" : "", "parse-names" : false, "suffix" : "" }, { "dropping-particle" : "", "family" : "Garcia-Sancho", "given" : "Ma Cecilia", "non-dropping-particle" : "", "parse-names" : false, "suffix" : "" }, { "dropping-particle" : "", "family" : "Gomez-Perez", "given" : "Francisco J", "non-dropping-particle" : "", "parse-names" : false, "suffix" : "" }, { "dropping-particle" : "", "family" : "Valdespino-Gomez", "given" : "Jose Luis", "non-dropping-particle" : "", "parse-names" : false, "suffix" : "" }, { "dropping-particle" : "", "family" : "Olaiz-Fernandez", "given" : "Gustavo", "non-dropping-particle" : "", "parse-names" : false, "suffix" : "" }, { "dropping-particle" : "", "family" : "Rojas", "given" : "Rosalba", "non-dropping-particle" : "", "parse-names" : false, "suffix" : "" }, { "dropping-particle" : "", "family" : "Ferreyra-Reyes", "given" : "Leticia", "non-dropping-particle" : "", "parse-names" : false, "suffix" : "" }, { "dropping-particle" : "", "family" : "Cano-Arellano", "given" : "Bulmaro", "non-dropping-particle" : "", "parse-names" : false, "suffix" : "" }, { "dropping-particle" : "", "family" : "Bobadilla", "given" : "Miriam", "non-dropping-particle" : "", "parse-names" : false, "suffix" : "" }, { "dropping-particle" : "", "family" : "Small", "given" : "Peter M", "non-dropping-particle" : "", "parse-names" : false, "suffix" : "" }, { "dropping-particle" : "", "family" : "Sifuentes-Osornio", "given" : "Jose", "non-dropping-particle" : "", "parse-names" : false, "suffix" : "" } ], "container-title" : "Diabetes care", "id" : "ITEM-1", "issue" : "7", "issued" : { "date-parts" : [ [ "2004", "7" ] ] }, "page" : "1584-90", "title" : "Tuberculosis and diabetes in southern Mexico.", "type" : "article-journal", "volume" : "27" }, "uris" : [ "http://www.mendeley.com/documents/?uuid=52ecc02c-dbbd-4ea7-a1df-7efa47b3dd78" ] } ], "mendeley" : { "formattedCitation" : "&lt;sup&gt;24&lt;/sup&gt;", "plainTextFormattedCitation" : "24", "previouslyFormattedCitation" : "&lt;sup&gt;24&lt;/sup&gt;" }, "properties" : { "noteIndex" : 0 }, "schema" : "https://github.com/citation-style-language/schema/raw/master/csl-citation.json" }</w:instrText>
      </w:r>
      <w:r w:rsidR="00667A62">
        <w:fldChar w:fldCharType="separate"/>
      </w:r>
      <w:r w:rsidR="00D3165B" w:rsidRPr="00D3165B">
        <w:rPr>
          <w:noProof/>
          <w:vertAlign w:val="superscript"/>
        </w:rPr>
        <w:t>24</w:t>
      </w:r>
      <w:r w:rsidR="00667A62">
        <w:fldChar w:fldCharType="end"/>
      </w:r>
      <w:r w:rsidR="00667A62">
        <w:t xml:space="preserve"> One study reported a slightly lower strength of association, but recruited controls with medical conditions that are potentially weakly associated with </w:t>
      </w:r>
      <w:r w:rsidR="008027F5">
        <w:t>TB</w:t>
      </w:r>
      <w:r w:rsidR="00667A62">
        <w:t>.</w:t>
      </w:r>
      <w:r w:rsidR="00667A62">
        <w:fldChar w:fldCharType="begin" w:fldLock="1"/>
      </w:r>
      <w:r w:rsidR="00583138">
        <w:instrText>ADDIN CSL_CITATION { "citationItems" : [ { "id" : "ITEM-1", "itemData" : { "ISSN" : "0002-9637", "PMID" : "16606993", "abstract" : "The association between tuberculosis and underlying risk factors was evaluated in Texas patients hospitalized in the 15 counties along the Mexico border within the remaining non-border counties. A case control analysis of the hospital discharge dataset from the Texas Health Care Information Council was performed for the years 1999-2001. A discharge diagnosis of tuberculosis identified cases (N = 4,915). Deep venous thrombosis, pulmonary embolism, and acute appendicitis conditions identified controls (N = 70,808). Risk factors associated with tuberculosis were identified by logistic regression. Diabetes patients were almost twice as likely to have tuberculosis after adjusting by sex, age, and race/ethnicity. The association was strong for the population in the Texas border region, where there are higher incidence rates of tuberculosis (odds ratio [OR](adj) = 1.82; 95% CI = 1.57-2.12) compared with non-border counties (OR(adj) = 1.51; 95% CI = 1.36-1.67).", "author" : [ { "dropping-particle" : "", "family" : "P\u00e9rez", "given" : "Adriana", "non-dropping-particle" : "", "parse-names" : false, "suffix" : "" }, { "dropping-particle" : "", "family" : "Brown", "given" : "H Shelton", "non-dropping-particle" : "", "parse-names" : false, "suffix" : "" }, { "dropping-particle" : "", "family" : "Restrepo", "given" : "Blanca I", "non-dropping-particle" : "", "parse-names" : false, "suffix" : "" }, { "dropping-particle" : "", "family" : "RESTREPO", "given" : "BLANCA I.", "non-dropping-particle" : "", "parse-names" : false, "suffix" : "" } ], "container-title" : "The American journal of tropical medicine and hygiene", "id" : "ITEM-1", "issue" : "4", "issued" : { "date-parts" : [ [ "2006", "4" ] ] }, "page" : "604-11", "publisher" : "NIH Public Access", "title" : "Association between tuberculosis and diabetes in the Mexican border and non-border regions of Texas.", "type" : "article-journal", "volume" : "74" }, "uris" : [ "http://www.mendeley.com/documents/?uuid=b002e601-540a-4530-961b-66fbb5aef62b" ] } ], "mendeley" : { "formattedCitation" : "&lt;sup&gt;25&lt;/sup&gt;", "plainTextFormattedCitation" : "25", "previouslyFormattedCitation" : "&lt;sup&gt;25&lt;/sup&gt;" }, "properties" : { "noteIndex" : 0 }, "schema" : "https://github.com/citation-style-language/schema/raw/master/csl-citation.json" }</w:instrText>
      </w:r>
      <w:r w:rsidR="00667A62">
        <w:fldChar w:fldCharType="separate"/>
      </w:r>
      <w:r w:rsidR="00D3165B" w:rsidRPr="00D3165B">
        <w:rPr>
          <w:noProof/>
          <w:vertAlign w:val="superscript"/>
        </w:rPr>
        <w:t>25</w:t>
      </w:r>
      <w:r w:rsidR="00667A62">
        <w:fldChar w:fldCharType="end"/>
      </w:r>
      <w:r w:rsidR="00667A62">
        <w:t xml:space="preserve"> A limitation of several of these studies is that TB itself is known to be associated with transient impairment to glucose metabolism,</w:t>
      </w:r>
      <w:r w:rsidR="00667A62">
        <w:fldChar w:fldCharType="begin" w:fldLock="1"/>
      </w:r>
      <w:r w:rsidR="00583138">
        <w:instrText>ADDIN CSL_CITATION { "citationItems" : [ { "id" : "ITEM-1", "itemData" : { "ISSN" : "0041-3879", "PMID" : "2219464", "abstract" : "We performed a sequential follow-up of oral glucose tolerance tests on 54 Nigerian patients with active pulmonary tuberculosis in order to determine the significance of glucose intolerance in tuberculosis. Twenty-three patients (42.6%) were found to have abnormal results, including three (5.6%) with a diabetic pattern and 20 (37.0%) with impaired glucose tolerance; 15 (75%) of the latter group had normal results after 3 months treatment while one each of the former group was diabetic, intolerant of glucose and normal respectively. Two patients with normal results initially had impaired glucose tolerance at the second test. Three months after full anti-tuberculosis medication, only one of the eight patients with impaired glucose tolerance at the second oral glucose tolerance test remained intolerant of glucose. Only one patient was frankly diabetic. Our results suggest that glucose intolerance in pulmonary tuberculosis is secondary to infection and is reversible.", "author" : [ { "dropping-particle" : "", "family" : "Oluboyo", "given" : "P O", "non-dropping-particle" : "", "parse-names" : false, "suffix" : "" }, { "dropping-particle" : "", "family" : "Erasmus", "given" : "R T", "non-dropping-particle" : "", "parse-names" : false, "suffix" : "" } ], "container-title" : "Tubercle", "id" : "ITEM-1", "issue" : "2", "issued" : { "date-parts" : [ [ "1990", "6" ] ] }, "page" : "135-8", "title" : "The significance of glucose intolerance in pulmonary tuberculosis.", "type" : "article-journal", "volume" : "71" }, "uris" : [ "http://www.mendeley.com/documents/?uuid=25f02c99-10dc-47ae-9eb7-1f98cc222d24" ] }, { "id" : "ITEM-2", "itemData" : { "ISSN" : "1122-0643", "PMID" : "10546470", "abstract" : "The aim of this study, carried out in a specialized centre for chest diseases in Turkey, was to determine the prevalence of glucose intolerance in tuberculosis (TB) and pneumonia so as to assess the specificity of the association of TB with diabetes mellitus. The study group comprised 58 active pulmonary TB patients without any history of diabetes mellitus and the matched control group consisted of 23 community-acquired pneumonia patients. An oral glucose tolerance test (OGTT) was performed at the time of diagnosis and 3 months after the treatment was started in both groups. Glucose intolerance was found in six (10.4%) patients and diabetes mellitus in five (8.6%) patients in the TB group. In the control group, four (17.4%) patients were found to be diabetic and none of them were glucose intolerant. There was no significant difference between the two groups (p &gt; 0.05). There was a higher prevalence of abnormal OGTT results among elderly patients in both groups. OGTT results returned to normal in both the TB and pneumonia groups after treatment. The results suggest that glucose intolerance occurs in the setting of infection and is reversible following adequate antimicrobial treatment.", "author" : [ { "dropping-particle" : "", "family" : "Ba\u015fo\u011flu", "given" : "O K", "non-dropping-particle" : "", "parse-names" : false, "suffix" : "" }, { "dropping-particle" : "", "family" : "Bacako\u011flu", "given" : "F", "non-dropping-particle" : "", "parse-names" : false, "suffix" : "" }, { "dropping-particle" : "", "family" : "Cok", "given" : "G", "non-dropping-particle" : "", "parse-names" : false, "suffix" : "" }, { "dropping-particle" : "", "family" : "Sayiner", "given" : "A", "non-dropping-particle" : "", "parse-names" : false, "suffix" : "" }, { "dropping-particle" : "", "family" : "Ate\u015f", "given" : "M", "non-dropping-particle" : "", "parse-names" : false, "suffix" : "" } ], "container-title" : "Monaldi archives for chest disease = Archivio Monaldi per le malattie del torace", "id" : "ITEM-2", "issue" : "4", "issued" : { "date-parts" : [ [ "1999", "8" ] ] }, "page" : "307-10", "title" : "The oral glucose tolerance test in patients with respiratory infections.", "type" : "article-journal", "volume" : "54" }, "uris" : [ "http://www.mendeley.com/documents/?uuid=a0daa51b-42f3-4f14-9c28-4fd427e73cef" ] } ], "mendeley" : { "formattedCitation" : "&lt;sup&gt;26,27&lt;/sup&gt;", "plainTextFormattedCitation" : "26,27", "previouslyFormattedCitation" : "&lt;sup&gt;26,27&lt;/sup&gt;" }, "properties" : { "noteIndex" : 0 }, "schema" : "https://github.com/citation-style-language/schema/raw/master/csl-citation.json" }</w:instrText>
      </w:r>
      <w:r w:rsidR="00667A62">
        <w:fldChar w:fldCharType="separate"/>
      </w:r>
      <w:r w:rsidR="00D3165B" w:rsidRPr="00D3165B">
        <w:rPr>
          <w:noProof/>
          <w:vertAlign w:val="superscript"/>
        </w:rPr>
        <w:t>26,27</w:t>
      </w:r>
      <w:r w:rsidR="00667A62">
        <w:fldChar w:fldCharType="end"/>
      </w:r>
      <w:r w:rsidR="00667A62">
        <w:t xml:space="preserve"> although the above studies varied as to whether they considered previously diagnosed diabetes or performed glucose metabolism testing at the time of diagnosis. Several of the abovementioned studies were included in a meta-analysis of the association of diabetes on TB published by Jeon </w:t>
      </w:r>
      <w:r w:rsidR="00667A62" w:rsidRPr="009C2598">
        <w:rPr>
          <w:i/>
        </w:rPr>
        <w:t>et al.</w:t>
      </w:r>
      <w:r w:rsidR="00667A62">
        <w:t xml:space="preserve"> in 2008.</w:t>
      </w:r>
      <w:r w:rsidR="00667A62">
        <w:fldChar w:fldCharType="begin" w:fldLock="1"/>
      </w:r>
      <w:r w:rsidR="00583138">
        <w:instrText>ADDIN CSL_CITATION { "citationItems" : [ { "id" : "ITEM-1", "itemData" : { "DOI" : "10.1371/journal.pmed.0050152", "ISBN" : "1549-1676 (Electronic)\r1549-1277 (Linking)", "PMID" : "18630984", "abstract" : "BACKGROUND: Several studies have suggested that diabetes mellitus (DM) increases the risk of active tuberculosis (TB). The rising prevalence of DM in TB-endemic areas may adversely affect TB control. We conducted a systematic review and a meta-analysis of observational studies assessing the association of DM and TB in order to summarize the existing evidence and to assess methodological quality of the studies. METHODS AND FINDINGS: We searched the PubMed and EMBASE databases to identify observational studies that had reported an age-adjusted quantitative estimate of the association between DM and active TB disease. The search yielded 13 observational studies (n = 1,786,212 participants) with 17,698 TB cases. Random effects meta-analysis of cohort studies showed that DM was associated with an increased risk of TB (relative risk = 3.11, 95% CI 2.27-4.26). Case-control studies were heterogeneous and odds ratios ranged from 1.16 to 7.83. Subgroup analyses showed that effect estimates were higher in non-North American studies. CONCLUSION: DM was associated with an increased risk of TB regardless of study design and population. People with DM may be important targets for interventions such as active case finding and treatment of latent TB and efforts to diagnose, detect, and treat DM may have a beneficial impact on TB control.", "author" : [ { "dropping-particle" : "", "family" : "Jeon", "given" : "C Y", "non-dropping-particle" : "", "parse-names" : false, "suffix" : "" }, { "dropping-particle" : "", "family" : "Murray", "given" : "M B", "non-dropping-particle" : "", "parse-names" : false, "suffix" : "" } ], "container-title" : "PLoS Med", "id" : "ITEM-1", "issue" : "7", "issued" : { "date-parts" : [ [ "2008" ] ] }, "note" : "Jeon, Christie Y\nMurray, Megan B\neng\nMeta-Analysis\nResearch Support, Non-U.S. Gov't\nReview\n2008/07/18 09:00\nPLoS Med. 2008 Jul 15;5(7):e152. doi: 10.1371/journal.pmed.0050152.", "page" : "e152", "title" : "Diabetes mellitus increases the risk of active tuberculosis: a systematic review of 13 observational studies", "type" : "article-journal", "volume" : "5" }, "uris" : [ "http://www.mendeley.com/documents/?uuid=3924b185-3074-4c37-a4f1-d1d2839c81bf" ] } ], "mendeley" : { "formattedCitation" : "&lt;sup&gt;28&lt;/sup&gt;", "plainTextFormattedCitation" : "28", "previouslyFormattedCitation" : "&lt;sup&gt;28&lt;/sup&gt;" }, "properties" : { "noteIndex" : 0 }, "schema" : "https://github.com/citation-style-language/schema/raw/master/csl-citation.json" }</w:instrText>
      </w:r>
      <w:r w:rsidR="00667A62">
        <w:fldChar w:fldCharType="separate"/>
      </w:r>
      <w:r w:rsidR="00D3165B" w:rsidRPr="00D3165B">
        <w:rPr>
          <w:noProof/>
          <w:vertAlign w:val="superscript"/>
        </w:rPr>
        <w:t>28</w:t>
      </w:r>
      <w:r w:rsidR="00667A62">
        <w:fldChar w:fldCharType="end"/>
      </w:r>
      <w:r w:rsidR="00667A62">
        <w:t xml:space="preserve"> This study found a relative risk for diabetes of 3.11 (95% CI 2.27 to 4.26) from a random effects meta-analysis of three cohort studies. </w:t>
      </w:r>
      <w:r w:rsidR="003A2E59">
        <w:t xml:space="preserve">To apply the modification in the rates of </w:t>
      </w:r>
      <w:r w:rsidR="003A2E59">
        <w:lastRenderedPageBreak/>
        <w:t xml:space="preserve">progression to active disease due to diabetes, we adopt the approach outlined above, estimating </w:t>
      </w:r>
      <w:r w:rsidR="00F05FF8">
        <w:t xml:space="preserve">both </w:t>
      </w:r>
      <w:r w:rsidR="003A2E59">
        <w:t>the odds ratio for early progression and the relative risk for late progression at 3.11.</w:t>
      </w:r>
    </w:p>
    <w:p w14:paraId="1BC73AA6" w14:textId="4A44B087" w:rsidR="00BC5232" w:rsidRDefault="00BC5232" w:rsidP="00BC5232">
      <w:pPr>
        <w:pStyle w:val="Heading1"/>
        <w:numPr>
          <w:ilvl w:val="0"/>
          <w:numId w:val="9"/>
        </w:numPr>
      </w:pPr>
      <w:r>
        <w:t>Prison and Roma population</w:t>
      </w:r>
      <w:r w:rsidR="001A4F66">
        <w:t>s</w:t>
      </w:r>
    </w:p>
    <w:p w14:paraId="016284C8" w14:textId="5CF4F710" w:rsidR="00350771" w:rsidRDefault="008C43A4" w:rsidP="00861169">
      <w:r>
        <w:t xml:space="preserve">The prison population and Roma communities are two groups that are known to have higher rates of TB disease than the general population in Bulgaria and are considered key groups for control. </w:t>
      </w:r>
      <w:r w:rsidR="00DB4F8C" w:rsidRPr="00DB4F8C">
        <w:t>It is esti</w:t>
      </w:r>
      <w:r w:rsidR="00583138">
        <w:t>mated that there are around 700,</w:t>
      </w:r>
      <w:r w:rsidR="00DB4F8C" w:rsidRPr="00DB4F8C">
        <w:t>000 Roma people, accounting for 10% of the total population. The Roma community is characterised by their high poverty rate (84% versus 7.6% in the general population) and high unemployment rate (80% versus 10% in the general population).</w:t>
      </w:r>
      <w:r w:rsidR="00DB4F8C">
        <w:t xml:space="preserve"> </w:t>
      </w:r>
      <w:r w:rsidR="00DB4F8C" w:rsidRPr="00DB4F8C">
        <w:t xml:space="preserve">TB </w:t>
      </w:r>
      <w:r w:rsidR="00350771">
        <w:t xml:space="preserve">burden </w:t>
      </w:r>
      <w:r w:rsidR="00DB4F8C" w:rsidRPr="00DB4F8C">
        <w:t>among Roma people varies among regions; however nationwide it is estimated that they account for around 30% of all reported TB cases in the country.</w:t>
      </w:r>
      <w:r w:rsidR="00DB4F8C">
        <w:t xml:space="preserve"> </w:t>
      </w:r>
      <w:r w:rsidR="00DB4F8C" w:rsidRPr="00DB4F8C">
        <w:t>About 50% of MDR-TB patients are Roma people.</w:t>
      </w:r>
      <w:r w:rsidR="00350771">
        <w:t xml:space="preserve"> Low treatment adherence</w:t>
      </w:r>
      <w:r w:rsidR="00DB4F8C" w:rsidRPr="00DB4F8C">
        <w:t xml:space="preserve">, </w:t>
      </w:r>
      <w:r w:rsidR="00350771">
        <w:t>poor treatment outcomes</w:t>
      </w:r>
      <w:r w:rsidR="00DB4F8C">
        <w:t>,</w:t>
      </w:r>
      <w:r w:rsidR="00350771">
        <w:t xml:space="preserve"> </w:t>
      </w:r>
      <w:r w:rsidR="00DB4F8C" w:rsidRPr="00DB4F8C">
        <w:t xml:space="preserve">the size of the population (up to 10% of the </w:t>
      </w:r>
      <w:r w:rsidR="00350771">
        <w:t xml:space="preserve">total </w:t>
      </w:r>
      <w:r w:rsidR="00DB4F8C" w:rsidRPr="00DB4F8C">
        <w:t>population),</w:t>
      </w:r>
      <w:r w:rsidR="00350771">
        <w:t xml:space="preserve"> </w:t>
      </w:r>
      <w:r w:rsidR="00DB4F8C" w:rsidRPr="00DB4F8C">
        <w:t xml:space="preserve">and possibly low detection rate of TB cases, </w:t>
      </w:r>
      <w:r w:rsidR="00350771">
        <w:t xml:space="preserve">make </w:t>
      </w:r>
      <w:r w:rsidR="00DB4F8C" w:rsidRPr="00DB4F8C">
        <w:t>Roma people a high priority group</w:t>
      </w:r>
      <w:r w:rsidR="00350771">
        <w:t xml:space="preserve"> for TB control</w:t>
      </w:r>
      <w:r w:rsidR="00DB4F8C" w:rsidRPr="00DB4F8C">
        <w:t xml:space="preserve">. Stigma towards TB is one of the biggest barriers to communication and conversation in the community, and for seeking </w:t>
      </w:r>
      <w:r w:rsidR="00583138">
        <w:t>health services by Roma people.</w:t>
      </w:r>
      <w:r w:rsidR="00583138">
        <w:fldChar w:fldCharType="begin" w:fldLock="1"/>
      </w:r>
      <w:r w:rsidR="00583138">
        <w:instrText>ADDIN CSL_CITATION { "citationItems" : [ { "id" : "ITEM-1", "itemData" : { "author" : [ { "dropping-particle" : "", "family" : "Council of Ministers, Republic of Bulgaria", "given" : "", "non-dropping-particle" : "", "parse-names" : false, "suffix" : "" } ], "id" : "ITEM-1", "issued" : { "date-parts" : [ [ "2016" ] ] }, "title" : "National Programme for prevention and control of tuberculosis in the republic of Bulgaria for the period 2016-2020", "type" : "report" }, "uris" : [ "http://www.mendeley.com/documents/?uuid=9aa2ba24-dcca-4d49-a0dd-e87312604858" ] } ], "mendeley" : { "formattedCitation" : "&lt;sup&gt;29&lt;/sup&gt;", "plainTextFormattedCitation" : "29" }, "properties" : { "noteIndex" : 0 }, "schema" : "https://github.com/citation-style-language/schema/raw/master/csl-citation.json" }</w:instrText>
      </w:r>
      <w:r w:rsidR="00583138">
        <w:fldChar w:fldCharType="separate"/>
      </w:r>
      <w:r w:rsidR="00583138" w:rsidRPr="00583138">
        <w:rPr>
          <w:noProof/>
          <w:vertAlign w:val="superscript"/>
        </w:rPr>
        <w:t>29</w:t>
      </w:r>
      <w:r w:rsidR="00583138">
        <w:fldChar w:fldCharType="end"/>
      </w:r>
    </w:p>
    <w:p w14:paraId="12BAF464" w14:textId="6EDC5C59" w:rsidR="00350771" w:rsidRDefault="00350771" w:rsidP="00861169">
      <w:r w:rsidRPr="00350771">
        <w:t>The prison p</w:t>
      </w:r>
      <w:r w:rsidR="00583138">
        <w:t>opulation is currently around 7,</w:t>
      </w:r>
      <w:r w:rsidRPr="00350771">
        <w:t>921 people or 1% of the population. This group is thought to have an appr</w:t>
      </w:r>
      <w:r w:rsidR="00583138">
        <w:t xml:space="preserve">oximately thirteenfold (300 per 100,000 per </w:t>
      </w:r>
      <w:r w:rsidRPr="00350771">
        <w:t>year) greater burden of TB than the general population</w:t>
      </w:r>
      <w:r>
        <w:t xml:space="preserve">, and </w:t>
      </w:r>
      <w:r w:rsidRPr="00350771">
        <w:t>account</w:t>
      </w:r>
      <w:r>
        <w:t xml:space="preserve">s </w:t>
      </w:r>
      <w:r w:rsidRPr="00350771">
        <w:t>for 1.5% of all TB cases reported</w:t>
      </w:r>
      <w:r>
        <w:t xml:space="preserve"> in Bulgaria</w:t>
      </w:r>
      <w:r w:rsidRPr="00350771">
        <w:t>.</w:t>
      </w:r>
    </w:p>
    <w:p w14:paraId="3AD0583B" w14:textId="0F13096D" w:rsidR="00F672D1" w:rsidRDefault="008C43A4" w:rsidP="00861169">
      <w:r>
        <w:t xml:space="preserve">We simulate higher rates of disease in these two groups by increasing their contribution to the force of infection </w:t>
      </w:r>
      <w:r w:rsidR="00645C1E">
        <w:t xml:space="preserve">(multiplier parameters presented in Table S1) </w:t>
      </w:r>
      <w:r>
        <w:t>and introducing heterogeneous mixing. This is intended to reflect living conditions that increase the effective contact rates among these groups and we consider this approach more likely to reflect reality than alternative options, such as increasing progression rates or susceptibility to disease.</w:t>
      </w:r>
      <w:r w:rsidR="00645C1E">
        <w:t xml:space="preserve"> As this increased contribution to the force of infection would not result in increased disease rates in these sub-populations alone, a mixing matrix is required to allow for assortative mixing between these groups (Figure S2</w:t>
      </w:r>
      <w:r w:rsidR="00734D3F">
        <w:t>2</w:t>
      </w:r>
      <w:r w:rsidR="00645C1E">
        <w:t xml:space="preserve">). The parameters to the mixing matrix were developed </w:t>
      </w:r>
      <w:r w:rsidR="00D22D52">
        <w:t>on advice from local experts</w:t>
      </w:r>
      <w:r w:rsidR="00645C1E">
        <w:t>, while the multiplier parameters were calibrated to the relative incidence of TB in these groups and for consistency wi</w:t>
      </w:r>
      <w:r w:rsidR="00D22D52">
        <w:t xml:space="preserve">th a previous AuTuMN application (the Philippines). </w:t>
      </w:r>
    </w:p>
    <w:p w14:paraId="49874D23" w14:textId="5D9AD968" w:rsidR="00861169" w:rsidRDefault="00DA5480" w:rsidP="00861169">
      <w:r>
        <w:rPr>
          <w:noProof/>
          <w:lang w:val="en-GB" w:eastAsia="en-GB"/>
        </w:rPr>
        <w:lastRenderedPageBreak/>
        <w:drawing>
          <wp:inline distT="0" distB="0" distL="0" distR="0" wp14:anchorId="68FA15C0" wp14:editId="255618D0">
            <wp:extent cx="5560060" cy="329565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
                      <a:extLst>
                        <a:ext uri="{28A0092B-C50C-407E-A947-70E740481C1C}">
                          <a14:useLocalDpi xmlns:a14="http://schemas.microsoft.com/office/drawing/2010/main" val="0"/>
                        </a:ext>
                      </a:extLst>
                    </a:blip>
                    <a:srcRect l="2992" t="13059" b="10359"/>
                    <a:stretch/>
                  </pic:blipFill>
                  <pic:spPr bwMode="auto">
                    <a:xfrm>
                      <a:off x="0" y="0"/>
                      <a:ext cx="5560060"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7FDF3CC2" w14:textId="2F6B518C" w:rsidR="00687FA3" w:rsidRDefault="005B60FD" w:rsidP="00861169">
      <w:pPr>
        <w:pStyle w:val="Heading4"/>
      </w:pPr>
      <w:r>
        <w:rPr>
          <w:b/>
        </w:rPr>
        <w:t>Figure S22</w:t>
      </w:r>
      <w:r w:rsidR="00861169">
        <w:rPr>
          <w:b/>
        </w:rPr>
        <w:t>. Mixing matrix.</w:t>
      </w:r>
      <w:r w:rsidR="008C5718">
        <w:rPr>
          <w:b/>
        </w:rPr>
        <w:t xml:space="preserve"> </w:t>
      </w:r>
      <w:r w:rsidR="008C5718">
        <w:t>Columns represent the population at risk of infection, while the height of the coloured bars show the proportion of contacts received from each sub-group.</w:t>
      </w:r>
      <w:r w:rsidR="00370BA5">
        <w:t xml:space="preserve"> For example, prisoners receive 80% of their effective contacts from other prisoners.</w:t>
      </w:r>
      <w:r w:rsidR="004D1972">
        <w:t xml:space="preserve"> </w:t>
      </w:r>
      <w:r w:rsidR="004D1972" w:rsidRPr="00051F8F">
        <w:t>“</w:t>
      </w:r>
      <w:r w:rsidR="004D1972">
        <w:t>Rural poor” indicates Roma communities.</w:t>
      </w:r>
    </w:p>
    <w:p w14:paraId="559BD4B2" w14:textId="7CFB6859" w:rsidR="006356B6" w:rsidRDefault="006356B6" w:rsidP="00965D57">
      <w:pPr>
        <w:pStyle w:val="Heading1"/>
        <w:numPr>
          <w:ilvl w:val="0"/>
          <w:numId w:val="9"/>
        </w:numPr>
      </w:pPr>
      <w:r>
        <w:t>Cost-coverage logistic function</w:t>
      </w:r>
    </w:p>
    <w:p w14:paraId="70C533E9" w14:textId="77777777" w:rsidR="006356B6" w:rsidRDefault="006356B6" w:rsidP="006356B6">
      <w:r>
        <w:t>The logistic cost-coverage function takes the following form:</w:t>
      </w:r>
    </w:p>
    <w:p w14:paraId="3839546A" w14:textId="45C3BF64" w:rsidR="00F34A34" w:rsidRDefault="00F34A34" w:rsidP="006356B6">
      <m:oMathPara>
        <m:oMath>
          <m:r>
            <w:rPr>
              <w:rFonts w:ascii="Cambria Math" w:hAnsi="Cambria Math"/>
            </w:rPr>
            <m:t>cov</m:t>
          </m:r>
          <m:d>
            <m:dPr>
              <m:ctrlPr>
                <w:rPr>
                  <w:rFonts w:ascii="Cambria Math" w:hAnsi="Cambria Math"/>
                  <w:i/>
                </w:rPr>
              </m:ctrlPr>
            </m:dPr>
            <m:e>
              <m:r>
                <w:rPr>
                  <w:rFonts w:ascii="Cambria Math" w:hAnsi="Cambria Math"/>
                </w:rPr>
                <m:t>cost</m:t>
              </m:r>
            </m:e>
          </m:d>
          <m:r>
            <w:rPr>
              <w:rFonts w:ascii="Cambria Math" w:hAnsi="Cambria Math"/>
            </w:rPr>
            <m:t xml:space="preserve">=A+ </m:t>
          </m:r>
          <m:f>
            <m:fPr>
              <m:ctrlPr>
                <w:rPr>
                  <w:rFonts w:ascii="Cambria Math" w:hAnsi="Cambria Math"/>
                  <w:i/>
                </w:rPr>
              </m:ctrlPr>
            </m:fPr>
            <m:num>
              <m:r>
                <w:rPr>
                  <w:rFonts w:ascii="Cambria Math" w:hAnsi="Cambria Math"/>
                </w:rPr>
                <m:t>sat-A</m:t>
              </m:r>
            </m:num>
            <m:den>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-B.cost)</m:t>
                          </m:r>
                        </m:sup>
                      </m:sSup>
                    </m:e>
                  </m:d>
                </m:e>
                <m:sup>
                  <m:r>
                    <w:rPr>
                      <w:rFonts w:ascii="Cambria Math" w:hAnsi="Cambria Math"/>
                    </w:rPr>
                    <m:t>α</m:t>
                  </m:r>
                </m:sup>
              </m:sSup>
            </m:den>
          </m:f>
          <m:r>
            <w:rPr>
              <w:rFonts w:ascii="Cambria Math" w:hAnsi="Cambria Math"/>
            </w:rPr>
            <m:t xml:space="preserve">, (1)  </m:t>
          </m:r>
        </m:oMath>
      </m:oMathPara>
    </w:p>
    <w:p w14:paraId="46FB6182" w14:textId="38ADFB18" w:rsidR="006356B6" w:rsidRDefault="006356B6" w:rsidP="006356B6">
      <w:r>
        <w:t xml:space="preserve">where </w:t>
      </w:r>
      <w:r w:rsidRPr="00F34A34">
        <w:rPr>
          <w:i/>
        </w:rPr>
        <w:t>sat</w:t>
      </w:r>
      <w:r>
        <w:t xml:space="preserve"> represents the saturation coverage associated with the intervention (i.e. the maximum coverage possible); </w:t>
      </w:r>
      <w:r w:rsidRPr="00F34A34">
        <w:rPr>
          <w:i/>
        </w:rPr>
        <w:t>α</w:t>
      </w:r>
      <w:r>
        <w:t xml:space="preserve"> is a parameter affecting the shape of the logistic curve (equal to 1 by default); and </w:t>
      </w:r>
      <w:r w:rsidRPr="00F34A34">
        <w:rPr>
          <w:i/>
        </w:rPr>
        <w:t>A</w:t>
      </w:r>
      <w:r>
        <w:t xml:space="preserve"> and </w:t>
      </w:r>
      <w:r w:rsidRPr="00F34A34">
        <w:rPr>
          <w:i/>
        </w:rPr>
        <w:t>B</w:t>
      </w:r>
      <w:r>
        <w:t xml:space="preserve"> are constants </w:t>
      </w:r>
      <w:r w:rsidR="00F16337">
        <w:rPr>
          <w:rFonts w:eastAsiaTheme="minorEastAsia"/>
        </w:rPr>
        <w:t>that we determine using the conditions described below</w:t>
      </w:r>
      <w:r w:rsidR="00F16337">
        <w:t>.</w:t>
      </w:r>
    </w:p>
    <w:p w14:paraId="151F6898" w14:textId="2C485739" w:rsidR="00F16337" w:rsidRDefault="00F16337" w:rsidP="00F16337">
      <w:pPr>
        <w:spacing w:line="480" w:lineRule="auto"/>
        <w:rPr>
          <w:rFonts w:eastAsiaTheme="minorEastAsia"/>
        </w:rPr>
      </w:pPr>
      <w:r>
        <w:rPr>
          <w:rFonts w:eastAsiaTheme="minorEastAsia"/>
        </w:rPr>
        <w:t>As start-up costs are generally considered separately from this logistic function</w:t>
      </w:r>
      <w:r w:rsidR="00D30B7F">
        <w:rPr>
          <w:rFonts w:eastAsiaTheme="minorEastAsia"/>
        </w:rPr>
        <w:t>,</w:t>
      </w:r>
      <w:r>
        <w:rPr>
          <w:rFonts w:eastAsiaTheme="minorEastAsia"/>
        </w:rPr>
        <w:t xml:space="preserve"> the curve is assumed to pass through the origin, which by continuity of the logistic function implies:</w:t>
      </w:r>
    </w:p>
    <w:p w14:paraId="70FC5653" w14:textId="547DE2BE" w:rsidR="00F16337" w:rsidRDefault="00F16337" w:rsidP="00F16337">
      <w:pPr>
        <w:spacing w:line="480" w:lineRule="auto"/>
        <w:jc w:val="center"/>
        <w:rPr>
          <w:rFonts w:eastAsiaTheme="minorEastAsia"/>
        </w:rPr>
      </w:pPr>
      <m:oMath>
        <m:r>
          <w:rPr>
            <w:rFonts w:ascii="Cambria Math" w:eastAsiaTheme="minorEastAsia" w:hAnsi="Cambria Math"/>
          </w:rPr>
          <m:t>cov</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=0</m:t>
        </m:r>
      </m:oMath>
      <w:r>
        <w:rPr>
          <w:rFonts w:eastAsiaTheme="minorEastAsia"/>
        </w:rPr>
        <w:t xml:space="preserve">. </w:t>
      </w:r>
      <w:r>
        <w:rPr>
          <w:rFonts w:eastAsiaTheme="minorEastAsia"/>
        </w:rPr>
        <w:tab/>
        <w:t>(2)</w:t>
      </w:r>
    </w:p>
    <w:p w14:paraId="1B889674" w14:textId="77777777" w:rsidR="00F16337" w:rsidRDefault="00F16337" w:rsidP="00F16337">
      <w:pPr>
        <w:spacing w:line="480" w:lineRule="auto"/>
        <w:rPr>
          <w:rFonts w:eastAsiaTheme="minorEastAsia"/>
        </w:rPr>
      </w:pPr>
      <w:r>
        <w:rPr>
          <w:rFonts w:eastAsiaTheme="minorEastAsia"/>
        </w:rPr>
        <w:t>By combining equations (1) and (2), we obtain:</w:t>
      </w:r>
    </w:p>
    <w:p w14:paraId="6200B3FC" w14:textId="77777777" w:rsidR="00F16337" w:rsidRDefault="00F16337" w:rsidP="00F16337">
      <w:pPr>
        <w:spacing w:line="480" w:lineRule="auto"/>
        <w:jc w:val="center"/>
        <w:rPr>
          <w:rFonts w:eastAsiaTheme="minorEastAsia"/>
        </w:rPr>
      </w:pPr>
      <m:oMath>
        <m:r>
          <w:rPr>
            <w:rFonts w:ascii="Cambria Math" w:eastAsiaTheme="minorEastAsia" w:hAnsi="Cambria Math"/>
          </w:rPr>
          <m:t xml:space="preserve">A= </m:t>
        </m:r>
        <m:f>
          <m:fPr>
            <m:ctrlPr>
              <w:rPr>
                <w:rFonts w:ascii="Cambria Math" w:eastAsiaTheme="minorEastAsia" w:hAnsi="Cambria Math"/>
                <w:i/>
              </w:rPr>
            </m:ctrlPr>
          </m:fPr>
          <m:num>
            <m:r>
              <w:rPr>
                <w:rFonts w:ascii="Cambria Math" w:eastAsiaTheme="minorEastAsia" w:hAnsi="Cambria Math"/>
              </w:rPr>
              <m:t>sat</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α</m:t>
                </m:r>
              </m:sup>
            </m:sSup>
          </m:den>
        </m:f>
      </m:oMath>
      <w:r>
        <w:rPr>
          <w:rFonts w:eastAsiaTheme="minorEastAsia"/>
        </w:rPr>
        <w:t xml:space="preserve"> .</w:t>
      </w:r>
      <w:r>
        <w:rPr>
          <w:rFonts w:eastAsiaTheme="minorEastAsia"/>
        </w:rPr>
        <w:tab/>
        <w:t>(3)</w:t>
      </w:r>
    </w:p>
    <w:p w14:paraId="5005AE33" w14:textId="77777777" w:rsidR="00F16337" w:rsidRDefault="00F16337" w:rsidP="00F16337">
      <w:pPr>
        <w:spacing w:line="480" w:lineRule="auto"/>
      </w:pPr>
      <w:r>
        <w:rPr>
          <w:rFonts w:eastAsiaTheme="minorEastAsia"/>
        </w:rPr>
        <w:lastRenderedPageBreak/>
        <w:t xml:space="preserve">From the assumption of </w:t>
      </w:r>
      <w:r w:rsidRPr="00D73C08">
        <w:t xml:space="preserve">maximal efficiency </w:t>
      </w:r>
      <w:r>
        <w:rPr>
          <w:rFonts w:eastAsiaTheme="minorEastAsia"/>
        </w:rPr>
        <w:t>as soon as spending becomes positive (i.e. from the origin)</w:t>
      </w:r>
      <w:r>
        <w:t>, we obtain:</w:t>
      </w:r>
    </w:p>
    <w:p w14:paraId="04F8CAB3" w14:textId="34CDC150" w:rsidR="00F16337" w:rsidRPr="0076162C" w:rsidRDefault="00603480" w:rsidP="00F16337">
      <w:pPr>
        <w:spacing w:line="480" w:lineRule="auto"/>
        <w:jc w:val="center"/>
      </w:pPr>
      <m:oMath>
        <m:f>
          <m:fPr>
            <m:ctrlPr>
              <w:rPr>
                <w:rFonts w:ascii="Cambria Math" w:eastAsiaTheme="minorEastAsia" w:hAnsi="Cambria Math"/>
                <w:i/>
              </w:rPr>
            </m:ctrlPr>
          </m:fPr>
          <m:num>
            <m:r>
              <w:rPr>
                <w:rFonts w:ascii="Cambria Math" w:hAnsi="Cambria Math"/>
              </w:rPr>
              <m:t>d cov</m:t>
            </m:r>
          </m:num>
          <m:den>
            <m:r>
              <w:rPr>
                <w:rFonts w:ascii="Cambria Math" w:hAnsi="Cambria Math"/>
              </w:rPr>
              <m:t>d cost</m:t>
            </m:r>
          </m:den>
        </m:f>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u.p</m:t>
            </m:r>
          </m:den>
        </m:f>
      </m:oMath>
      <w:r w:rsidR="00F16337">
        <w:rPr>
          <w:rFonts w:eastAsiaTheme="minorEastAsia"/>
        </w:rPr>
        <w:t xml:space="preserve"> ,</w:t>
      </w:r>
      <w:r w:rsidR="00F16337">
        <w:rPr>
          <w:rFonts w:eastAsiaTheme="minorEastAsia"/>
        </w:rPr>
        <w:tab/>
        <w:t>(4)</w:t>
      </w:r>
    </w:p>
    <w:p w14:paraId="5784E548" w14:textId="77777777" w:rsidR="00F16337" w:rsidRDefault="00F16337" w:rsidP="00F16337">
      <w:pPr>
        <w:spacing w:line="480" w:lineRule="auto"/>
        <w:rPr>
          <w:rFonts w:eastAsiaTheme="minorEastAsia"/>
        </w:rPr>
      </w:pPr>
      <w:r>
        <w:rPr>
          <w:rFonts w:eastAsiaTheme="minorEastAsia"/>
        </w:rPr>
        <w:t xml:space="preserve">where </w:t>
      </w:r>
      <m:oMath>
        <m:r>
          <w:rPr>
            <w:rFonts w:ascii="Cambria Math" w:eastAsiaTheme="minorEastAsia" w:hAnsi="Cambria Math"/>
          </w:rPr>
          <m:t>u</m:t>
        </m:r>
      </m:oMath>
      <w:r>
        <w:rPr>
          <w:rFonts w:eastAsiaTheme="minorEastAsia"/>
        </w:rPr>
        <w:t xml:space="preserve"> denotes the unit cost and </w:t>
      </w:r>
      <m:oMath>
        <m:r>
          <w:rPr>
            <w:rFonts w:ascii="Cambria Math" w:eastAsiaTheme="minorEastAsia" w:hAnsi="Cambria Math"/>
          </w:rPr>
          <m:t>p</m:t>
        </m:r>
      </m:oMath>
      <w:r>
        <w:rPr>
          <w:rFonts w:eastAsiaTheme="minorEastAsia"/>
        </w:rPr>
        <w:t xml:space="preserve"> the size of the population to which the intervention could potentially apply.</w:t>
      </w:r>
    </w:p>
    <w:p w14:paraId="205CD419" w14:textId="77777777" w:rsidR="00F16337" w:rsidRDefault="00F16337" w:rsidP="00F16337">
      <w:pPr>
        <w:spacing w:line="480" w:lineRule="auto"/>
        <w:rPr>
          <w:rFonts w:eastAsiaTheme="minorEastAsia"/>
        </w:rPr>
      </w:pPr>
      <w:r>
        <w:rPr>
          <w:rFonts w:eastAsiaTheme="minorEastAsia"/>
        </w:rPr>
        <w:t>Deriving equation (1) and using equation (4), we finally obtain:</w:t>
      </w:r>
    </w:p>
    <w:p w14:paraId="24418DDD" w14:textId="462FBD76" w:rsidR="00F16337" w:rsidRDefault="00F16337" w:rsidP="00F16337">
      <w:pPr>
        <w:spacing w:line="480" w:lineRule="auto"/>
        <w:jc w:val="center"/>
        <w:rPr>
          <w:rFonts w:eastAsiaTheme="minorEastAsia"/>
        </w:rPr>
      </w:pPr>
      <m:oMath>
        <m:r>
          <w:rPr>
            <w:rFonts w:ascii="Cambria Math" w:eastAsiaTheme="minorEastAsia" w:hAnsi="Cambria Math"/>
          </w:rPr>
          <m:t xml:space="preserve">B=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α+1</m:t>
                </m:r>
              </m:sup>
            </m:sSup>
          </m:num>
          <m:den>
            <m:r>
              <w:rPr>
                <w:rFonts w:ascii="Cambria Math" w:eastAsiaTheme="minorEastAsia" w:hAnsi="Cambria Math"/>
              </w:rPr>
              <m:t>u.p.α.(sat-A)</m:t>
            </m:r>
          </m:den>
        </m:f>
        <m:r>
          <w:rPr>
            <w:rFonts w:ascii="Cambria Math" w:eastAsiaTheme="minorEastAsia" w:hAnsi="Cambria Math"/>
          </w:rPr>
          <m:t>.      (5)</m:t>
        </m:r>
      </m:oMath>
      <w:r>
        <w:rPr>
          <w:rFonts w:eastAsiaTheme="minorEastAsia"/>
        </w:rPr>
        <w:t xml:space="preserve"> .</w:t>
      </w:r>
    </w:p>
    <w:p w14:paraId="01EC1568" w14:textId="77777777" w:rsidR="00F16337" w:rsidRPr="00497941" w:rsidRDefault="00F16337" w:rsidP="00F16337">
      <w:pPr>
        <w:spacing w:line="480" w:lineRule="auto"/>
        <w:rPr>
          <w:rFonts w:eastAsiaTheme="minorEastAsia"/>
        </w:rPr>
      </w:pPr>
      <w:r>
        <w:rPr>
          <w:rFonts w:eastAsiaTheme="minorEastAsia"/>
        </w:rPr>
        <w:t>This approach allows cost-coverage curves to be rapidly calculated during model runs from economic input parameters and model properties (i.e. sizes of the target populations).</w:t>
      </w:r>
    </w:p>
    <w:p w14:paraId="7C36E254" w14:textId="7BBE7BAF" w:rsidR="00965D57" w:rsidRDefault="00965D57" w:rsidP="00965D57">
      <w:pPr>
        <w:pStyle w:val="Heading1"/>
        <w:numPr>
          <w:ilvl w:val="0"/>
          <w:numId w:val="9"/>
        </w:numPr>
      </w:pPr>
      <w:r>
        <w:t xml:space="preserve">Illustration of </w:t>
      </w:r>
      <w:r w:rsidR="00F8535F">
        <w:t>underlying</w:t>
      </w:r>
      <w:r>
        <w:t xml:space="preserve"> model </w:t>
      </w:r>
      <w:r w:rsidR="00F8535F">
        <w:t>dynamics</w:t>
      </w:r>
    </w:p>
    <w:p w14:paraId="7D382AF3" w14:textId="1E8315CD" w:rsidR="00013B67" w:rsidRDefault="00965D57" w:rsidP="00965D57">
      <w:r>
        <w:t>In this section, we present illustrations of some of the demographic and epidemiological processes under</w:t>
      </w:r>
      <w:r w:rsidR="00F8535F">
        <w:t>pinning</w:t>
      </w:r>
      <w:r>
        <w:t xml:space="preserve"> the</w:t>
      </w:r>
      <w:r w:rsidR="00306991">
        <w:t xml:space="preserve"> baseline simulation. Figure S23</w:t>
      </w:r>
      <w:r>
        <w:t xml:space="preserve"> indicates the number of individuals in each age group and over time during model integration, illustrating the </w:t>
      </w:r>
      <w:r w:rsidR="00051F8F">
        <w:t xml:space="preserve">observed </w:t>
      </w:r>
      <w:r>
        <w:t xml:space="preserve">contraction </w:t>
      </w:r>
      <w:r w:rsidR="00051F8F">
        <w:t>in</w:t>
      </w:r>
      <w:r>
        <w:t xml:space="preserve"> the total population si</w:t>
      </w:r>
      <w:r w:rsidR="00306991">
        <w:t>ze over recent years. Figure S24</w:t>
      </w:r>
      <w:r>
        <w:t xml:space="preserve"> illustrates the proportion of the population by each of the four risk categories (including no additional risk or the “general population”)</w:t>
      </w:r>
      <w:r w:rsidR="00440C30">
        <w:t xml:space="preserve"> over time</w:t>
      </w:r>
      <w:r>
        <w:t>.</w:t>
      </w:r>
    </w:p>
    <w:p w14:paraId="69CE7503" w14:textId="77777777" w:rsidR="00440C30" w:rsidRDefault="00440C30" w:rsidP="00965D57"/>
    <w:p w14:paraId="367FD3DD" w14:textId="0116CA9F" w:rsidR="00965D57" w:rsidRDefault="00DA5480" w:rsidP="00965D57">
      <w:pPr>
        <w:spacing w:after="200" w:line="276" w:lineRule="auto"/>
        <w:jc w:val="left"/>
      </w:pPr>
      <w:r>
        <w:rPr>
          <w:noProof/>
          <w:lang w:val="en-GB" w:eastAsia="en-GB"/>
        </w:rPr>
        <w:lastRenderedPageBreak/>
        <w:drawing>
          <wp:inline distT="0" distB="0" distL="0" distR="0" wp14:anchorId="04E61EF2" wp14:editId="06C941EC">
            <wp:extent cx="5731510" cy="3362325"/>
            <wp:effectExtent l="0" t="0" r="254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0">
                      <a:extLst>
                        <a:ext uri="{28A0092B-C50C-407E-A947-70E740481C1C}">
                          <a14:useLocalDpi xmlns:a14="http://schemas.microsoft.com/office/drawing/2010/main" val="0"/>
                        </a:ext>
                      </a:extLst>
                    </a:blip>
                    <a:srcRect t="13059" b="8810"/>
                    <a:stretch/>
                  </pic:blipFill>
                  <pic:spPr bwMode="auto">
                    <a:xfrm>
                      <a:off x="0" y="0"/>
                      <a:ext cx="573151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60EF9588" w14:textId="5DE5A522" w:rsidR="00965D57" w:rsidRPr="00E97F59" w:rsidRDefault="00965D57" w:rsidP="00965D57">
      <w:pPr>
        <w:pStyle w:val="Heading4"/>
      </w:pPr>
      <w:r>
        <w:rPr>
          <w:b/>
        </w:rPr>
        <w:t>Figure S2</w:t>
      </w:r>
      <w:r w:rsidR="005B60FD">
        <w:rPr>
          <w:b/>
        </w:rPr>
        <w:t>3</w:t>
      </w:r>
      <w:r>
        <w:rPr>
          <w:b/>
        </w:rPr>
        <w:t>. Population sizes by age group and time under baseline scenario.</w:t>
      </w:r>
      <w:r>
        <w:t xml:space="preserve"> Legend indicates age of age group in years.</w:t>
      </w:r>
    </w:p>
    <w:p w14:paraId="78DFA312" w14:textId="77777777" w:rsidR="00965D57" w:rsidRDefault="00965D57" w:rsidP="00965D57"/>
    <w:p w14:paraId="6D321BBA" w14:textId="6498EC94" w:rsidR="00013B67" w:rsidRPr="00013B67" w:rsidRDefault="00DA5480" w:rsidP="00013B67">
      <w:r>
        <w:rPr>
          <w:noProof/>
          <w:lang w:val="en-GB" w:eastAsia="en-GB"/>
        </w:rPr>
        <w:drawing>
          <wp:inline distT="0" distB="0" distL="0" distR="0" wp14:anchorId="59220277" wp14:editId="77C12ADE">
            <wp:extent cx="5731510" cy="3381375"/>
            <wp:effectExtent l="0" t="0" r="254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1">
                      <a:extLst>
                        <a:ext uri="{28A0092B-C50C-407E-A947-70E740481C1C}">
                          <a14:useLocalDpi xmlns:a14="http://schemas.microsoft.com/office/drawing/2010/main" val="0"/>
                        </a:ext>
                      </a:extLst>
                    </a:blip>
                    <a:srcRect t="13503" b="7924"/>
                    <a:stretch/>
                  </pic:blipFill>
                  <pic:spPr bwMode="auto">
                    <a:xfrm>
                      <a:off x="0" y="0"/>
                      <a:ext cx="5731510" cy="3381375"/>
                    </a:xfrm>
                    <a:prstGeom prst="rect">
                      <a:avLst/>
                    </a:prstGeom>
                    <a:noFill/>
                    <a:ln>
                      <a:noFill/>
                    </a:ln>
                    <a:extLst>
                      <a:ext uri="{53640926-AAD7-44D8-BBD7-CCE9431645EC}">
                        <a14:shadowObscured xmlns:a14="http://schemas.microsoft.com/office/drawing/2010/main"/>
                      </a:ext>
                    </a:extLst>
                  </pic:spPr>
                </pic:pic>
              </a:graphicData>
            </a:graphic>
          </wp:inline>
        </w:drawing>
      </w:r>
    </w:p>
    <w:p w14:paraId="2DECDC8E" w14:textId="7C118489" w:rsidR="00A72DC2" w:rsidRPr="00051F8F" w:rsidRDefault="00A72DC2" w:rsidP="00A72DC2">
      <w:pPr>
        <w:pStyle w:val="Heading4"/>
      </w:pPr>
      <w:r>
        <w:rPr>
          <w:b/>
        </w:rPr>
        <w:t>Figure S2</w:t>
      </w:r>
      <w:r w:rsidR="005B60FD">
        <w:rPr>
          <w:b/>
        </w:rPr>
        <w:t>4</w:t>
      </w:r>
      <w:r>
        <w:rPr>
          <w:b/>
        </w:rPr>
        <w:t>. Population sizes by risk group and time under baseline scenario.</w:t>
      </w:r>
      <w:r w:rsidR="00051F8F">
        <w:rPr>
          <w:b/>
        </w:rPr>
        <w:t xml:space="preserve"> </w:t>
      </w:r>
      <w:r w:rsidR="00051F8F" w:rsidRPr="00051F8F">
        <w:t>“</w:t>
      </w:r>
      <w:r w:rsidR="00051F8F">
        <w:t>Rural poor” indicates Roma communities.</w:t>
      </w:r>
    </w:p>
    <w:p w14:paraId="186FCE0E" w14:textId="77777777" w:rsidR="00805C32" w:rsidRDefault="00805C32">
      <w:pPr>
        <w:spacing w:after="200" w:line="276" w:lineRule="auto"/>
        <w:jc w:val="left"/>
      </w:pPr>
      <w:r>
        <w:br w:type="page"/>
      </w:r>
    </w:p>
    <w:p w14:paraId="5C6A8EEE" w14:textId="7C404664" w:rsidR="007C4527" w:rsidRDefault="00DA5480">
      <w:pPr>
        <w:spacing w:after="200" w:line="276" w:lineRule="auto"/>
        <w:jc w:val="left"/>
        <w:rPr>
          <w:rFonts w:eastAsiaTheme="majorEastAsia" w:cstheme="majorBidi"/>
          <w:b/>
          <w:bCs/>
          <w:color w:val="2E74B5" w:themeColor="accent1" w:themeShade="BF"/>
          <w:sz w:val="32"/>
          <w:szCs w:val="28"/>
        </w:rPr>
      </w:pPr>
      <w:r>
        <w:rPr>
          <w:noProof/>
          <w:lang w:val="en-GB" w:eastAsia="en-GB"/>
        </w:rPr>
        <w:lastRenderedPageBreak/>
        <w:drawing>
          <wp:inline distT="0" distB="0" distL="0" distR="0" wp14:anchorId="54FFF617" wp14:editId="60763ADD">
            <wp:extent cx="5731510" cy="3400425"/>
            <wp:effectExtent l="0" t="0" r="254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2">
                      <a:extLst>
                        <a:ext uri="{28A0092B-C50C-407E-A947-70E740481C1C}">
                          <a14:useLocalDpi xmlns:a14="http://schemas.microsoft.com/office/drawing/2010/main" val="0"/>
                        </a:ext>
                      </a:extLst>
                    </a:blip>
                    <a:srcRect t="12395" b="8588"/>
                    <a:stretch/>
                  </pic:blipFill>
                  <pic:spPr bwMode="auto">
                    <a:xfrm>
                      <a:off x="0" y="0"/>
                      <a:ext cx="5731510"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534660F2" w14:textId="2EDBC132" w:rsidR="007C4527" w:rsidRDefault="007C4527" w:rsidP="007C4527">
      <w:pPr>
        <w:pStyle w:val="Heading4"/>
      </w:pPr>
      <w:r>
        <w:rPr>
          <w:b/>
        </w:rPr>
        <w:t>Figure S2</w:t>
      </w:r>
      <w:r w:rsidR="005B60FD">
        <w:rPr>
          <w:b/>
        </w:rPr>
        <w:t>5</w:t>
      </w:r>
      <w:r>
        <w:rPr>
          <w:b/>
        </w:rPr>
        <w:t>. Population sizes by TB compartment and time under baseline scenario.</w:t>
      </w:r>
      <w:r>
        <w:t xml:space="preserve"> </w:t>
      </w:r>
      <w:r w:rsidR="00953936">
        <w:t>O</w:t>
      </w:r>
      <w:r>
        <w:t xml:space="preserve">nly three compartment types are sufficiently large to be </w:t>
      </w:r>
      <w:r w:rsidR="00953936">
        <w:t>visible in this illustration.</w:t>
      </w:r>
    </w:p>
    <w:p w14:paraId="1FFACA9F" w14:textId="68B3355A" w:rsidR="00F23DB6" w:rsidRDefault="00DA5480" w:rsidP="001C2A3E">
      <w:pPr>
        <w:spacing w:after="0" w:line="240" w:lineRule="auto"/>
      </w:pPr>
      <w:r>
        <w:rPr>
          <w:noProof/>
          <w:lang w:val="en-GB" w:eastAsia="en-GB"/>
        </w:rPr>
        <w:drawing>
          <wp:inline distT="0" distB="0" distL="0" distR="0" wp14:anchorId="7762D629" wp14:editId="4762E6FC">
            <wp:extent cx="4924425" cy="37242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3">
                      <a:extLst>
                        <a:ext uri="{28A0092B-C50C-407E-A947-70E740481C1C}">
                          <a14:useLocalDpi xmlns:a14="http://schemas.microsoft.com/office/drawing/2010/main" val="0"/>
                        </a:ext>
                      </a:extLst>
                    </a:blip>
                    <a:srcRect l="6980" t="7968" r="7102" b="5489"/>
                    <a:stretch/>
                  </pic:blipFill>
                  <pic:spPr bwMode="auto">
                    <a:xfrm>
                      <a:off x="0" y="0"/>
                      <a:ext cx="4924425" cy="3724275"/>
                    </a:xfrm>
                    <a:prstGeom prst="rect">
                      <a:avLst/>
                    </a:prstGeom>
                    <a:noFill/>
                    <a:ln>
                      <a:noFill/>
                    </a:ln>
                    <a:extLst>
                      <a:ext uri="{53640926-AAD7-44D8-BBD7-CCE9431645EC}">
                        <a14:shadowObscured xmlns:a14="http://schemas.microsoft.com/office/drawing/2010/main"/>
                      </a:ext>
                    </a:extLst>
                  </pic:spPr>
                </pic:pic>
              </a:graphicData>
            </a:graphic>
          </wp:inline>
        </w:drawing>
      </w:r>
    </w:p>
    <w:p w14:paraId="4AFC999C" w14:textId="1725AE30" w:rsidR="00A43258" w:rsidRPr="003A15A7" w:rsidRDefault="00F23DB6" w:rsidP="00F23DB6">
      <w:pPr>
        <w:pStyle w:val="Heading4"/>
      </w:pPr>
      <w:r>
        <w:rPr>
          <w:b/>
        </w:rPr>
        <w:t>Figure S2</w:t>
      </w:r>
      <w:r w:rsidR="005B60FD">
        <w:rPr>
          <w:b/>
        </w:rPr>
        <w:t>6</w:t>
      </w:r>
      <w:r>
        <w:rPr>
          <w:b/>
        </w:rPr>
        <w:t>. Disease burden (incidence and mortality) by age group.</w:t>
      </w:r>
      <w:r w:rsidR="003A15A7">
        <w:rPr>
          <w:b/>
        </w:rPr>
        <w:t xml:space="preserve"> </w:t>
      </w:r>
      <w:r w:rsidR="003A15A7">
        <w:t>Scenarios and axis values are as indicated in Figure 3 of the main manuscript.</w:t>
      </w:r>
    </w:p>
    <w:p w14:paraId="09347478" w14:textId="3C64C941" w:rsidR="007E5D67" w:rsidRDefault="007E5D67">
      <w:pPr>
        <w:spacing w:after="200" w:line="276" w:lineRule="auto"/>
        <w:jc w:val="left"/>
      </w:pPr>
      <w:r>
        <w:br w:type="page"/>
      </w:r>
    </w:p>
    <w:p w14:paraId="01899C28" w14:textId="27DA1626" w:rsidR="007E5D67" w:rsidRPr="007E5D67" w:rsidRDefault="00DA5480" w:rsidP="007E5D67">
      <w:r>
        <w:rPr>
          <w:noProof/>
          <w:lang w:val="en-GB" w:eastAsia="en-GB"/>
        </w:rPr>
        <w:lastRenderedPageBreak/>
        <w:drawing>
          <wp:inline distT="0" distB="0" distL="0" distR="0" wp14:anchorId="6AAF08AC" wp14:editId="17C2EF5C">
            <wp:extent cx="5731510" cy="4303395"/>
            <wp:effectExtent l="0" t="0" r="254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303395"/>
                    </a:xfrm>
                    <a:prstGeom prst="rect">
                      <a:avLst/>
                    </a:prstGeom>
                    <a:noFill/>
                    <a:ln>
                      <a:noFill/>
                    </a:ln>
                  </pic:spPr>
                </pic:pic>
              </a:graphicData>
            </a:graphic>
          </wp:inline>
        </w:drawing>
      </w:r>
    </w:p>
    <w:p w14:paraId="246F45D0" w14:textId="2F7EC32F" w:rsidR="007E5D67" w:rsidRDefault="007E5D67" w:rsidP="007E5D67">
      <w:pPr>
        <w:pStyle w:val="Heading4"/>
        <w:rPr>
          <w:b/>
        </w:rPr>
      </w:pPr>
      <w:r>
        <w:rPr>
          <w:b/>
        </w:rPr>
        <w:t>Figure S2</w:t>
      </w:r>
      <w:r w:rsidR="005B60FD">
        <w:rPr>
          <w:b/>
        </w:rPr>
        <w:t>7</w:t>
      </w:r>
      <w:r>
        <w:rPr>
          <w:b/>
        </w:rPr>
        <w:t xml:space="preserve">. </w:t>
      </w:r>
      <w:r w:rsidR="00302C40">
        <w:rPr>
          <w:b/>
        </w:rPr>
        <w:t>C</w:t>
      </w:r>
      <w:r>
        <w:rPr>
          <w:b/>
        </w:rPr>
        <w:t>ost-coverage curves</w:t>
      </w:r>
      <w:r w:rsidR="00302C40">
        <w:rPr>
          <w:b/>
        </w:rPr>
        <w:t xml:space="preserve"> for all interventions implemented under the baseline scenario.</w:t>
      </w:r>
    </w:p>
    <w:p w14:paraId="0F209C4E" w14:textId="77777777" w:rsidR="005A1CD3" w:rsidRDefault="005A1CD3" w:rsidP="005A1CD3">
      <w:pPr>
        <w:pStyle w:val="Heading1"/>
        <w:numPr>
          <w:ilvl w:val="0"/>
          <w:numId w:val="9"/>
        </w:numPr>
      </w:pPr>
      <w:r>
        <w:t>Short course regimen for MDR-TB</w:t>
      </w:r>
    </w:p>
    <w:p w14:paraId="7119070B" w14:textId="62FE3EAB" w:rsidR="005A1CD3" w:rsidRDefault="005A1CD3" w:rsidP="005A1CD3">
      <w:pPr>
        <w:pStyle w:val="Heading3"/>
      </w:pPr>
      <w:r>
        <w:t>Background</w:t>
      </w:r>
    </w:p>
    <w:p w14:paraId="68301F5D" w14:textId="1CA879A5" w:rsidR="005A1CD3" w:rsidRDefault="005A1CD3" w:rsidP="005A1CD3">
      <w:r>
        <w:t xml:space="preserve">Rifampicin-resistant and multidrug-resistant TB (MDR-TB) are critical threats to global tuberculosis control. Less than a quarter of all cases </w:t>
      </w:r>
      <w:r w:rsidR="00D30B7F">
        <w:t xml:space="preserve">are </w:t>
      </w:r>
      <w:r>
        <w:t xml:space="preserve">started on effective second-line treatment and treatment success rates are generally only around 50%, such that </w:t>
      </w:r>
      <w:r w:rsidR="001772EB">
        <w:t>around</w:t>
      </w:r>
      <w:r>
        <w:t xml:space="preserve"> 10% of all incident cases worldwide successfully reach treatment completion. We have undertaken previous modelling (using an earlier iteration of the AuTuMN </w:t>
      </w:r>
      <w:r w:rsidR="00355D93">
        <w:t xml:space="preserve">tool) to demonstrate that short </w:t>
      </w:r>
      <w:r>
        <w:t>course MDR-TB regimens have the potential to be highly effective in controlling the MDR-TB epidemic, although this is highly dependent on the programmatic background in which they are implemented.</w:t>
      </w:r>
      <w:r>
        <w:fldChar w:fldCharType="begin" w:fldLock="1"/>
      </w:r>
      <w:r w:rsidR="00583138">
        <w:instrText>ADDIN CSL_CITATION { "citationItems" : [ { "id" : "ITEM-1", "itemData" : { "DOI" : "10.1186/s12916-016-0723-2", "ISSN" : "1741-7015", "PMID" : "27855693", "abstract" : "BACKGROUND Multidrug-resistant tuberculosis (MDR-TB) is a major threat to global TB control. MDR-TB treatment regimens typically have a high pill burden, last 20 months or more and often lead to unsatisfactory outcomes. A 9-11 month regimen with seven antibiotics has shown high success rates among selected MDR-TB patients in different settings and is conditionally recommended by the World Health Organization. METHODS We construct a transmission-dynamic model of TB to estimate the likely impact of a shorter MDR-TB regimen when applied in a low HIV prevalence region of Uzbekistan (Karakalpakstan) with high rates of drug resistance, good access to diagnostics and a well-established community-based MDR-TB treatment programme providing treatment to around 400 patients. The model incorporates acquisition of additional drug resistance and incorrect regimen assignment. It is calibrated to local epidemiology and used to compare the impact of shorter treatment against four alternative programmatic interventions. RESULTS Based on empirical outcomes among MDR-TB patients and assuming no improvement in treatment success rates, the shorter regimen reduced MDR-TB incidence from 15.2 to 9.7 cases per 100,000 population per year and MDR-TB mortality from 3.0 to 1.7 deaths per 100,000 per year, achieving comparable or greater gains than the alternative interventions. No significant increase in the burden of higher levels of resistance was predicted. Effects are probably conservative given that the regimen is likely to improve success rates. CONCLUSIONS In addition to benefits to individual patients, we find that shorter MDR-TB treatment regimens also have the potential to reduce transmission of resistant strains. These findings are in the epidemiological setting of treatment availability being an important bottleneck due to high numbers of patients being eligible for treatment, and may differ in other contexts. The high proportion of MDR-TB with additional antibiotic resistance simulated was not exacerbated by programmatic responses and greater gains may be possible in contexts where the regimen is more widely applicable.", "author" : [ { "dropping-particle" : "", "family" : "Trauer", "given" : "James M", "non-dropping-particle" : "", "parse-names" : false, "suffix" : "" }, { "dropping-particle" : "", "family" : "Achar", "given" : "Jay", "non-dropping-particle" : "", "parse-names" : false, "suffix" : "" }, { "dropping-particle" : "", "family" : "Parpieva", "given" : "Nargiza", "non-dropping-particle" : "", "parse-names" : false, "suffix" : "" }, { "dropping-particle" : "", "family" : "Khamraev", "given" : "Atadjan", "non-dropping-particle" : "", "parse-names" : false, "suffix" : "" }, { "dropping-particle" : "", "family" : "Denholm", "given" : "Justin T", "non-dropping-particle" : "", "parse-names" : false, "suffix" : "" }, { "dropping-particle" : "", "family" : "Falzon", "given" : "Dennis", "non-dropping-particle" : "", "parse-names" : false, "suffix" : "" }, { "dropping-particle" : "", "family" : "Jaramillo", "given" : "Ernesto", "non-dropping-particle" : "", "parse-names" : false, "suffix" : "" }, { "dropping-particle" : "", "family" : "Mesic", "given" : "Anita", "non-dropping-particle" : "", "parse-names" : false, "suffix" : "" }, { "dropping-particle" : "", "family" : "Cros", "given" : "Philipp", "non-dropping-particle" : "du", "parse-names" : false, "suffix" : "" }, { "dropping-particle" : "", "family" : "McBryde", "given" : "Emma S", "non-dropping-particle" : "", "parse-names" : false, "suffix" : "" } ], "container-title" : "BMC medicine", "id" : "ITEM-1", "issue" : "1", "issued" : { "date-parts" : [ [ "2016", "11", "18" ] ] }, "page" : "187", "title" : "Modelling the effect of short-course multidrug-resistant tuberculosis treatment in Karakalpakstan, Uzbekistan.", "type" : "article-journal", "volume" : "14" }, "uris" : [ "http://www.mendeley.com/documents/?uuid=58484b2d-e210-4476-b2b5-4d25d93c4c65" ] } ], "mendeley" : { "formattedCitation" : "&lt;sup&gt;30&lt;/sup&gt;", "plainTextFormattedCitation" : "30", "previouslyFormattedCitation" : "&lt;sup&gt;29&lt;/sup&gt;" }, "properties" : { "noteIndex" : 0 }, "schema" : "https://github.com/citation-style-language/schema/raw/master/csl-citation.json" }</w:instrText>
      </w:r>
      <w:r>
        <w:fldChar w:fldCharType="separate"/>
      </w:r>
      <w:r w:rsidR="00583138" w:rsidRPr="00583138">
        <w:rPr>
          <w:noProof/>
          <w:vertAlign w:val="superscript"/>
        </w:rPr>
        <w:t>30</w:t>
      </w:r>
      <w:r>
        <w:fldChar w:fldCharType="end"/>
      </w:r>
    </w:p>
    <w:p w14:paraId="1930220E" w14:textId="77777777" w:rsidR="005A1CD3" w:rsidRDefault="005A1CD3" w:rsidP="005A1CD3">
      <w:pPr>
        <w:pStyle w:val="Heading3"/>
      </w:pPr>
      <w:r>
        <w:t>Evidence</w:t>
      </w:r>
    </w:p>
    <w:p w14:paraId="669742CF" w14:textId="6393C9D0" w:rsidR="005A1CD3" w:rsidRDefault="00355D93" w:rsidP="005A1CD3">
      <w:r>
        <w:t xml:space="preserve">Short </w:t>
      </w:r>
      <w:r w:rsidR="005A1CD3">
        <w:t xml:space="preserve">course regimens have been proposed and implemented in a number of settings in Africa and Asia and have been associated with relapse-free treatment success rates of around 84 to </w:t>
      </w:r>
      <w:r w:rsidR="005A1CD3">
        <w:lastRenderedPageBreak/>
        <w:t>90% and lower costs than traditional regimens, although only sub-groups of patients are targeted for treatment.</w:t>
      </w:r>
      <w:r w:rsidR="005A1CD3">
        <w:fldChar w:fldCharType="begin" w:fldLock="1"/>
      </w:r>
      <w:r w:rsidR="00583138">
        <w:instrText>ADDIN CSL_CITATION { "citationItems" : [ { "id" : "ITEM-1", "itemData" : { "DOI" : "10.1164/rccm.201001-0077OC", "ISBN" : "1535-4970 (Electronic)\r1073-449X (Linking)", "PMID" : "20442432", "abstract" : "RATIONALE: Based on expert opinion, the global guidelines for management of multidrug-resistant tuberculosis impose lengthy and often poorly tolerated treatments. OBJECTIVES: This observational study evaluates the effectiveness of standardized regimens for patients with proven multidrug-resistant tuberculosis previously untreated with second-line drugs in low-income countries. METHODS: Consenting patients were sequentially assigned to one of six standardized treatment regimens. Subsequent cohorts were treated with regimens adapted according to results in prior cohorts. The study was designed to minimize failure and default while reducing total treatment duration without increasing relapse frequency. MEASUREMENTS AND MAIN RESULTS: We report the treatment outcome of all patients with laboratory-confirmed, multidrug-resistant tuberculosis enrolled from May 1997 to December 2007. The most effective treatment regimen required a minimum of 9 months of treatment with gatifloxacin, clofazimine, ethambutol, and pyrazinamide throughout the treatment period supplemented by prothionamide, kanamycin, and high-dose isoniazid during an intensive phase of a minimum of 4 months, giving a relapse-free cure of 87.9% (95% confidence interval, 82.7-91.6) among 206 patients. Major adverse drug reactions were infrequent and manageable. Compared with the 221 patients treated with regimens based on ofloxacin and commonly prothionamide throughout, the hazard ratio of any adverse outcome was 0.39 (95% confidence interval, 0.26-0.59). CONCLUSIONS: Serial regimen formulation guided by overall treatment effectiveness resulted in treatment outcomes comparable to those obtained with first-line treatment. Confirmatory formal trials in populations with high levels of human immunodeficiency virus coinfection and in populations with a higher initial prevalence of resistance to second-line drugs are required.", "author" : [ { "dropping-particle" : "", "family" : "Deun", "given" : "A", "non-dropping-particle" : "Van", "parse-names" : false, "suffix" : "" }, { "dropping-particle" : "", "family" : "Maug", "given" : "A K", "non-dropping-particle" : "", "parse-names" : false, "suffix" : "" }, { "dropping-particle" : "", "family" : "Salim", "given" : "M A", "non-dropping-particle" : "", "parse-names" : false, "suffix" : "" }, { "dropping-particle" : "", "family" : "Das", "given" : "P K", "non-dropping-particle" : "", "parse-names" : false, "suffix" : "" }, { "dropping-particle" : "", "family" : "Sarker", "given" : "M R", "non-dropping-particle" : "", "parse-names" : false, "suffix" : "" }, { "dropping-particle" : "", "family" : "Daru", "given" : "P", "non-dropping-particle" : "", "parse-names" : false, "suffix" : "" }, { "dropping-particle" : "", "family" : "Rieder", "given" : "H L", "non-dropping-particle" : "", "parse-names" : false, "suffix" : "" } ], "container-title" : "Am J Respir Crit Care Med", "edition" : "2010/05/06", "id" : "ITEM-1", "issue" : "5", "issued" : { "date-parts" : [ [ "2010" ] ] }, "language" : "eng", "note" : "Van Deun, Armand\nMaug, Aung Kya Jai\nSalim, Md Abdul Hamid\nDas, Pankaj Kumar\nSarker, Mihir Ranjan\nDaru, Paul\nRieder, Hans L\nAm J Respir Crit Care Med. 2010 Sep 1;182(5):684-92. doi: 10.1164/rccm.201001-0077OC. Epub 2010 May 4.", "page" : "684-692", "title" : "Short, highly effective, and inexpensive standardized treatment of multidrug-resistant tuberculosis", "type" : "article-journal", "volume" : "182" }, "uris" : [ "http://www.mendeley.com/documents/?uuid=9cad11bb-acce-428c-89e0-7b695e11f154" ] }, { "id" : "ITEM-2", "itemData" : { "DOI" : "10.5588/ijtld.13.0075", "ISBN" : "1815-7920 (Electronic)\r1027-3719 (Linking)", "PMID" : "25216832", "abstract" : "SETTING: Niger National Tuberculosis Programme. Regions supported by the Damien Foundation. OBJECTIVE: To evaluate the effectiveness of a short-course standardised treatment regimen for patients with proven multidrug-resistant tuberculosis (MDR-TB) previously untreated with second-line drugs. METHODS: Prospective study including all patients enrolled from 2008 to 2010. The 12-month standardised regimen comprised high doses of gatifloxacin, clofazimine, ethambutol and pyrazinamide throughout, supplemented by kanamycin, prothionamide and medium-high doses of isoniazid during the intensive phase of a minimum of 4 months. Patients were monitored using sputum smear and culture at start of treatment and every 2 months. Cured patients were followed up 6-monthly for 24 months. RESULTS: Sixty-five patients with MDR-TB were included and analysed. One of 58 patients tested for human immunodeficiency virus (1.7%) infection was positive. Twenty-five patients (39.7%) were severely affected (body mass index 16 kg/m(2)). Cure was achieved in 58 patients (89.2%, 95%CI 81.7-96.7), 6 died and 1 defaulted. All 49 patients assessed at the 24-month follow-up after cure remained smear- and culture-negative. The main adverse events were vomiting (26.2%) and hearing impairment (20%), but no treatment had to be stopped. CONCLUSION: Standardised 12-month treatment for MDR-TB was highly effective and well tolerated in patients not previously exposed to second-line drugs in Niger.", "author" : [ { "dropping-particle" : "", "family" : "Piubello", "given" : "A", "non-dropping-particle" : "", "parse-names" : false, "suffix" : "" }, { "dropping-particle" : "", "family" : "Harouna", "given" : "S H", "non-dropping-particle" : "", "parse-names" : false, "suffix" : "" }, { "dropping-particle" : "", "family" : "Souleymane", "given" : "M B", "non-dropping-particle" : "", "parse-names" : false, "suffix" : "" }, { "dropping-particle" : "", "family" : "Boukary", "given" : "I", "non-dropping-particle" : "", "parse-names" : false, "suffix" : "" }, { "dropping-particle" : "", "family" : "Morou", "given" : "S", "non-dropping-particle" : "", "parse-names" : false, "suffix" : "" }, { "dropping-particle" : "", "family" : "Daouda", "given" : "M", "non-dropping-particle" : "", "parse-names" : false, "suffix" : "" }, { "dropping-particle" : "", "family" : "Hanki", "given" : "Y", "non-dropping-particle" : "", "parse-names" : false, "suffix" : "" }, { "dropping-particle" : "", "family" : "Deun", "given" : "A", "non-dropping-particle" : "Van", "parse-names" : false, "suffix" : "" } ], "container-title" : "Int J Tuberc Lung Dis", "id" : "ITEM-2", "issue" : "10", "issued" : { "date-parts" : [ [ "2014" ] ] }, "note" : "Piubello, A\nHarouna, S Hassane\nSouleymane, M B\nBoukary, I\nMorou, S\nDaouda, M\nHanki, Y\nVan Deun, A\neng\nFrance\n2014/09/14 06:00\nInt J Tuberc Lung Dis. 2014 Oct;18(10):1188-94. doi: 10.5588/ijtld.13.0075.", "page" : "1188-1194", "title" : "High cure rate with standardised short-course multidrug-resistant tuberculosis treatment in Niger: no relapses", "type" : "article-journal", "volume" : "18" }, "uris" : [ "http://www.mendeley.com/documents/?uuid=b8b923e7-2684-44ed-bcc1-3a6bcecd0a5f" ] }, { "id" : "ITEM-3", "itemData" : { "DOI" : "10.5588/ijtld.14.0535", "ISBN" : "1815-7920 (Electronic)\r1027-3719 (Linking)", "PMID" : "25868018", "abstract" : "SETTING: Two specialised multidrug-resistant tuberculosis (MDR-TB) treatment units in Cameroon. OBJECTIVE: To assess outcome and adverse drug events with a standardised 12-month regimen for MDR-TB among second-line drug naive patients. DESIGN: Prospective observational study of MDR-TB patients treated with a standardised 12-month regimen including gatifloxacin, clofazimine, prothionamide, ethambutol and pyrazinamide throughout, supplemented by kanamycin and isoniazid during an intensive phase of a minimum of 4 months. Progress was monitored monthly until treatment completion and twice over one year after treatment cessation. RESULTS: Eighty-seven potentially eligible patients were lost and never treated due to delayed availability of test results. Among the 150/236 eligible and treated patients, 134 (89%) successfully completed treatment, 10 died, 5 were lost, 1 failed and none relapsed. The patients' mean age was 33.7 years (range 17-68), 73 (49%) were females, 120 (80%) had failed on previous treatment, 30 (20%) were human immunodeficiency virus seropositive, 62 (43%) had a body mass index &lt;18.5 kg/m(2) and 41 (27%) had radiographic involvement of five or six of the six lung zones. The most important adverse drug event was hearing impairment, which occurred in 46 of 106 (43%) patients. CONCLUSIONS: These results add further evidence for the usefulness of shorter, standardised regimens among patients without second-line drug resistance.", "author" : [ { "dropping-particle" : "", "family" : "Kuaban", "given" : "C", "non-dropping-particle" : "", "parse-names" : false, "suffix" : "" }, { "dropping-particle" : "", "family" : "Noeske", "given" : "J", "non-dropping-particle" : "", "parse-names" : false, "suffix" : "" }, { "dropping-particle" : "", "family" : "Rieder", "given" : "H L", "non-dropping-particle" : "", "parse-names" : false, "suffix" : "" }, { "dropping-particle" : "", "family" : "Ait-Khaled", "given" : "N", "non-dropping-particle" : "", "parse-names" : false, "suffix" : "" }, { "dropping-particle" : "", "family" : "Abena Foe", "given" : "J L", "non-dropping-particle" : "", "parse-names" : false, "suffix" : "" }, { "dropping-particle" : "", "family" : "Trebucq", "given" : "A", "non-dropping-particle" : "", "parse-names" : false, "suffix" : "" } ], "container-title" : "Int J Tuberc Lung Dis", "id" : "ITEM-3", "issue" : "5", "issued" : { "date-parts" : [ [ "2015" ] ] }, "note" : "Kuaban, C\nNoeske, J\nRieder, H L\nAit-Khaled, N\nAbena Foe, J L\nTrebucq, A\neng\nObservational Study\nResearch Support, Non-U.S. Gov't\nFrance\n2015/04/14 06:00\nInt J Tuberc Lung Dis. 2015 May;19(5):517-24. doi: 10.5588/ijtld.14.0535.", "page" : "517-524", "title" : "High effectiveness of a 12-month regimen for MDR-TB patients in Cameroon", "type" : "article-journal", "volume" : "19" }, "uris" : [ "http://www.mendeley.com/documents/?uuid=b9bda7b2-8b59-40e0-84c2-e2563e3cbced" ] }, { "id" : "ITEM-4", "itemData" : { "DOI" : "10.5588/ijtld.14.0100", "ISBN" : "1815-7920 (Electronic)\r1027-3719 (Linking)", "PMID" : "25216831", "abstract" : "SETTING: Tuberculosis (TB) program, Damien Foundation Projects, Bangladesh. OBJECTIVE: To summarize the outcome and its determinants of the first treatment for multidrug-resistant TB using a standardized regimen consisting of a minimum 9 months. DESIGN: This was a prospective, observational study of a gatifloxacin (GFX) based directly observed regimen, mainly with initial hospitalization. The 4-month intensive phase was extended until sputum smear conversion. Patients were monitored using culture for up to 2 years after treatment completion. RESULTS: Of the 515 patients who met the study inclusion criteria and were successively enrolled from 2005 to 2011, 84.4% had a bacteriologically favorable outcome. Due to extensive disease with delayed sputum conversion, only half of the patients completed treatment within 9 months; however, 95% were able to complete treatment within 12 months. Eleven patients failed or relapsed, and 93.1% of the 435 patients who were successfully treated completed at least 12 months post-treatment follow-up. The strongest risk factor for a bacteriologically unfavorable outcome was high-level fluoroquinolone (FQ) resistance, particularly when compounded by initial pyrazinamide (PZA) resistance. Low-level FQ resistance had no unfavorable effect on treatment outcome. Amplification of drug resistance occurred only once, in a patient strain that was initially only susceptible to kanamycin and clofazimine. CONCLUSION: The excellent outcome of the Bangladesh regimen was largely maintained. Bacteriological treatment failures and relapses were rare, except among patients with high-level GFX resistance, notably in the presence of PZA resistance.", "author" : [ { "dropping-particle" : "", "family" : "Aung", "given" : "K J", "non-dropping-particle" : "", "parse-names" : false, "suffix" : "" }, { "dropping-particle" : "", "family" : "Deun", "given" : "A", "non-dropping-particle" : "Van", "parse-names" : false, "suffix" : "" }, { "dropping-particle" : "", "family" : "Declercq", "given" : "E", "non-dropping-particle" : "", "parse-names" : false, "suffix" : "" }, { "dropping-particle" : "", "family" : "Sarker", "given" : "M R", "non-dropping-particle" : "", "parse-names" : false, "suffix" : "" }, { "dropping-particle" : "", "family" : "Das", "given" : "P K", "non-dropping-particle" : "", "parse-names" : false, "suffix" : "" }, { "dropping-particle" : "", "family" : "Hossain", "given" : "M A", "non-dropping-particle" : "", "parse-names" : false, "suffix" : "" }, { "dropping-particle" : "", "family" : "Rieder", "given" : "H L", "non-dropping-particle" : "", "parse-names" : false, "suffix" : "" } ], "container-title" : "Int J Tuberc Lung Dis", "id" : "ITEM-4", "issue" : "10", "issued" : { "date-parts" : [ [ "2014" ] ] }, "note" : "Aung, K J M\nVan Deun, A\nDeclercq, E\nSarker, M R\nDas, P K\nHossain, M A\nRieder, H L\neng\nObservational Study\nFrance\n2014/09/14 06:00\nInt J Tuberc Lung Dis. 2014 Oct;18(10):1180-7. doi: 10.5588/ijtld.14.0100.", "page" : "1180-1187", "title" : "Successful '9-month Bangladesh regimen' for multidrug-resistant tuberculosis among over 500 consecutive patients", "type" : "article-journal", "volume" : "18" }, "uris" : [ "http://www.mendeley.com/documents/?uuid=d4b4a1a3-db9b-4af8-9735-78d6139da76f" ] } ], "mendeley" : { "formattedCitation" : "&lt;sup&gt;31\u201334&lt;/sup&gt;", "plainTextFormattedCitation" : "31\u201334", "previouslyFormattedCitation" : "&lt;sup&gt;30\u201333&lt;/sup&gt;" }, "properties" : { "noteIndex" : 0 }, "schema" : "https://github.com/citation-style-language/schema/raw/master/csl-citation.json" }</w:instrText>
      </w:r>
      <w:r w:rsidR="005A1CD3">
        <w:fldChar w:fldCharType="separate"/>
      </w:r>
      <w:r w:rsidR="00583138" w:rsidRPr="00583138">
        <w:rPr>
          <w:noProof/>
          <w:vertAlign w:val="superscript"/>
        </w:rPr>
        <w:t>31–34</w:t>
      </w:r>
      <w:r w:rsidR="005A1CD3">
        <w:fldChar w:fldCharType="end"/>
      </w:r>
      <w:r w:rsidR="005A1CD3">
        <w:t xml:space="preserve"> The treatment typically consists of nine to eleven months of a fluoroquinolone, ethambutol, pyrazinamide and clofazimine, which is supplemented by high dose isoniazid, kanamycin and prothionamide in the intensive phase of treatment. WHO has recommended the regimen for patients without extrapulmonary TB, who are not pregnant and for whom all component medications are likely to be effective (based on treatment history and the known or presumed drug susceptibility profile of the infecting organism). However, this evidence is based on observations of cohort of patients treated with such regimens and is currently under evaluation in a randomised controlled trial.</w:t>
      </w:r>
    </w:p>
    <w:p w14:paraId="53EAE33A" w14:textId="23F882FF" w:rsidR="005A1CD3" w:rsidRDefault="006E40B3" w:rsidP="005A1CD3">
      <w:pPr>
        <w:pStyle w:val="Heading3"/>
      </w:pPr>
      <w:r>
        <w:t>Implementation</w:t>
      </w:r>
    </w:p>
    <w:p w14:paraId="30F0C251" w14:textId="2CCECD9F" w:rsidR="00AF6DF9" w:rsidRDefault="00AF6DF9" w:rsidP="00AF6DF9">
      <w:r>
        <w:t xml:space="preserve">In AuTuMN, </w:t>
      </w:r>
      <w:r w:rsidR="00355D93">
        <w:t xml:space="preserve">implementing the short </w:t>
      </w:r>
      <w:r>
        <w:t xml:space="preserve">course regimen is achieved by decreasing the duration of treatment for MDR-TB and by increasing treatment success rates. The treatment success proportion is increased from its </w:t>
      </w:r>
      <w:r w:rsidR="00836EA4">
        <w:t xml:space="preserve">original </w:t>
      </w:r>
      <w:r>
        <w:t xml:space="preserve">baseline level to </w:t>
      </w:r>
      <w:r w:rsidR="00836EA4">
        <w:t>a value closer to the expected treatment success proportion, dependent on the coverage of this intervention. The final treatment success proportion for MDR-TB implemented in the model is calculated as:</w:t>
      </w:r>
    </w:p>
    <w:p w14:paraId="009C146D" w14:textId="54724ECB" w:rsidR="00836EA4" w:rsidRDefault="00836EA4" w:rsidP="00AF6DF9">
      <m:oMathPara>
        <m:oMath>
          <m:r>
            <w:rPr>
              <w:rFonts w:ascii="Cambria Math" w:hAnsi="Cambria Math"/>
            </w:rPr>
            <m:t>final treatment success=original treatment success+</m:t>
          </m:r>
          <m:d>
            <m:dPr>
              <m:ctrlPr>
                <w:rPr>
                  <w:rFonts w:ascii="Cambria Math" w:hAnsi="Cambria Math"/>
                  <w:i/>
                </w:rPr>
              </m:ctrlPr>
            </m:dPr>
            <m:e>
              <m:r>
                <w:rPr>
                  <w:rFonts w:ascii="Cambria Math" w:hAnsi="Cambria Math"/>
                </w:rPr>
                <m:t>intervention treatment success-original treatment success</m:t>
              </m:r>
            </m:e>
          </m:d>
          <m:r>
            <w:rPr>
              <w:rFonts w:ascii="Cambria Math" w:hAnsi="Cambria Math"/>
            </w:rPr>
            <m:t>×intervention coverage</m:t>
          </m:r>
        </m:oMath>
      </m:oMathPara>
    </w:p>
    <w:p w14:paraId="2EE27596" w14:textId="147C5C15" w:rsidR="00EB1F0B" w:rsidRDefault="00EB1F0B" w:rsidP="00AF6DF9">
      <w:r>
        <w:t xml:space="preserve">Similarly, </w:t>
      </w:r>
      <w:r w:rsidR="00355D93">
        <w:t xml:space="preserve">the duration for the short </w:t>
      </w:r>
      <w:r>
        <w:t>course regimen is decreased according to the original MDR-TB treatment duration and the coverage of the intervention:</w:t>
      </w:r>
    </w:p>
    <w:p w14:paraId="464F2938" w14:textId="2A31CCDA" w:rsidR="00EB1F0B" w:rsidRDefault="00EB1F0B" w:rsidP="00AF6DF9">
      <m:oMathPara>
        <m:oMath>
          <m:r>
            <w:rPr>
              <w:rFonts w:ascii="Cambria Math" w:hAnsi="Cambria Math"/>
            </w:rPr>
            <m:t>final treatment duration=original treatment duration-</m:t>
          </m:r>
          <m:d>
            <m:dPr>
              <m:ctrlPr>
                <w:rPr>
                  <w:rFonts w:ascii="Cambria Math" w:hAnsi="Cambria Math"/>
                  <w:i/>
                </w:rPr>
              </m:ctrlPr>
            </m:dPr>
            <m:e>
              <m:r>
                <w:rPr>
                  <w:rFonts w:ascii="Cambria Math" w:hAnsi="Cambria Math"/>
                </w:rPr>
                <m:t>original treatment duration-intervention treatment duration</m:t>
              </m:r>
            </m:e>
          </m:d>
          <m:r>
            <w:rPr>
              <w:rFonts w:ascii="Cambria Math" w:hAnsi="Cambria Math"/>
            </w:rPr>
            <m:t>×intervention coverage</m:t>
          </m:r>
        </m:oMath>
      </m:oMathPara>
    </w:p>
    <w:p w14:paraId="1F5B7505" w14:textId="5A49C0F9" w:rsidR="00AF6DF9" w:rsidRDefault="00836EA4" w:rsidP="00AF6DF9">
      <w:r>
        <w:t>This calculation is done for both new and re-treatment cases who are on the appropriate regimen for MDR-TB.</w:t>
      </w:r>
      <w:r w:rsidR="00EE11E2">
        <w:t xml:space="preserve"> The </w:t>
      </w:r>
      <w:r w:rsidR="00766384">
        <w:t xml:space="preserve">calculation of the </w:t>
      </w:r>
      <w:r w:rsidR="00EE11E2">
        <w:t>proportion of unsuccessful outcomes resulting in death and other unfavourable outcomes remains unchanged</w:t>
      </w:r>
      <w:r w:rsidR="00766384">
        <w:t>, such that both the rate of death and other unfavourable outcomes decrease</w:t>
      </w:r>
      <w:r w:rsidR="00EB1F0B">
        <w:t>s</w:t>
      </w:r>
      <w:r w:rsidR="00766384">
        <w:t xml:space="preserve"> proportionately as treatment success improves. Beca</w:t>
      </w:r>
      <w:r w:rsidR="00355D93">
        <w:t xml:space="preserve">use the short </w:t>
      </w:r>
      <w:r w:rsidR="00766384">
        <w:t xml:space="preserve">course regimen is considered to improve treatment outcomes, a floor is set to prevent the final treatment success value being less than the original treatment success </w:t>
      </w:r>
      <w:r w:rsidR="00FB5D36">
        <w:t>value</w:t>
      </w:r>
      <w:r w:rsidR="00EB1F0B">
        <w:t>.</w:t>
      </w:r>
    </w:p>
    <w:p w14:paraId="24E26BF5" w14:textId="5DBE8D72" w:rsidR="00827FCD" w:rsidRDefault="00666977" w:rsidP="00AF6DF9">
      <w:r>
        <w:lastRenderedPageBreak/>
        <w:t>Because the number of patients ineligible for the s</w:t>
      </w:r>
      <w:r w:rsidR="00355D93">
        <w:t xml:space="preserve">hort </w:t>
      </w:r>
      <w:r>
        <w:t>course regimen in Bulgaria is likely to be higher than in many other settings, the intervention coverage value (for Scenario 1) is set at 50%.</w:t>
      </w:r>
      <w:r w:rsidR="00F43114">
        <w:fldChar w:fldCharType="begin" w:fldLock="1"/>
      </w:r>
      <w:r w:rsidR="00583138">
        <w:instrText>ADDIN CSL_CITATION { "citationItems" : [ { "id" : "ITEM-1", "itemData" : { "DOI" : "10.1164/rccm.201606-1097LE", "ISSN" : "1073-449X", "author" : [ { "dropping-particle" : "", "family" : "Lange", "given" : "Christoph", "non-dropping-particle" : "", "parse-names" : false, "suffix" : "" }, { "dropping-particle" : "", "family" : "Duarte", "given" : "Raquel", "non-dropping-particle" : "", "parse-names" : false, "suffix" : "" }, { "dropping-particle" : "", "family" : "Fr\u00e9chet-Jachym", "given" : "Mathilde", "non-dropping-particle" : "", "parse-names" : false, "suffix" : "" }, { "dropping-particle" : "", "family" : "Guenther", "given" : "Gunar", "non-dropping-particle" : "", "parse-names" : false, "suffix" : "" }, { "dropping-particle" : "", "family" : "Guglielmetti", "given" : "Lorenzo", "non-dropping-particle" : "", "parse-names" : false, "suffix" : "" }, { "dropping-particle" : "", "family" : "Olaru", "given" : "Ioana D.", "non-dropping-particle" : "", "parse-names" : false, "suffix" : "" }, { "dropping-particle" : "", "family" : "Oliveira", "given" : "Olena", "non-dropping-particle" : "", "parse-names" : false, "suffix" : "" }, { "dropping-particle" : "", "family" : "Rumetshofer", "given" : "Rudolf", "non-dropping-particle" : "", "parse-names" : false, "suffix" : "" }, { "dropping-particle" : "", "family" : "Veziris", "given" : "Nicolas", "non-dropping-particle" : "", "parse-names" : false, "suffix" : "" }, { "dropping-particle" : "", "family" : "Leth", "given" : "Frank", "non-dropping-particle" : "van", "parse-names" : false, "suffix" : "" } ], "container-title" : "American Journal of Respiratory and Critical Care Medicine", "id" : "ITEM-1", "issue" : "8", "issued" : { "date-parts" : [ [ "2016", "10", "15" ] ] }, "page" : "1029-1031", "publisher" : "American Thoracic Society", "title" : "Limited Benefit of the New Shorter Multidrug-Resistant Tuberculosis Regimen in Europe", "type" : "article-journal", "volume" : "194" }, "uris" : [ "http://www.mendeley.com/documents/?uuid=aea949c7-b44a-4f14-9108-ef97875c2a57" ] }, { "id" : "ITEM-2", "itemData" : { "DOI" : "10.3201/eid2103.141343", "ISSN" : "1080-6040", "PMID" : "25693485", "abstract" : "Drug-resistant Mycobacterium tuberculosis is challenging elimination of tuberculosis (TB). We evaluated risk factors for TB and levels of second-line drug resistance in M. tuberculosis in patients in Europe with multidrug-resistant (MDR) TB. A total of 380 patients with MDR TB and 376 patients with non-MDR TB were enrolled at 23 centers in 16 countries in Europe during 2010-2011. A total of 52.4% of MDR TB patients had never been treated for TB, which suggests primary transmission of MDR M. tuberculosis. At initiation of treatment for MDR TB, 59.7% of M. tuberculosis strains tested were resistant to pyrazinamide, 51.1% were resistant to \u22651 second-line drug, 26.6% were resistant to second-line injectable drugs, 17.6% were resistant to fluoroquinolones, and 6.8% were extensively drug resistant. Previous treatment for TB was the strongest risk factor for MDR TB. High levels of primary transmission and advanced resistance to second-line drugs characterize MDR TB cases in Europe.", "author" : [ { "dropping-particle" : "", "family" : "G\u00fcnther", "given" : "Gunar", "non-dropping-particle" : "", "parse-names" : false, "suffix" : "" }, { "dropping-particle" : "", "family" : "Leth", "given" : "Frank", "non-dropping-particle" : "van", "parse-names" : false, "suffix" : "" }, { "dropping-particle" : "", "family" : "Alexandru", "given" : "Sofia", "non-dropping-particle" : "", "parse-names" : false, "suffix" : "" }, { "dropping-particle" : "", "family" : "Altet", "given" : "Neus", "non-dropping-particle" : "", "parse-names" : false, "suffix" : "" }, { "dropping-particle" : "", "family" : "Avsar", "given" : "Korkut", "non-dropping-particle" : "", "parse-names" : false, "suffix" : "" }, { "dropping-particle" : "", "family" : "Bang", "given" : "Didi", "non-dropping-particle" : "", "parse-names" : false, "suffix" : "" }, { "dropping-particle" : "", "family" : "Barbuta", "given" : "Raisa", "non-dropping-particle" : "", "parse-names" : false, "suffix" : "" }, { "dropping-particle" : "", "family" : "Bothamley", "given" : "Graham", "non-dropping-particle" : "", "parse-names" : false, "suffix" : "" }, { "dropping-particle" : "", "family" : "Ciobanu", "given" : "Ana", "non-dropping-particle" : "", "parse-names" : false, "suffix" : "" }, { "dropping-particle" : "", "family" : "Crudu", "given" : "Valeriu", "non-dropping-particle" : "", "parse-names" : false, "suffix" : "" }, { "dropping-particle" : "", "family" : "Davilovits", "given" : "Manfred", "non-dropping-particle" : "", "parse-names" : false, "suffix" : "" }, { "dropping-particle" : "", "family" : "Dedicoat", "given" : "Martin", "non-dropping-particle" : "", "parse-names" : false, "suffix" : "" }, { "dropping-particle" : "", "family" : "Duarte", "given" : "Raquel", "non-dropping-particle" : "", "parse-names" : false, "suffix" : "" }, { "dropping-particle" : "", "family" : "Gualano", "given" : "Gina", "non-dropping-particle" : "", "parse-names" : false, "suffix" : "" }, { "dropping-particle" : "", "family" : "Kunst", "given" : "Heinke", "non-dropping-particle" : "", "parse-names" : false, "suffix" : "" }, { "dropping-particle" : "", "family" : "Lange", "given" : "Wiel", "non-dropping-particle" : "de", "parse-names" : false, "suffix" : "" }, { "dropping-particle" : "", "family" : "Leimane", "given" : "Vaira", "non-dropping-particle" : "", "parse-names" : false, "suffix" : "" }, { "dropping-particle" : "", "family" : "Magis-Escurra", "given" : "Cecile", "non-dropping-particle" : "", "parse-names" : false, "suffix" : "" }, { "dropping-particle" : "", "family" : "McLaughlin", "given" : "Anne-Marie", "non-dropping-particle" : "", "parse-names" : false, "suffix" : "" }, { "dropping-particle" : "", "family" : "Muylle", "given" : "Inge", "non-dropping-particle" : "", "parse-names" : false, "suffix" : "" }, { "dropping-particle" : "", "family" : "Polcov\u00e1", "given" : "Veronika", "non-dropping-particle" : "", "parse-names" : false, "suffix" : "" }, { "dropping-particle" : "", "family" : "Pontali", "given" : "Emanuele", "non-dropping-particle" : "", "parse-names" : false, "suffix" : "" }, { "dropping-particle" : "", "family" : "Popa", "given" : "Christina", "non-dropping-particle" : "", "parse-names" : false, "suffix" : "" }, { "dropping-particle" : "", "family" : "Rumetshofer", "given" : "Rudolf", "non-dropping-particle" : "", "parse-names" : false, "suffix" : "" }, { "dropping-particle" : "", "family" : "Skrahina", "given" : "Alena", "non-dropping-particle" : "", "parse-names" : false, "suffix" : "" }, { "dropping-particle" : "", "family" : "Solodovnikova", "given" : "Varvara", "non-dropping-particle" : "", "parse-names" : false, "suffix" : "" }, { "dropping-particle" : "", "family" : "Spinu", "given" : "Victor", "non-dropping-particle" : "", "parse-names" : false, "suffix" : "" }, { "dropping-particle" : "", "family" : "Tiberi", "given" : "Simon", "non-dropping-particle" : "", "parse-names" : false, "suffix" : "" }, { "dropping-particle" : "", "family" : "Viiklepp", "given" : "Piret", "non-dropping-particle" : "", "parse-names" : false, "suffix" : "" }, { "dropping-particle" : "", "family" : "Lange", "given" : "Christoph", "non-dropping-particle" : "", "parse-names" : false, "suffix" : "" }, { "dropping-particle" : "", "family" : "TBNET", "given" : "", "non-dropping-particle" : "", "parse-names" : false, "suffix" : "" } ], "container-title" : "Emerging Infectious Diseases", "id" : "ITEM-2", "issue" : "3", "issued" : { "date-parts" : [ [ "2015", "3" ] ] }, "page" : "409-416", "title" : "Multidrug-Resistant Tuberculosis in Europe, 2010\u20132011", "type" : "article-journal", "volume" : "21" }, "uris" : [ "http://www.mendeley.com/documents/?uuid=4891edc4-2379-40c5-a32f-fd34f206fdb2" ] } ], "mendeley" : { "formattedCitation" : "&lt;sup&gt;35,36&lt;/sup&gt;", "plainTextFormattedCitation" : "35,36", "previouslyFormattedCitation" : "&lt;sup&gt;34,35&lt;/sup&gt;" }, "properties" : { "noteIndex" : 0 }, "schema" : "https://github.com/citation-style-language/schema/raw/master/csl-citation.json" }</w:instrText>
      </w:r>
      <w:r w:rsidR="00F43114">
        <w:fldChar w:fldCharType="separate"/>
      </w:r>
      <w:r w:rsidR="00583138" w:rsidRPr="00583138">
        <w:rPr>
          <w:noProof/>
          <w:vertAlign w:val="superscript"/>
        </w:rPr>
        <w:t>35,36</w:t>
      </w:r>
      <w:r w:rsidR="00F43114">
        <w:fldChar w:fldCharType="end"/>
      </w:r>
      <w:r w:rsidR="00144F75">
        <w:t xml:space="preserve"> For estimating the economic impact of the intervention, the population size is considered to be the number of patients under treatment for MDR-TB (with any regimen).</w:t>
      </w:r>
    </w:p>
    <w:p w14:paraId="515398DB" w14:textId="77777777" w:rsidR="005A1CD3" w:rsidRDefault="005A1CD3" w:rsidP="005A1CD3">
      <w:pPr>
        <w:pStyle w:val="Heading3"/>
      </w:pPr>
      <w:r>
        <w:t>Results</w:t>
      </w:r>
    </w:p>
    <w:p w14:paraId="26D50B31" w14:textId="026291BA" w:rsidR="00E82A5F" w:rsidRPr="00E82A5F" w:rsidRDefault="00E82A5F" w:rsidP="00E82A5F">
      <w:r>
        <w:t>Due to the small proportion of cases that are contributed by MDR-TB in Bulgaria, changing to the short</w:t>
      </w:r>
      <w:r w:rsidR="0071314A">
        <w:t xml:space="preserve"> </w:t>
      </w:r>
      <w:r>
        <w:t>course regimen has a negligible effect on overall dynamics in the country (Figure S</w:t>
      </w:r>
      <w:r w:rsidR="00306991">
        <w:t>28</w:t>
      </w:r>
      <w:r>
        <w:t>). However, the effect on MDR-TB-specific indicators is marked and rapid. The most notable effect is on MDR-TB prevalence, which is partly mediated th</w:t>
      </w:r>
      <w:r w:rsidR="00321E03">
        <w:t>rough the effect of</w:t>
      </w:r>
      <w:r>
        <w:t xml:space="preserve"> reducing the treatment duration alone (because patients are considered prevalent cases throughout their treatment period).</w:t>
      </w:r>
      <w:r w:rsidR="00346AAC">
        <w:t xml:space="preserve"> The transient increase in mortality is due to patients reaching their</w:t>
      </w:r>
      <w:r w:rsidR="00F813B6">
        <w:t xml:space="preserve"> final</w:t>
      </w:r>
      <w:r w:rsidR="00346AAC">
        <w:t xml:space="preserve"> treatment outcomes more rapidly, which includes death on treatment.</w:t>
      </w:r>
      <w:r w:rsidR="00F813B6">
        <w:t xml:space="preserve"> This is noted to be a transient change and could </w:t>
      </w:r>
      <w:r w:rsidR="006F745B">
        <w:t>well be observed in reality.</w:t>
      </w:r>
    </w:p>
    <w:p w14:paraId="3C17CFEB" w14:textId="51C745B4" w:rsidR="005A1CD3" w:rsidRDefault="00DA5480" w:rsidP="001C2A3E">
      <w:pPr>
        <w:spacing w:after="0" w:line="240" w:lineRule="auto"/>
        <w:jc w:val="left"/>
      </w:pPr>
      <w:r>
        <w:rPr>
          <w:noProof/>
          <w:lang w:val="en-GB" w:eastAsia="en-GB"/>
        </w:rPr>
        <w:drawing>
          <wp:inline distT="0" distB="0" distL="0" distR="0" wp14:anchorId="071BE6CF" wp14:editId="278CBAF1">
            <wp:extent cx="4933950" cy="37433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5">
                      <a:extLst>
                        <a:ext uri="{28A0092B-C50C-407E-A947-70E740481C1C}">
                          <a14:useLocalDpi xmlns:a14="http://schemas.microsoft.com/office/drawing/2010/main" val="0"/>
                        </a:ext>
                      </a:extLst>
                    </a:blip>
                    <a:srcRect l="7477" t="7968" r="6437" b="5047"/>
                    <a:stretch/>
                  </pic:blipFill>
                  <pic:spPr bwMode="auto">
                    <a:xfrm>
                      <a:off x="0" y="0"/>
                      <a:ext cx="4933950" cy="3743325"/>
                    </a:xfrm>
                    <a:prstGeom prst="rect">
                      <a:avLst/>
                    </a:prstGeom>
                    <a:noFill/>
                    <a:ln>
                      <a:noFill/>
                    </a:ln>
                    <a:extLst>
                      <a:ext uri="{53640926-AAD7-44D8-BBD7-CCE9431645EC}">
                        <a14:shadowObscured xmlns:a14="http://schemas.microsoft.com/office/drawing/2010/main"/>
                      </a:ext>
                    </a:extLst>
                  </pic:spPr>
                </pic:pic>
              </a:graphicData>
            </a:graphic>
          </wp:inline>
        </w:drawing>
      </w:r>
    </w:p>
    <w:p w14:paraId="7890306D" w14:textId="545AD6C2" w:rsidR="005A1CD3" w:rsidRPr="00F672D1" w:rsidRDefault="005A1CD3" w:rsidP="005A1CD3">
      <w:pPr>
        <w:pStyle w:val="Heading4"/>
        <w:rPr>
          <w:b/>
        </w:rPr>
      </w:pPr>
      <w:r>
        <w:rPr>
          <w:b/>
        </w:rPr>
        <w:t>Figure S</w:t>
      </w:r>
      <w:r w:rsidR="005B60FD">
        <w:rPr>
          <w:b/>
        </w:rPr>
        <w:t>28</w:t>
      </w:r>
      <w:r w:rsidRPr="00F672D1">
        <w:rPr>
          <w:b/>
        </w:rPr>
        <w:t>.</w:t>
      </w:r>
      <w:r>
        <w:rPr>
          <w:b/>
        </w:rPr>
        <w:t xml:space="preserve"> Effect</w:t>
      </w:r>
      <w:r w:rsidRPr="00F672D1">
        <w:rPr>
          <w:b/>
        </w:rPr>
        <w:t xml:space="preserve"> of</w:t>
      </w:r>
      <w:r>
        <w:rPr>
          <w:b/>
        </w:rPr>
        <w:t xml:space="preserve"> </w:t>
      </w:r>
      <w:r w:rsidRPr="006C5048">
        <w:rPr>
          <w:b/>
        </w:rPr>
        <w:t>MDR-TB short course regimen</w:t>
      </w:r>
      <w:r>
        <w:rPr>
          <w:b/>
        </w:rPr>
        <w:t xml:space="preserve"> on</w:t>
      </w:r>
      <w:r w:rsidRPr="00F672D1">
        <w:rPr>
          <w:b/>
        </w:rPr>
        <w:t xml:space="preserve"> </w:t>
      </w:r>
      <w:r>
        <w:rPr>
          <w:b/>
        </w:rPr>
        <w:t>epidemiological outcomes</w:t>
      </w:r>
      <w:r w:rsidR="001962C0">
        <w:rPr>
          <w:b/>
        </w:rPr>
        <w:t>, with uncertainty</w:t>
      </w:r>
      <w:r>
        <w:rPr>
          <w:b/>
        </w:rPr>
        <w:t>.</w:t>
      </w:r>
    </w:p>
    <w:p w14:paraId="4E9EBF6E" w14:textId="77777777" w:rsidR="005A1CD3" w:rsidRDefault="005A1CD3" w:rsidP="005A1CD3">
      <w:pPr>
        <w:jc w:val="center"/>
      </w:pPr>
    </w:p>
    <w:p w14:paraId="40180B20" w14:textId="70ADBBA0" w:rsidR="005A1CD3" w:rsidRDefault="00DA5480" w:rsidP="005A1CD3">
      <w:pPr>
        <w:spacing w:after="200" w:line="276" w:lineRule="auto"/>
        <w:jc w:val="left"/>
      </w:pPr>
      <w:r>
        <w:rPr>
          <w:noProof/>
          <w:lang w:val="en-GB" w:eastAsia="en-GB"/>
        </w:rPr>
        <w:lastRenderedPageBreak/>
        <w:drawing>
          <wp:inline distT="0" distB="0" distL="0" distR="0" wp14:anchorId="48E12644" wp14:editId="78A0CF83">
            <wp:extent cx="5093164" cy="39338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6">
                      <a:extLst>
                        <a:ext uri="{28A0092B-C50C-407E-A947-70E740481C1C}">
                          <a14:useLocalDpi xmlns:a14="http://schemas.microsoft.com/office/drawing/2010/main" val="0"/>
                        </a:ext>
                      </a:extLst>
                    </a:blip>
                    <a:srcRect l="6980" t="7526" r="7600" b="4604"/>
                    <a:stretch/>
                  </pic:blipFill>
                  <pic:spPr bwMode="auto">
                    <a:xfrm>
                      <a:off x="0" y="0"/>
                      <a:ext cx="5095243" cy="3935431"/>
                    </a:xfrm>
                    <a:prstGeom prst="rect">
                      <a:avLst/>
                    </a:prstGeom>
                    <a:noFill/>
                    <a:ln>
                      <a:noFill/>
                    </a:ln>
                    <a:extLst>
                      <a:ext uri="{53640926-AAD7-44D8-BBD7-CCE9431645EC}">
                        <a14:shadowObscured xmlns:a14="http://schemas.microsoft.com/office/drawing/2010/main"/>
                      </a:ext>
                    </a:extLst>
                  </pic:spPr>
                </pic:pic>
              </a:graphicData>
            </a:graphic>
          </wp:inline>
        </w:drawing>
      </w:r>
    </w:p>
    <w:p w14:paraId="756F9F5E" w14:textId="67CA78AD" w:rsidR="005A1CD3" w:rsidRDefault="005A1CD3" w:rsidP="005A1CD3">
      <w:pPr>
        <w:pStyle w:val="Heading4"/>
        <w:rPr>
          <w:b/>
        </w:rPr>
      </w:pPr>
      <w:r>
        <w:rPr>
          <w:b/>
        </w:rPr>
        <w:t>Figure S</w:t>
      </w:r>
      <w:r w:rsidR="005B60FD">
        <w:rPr>
          <w:b/>
        </w:rPr>
        <w:t>29</w:t>
      </w:r>
      <w:r w:rsidRPr="00F672D1">
        <w:rPr>
          <w:b/>
        </w:rPr>
        <w:t>.</w:t>
      </w:r>
      <w:r>
        <w:rPr>
          <w:b/>
        </w:rPr>
        <w:t xml:space="preserve"> Effect</w:t>
      </w:r>
      <w:r w:rsidRPr="00F672D1">
        <w:rPr>
          <w:b/>
        </w:rPr>
        <w:t xml:space="preserve"> of</w:t>
      </w:r>
      <w:r>
        <w:rPr>
          <w:b/>
        </w:rPr>
        <w:t xml:space="preserve"> </w:t>
      </w:r>
      <w:r w:rsidRPr="006C5048">
        <w:rPr>
          <w:b/>
        </w:rPr>
        <w:t>MDR-TB short course regimen</w:t>
      </w:r>
      <w:r>
        <w:rPr>
          <w:b/>
        </w:rPr>
        <w:t xml:space="preserve"> on</w:t>
      </w:r>
      <w:r w:rsidRPr="00F672D1">
        <w:rPr>
          <w:b/>
        </w:rPr>
        <w:t xml:space="preserve"> </w:t>
      </w:r>
      <w:r>
        <w:rPr>
          <w:b/>
        </w:rPr>
        <w:t>MDR-TB epidemiological outcomes</w:t>
      </w:r>
      <w:r w:rsidR="00D024E7">
        <w:rPr>
          <w:b/>
        </w:rPr>
        <w:t>, with uncertainty</w:t>
      </w:r>
      <w:r>
        <w:rPr>
          <w:b/>
        </w:rPr>
        <w:t>.</w:t>
      </w:r>
    </w:p>
    <w:p w14:paraId="0A792242" w14:textId="78ECB135" w:rsidR="00741099" w:rsidRDefault="00741099" w:rsidP="00741099">
      <w:pPr>
        <w:pStyle w:val="Heading3"/>
      </w:pPr>
      <w:r>
        <w:t>Costs</w:t>
      </w:r>
    </w:p>
    <w:p w14:paraId="5012B669" w14:textId="4CE41EB3" w:rsidR="00741099" w:rsidRDefault="00741099" w:rsidP="00741099">
      <w:r w:rsidRPr="000000A5">
        <w:t>The current regimen for MDR-TB is for 20 months, during which patients stay in hospital for the first 12 months, follo</w:t>
      </w:r>
      <w:r>
        <w:t>wed by eight</w:t>
      </w:r>
      <w:r w:rsidRPr="000000A5">
        <w:t xml:space="preserve"> months of ambulatory care. </w:t>
      </w:r>
      <w:r>
        <w:t xml:space="preserve">Under the short </w:t>
      </w:r>
      <w:r w:rsidRPr="000000A5">
        <w:t>course</w:t>
      </w:r>
      <w:r w:rsidR="00B52486">
        <w:t xml:space="preserve"> regimen approach currently being considered in Bulgaria</w:t>
      </w:r>
      <w:r w:rsidRPr="000000A5">
        <w:t>, patient</w:t>
      </w:r>
      <w:r w:rsidR="00B52486">
        <w:t>s</w:t>
      </w:r>
      <w:r w:rsidRPr="000000A5">
        <w:t xml:space="preserve"> will </w:t>
      </w:r>
      <w:r w:rsidR="00B52486">
        <w:t>stay in hospital for the first six</w:t>
      </w:r>
      <w:r w:rsidRPr="000000A5">
        <w:t xml:space="preserve"> months and </w:t>
      </w:r>
      <w:r w:rsidR="00B52486">
        <w:t xml:space="preserve">in </w:t>
      </w:r>
      <w:r w:rsidRPr="000000A5">
        <w:t xml:space="preserve">ambulatory care for the remaining </w:t>
      </w:r>
      <w:r w:rsidR="00B52486">
        <w:t xml:space="preserve">six </w:t>
      </w:r>
      <w:r w:rsidRPr="000000A5">
        <w:t>months</w:t>
      </w:r>
      <w:r w:rsidR="00B52486">
        <w:t>,</w:t>
      </w:r>
      <w:r w:rsidRPr="000000A5">
        <w:t xml:space="preserve"> with frequent home visits by nurses and NGO outreach workers. The unit costs per patient for both the 20-month regimen and 12-month reg</w:t>
      </w:r>
      <w:r>
        <w:t>imen are calculated as follows.</w:t>
      </w:r>
    </w:p>
    <w:p w14:paraId="229D0BA8" w14:textId="7DD4FCBA" w:rsidR="00C97A8F" w:rsidRDefault="00C97A8F">
      <w:pPr>
        <w:spacing w:after="200" w:line="276" w:lineRule="auto"/>
        <w:jc w:val="left"/>
      </w:pPr>
      <w:r>
        <w:br w:type="page"/>
      </w:r>
    </w:p>
    <w:p w14:paraId="6E1019E1" w14:textId="5CCF0D89" w:rsidR="009C7B3F" w:rsidRPr="009C7B3F" w:rsidRDefault="009C7B3F" w:rsidP="009C7B3F">
      <w:pPr>
        <w:pStyle w:val="Heading4"/>
        <w:rPr>
          <w:b/>
        </w:rPr>
      </w:pPr>
      <w:r w:rsidRPr="009C7B3F">
        <w:rPr>
          <w:b/>
        </w:rPr>
        <w:lastRenderedPageBreak/>
        <w:t>Table S2. Calculations of unit costs of conventional and short-course MDR-TB regimens</w:t>
      </w:r>
      <w:r>
        <w:rPr>
          <w:b/>
        </w:rPr>
        <w:t>.</w:t>
      </w:r>
    </w:p>
    <w:tbl>
      <w:tblPr>
        <w:tblStyle w:val="TableGrid"/>
        <w:tblW w:w="0" w:type="auto"/>
        <w:tblInd w:w="137" w:type="dxa"/>
        <w:tblLook w:val="04A0" w:firstRow="1" w:lastRow="0" w:firstColumn="1" w:lastColumn="0" w:noHBand="0" w:noVBand="1"/>
      </w:tblPr>
      <w:tblGrid>
        <w:gridCol w:w="1778"/>
        <w:gridCol w:w="1594"/>
        <w:gridCol w:w="1156"/>
        <w:gridCol w:w="850"/>
        <w:gridCol w:w="3501"/>
      </w:tblGrid>
      <w:tr w:rsidR="009C7B3F" w:rsidRPr="00422281" w14:paraId="6792F11A" w14:textId="77777777" w:rsidTr="00C171F0">
        <w:tc>
          <w:tcPr>
            <w:tcW w:w="1809" w:type="dxa"/>
            <w:shd w:val="clear" w:color="auto" w:fill="D9D9D9" w:themeFill="background1" w:themeFillShade="D9"/>
          </w:tcPr>
          <w:p w14:paraId="7ABDC3CC" w14:textId="77777777" w:rsidR="009C7B3F" w:rsidRPr="00422281" w:rsidRDefault="009C7B3F" w:rsidP="00C171F0">
            <w:pPr>
              <w:rPr>
                <w:rFonts w:cs="Times New Roman"/>
                <w:sz w:val="23"/>
              </w:rPr>
            </w:pPr>
            <w:r w:rsidRPr="00422281">
              <w:rPr>
                <w:rFonts w:cs="Times New Roman"/>
                <w:sz w:val="23"/>
              </w:rPr>
              <w:t xml:space="preserve">Item </w:t>
            </w:r>
          </w:p>
        </w:tc>
        <w:tc>
          <w:tcPr>
            <w:tcW w:w="1636" w:type="dxa"/>
            <w:shd w:val="clear" w:color="auto" w:fill="D9D9D9" w:themeFill="background1" w:themeFillShade="D9"/>
          </w:tcPr>
          <w:p w14:paraId="5D0D5B13" w14:textId="1C59CA45" w:rsidR="009C7B3F" w:rsidRPr="00422281" w:rsidRDefault="00B35FA1" w:rsidP="00C171F0">
            <w:pPr>
              <w:rPr>
                <w:rFonts w:cs="Times New Roman"/>
                <w:sz w:val="23"/>
              </w:rPr>
            </w:pPr>
            <w:r w:rsidRPr="00B35FA1">
              <w:rPr>
                <w:rFonts w:cs="Times New Roman"/>
                <w:sz w:val="23"/>
              </w:rPr>
              <w:t>€</w:t>
            </w:r>
            <w:r>
              <w:rPr>
                <w:rFonts w:cs="Times New Roman"/>
                <w:sz w:val="23"/>
              </w:rPr>
              <w:t xml:space="preserve"> c</w:t>
            </w:r>
            <w:r w:rsidR="009C7B3F" w:rsidRPr="00422281">
              <w:rPr>
                <w:rFonts w:cs="Times New Roman"/>
                <w:sz w:val="23"/>
              </w:rPr>
              <w:t xml:space="preserve">ost per item (source) </w:t>
            </w:r>
          </w:p>
        </w:tc>
        <w:tc>
          <w:tcPr>
            <w:tcW w:w="1165" w:type="dxa"/>
            <w:shd w:val="clear" w:color="auto" w:fill="D9D9D9" w:themeFill="background1" w:themeFillShade="D9"/>
          </w:tcPr>
          <w:p w14:paraId="646BCC61" w14:textId="77777777" w:rsidR="009C7B3F" w:rsidRPr="00422281" w:rsidRDefault="009C7B3F" w:rsidP="00C171F0">
            <w:pPr>
              <w:rPr>
                <w:rFonts w:cs="Times New Roman"/>
                <w:sz w:val="23"/>
              </w:rPr>
            </w:pPr>
            <w:r w:rsidRPr="00422281">
              <w:rPr>
                <w:rFonts w:cs="Times New Roman"/>
                <w:sz w:val="23"/>
              </w:rPr>
              <w:t xml:space="preserve">Quantity </w:t>
            </w:r>
          </w:p>
        </w:tc>
        <w:tc>
          <w:tcPr>
            <w:tcW w:w="842" w:type="dxa"/>
            <w:shd w:val="clear" w:color="auto" w:fill="D9D9D9" w:themeFill="background1" w:themeFillShade="D9"/>
          </w:tcPr>
          <w:p w14:paraId="168C9555" w14:textId="77777777" w:rsidR="009C7B3F" w:rsidRPr="00422281" w:rsidRDefault="009C7B3F" w:rsidP="00C171F0">
            <w:pPr>
              <w:rPr>
                <w:rFonts w:cs="Times New Roman"/>
                <w:sz w:val="23"/>
              </w:rPr>
            </w:pPr>
            <w:r w:rsidRPr="00422281">
              <w:rPr>
                <w:rFonts w:cs="Times New Roman"/>
                <w:sz w:val="23"/>
              </w:rPr>
              <w:t xml:space="preserve">Total </w:t>
            </w:r>
          </w:p>
        </w:tc>
        <w:tc>
          <w:tcPr>
            <w:tcW w:w="3653" w:type="dxa"/>
            <w:shd w:val="clear" w:color="auto" w:fill="D9D9D9" w:themeFill="background1" w:themeFillShade="D9"/>
          </w:tcPr>
          <w:p w14:paraId="2A49AD88" w14:textId="77777777" w:rsidR="009C7B3F" w:rsidRPr="00422281" w:rsidRDefault="009C7B3F" w:rsidP="00C171F0">
            <w:pPr>
              <w:rPr>
                <w:rFonts w:cs="Times New Roman"/>
                <w:sz w:val="23"/>
              </w:rPr>
            </w:pPr>
            <w:r w:rsidRPr="00422281">
              <w:rPr>
                <w:rFonts w:cs="Times New Roman"/>
                <w:sz w:val="23"/>
              </w:rPr>
              <w:t xml:space="preserve">Remarks </w:t>
            </w:r>
          </w:p>
        </w:tc>
      </w:tr>
      <w:tr w:rsidR="009C7B3F" w:rsidRPr="00422281" w14:paraId="0D42F69F" w14:textId="77777777" w:rsidTr="00C171F0">
        <w:tc>
          <w:tcPr>
            <w:tcW w:w="9105" w:type="dxa"/>
            <w:gridSpan w:val="5"/>
          </w:tcPr>
          <w:p w14:paraId="0B386337" w14:textId="77777777" w:rsidR="009C7B3F" w:rsidRPr="00422281" w:rsidRDefault="009C7B3F" w:rsidP="00C171F0">
            <w:pPr>
              <w:rPr>
                <w:rFonts w:cs="Times New Roman"/>
                <w:sz w:val="23"/>
              </w:rPr>
            </w:pPr>
            <w:r w:rsidRPr="00422281">
              <w:rPr>
                <w:rFonts w:cs="Times New Roman"/>
                <w:b/>
                <w:i/>
                <w:sz w:val="23"/>
              </w:rPr>
              <w:t>20-month regimen</w:t>
            </w:r>
          </w:p>
        </w:tc>
      </w:tr>
      <w:tr w:rsidR="009C7B3F" w:rsidRPr="00422281" w14:paraId="47429F13" w14:textId="77777777" w:rsidTr="00C171F0">
        <w:tc>
          <w:tcPr>
            <w:tcW w:w="9105" w:type="dxa"/>
            <w:gridSpan w:val="5"/>
          </w:tcPr>
          <w:p w14:paraId="5CFBE9BB" w14:textId="61E13871" w:rsidR="009C7B3F" w:rsidRPr="00422281" w:rsidRDefault="009C7B3F" w:rsidP="00C171F0">
            <w:pPr>
              <w:rPr>
                <w:rFonts w:cs="Times New Roman"/>
                <w:sz w:val="23"/>
              </w:rPr>
            </w:pPr>
            <w:r w:rsidRPr="00422281">
              <w:rPr>
                <w:rFonts w:cs="Times New Roman"/>
                <w:sz w:val="23"/>
              </w:rPr>
              <w:t>Screening</w:t>
            </w:r>
            <w:r w:rsidR="00B52486">
              <w:rPr>
                <w:rFonts w:cs="Times New Roman"/>
                <w:sz w:val="23"/>
              </w:rPr>
              <w:t xml:space="preserve"> and baseline laboratory investigations</w:t>
            </w:r>
          </w:p>
        </w:tc>
      </w:tr>
      <w:tr w:rsidR="009C7B3F" w:rsidRPr="00422281" w14:paraId="318455CC" w14:textId="77777777" w:rsidTr="00C171F0">
        <w:tc>
          <w:tcPr>
            <w:tcW w:w="1809" w:type="dxa"/>
          </w:tcPr>
          <w:p w14:paraId="61DD6435" w14:textId="77777777" w:rsidR="009C7B3F" w:rsidRPr="00422281" w:rsidRDefault="009C7B3F" w:rsidP="00C171F0">
            <w:pPr>
              <w:rPr>
                <w:rFonts w:cs="Times New Roman"/>
                <w:sz w:val="23"/>
              </w:rPr>
            </w:pPr>
            <w:r w:rsidRPr="00422281">
              <w:rPr>
                <w:rFonts w:cs="Times New Roman"/>
                <w:sz w:val="23"/>
              </w:rPr>
              <w:t xml:space="preserve">DSSM </w:t>
            </w:r>
          </w:p>
        </w:tc>
        <w:tc>
          <w:tcPr>
            <w:tcW w:w="1636" w:type="dxa"/>
          </w:tcPr>
          <w:p w14:paraId="055A29F6" w14:textId="77777777" w:rsidR="009C7B3F" w:rsidRPr="00422281" w:rsidRDefault="009C7B3F" w:rsidP="00C171F0">
            <w:pPr>
              <w:rPr>
                <w:rFonts w:cs="Times New Roman"/>
                <w:sz w:val="23"/>
              </w:rPr>
            </w:pPr>
            <w:r w:rsidRPr="00422281">
              <w:rPr>
                <w:rFonts w:cs="Times New Roman"/>
                <w:sz w:val="23"/>
              </w:rPr>
              <w:t>3.06 (NTP)</w:t>
            </w:r>
          </w:p>
        </w:tc>
        <w:tc>
          <w:tcPr>
            <w:tcW w:w="1165" w:type="dxa"/>
          </w:tcPr>
          <w:p w14:paraId="6F087AA3" w14:textId="77777777" w:rsidR="009C7B3F" w:rsidRPr="00422281" w:rsidRDefault="009C7B3F" w:rsidP="00C171F0">
            <w:pPr>
              <w:rPr>
                <w:rFonts w:cs="Times New Roman"/>
                <w:sz w:val="23"/>
              </w:rPr>
            </w:pPr>
            <w:r w:rsidRPr="00422281">
              <w:rPr>
                <w:rFonts w:cs="Times New Roman"/>
                <w:sz w:val="23"/>
              </w:rPr>
              <w:t>2</w:t>
            </w:r>
          </w:p>
        </w:tc>
        <w:tc>
          <w:tcPr>
            <w:tcW w:w="842" w:type="dxa"/>
          </w:tcPr>
          <w:p w14:paraId="3355A8DD" w14:textId="77777777" w:rsidR="009C7B3F" w:rsidRPr="00422281" w:rsidRDefault="009C7B3F" w:rsidP="00C171F0">
            <w:pPr>
              <w:rPr>
                <w:rFonts w:cs="Times New Roman"/>
                <w:sz w:val="23"/>
              </w:rPr>
            </w:pPr>
            <w:r w:rsidRPr="00422281">
              <w:rPr>
                <w:rFonts w:cs="Times New Roman"/>
                <w:sz w:val="23"/>
              </w:rPr>
              <w:t>6.12</w:t>
            </w:r>
          </w:p>
        </w:tc>
        <w:tc>
          <w:tcPr>
            <w:tcW w:w="3653" w:type="dxa"/>
          </w:tcPr>
          <w:p w14:paraId="783C0478" w14:textId="77777777" w:rsidR="009C7B3F" w:rsidRPr="00422281" w:rsidRDefault="009C7B3F" w:rsidP="00C171F0">
            <w:pPr>
              <w:rPr>
                <w:rFonts w:cs="Times New Roman"/>
                <w:sz w:val="23"/>
              </w:rPr>
            </w:pPr>
            <w:r w:rsidRPr="00422281">
              <w:rPr>
                <w:rFonts w:cs="Times New Roman"/>
                <w:sz w:val="23"/>
              </w:rPr>
              <w:t>Done twice (screening and baseline)</w:t>
            </w:r>
          </w:p>
        </w:tc>
      </w:tr>
      <w:tr w:rsidR="009C7B3F" w:rsidRPr="00422281" w14:paraId="6C735492" w14:textId="77777777" w:rsidTr="00C171F0">
        <w:tc>
          <w:tcPr>
            <w:tcW w:w="1809" w:type="dxa"/>
          </w:tcPr>
          <w:p w14:paraId="3CDC43A8" w14:textId="77777777" w:rsidR="009C7B3F" w:rsidRPr="00422281" w:rsidRDefault="009C7B3F" w:rsidP="00C171F0">
            <w:pPr>
              <w:rPr>
                <w:rFonts w:cs="Times New Roman"/>
                <w:sz w:val="23"/>
              </w:rPr>
            </w:pPr>
            <w:r w:rsidRPr="00422281">
              <w:rPr>
                <w:rFonts w:cs="Times New Roman"/>
                <w:sz w:val="23"/>
              </w:rPr>
              <w:t xml:space="preserve">TB culture </w:t>
            </w:r>
          </w:p>
        </w:tc>
        <w:tc>
          <w:tcPr>
            <w:tcW w:w="1636" w:type="dxa"/>
          </w:tcPr>
          <w:p w14:paraId="691C67FC" w14:textId="77777777" w:rsidR="009C7B3F" w:rsidRPr="00422281" w:rsidRDefault="009C7B3F" w:rsidP="00C171F0">
            <w:pPr>
              <w:rPr>
                <w:rFonts w:cs="Times New Roman"/>
                <w:sz w:val="23"/>
              </w:rPr>
            </w:pPr>
            <w:r w:rsidRPr="00422281">
              <w:rPr>
                <w:rFonts w:cs="Times New Roman"/>
                <w:sz w:val="23"/>
              </w:rPr>
              <w:t>6.09 (NTP)</w:t>
            </w:r>
          </w:p>
        </w:tc>
        <w:tc>
          <w:tcPr>
            <w:tcW w:w="1165" w:type="dxa"/>
          </w:tcPr>
          <w:p w14:paraId="01CE143B" w14:textId="77777777" w:rsidR="009C7B3F" w:rsidRPr="00422281" w:rsidRDefault="009C7B3F" w:rsidP="00C171F0">
            <w:pPr>
              <w:rPr>
                <w:rFonts w:cs="Times New Roman"/>
                <w:sz w:val="23"/>
              </w:rPr>
            </w:pPr>
            <w:r w:rsidRPr="00422281">
              <w:rPr>
                <w:rFonts w:cs="Times New Roman"/>
                <w:sz w:val="23"/>
              </w:rPr>
              <w:t>1</w:t>
            </w:r>
          </w:p>
        </w:tc>
        <w:tc>
          <w:tcPr>
            <w:tcW w:w="842" w:type="dxa"/>
          </w:tcPr>
          <w:p w14:paraId="59EABB34" w14:textId="77777777" w:rsidR="009C7B3F" w:rsidRPr="00422281" w:rsidRDefault="009C7B3F" w:rsidP="00C171F0">
            <w:pPr>
              <w:rPr>
                <w:rFonts w:cs="Times New Roman"/>
                <w:sz w:val="23"/>
              </w:rPr>
            </w:pPr>
            <w:r w:rsidRPr="00422281">
              <w:rPr>
                <w:rFonts w:cs="Times New Roman"/>
                <w:sz w:val="23"/>
              </w:rPr>
              <w:t>6.09</w:t>
            </w:r>
          </w:p>
        </w:tc>
        <w:tc>
          <w:tcPr>
            <w:tcW w:w="3653" w:type="dxa"/>
          </w:tcPr>
          <w:p w14:paraId="1D1C9455" w14:textId="77777777" w:rsidR="009C7B3F" w:rsidRPr="00422281" w:rsidRDefault="009C7B3F" w:rsidP="00C171F0">
            <w:pPr>
              <w:rPr>
                <w:rFonts w:cs="Times New Roman"/>
                <w:sz w:val="23"/>
              </w:rPr>
            </w:pPr>
            <w:r w:rsidRPr="00422281">
              <w:rPr>
                <w:rFonts w:cs="Times New Roman"/>
                <w:sz w:val="23"/>
              </w:rPr>
              <w:t xml:space="preserve">Done once per patient for diagnosis </w:t>
            </w:r>
          </w:p>
        </w:tc>
      </w:tr>
      <w:tr w:rsidR="009C7B3F" w:rsidRPr="00422281" w14:paraId="51BED78C" w14:textId="77777777" w:rsidTr="00C171F0">
        <w:tc>
          <w:tcPr>
            <w:tcW w:w="1809" w:type="dxa"/>
          </w:tcPr>
          <w:p w14:paraId="1F80611F" w14:textId="77777777" w:rsidR="009C7B3F" w:rsidRPr="00422281" w:rsidRDefault="009C7B3F" w:rsidP="00C171F0">
            <w:pPr>
              <w:rPr>
                <w:rFonts w:cs="Times New Roman"/>
                <w:sz w:val="23"/>
              </w:rPr>
            </w:pPr>
            <w:r w:rsidRPr="00422281">
              <w:rPr>
                <w:rFonts w:cs="Times New Roman"/>
                <w:sz w:val="23"/>
              </w:rPr>
              <w:t>DST</w:t>
            </w:r>
          </w:p>
        </w:tc>
        <w:tc>
          <w:tcPr>
            <w:tcW w:w="1636" w:type="dxa"/>
          </w:tcPr>
          <w:p w14:paraId="1B1AB450" w14:textId="77777777" w:rsidR="009C7B3F" w:rsidRPr="00422281" w:rsidRDefault="009C7B3F" w:rsidP="00C171F0">
            <w:pPr>
              <w:rPr>
                <w:rFonts w:cs="Times New Roman"/>
                <w:sz w:val="23"/>
              </w:rPr>
            </w:pPr>
            <w:r w:rsidRPr="00422281">
              <w:rPr>
                <w:rFonts w:cs="Times New Roman"/>
                <w:sz w:val="23"/>
              </w:rPr>
              <w:t>67.12 (NTP)</w:t>
            </w:r>
          </w:p>
        </w:tc>
        <w:tc>
          <w:tcPr>
            <w:tcW w:w="1165" w:type="dxa"/>
          </w:tcPr>
          <w:p w14:paraId="6A841091" w14:textId="77777777" w:rsidR="009C7B3F" w:rsidRPr="00422281" w:rsidRDefault="009C7B3F" w:rsidP="00C171F0">
            <w:pPr>
              <w:rPr>
                <w:rFonts w:cs="Times New Roman"/>
                <w:sz w:val="23"/>
              </w:rPr>
            </w:pPr>
            <w:r w:rsidRPr="00422281">
              <w:rPr>
                <w:rFonts w:cs="Times New Roman"/>
                <w:sz w:val="23"/>
              </w:rPr>
              <w:t>1</w:t>
            </w:r>
          </w:p>
        </w:tc>
        <w:tc>
          <w:tcPr>
            <w:tcW w:w="842" w:type="dxa"/>
          </w:tcPr>
          <w:p w14:paraId="677C6AA8" w14:textId="77777777" w:rsidR="009C7B3F" w:rsidRPr="00422281" w:rsidRDefault="009C7B3F" w:rsidP="00C171F0">
            <w:pPr>
              <w:rPr>
                <w:rFonts w:cs="Times New Roman"/>
                <w:sz w:val="23"/>
              </w:rPr>
            </w:pPr>
            <w:r w:rsidRPr="00422281">
              <w:rPr>
                <w:rFonts w:cs="Times New Roman"/>
                <w:sz w:val="23"/>
              </w:rPr>
              <w:t>67.12</w:t>
            </w:r>
          </w:p>
        </w:tc>
        <w:tc>
          <w:tcPr>
            <w:tcW w:w="3653" w:type="dxa"/>
          </w:tcPr>
          <w:p w14:paraId="2B14A306" w14:textId="77777777" w:rsidR="009C7B3F" w:rsidRPr="00422281" w:rsidRDefault="009C7B3F" w:rsidP="00C171F0">
            <w:pPr>
              <w:rPr>
                <w:rFonts w:cs="Times New Roman"/>
                <w:sz w:val="23"/>
              </w:rPr>
            </w:pPr>
            <w:r w:rsidRPr="00422281">
              <w:rPr>
                <w:rFonts w:cs="Times New Roman"/>
                <w:sz w:val="23"/>
              </w:rPr>
              <w:t>Done once per patient for diagnosis</w:t>
            </w:r>
          </w:p>
        </w:tc>
      </w:tr>
      <w:tr w:rsidR="009C7B3F" w:rsidRPr="00422281" w14:paraId="33BAF6DD" w14:textId="77777777" w:rsidTr="00C171F0">
        <w:tc>
          <w:tcPr>
            <w:tcW w:w="1809" w:type="dxa"/>
          </w:tcPr>
          <w:p w14:paraId="216002CF" w14:textId="413239DB" w:rsidR="009C7B3F" w:rsidRPr="00422281" w:rsidRDefault="00BA153A" w:rsidP="00C171F0">
            <w:pPr>
              <w:rPr>
                <w:rFonts w:cs="Times New Roman"/>
                <w:sz w:val="23"/>
              </w:rPr>
            </w:pPr>
            <w:r>
              <w:rPr>
                <w:rFonts w:cs="Times New Roman"/>
                <w:sz w:val="23"/>
              </w:rPr>
              <w:t>Chest x</w:t>
            </w:r>
            <w:r w:rsidR="009C7B3F" w:rsidRPr="00422281">
              <w:rPr>
                <w:rFonts w:cs="Times New Roman"/>
                <w:sz w:val="23"/>
              </w:rPr>
              <w:t>-ray</w:t>
            </w:r>
          </w:p>
        </w:tc>
        <w:tc>
          <w:tcPr>
            <w:tcW w:w="1636" w:type="dxa"/>
          </w:tcPr>
          <w:p w14:paraId="7B5876B8" w14:textId="77777777" w:rsidR="009C7B3F" w:rsidRPr="00422281" w:rsidRDefault="009C7B3F" w:rsidP="00C171F0">
            <w:pPr>
              <w:rPr>
                <w:rFonts w:cs="Times New Roman"/>
                <w:sz w:val="23"/>
              </w:rPr>
            </w:pPr>
            <w:r w:rsidRPr="00422281">
              <w:rPr>
                <w:rFonts w:cs="Times New Roman"/>
                <w:sz w:val="23"/>
              </w:rPr>
              <w:t>7.76 (NTP)</w:t>
            </w:r>
          </w:p>
        </w:tc>
        <w:tc>
          <w:tcPr>
            <w:tcW w:w="1165" w:type="dxa"/>
          </w:tcPr>
          <w:p w14:paraId="0BCF618A" w14:textId="77777777" w:rsidR="009C7B3F" w:rsidRPr="00422281" w:rsidRDefault="009C7B3F" w:rsidP="00C171F0">
            <w:pPr>
              <w:rPr>
                <w:rFonts w:cs="Times New Roman"/>
                <w:sz w:val="23"/>
              </w:rPr>
            </w:pPr>
            <w:r w:rsidRPr="00422281">
              <w:rPr>
                <w:rFonts w:cs="Times New Roman"/>
                <w:sz w:val="23"/>
              </w:rPr>
              <w:t>1</w:t>
            </w:r>
          </w:p>
        </w:tc>
        <w:tc>
          <w:tcPr>
            <w:tcW w:w="842" w:type="dxa"/>
          </w:tcPr>
          <w:p w14:paraId="2DDDA5CE" w14:textId="77777777" w:rsidR="009C7B3F" w:rsidRPr="00422281" w:rsidRDefault="009C7B3F" w:rsidP="00C171F0">
            <w:pPr>
              <w:rPr>
                <w:rFonts w:cs="Times New Roman"/>
                <w:sz w:val="23"/>
              </w:rPr>
            </w:pPr>
            <w:r w:rsidRPr="00422281">
              <w:rPr>
                <w:rFonts w:cs="Times New Roman"/>
                <w:sz w:val="23"/>
              </w:rPr>
              <w:t>7.76</w:t>
            </w:r>
          </w:p>
        </w:tc>
        <w:tc>
          <w:tcPr>
            <w:tcW w:w="3653" w:type="dxa"/>
          </w:tcPr>
          <w:p w14:paraId="2B2E8BEE" w14:textId="77777777" w:rsidR="009C7B3F" w:rsidRPr="00422281" w:rsidRDefault="009C7B3F" w:rsidP="00C171F0">
            <w:pPr>
              <w:rPr>
                <w:rFonts w:cs="Times New Roman"/>
                <w:sz w:val="23"/>
              </w:rPr>
            </w:pPr>
            <w:r w:rsidRPr="00422281">
              <w:rPr>
                <w:rFonts w:cs="Times New Roman"/>
                <w:sz w:val="23"/>
              </w:rPr>
              <w:t>Done once per patient for baseline</w:t>
            </w:r>
          </w:p>
        </w:tc>
      </w:tr>
      <w:tr w:rsidR="009C7B3F" w:rsidRPr="00422281" w14:paraId="7AE4537A" w14:textId="77777777" w:rsidTr="00C171F0">
        <w:tc>
          <w:tcPr>
            <w:tcW w:w="9105" w:type="dxa"/>
            <w:gridSpan w:val="5"/>
          </w:tcPr>
          <w:p w14:paraId="269D481D" w14:textId="77777777" w:rsidR="009C7B3F" w:rsidRPr="00422281" w:rsidRDefault="009C7B3F" w:rsidP="00C171F0">
            <w:pPr>
              <w:rPr>
                <w:rFonts w:cs="Times New Roman"/>
                <w:sz w:val="23"/>
              </w:rPr>
            </w:pPr>
            <w:r w:rsidRPr="00422281">
              <w:rPr>
                <w:rFonts w:cs="Times New Roman"/>
                <w:sz w:val="23"/>
              </w:rPr>
              <w:t>During treatment</w:t>
            </w:r>
          </w:p>
        </w:tc>
      </w:tr>
      <w:tr w:rsidR="009C7B3F" w:rsidRPr="00422281" w14:paraId="6DFBAD5B" w14:textId="77777777" w:rsidTr="00C171F0">
        <w:tc>
          <w:tcPr>
            <w:tcW w:w="1809" w:type="dxa"/>
          </w:tcPr>
          <w:p w14:paraId="24637272" w14:textId="77777777" w:rsidR="009C7B3F" w:rsidRPr="00422281" w:rsidRDefault="009C7B3F" w:rsidP="00C171F0">
            <w:pPr>
              <w:rPr>
                <w:rFonts w:cs="Times New Roman"/>
                <w:sz w:val="23"/>
              </w:rPr>
            </w:pPr>
            <w:r w:rsidRPr="00422281">
              <w:rPr>
                <w:rFonts w:cs="Times New Roman"/>
                <w:sz w:val="23"/>
              </w:rPr>
              <w:t xml:space="preserve">TB culture </w:t>
            </w:r>
          </w:p>
        </w:tc>
        <w:tc>
          <w:tcPr>
            <w:tcW w:w="1636" w:type="dxa"/>
          </w:tcPr>
          <w:p w14:paraId="162A5450" w14:textId="77777777" w:rsidR="009C7B3F" w:rsidRPr="00422281" w:rsidRDefault="009C7B3F" w:rsidP="00C171F0">
            <w:pPr>
              <w:rPr>
                <w:rFonts w:cs="Times New Roman"/>
                <w:sz w:val="23"/>
              </w:rPr>
            </w:pPr>
            <w:r w:rsidRPr="00422281">
              <w:rPr>
                <w:rFonts w:cs="Times New Roman"/>
                <w:sz w:val="23"/>
              </w:rPr>
              <w:t>6.09 (NTP)</w:t>
            </w:r>
          </w:p>
        </w:tc>
        <w:tc>
          <w:tcPr>
            <w:tcW w:w="1165" w:type="dxa"/>
          </w:tcPr>
          <w:p w14:paraId="70F12CD1" w14:textId="77777777" w:rsidR="009C7B3F" w:rsidRPr="00422281" w:rsidRDefault="009C7B3F" w:rsidP="00C171F0">
            <w:pPr>
              <w:rPr>
                <w:rFonts w:cs="Times New Roman"/>
                <w:sz w:val="23"/>
              </w:rPr>
            </w:pPr>
            <w:r w:rsidRPr="00422281">
              <w:rPr>
                <w:rFonts w:cs="Times New Roman"/>
                <w:sz w:val="23"/>
              </w:rPr>
              <w:t>12</w:t>
            </w:r>
          </w:p>
        </w:tc>
        <w:tc>
          <w:tcPr>
            <w:tcW w:w="842" w:type="dxa"/>
          </w:tcPr>
          <w:p w14:paraId="6F51511F" w14:textId="77777777" w:rsidR="009C7B3F" w:rsidRPr="00422281" w:rsidRDefault="009C7B3F" w:rsidP="00C171F0">
            <w:pPr>
              <w:rPr>
                <w:rFonts w:cs="Times New Roman"/>
                <w:sz w:val="23"/>
              </w:rPr>
            </w:pPr>
            <w:r w:rsidRPr="00422281">
              <w:rPr>
                <w:rFonts w:cs="Times New Roman"/>
                <w:sz w:val="23"/>
              </w:rPr>
              <w:t>73.08</w:t>
            </w:r>
          </w:p>
        </w:tc>
        <w:tc>
          <w:tcPr>
            <w:tcW w:w="3653" w:type="dxa"/>
          </w:tcPr>
          <w:p w14:paraId="1DA21490" w14:textId="77777777" w:rsidR="009C7B3F" w:rsidRPr="00422281" w:rsidRDefault="009C7B3F" w:rsidP="00C171F0">
            <w:pPr>
              <w:rPr>
                <w:rFonts w:cs="Times New Roman"/>
              </w:rPr>
            </w:pPr>
            <w:r w:rsidRPr="00422281">
              <w:rPr>
                <w:rFonts w:cs="Times New Roman"/>
              </w:rPr>
              <w:t>Done every month for the first 8 months and quarterly thereafter</w:t>
            </w:r>
          </w:p>
        </w:tc>
      </w:tr>
      <w:tr w:rsidR="009C7B3F" w:rsidRPr="00422281" w14:paraId="4A86645F" w14:textId="77777777" w:rsidTr="00C171F0">
        <w:tc>
          <w:tcPr>
            <w:tcW w:w="1809" w:type="dxa"/>
          </w:tcPr>
          <w:p w14:paraId="6B365C1D" w14:textId="77777777" w:rsidR="009C7B3F" w:rsidRPr="00422281" w:rsidRDefault="009C7B3F" w:rsidP="00C171F0">
            <w:pPr>
              <w:rPr>
                <w:rFonts w:cs="Times New Roman"/>
                <w:sz w:val="23"/>
              </w:rPr>
            </w:pPr>
            <w:r w:rsidRPr="00422281">
              <w:rPr>
                <w:rFonts w:cs="Times New Roman"/>
                <w:sz w:val="23"/>
              </w:rPr>
              <w:t xml:space="preserve">Bed + personnel + tests other than culture </w:t>
            </w:r>
          </w:p>
        </w:tc>
        <w:tc>
          <w:tcPr>
            <w:tcW w:w="1636" w:type="dxa"/>
          </w:tcPr>
          <w:p w14:paraId="1F78BF7F" w14:textId="77777777" w:rsidR="009C7B3F" w:rsidRPr="00422281" w:rsidRDefault="009C7B3F" w:rsidP="00C171F0">
            <w:pPr>
              <w:rPr>
                <w:rFonts w:cs="Times New Roman"/>
                <w:sz w:val="23"/>
              </w:rPr>
            </w:pPr>
            <w:r w:rsidRPr="00422281">
              <w:rPr>
                <w:rFonts w:cs="Times New Roman"/>
                <w:sz w:val="23"/>
              </w:rPr>
              <w:t>23 per day (NTP)</w:t>
            </w:r>
          </w:p>
        </w:tc>
        <w:tc>
          <w:tcPr>
            <w:tcW w:w="1165" w:type="dxa"/>
          </w:tcPr>
          <w:p w14:paraId="76572175" w14:textId="77777777" w:rsidR="009C7B3F" w:rsidRPr="00422281" w:rsidRDefault="009C7B3F" w:rsidP="00C171F0">
            <w:pPr>
              <w:rPr>
                <w:rFonts w:cs="Times New Roman"/>
                <w:sz w:val="23"/>
              </w:rPr>
            </w:pPr>
            <w:r w:rsidRPr="00422281">
              <w:rPr>
                <w:rFonts w:cs="Times New Roman"/>
                <w:sz w:val="23"/>
              </w:rPr>
              <w:t>245 days</w:t>
            </w:r>
          </w:p>
        </w:tc>
        <w:tc>
          <w:tcPr>
            <w:tcW w:w="842" w:type="dxa"/>
          </w:tcPr>
          <w:p w14:paraId="07AB79CC" w14:textId="77777777" w:rsidR="009C7B3F" w:rsidRPr="00422281" w:rsidRDefault="009C7B3F" w:rsidP="00C171F0">
            <w:pPr>
              <w:rPr>
                <w:rFonts w:cs="Times New Roman"/>
                <w:sz w:val="23"/>
              </w:rPr>
            </w:pPr>
            <w:r w:rsidRPr="00422281">
              <w:rPr>
                <w:rFonts w:cs="Times New Roman"/>
                <w:sz w:val="23"/>
              </w:rPr>
              <w:t>5 635</w:t>
            </w:r>
          </w:p>
        </w:tc>
        <w:tc>
          <w:tcPr>
            <w:tcW w:w="3653" w:type="dxa"/>
          </w:tcPr>
          <w:p w14:paraId="586C36FD" w14:textId="77777777" w:rsidR="009C7B3F" w:rsidRPr="00422281" w:rsidRDefault="009C7B3F" w:rsidP="00C171F0">
            <w:pPr>
              <w:rPr>
                <w:rFonts w:cs="Times New Roman"/>
                <w:sz w:val="23"/>
              </w:rPr>
            </w:pPr>
          </w:p>
        </w:tc>
      </w:tr>
      <w:tr w:rsidR="009C7B3F" w:rsidRPr="00422281" w14:paraId="3EF4D967" w14:textId="77777777" w:rsidTr="00C171F0">
        <w:tc>
          <w:tcPr>
            <w:tcW w:w="1809" w:type="dxa"/>
          </w:tcPr>
          <w:p w14:paraId="20C56FE6" w14:textId="77777777" w:rsidR="009C7B3F" w:rsidRPr="00422281" w:rsidRDefault="009C7B3F" w:rsidP="00C171F0">
            <w:pPr>
              <w:rPr>
                <w:rFonts w:cs="Times New Roman"/>
                <w:sz w:val="23"/>
              </w:rPr>
            </w:pPr>
            <w:r w:rsidRPr="00422281">
              <w:rPr>
                <w:rFonts w:cs="Times New Roman"/>
                <w:sz w:val="23"/>
              </w:rPr>
              <w:t>Drug cost</w:t>
            </w:r>
          </w:p>
        </w:tc>
        <w:tc>
          <w:tcPr>
            <w:tcW w:w="1636" w:type="dxa"/>
          </w:tcPr>
          <w:p w14:paraId="516286CC" w14:textId="0508F7E6" w:rsidR="009C7B3F" w:rsidRPr="00422281" w:rsidRDefault="00B52486" w:rsidP="00B52486">
            <w:pPr>
              <w:rPr>
                <w:rFonts w:cs="Times New Roman"/>
                <w:sz w:val="23"/>
              </w:rPr>
            </w:pPr>
            <w:r>
              <w:rPr>
                <w:rFonts w:cs="Times New Roman"/>
                <w:sz w:val="23"/>
              </w:rPr>
              <w:t>1046</w:t>
            </w:r>
            <w:r w:rsidR="009C7B3F" w:rsidRPr="00422281">
              <w:rPr>
                <w:rFonts w:cs="Times New Roman"/>
                <w:sz w:val="23"/>
              </w:rPr>
              <w:t xml:space="preserve"> </w:t>
            </w:r>
          </w:p>
        </w:tc>
        <w:tc>
          <w:tcPr>
            <w:tcW w:w="1165" w:type="dxa"/>
          </w:tcPr>
          <w:p w14:paraId="4BDA1B72" w14:textId="77777777" w:rsidR="009C7B3F" w:rsidRPr="00422281" w:rsidRDefault="009C7B3F" w:rsidP="00C171F0">
            <w:pPr>
              <w:rPr>
                <w:rFonts w:cs="Times New Roman"/>
                <w:sz w:val="23"/>
              </w:rPr>
            </w:pPr>
            <w:r w:rsidRPr="00422281">
              <w:rPr>
                <w:rFonts w:cs="Times New Roman"/>
                <w:sz w:val="23"/>
              </w:rPr>
              <w:t>1</w:t>
            </w:r>
          </w:p>
        </w:tc>
        <w:tc>
          <w:tcPr>
            <w:tcW w:w="842" w:type="dxa"/>
          </w:tcPr>
          <w:p w14:paraId="095BCE5E" w14:textId="77777777" w:rsidR="009C7B3F" w:rsidRPr="00422281" w:rsidRDefault="009C7B3F" w:rsidP="00C171F0">
            <w:pPr>
              <w:rPr>
                <w:rFonts w:cs="Times New Roman"/>
                <w:sz w:val="23"/>
              </w:rPr>
            </w:pPr>
            <w:r w:rsidRPr="00422281">
              <w:rPr>
                <w:rFonts w:cs="Times New Roman"/>
                <w:sz w:val="23"/>
              </w:rPr>
              <w:t>1 046</w:t>
            </w:r>
          </w:p>
        </w:tc>
        <w:tc>
          <w:tcPr>
            <w:tcW w:w="3653" w:type="dxa"/>
          </w:tcPr>
          <w:p w14:paraId="2208997B" w14:textId="77777777" w:rsidR="009C7B3F" w:rsidRPr="00422281" w:rsidRDefault="009C7B3F" w:rsidP="00C171F0">
            <w:pPr>
              <w:rPr>
                <w:rFonts w:cs="Times New Roman"/>
                <w:sz w:val="23"/>
              </w:rPr>
            </w:pPr>
            <w:r w:rsidRPr="00422281">
              <w:rPr>
                <w:rFonts w:cs="Times New Roman"/>
                <w:sz w:val="23"/>
              </w:rPr>
              <w:t>Philippines data, which are based on Global Drug Facility Product Catalogue</w:t>
            </w:r>
          </w:p>
        </w:tc>
      </w:tr>
      <w:tr w:rsidR="009C7B3F" w:rsidRPr="00422281" w14:paraId="32E241D6" w14:textId="77777777" w:rsidTr="00C171F0">
        <w:tc>
          <w:tcPr>
            <w:tcW w:w="1809" w:type="dxa"/>
          </w:tcPr>
          <w:p w14:paraId="52451677" w14:textId="77777777" w:rsidR="009C7B3F" w:rsidRPr="00422281" w:rsidRDefault="009C7B3F" w:rsidP="00C171F0">
            <w:pPr>
              <w:rPr>
                <w:rFonts w:cs="Times New Roman"/>
                <w:sz w:val="23"/>
              </w:rPr>
            </w:pPr>
            <w:r w:rsidRPr="00422281">
              <w:rPr>
                <w:rFonts w:cs="Times New Roman"/>
                <w:sz w:val="23"/>
              </w:rPr>
              <w:t xml:space="preserve">Food voucher </w:t>
            </w:r>
          </w:p>
        </w:tc>
        <w:tc>
          <w:tcPr>
            <w:tcW w:w="1636" w:type="dxa"/>
          </w:tcPr>
          <w:p w14:paraId="3F7BA919" w14:textId="77777777" w:rsidR="009C7B3F" w:rsidRPr="00422281" w:rsidRDefault="009C7B3F" w:rsidP="00C171F0">
            <w:pPr>
              <w:rPr>
                <w:rFonts w:cs="Times New Roman"/>
                <w:sz w:val="23"/>
              </w:rPr>
            </w:pPr>
            <w:r w:rsidRPr="00422281">
              <w:rPr>
                <w:rFonts w:cs="Times New Roman"/>
                <w:sz w:val="23"/>
              </w:rPr>
              <w:t>1.53 per week (NTP)</w:t>
            </w:r>
          </w:p>
        </w:tc>
        <w:tc>
          <w:tcPr>
            <w:tcW w:w="1165" w:type="dxa"/>
          </w:tcPr>
          <w:p w14:paraId="06130412" w14:textId="77777777" w:rsidR="009C7B3F" w:rsidRPr="00422281" w:rsidRDefault="009C7B3F" w:rsidP="00C171F0">
            <w:pPr>
              <w:rPr>
                <w:rFonts w:cs="Times New Roman"/>
                <w:sz w:val="23"/>
              </w:rPr>
            </w:pPr>
            <w:r w:rsidRPr="00422281">
              <w:rPr>
                <w:rFonts w:cs="Times New Roman"/>
                <w:sz w:val="23"/>
              </w:rPr>
              <w:t>560 days</w:t>
            </w:r>
          </w:p>
        </w:tc>
        <w:tc>
          <w:tcPr>
            <w:tcW w:w="842" w:type="dxa"/>
          </w:tcPr>
          <w:p w14:paraId="228FCDCE" w14:textId="77777777" w:rsidR="009C7B3F" w:rsidRPr="00422281" w:rsidRDefault="009C7B3F" w:rsidP="00C171F0">
            <w:pPr>
              <w:rPr>
                <w:rFonts w:cs="Times New Roman"/>
                <w:sz w:val="23"/>
              </w:rPr>
            </w:pPr>
            <w:r w:rsidRPr="00422281">
              <w:rPr>
                <w:rFonts w:cs="Times New Roman"/>
                <w:sz w:val="23"/>
              </w:rPr>
              <w:t>857</w:t>
            </w:r>
          </w:p>
        </w:tc>
        <w:tc>
          <w:tcPr>
            <w:tcW w:w="3653" w:type="dxa"/>
          </w:tcPr>
          <w:p w14:paraId="01D71236" w14:textId="77777777" w:rsidR="009C7B3F" w:rsidRPr="00422281" w:rsidRDefault="009C7B3F" w:rsidP="00C171F0">
            <w:pPr>
              <w:rPr>
                <w:rFonts w:cs="Times New Roman"/>
                <w:sz w:val="23"/>
              </w:rPr>
            </w:pPr>
            <w:r w:rsidRPr="00422281">
              <w:rPr>
                <w:rFonts w:cs="Times New Roman"/>
                <w:sz w:val="23"/>
              </w:rPr>
              <w:t>Only given to weeks of complete treatment</w:t>
            </w:r>
          </w:p>
        </w:tc>
      </w:tr>
      <w:tr w:rsidR="009C7B3F" w:rsidRPr="00422281" w14:paraId="4196362D" w14:textId="77777777" w:rsidTr="00C171F0">
        <w:tc>
          <w:tcPr>
            <w:tcW w:w="1809" w:type="dxa"/>
          </w:tcPr>
          <w:p w14:paraId="2D048CA2" w14:textId="77777777" w:rsidR="009C7B3F" w:rsidRPr="00422281" w:rsidRDefault="009C7B3F" w:rsidP="00C171F0">
            <w:pPr>
              <w:rPr>
                <w:rFonts w:cs="Times New Roman"/>
                <w:sz w:val="23"/>
              </w:rPr>
            </w:pPr>
            <w:r w:rsidRPr="00422281">
              <w:rPr>
                <w:rFonts w:cs="Times New Roman"/>
                <w:sz w:val="23"/>
              </w:rPr>
              <w:t>Ambulatory care</w:t>
            </w:r>
          </w:p>
        </w:tc>
        <w:tc>
          <w:tcPr>
            <w:tcW w:w="1636" w:type="dxa"/>
          </w:tcPr>
          <w:p w14:paraId="2293DDD2" w14:textId="77777777" w:rsidR="009C7B3F" w:rsidRPr="00422281" w:rsidRDefault="009C7B3F" w:rsidP="00C171F0">
            <w:pPr>
              <w:rPr>
                <w:rFonts w:cs="Times New Roman"/>
                <w:sz w:val="23"/>
              </w:rPr>
            </w:pPr>
            <w:r w:rsidRPr="00422281">
              <w:rPr>
                <w:rFonts w:cs="Times New Roman"/>
                <w:sz w:val="23"/>
              </w:rPr>
              <w:t>5.01 per visit (NTP)</w:t>
            </w:r>
          </w:p>
        </w:tc>
        <w:tc>
          <w:tcPr>
            <w:tcW w:w="1165" w:type="dxa"/>
          </w:tcPr>
          <w:p w14:paraId="1DB19942" w14:textId="77777777" w:rsidR="009C7B3F" w:rsidRPr="00422281" w:rsidRDefault="009C7B3F" w:rsidP="00C171F0">
            <w:pPr>
              <w:rPr>
                <w:rFonts w:cs="Times New Roman"/>
                <w:sz w:val="23"/>
              </w:rPr>
            </w:pPr>
            <w:r w:rsidRPr="00422281">
              <w:rPr>
                <w:rFonts w:cs="Times New Roman"/>
                <w:sz w:val="23"/>
              </w:rPr>
              <w:t>32 visits</w:t>
            </w:r>
          </w:p>
        </w:tc>
        <w:tc>
          <w:tcPr>
            <w:tcW w:w="842" w:type="dxa"/>
          </w:tcPr>
          <w:p w14:paraId="415135E5" w14:textId="77777777" w:rsidR="009C7B3F" w:rsidRPr="00422281" w:rsidRDefault="009C7B3F" w:rsidP="00C171F0">
            <w:pPr>
              <w:rPr>
                <w:rFonts w:cs="Times New Roman"/>
                <w:sz w:val="23"/>
              </w:rPr>
            </w:pPr>
            <w:r w:rsidRPr="00422281">
              <w:rPr>
                <w:rFonts w:cs="Times New Roman"/>
                <w:sz w:val="23"/>
              </w:rPr>
              <w:t>163.2</w:t>
            </w:r>
          </w:p>
        </w:tc>
        <w:tc>
          <w:tcPr>
            <w:tcW w:w="3653" w:type="dxa"/>
          </w:tcPr>
          <w:p w14:paraId="638D5F84" w14:textId="77777777" w:rsidR="009C7B3F" w:rsidRPr="00422281" w:rsidRDefault="009C7B3F" w:rsidP="00C171F0">
            <w:pPr>
              <w:rPr>
                <w:rFonts w:cs="Times New Roman"/>
                <w:sz w:val="23"/>
              </w:rPr>
            </w:pPr>
            <w:r w:rsidRPr="00422281">
              <w:rPr>
                <w:rFonts w:cs="Times New Roman"/>
                <w:sz w:val="23"/>
              </w:rPr>
              <w:t xml:space="preserve">Weekly visit for 32 weeks of ambulatory care </w:t>
            </w:r>
          </w:p>
        </w:tc>
      </w:tr>
      <w:tr w:rsidR="009C7B3F" w:rsidRPr="00422281" w14:paraId="3F543A9B" w14:textId="77777777" w:rsidTr="00C171F0">
        <w:tc>
          <w:tcPr>
            <w:tcW w:w="5452" w:type="dxa"/>
            <w:gridSpan w:val="4"/>
            <w:tcBorders>
              <w:bottom w:val="single" w:sz="4" w:space="0" w:color="auto"/>
            </w:tcBorders>
          </w:tcPr>
          <w:p w14:paraId="3AA9336A" w14:textId="77777777" w:rsidR="009C7B3F" w:rsidRPr="00422281" w:rsidRDefault="009C7B3F" w:rsidP="00C171F0">
            <w:pPr>
              <w:rPr>
                <w:rFonts w:cs="Times New Roman"/>
                <w:b/>
                <w:sz w:val="23"/>
              </w:rPr>
            </w:pPr>
            <w:r w:rsidRPr="00422281">
              <w:rPr>
                <w:rFonts w:cs="Times New Roman"/>
                <w:b/>
                <w:sz w:val="23"/>
              </w:rPr>
              <w:t>Total per patient</w:t>
            </w:r>
          </w:p>
        </w:tc>
        <w:tc>
          <w:tcPr>
            <w:tcW w:w="3653" w:type="dxa"/>
            <w:tcBorders>
              <w:bottom w:val="single" w:sz="4" w:space="0" w:color="auto"/>
            </w:tcBorders>
          </w:tcPr>
          <w:p w14:paraId="082645E6" w14:textId="77777777" w:rsidR="009C7B3F" w:rsidRPr="00422281" w:rsidRDefault="009C7B3F" w:rsidP="00C171F0">
            <w:pPr>
              <w:rPr>
                <w:rFonts w:cs="Times New Roman"/>
                <w:b/>
                <w:i/>
                <w:sz w:val="23"/>
              </w:rPr>
            </w:pPr>
            <w:r w:rsidRPr="00422281">
              <w:rPr>
                <w:rFonts w:cs="Times New Roman"/>
                <w:b/>
                <w:i/>
                <w:sz w:val="23"/>
              </w:rPr>
              <w:t xml:space="preserve">EUR 7 861 </w:t>
            </w:r>
          </w:p>
        </w:tc>
      </w:tr>
      <w:tr w:rsidR="009C7B3F" w:rsidRPr="00422281" w14:paraId="0207BB3D" w14:textId="77777777" w:rsidTr="00C171F0">
        <w:tc>
          <w:tcPr>
            <w:tcW w:w="9105" w:type="dxa"/>
            <w:gridSpan w:val="5"/>
            <w:tcBorders>
              <w:top w:val="single" w:sz="4" w:space="0" w:color="auto"/>
              <w:left w:val="nil"/>
              <w:bottom w:val="single" w:sz="4" w:space="0" w:color="auto"/>
              <w:right w:val="nil"/>
            </w:tcBorders>
          </w:tcPr>
          <w:p w14:paraId="1D59330A" w14:textId="77777777" w:rsidR="009C7B3F" w:rsidRPr="00422281" w:rsidRDefault="009C7B3F" w:rsidP="00C171F0">
            <w:pPr>
              <w:rPr>
                <w:rFonts w:cs="Times New Roman"/>
                <w:b/>
                <w:i/>
                <w:sz w:val="23"/>
              </w:rPr>
            </w:pPr>
          </w:p>
        </w:tc>
      </w:tr>
      <w:tr w:rsidR="009C7B3F" w:rsidRPr="00422281" w14:paraId="7F508D38" w14:textId="77777777" w:rsidTr="00C171F0">
        <w:tc>
          <w:tcPr>
            <w:tcW w:w="9105" w:type="dxa"/>
            <w:gridSpan w:val="5"/>
            <w:tcBorders>
              <w:top w:val="single" w:sz="4" w:space="0" w:color="auto"/>
            </w:tcBorders>
          </w:tcPr>
          <w:p w14:paraId="7DA6B3E6" w14:textId="77777777" w:rsidR="009C7B3F" w:rsidRPr="00422281" w:rsidRDefault="009C7B3F" w:rsidP="00C171F0">
            <w:pPr>
              <w:rPr>
                <w:rFonts w:cs="Times New Roman"/>
                <w:sz w:val="23"/>
              </w:rPr>
            </w:pPr>
            <w:r w:rsidRPr="00422281">
              <w:rPr>
                <w:rFonts w:cs="Times New Roman"/>
                <w:b/>
                <w:i/>
                <w:sz w:val="23"/>
              </w:rPr>
              <w:t>12-month regimen</w:t>
            </w:r>
          </w:p>
        </w:tc>
      </w:tr>
      <w:tr w:rsidR="009C7B3F" w:rsidRPr="00422281" w14:paraId="3CE0BA98" w14:textId="77777777" w:rsidTr="00C171F0">
        <w:tc>
          <w:tcPr>
            <w:tcW w:w="9105" w:type="dxa"/>
            <w:gridSpan w:val="5"/>
          </w:tcPr>
          <w:p w14:paraId="5046881E" w14:textId="77777777" w:rsidR="009C7B3F" w:rsidRPr="00422281" w:rsidRDefault="009C7B3F" w:rsidP="00C171F0">
            <w:pPr>
              <w:rPr>
                <w:rFonts w:cs="Times New Roman"/>
                <w:sz w:val="23"/>
              </w:rPr>
            </w:pPr>
            <w:r w:rsidRPr="00422281">
              <w:rPr>
                <w:rFonts w:cs="Times New Roman"/>
                <w:sz w:val="23"/>
              </w:rPr>
              <w:t xml:space="preserve">Screening and baseline lab </w:t>
            </w:r>
          </w:p>
        </w:tc>
      </w:tr>
      <w:tr w:rsidR="009C7B3F" w:rsidRPr="00422281" w14:paraId="0BEADE0A" w14:textId="77777777" w:rsidTr="00C171F0">
        <w:tc>
          <w:tcPr>
            <w:tcW w:w="1806" w:type="dxa"/>
          </w:tcPr>
          <w:p w14:paraId="14632EF1" w14:textId="77777777" w:rsidR="009C7B3F" w:rsidRPr="00422281" w:rsidRDefault="009C7B3F" w:rsidP="00C171F0">
            <w:pPr>
              <w:rPr>
                <w:rFonts w:cs="Times New Roman"/>
                <w:sz w:val="23"/>
              </w:rPr>
            </w:pPr>
            <w:r w:rsidRPr="00422281">
              <w:rPr>
                <w:rFonts w:cs="Times New Roman"/>
                <w:sz w:val="23"/>
              </w:rPr>
              <w:t xml:space="preserve">DSSM </w:t>
            </w:r>
          </w:p>
        </w:tc>
        <w:tc>
          <w:tcPr>
            <w:tcW w:w="1636" w:type="dxa"/>
          </w:tcPr>
          <w:p w14:paraId="3C0C7F3C" w14:textId="77777777" w:rsidR="009C7B3F" w:rsidRPr="00422281" w:rsidRDefault="009C7B3F" w:rsidP="00C171F0">
            <w:pPr>
              <w:rPr>
                <w:rFonts w:cs="Times New Roman"/>
                <w:sz w:val="23"/>
              </w:rPr>
            </w:pPr>
            <w:r w:rsidRPr="00422281">
              <w:rPr>
                <w:rFonts w:cs="Times New Roman"/>
                <w:sz w:val="23"/>
              </w:rPr>
              <w:t>3.06 (NTP)</w:t>
            </w:r>
          </w:p>
        </w:tc>
        <w:tc>
          <w:tcPr>
            <w:tcW w:w="1165" w:type="dxa"/>
          </w:tcPr>
          <w:p w14:paraId="4679F6AA" w14:textId="77777777" w:rsidR="009C7B3F" w:rsidRPr="00422281" w:rsidRDefault="009C7B3F" w:rsidP="00C171F0">
            <w:pPr>
              <w:rPr>
                <w:rFonts w:cs="Times New Roman"/>
                <w:sz w:val="23"/>
              </w:rPr>
            </w:pPr>
            <w:r w:rsidRPr="00422281">
              <w:rPr>
                <w:rFonts w:cs="Times New Roman"/>
                <w:sz w:val="23"/>
              </w:rPr>
              <w:t>2</w:t>
            </w:r>
          </w:p>
        </w:tc>
        <w:tc>
          <w:tcPr>
            <w:tcW w:w="850" w:type="dxa"/>
          </w:tcPr>
          <w:p w14:paraId="4FF8B7BE" w14:textId="77777777" w:rsidR="009C7B3F" w:rsidRPr="00422281" w:rsidRDefault="009C7B3F" w:rsidP="00C171F0">
            <w:pPr>
              <w:rPr>
                <w:rFonts w:cs="Times New Roman"/>
                <w:sz w:val="23"/>
              </w:rPr>
            </w:pPr>
            <w:r w:rsidRPr="00422281">
              <w:rPr>
                <w:rFonts w:cs="Times New Roman"/>
                <w:sz w:val="23"/>
              </w:rPr>
              <w:t>6.12</w:t>
            </w:r>
          </w:p>
        </w:tc>
        <w:tc>
          <w:tcPr>
            <w:tcW w:w="3648" w:type="dxa"/>
          </w:tcPr>
          <w:p w14:paraId="13ADC1A7" w14:textId="77777777" w:rsidR="009C7B3F" w:rsidRPr="00422281" w:rsidRDefault="009C7B3F" w:rsidP="00C171F0">
            <w:pPr>
              <w:rPr>
                <w:rFonts w:cs="Times New Roman"/>
                <w:sz w:val="23"/>
              </w:rPr>
            </w:pPr>
            <w:r w:rsidRPr="00422281">
              <w:rPr>
                <w:rFonts w:cs="Times New Roman"/>
                <w:sz w:val="23"/>
              </w:rPr>
              <w:t>Done twice (screening and baseline)</w:t>
            </w:r>
          </w:p>
        </w:tc>
      </w:tr>
      <w:tr w:rsidR="009C7B3F" w:rsidRPr="00422281" w14:paraId="223E2912" w14:textId="77777777" w:rsidTr="00C171F0">
        <w:tc>
          <w:tcPr>
            <w:tcW w:w="1806" w:type="dxa"/>
          </w:tcPr>
          <w:p w14:paraId="4C54EC37" w14:textId="77777777" w:rsidR="009C7B3F" w:rsidRPr="00422281" w:rsidRDefault="009C7B3F" w:rsidP="00C171F0">
            <w:pPr>
              <w:rPr>
                <w:rFonts w:cs="Times New Roman"/>
                <w:sz w:val="23"/>
              </w:rPr>
            </w:pPr>
            <w:r w:rsidRPr="00422281">
              <w:rPr>
                <w:rFonts w:cs="Times New Roman"/>
                <w:sz w:val="23"/>
              </w:rPr>
              <w:lastRenderedPageBreak/>
              <w:t xml:space="preserve">TB culture </w:t>
            </w:r>
          </w:p>
        </w:tc>
        <w:tc>
          <w:tcPr>
            <w:tcW w:w="1636" w:type="dxa"/>
          </w:tcPr>
          <w:p w14:paraId="70F6D7DD" w14:textId="77777777" w:rsidR="009C7B3F" w:rsidRPr="00422281" w:rsidRDefault="009C7B3F" w:rsidP="00C171F0">
            <w:pPr>
              <w:rPr>
                <w:rFonts w:cs="Times New Roman"/>
                <w:sz w:val="23"/>
              </w:rPr>
            </w:pPr>
            <w:r w:rsidRPr="00422281">
              <w:rPr>
                <w:rFonts w:cs="Times New Roman"/>
                <w:sz w:val="23"/>
              </w:rPr>
              <w:t>6.09 (NTP)</w:t>
            </w:r>
          </w:p>
        </w:tc>
        <w:tc>
          <w:tcPr>
            <w:tcW w:w="1165" w:type="dxa"/>
          </w:tcPr>
          <w:p w14:paraId="48C429FA" w14:textId="77777777" w:rsidR="009C7B3F" w:rsidRPr="00422281" w:rsidRDefault="009C7B3F" w:rsidP="00C171F0">
            <w:pPr>
              <w:rPr>
                <w:rFonts w:cs="Times New Roman"/>
                <w:sz w:val="23"/>
              </w:rPr>
            </w:pPr>
            <w:r w:rsidRPr="00422281">
              <w:rPr>
                <w:rFonts w:cs="Times New Roman"/>
                <w:sz w:val="23"/>
              </w:rPr>
              <w:t>1</w:t>
            </w:r>
          </w:p>
        </w:tc>
        <w:tc>
          <w:tcPr>
            <w:tcW w:w="850" w:type="dxa"/>
          </w:tcPr>
          <w:p w14:paraId="288B3CDB" w14:textId="77777777" w:rsidR="009C7B3F" w:rsidRPr="00422281" w:rsidRDefault="009C7B3F" w:rsidP="00C171F0">
            <w:pPr>
              <w:rPr>
                <w:rFonts w:cs="Times New Roman"/>
                <w:sz w:val="23"/>
              </w:rPr>
            </w:pPr>
            <w:r w:rsidRPr="00422281">
              <w:rPr>
                <w:rFonts w:cs="Times New Roman"/>
                <w:sz w:val="23"/>
              </w:rPr>
              <w:t>6.09</w:t>
            </w:r>
          </w:p>
        </w:tc>
        <w:tc>
          <w:tcPr>
            <w:tcW w:w="3648" w:type="dxa"/>
          </w:tcPr>
          <w:p w14:paraId="00AA59A8" w14:textId="77777777" w:rsidR="009C7B3F" w:rsidRPr="00422281" w:rsidRDefault="009C7B3F" w:rsidP="00C171F0">
            <w:pPr>
              <w:rPr>
                <w:rFonts w:cs="Times New Roman"/>
                <w:sz w:val="23"/>
              </w:rPr>
            </w:pPr>
            <w:r w:rsidRPr="00422281">
              <w:rPr>
                <w:rFonts w:cs="Times New Roman"/>
                <w:sz w:val="23"/>
              </w:rPr>
              <w:t xml:space="preserve">Done once per patient for diagnosis </w:t>
            </w:r>
          </w:p>
        </w:tc>
      </w:tr>
      <w:tr w:rsidR="009C7B3F" w:rsidRPr="00422281" w14:paraId="5F8C938B" w14:textId="77777777" w:rsidTr="00C171F0">
        <w:tc>
          <w:tcPr>
            <w:tcW w:w="1806" w:type="dxa"/>
          </w:tcPr>
          <w:p w14:paraId="45BA635E" w14:textId="77777777" w:rsidR="009C7B3F" w:rsidRPr="00422281" w:rsidRDefault="009C7B3F" w:rsidP="00C171F0">
            <w:pPr>
              <w:rPr>
                <w:rFonts w:cs="Times New Roman"/>
                <w:sz w:val="23"/>
              </w:rPr>
            </w:pPr>
            <w:r w:rsidRPr="00422281">
              <w:rPr>
                <w:rFonts w:cs="Times New Roman"/>
                <w:sz w:val="23"/>
              </w:rPr>
              <w:t>DST</w:t>
            </w:r>
          </w:p>
        </w:tc>
        <w:tc>
          <w:tcPr>
            <w:tcW w:w="1636" w:type="dxa"/>
          </w:tcPr>
          <w:p w14:paraId="1A82EB99" w14:textId="77777777" w:rsidR="009C7B3F" w:rsidRPr="00422281" w:rsidRDefault="009C7B3F" w:rsidP="00C171F0">
            <w:pPr>
              <w:rPr>
                <w:rFonts w:cs="Times New Roman"/>
                <w:sz w:val="23"/>
              </w:rPr>
            </w:pPr>
            <w:r w:rsidRPr="00422281">
              <w:rPr>
                <w:rFonts w:cs="Times New Roman"/>
                <w:sz w:val="23"/>
              </w:rPr>
              <w:t>67.12 (NTP)</w:t>
            </w:r>
          </w:p>
        </w:tc>
        <w:tc>
          <w:tcPr>
            <w:tcW w:w="1165" w:type="dxa"/>
          </w:tcPr>
          <w:p w14:paraId="2B9511AB" w14:textId="77777777" w:rsidR="009C7B3F" w:rsidRPr="00422281" w:rsidRDefault="009C7B3F" w:rsidP="00C171F0">
            <w:pPr>
              <w:rPr>
                <w:rFonts w:cs="Times New Roman"/>
                <w:sz w:val="23"/>
              </w:rPr>
            </w:pPr>
            <w:r w:rsidRPr="00422281">
              <w:rPr>
                <w:rFonts w:cs="Times New Roman"/>
                <w:sz w:val="23"/>
              </w:rPr>
              <w:t>1</w:t>
            </w:r>
          </w:p>
        </w:tc>
        <w:tc>
          <w:tcPr>
            <w:tcW w:w="850" w:type="dxa"/>
          </w:tcPr>
          <w:p w14:paraId="10D392BC" w14:textId="77777777" w:rsidR="009C7B3F" w:rsidRPr="00422281" w:rsidRDefault="009C7B3F" w:rsidP="00C171F0">
            <w:pPr>
              <w:rPr>
                <w:rFonts w:cs="Times New Roman"/>
                <w:sz w:val="23"/>
              </w:rPr>
            </w:pPr>
            <w:r w:rsidRPr="00422281">
              <w:rPr>
                <w:rFonts w:cs="Times New Roman"/>
                <w:sz w:val="23"/>
              </w:rPr>
              <w:t>67.12</w:t>
            </w:r>
          </w:p>
        </w:tc>
        <w:tc>
          <w:tcPr>
            <w:tcW w:w="3648" w:type="dxa"/>
          </w:tcPr>
          <w:p w14:paraId="1FB0DFF6" w14:textId="77777777" w:rsidR="009C7B3F" w:rsidRPr="00422281" w:rsidRDefault="009C7B3F" w:rsidP="00C171F0">
            <w:pPr>
              <w:rPr>
                <w:rFonts w:cs="Times New Roman"/>
                <w:sz w:val="23"/>
              </w:rPr>
            </w:pPr>
            <w:r w:rsidRPr="00422281">
              <w:rPr>
                <w:rFonts w:cs="Times New Roman"/>
                <w:sz w:val="23"/>
              </w:rPr>
              <w:t>Done once per patient for diagnosis</w:t>
            </w:r>
          </w:p>
        </w:tc>
      </w:tr>
      <w:tr w:rsidR="009C7B3F" w:rsidRPr="00422281" w14:paraId="3B94D798" w14:textId="77777777" w:rsidTr="00C171F0">
        <w:tc>
          <w:tcPr>
            <w:tcW w:w="1806" w:type="dxa"/>
          </w:tcPr>
          <w:p w14:paraId="2F0517A9" w14:textId="0FE64038" w:rsidR="009C7B3F" w:rsidRPr="00422281" w:rsidRDefault="00BA153A" w:rsidP="00C171F0">
            <w:pPr>
              <w:rPr>
                <w:rFonts w:cs="Times New Roman"/>
                <w:sz w:val="23"/>
              </w:rPr>
            </w:pPr>
            <w:r>
              <w:rPr>
                <w:rFonts w:cs="Times New Roman"/>
                <w:sz w:val="23"/>
              </w:rPr>
              <w:t>Chest x</w:t>
            </w:r>
            <w:r w:rsidR="009C7B3F" w:rsidRPr="00422281">
              <w:rPr>
                <w:rFonts w:cs="Times New Roman"/>
                <w:sz w:val="23"/>
              </w:rPr>
              <w:t>-ray</w:t>
            </w:r>
          </w:p>
        </w:tc>
        <w:tc>
          <w:tcPr>
            <w:tcW w:w="1636" w:type="dxa"/>
          </w:tcPr>
          <w:p w14:paraId="716971E7" w14:textId="77777777" w:rsidR="009C7B3F" w:rsidRPr="00422281" w:rsidRDefault="009C7B3F" w:rsidP="00C171F0">
            <w:pPr>
              <w:rPr>
                <w:rFonts w:cs="Times New Roman"/>
                <w:sz w:val="23"/>
              </w:rPr>
            </w:pPr>
            <w:r w:rsidRPr="00422281">
              <w:rPr>
                <w:rFonts w:cs="Times New Roman"/>
                <w:sz w:val="23"/>
              </w:rPr>
              <w:t>7.76 (NTP)</w:t>
            </w:r>
          </w:p>
        </w:tc>
        <w:tc>
          <w:tcPr>
            <w:tcW w:w="1165" w:type="dxa"/>
          </w:tcPr>
          <w:p w14:paraId="75439E01" w14:textId="77777777" w:rsidR="009C7B3F" w:rsidRPr="00422281" w:rsidRDefault="009C7B3F" w:rsidP="00C171F0">
            <w:pPr>
              <w:rPr>
                <w:rFonts w:cs="Times New Roman"/>
                <w:sz w:val="23"/>
              </w:rPr>
            </w:pPr>
            <w:r w:rsidRPr="00422281">
              <w:rPr>
                <w:rFonts w:cs="Times New Roman"/>
                <w:sz w:val="23"/>
              </w:rPr>
              <w:t>1</w:t>
            </w:r>
          </w:p>
        </w:tc>
        <w:tc>
          <w:tcPr>
            <w:tcW w:w="850" w:type="dxa"/>
          </w:tcPr>
          <w:p w14:paraId="3E118C91" w14:textId="77777777" w:rsidR="009C7B3F" w:rsidRPr="00422281" w:rsidRDefault="009C7B3F" w:rsidP="00C171F0">
            <w:pPr>
              <w:rPr>
                <w:rFonts w:cs="Times New Roman"/>
                <w:sz w:val="23"/>
              </w:rPr>
            </w:pPr>
            <w:r w:rsidRPr="00422281">
              <w:rPr>
                <w:rFonts w:cs="Times New Roman"/>
                <w:sz w:val="23"/>
              </w:rPr>
              <w:t>7.76</w:t>
            </w:r>
          </w:p>
        </w:tc>
        <w:tc>
          <w:tcPr>
            <w:tcW w:w="3648" w:type="dxa"/>
          </w:tcPr>
          <w:p w14:paraId="424A686C" w14:textId="77777777" w:rsidR="009C7B3F" w:rsidRPr="00422281" w:rsidRDefault="009C7B3F" w:rsidP="00C171F0">
            <w:pPr>
              <w:rPr>
                <w:rFonts w:cs="Times New Roman"/>
                <w:sz w:val="23"/>
              </w:rPr>
            </w:pPr>
            <w:r w:rsidRPr="00422281">
              <w:rPr>
                <w:rFonts w:cs="Times New Roman"/>
                <w:sz w:val="23"/>
              </w:rPr>
              <w:t>Done once per patient for baseline</w:t>
            </w:r>
          </w:p>
        </w:tc>
      </w:tr>
      <w:tr w:rsidR="009C7B3F" w:rsidRPr="00422281" w14:paraId="5222B847" w14:textId="77777777" w:rsidTr="00C171F0">
        <w:tc>
          <w:tcPr>
            <w:tcW w:w="9105" w:type="dxa"/>
            <w:gridSpan w:val="5"/>
          </w:tcPr>
          <w:p w14:paraId="581FAC52" w14:textId="77777777" w:rsidR="009C7B3F" w:rsidRPr="00422281" w:rsidRDefault="009C7B3F" w:rsidP="00C171F0">
            <w:pPr>
              <w:rPr>
                <w:rFonts w:cs="Times New Roman"/>
                <w:sz w:val="23"/>
              </w:rPr>
            </w:pPr>
            <w:r w:rsidRPr="00422281">
              <w:rPr>
                <w:rFonts w:cs="Times New Roman"/>
                <w:sz w:val="23"/>
              </w:rPr>
              <w:t>During treatment</w:t>
            </w:r>
          </w:p>
        </w:tc>
      </w:tr>
      <w:tr w:rsidR="009C7B3F" w:rsidRPr="00422281" w14:paraId="3B3761DC" w14:textId="77777777" w:rsidTr="00C171F0">
        <w:tc>
          <w:tcPr>
            <w:tcW w:w="1806" w:type="dxa"/>
          </w:tcPr>
          <w:p w14:paraId="19046A9D" w14:textId="77777777" w:rsidR="009C7B3F" w:rsidRPr="00422281" w:rsidRDefault="009C7B3F" w:rsidP="00C171F0">
            <w:pPr>
              <w:rPr>
                <w:rFonts w:cs="Times New Roman"/>
                <w:sz w:val="23"/>
              </w:rPr>
            </w:pPr>
            <w:r w:rsidRPr="00422281">
              <w:rPr>
                <w:rFonts w:cs="Times New Roman"/>
                <w:sz w:val="23"/>
              </w:rPr>
              <w:t xml:space="preserve">TB culture </w:t>
            </w:r>
          </w:p>
        </w:tc>
        <w:tc>
          <w:tcPr>
            <w:tcW w:w="1636" w:type="dxa"/>
          </w:tcPr>
          <w:p w14:paraId="597AD550" w14:textId="77777777" w:rsidR="009C7B3F" w:rsidRPr="00422281" w:rsidRDefault="009C7B3F" w:rsidP="00C171F0">
            <w:pPr>
              <w:rPr>
                <w:rFonts w:cs="Times New Roman"/>
                <w:sz w:val="23"/>
              </w:rPr>
            </w:pPr>
            <w:r w:rsidRPr="00422281">
              <w:rPr>
                <w:rFonts w:cs="Times New Roman"/>
                <w:sz w:val="23"/>
              </w:rPr>
              <w:t>6.09 (NTP)</w:t>
            </w:r>
          </w:p>
        </w:tc>
        <w:tc>
          <w:tcPr>
            <w:tcW w:w="1165" w:type="dxa"/>
          </w:tcPr>
          <w:p w14:paraId="58563474" w14:textId="77777777" w:rsidR="009C7B3F" w:rsidRPr="00422281" w:rsidRDefault="009C7B3F" w:rsidP="00C171F0">
            <w:pPr>
              <w:rPr>
                <w:rFonts w:cs="Times New Roman"/>
                <w:sz w:val="23"/>
              </w:rPr>
            </w:pPr>
            <w:r w:rsidRPr="00422281">
              <w:rPr>
                <w:rFonts w:cs="Times New Roman"/>
                <w:sz w:val="23"/>
              </w:rPr>
              <w:t>8</w:t>
            </w:r>
          </w:p>
        </w:tc>
        <w:tc>
          <w:tcPr>
            <w:tcW w:w="850" w:type="dxa"/>
          </w:tcPr>
          <w:p w14:paraId="7E273089" w14:textId="77777777" w:rsidR="009C7B3F" w:rsidRPr="00422281" w:rsidRDefault="009C7B3F" w:rsidP="00C171F0">
            <w:pPr>
              <w:rPr>
                <w:rFonts w:cs="Times New Roman"/>
                <w:sz w:val="23"/>
              </w:rPr>
            </w:pPr>
            <w:r w:rsidRPr="00422281">
              <w:rPr>
                <w:rFonts w:cs="Times New Roman"/>
                <w:sz w:val="23"/>
              </w:rPr>
              <w:t>48.72</w:t>
            </w:r>
          </w:p>
        </w:tc>
        <w:tc>
          <w:tcPr>
            <w:tcW w:w="3648" w:type="dxa"/>
          </w:tcPr>
          <w:p w14:paraId="407DF546" w14:textId="77777777" w:rsidR="009C7B3F" w:rsidRPr="00422281" w:rsidRDefault="009C7B3F" w:rsidP="00C171F0">
            <w:pPr>
              <w:rPr>
                <w:rFonts w:cs="Times New Roman"/>
              </w:rPr>
            </w:pPr>
            <w:r w:rsidRPr="00422281">
              <w:rPr>
                <w:rFonts w:cs="Times New Roman"/>
              </w:rPr>
              <w:t>Done every month for the first 6 months and quarterly thereafter</w:t>
            </w:r>
          </w:p>
        </w:tc>
      </w:tr>
      <w:tr w:rsidR="009C7B3F" w:rsidRPr="00422281" w14:paraId="4E2BCAC1" w14:textId="77777777" w:rsidTr="00C171F0">
        <w:tc>
          <w:tcPr>
            <w:tcW w:w="1806" w:type="dxa"/>
          </w:tcPr>
          <w:p w14:paraId="56B2102F" w14:textId="77777777" w:rsidR="009C7B3F" w:rsidRPr="00422281" w:rsidRDefault="009C7B3F" w:rsidP="00C171F0">
            <w:pPr>
              <w:rPr>
                <w:rFonts w:cs="Times New Roman"/>
                <w:sz w:val="23"/>
              </w:rPr>
            </w:pPr>
            <w:r w:rsidRPr="00422281">
              <w:rPr>
                <w:rFonts w:cs="Times New Roman"/>
                <w:sz w:val="23"/>
              </w:rPr>
              <w:t xml:space="preserve">Bed + personnel + tests other than culture </w:t>
            </w:r>
          </w:p>
        </w:tc>
        <w:tc>
          <w:tcPr>
            <w:tcW w:w="1636" w:type="dxa"/>
          </w:tcPr>
          <w:p w14:paraId="0823BE0F" w14:textId="77777777" w:rsidR="009C7B3F" w:rsidRPr="00422281" w:rsidRDefault="009C7B3F" w:rsidP="00C171F0">
            <w:pPr>
              <w:rPr>
                <w:rFonts w:cs="Times New Roman"/>
                <w:sz w:val="23"/>
              </w:rPr>
            </w:pPr>
            <w:r w:rsidRPr="00422281">
              <w:rPr>
                <w:rFonts w:cs="Times New Roman"/>
                <w:sz w:val="23"/>
              </w:rPr>
              <w:t>23 per day (NTP)</w:t>
            </w:r>
          </w:p>
        </w:tc>
        <w:tc>
          <w:tcPr>
            <w:tcW w:w="1165" w:type="dxa"/>
          </w:tcPr>
          <w:p w14:paraId="5E3EF6E6" w14:textId="77777777" w:rsidR="009C7B3F" w:rsidRPr="00422281" w:rsidRDefault="009C7B3F" w:rsidP="00C171F0">
            <w:pPr>
              <w:rPr>
                <w:rFonts w:cs="Times New Roman"/>
                <w:sz w:val="23"/>
              </w:rPr>
            </w:pPr>
            <w:r w:rsidRPr="00422281">
              <w:rPr>
                <w:rFonts w:cs="Times New Roman"/>
                <w:sz w:val="23"/>
              </w:rPr>
              <w:t>180 days</w:t>
            </w:r>
          </w:p>
        </w:tc>
        <w:tc>
          <w:tcPr>
            <w:tcW w:w="850" w:type="dxa"/>
          </w:tcPr>
          <w:p w14:paraId="3092D143" w14:textId="77777777" w:rsidR="009C7B3F" w:rsidRPr="00422281" w:rsidRDefault="009C7B3F" w:rsidP="00C171F0">
            <w:pPr>
              <w:rPr>
                <w:rFonts w:cs="Times New Roman"/>
                <w:sz w:val="23"/>
              </w:rPr>
            </w:pPr>
            <w:r w:rsidRPr="00422281">
              <w:rPr>
                <w:rFonts w:cs="Times New Roman"/>
                <w:sz w:val="23"/>
              </w:rPr>
              <w:t>4 140</w:t>
            </w:r>
          </w:p>
        </w:tc>
        <w:tc>
          <w:tcPr>
            <w:tcW w:w="3648" w:type="dxa"/>
          </w:tcPr>
          <w:p w14:paraId="0B72CCE9" w14:textId="77777777" w:rsidR="009C7B3F" w:rsidRPr="00422281" w:rsidRDefault="009C7B3F" w:rsidP="00C171F0">
            <w:pPr>
              <w:rPr>
                <w:rFonts w:cs="Times New Roman"/>
                <w:sz w:val="23"/>
              </w:rPr>
            </w:pPr>
          </w:p>
        </w:tc>
      </w:tr>
      <w:tr w:rsidR="009C7B3F" w:rsidRPr="00422281" w14:paraId="16A4F5B8" w14:textId="77777777" w:rsidTr="00C171F0">
        <w:tc>
          <w:tcPr>
            <w:tcW w:w="1806" w:type="dxa"/>
          </w:tcPr>
          <w:p w14:paraId="010E2C3A" w14:textId="77777777" w:rsidR="009C7B3F" w:rsidRPr="00422281" w:rsidRDefault="009C7B3F" w:rsidP="00C171F0">
            <w:pPr>
              <w:rPr>
                <w:rFonts w:cs="Times New Roman"/>
                <w:sz w:val="23"/>
              </w:rPr>
            </w:pPr>
            <w:r w:rsidRPr="00422281">
              <w:rPr>
                <w:rFonts w:cs="Times New Roman"/>
                <w:sz w:val="23"/>
              </w:rPr>
              <w:t>Drug cost</w:t>
            </w:r>
          </w:p>
        </w:tc>
        <w:tc>
          <w:tcPr>
            <w:tcW w:w="1636" w:type="dxa"/>
          </w:tcPr>
          <w:p w14:paraId="17C365F2" w14:textId="34333A92" w:rsidR="009C7B3F" w:rsidRPr="00422281" w:rsidRDefault="009C7B3F" w:rsidP="00B52486">
            <w:pPr>
              <w:rPr>
                <w:rFonts w:cs="Times New Roman"/>
                <w:sz w:val="23"/>
              </w:rPr>
            </w:pPr>
            <w:r w:rsidRPr="00422281">
              <w:rPr>
                <w:rFonts w:cs="Times New Roman"/>
                <w:sz w:val="23"/>
              </w:rPr>
              <w:t xml:space="preserve">1137 </w:t>
            </w:r>
          </w:p>
        </w:tc>
        <w:tc>
          <w:tcPr>
            <w:tcW w:w="1165" w:type="dxa"/>
          </w:tcPr>
          <w:p w14:paraId="3E2AA339" w14:textId="77777777" w:rsidR="009C7B3F" w:rsidRPr="00422281" w:rsidRDefault="009C7B3F" w:rsidP="00C171F0">
            <w:pPr>
              <w:rPr>
                <w:rFonts w:cs="Times New Roman"/>
                <w:sz w:val="23"/>
              </w:rPr>
            </w:pPr>
            <w:r w:rsidRPr="00422281">
              <w:rPr>
                <w:rFonts w:cs="Times New Roman"/>
                <w:sz w:val="23"/>
              </w:rPr>
              <w:t>1</w:t>
            </w:r>
          </w:p>
        </w:tc>
        <w:tc>
          <w:tcPr>
            <w:tcW w:w="850" w:type="dxa"/>
          </w:tcPr>
          <w:p w14:paraId="04C48A6E" w14:textId="77777777" w:rsidR="009C7B3F" w:rsidRPr="00422281" w:rsidRDefault="009C7B3F" w:rsidP="00C171F0">
            <w:pPr>
              <w:rPr>
                <w:rFonts w:cs="Times New Roman"/>
                <w:sz w:val="23"/>
              </w:rPr>
            </w:pPr>
            <w:r w:rsidRPr="00422281">
              <w:rPr>
                <w:rFonts w:cs="Times New Roman"/>
                <w:sz w:val="23"/>
              </w:rPr>
              <w:t>1 137</w:t>
            </w:r>
          </w:p>
        </w:tc>
        <w:tc>
          <w:tcPr>
            <w:tcW w:w="3648" w:type="dxa"/>
          </w:tcPr>
          <w:p w14:paraId="02FF4920" w14:textId="77777777" w:rsidR="009C7B3F" w:rsidRPr="00422281" w:rsidRDefault="009C7B3F" w:rsidP="00C171F0">
            <w:pPr>
              <w:rPr>
                <w:rFonts w:cs="Times New Roman"/>
                <w:sz w:val="23"/>
              </w:rPr>
            </w:pPr>
            <w:r w:rsidRPr="00422281">
              <w:rPr>
                <w:rFonts w:cs="Times New Roman"/>
                <w:sz w:val="23"/>
              </w:rPr>
              <w:t>Philippines data, which are based on Global Drug Facility Product Catalogue</w:t>
            </w:r>
          </w:p>
        </w:tc>
      </w:tr>
      <w:tr w:rsidR="009C7B3F" w:rsidRPr="00422281" w14:paraId="7219B768" w14:textId="77777777" w:rsidTr="00C171F0">
        <w:tc>
          <w:tcPr>
            <w:tcW w:w="1806" w:type="dxa"/>
          </w:tcPr>
          <w:p w14:paraId="517343F3" w14:textId="77777777" w:rsidR="009C7B3F" w:rsidRPr="00422281" w:rsidRDefault="009C7B3F" w:rsidP="00C171F0">
            <w:pPr>
              <w:rPr>
                <w:rFonts w:cs="Times New Roman"/>
                <w:sz w:val="23"/>
              </w:rPr>
            </w:pPr>
            <w:r w:rsidRPr="00422281">
              <w:rPr>
                <w:rFonts w:cs="Times New Roman"/>
                <w:sz w:val="23"/>
              </w:rPr>
              <w:t xml:space="preserve">Food voucher </w:t>
            </w:r>
          </w:p>
        </w:tc>
        <w:tc>
          <w:tcPr>
            <w:tcW w:w="1636" w:type="dxa"/>
          </w:tcPr>
          <w:p w14:paraId="4E02A348" w14:textId="77777777" w:rsidR="009C7B3F" w:rsidRPr="00422281" w:rsidRDefault="009C7B3F" w:rsidP="00C171F0">
            <w:pPr>
              <w:rPr>
                <w:rFonts w:cs="Times New Roman"/>
                <w:sz w:val="23"/>
              </w:rPr>
            </w:pPr>
            <w:r w:rsidRPr="00422281">
              <w:rPr>
                <w:rFonts w:cs="Times New Roman"/>
                <w:sz w:val="23"/>
              </w:rPr>
              <w:t>1.53 per day (NTP)</w:t>
            </w:r>
          </w:p>
        </w:tc>
        <w:tc>
          <w:tcPr>
            <w:tcW w:w="1165" w:type="dxa"/>
          </w:tcPr>
          <w:p w14:paraId="563EF179" w14:textId="77777777" w:rsidR="009C7B3F" w:rsidRPr="00422281" w:rsidRDefault="009C7B3F" w:rsidP="00C171F0">
            <w:pPr>
              <w:rPr>
                <w:rFonts w:cs="Times New Roman"/>
                <w:sz w:val="23"/>
              </w:rPr>
            </w:pPr>
            <w:r w:rsidRPr="00422281">
              <w:rPr>
                <w:rFonts w:cs="Times New Roman"/>
                <w:sz w:val="23"/>
              </w:rPr>
              <w:t>365 days</w:t>
            </w:r>
          </w:p>
        </w:tc>
        <w:tc>
          <w:tcPr>
            <w:tcW w:w="850" w:type="dxa"/>
          </w:tcPr>
          <w:p w14:paraId="47C29383" w14:textId="77777777" w:rsidR="009C7B3F" w:rsidRPr="00422281" w:rsidRDefault="009C7B3F" w:rsidP="00C171F0">
            <w:pPr>
              <w:rPr>
                <w:rFonts w:cs="Times New Roman"/>
                <w:sz w:val="23"/>
              </w:rPr>
            </w:pPr>
            <w:r w:rsidRPr="00422281">
              <w:rPr>
                <w:rFonts w:cs="Times New Roman"/>
                <w:sz w:val="23"/>
              </w:rPr>
              <w:t>558.45</w:t>
            </w:r>
          </w:p>
        </w:tc>
        <w:tc>
          <w:tcPr>
            <w:tcW w:w="3648" w:type="dxa"/>
          </w:tcPr>
          <w:p w14:paraId="0EA1D94A" w14:textId="77777777" w:rsidR="009C7B3F" w:rsidRPr="00422281" w:rsidRDefault="009C7B3F" w:rsidP="00C171F0">
            <w:pPr>
              <w:rPr>
                <w:rFonts w:cs="Times New Roman"/>
                <w:sz w:val="23"/>
              </w:rPr>
            </w:pPr>
            <w:r w:rsidRPr="00422281">
              <w:rPr>
                <w:rFonts w:cs="Times New Roman"/>
                <w:sz w:val="23"/>
              </w:rPr>
              <w:t>Only given to weeks of complete treatment</w:t>
            </w:r>
          </w:p>
        </w:tc>
      </w:tr>
      <w:tr w:rsidR="009C7B3F" w:rsidRPr="00422281" w14:paraId="1840212F" w14:textId="77777777" w:rsidTr="00C171F0">
        <w:tc>
          <w:tcPr>
            <w:tcW w:w="1806" w:type="dxa"/>
          </w:tcPr>
          <w:p w14:paraId="5F9E1494" w14:textId="77777777" w:rsidR="009C7B3F" w:rsidRPr="00422281" w:rsidRDefault="009C7B3F" w:rsidP="00C171F0">
            <w:pPr>
              <w:rPr>
                <w:rFonts w:cs="Times New Roman"/>
                <w:sz w:val="23"/>
              </w:rPr>
            </w:pPr>
            <w:r w:rsidRPr="00422281">
              <w:rPr>
                <w:rFonts w:cs="Times New Roman"/>
                <w:sz w:val="23"/>
              </w:rPr>
              <w:t>Ambulatory care</w:t>
            </w:r>
          </w:p>
        </w:tc>
        <w:tc>
          <w:tcPr>
            <w:tcW w:w="1636" w:type="dxa"/>
          </w:tcPr>
          <w:p w14:paraId="4E885F16" w14:textId="77777777" w:rsidR="009C7B3F" w:rsidRPr="00422281" w:rsidRDefault="009C7B3F" w:rsidP="00C171F0">
            <w:pPr>
              <w:rPr>
                <w:rFonts w:cs="Times New Roman"/>
                <w:sz w:val="23"/>
              </w:rPr>
            </w:pPr>
            <w:r w:rsidRPr="00422281">
              <w:rPr>
                <w:rFonts w:cs="Times New Roman"/>
                <w:sz w:val="23"/>
              </w:rPr>
              <w:t>5.01 per visit (NTP)</w:t>
            </w:r>
          </w:p>
        </w:tc>
        <w:tc>
          <w:tcPr>
            <w:tcW w:w="1165" w:type="dxa"/>
          </w:tcPr>
          <w:p w14:paraId="60B4A95B" w14:textId="77777777" w:rsidR="009C7B3F" w:rsidRPr="00422281" w:rsidRDefault="009C7B3F" w:rsidP="00C171F0">
            <w:pPr>
              <w:rPr>
                <w:rFonts w:cs="Times New Roman"/>
                <w:sz w:val="23"/>
              </w:rPr>
            </w:pPr>
            <w:r w:rsidRPr="00422281">
              <w:rPr>
                <w:rFonts w:cs="Times New Roman"/>
                <w:sz w:val="23"/>
              </w:rPr>
              <w:t>24 visits</w:t>
            </w:r>
          </w:p>
        </w:tc>
        <w:tc>
          <w:tcPr>
            <w:tcW w:w="850" w:type="dxa"/>
          </w:tcPr>
          <w:p w14:paraId="0DD1E426" w14:textId="77777777" w:rsidR="009C7B3F" w:rsidRPr="00422281" w:rsidRDefault="009C7B3F" w:rsidP="00C171F0">
            <w:pPr>
              <w:rPr>
                <w:rFonts w:cs="Times New Roman"/>
                <w:sz w:val="23"/>
              </w:rPr>
            </w:pPr>
            <w:r w:rsidRPr="00422281">
              <w:rPr>
                <w:rFonts w:cs="Times New Roman"/>
                <w:sz w:val="23"/>
              </w:rPr>
              <w:t>122.4</w:t>
            </w:r>
          </w:p>
        </w:tc>
        <w:tc>
          <w:tcPr>
            <w:tcW w:w="3648" w:type="dxa"/>
          </w:tcPr>
          <w:p w14:paraId="482A4259" w14:textId="77777777" w:rsidR="009C7B3F" w:rsidRPr="00422281" w:rsidRDefault="009C7B3F" w:rsidP="00C171F0">
            <w:pPr>
              <w:rPr>
                <w:rFonts w:cs="Times New Roman"/>
                <w:sz w:val="23"/>
              </w:rPr>
            </w:pPr>
            <w:r w:rsidRPr="00422281">
              <w:rPr>
                <w:rFonts w:cs="Times New Roman"/>
                <w:sz w:val="23"/>
              </w:rPr>
              <w:t xml:space="preserve">Weekly visit for 32 weeks of ambulatory care </w:t>
            </w:r>
          </w:p>
        </w:tc>
      </w:tr>
      <w:tr w:rsidR="009C7B3F" w:rsidRPr="00422281" w14:paraId="36DED634" w14:textId="77777777" w:rsidTr="00C171F0">
        <w:tc>
          <w:tcPr>
            <w:tcW w:w="5457" w:type="dxa"/>
            <w:gridSpan w:val="4"/>
          </w:tcPr>
          <w:p w14:paraId="6F45BB2C" w14:textId="77777777" w:rsidR="009C7B3F" w:rsidRPr="00422281" w:rsidRDefault="009C7B3F" w:rsidP="00C171F0">
            <w:pPr>
              <w:rPr>
                <w:rFonts w:cs="Times New Roman"/>
                <w:b/>
                <w:sz w:val="23"/>
              </w:rPr>
            </w:pPr>
            <w:r w:rsidRPr="00422281">
              <w:rPr>
                <w:rFonts w:cs="Times New Roman"/>
                <w:b/>
                <w:sz w:val="23"/>
              </w:rPr>
              <w:t>Total per patient</w:t>
            </w:r>
          </w:p>
        </w:tc>
        <w:tc>
          <w:tcPr>
            <w:tcW w:w="3648" w:type="dxa"/>
          </w:tcPr>
          <w:p w14:paraId="612A828A" w14:textId="77777777" w:rsidR="009C7B3F" w:rsidRPr="00422281" w:rsidRDefault="009C7B3F" w:rsidP="00C171F0">
            <w:pPr>
              <w:rPr>
                <w:rFonts w:cs="Times New Roman"/>
                <w:b/>
                <w:i/>
                <w:sz w:val="23"/>
              </w:rPr>
            </w:pPr>
            <w:r w:rsidRPr="00422281">
              <w:rPr>
                <w:rFonts w:cs="Times New Roman"/>
                <w:b/>
                <w:i/>
                <w:sz w:val="23"/>
              </w:rPr>
              <w:t>EUR 6 094</w:t>
            </w:r>
          </w:p>
        </w:tc>
      </w:tr>
    </w:tbl>
    <w:p w14:paraId="1DCC5C37" w14:textId="09647112" w:rsidR="009C7B3F" w:rsidRDefault="00F80DEC" w:rsidP="0051103B">
      <w:pPr>
        <w:pStyle w:val="Heading4"/>
      </w:pPr>
      <w:r>
        <w:t>Abbreviations: DSSM, direct sputum smear microscopy</w:t>
      </w:r>
      <w:r w:rsidR="00406C2D">
        <w:t>; DST, drug susceptibility tes</w:t>
      </w:r>
      <w:r w:rsidR="000A5DAD">
        <w:t>ting; NTP, National TB Program.</w:t>
      </w:r>
    </w:p>
    <w:p w14:paraId="4CCB69D4" w14:textId="77777777" w:rsidR="0051103B" w:rsidRDefault="0051103B" w:rsidP="009C7B3F">
      <w:pPr>
        <w:rPr>
          <w:sz w:val="23"/>
        </w:rPr>
      </w:pPr>
    </w:p>
    <w:p w14:paraId="51EF8D64" w14:textId="7BD4FFA4" w:rsidR="009C7B3F" w:rsidRPr="009C7B3F" w:rsidRDefault="009C7B3F" w:rsidP="00741099">
      <w:pPr>
        <w:rPr>
          <w:sz w:val="23"/>
        </w:rPr>
      </w:pPr>
      <w:r>
        <w:rPr>
          <w:sz w:val="23"/>
        </w:rPr>
        <w:t xml:space="preserve">Changing from the conventional regimen to the short-course regimen may involve initial (start-up) costs such as costs of </w:t>
      </w:r>
      <w:r w:rsidRPr="00A320F8">
        <w:rPr>
          <w:sz w:val="23"/>
        </w:rPr>
        <w:t>training. Data on these costs remain lacking for Bulgaria</w:t>
      </w:r>
      <w:r w:rsidR="00B52486">
        <w:rPr>
          <w:sz w:val="23"/>
        </w:rPr>
        <w:t xml:space="preserve"> and so are assumed to be zero.</w:t>
      </w:r>
    </w:p>
    <w:p w14:paraId="522346D7" w14:textId="2E618A70" w:rsidR="000F722F" w:rsidRDefault="000F722F">
      <w:pPr>
        <w:spacing w:after="200" w:line="276" w:lineRule="auto"/>
        <w:jc w:val="left"/>
      </w:pPr>
      <w:r>
        <w:br w:type="page"/>
      </w:r>
    </w:p>
    <w:p w14:paraId="6F08A67A" w14:textId="3296C858" w:rsidR="000F722F" w:rsidRPr="000F722F" w:rsidRDefault="00DA5480" w:rsidP="000F722F">
      <w:r>
        <w:rPr>
          <w:noProof/>
          <w:lang w:val="en-GB" w:eastAsia="en-GB"/>
        </w:rPr>
        <w:lastRenderedPageBreak/>
        <w:drawing>
          <wp:inline distT="0" distB="0" distL="0" distR="0" wp14:anchorId="3476E53A" wp14:editId="2EADCE03">
            <wp:extent cx="5731510" cy="4303395"/>
            <wp:effectExtent l="0" t="0" r="254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303395"/>
                    </a:xfrm>
                    <a:prstGeom prst="rect">
                      <a:avLst/>
                    </a:prstGeom>
                    <a:noFill/>
                    <a:ln>
                      <a:noFill/>
                    </a:ln>
                  </pic:spPr>
                </pic:pic>
              </a:graphicData>
            </a:graphic>
          </wp:inline>
        </w:drawing>
      </w:r>
    </w:p>
    <w:p w14:paraId="5D80D3F6" w14:textId="4C40B20C" w:rsidR="000F722F" w:rsidRPr="00BA153A" w:rsidRDefault="000F722F" w:rsidP="000F722F">
      <w:pPr>
        <w:pStyle w:val="Heading4"/>
      </w:pPr>
      <w:r>
        <w:rPr>
          <w:b/>
        </w:rPr>
        <w:t>Figure S</w:t>
      </w:r>
      <w:r w:rsidR="005B60FD">
        <w:rPr>
          <w:b/>
        </w:rPr>
        <w:t>30</w:t>
      </w:r>
      <w:r w:rsidRPr="00F672D1">
        <w:rPr>
          <w:b/>
        </w:rPr>
        <w:t>.</w:t>
      </w:r>
      <w:r w:rsidR="0071314A">
        <w:rPr>
          <w:b/>
        </w:rPr>
        <w:t xml:space="preserve"> Short </w:t>
      </w:r>
      <w:r>
        <w:rPr>
          <w:b/>
        </w:rPr>
        <w:t xml:space="preserve">course MDR-TB regimen cost-coverage curves. </w:t>
      </w:r>
      <w:r w:rsidR="00BA153A">
        <w:t xml:space="preserve">Note the </w:t>
      </w:r>
      <w:r w:rsidR="002B4919">
        <w:t xml:space="preserve">intentionally </w:t>
      </w:r>
      <w:r w:rsidR="00BA153A">
        <w:t>negative values, given this is a cost-saving intervention.</w:t>
      </w:r>
    </w:p>
    <w:p w14:paraId="0BBDBFB2" w14:textId="1C567E90" w:rsidR="003768A4" w:rsidRDefault="00473696" w:rsidP="003768A4">
      <w:pPr>
        <w:pStyle w:val="Heading1"/>
        <w:numPr>
          <w:ilvl w:val="0"/>
          <w:numId w:val="9"/>
        </w:numPr>
      </w:pPr>
      <w:r>
        <w:t>Scale-up DST coverage</w:t>
      </w:r>
    </w:p>
    <w:p w14:paraId="6DECA1BD" w14:textId="2A05B5DD" w:rsidR="007F65C4" w:rsidRDefault="00384DC5" w:rsidP="007F65C4">
      <w:pPr>
        <w:pStyle w:val="Heading3"/>
      </w:pPr>
      <w:r>
        <w:t>Background</w:t>
      </w:r>
    </w:p>
    <w:p w14:paraId="31F09293" w14:textId="2EA59745" w:rsidR="00655100" w:rsidRDefault="00655100" w:rsidP="00655100">
      <w:r w:rsidRPr="00655100">
        <w:t>Only four laboratories (</w:t>
      </w:r>
      <w:r w:rsidR="00C52624">
        <w:t xml:space="preserve">three Regional Reference Laboratories and the National Reference Laboratory) perform </w:t>
      </w:r>
      <w:r w:rsidR="002B1411">
        <w:t>drug susceptibility testing (</w:t>
      </w:r>
      <w:r w:rsidR="00C52624">
        <w:t>DST</w:t>
      </w:r>
      <w:r w:rsidR="002B1411">
        <w:t>)</w:t>
      </w:r>
      <w:r w:rsidR="00C52624">
        <w:t xml:space="preserve"> for first-</w:t>
      </w:r>
      <w:r w:rsidRPr="00655100">
        <w:t xml:space="preserve">line drugs (FLDs). All MDR-TB strains detected in Bulgaria are referred to the </w:t>
      </w:r>
      <w:r w:rsidR="00C52624">
        <w:t xml:space="preserve">National Reference Laboratory </w:t>
      </w:r>
      <w:r w:rsidRPr="00655100">
        <w:t>for confirmation. In 2015, FLD DST was performed on 87% of the new pulmonary TB cases with positive culture (and 85% of the retreatment cases with positive culture)</w:t>
      </w:r>
      <w:r w:rsidR="00C52624">
        <w:t>,</w:t>
      </w:r>
      <w:r w:rsidRPr="00655100">
        <w:t xml:space="preserve"> despite the recommendation that DST shou</w:t>
      </w:r>
      <w:r w:rsidR="00C52624">
        <w:t>ld be performed for all culture-</w:t>
      </w:r>
      <w:r w:rsidRPr="00655100">
        <w:t xml:space="preserve">positive TB cases. Currently, rapid molecular tests to detect antibiotic resistance are mainly used for confirmation of MDR-TB after obtaining DST results. Despite the existence of an algorithm (indications) for the use of the molecular tests on </w:t>
      </w:r>
      <w:r w:rsidR="00690653">
        <w:t>‘</w:t>
      </w:r>
      <w:r w:rsidR="00D26C4E">
        <w:t>n</w:t>
      </w:r>
      <w:r w:rsidR="00690653">
        <w:t xml:space="preserve">ew patients suspected </w:t>
      </w:r>
      <w:r w:rsidR="00D26C4E">
        <w:t xml:space="preserve">for </w:t>
      </w:r>
      <w:r w:rsidR="00690653">
        <w:t>MDR-</w:t>
      </w:r>
      <w:r w:rsidR="00D26C4E">
        <w:t>TB’ and ‘p</w:t>
      </w:r>
      <w:r w:rsidRPr="00655100">
        <w:t>reviously treated patients’, these tests are rarely performed (before detection of MDR</w:t>
      </w:r>
      <w:r w:rsidR="00D26C4E">
        <w:t>-TB</w:t>
      </w:r>
      <w:r w:rsidRPr="00655100">
        <w:t xml:space="preserve"> by DST).</w:t>
      </w:r>
    </w:p>
    <w:p w14:paraId="2F69101E" w14:textId="3DB8BE84" w:rsidR="002B1411" w:rsidRDefault="002B1411" w:rsidP="002B1411">
      <w:pPr>
        <w:pStyle w:val="Heading3"/>
      </w:pPr>
      <w:r>
        <w:lastRenderedPageBreak/>
        <w:t>Evidence</w:t>
      </w:r>
    </w:p>
    <w:p w14:paraId="5F33F32A" w14:textId="4F3CD854" w:rsidR="002B1411" w:rsidRPr="00655100" w:rsidRDefault="002B1411" w:rsidP="00655100">
      <w:r>
        <w:t>Phenotypic DST is considered the gold-standard for the correct identification of MDR-TB. Patients who are correctly identified as having MDR-TB should be started on a regimen that is directed at this strain of TB, rather than receiving an inappropriate regimen.</w:t>
      </w:r>
    </w:p>
    <w:p w14:paraId="1DA42484" w14:textId="30887680" w:rsidR="003768A4" w:rsidRDefault="00384DC5" w:rsidP="003768A4">
      <w:pPr>
        <w:pStyle w:val="Heading3"/>
      </w:pPr>
      <w:r>
        <w:t>Implementation</w:t>
      </w:r>
    </w:p>
    <w:p w14:paraId="457A33DE" w14:textId="7B63BD0C" w:rsidR="002B1411" w:rsidRDefault="002B1411" w:rsidP="002B1411">
      <w:r>
        <w:t>In the absence of</w:t>
      </w:r>
      <w:r w:rsidR="006D7B72">
        <w:t xml:space="preserve"> DST</w:t>
      </w:r>
      <w:r>
        <w:t xml:space="preserve">, a baseline proportion of patients </w:t>
      </w:r>
      <w:r w:rsidR="006D7B72">
        <w:t xml:space="preserve">is </w:t>
      </w:r>
      <w:r>
        <w:t xml:space="preserve">assumed to be correctly diagnosed with MDR-TB, which is set at 25%. </w:t>
      </w:r>
      <w:r w:rsidR="006D7B72">
        <w:t xml:space="preserve">This is intended to represent a minority of cases for whom MDR-TB would be strongly suspected in the absence of any laboratory evidence, such as contact with a patient with MDR-TB or a patient who has received extensive past treatment. </w:t>
      </w:r>
      <w:r>
        <w:t xml:space="preserve">If phenotypic </w:t>
      </w:r>
      <w:r w:rsidR="006D7B72">
        <w:t>DST is available, the proportion correctly diagnosed is increased from this baseline value according to the follow formula:</w:t>
      </w:r>
    </w:p>
    <w:p w14:paraId="3118415D" w14:textId="14F10CE9" w:rsidR="006D7B72" w:rsidRDefault="006D7B72" w:rsidP="002B1411">
      <m:oMathPara>
        <m:oMath>
          <m:r>
            <w:rPr>
              <w:rFonts w:ascii="Cambria Math" w:hAnsi="Cambria Math"/>
            </w:rPr>
            <m:t>proportion correctly identified MDR=proportion clinically diagnosed+</m:t>
          </m:r>
          <m:d>
            <m:dPr>
              <m:ctrlPr>
                <w:rPr>
                  <w:rFonts w:ascii="Cambria Math" w:hAnsi="Cambria Math"/>
                  <w:i/>
                </w:rPr>
              </m:ctrlPr>
            </m:dPr>
            <m:e>
              <m:r>
                <w:rPr>
                  <w:rFonts w:ascii="Cambria Math" w:hAnsi="Cambria Math"/>
                </w:rPr>
                <m:t>1-proportion clinically diagnosed</m:t>
              </m:r>
            </m:e>
          </m:d>
          <m:r>
            <w:rPr>
              <w:rFonts w:ascii="Cambria Math" w:hAnsi="Cambria Math"/>
            </w:rPr>
            <m:t>×proportion of patients for whom cultures can be obtained×coverage of DST intervention</m:t>
          </m:r>
        </m:oMath>
      </m:oMathPara>
    </w:p>
    <w:p w14:paraId="006BDDFE" w14:textId="796A6D12" w:rsidR="00A16857" w:rsidRDefault="00A16857" w:rsidP="002B1411">
      <w:r>
        <w:t>This calculation is performed separately for each organ status, as the “proportion of patients for whom cultures can be obtained” is considered to differ by organ status, taking a value of one for smear-positive patients, a value of zero for extrapulmonary patients and being an intervention uncertainty parameter for smear-negative patients</w:t>
      </w:r>
      <w:r w:rsidR="00E65DC3">
        <w:t xml:space="preserve"> (with median value 50%)</w:t>
      </w:r>
      <w:r>
        <w:t>.</w:t>
      </w:r>
    </w:p>
    <w:p w14:paraId="32D34D35" w14:textId="5F83DFEF" w:rsidR="006D7B72" w:rsidRPr="002B1411" w:rsidRDefault="006D7B72" w:rsidP="002B1411">
      <w:r>
        <w:t xml:space="preserve">The proportion can be further increased by molecular diagnostics, although this </w:t>
      </w:r>
      <w:r w:rsidR="004979E4">
        <w:t xml:space="preserve">consideration </w:t>
      </w:r>
      <w:r>
        <w:t>is not applicable to this application.</w:t>
      </w:r>
    </w:p>
    <w:p w14:paraId="3D198B62" w14:textId="77777777" w:rsidR="003768A4" w:rsidRDefault="003768A4" w:rsidP="003768A4">
      <w:pPr>
        <w:pStyle w:val="Heading3"/>
      </w:pPr>
      <w:r>
        <w:t>Results</w:t>
      </w:r>
    </w:p>
    <w:p w14:paraId="119F6DE4" w14:textId="3FD09F3C" w:rsidR="002C011D" w:rsidRPr="002C011D" w:rsidRDefault="002C011D" w:rsidP="002C011D">
      <w:r>
        <w:t xml:space="preserve">The effect of this intervention is minimal due to the effect primarily being on MDR-TB, which is a relatively small proportion of total burden and the fact that DST was already at a high coverage in Bulgaria before the intervention was implemented. </w:t>
      </w:r>
    </w:p>
    <w:p w14:paraId="1805079E" w14:textId="77777777" w:rsidR="003768A4" w:rsidRDefault="003768A4" w:rsidP="003768A4">
      <w:pPr>
        <w:rPr>
          <w:noProof/>
        </w:rPr>
      </w:pPr>
    </w:p>
    <w:p w14:paraId="14020A26" w14:textId="56C5FBE5" w:rsidR="003768A4" w:rsidRDefault="00DA5480" w:rsidP="001C2A3E">
      <w:pPr>
        <w:spacing w:after="0" w:line="240" w:lineRule="auto"/>
      </w:pPr>
      <w:r>
        <w:rPr>
          <w:noProof/>
          <w:lang w:val="en-GB" w:eastAsia="en-GB"/>
        </w:rPr>
        <w:lastRenderedPageBreak/>
        <w:drawing>
          <wp:inline distT="0" distB="0" distL="0" distR="0" wp14:anchorId="53139500" wp14:editId="65DDAB0D">
            <wp:extent cx="5000625" cy="38004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8">
                      <a:extLst>
                        <a:ext uri="{28A0092B-C50C-407E-A947-70E740481C1C}">
                          <a14:useLocalDpi xmlns:a14="http://schemas.microsoft.com/office/drawing/2010/main" val="0"/>
                        </a:ext>
                      </a:extLst>
                    </a:blip>
                    <a:srcRect l="6315" t="7082" r="6437" b="4604"/>
                    <a:stretch/>
                  </pic:blipFill>
                  <pic:spPr bwMode="auto">
                    <a:xfrm>
                      <a:off x="0" y="0"/>
                      <a:ext cx="5000625" cy="3800475"/>
                    </a:xfrm>
                    <a:prstGeom prst="rect">
                      <a:avLst/>
                    </a:prstGeom>
                    <a:noFill/>
                    <a:ln>
                      <a:noFill/>
                    </a:ln>
                    <a:extLst>
                      <a:ext uri="{53640926-AAD7-44D8-BBD7-CCE9431645EC}">
                        <a14:shadowObscured xmlns:a14="http://schemas.microsoft.com/office/drawing/2010/main"/>
                      </a:ext>
                    </a:extLst>
                  </pic:spPr>
                </pic:pic>
              </a:graphicData>
            </a:graphic>
          </wp:inline>
        </w:drawing>
      </w:r>
    </w:p>
    <w:p w14:paraId="2D4C0DCD" w14:textId="7E037372" w:rsidR="003768A4" w:rsidRDefault="003768A4" w:rsidP="003768A4">
      <w:pPr>
        <w:pStyle w:val="Heading4"/>
        <w:rPr>
          <w:b/>
        </w:rPr>
      </w:pPr>
      <w:r>
        <w:rPr>
          <w:b/>
        </w:rPr>
        <w:t>Figure S</w:t>
      </w:r>
      <w:r w:rsidR="005B60FD">
        <w:rPr>
          <w:b/>
        </w:rPr>
        <w:t>31</w:t>
      </w:r>
      <w:r w:rsidRPr="00F672D1">
        <w:rPr>
          <w:b/>
        </w:rPr>
        <w:t>.</w:t>
      </w:r>
      <w:r>
        <w:rPr>
          <w:b/>
        </w:rPr>
        <w:t xml:space="preserve"> Effect</w:t>
      </w:r>
      <w:r w:rsidRPr="00F672D1">
        <w:rPr>
          <w:b/>
        </w:rPr>
        <w:t xml:space="preserve"> of </w:t>
      </w:r>
      <w:r>
        <w:rPr>
          <w:b/>
        </w:rPr>
        <w:t xml:space="preserve">increased DST coverage </w:t>
      </w:r>
      <w:r w:rsidRPr="00F672D1">
        <w:rPr>
          <w:b/>
        </w:rPr>
        <w:t xml:space="preserve">on </w:t>
      </w:r>
      <w:r>
        <w:rPr>
          <w:b/>
        </w:rPr>
        <w:t>epidemiological outcomes.</w:t>
      </w:r>
    </w:p>
    <w:p w14:paraId="6570DF16" w14:textId="77777777" w:rsidR="001C2A3E" w:rsidRPr="001C2A3E" w:rsidRDefault="001C2A3E" w:rsidP="001C2A3E"/>
    <w:p w14:paraId="1DA0E1A6" w14:textId="382EBEAD" w:rsidR="003768A4" w:rsidRDefault="00DA5480" w:rsidP="001C2A3E">
      <w:pPr>
        <w:spacing w:after="0"/>
      </w:pPr>
      <w:r>
        <w:rPr>
          <w:noProof/>
          <w:lang w:val="en-GB" w:eastAsia="en-GB"/>
        </w:rPr>
        <w:drawing>
          <wp:inline distT="0" distB="0" distL="0" distR="0" wp14:anchorId="142FAD69" wp14:editId="44349751">
            <wp:extent cx="4991100" cy="37623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9">
                      <a:extLst>
                        <a:ext uri="{28A0092B-C50C-407E-A947-70E740481C1C}">
                          <a14:useLocalDpi xmlns:a14="http://schemas.microsoft.com/office/drawing/2010/main" val="0"/>
                        </a:ext>
                      </a:extLst>
                    </a:blip>
                    <a:srcRect l="6481" t="7968" r="6437" b="4604"/>
                    <a:stretch/>
                  </pic:blipFill>
                  <pic:spPr bwMode="auto">
                    <a:xfrm>
                      <a:off x="0" y="0"/>
                      <a:ext cx="4991100" cy="3762375"/>
                    </a:xfrm>
                    <a:prstGeom prst="rect">
                      <a:avLst/>
                    </a:prstGeom>
                    <a:noFill/>
                    <a:ln>
                      <a:noFill/>
                    </a:ln>
                    <a:extLst>
                      <a:ext uri="{53640926-AAD7-44D8-BBD7-CCE9431645EC}">
                        <a14:shadowObscured xmlns:a14="http://schemas.microsoft.com/office/drawing/2010/main"/>
                      </a:ext>
                    </a:extLst>
                  </pic:spPr>
                </pic:pic>
              </a:graphicData>
            </a:graphic>
          </wp:inline>
        </w:drawing>
      </w:r>
    </w:p>
    <w:p w14:paraId="3FFD6995" w14:textId="1568CE2E" w:rsidR="003768A4" w:rsidRDefault="003768A4" w:rsidP="003768A4">
      <w:pPr>
        <w:pStyle w:val="Heading4"/>
        <w:rPr>
          <w:b/>
        </w:rPr>
      </w:pPr>
      <w:r>
        <w:rPr>
          <w:b/>
        </w:rPr>
        <w:t>Figure S</w:t>
      </w:r>
      <w:r w:rsidR="005B60FD">
        <w:rPr>
          <w:b/>
        </w:rPr>
        <w:t>32</w:t>
      </w:r>
      <w:r w:rsidRPr="00F672D1">
        <w:rPr>
          <w:b/>
        </w:rPr>
        <w:t>.</w:t>
      </w:r>
      <w:r>
        <w:rPr>
          <w:b/>
        </w:rPr>
        <w:t xml:space="preserve"> Effect</w:t>
      </w:r>
      <w:r w:rsidRPr="00F672D1">
        <w:rPr>
          <w:b/>
        </w:rPr>
        <w:t xml:space="preserve"> of </w:t>
      </w:r>
      <w:r>
        <w:rPr>
          <w:b/>
        </w:rPr>
        <w:t xml:space="preserve">increased DST coverage </w:t>
      </w:r>
      <w:r w:rsidRPr="00F672D1">
        <w:rPr>
          <w:b/>
        </w:rPr>
        <w:t xml:space="preserve">on </w:t>
      </w:r>
      <w:r>
        <w:rPr>
          <w:b/>
        </w:rPr>
        <w:t>MDR-TB epidemiological outcomes.</w:t>
      </w:r>
    </w:p>
    <w:p w14:paraId="29DD01B7" w14:textId="77777777" w:rsidR="0052004D" w:rsidRPr="0052004D" w:rsidRDefault="0052004D" w:rsidP="0052004D"/>
    <w:p w14:paraId="4C3231A4" w14:textId="79028F50" w:rsidR="006A2B00" w:rsidRDefault="006A2B00" w:rsidP="006A2B00">
      <w:pPr>
        <w:pStyle w:val="Heading3"/>
      </w:pPr>
      <w:r>
        <w:lastRenderedPageBreak/>
        <w:t>Costs</w:t>
      </w:r>
    </w:p>
    <w:p w14:paraId="7240E52C" w14:textId="77777777" w:rsidR="006A2B00" w:rsidRDefault="006A2B00" w:rsidP="006A2B00">
      <w:r w:rsidRPr="000000A5">
        <w:t>Currently, it is estimated that less than 80% of culture-positive TB cases have drug susceptibility testing (DST) performed. To increase DST and improve the detection of MDR</w:t>
      </w:r>
      <w:r>
        <w:t>-TB</w:t>
      </w:r>
      <w:r w:rsidRPr="000000A5">
        <w:t>, it is planned to transport all the specimens that are not currently done DST to the National TB Reference Laboratory in Sofia. Staff at the National Reference Laboratory will receive extra payme</w:t>
      </w:r>
      <w:r>
        <w:t>nt for the additional workload.</w:t>
      </w:r>
    </w:p>
    <w:p w14:paraId="3EA4C597" w14:textId="77777777" w:rsidR="006A2B00" w:rsidRPr="000000A5" w:rsidRDefault="006A2B00" w:rsidP="006A2B00">
      <w:r w:rsidRPr="000000A5">
        <w:t xml:space="preserve">According to </w:t>
      </w:r>
      <w:r>
        <w:t xml:space="preserve">the </w:t>
      </w:r>
      <w:r w:rsidRPr="000000A5">
        <w:t xml:space="preserve">NTP’s data, the cost of transportation </w:t>
      </w:r>
      <w:r>
        <w:t xml:space="preserve">of </w:t>
      </w:r>
      <w:r w:rsidRPr="000000A5">
        <w:t xml:space="preserve">one culture to the NRL is around </w:t>
      </w:r>
      <w:r>
        <w:t>EUR 1.02</w:t>
      </w:r>
      <w:r w:rsidRPr="000000A5">
        <w:t xml:space="preserve"> and cost of one D</w:t>
      </w:r>
      <w:r>
        <w:t>ST is EUR 67.12. Assuming only one</w:t>
      </w:r>
      <w:r w:rsidRPr="000000A5">
        <w:t xml:space="preserve"> DST is done for each culture-positive TB patient, </w:t>
      </w:r>
      <w:r>
        <w:t xml:space="preserve">the </w:t>
      </w:r>
      <w:r w:rsidRPr="000000A5">
        <w:t>unit c</w:t>
      </w:r>
      <w:r>
        <w:t>ost per patient is calculated as</w:t>
      </w:r>
      <w:r w:rsidRPr="000000A5">
        <w:t xml:space="preserve">: </w:t>
      </w:r>
    </w:p>
    <w:p w14:paraId="523D0E64" w14:textId="77777777" w:rsidR="006A2B00" w:rsidRPr="000000A5" w:rsidRDefault="006A2B00" w:rsidP="006A2B00">
      <w:pPr>
        <w:rPr>
          <w:b/>
          <w:i/>
        </w:rPr>
      </w:pPr>
      <w:r w:rsidRPr="000000A5">
        <w:tab/>
      </w:r>
      <w:r w:rsidRPr="000000A5">
        <w:rPr>
          <w:i/>
        </w:rPr>
        <w:t xml:space="preserve">Culture transportation + DST = 1.02 + 67.12 = </w:t>
      </w:r>
      <w:r w:rsidRPr="000000A5">
        <w:rPr>
          <w:b/>
          <w:i/>
        </w:rPr>
        <w:t xml:space="preserve">EUR 68.14 </w:t>
      </w:r>
    </w:p>
    <w:p w14:paraId="3CA74B5A" w14:textId="07F29A88" w:rsidR="006A2B00" w:rsidRPr="006A2B00" w:rsidRDefault="006A2B00" w:rsidP="006A2B00">
      <w:r w:rsidRPr="000000A5">
        <w:t>This</w:t>
      </w:r>
      <w:r>
        <w:t xml:space="preserve"> activity also involves hiring three</w:t>
      </w:r>
      <w:r w:rsidRPr="000000A5">
        <w:t xml:space="preserve"> more staff for the NRL, with a monthly salary of EUR 223 each. According to NTP data, in 2015 there were 782 culture-positive TB cases; 80% (626) of which have DST performed, leaving 156 cultures not having DST done. The aim of the program is </w:t>
      </w:r>
      <w:r>
        <w:t>to have these remaining culture-</w:t>
      </w:r>
      <w:r w:rsidRPr="000000A5">
        <w:t xml:space="preserve">positive cases tested for drug susceptibility. It would be unrealistic to assume that the </w:t>
      </w:r>
      <w:r>
        <w:t xml:space="preserve">three </w:t>
      </w:r>
      <w:r w:rsidR="00E65DC3">
        <w:t>additional staff employed at the NRL would</w:t>
      </w:r>
      <w:r w:rsidRPr="000000A5">
        <w:t xml:space="preserve"> </w:t>
      </w:r>
      <w:r w:rsidR="00E65DC3">
        <w:t xml:space="preserve">only undertake DST, given </w:t>
      </w:r>
      <w:r w:rsidRPr="000000A5">
        <w:t>a</w:t>
      </w:r>
      <w:r w:rsidR="00E65DC3">
        <w:t>n estimated</w:t>
      </w:r>
      <w:r w:rsidRPr="000000A5">
        <w:t xml:space="preserve"> total of 156 additional cultures per year. Therefore, we </w:t>
      </w:r>
      <w:r>
        <w:t>determined that</w:t>
      </w:r>
      <w:r w:rsidRPr="000000A5">
        <w:t xml:space="preserve"> this cost </w:t>
      </w:r>
      <w:r>
        <w:t>sh</w:t>
      </w:r>
      <w:r w:rsidRPr="000000A5">
        <w:t xml:space="preserve">ould be accounted for as a start-up cost for one year for the NRL to get up to speed with the additional workload. That is, the start-up cost of the program is assumed to be: </w:t>
      </w:r>
      <w:r w:rsidR="00E65DC3">
        <w:rPr>
          <w:i/>
        </w:rPr>
        <w:t xml:space="preserve">3 </w:t>
      </w:r>
      <w:r w:rsidR="00E65DC3">
        <w:rPr>
          <w:rFonts w:cs="Times New Roman"/>
          <w:i/>
        </w:rPr>
        <w:t>×</w:t>
      </w:r>
      <w:r w:rsidR="00E65DC3">
        <w:rPr>
          <w:i/>
        </w:rPr>
        <w:t xml:space="preserve"> 223 </w:t>
      </w:r>
      <w:r w:rsidR="00E65DC3">
        <w:rPr>
          <w:rFonts w:cs="Times New Roman"/>
          <w:i/>
        </w:rPr>
        <w:t>×</w:t>
      </w:r>
      <w:r w:rsidRPr="000000A5">
        <w:rPr>
          <w:i/>
        </w:rPr>
        <w:t xml:space="preserve"> 12 = </w:t>
      </w:r>
      <w:r w:rsidRPr="000000A5">
        <w:rPr>
          <w:b/>
          <w:i/>
        </w:rPr>
        <w:t>EUR</w:t>
      </w:r>
      <w:r w:rsidRPr="000000A5">
        <w:t xml:space="preserve"> </w:t>
      </w:r>
      <w:r w:rsidRPr="000000A5">
        <w:rPr>
          <w:b/>
          <w:i/>
        </w:rPr>
        <w:t>8</w:t>
      </w:r>
      <w:r>
        <w:rPr>
          <w:b/>
          <w:i/>
        </w:rPr>
        <w:t xml:space="preserve"> </w:t>
      </w:r>
      <w:r w:rsidRPr="000000A5">
        <w:rPr>
          <w:b/>
          <w:i/>
        </w:rPr>
        <w:t>028</w:t>
      </w:r>
      <w:r>
        <w:rPr>
          <w:b/>
          <w:i/>
        </w:rPr>
        <w:t>.</w:t>
      </w:r>
      <w:r w:rsidRPr="000000A5">
        <w:rPr>
          <w:b/>
          <w:i/>
        </w:rPr>
        <w:t xml:space="preserve"> </w:t>
      </w:r>
    </w:p>
    <w:p w14:paraId="177C3FA2" w14:textId="20B7C65B" w:rsidR="009A234D" w:rsidRDefault="00473696" w:rsidP="00473696">
      <w:pPr>
        <w:pStyle w:val="Heading1"/>
        <w:numPr>
          <w:ilvl w:val="0"/>
          <w:numId w:val="9"/>
        </w:numPr>
      </w:pPr>
      <w:r w:rsidRPr="00473696">
        <w:t>Scale-up food vouchers to reach all patients under treatment</w:t>
      </w:r>
    </w:p>
    <w:p w14:paraId="14A1D517" w14:textId="41173AF0" w:rsidR="005E5328" w:rsidRPr="005E5328" w:rsidRDefault="000B06BE" w:rsidP="00887292">
      <w:pPr>
        <w:pStyle w:val="Heading3"/>
      </w:pPr>
      <w:r>
        <w:t>Background</w:t>
      </w:r>
    </w:p>
    <w:p w14:paraId="1619AB74" w14:textId="3CD9C5F6" w:rsidR="000B06BE" w:rsidRDefault="00887292" w:rsidP="00887292">
      <w:r>
        <w:t>Although evidence is variable and past research has been inconsistent,</w:t>
      </w:r>
      <w:r w:rsidR="005C35B9">
        <w:t xml:space="preserve"> in discussions with the country team,</w:t>
      </w:r>
      <w:r>
        <w:t xml:space="preserve"> it </w:t>
      </w:r>
      <w:r w:rsidR="00A97D69">
        <w:t xml:space="preserve">was felt </w:t>
      </w:r>
      <w:r>
        <w:t xml:space="preserve">likely </w:t>
      </w:r>
      <w:r w:rsidR="004C37F3">
        <w:t xml:space="preserve">that </w:t>
      </w:r>
      <w:r w:rsidR="00F672D1">
        <w:t xml:space="preserve">interventions (such as food vouchers) </w:t>
      </w:r>
      <w:r w:rsidR="00162141">
        <w:t xml:space="preserve">to </w:t>
      </w:r>
      <w:r>
        <w:t xml:space="preserve">support patients on treatment are </w:t>
      </w:r>
      <w:r w:rsidRPr="006F2494">
        <w:t>effective in improving patient adheren</w:t>
      </w:r>
      <w:r w:rsidR="00292412">
        <w:t>ce and treatment outcomes</w:t>
      </w:r>
      <w:r w:rsidR="00A97D69">
        <w:t xml:space="preserve"> in the Bulgarian context</w:t>
      </w:r>
      <w:r w:rsidR="000B06BE">
        <w:t>.</w:t>
      </w:r>
      <w:r w:rsidR="005F2D84">
        <w:t xml:space="preserve"> This intervention has been</w:t>
      </w:r>
      <w:r w:rsidR="00154047">
        <w:t xml:space="preserve"> fully</w:t>
      </w:r>
      <w:r w:rsidR="005F2D84">
        <w:t xml:space="preserve"> in place for MDR-TB patients </w:t>
      </w:r>
      <w:r w:rsidR="00154047">
        <w:t xml:space="preserve">and as covered 50% of all DS-TB patients </w:t>
      </w:r>
      <w:r w:rsidR="005F2D84">
        <w:t>since 2010</w:t>
      </w:r>
      <w:r w:rsidR="00154047">
        <w:t>. It</w:t>
      </w:r>
      <w:r w:rsidR="005F2D84">
        <w:t xml:space="preserve"> is considered an important component of TB control in the country</w:t>
      </w:r>
      <w:r w:rsidR="00EB4DCE">
        <w:t>, although its epidemiological impact has not been evaluated.</w:t>
      </w:r>
      <w:r w:rsidR="005C35B9">
        <w:t xml:space="preserve"> Here we </w:t>
      </w:r>
      <w:r w:rsidR="005C35B9">
        <w:lastRenderedPageBreak/>
        <w:t>consider the extension of this program all patients under treatment, to include those with drug-susceptible TB.</w:t>
      </w:r>
    </w:p>
    <w:p w14:paraId="47DA90BC" w14:textId="77777777" w:rsidR="000B06BE" w:rsidRPr="005E5328" w:rsidRDefault="000B06BE" w:rsidP="000B06BE">
      <w:pPr>
        <w:pStyle w:val="Heading3"/>
      </w:pPr>
      <w:r>
        <w:t>Evidence</w:t>
      </w:r>
    </w:p>
    <w:p w14:paraId="20D0BB72" w14:textId="145392A8" w:rsidR="00292412" w:rsidRDefault="00292412" w:rsidP="00887292">
      <w:r>
        <w:t>A study from Timor Leste found no effect on overall treatment outcomes, but improved weight gain and improvements for some patient sub-groups.</w:t>
      </w:r>
      <w:r>
        <w:fldChar w:fldCharType="begin" w:fldLock="1"/>
      </w:r>
      <w:r w:rsidR="00583138">
        <w:instrText>ADDIN CSL_CITATION { "citationItems" : [ { "id" : "ITEM-1", "itemData" : { "author" : [ { "dropping-particle" : "", "family" : "Martins", "given" : "Nelson", "non-dropping-particle" : "", "parse-names" : false, "suffix" : "" }, { "dropping-particle" : "", "family" : "Morris", "given" : "Peter", "non-dropping-particle" : "", "parse-names" : false, "suffix" : "" }, { "dropping-particle" : "", "family" : "Kelly", "given" : "Paul M", "non-dropping-particle" : "", "parse-names" : false, "suffix" : "" } ], "container-title" : "BMJ", "id" : "ITEM-1", "issued" : { "date-parts" : [ [ "2009" ] ] }, "title" : "Food incentives to improve completion of tuberculosis treatment: randomised controlled trial in Dili, Timor-Leste", "type" : "article-journal", "volume" : "339" }, "uris" : [ "http://www.mendeley.com/documents/?uuid=975ffd72-992f-317b-bdae-6807746c999c" ] } ], "mendeley" : { "formattedCitation" : "&lt;sup&gt;37&lt;/sup&gt;", "plainTextFormattedCitation" : "37", "previouslyFormattedCitation" : "&lt;sup&gt;36&lt;/sup&gt;" }, "properties" : { "noteIndex" : 0 }, "schema" : "https://github.com/citation-style-language/schema/raw/master/csl-citation.json" }</w:instrText>
      </w:r>
      <w:r>
        <w:fldChar w:fldCharType="separate"/>
      </w:r>
      <w:r w:rsidR="00583138" w:rsidRPr="00583138">
        <w:rPr>
          <w:noProof/>
          <w:vertAlign w:val="superscript"/>
        </w:rPr>
        <w:t>37</w:t>
      </w:r>
      <w:r>
        <w:fldChar w:fldCharType="end"/>
      </w:r>
      <w:r w:rsidR="0057526B">
        <w:t xml:space="preserve"> In a randomised controlled trial undertaken in South Africa, economic support to patients with TB did not significantly improve treatment outcomes, although many of the patients randomised to support did not receive the intervention and outcomes improved among the subgroup who did receive support.</w:t>
      </w:r>
      <w:r w:rsidR="0057526B">
        <w:fldChar w:fldCharType="begin" w:fldLock="1"/>
      </w:r>
      <w:r w:rsidR="00583138">
        <w:instrText>ADDIN CSL_CITATION { "citationItems" : [ { "id" : "ITEM-1", "itemData" : { "DOI" : "10.1186/1745-6215-14-154", "ISBN" : "1745-6215 (Electronic)\r1745-6215 (Linking)", "PMID" : "23714270", "abstract" : "BACKGROUND: Poverty undermines adherence to tuberculosis treatment. Economic support may both encourage and enable patients to complete treatment. In South Africa, which carries a high burden of tuberculosis, such support may improve the currently poor outcomes of patients on tuberculosis treatment. The aim of this study was to test the feasibility and effectiveness of delivering economic support to patients with pulmonary tuberculosis in a high-burden province of South Africa. METHODS: This was a pragmatic, unblinded, two-arm cluster-randomized controlled trial, where 20 public sector clinics acted as clusters. Patients with pulmonary tuberculosis in intervention clinics (n = 2,107) were offered a monthly voucher of ZAR120.00 (approximately US$15) until the completion of their treatment. Vouchers were redeemed at local shops for foodstuffs. Patients in control clinics (n = 1,984) received usual tuberculosis care. RESULTS: Intention to treat analysis showed a small but non-significant improvement in treatment success rates in intervention clinics (intervention 76.2%; control 70.7%; risk difference 5.6% (95% confidence interval: -1.2%, 12.3%), P = 0.107). Low fidelity to the intervention meant that 36.2% of eligible patients did not receive a voucher at all, 32.3% received a voucher for between one and three months and 31.5% received a voucher for four to eight months of treatment. There was a strong dose-response relationship between frequency of receipt of the voucher and treatment success (P &lt;0.001). CONCLUSIONS: Our pragmatic trial has shown that, in the real world setting of public sector clinics in South Africa, economic support to patients with tuberculosis does not significantly improve outcomes on treatment. However, the low fidelity to the delivery of our voucher meant that a third of eligible patients did not receive it. Among patients in intervention clinics who received the voucher at least once, treatment success rates were significantly improved. Further operational research is needed to explore how best to ensure the consistent and appropriate delivery of such support to those eligible to receive it.", "author" : [ { "dropping-particle" : "", "family" : "Lutge", "given" : "E", "non-dropping-particle" : "", "parse-names" : false, "suffix" : "" }, { "dropping-particle" : "", "family" : "Lewin", "given" : "S", "non-dropping-particle" : "", "parse-names" : false, "suffix" : "" }, { "dropping-particle" : "", "family" : "Volmink", "given" : "J", "non-dropping-particle" : "", "parse-names" : false, "suffix" : "" }, { "dropping-particle" : "", "family" : "Friedman", "given" : "I", "non-dropping-particle" : "", "parse-names" : false, "suffix" : "" }, { "dropping-particle" : "", "family" : "Lombard", "given" : "C", "non-dropping-particle" : "", "parse-names" : false, "suffix" : "" } ], "container-title" : "Trials", "id" : "ITEM-1", "issued" : { "date-parts" : [ [ "2013" ] ] }, "note" : "Lutge, Elizabeth\nLewin, Simon\nVolmink, Jimmy\nFriedman, Irwin\nLombard, Carl\neng\nWellcome Trust/United Kingdom\nRandomized Controlled Trial\nResearch Support, Non-U.S. Gov't\nEngland\n2013/05/30 06:00\nTrials. 2013 May 28;14:154. doi: 10.1186/1745-6215-14-154.", "page" : "154", "title" : "Economic support to improve tuberculosis treatment outcomes in South Africa: a pragmatic cluster-randomized controlled trial", "type" : "article-journal", "volume" : "14" }, "uris" : [ "http://www.mendeley.com/documents/?uuid=a5590898-cffe-4709-9e91-1e13a3335f4f" ] } ], "mendeley" : { "formattedCitation" : "&lt;sup&gt;38&lt;/sup&gt;", "plainTextFormattedCitation" : "38", "previouslyFormattedCitation" : "&lt;sup&gt;37&lt;/sup&gt;" }, "properties" : { "noteIndex" : 0 }, "schema" : "https://github.com/citation-style-language/schema/raw/master/csl-citation.json" }</w:instrText>
      </w:r>
      <w:r w:rsidR="0057526B">
        <w:fldChar w:fldCharType="separate"/>
      </w:r>
      <w:r w:rsidR="00583138" w:rsidRPr="00583138">
        <w:rPr>
          <w:noProof/>
          <w:vertAlign w:val="superscript"/>
        </w:rPr>
        <w:t>38</w:t>
      </w:r>
      <w:r w:rsidR="0057526B">
        <w:fldChar w:fldCharType="end"/>
      </w:r>
      <w:r w:rsidR="0057526B">
        <w:t xml:space="preserve"> In a cohort study in a country nearby to Bulgaria (Moldova), incentives were found to be effective at improving treatment outcomes, with a reduction in unfavourable outcomes by around 50%.</w:t>
      </w:r>
      <w:r w:rsidR="0057526B">
        <w:fldChar w:fldCharType="begin" w:fldLock="1"/>
      </w:r>
      <w:r w:rsidR="00583138">
        <w:instrText>ADDIN CSL_CITATION { "citationItems" : [ { "id" : "ITEM-1", "itemData" : { "DOI" : "10.5588/pha.14.0047", "ISSN" : "22208372", "PMID" : "26393100", "abstract" : "SETTING Tuberculosis (TB) health facilities in the Republic of Moldova, where various incentives were provided to TB patients to improve treatment outcomes. OBJECTIVE To compare treatment outcomes among new drug-susceptible TB patients registered for treatment before (2008) and after (2011) introduction of incentives. DESIGN Retrospective cohort study using data from the national electronic patient database and incentive registers. RESULTS Of 2378 patients registered in 2011, 1895 (80%) received incentives (cash, food vouchers, travel reimbursement). Compared to 2008 (no incentives, n = 2492), the patients registered with incentives in 2011 had higher treatment success (88% vs. 79%, P &lt; 0.001) and lower proportions of unsuccessful outcomes: loss to follow-up (5% vs. 10%, P &lt; 0.001), death (5% vs. 6%, P = 0.03) and failure (2% vs. 5%, P &lt; 0.001). In multivariate analysis (log-binomial regression) using the intention-to-treat approach, provision of incentives was independently associated with an overall reduction in unsuccessful outcomes of 50% (RR 0.5, 95%CI 0.45-0.62, P &lt; 0.001), after adjusting for other confounders such as sex, age, education, occupation, residence, homelessness, type of TB and human immunodeficiency virus status. CONCLUSION Provision of incentives to TB patients significantly improved treatment success rates and needs to continue. Treatment retention increased, thus potentially preventing drug resistance, a serious problem in the Republic of Moldova.", "author" : [ { "dropping-particle" : "", "family" : "Ciobanu", "given" : "A.", "non-dropping-particle" : "", "parse-names" : false, "suffix" : "" }, { "dropping-particle" : "", "family" : "Domente", "given" : "L.", "non-dropping-particle" : "", "parse-names" : false, "suffix" : "" }, { "dropping-particle" : "", "family" : "Soltan", "given" : "V.", "non-dropping-particle" : "", "parse-names" : false, "suffix" : "" }, { "dropping-particle" : "", "family" : "Bivol", "given" : "S.", "non-dropping-particle" : "", "parse-names" : false, "suffix" : "" }, { "dropping-particle" : "", "family" : "Severin", "given" : "L.", "non-dropping-particle" : "", "parse-names" : false, "suffix" : "" }, { "dropping-particle" : "", "family" : "Plesca", "given" : "V.", "non-dropping-particle" : "", "parse-names" : false, "suffix" : "" }, { "dropping-particle" : "", "family" : "Bergh", "given" : "R.", "non-dropping-particle" : "Van den", "parse-names" : false, "suffix" : "" }, { "dropping-particle" : "V.", "family" : "Kumar", "given" : "A. M.", "non-dropping-particle" : "", "parse-names" : false, "suffix" : "" }, { "dropping-particle" : "", "family" : "Colombani", "given" : "P.", "non-dropping-particle" : "de", "parse-names" : false, "suffix" : "" } ], "container-title" : "Public Health Action", "id" : "ITEM-1", "issue" : "2", "issued" : { "date-parts" : [ [ "2014", "10", "21" ] ] }, "page" : "59-63", "title" : "Do incentives improve tuberculosis treatment outcomes in the Republic of Moldova?", "type" : "article-journal", "volume" : "4" }, "uris" : [ "http://www.mendeley.com/documents/?uuid=7f31b938-c500-47a4-9ee8-3bc49dcc5849" ] } ], "mendeley" : { "formattedCitation" : "&lt;sup&gt;39&lt;/sup&gt;", "plainTextFormattedCitation" : "39", "previouslyFormattedCitation" : "&lt;sup&gt;38&lt;/sup&gt;" }, "properties" : { "noteIndex" : 0 }, "schema" : "https://github.com/citation-style-language/schema/raw/master/csl-citation.json" }</w:instrText>
      </w:r>
      <w:r w:rsidR="0057526B">
        <w:fldChar w:fldCharType="separate"/>
      </w:r>
      <w:r w:rsidR="00583138" w:rsidRPr="00583138">
        <w:rPr>
          <w:noProof/>
          <w:vertAlign w:val="superscript"/>
        </w:rPr>
        <w:t>39</w:t>
      </w:r>
      <w:r w:rsidR="0057526B">
        <w:fldChar w:fldCharType="end"/>
      </w:r>
    </w:p>
    <w:p w14:paraId="2225F6AF" w14:textId="766A38B7" w:rsidR="000B06BE" w:rsidRDefault="000B06BE" w:rsidP="000B06BE">
      <w:pPr>
        <w:pStyle w:val="Heading3"/>
      </w:pPr>
      <w:r>
        <w:t>Implementation</w:t>
      </w:r>
    </w:p>
    <w:p w14:paraId="33BD65E9" w14:textId="19675C3A" w:rsidR="00887292" w:rsidRDefault="00887292" w:rsidP="00887292">
      <w:r w:rsidRPr="006F2494">
        <w:t>For model implementation,</w:t>
      </w:r>
      <w:r>
        <w:t xml:space="preserve"> </w:t>
      </w:r>
      <w:r w:rsidR="001E2CC0">
        <w:t xml:space="preserve">we </w:t>
      </w:r>
      <w:r w:rsidR="00B003DC">
        <w:t xml:space="preserve">incorporate a </w:t>
      </w:r>
      <w:r>
        <w:t>proportional reduction in unfavourable treatment outcomes under which the proportion of treatment outcomes resulting in unfavourable outcomes are reduced to 0.</w:t>
      </w:r>
      <w:r w:rsidR="001E2CC0">
        <w:t>5</w:t>
      </w:r>
      <w:r>
        <w:t xml:space="preserve"> </w:t>
      </w:r>
      <w:r w:rsidR="001E2CC0">
        <w:t>(</w:t>
      </w:r>
      <w:r>
        <w:t xml:space="preserve">multiplied by the coverage of the intervention) times the pre-intervention values, consistent with findings from </w:t>
      </w:r>
      <w:r w:rsidR="0057526B">
        <w:t>Moldova</w:t>
      </w:r>
      <w:r>
        <w:t>.</w:t>
      </w:r>
      <w:r w:rsidR="0057526B">
        <w:t xml:space="preserve"> </w:t>
      </w:r>
    </w:p>
    <w:p w14:paraId="746C20E4" w14:textId="77777777" w:rsidR="00C907AC" w:rsidRDefault="00C907AC" w:rsidP="00C907AC">
      <w:r>
        <w:t>Because this intervention is considered to have had historical coverage prior to the commencement of the intervention period, it was necessary to calculate a theoretical treatment success rate to represent the success rate that would have been present if the intervention had been absent. Once this has been done, scaling up the future coverage from its baseline value (of 50% for DS-TB patients) can be simulated.</w:t>
      </w:r>
    </w:p>
    <w:p w14:paraId="6CBCD7DA" w14:textId="1055A4B8" w:rsidR="005E5328" w:rsidRDefault="005E5328" w:rsidP="009A5969">
      <w:pPr>
        <w:pStyle w:val="Heading3"/>
      </w:pPr>
      <w:r>
        <w:t>Results</w:t>
      </w:r>
    </w:p>
    <w:p w14:paraId="0E44EF01" w14:textId="2D39898F" w:rsidR="00C907AC" w:rsidRDefault="00BC5884" w:rsidP="00BC5884">
      <w:r>
        <w:t>As this intervention directly reduces deaths on treatment, this intervention has its main effect on TB-related mortality. Due to the high background case detection rate in Bulgaria, a large proportion of TB-related deaths accrue in patients currently under treatment, such that changes in the proportion of treatment outcomes resulting in death have a significant effect. By contrast, the effects on overall disease burden are indirect and occur through a reduction in the number of infectious persons, which results from few patients transitioning back to the infectious compartment following non-death unsuccessful treatment outcomes.</w:t>
      </w:r>
      <w:r w:rsidR="00581E97">
        <w:t xml:space="preserve"> Therefore, the reduction</w:t>
      </w:r>
      <w:r w:rsidR="00A47063">
        <w:t>s</w:t>
      </w:r>
      <w:r w:rsidR="00581E97">
        <w:t xml:space="preserve"> in incidence, prevalence and notifications </w:t>
      </w:r>
      <w:r w:rsidR="00A47063">
        <w:t xml:space="preserve">are </w:t>
      </w:r>
      <w:r w:rsidR="00581E97">
        <w:t>small.</w:t>
      </w:r>
      <w:r w:rsidR="00C907AC">
        <w:t xml:space="preserve"> Significant reductions in the burden of MDR-TB are also noted, in spite of this intervention being directed at DS-TB. This is mediated </w:t>
      </w:r>
      <w:r w:rsidR="00C907AC">
        <w:lastRenderedPageBreak/>
        <w:t>through a reduction in non-success non-death treatment outcomes for DS-TB reducing the rate of amplification of previously DS strains to MDR-TB.</w:t>
      </w:r>
    </w:p>
    <w:p w14:paraId="203F53D9" w14:textId="6F97D98A" w:rsidR="00F672D1" w:rsidRDefault="00DA5480" w:rsidP="005E20FF">
      <w:pPr>
        <w:jc w:val="left"/>
      </w:pPr>
      <w:r>
        <w:rPr>
          <w:noProof/>
          <w:lang w:val="en-GB" w:eastAsia="en-GB"/>
        </w:rPr>
        <w:drawing>
          <wp:inline distT="0" distB="0" distL="0" distR="0" wp14:anchorId="5E26059D" wp14:editId="68589306">
            <wp:extent cx="4953000" cy="37623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0">
                      <a:extLst>
                        <a:ext uri="{28A0092B-C50C-407E-A947-70E740481C1C}">
                          <a14:useLocalDpi xmlns:a14="http://schemas.microsoft.com/office/drawing/2010/main" val="0"/>
                        </a:ext>
                      </a:extLst>
                    </a:blip>
                    <a:srcRect l="6481" t="7526" r="7101" b="5046"/>
                    <a:stretch/>
                  </pic:blipFill>
                  <pic:spPr bwMode="auto">
                    <a:xfrm>
                      <a:off x="0" y="0"/>
                      <a:ext cx="4953000" cy="3762375"/>
                    </a:xfrm>
                    <a:prstGeom prst="rect">
                      <a:avLst/>
                    </a:prstGeom>
                    <a:noFill/>
                    <a:ln>
                      <a:noFill/>
                    </a:ln>
                    <a:extLst>
                      <a:ext uri="{53640926-AAD7-44D8-BBD7-CCE9431645EC}">
                        <a14:shadowObscured xmlns:a14="http://schemas.microsoft.com/office/drawing/2010/main"/>
                      </a:ext>
                    </a:extLst>
                  </pic:spPr>
                </pic:pic>
              </a:graphicData>
            </a:graphic>
          </wp:inline>
        </w:drawing>
      </w:r>
    </w:p>
    <w:p w14:paraId="73EA41D5" w14:textId="7189131A" w:rsidR="00AF7466" w:rsidRPr="00F672D1" w:rsidRDefault="00B40150" w:rsidP="00F672D1">
      <w:pPr>
        <w:pStyle w:val="Heading4"/>
        <w:rPr>
          <w:b/>
        </w:rPr>
      </w:pPr>
      <w:r>
        <w:rPr>
          <w:b/>
        </w:rPr>
        <w:t>Figure S</w:t>
      </w:r>
      <w:r w:rsidR="005B60FD">
        <w:rPr>
          <w:b/>
        </w:rPr>
        <w:t>33</w:t>
      </w:r>
      <w:r w:rsidR="006137E5" w:rsidRPr="00F672D1">
        <w:rPr>
          <w:b/>
        </w:rPr>
        <w:t>.</w:t>
      </w:r>
      <w:r w:rsidR="00F672D1">
        <w:rPr>
          <w:b/>
        </w:rPr>
        <w:t xml:space="preserve"> Effect</w:t>
      </w:r>
      <w:r w:rsidR="006137E5" w:rsidRPr="00F672D1">
        <w:rPr>
          <w:b/>
        </w:rPr>
        <w:t xml:space="preserve"> of </w:t>
      </w:r>
      <w:r w:rsidR="00B003DC" w:rsidRPr="00F672D1">
        <w:rPr>
          <w:b/>
        </w:rPr>
        <w:t xml:space="preserve">food vouchers </w:t>
      </w:r>
      <w:r w:rsidR="006137E5" w:rsidRPr="00F672D1">
        <w:rPr>
          <w:b/>
        </w:rPr>
        <w:t xml:space="preserve">on </w:t>
      </w:r>
      <w:r w:rsidR="00D54D9B">
        <w:rPr>
          <w:b/>
        </w:rPr>
        <w:t>epidemiological outcomes, with uncertainty.</w:t>
      </w:r>
    </w:p>
    <w:p w14:paraId="34F3F066" w14:textId="254DF083" w:rsidR="00F672D1" w:rsidRDefault="00F672D1" w:rsidP="00F672D1">
      <w:pPr>
        <w:jc w:val="center"/>
      </w:pPr>
    </w:p>
    <w:p w14:paraId="286C9A4B" w14:textId="1693CAF4" w:rsidR="009E763D" w:rsidRDefault="00DA5480" w:rsidP="005C35B9">
      <w:pPr>
        <w:keepNext/>
        <w:jc w:val="left"/>
      </w:pPr>
      <w:r>
        <w:rPr>
          <w:noProof/>
          <w:lang w:val="en-GB" w:eastAsia="en-GB"/>
        </w:rPr>
        <w:lastRenderedPageBreak/>
        <w:drawing>
          <wp:inline distT="0" distB="0" distL="0" distR="0" wp14:anchorId="1486B81C" wp14:editId="0F2C55A7">
            <wp:extent cx="5230872" cy="3952875"/>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41">
                      <a:extLst>
                        <a:ext uri="{28A0092B-C50C-407E-A947-70E740481C1C}">
                          <a14:useLocalDpi xmlns:a14="http://schemas.microsoft.com/office/drawing/2010/main" val="0"/>
                        </a:ext>
                      </a:extLst>
                    </a:blip>
                    <a:srcRect l="6315" t="7526" r="5939" b="4161"/>
                    <a:stretch/>
                  </pic:blipFill>
                  <pic:spPr bwMode="auto">
                    <a:xfrm>
                      <a:off x="0" y="0"/>
                      <a:ext cx="5231894" cy="3953647"/>
                    </a:xfrm>
                    <a:prstGeom prst="rect">
                      <a:avLst/>
                    </a:prstGeom>
                    <a:noFill/>
                    <a:ln>
                      <a:noFill/>
                    </a:ln>
                    <a:extLst>
                      <a:ext uri="{53640926-AAD7-44D8-BBD7-CCE9431645EC}">
                        <a14:shadowObscured xmlns:a14="http://schemas.microsoft.com/office/drawing/2010/main"/>
                      </a:ext>
                    </a:extLst>
                  </pic:spPr>
                </pic:pic>
              </a:graphicData>
            </a:graphic>
          </wp:inline>
        </w:drawing>
      </w:r>
    </w:p>
    <w:p w14:paraId="48DEC025" w14:textId="41BB30D0" w:rsidR="009E763D" w:rsidRDefault="00DE5122" w:rsidP="009E763D">
      <w:pPr>
        <w:pStyle w:val="Heading4"/>
        <w:rPr>
          <w:b/>
        </w:rPr>
      </w:pPr>
      <w:r>
        <w:rPr>
          <w:b/>
        </w:rPr>
        <w:t>Figure S</w:t>
      </w:r>
      <w:r w:rsidR="005B60FD">
        <w:rPr>
          <w:b/>
        </w:rPr>
        <w:t>34</w:t>
      </w:r>
      <w:r w:rsidR="009E763D" w:rsidRPr="00F672D1">
        <w:rPr>
          <w:b/>
        </w:rPr>
        <w:t>.</w:t>
      </w:r>
      <w:r w:rsidR="009E763D">
        <w:rPr>
          <w:b/>
        </w:rPr>
        <w:t xml:space="preserve"> Effect</w:t>
      </w:r>
      <w:r w:rsidR="009E763D" w:rsidRPr="00F672D1">
        <w:rPr>
          <w:b/>
        </w:rPr>
        <w:t xml:space="preserve"> of food vouchers on </w:t>
      </w:r>
      <w:r w:rsidR="009E763D">
        <w:rPr>
          <w:b/>
        </w:rPr>
        <w:t>MDR-TB epidemiological outcomes</w:t>
      </w:r>
      <w:r w:rsidR="00D54D9B">
        <w:rPr>
          <w:b/>
        </w:rPr>
        <w:t>, with uncertainty.</w:t>
      </w:r>
    </w:p>
    <w:p w14:paraId="02A95DF3" w14:textId="77777777" w:rsidR="0057456B" w:rsidRDefault="0057456B" w:rsidP="0057456B"/>
    <w:p w14:paraId="3685F417" w14:textId="4BF1F4C4" w:rsidR="0057456B" w:rsidRDefault="0057456B" w:rsidP="0057456B">
      <w:pPr>
        <w:pStyle w:val="Heading3"/>
      </w:pPr>
      <w:r>
        <w:t>Costs</w:t>
      </w:r>
    </w:p>
    <w:p w14:paraId="73654187" w14:textId="674BE171" w:rsidR="0057456B" w:rsidRPr="00D845C3" w:rsidRDefault="0057456B" w:rsidP="0057456B">
      <w:pPr>
        <w:rPr>
          <w:i/>
        </w:rPr>
      </w:pPr>
      <w:r>
        <w:t>DS-TB p</w:t>
      </w:r>
      <w:r w:rsidRPr="00D845C3">
        <w:t xml:space="preserve">atients receive on average one food voucher valued at </w:t>
      </w:r>
      <w:r>
        <w:t xml:space="preserve">EUR </w:t>
      </w:r>
      <w:r w:rsidRPr="00D845C3">
        <w:t>5.1</w:t>
      </w:r>
      <w:r>
        <w:t xml:space="preserve"> </w:t>
      </w:r>
      <w:r w:rsidRPr="00D845C3">
        <w:t>for every week of complete treatment dur</w:t>
      </w:r>
      <w:r>
        <w:t xml:space="preserve">ing the </w:t>
      </w:r>
      <w:r w:rsidR="00C12A0A">
        <w:t xml:space="preserve">outpatient </w:t>
      </w:r>
      <w:r>
        <w:t>continuation phase</w:t>
      </w:r>
      <w:r w:rsidRPr="00D845C3">
        <w:t>, which is 18 weeks</w:t>
      </w:r>
      <w:r w:rsidR="006A6632">
        <w:t xml:space="preserve"> on average</w:t>
      </w:r>
      <w:r w:rsidRPr="00D845C3">
        <w:t>. The</w:t>
      </w:r>
      <w:r w:rsidR="00C12A0A">
        <w:t>refore, the</w:t>
      </w:r>
      <w:r w:rsidRPr="00D845C3">
        <w:t xml:space="preserve"> unit cost per </w:t>
      </w:r>
      <w:r w:rsidR="00C12A0A">
        <w:t xml:space="preserve">person is calculated as </w:t>
      </w:r>
      <w:r w:rsidR="00C12A0A" w:rsidRPr="00C12A0A">
        <w:rPr>
          <w:b/>
        </w:rPr>
        <w:t xml:space="preserve">18 </w:t>
      </w:r>
      <w:r w:rsidR="00C12A0A" w:rsidRPr="00C12A0A">
        <w:rPr>
          <w:rFonts w:cs="Times New Roman"/>
          <w:b/>
        </w:rPr>
        <w:t>×</w:t>
      </w:r>
      <w:r w:rsidR="00C12A0A" w:rsidRPr="00C12A0A">
        <w:rPr>
          <w:b/>
        </w:rPr>
        <w:t xml:space="preserve"> 5.1 = €92</w:t>
      </w:r>
      <w:r w:rsidR="00C12A0A">
        <w:t>.</w:t>
      </w:r>
    </w:p>
    <w:p w14:paraId="317A02A7" w14:textId="62DEB0ED" w:rsidR="00C12A0A" w:rsidRPr="00D845C3" w:rsidRDefault="006A6632" w:rsidP="00C12A0A">
      <w:r>
        <w:t>As this is an existing intervention which commenced in 2010</w:t>
      </w:r>
      <w:r w:rsidR="00C12A0A" w:rsidRPr="00D845C3">
        <w:t xml:space="preserve"> and expansion of the program </w:t>
      </w:r>
      <w:r w:rsidR="00C12A0A">
        <w:t xml:space="preserve">only involves providing </w:t>
      </w:r>
      <w:r w:rsidR="00C12A0A" w:rsidRPr="00D845C3">
        <w:t xml:space="preserve">food vouchers to more patients, </w:t>
      </w:r>
      <w:r w:rsidR="00C12A0A">
        <w:t xml:space="preserve">the </w:t>
      </w:r>
      <w:r w:rsidR="00C12A0A" w:rsidRPr="00D845C3">
        <w:t>start</w:t>
      </w:r>
      <w:r w:rsidR="00C12A0A">
        <w:t>-up costs are assumed to be zero.</w:t>
      </w:r>
      <w:r w:rsidR="00E87D25">
        <w:t xml:space="preserve"> The saturation value for the cost coverage curves is set </w:t>
      </w:r>
      <w:r>
        <w:t>at</w:t>
      </w:r>
      <w:r w:rsidR="00E87D25">
        <w:t xml:space="preserve"> 110%, because a ceiling at 100% would lead to extremely high and unrealistic costs as coverage approaches the horizontal asymptote at 100% coverage.</w:t>
      </w:r>
      <w:r w:rsidR="00306991">
        <w:t xml:space="preserve"> As seen from Figure S35</w:t>
      </w:r>
      <w:r w:rsidR="00C33585">
        <w:t>, the effect of setting saturation to 110% is to achieve a small but reasonable increase in unit costs as coverage reaches the target value of 100%.</w:t>
      </w:r>
    </w:p>
    <w:p w14:paraId="0E8FC345" w14:textId="3FDE721D" w:rsidR="0057456B" w:rsidRPr="00D845C3" w:rsidRDefault="009C423E" w:rsidP="0057456B">
      <w:r>
        <w:t>In</w:t>
      </w:r>
      <w:r w:rsidR="0057456B" w:rsidRPr="00D845C3">
        <w:t xml:space="preserve"> the case of MDR-TB, </w:t>
      </w:r>
      <w:r w:rsidR="0057456B">
        <w:t>patients receive EUR 1.53 per day for the duration of treatment</w:t>
      </w:r>
      <w:r w:rsidR="0052004D">
        <w:t xml:space="preserve"> (average 560 days), such that the cost per regimen is calculated as 560 </w:t>
      </w:r>
      <w:r w:rsidR="0052004D">
        <w:rPr>
          <w:rFonts w:cs="Times New Roman"/>
        </w:rPr>
        <w:t>×</w:t>
      </w:r>
      <w:r w:rsidR="0052004D">
        <w:t xml:space="preserve"> 1.53 = </w:t>
      </w:r>
      <w:r w:rsidR="0052004D" w:rsidRPr="0052004D">
        <w:t>€</w:t>
      </w:r>
      <w:r w:rsidR="0052004D">
        <w:t>857. However, note that the coverage of this program is 100% at baseline and not modified by the intervention.</w:t>
      </w:r>
    </w:p>
    <w:p w14:paraId="36CE3D1A" w14:textId="057981F8" w:rsidR="00293325" w:rsidRDefault="00DA5480" w:rsidP="00293325">
      <w:r>
        <w:rPr>
          <w:noProof/>
          <w:lang w:val="en-GB" w:eastAsia="en-GB"/>
        </w:rPr>
        <w:lastRenderedPageBreak/>
        <w:drawing>
          <wp:inline distT="0" distB="0" distL="0" distR="0" wp14:anchorId="4A1371F4" wp14:editId="13DDBEBE">
            <wp:extent cx="5731510" cy="4303395"/>
            <wp:effectExtent l="0" t="0" r="254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303395"/>
                    </a:xfrm>
                    <a:prstGeom prst="rect">
                      <a:avLst/>
                    </a:prstGeom>
                    <a:noFill/>
                    <a:ln>
                      <a:noFill/>
                    </a:ln>
                  </pic:spPr>
                </pic:pic>
              </a:graphicData>
            </a:graphic>
          </wp:inline>
        </w:drawing>
      </w:r>
    </w:p>
    <w:p w14:paraId="62556E0E" w14:textId="5DFD3EBF" w:rsidR="00293325" w:rsidRDefault="00293325" w:rsidP="00293325">
      <w:pPr>
        <w:pStyle w:val="Heading4"/>
        <w:rPr>
          <w:b/>
        </w:rPr>
      </w:pPr>
      <w:r>
        <w:rPr>
          <w:b/>
        </w:rPr>
        <w:t>Figure S</w:t>
      </w:r>
      <w:r w:rsidR="005B60FD">
        <w:rPr>
          <w:b/>
        </w:rPr>
        <w:t>35</w:t>
      </w:r>
      <w:r w:rsidRPr="00F672D1">
        <w:rPr>
          <w:b/>
        </w:rPr>
        <w:t>.</w:t>
      </w:r>
      <w:r>
        <w:rPr>
          <w:b/>
        </w:rPr>
        <w:t xml:space="preserve"> Cost-coverage curves for food voucher intervention.</w:t>
      </w:r>
    </w:p>
    <w:p w14:paraId="7CEC8BCD" w14:textId="28BEDA2F" w:rsidR="005E5328" w:rsidRDefault="008D75C6" w:rsidP="008D75C6">
      <w:pPr>
        <w:pStyle w:val="Heading1"/>
        <w:numPr>
          <w:ilvl w:val="0"/>
          <w:numId w:val="9"/>
        </w:numPr>
      </w:pPr>
      <w:r>
        <w:t>A</w:t>
      </w:r>
      <w:r w:rsidRPr="008D75C6">
        <w:t>mbulatory care for smear-negative and extrapulmonary DS-TB</w:t>
      </w:r>
    </w:p>
    <w:p w14:paraId="04C75E3E" w14:textId="10634B0B" w:rsidR="004B7568" w:rsidRDefault="008B5E1D" w:rsidP="00560226">
      <w:pPr>
        <w:pStyle w:val="Heading3"/>
      </w:pPr>
      <w:r>
        <w:t>Background</w:t>
      </w:r>
    </w:p>
    <w:p w14:paraId="6092AD35" w14:textId="3F8F5469" w:rsidR="00821CB0" w:rsidRDefault="00B72DBA" w:rsidP="0064029F">
      <w:r w:rsidRPr="00B72DBA">
        <w:t>Ambulatory care refers to the treatment and care of</w:t>
      </w:r>
      <w:r w:rsidR="00821CB0">
        <w:t xml:space="preserve"> patients outside of hospitals. Worldwide, drug-resistant forms of TB are often managed for extended periods of time as inpatients, although drug-susceptible TB is typically managed primarily in an outpatient setting. Bulgaria has a history of providing TB care on a primarily inpatient basis.</w:t>
      </w:r>
      <w:r w:rsidR="00C83249" w:rsidRPr="00C83249">
        <w:t xml:space="preserve"> </w:t>
      </w:r>
      <w:r w:rsidR="00C83249" w:rsidRPr="000000A5">
        <w:t>This intervention appl</w:t>
      </w:r>
      <w:r w:rsidR="00C83249">
        <w:t>ies to smear-negative and extra</w:t>
      </w:r>
      <w:r w:rsidR="00C83249" w:rsidRPr="000000A5">
        <w:t xml:space="preserve">pulmonary DS-TB </w:t>
      </w:r>
      <w:r w:rsidR="00C83249">
        <w:t xml:space="preserve">patients </w:t>
      </w:r>
      <w:r w:rsidR="00C83249" w:rsidRPr="000000A5">
        <w:t>only</w:t>
      </w:r>
      <w:r w:rsidR="009E2398">
        <w:t>, while management of smear-positive TB remains primarily inpatient</w:t>
      </w:r>
      <w:r w:rsidR="00156765">
        <w:t>-based</w:t>
      </w:r>
      <w:r w:rsidR="00C83249" w:rsidRPr="000000A5">
        <w:t>. Currently</w:t>
      </w:r>
      <w:r w:rsidR="00C83249">
        <w:t>,</w:t>
      </w:r>
      <w:r w:rsidR="00C83249" w:rsidRPr="000000A5">
        <w:t xml:space="preserve"> </w:t>
      </w:r>
      <w:r w:rsidR="009E2398">
        <w:t>patients with smear-negative and extra</w:t>
      </w:r>
      <w:r w:rsidR="009E2398" w:rsidRPr="000000A5">
        <w:t xml:space="preserve">pulmonary DS-TB </w:t>
      </w:r>
      <w:r w:rsidR="009E2398">
        <w:t xml:space="preserve">are treated in an inpatient setting </w:t>
      </w:r>
      <w:r w:rsidR="00C83249" w:rsidRPr="000000A5">
        <w:t xml:space="preserve">for the first </w:t>
      </w:r>
      <w:r w:rsidR="00C83249">
        <w:t xml:space="preserve">three </w:t>
      </w:r>
      <w:r w:rsidR="00C83249" w:rsidRPr="000000A5">
        <w:t>mo</w:t>
      </w:r>
      <w:r w:rsidR="00C83249">
        <w:t>nths of treatment, followed by three</w:t>
      </w:r>
      <w:r w:rsidR="00C83249" w:rsidRPr="000000A5">
        <w:t xml:space="preserve"> </w:t>
      </w:r>
      <w:r w:rsidR="00C83249">
        <w:t>months (for smear-negative) or six</w:t>
      </w:r>
      <w:r w:rsidR="00C83249" w:rsidRPr="000000A5">
        <w:t xml:space="preserve"> months (for extrapulmonary) continuation ambulatory care at home. The NTP is planning to transition to a more sustainable model of care, in which these patients will receive ambulatory care for the en</w:t>
      </w:r>
      <w:r w:rsidR="00C83249">
        <w:t xml:space="preserve">tire course of treatment (i.e. </w:t>
      </w:r>
      <w:r w:rsidR="00C83249">
        <w:lastRenderedPageBreak/>
        <w:t>six</w:t>
      </w:r>
      <w:r w:rsidR="00C83249" w:rsidRPr="000000A5">
        <w:t xml:space="preserve"> months ambulatory car</w:t>
      </w:r>
      <w:r w:rsidR="00C83249">
        <w:t>e for smear-negative DS-TB and nine</w:t>
      </w:r>
      <w:r w:rsidR="00C83249" w:rsidRPr="000000A5">
        <w:t xml:space="preserve"> months ambulatory</w:t>
      </w:r>
      <w:r w:rsidR="00C83249">
        <w:t xml:space="preserve"> care for extra</w:t>
      </w:r>
      <w:r w:rsidR="00C83249" w:rsidRPr="000000A5">
        <w:t>pulmonary DS-TB). In this model of care, the patients take medic</w:t>
      </w:r>
      <w:r w:rsidR="00C83249">
        <w:t>ines at home with daily (first three</w:t>
      </w:r>
      <w:r w:rsidR="00C83249" w:rsidRPr="000000A5">
        <w:t xml:space="preserve"> months of treatment) or weekly (the remaining duration of treatment) visit</w:t>
      </w:r>
      <w:r w:rsidR="00C83249">
        <w:t>s</w:t>
      </w:r>
      <w:r w:rsidR="00C83249" w:rsidRPr="000000A5">
        <w:t xml:space="preserve"> </w:t>
      </w:r>
      <w:r w:rsidR="00C83249">
        <w:t>from nurses or non-governmental o</w:t>
      </w:r>
      <w:r w:rsidR="00C83249" w:rsidRPr="000000A5">
        <w:t xml:space="preserve">rganisation (NGO) outreach workers to </w:t>
      </w:r>
      <w:r w:rsidR="00C83249">
        <w:t>the patient’s home.</w:t>
      </w:r>
      <w:r w:rsidR="009E2398">
        <w:t xml:space="preserve"> This intervention may be considered as a first step in a broader transition towards ambulatory care for all forms of DS-TB including smear-positive TB. </w:t>
      </w:r>
    </w:p>
    <w:p w14:paraId="6323A671" w14:textId="2C670299" w:rsidR="00821CB0" w:rsidRDefault="00821CB0" w:rsidP="00821CB0">
      <w:pPr>
        <w:pStyle w:val="Heading3"/>
      </w:pPr>
      <w:r>
        <w:t>Evidence</w:t>
      </w:r>
    </w:p>
    <w:p w14:paraId="5367A59C" w14:textId="6084B70A" w:rsidR="00623C3C" w:rsidRDefault="00B72DBA" w:rsidP="0064029F">
      <w:r w:rsidRPr="00B72DBA">
        <w:t>A large systematic review and meta-analysis which included data from 35 studies that compared treatment outcomes of MDR-TB patients in hospital-based and ambulatory-based settings found that both settings had comparable treatment success rates and adverse outcome rates.</w:t>
      </w:r>
      <w:r w:rsidR="00821CB0">
        <w:fldChar w:fldCharType="begin" w:fldLock="1"/>
      </w:r>
      <w:r w:rsidR="00583138">
        <w:instrText>ADDIN CSL_CITATION { "citationItems" : [ { "id" : "ITEM-1", "itemData" : { "DOI" : "10.4269/ajtmh.13-0004", "ISSN" : "1476-1645", "PMID" : "23926140", "abstract" : "A systematic review of the literature was conducted on the effectiveness of MDR-TB management. A meta-analysis of treatment outcomes of patients treated in hospitals versus ambulatory-based models was performed in accordance with PRISMA guidelines. The pooled treatment success rate was 66.4% (95% confidence interval [CI] 61.4-71.1%), with no statistical difference between ambulatory (65.5%; 55.1-74.6%) and hospital-based models (66.7%; 61.0-72.0%). The pooled death rate was 10.4% (6.3-16.5%), the pooled treatment failure rate was 9.5% (7.3-12.4%), and the defaulter rate was 14.3% (10.5-19.1%). None of the differences between the two models were statistically significant for any of the outcomes considered. This work improves the quality of the evidence available supporting the World Health Organizations (WHO) recommendation that patients be treated using mainly ambulatory care, conditional on infection control measures in the home and clinic, clinical condition of the patient, availability of treatment support to facilitate adherence to treatment, and provisions for backup facility to manage patients who need inpatient treatment care.", "author" : [ { "dropping-particle" : "", "family" : "Bassili", "given" : "Amal", "non-dropping-particle" : "", "parse-names" : false, "suffix" : "" }, { "dropping-particle" : "", "family" : "Fitzpatrick", "given" : "Christopher", "non-dropping-particle" : "", "parse-names" : false, "suffix" : "" }, { "dropping-particle" : "", "family" : "Qadeer", "given" : "Ejaz", "non-dropping-particle" : "", "parse-names" : false, "suffix" : "" }, { "dropping-particle" : "", "family" : "Fatima", "given" : "Razia", "non-dropping-particle" : "", "parse-names" : false, "suffix" : "" }, { "dropping-particle" : "", "family" : "Floyd", "given" : "Katherine", "non-dropping-particle" : "", "parse-names" : false, "suffix" : "" }, { "dropping-particle" : "", "family" : "Jaramillo", "given" : "Ernesto", "non-dropping-particle" : "", "parse-names" : false, "suffix" : "" } ], "container-title" : "The American journal of tropical medicine and hygiene", "id" : "ITEM-1", "issue" : "2", "issued" : { "date-parts" : [ [ "2013", "8" ] ] }, "page" : "271-80", "publisher" : "The American Society of Tropical Medicine and Hygiene", "title" : "A systematic review of the effectiveness of hospital- and ambulatory-based management of multidrug-resistant tuberculosis.", "type" : "article-journal", "volume" : "89" }, "uris" : [ "http://www.mendeley.com/documents/?uuid=289593da-5490-4272-83d5-192fa4da1f44" ] } ], "mendeley" : { "formattedCitation" : "&lt;sup&gt;40&lt;/sup&gt;", "plainTextFormattedCitation" : "40", "previouslyFormattedCitation" : "&lt;sup&gt;39&lt;/sup&gt;" }, "properties" : { "noteIndex" : 0 }, "schema" : "https://github.com/citation-style-language/schema/raw/master/csl-citation.json" }</w:instrText>
      </w:r>
      <w:r w:rsidR="00821CB0">
        <w:fldChar w:fldCharType="separate"/>
      </w:r>
      <w:r w:rsidR="00583138" w:rsidRPr="00583138">
        <w:rPr>
          <w:noProof/>
          <w:vertAlign w:val="superscript"/>
        </w:rPr>
        <w:t>40</w:t>
      </w:r>
      <w:r w:rsidR="00821CB0">
        <w:fldChar w:fldCharType="end"/>
      </w:r>
      <w:r w:rsidRPr="00B72DBA">
        <w:t xml:space="preserve"> These findings are consistent with another systematic review</w:t>
      </w:r>
      <w:r w:rsidR="00821CB0">
        <w:t>,</w:t>
      </w:r>
      <w:r w:rsidRPr="00B72DBA">
        <w:t xml:space="preserve"> </w:t>
      </w:r>
      <w:r w:rsidR="00821CB0">
        <w:t xml:space="preserve">which </w:t>
      </w:r>
      <w:r w:rsidRPr="00B72DBA">
        <w:t>found that ambulatory care of MDR-TB patients</w:t>
      </w:r>
      <w:r w:rsidR="00821CB0">
        <w:t xml:space="preserve"> resulted</w:t>
      </w:r>
      <w:r w:rsidR="00F672D1">
        <w:t xml:space="preserve"> in</w:t>
      </w:r>
      <w:r w:rsidRPr="00B72DBA">
        <w:t xml:space="preserve"> comparable treatment outcome</w:t>
      </w:r>
      <w:r w:rsidR="00F672D1">
        <w:t>s</w:t>
      </w:r>
      <w:r w:rsidRPr="00B72DBA">
        <w:t xml:space="preserve"> </w:t>
      </w:r>
      <w:r w:rsidR="00F672D1">
        <w:t xml:space="preserve">to </w:t>
      </w:r>
      <w:r w:rsidRPr="00B72DBA">
        <w:t xml:space="preserve">hospital-based care, </w:t>
      </w:r>
      <w:r w:rsidR="00821CB0">
        <w:t>but wa</w:t>
      </w:r>
      <w:r w:rsidR="00F672D1">
        <w:t>s</w:t>
      </w:r>
      <w:r w:rsidRPr="00B72DBA">
        <w:t xml:space="preserve"> cheaper </w:t>
      </w:r>
      <w:r w:rsidR="00F672D1">
        <w:t xml:space="preserve">and so </w:t>
      </w:r>
      <w:r w:rsidRPr="00B72DBA">
        <w:t>more cost-effective.</w:t>
      </w:r>
      <w:r w:rsidR="00821CB0">
        <w:fldChar w:fldCharType="begin" w:fldLock="1"/>
      </w:r>
      <w:r w:rsidR="00583138">
        <w:instrText>ADDIN CSL_CITATION { "citationItems" : [ { "id" : "ITEM-1", "itemData" : { "DOI" : "10.2165/11595340-000000000-00000", "ISSN" : "1170-7690", "PMID" : "22070215", "abstract" : "BACKGROUND Around 0.4 million cases of multidrug-resistant tuberculosis (MDR-TB) occur each year. Only a small fraction of these cases are treated according to international guidelines. Evidence relevant to decisions about whether to scale-up treatment for MDR-TB includes cost and cost-effectiveness data. Up to 2010, no systematic review of this evidence has been available. OBJECTIVE Our objective was to conduct a systematic review of the cost and cost effectiveness of treatment for MDR-TB and synthesize the available data. METHODS We searched for papers published or prepared for publication in peer-review journals and grey literature using search terms in five languages: English, French, Portuguese, Russian and Spanish. From an initial set of 420 studies, four were included, from Peru, the Philippines, Estonia and Tomsk Oblast in the Russian Federation. Results on costs, effectiveness and cost effectiveness were extracted. Assessment of the quality of each economic evaluation was guided by two existing checklists around which there is broad consensus. Costs were adjusted to a common year of value (2005) to remove distortions caused by inflation, and calculated in two common currencies: $US and international dollars (I$), to standardize for purchasing power parity. Data from the four identified studies were then synthesized using probabilistic sensitivity analysis, to appraise the likely cost and cost effectiveness of MDR-TB treatment in other settings, relative to WHO benchmarks for assessing whether or not an intervention is cost effective. Best estimates are provided as means, with 5th and 95th percentiles of the distributions. RESULTS The cost per patient for MDR-TB treatment in Estonia, Peru, the Philippines and Tomsk was $US10\u2009880, $US2423, $US3613 and $US14\u2009657, respectively. Best estimates of the cost per disability-adjusted life-year (DALY) averted were $US598 (I$960), $US163 (I$291), $US143 (I$255) and $US745 (I$1059), respectively. The main influences on costs were (i) the model of care chosen (the extent to which hospitalization or ambulatory care were relied upon) and (ii) the second-line drugs included in the treatment regimen. When extrapolated to other settings, the best estimate of the cost of treatment varied from US3401 to US195 078, depending on the region and model of care. The cost per DALY averted was lower than GDP per capita in all 14 WHO sub-regions considered, with better cost effectiveness for outpatient versus inpatient mode\u2026", "author" : [ { "dropping-particle" : "", "family" : "Fitzpatrick", "given" : "Christopher", "non-dropping-particle" : "", "parse-names" : false, "suffix" : "" }, { "dropping-particle" : "", "family" : "Floyd", "given" : "Katherine", "non-dropping-particle" : "", "parse-names" : false, "suffix" : "" } ], "container-title" : "PharmacoEconomics", "id" : "ITEM-1", "issue" : "1", "issued" : { "date-parts" : [ [ "2012", "1" ] ] }, "page" : "63-80", "title" : "A Systematic Review of the Cost and Cost Effectiveness of Treatment for Multidrug-Resistant Tuberculosis", "type" : "article-journal", "volume" : "30" }, "uris" : [ "http://www.mendeley.com/documents/?uuid=fbe91b7a-2ae3-49b0-b806-ed18fddc137e" ] } ], "mendeley" : { "formattedCitation" : "&lt;sup&gt;41&lt;/sup&gt;", "plainTextFormattedCitation" : "41", "previouslyFormattedCitation" : "&lt;sup&gt;40&lt;/sup&gt;" }, "properties" : { "noteIndex" : 0 }, "schema" : "https://github.com/citation-style-language/schema/raw/master/csl-citation.json" }</w:instrText>
      </w:r>
      <w:r w:rsidR="00821CB0">
        <w:fldChar w:fldCharType="separate"/>
      </w:r>
      <w:r w:rsidR="00583138" w:rsidRPr="00583138">
        <w:rPr>
          <w:noProof/>
          <w:vertAlign w:val="superscript"/>
        </w:rPr>
        <w:t>41</w:t>
      </w:r>
      <w:r w:rsidR="00821CB0">
        <w:fldChar w:fldCharType="end"/>
      </w:r>
      <w:r w:rsidRPr="00B72DBA">
        <w:t xml:space="preserve"> A qualitative analysis of patients’ experience with ambulatory care has revealed that this modality of care was preferable to hospital-based care and was perceived as safe, conduc</w:t>
      </w:r>
      <w:r w:rsidR="00623C3C">
        <w:t>ive to recovery, facilitated</w:t>
      </w:r>
      <w:r w:rsidRPr="00B72DBA">
        <w:t xml:space="preserve"> ps</w:t>
      </w:r>
      <w:r w:rsidR="00623C3C">
        <w:t>ychological support and allowed</w:t>
      </w:r>
      <w:r w:rsidRPr="00B72DBA">
        <w:t xml:space="preserve"> more free time and earning potenti</w:t>
      </w:r>
      <w:r w:rsidR="005D7D48">
        <w:t>al for patients and caretakers.</w:t>
      </w:r>
      <w:r w:rsidR="00E95D4C">
        <w:fldChar w:fldCharType="begin" w:fldLock="1"/>
      </w:r>
      <w:r w:rsidR="00583138">
        <w:instrText>ADDIN CSL_CITATION { "citationItems" : [ { "id" : "ITEM-1", "itemData" : { "DOI" : "10.1186/1472-6963-14-81", "ISSN" : "1472-6963", "PMID" : "24559177", "abstract" : "BACKGROUND Ambulatory, community-based care for multi-drug resistant tuberculosis (MDR-TB) has been found to be effective in multiple settings with high cure rates. However, little is known about patient preferences around models of MDR-TB care. M\u00e9decins Sans Fronti\u00e8res (MSF) has delivered home-based MDR-TB treatment in the rural Kitgum and Lamwo districts of northern Uganda since 2009 in collaboration with the Ministry of Health and the National TB and Leprosy Programme. We conducted a qualitative study examining the experience of patients and key stakeholders of home-based MDR-TB treatment. METHODS We used semi-structured interviews and focus-group discussions to examine patients' perceptions, views and experiences of home-based treatment and care for MDR-TB versus their perceptions of care in hospital. We identified how these perceptions interacted with those of their families and other stakeholders involved with TB. Participants were selected purposively following a stakeholder analysis. Sample size was determined by data saturation being reached within each identified homogenous category of respondents: health-care receiving, health-care providing and key informant. Iterative data collection and analysis enabled adaptation of topic guides and testing of emerging themes. The grounded theory method of analysis was applied, with data, codes and categories being continually compared and refined. RESULTS Several key themes emerged: the perceived preference and acceptability of home-based treatment and care as a model of MDR-TB treatment by patients, family, community members and health-care workers; the fear of transmission of other infections within hospital settings; and the identification of MDR-TB developing through poor adherence to and inadequate treatment regimens for DS-TB. CONCLUSIONS Home-based treatment and care was acceptable to patients, families, communities and health-care workers and was seen as preferable to hospital-based care by most respondents. Home-based care was perceived as safe, conducive to recovery, facilitating psychosocial support and allowing more free time and earning potential for patients and caretakers. These findings could contribute to development of an adaptation of treatment approach strategy at national level.", "author" : [ { "dropping-particle" : "", "family" : "Horter", "given" : "Shona", "non-dropping-particle" : "", "parse-names" : false, "suffix" : "" }, { "dropping-particle" : "", "family" : "Stringer", "given" : "Beverley", "non-dropping-particle" : "", "parse-names" : false, "suffix" : "" }, { "dropping-particle" : "", "family" : "Reynolds", "given" : "Lucy", "non-dropping-particle" : "", "parse-names" : false, "suffix" : "" }, { "dropping-particle" : "", "family" : "Shoaib", "given" : "Muhammad", "non-dropping-particle" : "", "parse-names" : false, "suffix" : "" }, { "dropping-particle" : "", "family" : "Kasozi", "given" : "Samuel", "non-dropping-particle" : "", "parse-names" : false, "suffix" : "" }, { "dropping-particle" : "", "family" : "Casas", "given" : "Esther C", "non-dropping-particle" : "", "parse-names" : false, "suffix" : "" }, { "dropping-particle" : "", "family" : "Verputten", "given" : "Meggy", "non-dropping-particle" : "", "parse-names" : false, "suffix" : "" }, { "dropping-particle" : "", "family" : "Cros", "given" : "Philipp", "non-dropping-particle" : "du", "parse-names" : false, "suffix" : "" } ], "container-title" : "BMC Health Services Research", "id" : "ITEM-1", "issue" : "1", "issued" : { "date-parts" : [ [ "2014", "12", "21" ] ] }, "page" : "81", "title" : "\u201cHome is where the patient is\u201d: a qualitative analysis of a patient-centred model of care for multi-drug resistant tuberculosis", "type" : "article-journal", "volume" : "14" }, "uris" : [ "http://www.mendeley.com/documents/?uuid=1ca92387-e636-4f9f-a74b-47ad5fec1212" ] } ], "mendeley" : { "formattedCitation" : "&lt;sup&gt;42&lt;/sup&gt;", "plainTextFormattedCitation" : "42", "previouslyFormattedCitation" : "&lt;sup&gt;41&lt;/sup&gt;" }, "properties" : { "noteIndex" : 0 }, "schema" : "https://github.com/citation-style-language/schema/raw/master/csl-citation.json" }</w:instrText>
      </w:r>
      <w:r w:rsidR="00E95D4C">
        <w:fldChar w:fldCharType="separate"/>
      </w:r>
      <w:r w:rsidR="00583138" w:rsidRPr="00583138">
        <w:rPr>
          <w:noProof/>
          <w:vertAlign w:val="superscript"/>
        </w:rPr>
        <w:t>42</w:t>
      </w:r>
      <w:r w:rsidR="00E95D4C">
        <w:fldChar w:fldCharType="end"/>
      </w:r>
      <w:r w:rsidR="00EB2CC4">
        <w:t xml:space="preserve"> The efficacy of ambulatory management and treatment courses incorporating at least five drugs lasting for over 18 months for both MDR-TB and XDR-TB patients was recently confirmed in another systematic review and meta-analysis.</w:t>
      </w:r>
      <w:r w:rsidR="00EB2CC4">
        <w:fldChar w:fldCharType="begin" w:fldLock="1"/>
      </w:r>
      <w:r w:rsidR="00583138">
        <w:instrText>ADDIN CSL_CITATION { "citationItems" : [ { "id" : "ITEM-1", "itemData" : { "DOI" : "10.1186/s41256-016-0010-y", "ISSN" : "2397-0642", "PMID" : "29202059", "abstract" : "Background Multidrug drug resistant Tuberculosis (MDR-TB) and extensively drug resistant Tuberculosis (XDR-TB) have emerged as significant public health threats worldwide. This systematic review and meta-analysis aimed to investigate the effects of community-based treatment to traditional hospitalization in improving treatment success rates among MDR-TB and XDR-TB patients in the 27 MDR-TB High burden countries (HBC). Methods We searched PubMed, Cochrane, Lancet, Web of Science, International Journal of Tuberculosis and Lung Disease, and Centre for Reviews and Dissemination (CRD) for studies on community-based treatment and traditional hospitalization and MDR-TB and XDR-TB from the 27 MDR-TB HBC. Data on treatment success and failure rates were extracted from retrospective and prospective cohort studies, and a case control study. Sensitivity analysis, subgroup analyses, and meta-regression analysis were used to explore bias and potential sources of heterogeneity. Results The final sample included 16 studies involving 3344 patients from nine countries; Bangladesh, China, Ethiopia, Kenya, India, South Africa, Philippines, Russia, and Uzbekistan. Based on a random-effects model, we observed a higher treatment success rate in community-based treatment (Point estimate = 0.68, 95 % CI: 0.59 to 0.76, p &lt; 0.01) compared to traditional hospitalization (Point estimate = 0.57, 95 % CI: 0.44 to 0.69, p &lt; 0.01). A lower treatment failure rate was observed in community-based treatment 7 % (Point estimate = 0.07, 95 % CI: 0.03 to 0.10; p &lt; 0.01) compared to traditional hospitalization (Point estimate = 0.188, 95 % CI: 0.10 to 0.28; p &lt; 0.01). In the subgroup analysis, studies without HIV co-infected patients, directly observed therapy short course-plus (DOTS-Plus) implemented throughout therapy, treatment duration &gt; 18 months, and regimen with drugs &gt;5 reported higher treatment success rate. In the meta-regression model, age of patients, adverse events, treatment duration, and lost to follow up explains some of the heterogeneity of treatment effects between studies. Conclusion Community-based management improved treatment outcomes. A mix of interventions with DOTS-Plus throughout therapy and treatment duration &gt; 18 months as well as strategies in place for lost to follow up and adverse events should be considered in MDR-TB and XDR-TB interventions, as they influenced positively, treatment success.", "author" : [ { "dropping-particle" : "", "family" : "Williams", "given" : "Abimbola Onigbanjo", "non-dropping-particle" : "", "parse-names" : false, "suffix" : "" }, { "dropping-particle" : "", "family" : "Makinde", "given" : "Olusesan Ayodeji", "non-dropping-particle" : "", "parse-names" : false, "suffix" : "" }, { "dropping-particle" : "", "family" : "Ojo", "given" : "Mojisola", "non-dropping-particle" : "", "parse-names" : false, "suffix" : "" } ], "container-title" : "Global health research and policy", "id" : "ITEM-1", "issued" : { "date-parts" : [ [ "2016" ] ] }, "page" : "10", "publisher" : "BioMed Central", "title" : "Community-based management versus traditional hospitalization in treatment of drug-resistant tuberculosis: a systematic review and meta-analysis.", "type" : "article-journal", "volume" : "1" }, "uris" : [ "http://www.mendeley.com/documents/?uuid=34fbd89e-9a60-43c8-8a64-952cf1b16b44" ] } ], "mendeley" : { "formattedCitation" : "&lt;sup&gt;43&lt;/sup&gt;", "plainTextFormattedCitation" : "43", "previouslyFormattedCitation" : "&lt;sup&gt;42&lt;/sup&gt;" }, "properties" : { "noteIndex" : 0 }, "schema" : "https://github.com/citation-style-language/schema/raw/master/csl-citation.json" }</w:instrText>
      </w:r>
      <w:r w:rsidR="00EB2CC4">
        <w:fldChar w:fldCharType="separate"/>
      </w:r>
      <w:r w:rsidR="00583138" w:rsidRPr="00583138">
        <w:rPr>
          <w:noProof/>
          <w:vertAlign w:val="superscript"/>
        </w:rPr>
        <w:t>43</w:t>
      </w:r>
      <w:r w:rsidR="00EB2CC4">
        <w:fldChar w:fldCharType="end"/>
      </w:r>
    </w:p>
    <w:p w14:paraId="6DF946E6" w14:textId="77777777" w:rsidR="00850EB4" w:rsidRDefault="00850EB4" w:rsidP="00850EB4">
      <w:pPr>
        <w:pStyle w:val="Heading3"/>
      </w:pPr>
      <w:r>
        <w:t>Implementation</w:t>
      </w:r>
    </w:p>
    <w:p w14:paraId="457FE506" w14:textId="102C17FC" w:rsidR="00293325" w:rsidRDefault="00293325" w:rsidP="00293325">
      <w:r>
        <w:t>No change to programmatic parameters is considered with this implementation, although it is conceivable that improvements in treatment success rates could be observed based on the evidence described above.</w:t>
      </w:r>
      <w:r w:rsidR="006921B2">
        <w:t xml:space="preserve"> The cost-coverage curves for the additional positive costs of moving to an ambulatory approach to care for smear-negative and extrapulmonary pat</w:t>
      </w:r>
      <w:r w:rsidR="00035509">
        <w:t>ients is displayed in Figure S36</w:t>
      </w:r>
      <w:r w:rsidR="006921B2">
        <w:t>.</w:t>
      </w:r>
    </w:p>
    <w:p w14:paraId="4CE4B12B" w14:textId="5F50F191" w:rsidR="00422281" w:rsidRDefault="00422281" w:rsidP="00EC5F79">
      <w:pPr>
        <w:pStyle w:val="Heading3"/>
      </w:pPr>
      <w:r>
        <w:t>Costs</w:t>
      </w:r>
    </w:p>
    <w:p w14:paraId="24D93DD0" w14:textId="48D33FEE" w:rsidR="00433F7C" w:rsidRDefault="00433F7C" w:rsidP="00433F7C">
      <w:r w:rsidRPr="0012138A">
        <w:t>Information on the activities required (such as training) for the transition from hospitali</w:t>
      </w:r>
      <w:r>
        <w:t>sation care to ambulatory care wa</w:t>
      </w:r>
      <w:r w:rsidRPr="0012138A">
        <w:t xml:space="preserve">s </w:t>
      </w:r>
      <w:r>
        <w:t>un</w:t>
      </w:r>
      <w:r w:rsidRPr="0012138A">
        <w:t xml:space="preserve">available. Therefore, </w:t>
      </w:r>
      <w:r>
        <w:t xml:space="preserve">the </w:t>
      </w:r>
      <w:r w:rsidRPr="0012138A">
        <w:t>start-up cost is as</w:t>
      </w:r>
      <w:r>
        <w:t>sumed to be zero. The other costs are estimated as follows.</w:t>
      </w:r>
    </w:p>
    <w:p w14:paraId="7C6DAE09" w14:textId="4231F2DF" w:rsidR="00422281" w:rsidRPr="00033A63" w:rsidRDefault="006D6BE0" w:rsidP="00EC5F79">
      <w:pPr>
        <w:pStyle w:val="Heading4"/>
        <w:rPr>
          <w:b/>
        </w:rPr>
      </w:pPr>
      <w:r w:rsidRPr="00033A63">
        <w:rPr>
          <w:b/>
        </w:rPr>
        <w:lastRenderedPageBreak/>
        <w:t>T</w:t>
      </w:r>
      <w:r w:rsidR="00422281" w:rsidRPr="00033A63">
        <w:rPr>
          <w:b/>
        </w:rPr>
        <w:t xml:space="preserve">able S3. Calculations of unit costs of conventional </w:t>
      </w:r>
      <w:r w:rsidR="00EC5F79" w:rsidRPr="00033A63">
        <w:rPr>
          <w:b/>
        </w:rPr>
        <w:t>and ambulatory modality of care.</w:t>
      </w:r>
    </w:p>
    <w:tbl>
      <w:tblPr>
        <w:tblStyle w:val="TableGrid"/>
        <w:tblW w:w="0" w:type="auto"/>
        <w:tblInd w:w="137" w:type="dxa"/>
        <w:tblLook w:val="04A0" w:firstRow="1" w:lastRow="0" w:firstColumn="1" w:lastColumn="0" w:noHBand="0" w:noVBand="1"/>
      </w:tblPr>
      <w:tblGrid>
        <w:gridCol w:w="1616"/>
        <w:gridCol w:w="15"/>
        <w:gridCol w:w="1409"/>
        <w:gridCol w:w="10"/>
        <w:gridCol w:w="1812"/>
        <w:gridCol w:w="14"/>
        <w:gridCol w:w="832"/>
        <w:gridCol w:w="24"/>
        <w:gridCol w:w="3147"/>
      </w:tblGrid>
      <w:tr w:rsidR="00422281" w14:paraId="130CF841" w14:textId="77777777" w:rsidTr="00580FA8">
        <w:tc>
          <w:tcPr>
            <w:tcW w:w="1673" w:type="dxa"/>
            <w:gridSpan w:val="2"/>
            <w:tcBorders>
              <w:bottom w:val="single" w:sz="4" w:space="0" w:color="auto"/>
            </w:tcBorders>
            <w:shd w:val="clear" w:color="auto" w:fill="D9D9D9" w:themeFill="background1" w:themeFillShade="D9"/>
          </w:tcPr>
          <w:p w14:paraId="16BA934C" w14:textId="77777777" w:rsidR="00422281" w:rsidRDefault="00422281" w:rsidP="00C171F0">
            <w:pPr>
              <w:rPr>
                <w:sz w:val="23"/>
              </w:rPr>
            </w:pPr>
            <w:r>
              <w:rPr>
                <w:sz w:val="23"/>
              </w:rPr>
              <w:t xml:space="preserve">Item </w:t>
            </w:r>
          </w:p>
        </w:tc>
        <w:tc>
          <w:tcPr>
            <w:tcW w:w="1467" w:type="dxa"/>
            <w:gridSpan w:val="2"/>
            <w:tcBorders>
              <w:bottom w:val="single" w:sz="4" w:space="0" w:color="auto"/>
            </w:tcBorders>
            <w:shd w:val="clear" w:color="auto" w:fill="D9D9D9" w:themeFill="background1" w:themeFillShade="D9"/>
          </w:tcPr>
          <w:p w14:paraId="0EB18009" w14:textId="62CA6B12" w:rsidR="00422281" w:rsidRDefault="00B35FA1" w:rsidP="00B35FA1">
            <w:pPr>
              <w:rPr>
                <w:sz w:val="23"/>
              </w:rPr>
            </w:pPr>
            <w:r w:rsidRPr="00B35FA1">
              <w:rPr>
                <w:sz w:val="23"/>
              </w:rPr>
              <w:t>€</w:t>
            </w:r>
            <w:r>
              <w:rPr>
                <w:sz w:val="23"/>
              </w:rPr>
              <w:t xml:space="preserve"> c</w:t>
            </w:r>
            <w:r w:rsidR="00422281">
              <w:rPr>
                <w:sz w:val="23"/>
              </w:rPr>
              <w:t xml:space="preserve">ost per item (source) </w:t>
            </w:r>
          </w:p>
        </w:tc>
        <w:tc>
          <w:tcPr>
            <w:tcW w:w="1826" w:type="dxa"/>
            <w:gridSpan w:val="2"/>
            <w:tcBorders>
              <w:bottom w:val="single" w:sz="4" w:space="0" w:color="auto"/>
            </w:tcBorders>
            <w:shd w:val="clear" w:color="auto" w:fill="D9D9D9" w:themeFill="background1" w:themeFillShade="D9"/>
          </w:tcPr>
          <w:p w14:paraId="4A89A04D" w14:textId="77777777" w:rsidR="00422281" w:rsidRDefault="00422281" w:rsidP="00C171F0">
            <w:pPr>
              <w:rPr>
                <w:sz w:val="23"/>
              </w:rPr>
            </w:pPr>
            <w:r>
              <w:rPr>
                <w:sz w:val="23"/>
              </w:rPr>
              <w:t xml:space="preserve">Quantity </w:t>
            </w:r>
          </w:p>
        </w:tc>
        <w:tc>
          <w:tcPr>
            <w:tcW w:w="856" w:type="dxa"/>
            <w:gridSpan w:val="2"/>
            <w:tcBorders>
              <w:bottom w:val="single" w:sz="4" w:space="0" w:color="auto"/>
            </w:tcBorders>
            <w:shd w:val="clear" w:color="auto" w:fill="D9D9D9" w:themeFill="background1" w:themeFillShade="D9"/>
          </w:tcPr>
          <w:p w14:paraId="1CD78B4F" w14:textId="77777777" w:rsidR="00422281" w:rsidRDefault="00422281" w:rsidP="00C171F0">
            <w:pPr>
              <w:rPr>
                <w:sz w:val="23"/>
              </w:rPr>
            </w:pPr>
            <w:r>
              <w:rPr>
                <w:sz w:val="23"/>
              </w:rPr>
              <w:t xml:space="preserve">Total </w:t>
            </w:r>
          </w:p>
        </w:tc>
        <w:tc>
          <w:tcPr>
            <w:tcW w:w="3283" w:type="dxa"/>
            <w:tcBorders>
              <w:bottom w:val="single" w:sz="4" w:space="0" w:color="auto"/>
            </w:tcBorders>
            <w:shd w:val="clear" w:color="auto" w:fill="D9D9D9" w:themeFill="background1" w:themeFillShade="D9"/>
          </w:tcPr>
          <w:p w14:paraId="1408074E" w14:textId="77777777" w:rsidR="00422281" w:rsidRDefault="00422281" w:rsidP="00C171F0">
            <w:pPr>
              <w:rPr>
                <w:sz w:val="23"/>
              </w:rPr>
            </w:pPr>
            <w:r>
              <w:rPr>
                <w:sz w:val="23"/>
              </w:rPr>
              <w:t xml:space="preserve">Remarks </w:t>
            </w:r>
          </w:p>
        </w:tc>
      </w:tr>
      <w:tr w:rsidR="00422281" w14:paraId="5B23BC69" w14:textId="77777777" w:rsidTr="00C171F0">
        <w:tc>
          <w:tcPr>
            <w:tcW w:w="9105" w:type="dxa"/>
            <w:gridSpan w:val="9"/>
            <w:shd w:val="clear" w:color="auto" w:fill="auto"/>
          </w:tcPr>
          <w:p w14:paraId="739CA2F0" w14:textId="77777777" w:rsidR="00422281" w:rsidRDefault="00422281" w:rsidP="00C171F0">
            <w:pPr>
              <w:rPr>
                <w:sz w:val="23"/>
              </w:rPr>
            </w:pPr>
            <w:r>
              <w:rPr>
                <w:b/>
                <w:i/>
                <w:sz w:val="23"/>
              </w:rPr>
              <w:t>Conventional modality of care</w:t>
            </w:r>
          </w:p>
        </w:tc>
      </w:tr>
      <w:tr w:rsidR="00422281" w14:paraId="4F1BD2BE" w14:textId="77777777" w:rsidTr="00580FA8">
        <w:tc>
          <w:tcPr>
            <w:tcW w:w="1673" w:type="dxa"/>
            <w:gridSpan w:val="2"/>
          </w:tcPr>
          <w:p w14:paraId="04FFDF4A" w14:textId="77777777" w:rsidR="00422281" w:rsidRDefault="00422281" w:rsidP="00C171F0">
            <w:pPr>
              <w:rPr>
                <w:sz w:val="23"/>
              </w:rPr>
            </w:pPr>
            <w:r>
              <w:rPr>
                <w:sz w:val="23"/>
              </w:rPr>
              <w:t xml:space="preserve">Hospital bed + personnel + tests other than </w:t>
            </w:r>
            <w:r w:rsidRPr="00FE4B60">
              <w:rPr>
                <w:i/>
                <w:sz w:val="23"/>
              </w:rPr>
              <w:t xml:space="preserve">Mtb </w:t>
            </w:r>
            <w:r>
              <w:rPr>
                <w:sz w:val="23"/>
              </w:rPr>
              <w:t>tests</w:t>
            </w:r>
          </w:p>
        </w:tc>
        <w:tc>
          <w:tcPr>
            <w:tcW w:w="1467" w:type="dxa"/>
            <w:gridSpan w:val="2"/>
          </w:tcPr>
          <w:p w14:paraId="6725D6DF" w14:textId="77777777" w:rsidR="00422281" w:rsidRDefault="00422281" w:rsidP="00C171F0">
            <w:pPr>
              <w:rPr>
                <w:sz w:val="23"/>
              </w:rPr>
            </w:pPr>
            <w:r>
              <w:rPr>
                <w:sz w:val="23"/>
              </w:rPr>
              <w:t>15.34 per day (NTP)</w:t>
            </w:r>
          </w:p>
        </w:tc>
        <w:tc>
          <w:tcPr>
            <w:tcW w:w="1826" w:type="dxa"/>
            <w:gridSpan w:val="2"/>
          </w:tcPr>
          <w:p w14:paraId="31B123AC" w14:textId="77777777" w:rsidR="00422281" w:rsidRDefault="00422281" w:rsidP="00C171F0">
            <w:pPr>
              <w:rPr>
                <w:sz w:val="23"/>
              </w:rPr>
            </w:pPr>
            <w:r>
              <w:rPr>
                <w:sz w:val="23"/>
              </w:rPr>
              <w:t>90 days</w:t>
            </w:r>
          </w:p>
        </w:tc>
        <w:tc>
          <w:tcPr>
            <w:tcW w:w="856" w:type="dxa"/>
            <w:gridSpan w:val="2"/>
          </w:tcPr>
          <w:p w14:paraId="73B23E38" w14:textId="77777777" w:rsidR="00422281" w:rsidRDefault="00422281" w:rsidP="00C171F0">
            <w:pPr>
              <w:rPr>
                <w:sz w:val="23"/>
              </w:rPr>
            </w:pPr>
            <w:r>
              <w:rPr>
                <w:sz w:val="23"/>
              </w:rPr>
              <w:t>1380</w:t>
            </w:r>
          </w:p>
        </w:tc>
        <w:tc>
          <w:tcPr>
            <w:tcW w:w="3283" w:type="dxa"/>
          </w:tcPr>
          <w:p w14:paraId="1809E827" w14:textId="77777777" w:rsidR="00422281" w:rsidRDefault="00422281" w:rsidP="00C171F0">
            <w:pPr>
              <w:rPr>
                <w:sz w:val="23"/>
              </w:rPr>
            </w:pPr>
          </w:p>
        </w:tc>
      </w:tr>
      <w:tr w:rsidR="00422281" w14:paraId="1ED37B9A" w14:textId="77777777" w:rsidTr="00580FA8">
        <w:tc>
          <w:tcPr>
            <w:tcW w:w="1673" w:type="dxa"/>
            <w:gridSpan w:val="2"/>
            <w:vMerge w:val="restart"/>
          </w:tcPr>
          <w:p w14:paraId="7970B429" w14:textId="77777777" w:rsidR="00422281" w:rsidRDefault="00422281" w:rsidP="00C171F0">
            <w:pPr>
              <w:rPr>
                <w:sz w:val="23"/>
              </w:rPr>
            </w:pPr>
            <w:r>
              <w:rPr>
                <w:sz w:val="23"/>
              </w:rPr>
              <w:t>Ambulatory care</w:t>
            </w:r>
          </w:p>
        </w:tc>
        <w:tc>
          <w:tcPr>
            <w:tcW w:w="1467" w:type="dxa"/>
            <w:gridSpan w:val="2"/>
            <w:vMerge w:val="restart"/>
          </w:tcPr>
          <w:p w14:paraId="73BC93BC" w14:textId="77777777" w:rsidR="00422281" w:rsidRDefault="00422281" w:rsidP="00C171F0">
            <w:pPr>
              <w:rPr>
                <w:sz w:val="23"/>
              </w:rPr>
            </w:pPr>
            <w:r>
              <w:rPr>
                <w:sz w:val="23"/>
              </w:rPr>
              <w:t>5.01 per visit (NTP)</w:t>
            </w:r>
          </w:p>
        </w:tc>
        <w:tc>
          <w:tcPr>
            <w:tcW w:w="1826" w:type="dxa"/>
            <w:gridSpan w:val="2"/>
          </w:tcPr>
          <w:p w14:paraId="247C8377" w14:textId="77777777" w:rsidR="00422281" w:rsidRDefault="00422281" w:rsidP="00C171F0">
            <w:pPr>
              <w:rPr>
                <w:sz w:val="23"/>
              </w:rPr>
            </w:pPr>
            <w:r>
              <w:rPr>
                <w:sz w:val="23"/>
              </w:rPr>
              <w:t xml:space="preserve">12 (smear-negative </w:t>
            </w:r>
          </w:p>
        </w:tc>
        <w:tc>
          <w:tcPr>
            <w:tcW w:w="856" w:type="dxa"/>
            <w:gridSpan w:val="2"/>
          </w:tcPr>
          <w:p w14:paraId="57CC42EC" w14:textId="77777777" w:rsidR="00422281" w:rsidRDefault="00422281" w:rsidP="00C171F0">
            <w:pPr>
              <w:rPr>
                <w:sz w:val="23"/>
              </w:rPr>
            </w:pPr>
            <w:r>
              <w:rPr>
                <w:sz w:val="23"/>
              </w:rPr>
              <w:t>60.12</w:t>
            </w:r>
          </w:p>
        </w:tc>
        <w:tc>
          <w:tcPr>
            <w:tcW w:w="3283" w:type="dxa"/>
          </w:tcPr>
          <w:p w14:paraId="523037A4" w14:textId="77777777" w:rsidR="00422281" w:rsidRDefault="00422281" w:rsidP="00C171F0">
            <w:pPr>
              <w:rPr>
                <w:sz w:val="23"/>
              </w:rPr>
            </w:pPr>
            <w:r>
              <w:rPr>
                <w:sz w:val="23"/>
              </w:rPr>
              <w:t xml:space="preserve">Weekly visit by NGO for 12 weeks of ambulatory care </w:t>
            </w:r>
          </w:p>
        </w:tc>
      </w:tr>
      <w:tr w:rsidR="00422281" w14:paraId="0BA9321C" w14:textId="77777777" w:rsidTr="00580FA8">
        <w:tc>
          <w:tcPr>
            <w:tcW w:w="1673" w:type="dxa"/>
            <w:gridSpan w:val="2"/>
            <w:vMerge/>
          </w:tcPr>
          <w:p w14:paraId="32398170" w14:textId="77777777" w:rsidR="00422281" w:rsidRDefault="00422281" w:rsidP="00C171F0">
            <w:pPr>
              <w:rPr>
                <w:sz w:val="23"/>
              </w:rPr>
            </w:pPr>
          </w:p>
        </w:tc>
        <w:tc>
          <w:tcPr>
            <w:tcW w:w="1467" w:type="dxa"/>
            <w:gridSpan w:val="2"/>
            <w:vMerge/>
          </w:tcPr>
          <w:p w14:paraId="63276BE5" w14:textId="77777777" w:rsidR="00422281" w:rsidRDefault="00422281" w:rsidP="00C171F0">
            <w:pPr>
              <w:rPr>
                <w:sz w:val="23"/>
              </w:rPr>
            </w:pPr>
          </w:p>
        </w:tc>
        <w:tc>
          <w:tcPr>
            <w:tcW w:w="1826" w:type="dxa"/>
            <w:gridSpan w:val="2"/>
          </w:tcPr>
          <w:p w14:paraId="7A631198" w14:textId="21A99487" w:rsidR="00422281" w:rsidRDefault="00616ABF" w:rsidP="00C171F0">
            <w:pPr>
              <w:rPr>
                <w:sz w:val="23"/>
              </w:rPr>
            </w:pPr>
            <w:r>
              <w:rPr>
                <w:sz w:val="23"/>
              </w:rPr>
              <w:t>24 (extra</w:t>
            </w:r>
            <w:r w:rsidR="00422281">
              <w:rPr>
                <w:sz w:val="23"/>
              </w:rPr>
              <w:t>pulmonary)</w:t>
            </w:r>
          </w:p>
        </w:tc>
        <w:tc>
          <w:tcPr>
            <w:tcW w:w="856" w:type="dxa"/>
            <w:gridSpan w:val="2"/>
          </w:tcPr>
          <w:p w14:paraId="45A6F984" w14:textId="77777777" w:rsidR="00422281" w:rsidRPr="00427CC0" w:rsidRDefault="00422281" w:rsidP="00C171F0">
            <w:pPr>
              <w:rPr>
                <w:i/>
                <w:sz w:val="23"/>
              </w:rPr>
            </w:pPr>
            <w:r w:rsidRPr="00427CC0">
              <w:rPr>
                <w:i/>
                <w:sz w:val="23"/>
              </w:rPr>
              <w:t>120.24</w:t>
            </w:r>
          </w:p>
        </w:tc>
        <w:tc>
          <w:tcPr>
            <w:tcW w:w="3283" w:type="dxa"/>
          </w:tcPr>
          <w:p w14:paraId="31BF1C30" w14:textId="77777777" w:rsidR="00422281" w:rsidRDefault="00422281" w:rsidP="00C171F0">
            <w:pPr>
              <w:rPr>
                <w:sz w:val="23"/>
              </w:rPr>
            </w:pPr>
            <w:r>
              <w:rPr>
                <w:sz w:val="23"/>
              </w:rPr>
              <w:t>Weekly visit by NGO for 24 weeks of ambulatory care</w:t>
            </w:r>
          </w:p>
        </w:tc>
      </w:tr>
      <w:tr w:rsidR="00422281" w14:paraId="6B8E5385" w14:textId="77777777" w:rsidTr="00580FA8">
        <w:tc>
          <w:tcPr>
            <w:tcW w:w="1673" w:type="dxa"/>
            <w:gridSpan w:val="2"/>
            <w:vMerge w:val="restart"/>
          </w:tcPr>
          <w:p w14:paraId="74F41963" w14:textId="77777777" w:rsidR="00422281" w:rsidRDefault="00422281" w:rsidP="00C171F0">
            <w:pPr>
              <w:rPr>
                <w:sz w:val="23"/>
              </w:rPr>
            </w:pPr>
            <w:r>
              <w:rPr>
                <w:sz w:val="23"/>
              </w:rPr>
              <w:t>Drug cost</w:t>
            </w:r>
          </w:p>
        </w:tc>
        <w:tc>
          <w:tcPr>
            <w:tcW w:w="1467" w:type="dxa"/>
            <w:gridSpan w:val="2"/>
          </w:tcPr>
          <w:p w14:paraId="537ED42A" w14:textId="77777777" w:rsidR="00422281" w:rsidRDefault="00422281" w:rsidP="00C171F0">
            <w:pPr>
              <w:rPr>
                <w:sz w:val="23"/>
              </w:rPr>
            </w:pPr>
            <w:r>
              <w:rPr>
                <w:sz w:val="23"/>
              </w:rPr>
              <w:t xml:space="preserve">86 (smear-negative) </w:t>
            </w:r>
          </w:p>
        </w:tc>
        <w:tc>
          <w:tcPr>
            <w:tcW w:w="1826" w:type="dxa"/>
            <w:gridSpan w:val="2"/>
          </w:tcPr>
          <w:p w14:paraId="439E29FF" w14:textId="77777777" w:rsidR="00422281" w:rsidRDefault="00422281" w:rsidP="00C171F0">
            <w:pPr>
              <w:rPr>
                <w:sz w:val="23"/>
              </w:rPr>
            </w:pPr>
            <w:r>
              <w:rPr>
                <w:sz w:val="23"/>
              </w:rPr>
              <w:t>1</w:t>
            </w:r>
          </w:p>
        </w:tc>
        <w:tc>
          <w:tcPr>
            <w:tcW w:w="856" w:type="dxa"/>
            <w:gridSpan w:val="2"/>
          </w:tcPr>
          <w:p w14:paraId="25BDF434" w14:textId="77777777" w:rsidR="00422281" w:rsidRDefault="00422281" w:rsidP="00C171F0">
            <w:pPr>
              <w:rPr>
                <w:sz w:val="23"/>
              </w:rPr>
            </w:pPr>
            <w:r>
              <w:rPr>
                <w:sz w:val="23"/>
              </w:rPr>
              <w:t>86</w:t>
            </w:r>
          </w:p>
        </w:tc>
        <w:tc>
          <w:tcPr>
            <w:tcW w:w="3283" w:type="dxa"/>
          </w:tcPr>
          <w:p w14:paraId="034E3D32" w14:textId="4C5100DD" w:rsidR="00422281" w:rsidRDefault="009B40BF" w:rsidP="00583138">
            <w:pPr>
              <w:rPr>
                <w:sz w:val="23"/>
              </w:rPr>
            </w:pPr>
            <w:r>
              <w:rPr>
                <w:sz w:val="23"/>
              </w:rPr>
              <w:fldChar w:fldCharType="begin" w:fldLock="1"/>
            </w:r>
            <w:r w:rsidR="00583138">
              <w:rPr>
                <w:sz w:val="23"/>
              </w:rPr>
              <w:instrText>ADDIN CSL_CITATION { "citationItems" : [ { "id" : "ITEM-1", "itemData" : { "DOI" : "10.1007/s40273-015-0279-6", "ISSN" : "1179-2027", "PMID" : "25939501", "abstract" : "BACKGROUND Novel tuberculosis (TB) drugs and the need to treat drug-resistant tuberculosis (DR-TB) are likely to bring about substantial transformations in TB treatment in coming years. An evidence base for cost and cost-effectiveness analyses of these developments is needed. OBJECTIVE Our objective was to perform a review of papers assessing provider-incurred as well as patient-incurred costs of treating both drug-susceptible (DS) and multidrug-resistant (MDR)-TB. METHODS Five databases (EMBASE, Medline, the National Health Service Economic Evaluation Database, the Cost-Effectiveness Analysis Registry, and Latin American and Caribbean Health Services Literature) were searched for cost and economic evaluation full-text papers containing primary DS-TB and MDR-TB treatment cost data published in peer-reviewed journals between January 1990 and February 2015. No language restrictions were set. The search terms were a combination of 'tuberculosis', 'multidrug-resistant tuberculosis', 'cost', and 'treatment'. In the selected papers, study methods and characteristics, quality indicators and costs were extracted into summary tables according to pre-defined criteria. Results were analysed according to country income groups and for provider costs, patient costs and productivity losses. All values were converted to $US, year 2014 values, so that studies could be compared. RESULTS We selected 71 treatment cost papers on DS-TB only, ten papers on MDR-TB only and nine papers that included both DS-TB and MDR-TB. These papers provided evidence on the costs of treating DS-TB and MDR-TB in 50 and 16 countries, respectively. In 31 % of the papers, only provider costs were included; 26 % included only patient-incurred costs, and the remaining 43 % estimated costs incurred by both. From the provider perspective, mean DS-TB treatment costs per patient were US$14,659 in high-income countries (HICs), US$840 in upper middle-income countries (UMICs), US$273 in lower middle-income (LMICs), and US$258 in low-income countries (LICs), showing a strong positive correlation. The respective costs for treating MDR-TB were US$83,365, US$5284, US$6313 and US$1218. Costs incurred by patients when seeking treatment for DS-TB accounted for an additional 3 % of the provider costs in HICs. A greater burden was seen in the other income groups, increasing the costs of DS-TB treatment by 72 % in UMICs, 60 % in LICs and 31 % in LMICs. When provider costs, patient costs and productivity losses were\u2026", "author" : [ { "dropping-particle" : "V", "family" : "Laurence", "given" : "Yoko", "non-dropping-particle" : "", "parse-names" : false, "suffix" : "" }, { "dropping-particle" : "", "family" : "Griffiths", "given" : "Ulla K", "non-dropping-particle" : "", "parse-names" : false, "suffix" : "" }, { "dropping-particle" : "", "family" : "Vassall", "given" : "Anna", "non-dropping-particle" : "", "parse-names" : false, "suffix" : "" } ], "container-title" : "PharmacoEconomics", "id" : "ITEM-1", "issue" : "9", "issued" : { "date-parts" : [ [ "2015", "9" ] ] }, "page" : "939-55", "publisher" : "Springer", "title" : "Costs to Health Services and the Patient of Treating Tuberculosis: A Systematic Literature Review.", "type" : "article-journal", "volume" : "33" }, "uris" : [ "http://www.mendeley.com/documents/?uuid=0c59a82d-6411-43a6-b21a-8ccd418a6e11" ] } ], "mendeley" : { "formattedCitation" : "&lt;sup&gt;44&lt;/sup&gt;", "plainTextFormattedCitation" : "44", "previouslyFormattedCitation" : "&lt;sup&gt;43&lt;/sup&gt;" }, "properties" : { "noteIndex" : 0 }, "schema" : "https://github.com/citation-style-language/schema/raw/master/csl-citation.json" }</w:instrText>
            </w:r>
            <w:r>
              <w:rPr>
                <w:sz w:val="23"/>
              </w:rPr>
              <w:fldChar w:fldCharType="separate"/>
            </w:r>
            <w:r w:rsidR="00583138" w:rsidRPr="00583138">
              <w:rPr>
                <w:noProof/>
                <w:sz w:val="23"/>
                <w:vertAlign w:val="superscript"/>
              </w:rPr>
              <w:t>44</w:t>
            </w:r>
            <w:r>
              <w:rPr>
                <w:sz w:val="23"/>
              </w:rPr>
              <w:fldChar w:fldCharType="end"/>
            </w:r>
          </w:p>
        </w:tc>
      </w:tr>
      <w:tr w:rsidR="00422281" w14:paraId="63C219DE" w14:textId="77777777" w:rsidTr="00580FA8">
        <w:tc>
          <w:tcPr>
            <w:tcW w:w="1673" w:type="dxa"/>
            <w:gridSpan w:val="2"/>
            <w:vMerge/>
          </w:tcPr>
          <w:p w14:paraId="4E27038A" w14:textId="77777777" w:rsidR="00422281" w:rsidRDefault="00422281" w:rsidP="00C171F0">
            <w:pPr>
              <w:rPr>
                <w:sz w:val="23"/>
              </w:rPr>
            </w:pPr>
          </w:p>
        </w:tc>
        <w:tc>
          <w:tcPr>
            <w:tcW w:w="1467" w:type="dxa"/>
            <w:gridSpan w:val="2"/>
          </w:tcPr>
          <w:p w14:paraId="49BF9707" w14:textId="77777777" w:rsidR="00422281" w:rsidRDefault="00422281" w:rsidP="00C171F0">
            <w:pPr>
              <w:rPr>
                <w:sz w:val="23"/>
              </w:rPr>
            </w:pPr>
            <w:r>
              <w:rPr>
                <w:sz w:val="23"/>
              </w:rPr>
              <w:t>129 (smear-positive)</w:t>
            </w:r>
          </w:p>
        </w:tc>
        <w:tc>
          <w:tcPr>
            <w:tcW w:w="1826" w:type="dxa"/>
            <w:gridSpan w:val="2"/>
          </w:tcPr>
          <w:p w14:paraId="5611D5D6" w14:textId="77777777" w:rsidR="00422281" w:rsidRDefault="00422281" w:rsidP="00C171F0">
            <w:pPr>
              <w:rPr>
                <w:sz w:val="23"/>
              </w:rPr>
            </w:pPr>
            <w:r>
              <w:rPr>
                <w:sz w:val="23"/>
              </w:rPr>
              <w:t>1</w:t>
            </w:r>
          </w:p>
        </w:tc>
        <w:tc>
          <w:tcPr>
            <w:tcW w:w="856" w:type="dxa"/>
            <w:gridSpan w:val="2"/>
          </w:tcPr>
          <w:p w14:paraId="05455AF9" w14:textId="77777777" w:rsidR="00422281" w:rsidRPr="00427CC0" w:rsidRDefault="00422281" w:rsidP="00C171F0">
            <w:pPr>
              <w:rPr>
                <w:i/>
                <w:sz w:val="23"/>
              </w:rPr>
            </w:pPr>
            <w:r w:rsidRPr="00427CC0">
              <w:rPr>
                <w:i/>
                <w:sz w:val="23"/>
              </w:rPr>
              <w:t>129</w:t>
            </w:r>
          </w:p>
        </w:tc>
        <w:tc>
          <w:tcPr>
            <w:tcW w:w="3283" w:type="dxa"/>
          </w:tcPr>
          <w:p w14:paraId="50BFA8F8" w14:textId="77777777" w:rsidR="00422281" w:rsidRPr="00427CC0" w:rsidRDefault="00422281" w:rsidP="00C171F0">
            <w:pPr>
              <w:rPr>
                <w:iCs/>
                <w:sz w:val="23"/>
                <w:lang w:val="en-GB"/>
              </w:rPr>
            </w:pPr>
            <w:r>
              <w:rPr>
                <w:iCs/>
                <w:sz w:val="23"/>
                <w:lang w:val="en-GB"/>
              </w:rPr>
              <w:t xml:space="preserve">Assume 1.5 times higher than smear-negative because duration of treatment is 1.5 times longer. </w:t>
            </w:r>
          </w:p>
        </w:tc>
      </w:tr>
      <w:tr w:rsidR="00422281" w14:paraId="27B6FF51" w14:textId="77777777" w:rsidTr="00580FA8">
        <w:tc>
          <w:tcPr>
            <w:tcW w:w="1673" w:type="dxa"/>
            <w:gridSpan w:val="2"/>
          </w:tcPr>
          <w:p w14:paraId="28674971" w14:textId="77777777" w:rsidR="00422281" w:rsidRDefault="00422281" w:rsidP="00C171F0">
            <w:pPr>
              <w:rPr>
                <w:sz w:val="23"/>
              </w:rPr>
            </w:pPr>
            <w:r>
              <w:rPr>
                <w:sz w:val="23"/>
              </w:rPr>
              <w:t xml:space="preserve">TST </w:t>
            </w:r>
          </w:p>
        </w:tc>
        <w:tc>
          <w:tcPr>
            <w:tcW w:w="1467" w:type="dxa"/>
            <w:gridSpan w:val="2"/>
          </w:tcPr>
          <w:p w14:paraId="1D794E31" w14:textId="77777777" w:rsidR="00422281" w:rsidRDefault="00422281" w:rsidP="00C171F0">
            <w:pPr>
              <w:rPr>
                <w:sz w:val="23"/>
              </w:rPr>
            </w:pPr>
            <w:r>
              <w:rPr>
                <w:sz w:val="23"/>
              </w:rPr>
              <w:t>3.57 (NTP)</w:t>
            </w:r>
          </w:p>
        </w:tc>
        <w:tc>
          <w:tcPr>
            <w:tcW w:w="1826" w:type="dxa"/>
            <w:gridSpan w:val="2"/>
          </w:tcPr>
          <w:p w14:paraId="51B974FB" w14:textId="77777777" w:rsidR="00422281" w:rsidRDefault="00422281" w:rsidP="00C171F0">
            <w:pPr>
              <w:rPr>
                <w:sz w:val="23"/>
              </w:rPr>
            </w:pPr>
            <w:r>
              <w:rPr>
                <w:sz w:val="23"/>
              </w:rPr>
              <w:t>1</w:t>
            </w:r>
          </w:p>
        </w:tc>
        <w:tc>
          <w:tcPr>
            <w:tcW w:w="856" w:type="dxa"/>
            <w:gridSpan w:val="2"/>
          </w:tcPr>
          <w:p w14:paraId="52C9B074" w14:textId="77777777" w:rsidR="00422281" w:rsidRDefault="00422281" w:rsidP="00C171F0">
            <w:pPr>
              <w:rPr>
                <w:sz w:val="23"/>
              </w:rPr>
            </w:pPr>
            <w:r>
              <w:rPr>
                <w:sz w:val="23"/>
              </w:rPr>
              <w:t>3.57</w:t>
            </w:r>
          </w:p>
        </w:tc>
        <w:tc>
          <w:tcPr>
            <w:tcW w:w="3283" w:type="dxa"/>
          </w:tcPr>
          <w:p w14:paraId="1E8321DE" w14:textId="77777777" w:rsidR="00422281" w:rsidRPr="003E3902" w:rsidRDefault="00422281" w:rsidP="00C171F0">
            <w:pPr>
              <w:rPr>
                <w:i/>
                <w:iCs/>
                <w:sz w:val="23"/>
                <w:lang w:val="en-GB"/>
              </w:rPr>
            </w:pPr>
          </w:p>
        </w:tc>
      </w:tr>
      <w:tr w:rsidR="00422281" w14:paraId="70810D60" w14:textId="77777777" w:rsidTr="00580FA8">
        <w:tc>
          <w:tcPr>
            <w:tcW w:w="1673" w:type="dxa"/>
            <w:gridSpan w:val="2"/>
          </w:tcPr>
          <w:p w14:paraId="326D8CB6" w14:textId="77777777" w:rsidR="00422281" w:rsidRDefault="00422281" w:rsidP="00C171F0">
            <w:pPr>
              <w:rPr>
                <w:sz w:val="23"/>
              </w:rPr>
            </w:pPr>
            <w:r>
              <w:rPr>
                <w:sz w:val="23"/>
              </w:rPr>
              <w:t>X-ray</w:t>
            </w:r>
          </w:p>
        </w:tc>
        <w:tc>
          <w:tcPr>
            <w:tcW w:w="1467" w:type="dxa"/>
            <w:gridSpan w:val="2"/>
          </w:tcPr>
          <w:p w14:paraId="2FBBE421" w14:textId="77777777" w:rsidR="00422281" w:rsidRDefault="00422281" w:rsidP="00C171F0">
            <w:pPr>
              <w:rPr>
                <w:sz w:val="23"/>
              </w:rPr>
            </w:pPr>
            <w:r>
              <w:rPr>
                <w:sz w:val="23"/>
              </w:rPr>
              <w:t>7.76 (NTP)</w:t>
            </w:r>
          </w:p>
        </w:tc>
        <w:tc>
          <w:tcPr>
            <w:tcW w:w="1826" w:type="dxa"/>
            <w:gridSpan w:val="2"/>
          </w:tcPr>
          <w:p w14:paraId="562BA0CD" w14:textId="77777777" w:rsidR="00422281" w:rsidRDefault="00422281" w:rsidP="00C171F0">
            <w:pPr>
              <w:rPr>
                <w:sz w:val="23"/>
              </w:rPr>
            </w:pPr>
            <w:r>
              <w:rPr>
                <w:sz w:val="23"/>
              </w:rPr>
              <w:t>2</w:t>
            </w:r>
          </w:p>
        </w:tc>
        <w:tc>
          <w:tcPr>
            <w:tcW w:w="856" w:type="dxa"/>
            <w:gridSpan w:val="2"/>
          </w:tcPr>
          <w:p w14:paraId="62C4B801" w14:textId="77777777" w:rsidR="00422281" w:rsidRDefault="00422281" w:rsidP="00C171F0">
            <w:pPr>
              <w:rPr>
                <w:sz w:val="23"/>
              </w:rPr>
            </w:pPr>
            <w:r>
              <w:rPr>
                <w:sz w:val="23"/>
              </w:rPr>
              <w:t>15.52</w:t>
            </w:r>
          </w:p>
        </w:tc>
        <w:tc>
          <w:tcPr>
            <w:tcW w:w="3283" w:type="dxa"/>
          </w:tcPr>
          <w:p w14:paraId="2FD3EEE8" w14:textId="77777777" w:rsidR="00422281" w:rsidRDefault="00422281" w:rsidP="00C171F0">
            <w:pPr>
              <w:rPr>
                <w:sz w:val="23"/>
              </w:rPr>
            </w:pPr>
          </w:p>
        </w:tc>
      </w:tr>
      <w:tr w:rsidR="00422281" w14:paraId="6B96A15F" w14:textId="77777777" w:rsidTr="00580FA8">
        <w:tc>
          <w:tcPr>
            <w:tcW w:w="1673" w:type="dxa"/>
            <w:gridSpan w:val="2"/>
          </w:tcPr>
          <w:p w14:paraId="21EB0693" w14:textId="77777777" w:rsidR="00422281" w:rsidRDefault="00422281" w:rsidP="00C171F0">
            <w:pPr>
              <w:rPr>
                <w:sz w:val="23"/>
              </w:rPr>
            </w:pPr>
            <w:r>
              <w:rPr>
                <w:sz w:val="23"/>
              </w:rPr>
              <w:t>DSSM</w:t>
            </w:r>
          </w:p>
        </w:tc>
        <w:tc>
          <w:tcPr>
            <w:tcW w:w="1467" w:type="dxa"/>
            <w:gridSpan w:val="2"/>
          </w:tcPr>
          <w:p w14:paraId="5068020E" w14:textId="77777777" w:rsidR="00422281" w:rsidRDefault="00422281" w:rsidP="00C171F0">
            <w:pPr>
              <w:rPr>
                <w:sz w:val="23"/>
              </w:rPr>
            </w:pPr>
            <w:r>
              <w:rPr>
                <w:sz w:val="23"/>
              </w:rPr>
              <w:t>3.06 (NTP)</w:t>
            </w:r>
          </w:p>
        </w:tc>
        <w:tc>
          <w:tcPr>
            <w:tcW w:w="1826" w:type="dxa"/>
            <w:gridSpan w:val="2"/>
          </w:tcPr>
          <w:p w14:paraId="4123A5F5" w14:textId="77777777" w:rsidR="00422281" w:rsidRDefault="00422281" w:rsidP="00C171F0">
            <w:pPr>
              <w:rPr>
                <w:sz w:val="23"/>
              </w:rPr>
            </w:pPr>
            <w:r>
              <w:rPr>
                <w:sz w:val="23"/>
              </w:rPr>
              <w:t>4</w:t>
            </w:r>
          </w:p>
        </w:tc>
        <w:tc>
          <w:tcPr>
            <w:tcW w:w="856" w:type="dxa"/>
            <w:gridSpan w:val="2"/>
          </w:tcPr>
          <w:p w14:paraId="0FA27DCD" w14:textId="77777777" w:rsidR="00422281" w:rsidRDefault="00422281" w:rsidP="00C171F0">
            <w:pPr>
              <w:rPr>
                <w:sz w:val="23"/>
              </w:rPr>
            </w:pPr>
            <w:r>
              <w:rPr>
                <w:sz w:val="23"/>
              </w:rPr>
              <w:t>12.24</w:t>
            </w:r>
          </w:p>
        </w:tc>
        <w:tc>
          <w:tcPr>
            <w:tcW w:w="3283" w:type="dxa"/>
          </w:tcPr>
          <w:p w14:paraId="67C0D41F" w14:textId="77777777" w:rsidR="00422281" w:rsidRDefault="00422281" w:rsidP="00C171F0">
            <w:pPr>
              <w:rPr>
                <w:sz w:val="23"/>
              </w:rPr>
            </w:pPr>
          </w:p>
        </w:tc>
      </w:tr>
      <w:tr w:rsidR="00422281" w14:paraId="094C3FA7" w14:textId="77777777" w:rsidTr="00580FA8">
        <w:tc>
          <w:tcPr>
            <w:tcW w:w="1673" w:type="dxa"/>
            <w:gridSpan w:val="2"/>
          </w:tcPr>
          <w:p w14:paraId="0CB999DF" w14:textId="77777777" w:rsidR="00422281" w:rsidRDefault="00422281" w:rsidP="00C171F0">
            <w:pPr>
              <w:rPr>
                <w:sz w:val="23"/>
              </w:rPr>
            </w:pPr>
            <w:r>
              <w:rPr>
                <w:sz w:val="23"/>
              </w:rPr>
              <w:t xml:space="preserve">Culture </w:t>
            </w:r>
          </w:p>
        </w:tc>
        <w:tc>
          <w:tcPr>
            <w:tcW w:w="1467" w:type="dxa"/>
            <w:gridSpan w:val="2"/>
          </w:tcPr>
          <w:p w14:paraId="4750CA1E" w14:textId="77777777" w:rsidR="00422281" w:rsidRDefault="00422281" w:rsidP="00C171F0">
            <w:pPr>
              <w:rPr>
                <w:sz w:val="23"/>
              </w:rPr>
            </w:pPr>
            <w:r>
              <w:rPr>
                <w:sz w:val="23"/>
              </w:rPr>
              <w:t>6.09 (NTP)</w:t>
            </w:r>
          </w:p>
        </w:tc>
        <w:tc>
          <w:tcPr>
            <w:tcW w:w="1826" w:type="dxa"/>
            <w:gridSpan w:val="2"/>
          </w:tcPr>
          <w:p w14:paraId="0166AD08" w14:textId="77777777" w:rsidR="00422281" w:rsidRDefault="00422281" w:rsidP="00C171F0">
            <w:pPr>
              <w:rPr>
                <w:sz w:val="23"/>
              </w:rPr>
            </w:pPr>
            <w:r>
              <w:rPr>
                <w:sz w:val="23"/>
              </w:rPr>
              <w:t>3</w:t>
            </w:r>
          </w:p>
        </w:tc>
        <w:tc>
          <w:tcPr>
            <w:tcW w:w="856" w:type="dxa"/>
            <w:gridSpan w:val="2"/>
          </w:tcPr>
          <w:p w14:paraId="5B08ADFF" w14:textId="77777777" w:rsidR="00422281" w:rsidRDefault="00422281" w:rsidP="00C171F0">
            <w:pPr>
              <w:rPr>
                <w:sz w:val="23"/>
              </w:rPr>
            </w:pPr>
            <w:r>
              <w:rPr>
                <w:sz w:val="23"/>
              </w:rPr>
              <w:t>18.27</w:t>
            </w:r>
          </w:p>
        </w:tc>
        <w:tc>
          <w:tcPr>
            <w:tcW w:w="3283" w:type="dxa"/>
          </w:tcPr>
          <w:p w14:paraId="77080246" w14:textId="77777777" w:rsidR="00422281" w:rsidRDefault="00422281" w:rsidP="00C171F0">
            <w:pPr>
              <w:rPr>
                <w:sz w:val="23"/>
              </w:rPr>
            </w:pPr>
          </w:p>
        </w:tc>
      </w:tr>
      <w:tr w:rsidR="00422281" w14:paraId="724E6797" w14:textId="77777777" w:rsidTr="00580FA8">
        <w:tc>
          <w:tcPr>
            <w:tcW w:w="1673" w:type="dxa"/>
            <w:gridSpan w:val="2"/>
          </w:tcPr>
          <w:p w14:paraId="4D32A5AF" w14:textId="77777777" w:rsidR="00422281" w:rsidRDefault="00422281" w:rsidP="00C171F0">
            <w:pPr>
              <w:rPr>
                <w:sz w:val="23"/>
              </w:rPr>
            </w:pPr>
            <w:r>
              <w:rPr>
                <w:sz w:val="23"/>
              </w:rPr>
              <w:t>DST</w:t>
            </w:r>
          </w:p>
        </w:tc>
        <w:tc>
          <w:tcPr>
            <w:tcW w:w="1467" w:type="dxa"/>
            <w:gridSpan w:val="2"/>
          </w:tcPr>
          <w:p w14:paraId="2B0B175F" w14:textId="77777777" w:rsidR="00422281" w:rsidRDefault="00422281" w:rsidP="00C171F0">
            <w:pPr>
              <w:rPr>
                <w:sz w:val="23"/>
              </w:rPr>
            </w:pPr>
            <w:r>
              <w:rPr>
                <w:sz w:val="23"/>
              </w:rPr>
              <w:t>67.14 (NTP)</w:t>
            </w:r>
          </w:p>
        </w:tc>
        <w:tc>
          <w:tcPr>
            <w:tcW w:w="1826" w:type="dxa"/>
            <w:gridSpan w:val="2"/>
          </w:tcPr>
          <w:p w14:paraId="638C6775" w14:textId="77777777" w:rsidR="00422281" w:rsidRDefault="00422281" w:rsidP="00C171F0">
            <w:pPr>
              <w:rPr>
                <w:sz w:val="23"/>
              </w:rPr>
            </w:pPr>
            <w:r>
              <w:rPr>
                <w:sz w:val="23"/>
              </w:rPr>
              <w:t>1</w:t>
            </w:r>
          </w:p>
        </w:tc>
        <w:tc>
          <w:tcPr>
            <w:tcW w:w="856" w:type="dxa"/>
            <w:gridSpan w:val="2"/>
          </w:tcPr>
          <w:p w14:paraId="1C69EC71" w14:textId="77777777" w:rsidR="00422281" w:rsidRDefault="00422281" w:rsidP="00C171F0">
            <w:pPr>
              <w:rPr>
                <w:sz w:val="23"/>
              </w:rPr>
            </w:pPr>
            <w:r>
              <w:rPr>
                <w:sz w:val="23"/>
              </w:rPr>
              <w:t>67.14</w:t>
            </w:r>
          </w:p>
        </w:tc>
        <w:tc>
          <w:tcPr>
            <w:tcW w:w="3283" w:type="dxa"/>
          </w:tcPr>
          <w:p w14:paraId="26A064F9" w14:textId="77777777" w:rsidR="00422281" w:rsidRDefault="00422281" w:rsidP="00C171F0">
            <w:pPr>
              <w:rPr>
                <w:sz w:val="23"/>
              </w:rPr>
            </w:pPr>
          </w:p>
        </w:tc>
      </w:tr>
      <w:tr w:rsidR="00422281" w14:paraId="2CA17FD5" w14:textId="77777777" w:rsidTr="00580FA8">
        <w:tc>
          <w:tcPr>
            <w:tcW w:w="5822" w:type="dxa"/>
            <w:gridSpan w:val="8"/>
            <w:tcBorders>
              <w:bottom w:val="single" w:sz="4" w:space="0" w:color="auto"/>
            </w:tcBorders>
          </w:tcPr>
          <w:p w14:paraId="44E90278" w14:textId="77777777" w:rsidR="00422281" w:rsidRPr="00006047" w:rsidRDefault="00422281" w:rsidP="00C171F0">
            <w:pPr>
              <w:rPr>
                <w:b/>
                <w:sz w:val="23"/>
              </w:rPr>
            </w:pPr>
            <w:r w:rsidRPr="00006047">
              <w:rPr>
                <w:b/>
                <w:sz w:val="23"/>
              </w:rPr>
              <w:t>Total per patient</w:t>
            </w:r>
          </w:p>
        </w:tc>
        <w:tc>
          <w:tcPr>
            <w:tcW w:w="3283" w:type="dxa"/>
            <w:tcBorders>
              <w:bottom w:val="single" w:sz="4" w:space="0" w:color="auto"/>
            </w:tcBorders>
          </w:tcPr>
          <w:p w14:paraId="3A107DC0" w14:textId="77777777" w:rsidR="00422281" w:rsidRPr="00A320F8" w:rsidRDefault="00422281" w:rsidP="00C171F0">
            <w:pPr>
              <w:rPr>
                <w:b/>
                <w:i/>
                <w:sz w:val="23"/>
              </w:rPr>
            </w:pPr>
            <w:r w:rsidRPr="00A320F8">
              <w:rPr>
                <w:b/>
                <w:i/>
                <w:sz w:val="23"/>
              </w:rPr>
              <w:t>EUR 1</w:t>
            </w:r>
            <w:r>
              <w:rPr>
                <w:b/>
                <w:i/>
                <w:sz w:val="23"/>
              </w:rPr>
              <w:t xml:space="preserve"> </w:t>
            </w:r>
            <w:r w:rsidRPr="00A320F8">
              <w:rPr>
                <w:b/>
                <w:i/>
                <w:sz w:val="23"/>
              </w:rPr>
              <w:t>643 (smear-negative)</w:t>
            </w:r>
          </w:p>
          <w:p w14:paraId="25B50585" w14:textId="0B4D110D" w:rsidR="00422281" w:rsidRPr="00006047" w:rsidRDefault="00422281" w:rsidP="00AA716C">
            <w:pPr>
              <w:rPr>
                <w:b/>
                <w:i/>
                <w:sz w:val="23"/>
              </w:rPr>
            </w:pPr>
            <w:r>
              <w:rPr>
                <w:b/>
                <w:i/>
                <w:sz w:val="23"/>
              </w:rPr>
              <w:t xml:space="preserve">EUR </w:t>
            </w:r>
            <w:r w:rsidRPr="00A320F8">
              <w:rPr>
                <w:b/>
                <w:i/>
                <w:sz w:val="23"/>
              </w:rPr>
              <w:t>1</w:t>
            </w:r>
            <w:r>
              <w:rPr>
                <w:b/>
                <w:i/>
                <w:sz w:val="23"/>
              </w:rPr>
              <w:t xml:space="preserve"> </w:t>
            </w:r>
            <w:r w:rsidRPr="00A320F8">
              <w:rPr>
                <w:b/>
                <w:i/>
                <w:sz w:val="23"/>
              </w:rPr>
              <w:t>746 (extrapulmonary)</w:t>
            </w:r>
          </w:p>
        </w:tc>
      </w:tr>
      <w:tr w:rsidR="00422281" w14:paraId="22A8863D" w14:textId="77777777" w:rsidTr="0036682E">
        <w:tc>
          <w:tcPr>
            <w:tcW w:w="9105" w:type="dxa"/>
            <w:gridSpan w:val="9"/>
            <w:tcBorders>
              <w:top w:val="single" w:sz="4" w:space="0" w:color="auto"/>
              <w:left w:val="nil"/>
              <w:bottom w:val="single" w:sz="4" w:space="0" w:color="auto"/>
              <w:right w:val="nil"/>
            </w:tcBorders>
          </w:tcPr>
          <w:p w14:paraId="4AB1D0EA" w14:textId="77777777" w:rsidR="00422281" w:rsidRPr="00A320F8" w:rsidRDefault="00422281" w:rsidP="00C171F0">
            <w:pPr>
              <w:rPr>
                <w:b/>
                <w:i/>
                <w:sz w:val="23"/>
              </w:rPr>
            </w:pPr>
          </w:p>
        </w:tc>
      </w:tr>
      <w:tr w:rsidR="00422281" w14:paraId="4D8515A2" w14:textId="77777777" w:rsidTr="0036682E">
        <w:tc>
          <w:tcPr>
            <w:tcW w:w="9105" w:type="dxa"/>
            <w:gridSpan w:val="9"/>
            <w:tcBorders>
              <w:top w:val="single" w:sz="4" w:space="0" w:color="auto"/>
            </w:tcBorders>
          </w:tcPr>
          <w:p w14:paraId="363294D9" w14:textId="77777777" w:rsidR="00422281" w:rsidRPr="00A320F8" w:rsidRDefault="00422281" w:rsidP="00C171F0">
            <w:pPr>
              <w:rPr>
                <w:b/>
                <w:i/>
                <w:sz w:val="23"/>
              </w:rPr>
            </w:pPr>
            <w:r>
              <w:rPr>
                <w:b/>
                <w:i/>
                <w:sz w:val="23"/>
              </w:rPr>
              <w:t xml:space="preserve">Ambulatory care  </w:t>
            </w:r>
          </w:p>
        </w:tc>
      </w:tr>
      <w:tr w:rsidR="00422281" w14:paraId="5540902A" w14:textId="77777777" w:rsidTr="00580FA8">
        <w:tc>
          <w:tcPr>
            <w:tcW w:w="1657" w:type="dxa"/>
          </w:tcPr>
          <w:p w14:paraId="059BC8AA" w14:textId="77777777" w:rsidR="00422281" w:rsidRDefault="00422281" w:rsidP="00C171F0">
            <w:pPr>
              <w:rPr>
                <w:sz w:val="23"/>
              </w:rPr>
            </w:pPr>
            <w:r>
              <w:rPr>
                <w:sz w:val="23"/>
              </w:rPr>
              <w:lastRenderedPageBreak/>
              <w:t>Hospital bed + personnel + tests other than Mtb tests</w:t>
            </w:r>
          </w:p>
        </w:tc>
        <w:tc>
          <w:tcPr>
            <w:tcW w:w="1473" w:type="dxa"/>
            <w:gridSpan w:val="2"/>
          </w:tcPr>
          <w:p w14:paraId="446DC8F2" w14:textId="77777777" w:rsidR="00422281" w:rsidRDefault="00422281" w:rsidP="00C171F0">
            <w:pPr>
              <w:rPr>
                <w:sz w:val="23"/>
              </w:rPr>
            </w:pPr>
          </w:p>
        </w:tc>
        <w:tc>
          <w:tcPr>
            <w:tcW w:w="1822" w:type="dxa"/>
            <w:gridSpan w:val="2"/>
          </w:tcPr>
          <w:p w14:paraId="42C2C5AE" w14:textId="77777777" w:rsidR="00422281" w:rsidRDefault="00422281" w:rsidP="00C171F0">
            <w:pPr>
              <w:rPr>
                <w:sz w:val="23"/>
              </w:rPr>
            </w:pPr>
          </w:p>
        </w:tc>
        <w:tc>
          <w:tcPr>
            <w:tcW w:w="846" w:type="dxa"/>
            <w:gridSpan w:val="2"/>
          </w:tcPr>
          <w:p w14:paraId="45266EEA" w14:textId="77777777" w:rsidR="00422281" w:rsidRDefault="00422281" w:rsidP="00C171F0">
            <w:pPr>
              <w:rPr>
                <w:sz w:val="23"/>
              </w:rPr>
            </w:pPr>
            <w:r>
              <w:rPr>
                <w:sz w:val="23"/>
              </w:rPr>
              <w:t>0</w:t>
            </w:r>
          </w:p>
        </w:tc>
        <w:tc>
          <w:tcPr>
            <w:tcW w:w="3307" w:type="dxa"/>
            <w:gridSpan w:val="2"/>
          </w:tcPr>
          <w:p w14:paraId="6E79E484" w14:textId="77777777" w:rsidR="00422281" w:rsidRDefault="00422281" w:rsidP="00C171F0">
            <w:pPr>
              <w:rPr>
                <w:sz w:val="23"/>
              </w:rPr>
            </w:pPr>
          </w:p>
        </w:tc>
      </w:tr>
      <w:tr w:rsidR="00422281" w14:paraId="5A38F26B" w14:textId="77777777" w:rsidTr="00580FA8">
        <w:tc>
          <w:tcPr>
            <w:tcW w:w="1657" w:type="dxa"/>
            <w:vMerge w:val="restart"/>
          </w:tcPr>
          <w:p w14:paraId="28E790F9" w14:textId="77777777" w:rsidR="00422281" w:rsidRDefault="00422281" w:rsidP="00C171F0">
            <w:pPr>
              <w:rPr>
                <w:sz w:val="23"/>
              </w:rPr>
            </w:pPr>
            <w:r>
              <w:rPr>
                <w:sz w:val="23"/>
              </w:rPr>
              <w:t xml:space="preserve">NGO visit to patient’s home </w:t>
            </w:r>
          </w:p>
        </w:tc>
        <w:tc>
          <w:tcPr>
            <w:tcW w:w="1473" w:type="dxa"/>
            <w:gridSpan w:val="2"/>
            <w:vMerge w:val="restart"/>
          </w:tcPr>
          <w:p w14:paraId="56B161A5" w14:textId="77777777" w:rsidR="00422281" w:rsidRDefault="00422281" w:rsidP="00C171F0">
            <w:pPr>
              <w:rPr>
                <w:sz w:val="23"/>
              </w:rPr>
            </w:pPr>
            <w:r>
              <w:rPr>
                <w:sz w:val="23"/>
              </w:rPr>
              <w:t>5.01 per visit (NTP)</w:t>
            </w:r>
          </w:p>
        </w:tc>
        <w:tc>
          <w:tcPr>
            <w:tcW w:w="1822" w:type="dxa"/>
            <w:gridSpan w:val="2"/>
          </w:tcPr>
          <w:p w14:paraId="6DFBD1D4" w14:textId="77777777" w:rsidR="00422281" w:rsidRDefault="00422281" w:rsidP="00C171F0">
            <w:pPr>
              <w:rPr>
                <w:sz w:val="23"/>
              </w:rPr>
            </w:pPr>
            <w:r>
              <w:rPr>
                <w:sz w:val="23"/>
              </w:rPr>
              <w:t xml:space="preserve">102 (smear-negative </w:t>
            </w:r>
          </w:p>
        </w:tc>
        <w:tc>
          <w:tcPr>
            <w:tcW w:w="846" w:type="dxa"/>
            <w:gridSpan w:val="2"/>
          </w:tcPr>
          <w:p w14:paraId="70AD9884" w14:textId="77777777" w:rsidR="00422281" w:rsidRDefault="00422281" w:rsidP="00C171F0">
            <w:pPr>
              <w:rPr>
                <w:sz w:val="23"/>
              </w:rPr>
            </w:pPr>
            <w:r>
              <w:rPr>
                <w:sz w:val="23"/>
              </w:rPr>
              <w:t>511</w:t>
            </w:r>
          </w:p>
        </w:tc>
        <w:tc>
          <w:tcPr>
            <w:tcW w:w="3307" w:type="dxa"/>
            <w:gridSpan w:val="2"/>
          </w:tcPr>
          <w:p w14:paraId="4EC0EC60" w14:textId="4890FC34" w:rsidR="00422281" w:rsidRDefault="00422281" w:rsidP="00BB1BAA">
            <w:pPr>
              <w:rPr>
                <w:sz w:val="23"/>
              </w:rPr>
            </w:pPr>
            <w:r>
              <w:rPr>
                <w:sz w:val="23"/>
              </w:rPr>
              <w:t xml:space="preserve">Daily for the first </w:t>
            </w:r>
            <w:r w:rsidR="00BB1BAA">
              <w:rPr>
                <w:sz w:val="23"/>
              </w:rPr>
              <w:t>three</w:t>
            </w:r>
            <w:r>
              <w:rPr>
                <w:sz w:val="23"/>
              </w:rPr>
              <w:t xml:space="preserve"> months then weekly visit by NGO for the remaining </w:t>
            </w:r>
            <w:r w:rsidR="00BB1BAA">
              <w:rPr>
                <w:sz w:val="23"/>
              </w:rPr>
              <w:t xml:space="preserve">three </w:t>
            </w:r>
            <w:r>
              <w:rPr>
                <w:sz w:val="23"/>
              </w:rPr>
              <w:t>months</w:t>
            </w:r>
          </w:p>
        </w:tc>
      </w:tr>
      <w:tr w:rsidR="00422281" w14:paraId="6DBBF524" w14:textId="77777777" w:rsidTr="00580FA8">
        <w:tc>
          <w:tcPr>
            <w:tcW w:w="1657" w:type="dxa"/>
            <w:vMerge/>
          </w:tcPr>
          <w:p w14:paraId="55B8E104" w14:textId="77777777" w:rsidR="00422281" w:rsidRDefault="00422281" w:rsidP="00C171F0">
            <w:pPr>
              <w:rPr>
                <w:sz w:val="23"/>
              </w:rPr>
            </w:pPr>
          </w:p>
        </w:tc>
        <w:tc>
          <w:tcPr>
            <w:tcW w:w="1473" w:type="dxa"/>
            <w:gridSpan w:val="2"/>
            <w:vMerge/>
          </w:tcPr>
          <w:p w14:paraId="309D30BE" w14:textId="77777777" w:rsidR="00422281" w:rsidRDefault="00422281" w:rsidP="00C171F0">
            <w:pPr>
              <w:rPr>
                <w:sz w:val="23"/>
              </w:rPr>
            </w:pPr>
          </w:p>
        </w:tc>
        <w:tc>
          <w:tcPr>
            <w:tcW w:w="1822" w:type="dxa"/>
            <w:gridSpan w:val="2"/>
          </w:tcPr>
          <w:p w14:paraId="1963BE25" w14:textId="03D0E242" w:rsidR="00422281" w:rsidRDefault="00616ABF" w:rsidP="00C171F0">
            <w:pPr>
              <w:rPr>
                <w:sz w:val="23"/>
              </w:rPr>
            </w:pPr>
            <w:r>
              <w:rPr>
                <w:sz w:val="23"/>
              </w:rPr>
              <w:t>114 (extra</w:t>
            </w:r>
            <w:r w:rsidR="00422281">
              <w:rPr>
                <w:sz w:val="23"/>
              </w:rPr>
              <w:t>pulmonary)</w:t>
            </w:r>
          </w:p>
        </w:tc>
        <w:tc>
          <w:tcPr>
            <w:tcW w:w="846" w:type="dxa"/>
            <w:gridSpan w:val="2"/>
          </w:tcPr>
          <w:p w14:paraId="2282521B" w14:textId="77777777" w:rsidR="00422281" w:rsidRPr="00427CC0" w:rsidRDefault="00422281" w:rsidP="00C171F0">
            <w:pPr>
              <w:rPr>
                <w:i/>
                <w:sz w:val="23"/>
              </w:rPr>
            </w:pPr>
            <w:r>
              <w:rPr>
                <w:i/>
                <w:sz w:val="23"/>
              </w:rPr>
              <w:t>571</w:t>
            </w:r>
          </w:p>
        </w:tc>
        <w:tc>
          <w:tcPr>
            <w:tcW w:w="3307" w:type="dxa"/>
            <w:gridSpan w:val="2"/>
          </w:tcPr>
          <w:p w14:paraId="7C94A647" w14:textId="32904787" w:rsidR="00422281" w:rsidRDefault="00422281" w:rsidP="00BB1BAA">
            <w:pPr>
              <w:rPr>
                <w:sz w:val="23"/>
              </w:rPr>
            </w:pPr>
            <w:r>
              <w:rPr>
                <w:sz w:val="23"/>
              </w:rPr>
              <w:t xml:space="preserve">Daily for the first </w:t>
            </w:r>
            <w:r w:rsidR="00BB1BAA">
              <w:rPr>
                <w:sz w:val="23"/>
              </w:rPr>
              <w:t xml:space="preserve">three </w:t>
            </w:r>
            <w:r>
              <w:rPr>
                <w:sz w:val="23"/>
              </w:rPr>
              <w:t>months then weekly v</w:t>
            </w:r>
            <w:r w:rsidR="00BB1BAA">
              <w:rPr>
                <w:sz w:val="23"/>
              </w:rPr>
              <w:t xml:space="preserve">isit by NGO for the remaining six </w:t>
            </w:r>
            <w:r>
              <w:rPr>
                <w:sz w:val="23"/>
              </w:rPr>
              <w:t>months</w:t>
            </w:r>
          </w:p>
        </w:tc>
      </w:tr>
      <w:tr w:rsidR="00422281" w14:paraId="05B67AEA" w14:textId="77777777" w:rsidTr="00580FA8">
        <w:tc>
          <w:tcPr>
            <w:tcW w:w="1657" w:type="dxa"/>
            <w:vMerge w:val="restart"/>
          </w:tcPr>
          <w:p w14:paraId="5EB84FF3" w14:textId="77777777" w:rsidR="00422281" w:rsidRDefault="00422281" w:rsidP="00C171F0">
            <w:pPr>
              <w:rPr>
                <w:sz w:val="23"/>
              </w:rPr>
            </w:pPr>
            <w:r>
              <w:rPr>
                <w:sz w:val="23"/>
              </w:rPr>
              <w:t>Drug cost</w:t>
            </w:r>
          </w:p>
        </w:tc>
        <w:tc>
          <w:tcPr>
            <w:tcW w:w="1473" w:type="dxa"/>
            <w:gridSpan w:val="2"/>
          </w:tcPr>
          <w:p w14:paraId="5FE01071" w14:textId="77777777" w:rsidR="00422281" w:rsidRDefault="00422281" w:rsidP="00C171F0">
            <w:pPr>
              <w:rPr>
                <w:sz w:val="23"/>
              </w:rPr>
            </w:pPr>
            <w:r>
              <w:rPr>
                <w:sz w:val="23"/>
              </w:rPr>
              <w:t xml:space="preserve">86 (smear-negative) </w:t>
            </w:r>
          </w:p>
        </w:tc>
        <w:tc>
          <w:tcPr>
            <w:tcW w:w="1822" w:type="dxa"/>
            <w:gridSpan w:val="2"/>
          </w:tcPr>
          <w:p w14:paraId="31E39FDC" w14:textId="77777777" w:rsidR="00422281" w:rsidRDefault="00422281" w:rsidP="00C171F0">
            <w:pPr>
              <w:rPr>
                <w:sz w:val="23"/>
              </w:rPr>
            </w:pPr>
            <w:r>
              <w:rPr>
                <w:sz w:val="23"/>
              </w:rPr>
              <w:t>1</w:t>
            </w:r>
          </w:p>
        </w:tc>
        <w:tc>
          <w:tcPr>
            <w:tcW w:w="846" w:type="dxa"/>
            <w:gridSpan w:val="2"/>
          </w:tcPr>
          <w:p w14:paraId="0478887A" w14:textId="77777777" w:rsidR="00422281" w:rsidRDefault="00422281" w:rsidP="00C171F0">
            <w:pPr>
              <w:rPr>
                <w:sz w:val="23"/>
              </w:rPr>
            </w:pPr>
            <w:r>
              <w:rPr>
                <w:sz w:val="23"/>
              </w:rPr>
              <w:t>86</w:t>
            </w:r>
          </w:p>
        </w:tc>
        <w:tc>
          <w:tcPr>
            <w:tcW w:w="3307" w:type="dxa"/>
            <w:gridSpan w:val="2"/>
          </w:tcPr>
          <w:p w14:paraId="1F1863B9" w14:textId="77777777" w:rsidR="00422281" w:rsidRDefault="00422281" w:rsidP="00C171F0">
            <w:pPr>
              <w:rPr>
                <w:sz w:val="23"/>
              </w:rPr>
            </w:pPr>
            <w:r w:rsidRPr="003E3902">
              <w:rPr>
                <w:i/>
                <w:iCs/>
                <w:sz w:val="23"/>
                <w:lang w:val="en-GB"/>
              </w:rPr>
              <w:t>Laurence et al. PharmacoEconomics 2015. 33: 939-955</w:t>
            </w:r>
          </w:p>
        </w:tc>
      </w:tr>
      <w:tr w:rsidR="00422281" w14:paraId="34ACA438" w14:textId="77777777" w:rsidTr="00580FA8">
        <w:tc>
          <w:tcPr>
            <w:tcW w:w="1657" w:type="dxa"/>
            <w:vMerge/>
          </w:tcPr>
          <w:p w14:paraId="44961A28" w14:textId="77777777" w:rsidR="00422281" w:rsidRDefault="00422281" w:rsidP="00C171F0">
            <w:pPr>
              <w:rPr>
                <w:sz w:val="23"/>
              </w:rPr>
            </w:pPr>
          </w:p>
        </w:tc>
        <w:tc>
          <w:tcPr>
            <w:tcW w:w="1473" w:type="dxa"/>
            <w:gridSpan w:val="2"/>
          </w:tcPr>
          <w:p w14:paraId="4D763E62" w14:textId="77777777" w:rsidR="00422281" w:rsidRDefault="00422281" w:rsidP="00C171F0">
            <w:pPr>
              <w:rPr>
                <w:sz w:val="23"/>
              </w:rPr>
            </w:pPr>
            <w:r>
              <w:rPr>
                <w:sz w:val="23"/>
              </w:rPr>
              <w:t>129 (smear-positive)</w:t>
            </w:r>
          </w:p>
        </w:tc>
        <w:tc>
          <w:tcPr>
            <w:tcW w:w="1822" w:type="dxa"/>
            <w:gridSpan w:val="2"/>
          </w:tcPr>
          <w:p w14:paraId="4C4404E0" w14:textId="77777777" w:rsidR="00422281" w:rsidRDefault="00422281" w:rsidP="00C171F0">
            <w:pPr>
              <w:rPr>
                <w:sz w:val="23"/>
              </w:rPr>
            </w:pPr>
            <w:r>
              <w:rPr>
                <w:sz w:val="23"/>
              </w:rPr>
              <w:t>1</w:t>
            </w:r>
          </w:p>
        </w:tc>
        <w:tc>
          <w:tcPr>
            <w:tcW w:w="846" w:type="dxa"/>
            <w:gridSpan w:val="2"/>
          </w:tcPr>
          <w:p w14:paraId="687BE5F5" w14:textId="77777777" w:rsidR="00422281" w:rsidRPr="00427CC0" w:rsidRDefault="00422281" w:rsidP="00C171F0">
            <w:pPr>
              <w:rPr>
                <w:i/>
                <w:sz w:val="23"/>
              </w:rPr>
            </w:pPr>
            <w:r w:rsidRPr="00427CC0">
              <w:rPr>
                <w:i/>
                <w:sz w:val="23"/>
              </w:rPr>
              <w:t>129</w:t>
            </w:r>
          </w:p>
        </w:tc>
        <w:tc>
          <w:tcPr>
            <w:tcW w:w="3307" w:type="dxa"/>
            <w:gridSpan w:val="2"/>
          </w:tcPr>
          <w:p w14:paraId="7431C703" w14:textId="6C73F71B" w:rsidR="00422281" w:rsidRPr="00427CC0" w:rsidRDefault="00422281" w:rsidP="00C171F0">
            <w:pPr>
              <w:rPr>
                <w:iCs/>
                <w:sz w:val="23"/>
                <w:lang w:val="en-GB"/>
              </w:rPr>
            </w:pPr>
            <w:r>
              <w:rPr>
                <w:iCs/>
                <w:sz w:val="23"/>
                <w:lang w:val="en-GB"/>
              </w:rPr>
              <w:t>Assume 1.5 times higher than smear-negative because duration of treatment is 1.5 times lo</w:t>
            </w:r>
            <w:r w:rsidR="00BB1BAA">
              <w:rPr>
                <w:iCs/>
                <w:sz w:val="23"/>
                <w:lang w:val="en-GB"/>
              </w:rPr>
              <w:t>nger</w:t>
            </w:r>
          </w:p>
        </w:tc>
      </w:tr>
      <w:tr w:rsidR="00422281" w14:paraId="44769ABA" w14:textId="77777777" w:rsidTr="00580FA8">
        <w:tc>
          <w:tcPr>
            <w:tcW w:w="1657" w:type="dxa"/>
          </w:tcPr>
          <w:p w14:paraId="5E24C1FF" w14:textId="77777777" w:rsidR="00422281" w:rsidRDefault="00422281" w:rsidP="00C171F0">
            <w:pPr>
              <w:rPr>
                <w:sz w:val="23"/>
              </w:rPr>
            </w:pPr>
            <w:r>
              <w:rPr>
                <w:sz w:val="23"/>
              </w:rPr>
              <w:t xml:space="preserve">TST </w:t>
            </w:r>
          </w:p>
        </w:tc>
        <w:tc>
          <w:tcPr>
            <w:tcW w:w="1473" w:type="dxa"/>
            <w:gridSpan w:val="2"/>
          </w:tcPr>
          <w:p w14:paraId="433342AE" w14:textId="77777777" w:rsidR="00422281" w:rsidRDefault="00422281" w:rsidP="00C171F0">
            <w:pPr>
              <w:rPr>
                <w:sz w:val="23"/>
              </w:rPr>
            </w:pPr>
            <w:r>
              <w:rPr>
                <w:sz w:val="23"/>
              </w:rPr>
              <w:t>3.57 (NTP)</w:t>
            </w:r>
          </w:p>
        </w:tc>
        <w:tc>
          <w:tcPr>
            <w:tcW w:w="1822" w:type="dxa"/>
            <w:gridSpan w:val="2"/>
          </w:tcPr>
          <w:p w14:paraId="2091EE65" w14:textId="77777777" w:rsidR="00422281" w:rsidRDefault="00422281" w:rsidP="00C171F0">
            <w:pPr>
              <w:rPr>
                <w:sz w:val="23"/>
              </w:rPr>
            </w:pPr>
            <w:r>
              <w:rPr>
                <w:sz w:val="23"/>
              </w:rPr>
              <w:t>1</w:t>
            </w:r>
          </w:p>
        </w:tc>
        <w:tc>
          <w:tcPr>
            <w:tcW w:w="846" w:type="dxa"/>
            <w:gridSpan w:val="2"/>
          </w:tcPr>
          <w:p w14:paraId="197362B9" w14:textId="77777777" w:rsidR="00422281" w:rsidRDefault="00422281" w:rsidP="00C171F0">
            <w:pPr>
              <w:rPr>
                <w:sz w:val="23"/>
              </w:rPr>
            </w:pPr>
            <w:r>
              <w:rPr>
                <w:sz w:val="23"/>
              </w:rPr>
              <w:t>3.57</w:t>
            </w:r>
          </w:p>
        </w:tc>
        <w:tc>
          <w:tcPr>
            <w:tcW w:w="3307" w:type="dxa"/>
            <w:gridSpan w:val="2"/>
          </w:tcPr>
          <w:p w14:paraId="7A9F185D" w14:textId="77777777" w:rsidR="00422281" w:rsidRPr="003E3902" w:rsidRDefault="00422281" w:rsidP="00C171F0">
            <w:pPr>
              <w:rPr>
                <w:i/>
                <w:iCs/>
                <w:sz w:val="23"/>
                <w:lang w:val="en-GB"/>
              </w:rPr>
            </w:pPr>
          </w:p>
        </w:tc>
      </w:tr>
      <w:tr w:rsidR="00422281" w14:paraId="0CFF249E" w14:textId="77777777" w:rsidTr="00580FA8">
        <w:tc>
          <w:tcPr>
            <w:tcW w:w="1657" w:type="dxa"/>
          </w:tcPr>
          <w:p w14:paraId="151A9D7A" w14:textId="3E6050F8" w:rsidR="00422281" w:rsidRDefault="00157636" w:rsidP="00C171F0">
            <w:pPr>
              <w:rPr>
                <w:sz w:val="23"/>
              </w:rPr>
            </w:pPr>
            <w:r>
              <w:rPr>
                <w:sz w:val="23"/>
              </w:rPr>
              <w:t>Chest x</w:t>
            </w:r>
            <w:r w:rsidR="00422281">
              <w:rPr>
                <w:sz w:val="23"/>
              </w:rPr>
              <w:t>-ray</w:t>
            </w:r>
          </w:p>
        </w:tc>
        <w:tc>
          <w:tcPr>
            <w:tcW w:w="1473" w:type="dxa"/>
            <w:gridSpan w:val="2"/>
          </w:tcPr>
          <w:p w14:paraId="391804DF" w14:textId="77777777" w:rsidR="00422281" w:rsidRDefault="00422281" w:rsidP="00C171F0">
            <w:pPr>
              <w:rPr>
                <w:sz w:val="23"/>
              </w:rPr>
            </w:pPr>
            <w:r>
              <w:rPr>
                <w:sz w:val="23"/>
              </w:rPr>
              <w:t>7.76 (NTP)</w:t>
            </w:r>
          </w:p>
        </w:tc>
        <w:tc>
          <w:tcPr>
            <w:tcW w:w="1822" w:type="dxa"/>
            <w:gridSpan w:val="2"/>
          </w:tcPr>
          <w:p w14:paraId="697FB7A6" w14:textId="77777777" w:rsidR="00422281" w:rsidRDefault="00422281" w:rsidP="00C171F0">
            <w:pPr>
              <w:rPr>
                <w:sz w:val="23"/>
              </w:rPr>
            </w:pPr>
            <w:r>
              <w:rPr>
                <w:sz w:val="23"/>
              </w:rPr>
              <w:t>2</w:t>
            </w:r>
          </w:p>
        </w:tc>
        <w:tc>
          <w:tcPr>
            <w:tcW w:w="846" w:type="dxa"/>
            <w:gridSpan w:val="2"/>
          </w:tcPr>
          <w:p w14:paraId="63B556EF" w14:textId="77777777" w:rsidR="00422281" w:rsidRDefault="00422281" w:rsidP="00C171F0">
            <w:pPr>
              <w:rPr>
                <w:sz w:val="23"/>
              </w:rPr>
            </w:pPr>
            <w:r>
              <w:rPr>
                <w:sz w:val="23"/>
              </w:rPr>
              <w:t>15.52</w:t>
            </w:r>
          </w:p>
        </w:tc>
        <w:tc>
          <w:tcPr>
            <w:tcW w:w="3307" w:type="dxa"/>
            <w:gridSpan w:val="2"/>
          </w:tcPr>
          <w:p w14:paraId="3ED503CA" w14:textId="77777777" w:rsidR="00422281" w:rsidRDefault="00422281" w:rsidP="00C171F0">
            <w:pPr>
              <w:rPr>
                <w:sz w:val="23"/>
              </w:rPr>
            </w:pPr>
          </w:p>
        </w:tc>
      </w:tr>
      <w:tr w:rsidR="00422281" w14:paraId="685E3F83" w14:textId="77777777" w:rsidTr="00580FA8">
        <w:tc>
          <w:tcPr>
            <w:tcW w:w="1657" w:type="dxa"/>
          </w:tcPr>
          <w:p w14:paraId="332C78C6" w14:textId="77777777" w:rsidR="00422281" w:rsidRDefault="00422281" w:rsidP="00C171F0">
            <w:pPr>
              <w:rPr>
                <w:sz w:val="23"/>
              </w:rPr>
            </w:pPr>
            <w:r>
              <w:rPr>
                <w:sz w:val="23"/>
              </w:rPr>
              <w:t>DSSM</w:t>
            </w:r>
          </w:p>
        </w:tc>
        <w:tc>
          <w:tcPr>
            <w:tcW w:w="1473" w:type="dxa"/>
            <w:gridSpan w:val="2"/>
          </w:tcPr>
          <w:p w14:paraId="4C220052" w14:textId="77777777" w:rsidR="00422281" w:rsidRDefault="00422281" w:rsidP="00C171F0">
            <w:pPr>
              <w:rPr>
                <w:sz w:val="23"/>
              </w:rPr>
            </w:pPr>
            <w:r>
              <w:rPr>
                <w:sz w:val="23"/>
              </w:rPr>
              <w:t>3.06 (NTP)</w:t>
            </w:r>
          </w:p>
        </w:tc>
        <w:tc>
          <w:tcPr>
            <w:tcW w:w="1822" w:type="dxa"/>
            <w:gridSpan w:val="2"/>
          </w:tcPr>
          <w:p w14:paraId="4F733310" w14:textId="77777777" w:rsidR="00422281" w:rsidRDefault="00422281" w:rsidP="00C171F0">
            <w:pPr>
              <w:rPr>
                <w:sz w:val="23"/>
              </w:rPr>
            </w:pPr>
            <w:r>
              <w:rPr>
                <w:sz w:val="23"/>
              </w:rPr>
              <w:t>4</w:t>
            </w:r>
          </w:p>
        </w:tc>
        <w:tc>
          <w:tcPr>
            <w:tcW w:w="846" w:type="dxa"/>
            <w:gridSpan w:val="2"/>
          </w:tcPr>
          <w:p w14:paraId="117ACE86" w14:textId="77777777" w:rsidR="00422281" w:rsidRDefault="00422281" w:rsidP="00C171F0">
            <w:pPr>
              <w:rPr>
                <w:sz w:val="23"/>
              </w:rPr>
            </w:pPr>
            <w:r>
              <w:rPr>
                <w:sz w:val="23"/>
              </w:rPr>
              <w:t>12.24</w:t>
            </w:r>
          </w:p>
        </w:tc>
        <w:tc>
          <w:tcPr>
            <w:tcW w:w="3307" w:type="dxa"/>
            <w:gridSpan w:val="2"/>
          </w:tcPr>
          <w:p w14:paraId="2F5198C3" w14:textId="77777777" w:rsidR="00422281" w:rsidRDefault="00422281" w:rsidP="00C171F0">
            <w:pPr>
              <w:rPr>
                <w:sz w:val="23"/>
              </w:rPr>
            </w:pPr>
          </w:p>
        </w:tc>
      </w:tr>
      <w:tr w:rsidR="00422281" w14:paraId="0978D8A9" w14:textId="77777777" w:rsidTr="00580FA8">
        <w:tc>
          <w:tcPr>
            <w:tcW w:w="1657" w:type="dxa"/>
          </w:tcPr>
          <w:p w14:paraId="02B77A28" w14:textId="77777777" w:rsidR="00422281" w:rsidRDefault="00422281" w:rsidP="00C171F0">
            <w:pPr>
              <w:rPr>
                <w:sz w:val="23"/>
              </w:rPr>
            </w:pPr>
            <w:r>
              <w:rPr>
                <w:sz w:val="23"/>
              </w:rPr>
              <w:t xml:space="preserve">Culture </w:t>
            </w:r>
          </w:p>
        </w:tc>
        <w:tc>
          <w:tcPr>
            <w:tcW w:w="1473" w:type="dxa"/>
            <w:gridSpan w:val="2"/>
          </w:tcPr>
          <w:p w14:paraId="53D603C8" w14:textId="77777777" w:rsidR="00422281" w:rsidRDefault="00422281" w:rsidP="00C171F0">
            <w:pPr>
              <w:rPr>
                <w:sz w:val="23"/>
              </w:rPr>
            </w:pPr>
            <w:r>
              <w:rPr>
                <w:sz w:val="23"/>
              </w:rPr>
              <w:t>6.09 (NTP)</w:t>
            </w:r>
          </w:p>
        </w:tc>
        <w:tc>
          <w:tcPr>
            <w:tcW w:w="1822" w:type="dxa"/>
            <w:gridSpan w:val="2"/>
          </w:tcPr>
          <w:p w14:paraId="545BF2CA" w14:textId="77777777" w:rsidR="00422281" w:rsidRDefault="00422281" w:rsidP="00C171F0">
            <w:pPr>
              <w:rPr>
                <w:sz w:val="23"/>
              </w:rPr>
            </w:pPr>
            <w:r>
              <w:rPr>
                <w:sz w:val="23"/>
              </w:rPr>
              <w:t>3</w:t>
            </w:r>
          </w:p>
        </w:tc>
        <w:tc>
          <w:tcPr>
            <w:tcW w:w="846" w:type="dxa"/>
            <w:gridSpan w:val="2"/>
          </w:tcPr>
          <w:p w14:paraId="667E05C6" w14:textId="77777777" w:rsidR="00422281" w:rsidRDefault="00422281" w:rsidP="00C171F0">
            <w:pPr>
              <w:rPr>
                <w:sz w:val="23"/>
              </w:rPr>
            </w:pPr>
            <w:r>
              <w:rPr>
                <w:sz w:val="23"/>
              </w:rPr>
              <w:t>18.27</w:t>
            </w:r>
          </w:p>
        </w:tc>
        <w:tc>
          <w:tcPr>
            <w:tcW w:w="3307" w:type="dxa"/>
            <w:gridSpan w:val="2"/>
          </w:tcPr>
          <w:p w14:paraId="0BB06755" w14:textId="77777777" w:rsidR="00422281" w:rsidRDefault="00422281" w:rsidP="00C171F0">
            <w:pPr>
              <w:rPr>
                <w:sz w:val="23"/>
              </w:rPr>
            </w:pPr>
          </w:p>
        </w:tc>
      </w:tr>
      <w:tr w:rsidR="00422281" w14:paraId="67C918AA" w14:textId="77777777" w:rsidTr="00580FA8">
        <w:tc>
          <w:tcPr>
            <w:tcW w:w="1657" w:type="dxa"/>
          </w:tcPr>
          <w:p w14:paraId="7C1C8862" w14:textId="77777777" w:rsidR="00422281" w:rsidRDefault="00422281" w:rsidP="00C171F0">
            <w:pPr>
              <w:rPr>
                <w:sz w:val="23"/>
              </w:rPr>
            </w:pPr>
            <w:r>
              <w:rPr>
                <w:sz w:val="23"/>
              </w:rPr>
              <w:t>DST</w:t>
            </w:r>
          </w:p>
        </w:tc>
        <w:tc>
          <w:tcPr>
            <w:tcW w:w="1473" w:type="dxa"/>
            <w:gridSpan w:val="2"/>
          </w:tcPr>
          <w:p w14:paraId="6DA91242" w14:textId="77777777" w:rsidR="00422281" w:rsidRDefault="00422281" w:rsidP="00C171F0">
            <w:pPr>
              <w:rPr>
                <w:sz w:val="23"/>
              </w:rPr>
            </w:pPr>
            <w:r>
              <w:rPr>
                <w:sz w:val="23"/>
              </w:rPr>
              <w:t>67.14 (NTP)</w:t>
            </w:r>
          </w:p>
        </w:tc>
        <w:tc>
          <w:tcPr>
            <w:tcW w:w="1822" w:type="dxa"/>
            <w:gridSpan w:val="2"/>
          </w:tcPr>
          <w:p w14:paraId="0A2E5528" w14:textId="77777777" w:rsidR="00422281" w:rsidRDefault="00422281" w:rsidP="00C171F0">
            <w:pPr>
              <w:rPr>
                <w:sz w:val="23"/>
              </w:rPr>
            </w:pPr>
            <w:r>
              <w:rPr>
                <w:sz w:val="23"/>
              </w:rPr>
              <w:t>1</w:t>
            </w:r>
          </w:p>
        </w:tc>
        <w:tc>
          <w:tcPr>
            <w:tcW w:w="846" w:type="dxa"/>
            <w:gridSpan w:val="2"/>
          </w:tcPr>
          <w:p w14:paraId="2E8597A7" w14:textId="77777777" w:rsidR="00422281" w:rsidRDefault="00422281" w:rsidP="00C171F0">
            <w:pPr>
              <w:rPr>
                <w:sz w:val="23"/>
              </w:rPr>
            </w:pPr>
            <w:r>
              <w:rPr>
                <w:sz w:val="23"/>
              </w:rPr>
              <w:t>67.14</w:t>
            </w:r>
          </w:p>
        </w:tc>
        <w:tc>
          <w:tcPr>
            <w:tcW w:w="3307" w:type="dxa"/>
            <w:gridSpan w:val="2"/>
          </w:tcPr>
          <w:p w14:paraId="5617BD61" w14:textId="77777777" w:rsidR="00422281" w:rsidRDefault="00422281" w:rsidP="00C171F0">
            <w:pPr>
              <w:rPr>
                <w:sz w:val="23"/>
              </w:rPr>
            </w:pPr>
          </w:p>
        </w:tc>
      </w:tr>
      <w:tr w:rsidR="00422281" w14:paraId="244A7005" w14:textId="77777777" w:rsidTr="00580FA8">
        <w:tc>
          <w:tcPr>
            <w:tcW w:w="1657" w:type="dxa"/>
          </w:tcPr>
          <w:p w14:paraId="28C41736" w14:textId="6B7D6D89" w:rsidR="00422281" w:rsidRDefault="008C4316" w:rsidP="00C171F0">
            <w:pPr>
              <w:rPr>
                <w:sz w:val="23"/>
              </w:rPr>
            </w:pPr>
            <w:r>
              <w:rPr>
                <w:sz w:val="23"/>
              </w:rPr>
              <w:t>Patient visit to clinic</w:t>
            </w:r>
          </w:p>
        </w:tc>
        <w:tc>
          <w:tcPr>
            <w:tcW w:w="1473" w:type="dxa"/>
            <w:gridSpan w:val="2"/>
            <w:vMerge w:val="restart"/>
          </w:tcPr>
          <w:p w14:paraId="05BB4A36" w14:textId="77777777" w:rsidR="00422281" w:rsidRDefault="00422281" w:rsidP="00C171F0">
            <w:pPr>
              <w:rPr>
                <w:sz w:val="23"/>
              </w:rPr>
            </w:pPr>
            <w:r>
              <w:rPr>
                <w:sz w:val="23"/>
              </w:rPr>
              <w:t>2.5</w:t>
            </w:r>
          </w:p>
        </w:tc>
        <w:tc>
          <w:tcPr>
            <w:tcW w:w="1822" w:type="dxa"/>
            <w:gridSpan w:val="2"/>
          </w:tcPr>
          <w:p w14:paraId="7D1ABA0D" w14:textId="77777777" w:rsidR="00422281" w:rsidRDefault="00422281" w:rsidP="00C171F0">
            <w:pPr>
              <w:rPr>
                <w:sz w:val="23"/>
              </w:rPr>
            </w:pPr>
            <w:r>
              <w:rPr>
                <w:sz w:val="23"/>
              </w:rPr>
              <w:t>15 (smear-negative)</w:t>
            </w:r>
          </w:p>
        </w:tc>
        <w:tc>
          <w:tcPr>
            <w:tcW w:w="846" w:type="dxa"/>
            <w:gridSpan w:val="2"/>
          </w:tcPr>
          <w:p w14:paraId="05608D05" w14:textId="77777777" w:rsidR="00422281" w:rsidRDefault="00422281" w:rsidP="00C171F0">
            <w:pPr>
              <w:rPr>
                <w:sz w:val="23"/>
              </w:rPr>
            </w:pPr>
            <w:r>
              <w:rPr>
                <w:sz w:val="23"/>
              </w:rPr>
              <w:t>37.5</w:t>
            </w:r>
          </w:p>
        </w:tc>
        <w:tc>
          <w:tcPr>
            <w:tcW w:w="3307" w:type="dxa"/>
            <w:gridSpan w:val="2"/>
            <w:vMerge w:val="restart"/>
          </w:tcPr>
          <w:p w14:paraId="640EBBE0" w14:textId="77777777" w:rsidR="00422281" w:rsidRDefault="00422281" w:rsidP="00C171F0">
            <w:pPr>
              <w:rPr>
                <w:sz w:val="23"/>
              </w:rPr>
            </w:pPr>
            <w:r>
              <w:rPr>
                <w:sz w:val="23"/>
              </w:rPr>
              <w:t xml:space="preserve">weekly for the first 3 months then monthly </w:t>
            </w:r>
          </w:p>
        </w:tc>
      </w:tr>
      <w:tr w:rsidR="00422281" w14:paraId="29D25E75" w14:textId="77777777" w:rsidTr="00580FA8">
        <w:tc>
          <w:tcPr>
            <w:tcW w:w="1657" w:type="dxa"/>
          </w:tcPr>
          <w:p w14:paraId="56B83C04" w14:textId="77777777" w:rsidR="00422281" w:rsidRDefault="00422281" w:rsidP="00C171F0">
            <w:pPr>
              <w:rPr>
                <w:sz w:val="23"/>
              </w:rPr>
            </w:pPr>
          </w:p>
        </w:tc>
        <w:tc>
          <w:tcPr>
            <w:tcW w:w="1473" w:type="dxa"/>
            <w:gridSpan w:val="2"/>
            <w:vMerge/>
          </w:tcPr>
          <w:p w14:paraId="74E35B3D" w14:textId="77777777" w:rsidR="00422281" w:rsidRDefault="00422281" w:rsidP="00C171F0">
            <w:pPr>
              <w:rPr>
                <w:sz w:val="23"/>
              </w:rPr>
            </w:pPr>
          </w:p>
        </w:tc>
        <w:tc>
          <w:tcPr>
            <w:tcW w:w="1822" w:type="dxa"/>
            <w:gridSpan w:val="2"/>
          </w:tcPr>
          <w:p w14:paraId="513021AE" w14:textId="75A4FA82" w:rsidR="00422281" w:rsidRDefault="00616ABF" w:rsidP="00C171F0">
            <w:pPr>
              <w:rPr>
                <w:sz w:val="23"/>
              </w:rPr>
            </w:pPr>
            <w:r>
              <w:rPr>
                <w:sz w:val="23"/>
              </w:rPr>
              <w:t>18 (extra</w:t>
            </w:r>
            <w:r w:rsidR="00422281">
              <w:rPr>
                <w:sz w:val="23"/>
              </w:rPr>
              <w:t>p</w:t>
            </w:r>
            <w:r w:rsidR="00317EDF">
              <w:rPr>
                <w:sz w:val="23"/>
              </w:rPr>
              <w:t>ulmonar</w:t>
            </w:r>
            <w:r w:rsidR="00422281">
              <w:rPr>
                <w:sz w:val="23"/>
              </w:rPr>
              <w:t>)</w:t>
            </w:r>
          </w:p>
        </w:tc>
        <w:tc>
          <w:tcPr>
            <w:tcW w:w="846" w:type="dxa"/>
            <w:gridSpan w:val="2"/>
          </w:tcPr>
          <w:p w14:paraId="3E88E70E" w14:textId="77777777" w:rsidR="00422281" w:rsidRDefault="00422281" w:rsidP="00C171F0">
            <w:pPr>
              <w:rPr>
                <w:sz w:val="23"/>
              </w:rPr>
            </w:pPr>
            <w:r>
              <w:rPr>
                <w:sz w:val="23"/>
              </w:rPr>
              <w:t>45</w:t>
            </w:r>
          </w:p>
        </w:tc>
        <w:tc>
          <w:tcPr>
            <w:tcW w:w="3307" w:type="dxa"/>
            <w:gridSpan w:val="2"/>
            <w:vMerge/>
          </w:tcPr>
          <w:p w14:paraId="2514CB92" w14:textId="77777777" w:rsidR="00422281" w:rsidRDefault="00422281" w:rsidP="00C171F0">
            <w:pPr>
              <w:rPr>
                <w:sz w:val="23"/>
              </w:rPr>
            </w:pPr>
          </w:p>
        </w:tc>
      </w:tr>
      <w:tr w:rsidR="00422281" w14:paraId="3EDF6D56" w14:textId="77777777" w:rsidTr="00580FA8">
        <w:tc>
          <w:tcPr>
            <w:tcW w:w="5798" w:type="dxa"/>
            <w:gridSpan w:val="7"/>
          </w:tcPr>
          <w:p w14:paraId="067E6DBF" w14:textId="77777777" w:rsidR="00422281" w:rsidRPr="00006047" w:rsidRDefault="00422281" w:rsidP="00C171F0">
            <w:pPr>
              <w:rPr>
                <w:b/>
                <w:sz w:val="23"/>
              </w:rPr>
            </w:pPr>
            <w:r w:rsidRPr="00006047">
              <w:rPr>
                <w:b/>
                <w:sz w:val="23"/>
              </w:rPr>
              <w:t>Total per patient</w:t>
            </w:r>
          </w:p>
        </w:tc>
        <w:tc>
          <w:tcPr>
            <w:tcW w:w="3307" w:type="dxa"/>
            <w:gridSpan w:val="2"/>
          </w:tcPr>
          <w:p w14:paraId="3B44F78D" w14:textId="77777777" w:rsidR="00422281" w:rsidRPr="00A320F8" w:rsidRDefault="00422281" w:rsidP="001C2A3E">
            <w:pPr>
              <w:spacing w:after="0"/>
              <w:rPr>
                <w:b/>
                <w:i/>
                <w:sz w:val="23"/>
              </w:rPr>
            </w:pPr>
            <w:r w:rsidRPr="00A320F8">
              <w:rPr>
                <w:b/>
                <w:i/>
                <w:sz w:val="23"/>
              </w:rPr>
              <w:t>EUR 751 (smear-negative)</w:t>
            </w:r>
          </w:p>
          <w:p w14:paraId="5FD9BAC8" w14:textId="2D402C37" w:rsidR="00422281" w:rsidRPr="00006047" w:rsidRDefault="00157636" w:rsidP="00C171F0">
            <w:pPr>
              <w:rPr>
                <w:b/>
                <w:i/>
                <w:sz w:val="23"/>
              </w:rPr>
            </w:pPr>
            <w:r>
              <w:rPr>
                <w:b/>
                <w:i/>
                <w:sz w:val="23"/>
              </w:rPr>
              <w:t>EUR 862 (extra</w:t>
            </w:r>
            <w:r w:rsidR="00422281" w:rsidRPr="00A320F8">
              <w:rPr>
                <w:b/>
                <w:i/>
                <w:sz w:val="23"/>
              </w:rPr>
              <w:t>pulmonary)</w:t>
            </w:r>
          </w:p>
        </w:tc>
      </w:tr>
    </w:tbl>
    <w:p w14:paraId="7647DEDE" w14:textId="41352AF1" w:rsidR="00580FA8" w:rsidRDefault="00580FA8" w:rsidP="00FD5EF1">
      <w:pPr>
        <w:pStyle w:val="Heading4"/>
      </w:pPr>
      <w:r>
        <w:t xml:space="preserve">Abbreviations: DSSM, direct sputum smear microscopy; DST, drug susceptibility testing; NGO, Non-governmental organisation; NTP, National TB Program; TST, tuberculin skin test. </w:t>
      </w:r>
    </w:p>
    <w:p w14:paraId="1C725E8D" w14:textId="77777777" w:rsidR="00422281" w:rsidRDefault="00422281" w:rsidP="00422281">
      <w:pPr>
        <w:rPr>
          <w:sz w:val="23"/>
        </w:rPr>
      </w:pPr>
    </w:p>
    <w:p w14:paraId="5FD76087" w14:textId="3E1303EC" w:rsidR="002F2EDC" w:rsidRDefault="00DA5480" w:rsidP="0064029F">
      <w:r>
        <w:rPr>
          <w:noProof/>
          <w:lang w:val="en-GB" w:eastAsia="en-GB"/>
        </w:rPr>
        <w:lastRenderedPageBreak/>
        <w:drawing>
          <wp:inline distT="0" distB="0" distL="0" distR="0" wp14:anchorId="7B8AB0B2" wp14:editId="21DE682C">
            <wp:extent cx="6013138" cy="4514850"/>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4992" cy="4516242"/>
                    </a:xfrm>
                    <a:prstGeom prst="rect">
                      <a:avLst/>
                    </a:prstGeom>
                    <a:noFill/>
                    <a:ln>
                      <a:noFill/>
                    </a:ln>
                  </pic:spPr>
                </pic:pic>
              </a:graphicData>
            </a:graphic>
          </wp:inline>
        </w:drawing>
      </w:r>
    </w:p>
    <w:p w14:paraId="0BD2F9C2" w14:textId="37EF0360" w:rsidR="006921B2" w:rsidRDefault="006921B2" w:rsidP="006921B2">
      <w:pPr>
        <w:pStyle w:val="Heading4"/>
        <w:rPr>
          <w:b/>
        </w:rPr>
      </w:pPr>
      <w:r>
        <w:rPr>
          <w:b/>
        </w:rPr>
        <w:t>Figure S</w:t>
      </w:r>
      <w:r w:rsidR="005B60FD">
        <w:rPr>
          <w:b/>
        </w:rPr>
        <w:t>36</w:t>
      </w:r>
      <w:r w:rsidRPr="00F672D1">
        <w:rPr>
          <w:b/>
        </w:rPr>
        <w:t>.</w:t>
      </w:r>
      <w:r>
        <w:rPr>
          <w:b/>
        </w:rPr>
        <w:t xml:space="preserve"> Cost-coverage curves for ambulatory care intervention.</w:t>
      </w:r>
    </w:p>
    <w:p w14:paraId="0D47FA5A" w14:textId="72EEEBF6" w:rsidR="002D43FB" w:rsidRDefault="002D43FB" w:rsidP="002D43FB">
      <w:pPr>
        <w:pStyle w:val="Heading1"/>
        <w:numPr>
          <w:ilvl w:val="0"/>
          <w:numId w:val="9"/>
        </w:numPr>
      </w:pPr>
      <w:r w:rsidRPr="008D75C6">
        <w:t>Discontinue</w:t>
      </w:r>
      <w:r w:rsidR="000201B9">
        <w:t xml:space="preserve"> Open Doors</w:t>
      </w:r>
    </w:p>
    <w:p w14:paraId="1D5C131B" w14:textId="77777777" w:rsidR="002D43FB" w:rsidRDefault="002D43FB" w:rsidP="002D43FB">
      <w:pPr>
        <w:pStyle w:val="Heading3"/>
      </w:pPr>
      <w:r>
        <w:t>Background</w:t>
      </w:r>
    </w:p>
    <w:p w14:paraId="1BC2FE86" w14:textId="13B58746" w:rsidR="00D512AE" w:rsidRDefault="002D43FB" w:rsidP="002D43FB">
      <w:r>
        <w:t xml:space="preserve">The “Open Doors” program has been an important contributor to Bulgaria’s historical rates of case detection. </w:t>
      </w:r>
      <w:r w:rsidR="007E6CC7">
        <w:t>From 2009</w:t>
      </w:r>
      <w:r w:rsidRPr="00051973">
        <w:t xml:space="preserve"> hospitals across the country </w:t>
      </w:r>
      <w:r w:rsidR="007E6CC7">
        <w:t xml:space="preserve">have regularly </w:t>
      </w:r>
      <w:r w:rsidRPr="00051973">
        <w:t>open</w:t>
      </w:r>
      <w:r w:rsidR="007E6CC7">
        <w:t>ed</w:t>
      </w:r>
      <w:r w:rsidRPr="00051973">
        <w:t xml:space="preserve"> their doors to the public who believe they might have respiratory symptoms. Those who are considered by the </w:t>
      </w:r>
      <w:r>
        <w:t xml:space="preserve">treating </w:t>
      </w:r>
      <w:r w:rsidRPr="00051973">
        <w:t xml:space="preserve">doctor to have symptoms suggestive of TB undergo further diagnostic </w:t>
      </w:r>
      <w:r w:rsidR="00D512AE">
        <w:t>tests and clinical examination.</w:t>
      </w:r>
    </w:p>
    <w:p w14:paraId="1ACE9DBA" w14:textId="0B53CC32" w:rsidR="00D512AE" w:rsidRDefault="00D512AE" w:rsidP="00D512AE">
      <w:pPr>
        <w:pStyle w:val="Heading3"/>
      </w:pPr>
      <w:r>
        <w:t>Evidence</w:t>
      </w:r>
    </w:p>
    <w:p w14:paraId="7055C66D" w14:textId="4700EDFA" w:rsidR="002D43FB" w:rsidRDefault="002D43FB" w:rsidP="002D43FB">
      <w:r w:rsidRPr="00051973">
        <w:t>This program contributes significantly to the identification and detecti</w:t>
      </w:r>
      <w:r>
        <w:t>on of TB cases in the country. For example i</w:t>
      </w:r>
      <w:r w:rsidRPr="00051973">
        <w:t>n</w:t>
      </w:r>
      <w:r>
        <w:t xml:space="preserve"> 2015, a total of 1,</w:t>
      </w:r>
      <w:r w:rsidRPr="00051973">
        <w:t xml:space="preserve">487 people were consulted and examined by a doctor after presenting to the hospital as part of the program. Of these, 27 active TB cases and 99 LTBI cases were diagnosed. As a result of the completion of </w:t>
      </w:r>
      <w:r w:rsidR="00023F3D">
        <w:t>the current</w:t>
      </w:r>
      <w:r>
        <w:t xml:space="preserve"> </w:t>
      </w:r>
      <w:r w:rsidRPr="00051973">
        <w:t xml:space="preserve">Global Fund grant </w:t>
      </w:r>
      <w:r>
        <w:t xml:space="preserve">at </w:t>
      </w:r>
      <w:r w:rsidR="00D512AE">
        <w:lastRenderedPageBreak/>
        <w:t>the end of 2018, the Open Doors</w:t>
      </w:r>
      <w:r w:rsidRPr="00051973">
        <w:t xml:space="preserve"> program will likely be discontinued if</w:t>
      </w:r>
      <w:r w:rsidR="00D512AE">
        <w:t xml:space="preserve"> no alternative source of funding can be found</w:t>
      </w:r>
      <w:r w:rsidRPr="00051973">
        <w:t>, potentially</w:t>
      </w:r>
      <w:r>
        <w:t xml:space="preserve"> leading to a worsening of case detection</w:t>
      </w:r>
      <w:r w:rsidRPr="00051973">
        <w:t>.</w:t>
      </w:r>
    </w:p>
    <w:p w14:paraId="25AA38B6" w14:textId="77777777" w:rsidR="002D43FB" w:rsidRDefault="002D43FB" w:rsidP="002D43FB">
      <w:pPr>
        <w:pStyle w:val="Heading3"/>
      </w:pPr>
      <w:r>
        <w:t>Implementation</w:t>
      </w:r>
    </w:p>
    <w:p w14:paraId="0E4E745D" w14:textId="42C386A6" w:rsidR="002D43FB" w:rsidRDefault="002D43FB" w:rsidP="002D43FB">
      <w:r>
        <w:t xml:space="preserve">Withdrawal of this program results in a proportional reduction of the case detection ratio </w:t>
      </w:r>
      <w:r w:rsidR="00296C74">
        <w:t xml:space="preserve">which is </w:t>
      </w:r>
      <w:r>
        <w:t>equal to the product of the proportion of case detection contributed by the Open Doors program and the c</w:t>
      </w:r>
      <w:r w:rsidR="00296C74">
        <w:t>overage of the program:</w:t>
      </w:r>
    </w:p>
    <w:p w14:paraId="53CFE1C4" w14:textId="7D190DDB" w:rsidR="00C171F0" w:rsidRDefault="00296C74" w:rsidP="002D43FB">
      <m:oMathPara>
        <m:oMath>
          <m:r>
            <w:rPr>
              <w:rFonts w:ascii="Cambria Math" w:hAnsi="Cambria Math"/>
            </w:rPr>
            <m:t>new case detection ratio=baseline case detection ratio-NGOs' contribution to case detection ×</m:t>
          </m:r>
          <m:d>
            <m:dPr>
              <m:ctrlPr>
                <w:rPr>
                  <w:rFonts w:ascii="Cambria Math" w:hAnsi="Cambria Math"/>
                  <w:i/>
                </w:rPr>
              </m:ctrlPr>
            </m:dPr>
            <m:e>
              <m:r>
                <w:rPr>
                  <w:rFonts w:ascii="Cambria Math" w:hAnsi="Cambria Math"/>
                </w:rPr>
                <m:t>1-intervention coverage</m:t>
              </m:r>
            </m:e>
          </m:d>
        </m:oMath>
      </m:oMathPara>
    </w:p>
    <w:p w14:paraId="743D2CD2" w14:textId="0B2538C9" w:rsidR="00296C74" w:rsidRDefault="00296C74" w:rsidP="00C171F0">
      <w:r>
        <w:t>Where the coverage of the intervention is allowed to fall below one as the intervention is withdrawn and “NGOs’ contribution to case detection” is the proportion of all notifications contributed by NGOs in Bulgaria.</w:t>
      </w:r>
    </w:p>
    <w:p w14:paraId="50A517F6" w14:textId="22BC3C66" w:rsidR="002D43FB" w:rsidRDefault="00C171F0" w:rsidP="00075CE0">
      <w:r>
        <w:t xml:space="preserve">As for the food voucher intervention, because this intervention is considered to have had historical coverage prior to the commencement of the intervention period, it was necessary to calculate a theoretical case detection rate </w:t>
      </w:r>
      <w:r w:rsidR="00023F3D">
        <w:t xml:space="preserve">representing the value </w:t>
      </w:r>
      <w:r>
        <w:t>that would have been present if the intervention had been absent. Once this has been done, scaling up the future coverage from its baseline value can be simulated.</w:t>
      </w:r>
      <w:r w:rsidR="002D43FB">
        <w:br w:type="page"/>
      </w:r>
    </w:p>
    <w:p w14:paraId="68950A90" w14:textId="77777777" w:rsidR="002D43FB" w:rsidRDefault="002D43FB" w:rsidP="002D43FB">
      <w:pPr>
        <w:pStyle w:val="Heading3"/>
      </w:pPr>
      <w:r>
        <w:lastRenderedPageBreak/>
        <w:t>Results</w:t>
      </w:r>
    </w:p>
    <w:p w14:paraId="3B2282EE" w14:textId="78CBD4A9" w:rsidR="00FD0F11" w:rsidRDefault="00D4412B" w:rsidP="00D4412B">
      <w:r>
        <w:t xml:space="preserve">The effect of withdrawal of the Open Doors program is to lead to a significant increase in TB-related mortality and prevalence. Due to the decrease in case detection, the number of notifications reported is anticipated to fall. The impact on incidence is less, due to low levels of </w:t>
      </w:r>
      <w:r>
        <w:rPr>
          <w:i/>
        </w:rPr>
        <w:t>Mtb</w:t>
      </w:r>
      <w:r>
        <w:t xml:space="preserve"> transmission simulated. The</w:t>
      </w:r>
      <w:r w:rsidR="00E156E4">
        <w:t xml:space="preserve"> proportionate</w:t>
      </w:r>
      <w:r>
        <w:t xml:space="preserve"> effect on MDR-TB is less than the effect on all forms of TB.</w:t>
      </w:r>
      <w:r w:rsidR="00FD0F11">
        <w:t xml:space="preserve"> Costs were not estimated for this intervention.</w:t>
      </w:r>
    </w:p>
    <w:p w14:paraId="38C31A1E" w14:textId="252ECE78" w:rsidR="002D43FB" w:rsidRDefault="00DA5480" w:rsidP="00DE48A3">
      <w:pPr>
        <w:jc w:val="left"/>
      </w:pPr>
      <w:r>
        <w:rPr>
          <w:noProof/>
          <w:lang w:val="en-GB" w:eastAsia="en-GB"/>
        </w:rPr>
        <w:drawing>
          <wp:inline distT="0" distB="0" distL="0" distR="0" wp14:anchorId="14DBDE48" wp14:editId="43EA9D5F">
            <wp:extent cx="5271121" cy="4029075"/>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44">
                      <a:extLst>
                        <a:ext uri="{28A0092B-C50C-407E-A947-70E740481C1C}">
                          <a14:useLocalDpi xmlns:a14="http://schemas.microsoft.com/office/drawing/2010/main" val="0"/>
                        </a:ext>
                      </a:extLst>
                    </a:blip>
                    <a:srcRect l="6814" t="7304" r="6437" b="4383"/>
                    <a:stretch/>
                  </pic:blipFill>
                  <pic:spPr bwMode="auto">
                    <a:xfrm>
                      <a:off x="0" y="0"/>
                      <a:ext cx="5271968" cy="4029722"/>
                    </a:xfrm>
                    <a:prstGeom prst="rect">
                      <a:avLst/>
                    </a:prstGeom>
                    <a:noFill/>
                    <a:ln>
                      <a:noFill/>
                    </a:ln>
                    <a:extLst>
                      <a:ext uri="{53640926-AAD7-44D8-BBD7-CCE9431645EC}">
                        <a14:shadowObscured xmlns:a14="http://schemas.microsoft.com/office/drawing/2010/main"/>
                      </a:ext>
                    </a:extLst>
                  </pic:spPr>
                </pic:pic>
              </a:graphicData>
            </a:graphic>
          </wp:inline>
        </w:drawing>
      </w:r>
    </w:p>
    <w:p w14:paraId="2FCDC8A4" w14:textId="6737F543" w:rsidR="002D43FB" w:rsidRPr="00F672D1" w:rsidRDefault="002D43FB" w:rsidP="002D43FB">
      <w:pPr>
        <w:pStyle w:val="Heading4"/>
        <w:rPr>
          <w:b/>
        </w:rPr>
      </w:pPr>
      <w:r>
        <w:rPr>
          <w:b/>
        </w:rPr>
        <w:t>Figure S</w:t>
      </w:r>
      <w:r w:rsidR="005B60FD">
        <w:rPr>
          <w:b/>
        </w:rPr>
        <w:t>37</w:t>
      </w:r>
      <w:r w:rsidRPr="00F672D1">
        <w:rPr>
          <w:b/>
        </w:rPr>
        <w:t>.</w:t>
      </w:r>
      <w:r>
        <w:rPr>
          <w:b/>
        </w:rPr>
        <w:t xml:space="preserve"> Effect</w:t>
      </w:r>
      <w:r w:rsidRPr="00F672D1">
        <w:rPr>
          <w:b/>
        </w:rPr>
        <w:t xml:space="preserve"> of</w:t>
      </w:r>
      <w:r>
        <w:rPr>
          <w:b/>
        </w:rPr>
        <w:t xml:space="preserve"> “Open Doors”</w:t>
      </w:r>
      <w:r w:rsidRPr="00F672D1">
        <w:rPr>
          <w:b/>
        </w:rPr>
        <w:t xml:space="preserve"> on </w:t>
      </w:r>
      <w:r>
        <w:rPr>
          <w:b/>
        </w:rPr>
        <w:t>epidemiological outcomes.</w:t>
      </w:r>
    </w:p>
    <w:p w14:paraId="049709F5" w14:textId="77777777" w:rsidR="002D43FB" w:rsidRDefault="002D43FB" w:rsidP="002D43FB">
      <w:pPr>
        <w:jc w:val="center"/>
      </w:pPr>
    </w:p>
    <w:p w14:paraId="3165AF55" w14:textId="77777777" w:rsidR="002D43FB" w:rsidRDefault="002D43FB" w:rsidP="002D43FB">
      <w:pPr>
        <w:spacing w:after="200" w:line="276" w:lineRule="auto"/>
        <w:jc w:val="left"/>
      </w:pPr>
      <w:r>
        <w:br w:type="page"/>
      </w:r>
    </w:p>
    <w:p w14:paraId="2504139E" w14:textId="44F274E9" w:rsidR="002D43FB" w:rsidRDefault="00DA5480" w:rsidP="002D43FB">
      <w:pPr>
        <w:spacing w:after="200" w:line="276" w:lineRule="auto"/>
        <w:jc w:val="left"/>
        <w:rPr>
          <w:rFonts w:eastAsiaTheme="majorEastAsia" w:cstheme="majorBidi"/>
          <w:b/>
          <w:bCs/>
          <w:color w:val="2E74B5" w:themeColor="accent1" w:themeShade="BF"/>
          <w:sz w:val="32"/>
          <w:szCs w:val="28"/>
        </w:rPr>
      </w:pPr>
      <w:r>
        <w:rPr>
          <w:noProof/>
          <w:lang w:val="en-GB" w:eastAsia="en-GB"/>
        </w:rPr>
        <w:lastRenderedPageBreak/>
        <w:drawing>
          <wp:inline distT="0" distB="0" distL="0" distR="0" wp14:anchorId="6EAE4DC8" wp14:editId="413FE443">
            <wp:extent cx="5468938" cy="40862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45">
                      <a:extLst>
                        <a:ext uri="{28A0092B-C50C-407E-A947-70E740481C1C}">
                          <a14:useLocalDpi xmlns:a14="http://schemas.microsoft.com/office/drawing/2010/main" val="0"/>
                        </a:ext>
                      </a:extLst>
                    </a:blip>
                    <a:srcRect l="5983" t="7525" r="5939" b="4826"/>
                    <a:stretch/>
                  </pic:blipFill>
                  <pic:spPr bwMode="auto">
                    <a:xfrm>
                      <a:off x="0" y="0"/>
                      <a:ext cx="5472854" cy="4089151"/>
                    </a:xfrm>
                    <a:prstGeom prst="rect">
                      <a:avLst/>
                    </a:prstGeom>
                    <a:noFill/>
                    <a:ln>
                      <a:noFill/>
                    </a:ln>
                    <a:extLst>
                      <a:ext uri="{53640926-AAD7-44D8-BBD7-CCE9431645EC}">
                        <a14:shadowObscured xmlns:a14="http://schemas.microsoft.com/office/drawing/2010/main"/>
                      </a:ext>
                    </a:extLst>
                  </pic:spPr>
                </pic:pic>
              </a:graphicData>
            </a:graphic>
          </wp:inline>
        </w:drawing>
      </w:r>
    </w:p>
    <w:p w14:paraId="28714FAB" w14:textId="4BEA548B" w:rsidR="002D43FB" w:rsidRPr="00F672D1" w:rsidRDefault="002D43FB" w:rsidP="002D43FB">
      <w:pPr>
        <w:pStyle w:val="Heading4"/>
        <w:rPr>
          <w:b/>
        </w:rPr>
      </w:pPr>
      <w:r>
        <w:rPr>
          <w:b/>
        </w:rPr>
        <w:t>Figure S</w:t>
      </w:r>
      <w:r w:rsidR="005B60FD">
        <w:rPr>
          <w:b/>
        </w:rPr>
        <w:t>38</w:t>
      </w:r>
      <w:r w:rsidRPr="00F672D1">
        <w:rPr>
          <w:b/>
        </w:rPr>
        <w:t>.</w:t>
      </w:r>
      <w:r>
        <w:rPr>
          <w:b/>
        </w:rPr>
        <w:t xml:space="preserve"> Effect</w:t>
      </w:r>
      <w:r w:rsidRPr="00F672D1">
        <w:rPr>
          <w:b/>
        </w:rPr>
        <w:t xml:space="preserve"> of</w:t>
      </w:r>
      <w:r>
        <w:rPr>
          <w:b/>
        </w:rPr>
        <w:t xml:space="preserve"> “Open Doors”</w:t>
      </w:r>
      <w:r w:rsidRPr="00F672D1">
        <w:rPr>
          <w:b/>
        </w:rPr>
        <w:t xml:space="preserve"> on </w:t>
      </w:r>
      <w:r>
        <w:rPr>
          <w:b/>
        </w:rPr>
        <w:t>MDR-TB epidemiological outcomes.</w:t>
      </w:r>
    </w:p>
    <w:p w14:paraId="033812A0" w14:textId="200689F6" w:rsidR="00D54110" w:rsidRDefault="008D75C6" w:rsidP="002D43FB">
      <w:pPr>
        <w:pStyle w:val="Heading1"/>
        <w:numPr>
          <w:ilvl w:val="0"/>
          <w:numId w:val="9"/>
        </w:numPr>
      </w:pPr>
      <w:r w:rsidRPr="008D75C6">
        <w:t>Discontinue NGO activities</w:t>
      </w:r>
    </w:p>
    <w:p w14:paraId="192F2B8A" w14:textId="6F8CAFDA" w:rsidR="006E67C1" w:rsidRDefault="008B5E1D" w:rsidP="00462FDB">
      <w:pPr>
        <w:pStyle w:val="Heading3"/>
      </w:pPr>
      <w:r>
        <w:t>Background</w:t>
      </w:r>
    </w:p>
    <w:p w14:paraId="437EBAAB" w14:textId="55B75D0B" w:rsidR="008B5E1D" w:rsidRDefault="00B37F53" w:rsidP="008B5E1D">
      <w:r>
        <w:t xml:space="preserve">Active since </w:t>
      </w:r>
      <w:r w:rsidR="008B5E1D" w:rsidRPr="008B5E1D">
        <w:t>2009, NGOs have been playing an essential role in TB control in Bulgaria. Their TB care activities range from mapping of risk groups, awareness raising, coordinating with local hospitals, field activities, primary TB screening, and providing support to patients under treatment</w:t>
      </w:r>
      <w:r>
        <w:t>,</w:t>
      </w:r>
      <w:r w:rsidR="008B5E1D" w:rsidRPr="008B5E1D">
        <w:t xml:space="preserve"> such as home visits to ensure appropriate use of TB medications of patients and accompanying patients to TB clinic when needed. </w:t>
      </w:r>
      <w:r>
        <w:t>These interventions are</w:t>
      </w:r>
      <w:r w:rsidR="008B5E1D" w:rsidRPr="008B5E1D">
        <w:t xml:space="preserve"> predominantly </w:t>
      </w:r>
      <w:r w:rsidR="00D370B5">
        <w:t xml:space="preserve">undertaken </w:t>
      </w:r>
      <w:r w:rsidR="003162E4">
        <w:t>to support</w:t>
      </w:r>
      <w:r w:rsidR="008B5E1D" w:rsidRPr="008B5E1D">
        <w:t xml:space="preserve"> the Roma community.</w:t>
      </w:r>
    </w:p>
    <w:p w14:paraId="60C3FBEE" w14:textId="6CF9F350" w:rsidR="000549BB" w:rsidRPr="008B5E1D" w:rsidRDefault="000549BB" w:rsidP="000549BB">
      <w:pPr>
        <w:pStyle w:val="Heading3"/>
      </w:pPr>
      <w:r>
        <w:t>Evidence</w:t>
      </w:r>
    </w:p>
    <w:p w14:paraId="34D286DF" w14:textId="423FD636" w:rsidR="008B5E1D" w:rsidRDefault="008B5E1D" w:rsidP="008B5E1D">
      <w:r w:rsidRPr="008B5E1D">
        <w:t xml:space="preserve">To date, published data on the epidemiological impact of NGO activities on TB epidemic </w:t>
      </w:r>
      <w:r w:rsidR="00B37F53">
        <w:t>are</w:t>
      </w:r>
      <w:r w:rsidRPr="008B5E1D">
        <w:t xml:space="preserve"> lacking. Empirical data from the Bulgaria NTP suggest that nationwide in 2016, 1,603 active TB cases were identified, around 30% of them coming from the Roma community (i.e. around 481 Roma TB </w:t>
      </w:r>
      <w:r w:rsidR="003162E4">
        <w:t>patients</w:t>
      </w:r>
      <w:r w:rsidRPr="008B5E1D">
        <w:t xml:space="preserve"> identified in total). NTP data suggest that in 2016, 76 cases of DS-TB </w:t>
      </w:r>
      <w:r w:rsidRPr="008B5E1D">
        <w:lastRenderedPageBreak/>
        <w:t xml:space="preserve">in the Roma community were identified by NGOs. Therefore, we assume that NGOs identified 16% of all Roma TB cases (76/481). In 2016, 2,983 persons with LTBI were identified in Bulgaria. </w:t>
      </w:r>
      <w:r w:rsidR="00B37F53">
        <w:t xml:space="preserve">For </w:t>
      </w:r>
      <w:r w:rsidRPr="008B5E1D">
        <w:t xml:space="preserve">equivalence to the proportion of active TB, we assume that the Roma community represents 30% of the national LTBI burden. That is, around 895 Roma persons with LTBI were identified in Bulgaria in 2016. NTP data suggest that in 2016, 380 persons with LTBI were identified among Roma community by NGOs. Therefore we assume that NGOs </w:t>
      </w:r>
      <w:r w:rsidR="003162E4">
        <w:t xml:space="preserve">were responsible for detecting </w:t>
      </w:r>
      <w:r w:rsidRPr="008B5E1D">
        <w:t xml:space="preserve">42% of all Roma LTBI </w:t>
      </w:r>
      <w:r w:rsidR="003162E4">
        <w:t>patients identified</w:t>
      </w:r>
      <w:r w:rsidRPr="008B5E1D">
        <w:t xml:space="preserve"> (380/895). In addition to identifying TB cases, involvement in TB care and providing support to patients during treatment are other important roles of NGOs. It </w:t>
      </w:r>
      <w:r w:rsidR="00B37F53">
        <w:t>is estimated</w:t>
      </w:r>
      <w:r w:rsidRPr="008B5E1D">
        <w:t xml:space="preserve"> that without the engagement of NGOs in TB care, </w:t>
      </w:r>
      <w:r w:rsidR="003162E4">
        <w:t xml:space="preserve">the </w:t>
      </w:r>
      <w:r w:rsidRPr="008B5E1D">
        <w:t>treatment success rate would have been reduced by 26%</w:t>
      </w:r>
      <w:r w:rsidR="003162E4">
        <w:t>.</w:t>
      </w:r>
    </w:p>
    <w:p w14:paraId="449B9283" w14:textId="3320BA7B" w:rsidR="00B37F53" w:rsidRDefault="00B37F53" w:rsidP="00B37F53">
      <w:pPr>
        <w:pStyle w:val="Heading3"/>
      </w:pPr>
      <w:r>
        <w:t>Implementation</w:t>
      </w:r>
    </w:p>
    <w:p w14:paraId="7BA990B0" w14:textId="2A9327C7" w:rsidR="00B37F53" w:rsidRPr="00B37F53" w:rsidRDefault="002F3486" w:rsidP="00B37F53">
      <w:r>
        <w:t xml:space="preserve">Under this intervention, the Open Doors program ceases, with all the effects described in the previous section also occurring under this scenario. In addition, case detection for the Roma community falls, with the calculation of the new case detection ratio being identical to that described in the previous section, but only applied to the Roma population. </w:t>
      </w:r>
    </w:p>
    <w:p w14:paraId="1B916566" w14:textId="77777777" w:rsidR="006E67C1" w:rsidRDefault="006E67C1" w:rsidP="00462FDB">
      <w:pPr>
        <w:pStyle w:val="Heading3"/>
      </w:pPr>
      <w:r>
        <w:t>Results</w:t>
      </w:r>
    </w:p>
    <w:p w14:paraId="0212B7D5" w14:textId="191CD516" w:rsidR="00356C57" w:rsidRPr="00356C57" w:rsidRDefault="00356C57" w:rsidP="00356C57">
      <w:r>
        <w:t>The results of this scenario are similar to those for discontinuation of the Open Doors program, except that the effect on the Roma community is modestly greater (see Figure 3 of main manuscript).</w:t>
      </w:r>
    </w:p>
    <w:p w14:paraId="6C7C0ECF" w14:textId="786F7D44" w:rsidR="00703B46" w:rsidRDefault="00DA5480" w:rsidP="001C2A3E">
      <w:pPr>
        <w:spacing w:after="0"/>
        <w:jc w:val="left"/>
      </w:pPr>
      <w:r>
        <w:rPr>
          <w:noProof/>
          <w:lang w:val="en-GB" w:eastAsia="en-GB"/>
        </w:rPr>
        <w:lastRenderedPageBreak/>
        <w:drawing>
          <wp:inline distT="0" distB="0" distL="0" distR="0" wp14:anchorId="70819BEE" wp14:editId="48C59F01">
            <wp:extent cx="5101590" cy="3924300"/>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46">
                      <a:extLst>
                        <a:ext uri="{28A0092B-C50C-407E-A947-70E740481C1C}">
                          <a14:useLocalDpi xmlns:a14="http://schemas.microsoft.com/office/drawing/2010/main" val="0"/>
                        </a:ext>
                      </a:extLst>
                    </a:blip>
                    <a:srcRect l="6814" t="7747" r="6769" b="3719"/>
                    <a:stretch/>
                  </pic:blipFill>
                  <pic:spPr bwMode="auto">
                    <a:xfrm>
                      <a:off x="0" y="0"/>
                      <a:ext cx="5102235" cy="3924796"/>
                    </a:xfrm>
                    <a:prstGeom prst="rect">
                      <a:avLst/>
                    </a:prstGeom>
                    <a:noFill/>
                    <a:ln>
                      <a:noFill/>
                    </a:ln>
                    <a:extLst>
                      <a:ext uri="{53640926-AAD7-44D8-BBD7-CCE9431645EC}">
                        <a14:shadowObscured xmlns:a14="http://schemas.microsoft.com/office/drawing/2010/main"/>
                      </a:ext>
                    </a:extLst>
                  </pic:spPr>
                </pic:pic>
              </a:graphicData>
            </a:graphic>
          </wp:inline>
        </w:drawing>
      </w:r>
    </w:p>
    <w:p w14:paraId="106A157B" w14:textId="7B68969A" w:rsidR="00703B46" w:rsidRDefault="00703B46" w:rsidP="003162E4">
      <w:pPr>
        <w:pStyle w:val="Heading4"/>
        <w:rPr>
          <w:b/>
        </w:rPr>
      </w:pPr>
      <w:r w:rsidRPr="003162E4">
        <w:rPr>
          <w:b/>
        </w:rPr>
        <w:t>Figure S</w:t>
      </w:r>
      <w:r w:rsidR="005B60FD">
        <w:rPr>
          <w:b/>
        </w:rPr>
        <w:t>39</w:t>
      </w:r>
      <w:r w:rsidRPr="003162E4">
        <w:rPr>
          <w:b/>
        </w:rPr>
        <w:t xml:space="preserve">. Effects of </w:t>
      </w:r>
      <w:r w:rsidR="00ED101B" w:rsidRPr="003162E4">
        <w:rPr>
          <w:b/>
        </w:rPr>
        <w:t xml:space="preserve">NGO activities </w:t>
      </w:r>
      <w:r w:rsidR="00B61653">
        <w:rPr>
          <w:b/>
        </w:rPr>
        <w:t>on TB epidemic, with uncertainty.</w:t>
      </w:r>
    </w:p>
    <w:p w14:paraId="76668ED9" w14:textId="77777777" w:rsidR="001C2A3E" w:rsidRPr="001C2A3E" w:rsidRDefault="001C2A3E" w:rsidP="001C2A3E"/>
    <w:p w14:paraId="46263D99" w14:textId="60DCEB22" w:rsidR="00263049" w:rsidRDefault="00DA5480" w:rsidP="001C2A3E">
      <w:pPr>
        <w:spacing w:after="0" w:line="276" w:lineRule="auto"/>
        <w:jc w:val="left"/>
      </w:pPr>
      <w:r>
        <w:rPr>
          <w:noProof/>
          <w:lang w:val="en-GB" w:eastAsia="en-GB"/>
        </w:rPr>
        <w:drawing>
          <wp:inline distT="0" distB="0" distL="0" distR="0" wp14:anchorId="02F1C1C6" wp14:editId="2FC4CA81">
            <wp:extent cx="4829175" cy="364257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47">
                      <a:extLst>
                        <a:ext uri="{28A0092B-C50C-407E-A947-70E740481C1C}">
                          <a14:useLocalDpi xmlns:a14="http://schemas.microsoft.com/office/drawing/2010/main" val="0"/>
                        </a:ext>
                      </a:extLst>
                    </a:blip>
                    <a:srcRect l="6315" t="7525" r="6437" b="4826"/>
                    <a:stretch/>
                  </pic:blipFill>
                  <pic:spPr bwMode="auto">
                    <a:xfrm>
                      <a:off x="0" y="0"/>
                      <a:ext cx="4830464" cy="3643550"/>
                    </a:xfrm>
                    <a:prstGeom prst="rect">
                      <a:avLst/>
                    </a:prstGeom>
                    <a:noFill/>
                    <a:ln>
                      <a:noFill/>
                    </a:ln>
                    <a:extLst>
                      <a:ext uri="{53640926-AAD7-44D8-BBD7-CCE9431645EC}">
                        <a14:shadowObscured xmlns:a14="http://schemas.microsoft.com/office/drawing/2010/main"/>
                      </a:ext>
                    </a:extLst>
                  </pic:spPr>
                </pic:pic>
              </a:graphicData>
            </a:graphic>
          </wp:inline>
        </w:drawing>
      </w:r>
    </w:p>
    <w:p w14:paraId="282AC1BD" w14:textId="5461AA8F" w:rsidR="00263049" w:rsidRPr="003162E4" w:rsidRDefault="00263049" w:rsidP="00263049">
      <w:pPr>
        <w:pStyle w:val="Heading4"/>
        <w:rPr>
          <w:b/>
        </w:rPr>
      </w:pPr>
      <w:r>
        <w:rPr>
          <w:b/>
        </w:rPr>
        <w:t>Figure S</w:t>
      </w:r>
      <w:r w:rsidR="005B60FD">
        <w:rPr>
          <w:b/>
        </w:rPr>
        <w:t>40</w:t>
      </w:r>
      <w:r w:rsidRPr="003162E4">
        <w:rPr>
          <w:b/>
        </w:rPr>
        <w:t xml:space="preserve">. Effects of NGO activities on </w:t>
      </w:r>
      <w:r>
        <w:rPr>
          <w:b/>
        </w:rPr>
        <w:t>MDR-</w:t>
      </w:r>
      <w:r w:rsidR="00B61653">
        <w:rPr>
          <w:b/>
        </w:rPr>
        <w:t>TB epidemic, with uncertainty.</w:t>
      </w:r>
    </w:p>
    <w:p w14:paraId="2896C451" w14:textId="0EF4BC0B" w:rsidR="009664F5" w:rsidRDefault="009664F5">
      <w:pPr>
        <w:spacing w:after="200" w:line="276" w:lineRule="auto"/>
        <w:jc w:val="left"/>
        <w:rPr>
          <w:rFonts w:eastAsiaTheme="majorEastAsia" w:cstheme="majorBidi"/>
          <w:b/>
          <w:bCs/>
          <w:color w:val="2E74B5" w:themeColor="accent1" w:themeShade="BF"/>
          <w:sz w:val="32"/>
          <w:szCs w:val="28"/>
        </w:rPr>
      </w:pPr>
    </w:p>
    <w:p w14:paraId="0D5D0D91" w14:textId="5688D0A7" w:rsidR="005B0161" w:rsidRDefault="005B0161" w:rsidP="002D43FB">
      <w:pPr>
        <w:pStyle w:val="Heading1"/>
        <w:numPr>
          <w:ilvl w:val="0"/>
          <w:numId w:val="9"/>
        </w:numPr>
      </w:pPr>
      <w:r>
        <w:lastRenderedPageBreak/>
        <w:t>Intervention uncertainty parameters</w:t>
      </w:r>
    </w:p>
    <w:p w14:paraId="273F0A19" w14:textId="1E3D9511" w:rsidR="0001788E" w:rsidRDefault="00813D9C" w:rsidP="00813D9C">
      <w:r>
        <w:t xml:space="preserve">The following Table </w:t>
      </w:r>
      <w:r w:rsidR="00300900">
        <w:t>summarises</w:t>
      </w:r>
      <w:r>
        <w:t xml:space="preserve"> the uncertainty ranges for the parameter values relevant to specific interventions that are varied in intervention uncertainty. This is achieved with a Latin Hypercube sampling approach, whereby 50 samples are taken without replacement from </w:t>
      </w:r>
      <w:r w:rsidR="00300900">
        <w:t xml:space="preserve">equal divisions of </w:t>
      </w:r>
      <w:r>
        <w:t xml:space="preserve">the range of each parameter </w:t>
      </w:r>
      <w:r w:rsidR="00FF3DF2">
        <w:t>space listed below.</w:t>
      </w:r>
    </w:p>
    <w:p w14:paraId="3B8C69F1" w14:textId="32434294" w:rsidR="001D52C3" w:rsidRPr="001D52C3" w:rsidRDefault="001D52C3" w:rsidP="00813D9C">
      <w:pPr>
        <w:rPr>
          <w:b/>
          <w:bCs/>
        </w:rPr>
      </w:pPr>
      <w:bookmarkStart w:id="28" w:name="_Hlk11268521"/>
      <w:r w:rsidRPr="001D52C3">
        <w:rPr>
          <w:b/>
          <w:bCs/>
        </w:rPr>
        <w:t>Table S4. Uncertainty ranges for parameter values</w:t>
      </w:r>
    </w:p>
    <w:tbl>
      <w:tblPr>
        <w:tblStyle w:val="TableGrid"/>
        <w:tblW w:w="0" w:type="auto"/>
        <w:tblLook w:val="04A0" w:firstRow="1" w:lastRow="0" w:firstColumn="1" w:lastColumn="0" w:noHBand="0" w:noVBand="1"/>
      </w:tblPr>
      <w:tblGrid>
        <w:gridCol w:w="2575"/>
        <w:gridCol w:w="3519"/>
        <w:gridCol w:w="2922"/>
      </w:tblGrid>
      <w:tr w:rsidR="005B0161" w14:paraId="7F52F026" w14:textId="0641B7C3" w:rsidTr="00813D9C">
        <w:tc>
          <w:tcPr>
            <w:tcW w:w="2621" w:type="dxa"/>
          </w:tcPr>
          <w:bookmarkEnd w:id="28"/>
          <w:p w14:paraId="3805BB6C" w14:textId="70A0A810" w:rsidR="005B0161" w:rsidRDefault="005B0161" w:rsidP="005B0161">
            <w:pPr>
              <w:pStyle w:val="Heading3"/>
              <w:outlineLvl w:val="2"/>
            </w:pPr>
            <w:r>
              <w:t>Intervention</w:t>
            </w:r>
          </w:p>
        </w:tc>
        <w:tc>
          <w:tcPr>
            <w:tcW w:w="3625" w:type="dxa"/>
          </w:tcPr>
          <w:p w14:paraId="4EF3F035" w14:textId="13DBA9BD" w:rsidR="005B0161" w:rsidRDefault="005B0161" w:rsidP="005B0161">
            <w:pPr>
              <w:pStyle w:val="Heading3"/>
              <w:outlineLvl w:val="2"/>
            </w:pPr>
            <w:r>
              <w:t>Parameters varied</w:t>
            </w:r>
          </w:p>
        </w:tc>
        <w:tc>
          <w:tcPr>
            <w:tcW w:w="2996" w:type="dxa"/>
          </w:tcPr>
          <w:p w14:paraId="223376D4" w14:textId="5BDA5079" w:rsidR="005B0161" w:rsidRDefault="005B0161" w:rsidP="005B0161">
            <w:pPr>
              <w:pStyle w:val="Heading3"/>
              <w:jc w:val="left"/>
              <w:outlineLvl w:val="2"/>
            </w:pPr>
            <w:r>
              <w:t>Baseline parameter value and uncertainty range</w:t>
            </w:r>
          </w:p>
        </w:tc>
      </w:tr>
      <w:tr w:rsidR="005B0161" w14:paraId="5A392577" w14:textId="2B626554" w:rsidTr="00813D9C">
        <w:tc>
          <w:tcPr>
            <w:tcW w:w="2621" w:type="dxa"/>
            <w:vMerge w:val="restart"/>
          </w:tcPr>
          <w:p w14:paraId="2BD3EC46" w14:textId="596E3688" w:rsidR="005B0161" w:rsidRDefault="00480C48" w:rsidP="005B0161">
            <w:r>
              <w:t xml:space="preserve">1. </w:t>
            </w:r>
            <w:r w:rsidR="0071314A">
              <w:t xml:space="preserve">Short </w:t>
            </w:r>
            <w:r w:rsidR="005B0161">
              <w:t>course MDR-TB regimen</w:t>
            </w:r>
          </w:p>
        </w:tc>
        <w:tc>
          <w:tcPr>
            <w:tcW w:w="3625" w:type="dxa"/>
          </w:tcPr>
          <w:p w14:paraId="7C1C06AD" w14:textId="7E086BAF" w:rsidR="005B0161" w:rsidRDefault="005B0161" w:rsidP="005B0161">
            <w:r>
              <w:t>Treatment success proportion</w:t>
            </w:r>
          </w:p>
        </w:tc>
        <w:tc>
          <w:tcPr>
            <w:tcW w:w="2996" w:type="dxa"/>
          </w:tcPr>
          <w:p w14:paraId="78D617D6" w14:textId="0A9D3D7C" w:rsidR="005B0161" w:rsidRDefault="005B0161" w:rsidP="005B0161">
            <w:r>
              <w:t>89 (80 to 95) %</w:t>
            </w:r>
          </w:p>
        </w:tc>
      </w:tr>
      <w:tr w:rsidR="005B0161" w14:paraId="68937709" w14:textId="485D6228" w:rsidTr="00813D9C">
        <w:tc>
          <w:tcPr>
            <w:tcW w:w="2621" w:type="dxa"/>
            <w:vMerge/>
          </w:tcPr>
          <w:p w14:paraId="5D5F216B" w14:textId="77777777" w:rsidR="005B0161" w:rsidRDefault="005B0161" w:rsidP="005B0161"/>
        </w:tc>
        <w:tc>
          <w:tcPr>
            <w:tcW w:w="3625" w:type="dxa"/>
          </w:tcPr>
          <w:p w14:paraId="2591E1E3" w14:textId="5CF626D2" w:rsidR="005B0161" w:rsidRDefault="005B0161" w:rsidP="005B0161">
            <w:r>
              <w:t>Treatment duration</w:t>
            </w:r>
          </w:p>
        </w:tc>
        <w:tc>
          <w:tcPr>
            <w:tcW w:w="2996" w:type="dxa"/>
          </w:tcPr>
          <w:p w14:paraId="418B6449" w14:textId="0647AEE7" w:rsidR="005B0161" w:rsidRDefault="005B0161" w:rsidP="005B0161">
            <w:r>
              <w:t>11 (9 to 15) months</w:t>
            </w:r>
          </w:p>
        </w:tc>
      </w:tr>
      <w:tr w:rsidR="006A40BB" w14:paraId="1F669210" w14:textId="1B931080" w:rsidTr="00813D9C">
        <w:tc>
          <w:tcPr>
            <w:tcW w:w="2621" w:type="dxa"/>
            <w:vMerge w:val="restart"/>
          </w:tcPr>
          <w:p w14:paraId="7C4A8F99" w14:textId="27AF26A9" w:rsidR="006A40BB" w:rsidRDefault="006A40BB" w:rsidP="005B0161">
            <w:r>
              <w:t>2. Scale-up DST coverage</w:t>
            </w:r>
          </w:p>
        </w:tc>
        <w:tc>
          <w:tcPr>
            <w:tcW w:w="3625" w:type="dxa"/>
          </w:tcPr>
          <w:p w14:paraId="5373E009" w14:textId="5E655DD1" w:rsidR="006A40BB" w:rsidRDefault="006A40BB" w:rsidP="006A40BB">
            <w:r>
              <w:t>Proportion of smear-positive patients for whom cultures can be obtained</w:t>
            </w:r>
          </w:p>
        </w:tc>
        <w:tc>
          <w:tcPr>
            <w:tcW w:w="2996" w:type="dxa"/>
          </w:tcPr>
          <w:p w14:paraId="73ECB904" w14:textId="6A3B2AAF" w:rsidR="006A40BB" w:rsidRDefault="007A1453" w:rsidP="005B0161">
            <w:r>
              <w:t>95 (9</w:t>
            </w:r>
            <w:r w:rsidR="00E864A2">
              <w:t>0 to 100) %</w:t>
            </w:r>
          </w:p>
        </w:tc>
      </w:tr>
      <w:tr w:rsidR="006A40BB" w14:paraId="2DCDE11A" w14:textId="77777777" w:rsidTr="00813D9C">
        <w:tc>
          <w:tcPr>
            <w:tcW w:w="2621" w:type="dxa"/>
            <w:vMerge/>
          </w:tcPr>
          <w:p w14:paraId="41D34D34" w14:textId="77777777" w:rsidR="006A40BB" w:rsidRDefault="006A40BB" w:rsidP="005B0161"/>
        </w:tc>
        <w:tc>
          <w:tcPr>
            <w:tcW w:w="3625" w:type="dxa"/>
          </w:tcPr>
          <w:p w14:paraId="62459749" w14:textId="44B68C6B" w:rsidR="006A40BB" w:rsidRDefault="006A40BB" w:rsidP="005B0161">
            <w:r>
              <w:t>Proportion of smear-negative patients for whom cultures can be obtained</w:t>
            </w:r>
          </w:p>
        </w:tc>
        <w:tc>
          <w:tcPr>
            <w:tcW w:w="2996" w:type="dxa"/>
          </w:tcPr>
          <w:p w14:paraId="22C9ABBB" w14:textId="0D1EB6B8" w:rsidR="006A40BB" w:rsidRDefault="006A40BB" w:rsidP="006778DD">
            <w:r>
              <w:t>50 (</w:t>
            </w:r>
            <w:r w:rsidR="006778DD">
              <w:t>35 to 7</w:t>
            </w:r>
            <w:r>
              <w:t>0) %</w:t>
            </w:r>
          </w:p>
        </w:tc>
      </w:tr>
      <w:tr w:rsidR="005B0161" w14:paraId="7803984E" w14:textId="5B82C956" w:rsidTr="00813D9C">
        <w:tc>
          <w:tcPr>
            <w:tcW w:w="2621" w:type="dxa"/>
          </w:tcPr>
          <w:p w14:paraId="3CFE2CA8" w14:textId="7AB5A1A3" w:rsidR="005B0161" w:rsidRDefault="00480C48" w:rsidP="005B0161">
            <w:r>
              <w:t xml:space="preserve">3. </w:t>
            </w:r>
            <w:r w:rsidRPr="00480C48">
              <w:t>Scale-up food vouchers to reach all patients under treatment</w:t>
            </w:r>
          </w:p>
        </w:tc>
        <w:tc>
          <w:tcPr>
            <w:tcW w:w="3625" w:type="dxa"/>
          </w:tcPr>
          <w:p w14:paraId="7E03EF63" w14:textId="1A35BBEB" w:rsidR="005B0161" w:rsidRDefault="008942C6" w:rsidP="005B0161">
            <w:r>
              <w:t>Proportional reduction in unsuccessful treatment outcomes</w:t>
            </w:r>
          </w:p>
        </w:tc>
        <w:tc>
          <w:tcPr>
            <w:tcW w:w="2996" w:type="dxa"/>
          </w:tcPr>
          <w:p w14:paraId="4372BDE3" w14:textId="46866D36" w:rsidR="005B0161" w:rsidRDefault="0080046D" w:rsidP="005B0161">
            <w:r>
              <w:t>43 (4</w:t>
            </w:r>
            <w:r w:rsidR="008942C6">
              <w:t>0 to 60) %</w:t>
            </w:r>
          </w:p>
        </w:tc>
      </w:tr>
      <w:tr w:rsidR="008942C6" w14:paraId="16CA83B1" w14:textId="23EB788C" w:rsidTr="00C171F0">
        <w:tc>
          <w:tcPr>
            <w:tcW w:w="2621" w:type="dxa"/>
          </w:tcPr>
          <w:p w14:paraId="3CF6E564" w14:textId="47FB6128" w:rsidR="008942C6" w:rsidRDefault="008942C6" w:rsidP="00480C48">
            <w:r>
              <w:t>4. Implement ambulatory care for smear-negative and extrapulmonary DS-TB</w:t>
            </w:r>
          </w:p>
        </w:tc>
        <w:tc>
          <w:tcPr>
            <w:tcW w:w="6621" w:type="dxa"/>
            <w:gridSpan w:val="2"/>
          </w:tcPr>
          <w:p w14:paraId="1B7C467D" w14:textId="30F4E977" w:rsidR="008942C6" w:rsidRDefault="008942C6" w:rsidP="005B0161">
            <w:r>
              <w:t>Not applicable</w:t>
            </w:r>
          </w:p>
        </w:tc>
      </w:tr>
      <w:tr w:rsidR="00480C48" w14:paraId="7E83E0E0" w14:textId="77777777" w:rsidTr="00813D9C">
        <w:tc>
          <w:tcPr>
            <w:tcW w:w="2621" w:type="dxa"/>
          </w:tcPr>
          <w:p w14:paraId="67112DBB" w14:textId="3E0ED5FA" w:rsidR="00480C48" w:rsidRDefault="007F7A07" w:rsidP="000201B9">
            <w:r>
              <w:t xml:space="preserve">5. </w:t>
            </w:r>
            <w:r w:rsidR="000201B9">
              <w:t>Discontinue Open Doors intervention</w:t>
            </w:r>
          </w:p>
        </w:tc>
        <w:tc>
          <w:tcPr>
            <w:tcW w:w="3625" w:type="dxa"/>
          </w:tcPr>
          <w:p w14:paraId="19144FB4" w14:textId="3F8ACA84" w:rsidR="00480C48" w:rsidRDefault="00874E83" w:rsidP="005B0161">
            <w:r>
              <w:t>Proportion of all case detection contributed by the Open Doors program</w:t>
            </w:r>
          </w:p>
        </w:tc>
        <w:tc>
          <w:tcPr>
            <w:tcW w:w="2996" w:type="dxa"/>
          </w:tcPr>
          <w:p w14:paraId="3B426E07" w14:textId="6624C248" w:rsidR="00480C48" w:rsidRDefault="002D3B95" w:rsidP="005B0161">
            <w:r>
              <w:t>8 (5 to 12) %</w:t>
            </w:r>
          </w:p>
        </w:tc>
      </w:tr>
      <w:tr w:rsidR="00874E83" w14:paraId="729922D8" w14:textId="77777777" w:rsidTr="00813D9C">
        <w:tc>
          <w:tcPr>
            <w:tcW w:w="2621" w:type="dxa"/>
            <w:vMerge w:val="restart"/>
          </w:tcPr>
          <w:p w14:paraId="2456E584" w14:textId="5FA1892A" w:rsidR="00874E83" w:rsidRDefault="00874E83" w:rsidP="005B0161">
            <w:r>
              <w:lastRenderedPageBreak/>
              <w:t>6. Discontinue NGO activities</w:t>
            </w:r>
          </w:p>
        </w:tc>
        <w:tc>
          <w:tcPr>
            <w:tcW w:w="3625" w:type="dxa"/>
          </w:tcPr>
          <w:p w14:paraId="34AFC143" w14:textId="66A66A1C" w:rsidR="00874E83" w:rsidRDefault="00874E83" w:rsidP="00874E83">
            <w:r>
              <w:t>Proportion of all case detection contributed by the Open Doors program</w:t>
            </w:r>
          </w:p>
        </w:tc>
        <w:tc>
          <w:tcPr>
            <w:tcW w:w="2996" w:type="dxa"/>
          </w:tcPr>
          <w:p w14:paraId="5595E5AE" w14:textId="3D6D13B8" w:rsidR="00874E83" w:rsidRDefault="002D3B95" w:rsidP="005B0161">
            <w:r>
              <w:t>8 (5 to 12) %</w:t>
            </w:r>
          </w:p>
        </w:tc>
      </w:tr>
      <w:tr w:rsidR="00874E83" w14:paraId="7057BF03" w14:textId="77777777" w:rsidTr="00813D9C">
        <w:tc>
          <w:tcPr>
            <w:tcW w:w="2621" w:type="dxa"/>
            <w:vMerge/>
          </w:tcPr>
          <w:p w14:paraId="0176D89E" w14:textId="77777777" w:rsidR="00874E83" w:rsidRDefault="00874E83" w:rsidP="005B0161"/>
        </w:tc>
        <w:tc>
          <w:tcPr>
            <w:tcW w:w="3625" w:type="dxa"/>
          </w:tcPr>
          <w:p w14:paraId="4760E34A" w14:textId="6851BA6B" w:rsidR="00874E83" w:rsidRDefault="00874E83" w:rsidP="00874E83">
            <w:r>
              <w:t>Proportion of case detection in Roma communities contributed by NGOs</w:t>
            </w:r>
          </w:p>
        </w:tc>
        <w:tc>
          <w:tcPr>
            <w:tcW w:w="2996" w:type="dxa"/>
          </w:tcPr>
          <w:p w14:paraId="6AFC6912" w14:textId="2164FD6A" w:rsidR="00874E83" w:rsidRDefault="002D3B95" w:rsidP="005B0161">
            <w:r>
              <w:t>25 (15 to 35) %</w:t>
            </w:r>
          </w:p>
        </w:tc>
      </w:tr>
    </w:tbl>
    <w:p w14:paraId="792322B9" w14:textId="77777777" w:rsidR="005B0161" w:rsidRPr="005B0161" w:rsidRDefault="005B0161" w:rsidP="005B0161"/>
    <w:p w14:paraId="276B6529" w14:textId="77777777" w:rsidR="00C95035" w:rsidRDefault="00C95035">
      <w:pPr>
        <w:spacing w:after="200" w:line="276" w:lineRule="auto"/>
        <w:jc w:val="left"/>
        <w:rPr>
          <w:rFonts w:eastAsiaTheme="majorEastAsia" w:cstheme="majorBidi"/>
          <w:b/>
          <w:bCs/>
          <w:color w:val="2E74B5" w:themeColor="accent1" w:themeShade="BF"/>
          <w:sz w:val="32"/>
          <w:szCs w:val="28"/>
        </w:rPr>
      </w:pPr>
      <w:r>
        <w:br w:type="page"/>
      </w:r>
    </w:p>
    <w:p w14:paraId="7C0EA2CA" w14:textId="3E8C4CCF" w:rsidR="001D6DBB" w:rsidRDefault="00547597" w:rsidP="002D43FB">
      <w:pPr>
        <w:pStyle w:val="Heading1"/>
        <w:numPr>
          <w:ilvl w:val="0"/>
          <w:numId w:val="9"/>
        </w:numPr>
      </w:pPr>
      <w:r>
        <w:lastRenderedPageBreak/>
        <w:t>References</w:t>
      </w:r>
    </w:p>
    <w:p w14:paraId="4593C452" w14:textId="180904F1" w:rsidR="00583138" w:rsidRPr="00583138" w:rsidRDefault="00CF047C" w:rsidP="00583138">
      <w:pPr>
        <w:widowControl w:val="0"/>
        <w:autoSpaceDE w:val="0"/>
        <w:autoSpaceDN w:val="0"/>
        <w:adjustRightInd w:val="0"/>
        <w:ind w:left="640" w:hanging="640"/>
        <w:rPr>
          <w:rFonts w:cs="Times New Roman"/>
          <w:noProof/>
          <w:szCs w:val="24"/>
        </w:rPr>
      </w:pPr>
      <w:r>
        <w:fldChar w:fldCharType="begin" w:fldLock="1"/>
      </w:r>
      <w:r>
        <w:instrText xml:space="preserve">ADDIN Mendeley Bibliography CSL_BIBLIOGRAPHY </w:instrText>
      </w:r>
      <w:r>
        <w:fldChar w:fldCharType="separate"/>
      </w:r>
      <w:r w:rsidR="00583138" w:rsidRPr="00583138">
        <w:rPr>
          <w:rFonts w:cs="Times New Roman"/>
          <w:noProof/>
          <w:szCs w:val="24"/>
        </w:rPr>
        <w:t>1.</w:t>
      </w:r>
      <w:r w:rsidR="00583138" w:rsidRPr="00583138">
        <w:rPr>
          <w:rFonts w:cs="Times New Roman"/>
          <w:noProof/>
          <w:szCs w:val="24"/>
        </w:rPr>
        <w:tab/>
      </w:r>
      <w:r w:rsidR="00583138" w:rsidRPr="008B2EB5">
        <w:rPr>
          <w:rFonts w:cs="Times New Roman"/>
          <w:b/>
          <w:noProof/>
          <w:szCs w:val="24"/>
        </w:rPr>
        <w:t>Trauer</w:t>
      </w:r>
      <w:r w:rsidR="008B2EB5" w:rsidRPr="008B2EB5">
        <w:rPr>
          <w:rFonts w:cs="Times New Roman"/>
          <w:b/>
          <w:noProof/>
          <w:szCs w:val="24"/>
        </w:rPr>
        <w:t xml:space="preserve"> </w:t>
      </w:r>
      <w:r w:rsidR="00583138" w:rsidRPr="008B2EB5">
        <w:rPr>
          <w:rFonts w:cs="Times New Roman"/>
          <w:b/>
          <w:noProof/>
          <w:szCs w:val="24"/>
        </w:rPr>
        <w:t>JM</w:t>
      </w:r>
      <w:r w:rsidR="008B2EB5" w:rsidRPr="008B2EB5">
        <w:rPr>
          <w:rFonts w:cs="Times New Roman"/>
          <w:b/>
          <w:noProof/>
          <w:szCs w:val="24"/>
        </w:rPr>
        <w:t xml:space="preserve"> </w:t>
      </w:r>
      <w:r w:rsidR="008B2EB5" w:rsidRPr="008B2EB5">
        <w:rPr>
          <w:rFonts w:cs="Times New Roman"/>
          <w:b/>
          <w:i/>
          <w:noProof/>
          <w:szCs w:val="24"/>
        </w:rPr>
        <w:t>et al</w:t>
      </w:r>
      <w:r w:rsidR="00583138" w:rsidRPr="008B2EB5">
        <w:rPr>
          <w:rFonts w:cs="Times New Roman"/>
          <w:b/>
          <w:noProof/>
          <w:szCs w:val="24"/>
        </w:rPr>
        <w:t>.</w:t>
      </w:r>
      <w:r w:rsidR="00583138" w:rsidRPr="00583138">
        <w:rPr>
          <w:rFonts w:cs="Times New Roman"/>
          <w:noProof/>
          <w:szCs w:val="24"/>
        </w:rPr>
        <w:t xml:space="preserve"> </w:t>
      </w:r>
      <w:r w:rsidR="008B2EB5">
        <w:rPr>
          <w:rFonts w:cs="Times New Roman"/>
          <w:noProof/>
          <w:szCs w:val="24"/>
        </w:rPr>
        <w:t xml:space="preserve">(2017) </w:t>
      </w:r>
      <w:r w:rsidR="00583138" w:rsidRPr="00583138">
        <w:rPr>
          <w:rFonts w:cs="Times New Roman"/>
          <w:noProof/>
          <w:szCs w:val="24"/>
        </w:rPr>
        <w:t xml:space="preserve">Modular programming for tuberculosis control, the “AuTuMN” platform. </w:t>
      </w:r>
      <w:r w:rsidR="00583138" w:rsidRPr="00583138">
        <w:rPr>
          <w:rFonts w:cs="Times New Roman"/>
          <w:i/>
          <w:iCs/>
          <w:noProof/>
          <w:szCs w:val="24"/>
        </w:rPr>
        <w:t>BMC Infect</w:t>
      </w:r>
      <w:r w:rsidR="008B2EB5">
        <w:rPr>
          <w:rFonts w:cs="Times New Roman"/>
          <w:i/>
          <w:iCs/>
          <w:noProof/>
          <w:szCs w:val="24"/>
        </w:rPr>
        <w:t>ious</w:t>
      </w:r>
      <w:r w:rsidR="00583138" w:rsidRPr="00583138">
        <w:rPr>
          <w:rFonts w:cs="Times New Roman"/>
          <w:i/>
          <w:iCs/>
          <w:noProof/>
          <w:szCs w:val="24"/>
        </w:rPr>
        <w:t xml:space="preserve"> Dis</w:t>
      </w:r>
      <w:r w:rsidR="008B2EB5">
        <w:rPr>
          <w:rFonts w:cs="Times New Roman"/>
          <w:i/>
          <w:iCs/>
          <w:noProof/>
          <w:szCs w:val="24"/>
        </w:rPr>
        <w:t>eases</w:t>
      </w:r>
      <w:r w:rsidR="00583138" w:rsidRPr="00583138">
        <w:rPr>
          <w:rFonts w:cs="Times New Roman"/>
          <w:noProof/>
          <w:szCs w:val="24"/>
        </w:rPr>
        <w:t xml:space="preserve"> </w:t>
      </w:r>
      <w:r w:rsidR="00583138" w:rsidRPr="00583138">
        <w:rPr>
          <w:rFonts w:cs="Times New Roman"/>
          <w:b/>
          <w:bCs/>
          <w:noProof/>
          <w:szCs w:val="24"/>
        </w:rPr>
        <w:t>17,</w:t>
      </w:r>
      <w:r w:rsidR="00583138" w:rsidRPr="00583138">
        <w:rPr>
          <w:rFonts w:cs="Times New Roman"/>
          <w:noProof/>
          <w:szCs w:val="24"/>
        </w:rPr>
        <w:t xml:space="preserve"> 546.</w:t>
      </w:r>
    </w:p>
    <w:p w14:paraId="50DF4532" w14:textId="1C1EA6E2"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2.</w:t>
      </w:r>
      <w:r w:rsidRPr="00583138">
        <w:rPr>
          <w:rFonts w:cs="Times New Roman"/>
          <w:noProof/>
          <w:szCs w:val="24"/>
        </w:rPr>
        <w:tab/>
      </w:r>
      <w:r w:rsidRPr="008B2EB5">
        <w:rPr>
          <w:rFonts w:cs="Times New Roman"/>
          <w:b/>
          <w:noProof/>
          <w:szCs w:val="24"/>
        </w:rPr>
        <w:t>Borissova</w:t>
      </w:r>
      <w:r w:rsidR="008B2EB5" w:rsidRPr="008B2EB5">
        <w:rPr>
          <w:rFonts w:cs="Times New Roman"/>
          <w:b/>
          <w:noProof/>
          <w:szCs w:val="24"/>
        </w:rPr>
        <w:t xml:space="preserve"> </w:t>
      </w:r>
      <w:r w:rsidRPr="008B2EB5">
        <w:rPr>
          <w:rFonts w:cs="Times New Roman"/>
          <w:b/>
          <w:noProof/>
          <w:szCs w:val="24"/>
        </w:rPr>
        <w:t xml:space="preserve">A-M </w:t>
      </w:r>
      <w:r w:rsidRPr="008B2EB5">
        <w:rPr>
          <w:rFonts w:cs="Times New Roman"/>
          <w:b/>
          <w:i/>
          <w:iCs/>
          <w:noProof/>
          <w:szCs w:val="24"/>
        </w:rPr>
        <w:t>et al.</w:t>
      </w:r>
      <w:r w:rsidRPr="00583138">
        <w:rPr>
          <w:rFonts w:cs="Times New Roman"/>
          <w:noProof/>
          <w:szCs w:val="24"/>
        </w:rPr>
        <w:t xml:space="preserve"> </w:t>
      </w:r>
      <w:r w:rsidR="008B2EB5">
        <w:rPr>
          <w:rFonts w:cs="Times New Roman"/>
          <w:noProof/>
          <w:szCs w:val="24"/>
        </w:rPr>
        <w:t xml:space="preserve">(2015) </w:t>
      </w:r>
      <w:r w:rsidRPr="00583138">
        <w:rPr>
          <w:rFonts w:cs="Times New Roman"/>
          <w:noProof/>
          <w:szCs w:val="24"/>
        </w:rPr>
        <w:t xml:space="preserve">Changes in the prevalence of diabetes mellitus in bulgaria (2006-2012). </w:t>
      </w:r>
      <w:r w:rsidR="008B2EB5" w:rsidRPr="008B2EB5">
        <w:rPr>
          <w:rFonts w:cs="Times New Roman"/>
          <w:i/>
          <w:noProof/>
          <w:szCs w:val="24"/>
        </w:rPr>
        <w:t>Clinical Medicine Insights: Endocrinology and Diabetes</w:t>
      </w:r>
      <w:r w:rsidR="008B2EB5" w:rsidRPr="008B2EB5">
        <w:rPr>
          <w:rFonts w:cs="Times New Roman"/>
          <w:noProof/>
          <w:szCs w:val="24"/>
        </w:rPr>
        <w:t xml:space="preserve"> </w:t>
      </w:r>
      <w:r w:rsidRPr="00583138">
        <w:rPr>
          <w:rFonts w:cs="Times New Roman"/>
          <w:b/>
          <w:bCs/>
          <w:noProof/>
          <w:szCs w:val="24"/>
        </w:rPr>
        <w:t>8,</w:t>
      </w:r>
      <w:r w:rsidRPr="00583138">
        <w:rPr>
          <w:rFonts w:cs="Times New Roman"/>
          <w:noProof/>
          <w:szCs w:val="24"/>
        </w:rPr>
        <w:t xml:space="preserve"> 41–</w:t>
      </w:r>
      <w:r w:rsidR="008B2EB5">
        <w:rPr>
          <w:rFonts w:cs="Times New Roman"/>
          <w:noProof/>
          <w:szCs w:val="24"/>
        </w:rPr>
        <w:t>4</w:t>
      </w:r>
      <w:r w:rsidRPr="00583138">
        <w:rPr>
          <w:rFonts w:cs="Times New Roman"/>
          <w:noProof/>
          <w:szCs w:val="24"/>
        </w:rPr>
        <w:t>5.</w:t>
      </w:r>
    </w:p>
    <w:p w14:paraId="206E6CFA" w14:textId="04322A25"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3.</w:t>
      </w:r>
      <w:r w:rsidRPr="00583138">
        <w:rPr>
          <w:rFonts w:cs="Times New Roman"/>
          <w:noProof/>
          <w:szCs w:val="24"/>
        </w:rPr>
        <w:tab/>
      </w:r>
      <w:r w:rsidRPr="008B2EB5">
        <w:rPr>
          <w:rFonts w:cs="Times New Roman"/>
          <w:b/>
          <w:noProof/>
          <w:szCs w:val="24"/>
        </w:rPr>
        <w:t xml:space="preserve">The World Bank. </w:t>
      </w:r>
      <w:r w:rsidRPr="00583138">
        <w:rPr>
          <w:rFonts w:cs="Times New Roman"/>
          <w:noProof/>
          <w:szCs w:val="24"/>
        </w:rPr>
        <w:t xml:space="preserve">World </w:t>
      </w:r>
      <w:r w:rsidR="008B2EB5">
        <w:rPr>
          <w:rFonts w:cs="Times New Roman"/>
          <w:noProof/>
          <w:szCs w:val="24"/>
        </w:rPr>
        <w:t>d</w:t>
      </w:r>
      <w:r w:rsidRPr="00583138">
        <w:rPr>
          <w:rFonts w:cs="Times New Roman"/>
          <w:noProof/>
          <w:szCs w:val="24"/>
        </w:rPr>
        <w:t xml:space="preserve">evelopment </w:t>
      </w:r>
      <w:r w:rsidR="008B2EB5">
        <w:rPr>
          <w:rFonts w:cs="Times New Roman"/>
          <w:noProof/>
          <w:szCs w:val="24"/>
        </w:rPr>
        <w:t>i</w:t>
      </w:r>
      <w:r w:rsidRPr="00583138">
        <w:rPr>
          <w:rFonts w:cs="Times New Roman"/>
          <w:noProof/>
          <w:szCs w:val="24"/>
        </w:rPr>
        <w:t>ndicators. Available at: http://databank.worldbank.org/data/reports.aspx?source=world-development-indicators. (Accessed: 27th February 2017)</w:t>
      </w:r>
    </w:p>
    <w:p w14:paraId="4757762E" w14:textId="4F4585CA"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4.</w:t>
      </w:r>
      <w:r w:rsidRPr="00583138">
        <w:rPr>
          <w:rFonts w:cs="Times New Roman"/>
          <w:noProof/>
          <w:szCs w:val="24"/>
        </w:rPr>
        <w:tab/>
      </w:r>
      <w:r w:rsidR="008B2EB5" w:rsidRPr="008B2EB5">
        <w:rPr>
          <w:rFonts w:cs="Times New Roman"/>
          <w:b/>
          <w:noProof/>
          <w:szCs w:val="24"/>
        </w:rPr>
        <w:t xml:space="preserve">The </w:t>
      </w:r>
      <w:r w:rsidRPr="008B2EB5">
        <w:rPr>
          <w:rFonts w:cs="Times New Roman"/>
          <w:b/>
          <w:noProof/>
          <w:szCs w:val="24"/>
        </w:rPr>
        <w:t>World Bank</w:t>
      </w:r>
      <w:r w:rsidRPr="00583138">
        <w:rPr>
          <w:rFonts w:cs="Times New Roman"/>
          <w:noProof/>
          <w:szCs w:val="24"/>
        </w:rPr>
        <w:t>. Life expectancy at birth. Available at: http://data.worldbank.org/indicator/SP.DYN.LE00.IN. (Accessed: 19th June 2017)</w:t>
      </w:r>
    </w:p>
    <w:p w14:paraId="015DA7DE" w14:textId="405DBDCB"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5.</w:t>
      </w:r>
      <w:r w:rsidRPr="00583138">
        <w:rPr>
          <w:rFonts w:cs="Times New Roman"/>
          <w:noProof/>
          <w:szCs w:val="24"/>
        </w:rPr>
        <w:tab/>
      </w:r>
      <w:r w:rsidRPr="008B2EB5">
        <w:rPr>
          <w:rFonts w:cs="Times New Roman"/>
          <w:b/>
          <w:noProof/>
          <w:szCs w:val="24"/>
        </w:rPr>
        <w:t>Andrews</w:t>
      </w:r>
      <w:r w:rsidR="008B2EB5" w:rsidRPr="008B2EB5">
        <w:rPr>
          <w:rFonts w:cs="Times New Roman"/>
          <w:b/>
          <w:noProof/>
          <w:szCs w:val="24"/>
        </w:rPr>
        <w:t xml:space="preserve"> </w:t>
      </w:r>
      <w:r w:rsidRPr="008B2EB5">
        <w:rPr>
          <w:rFonts w:cs="Times New Roman"/>
          <w:b/>
          <w:noProof/>
          <w:szCs w:val="24"/>
        </w:rPr>
        <w:t xml:space="preserve">JR </w:t>
      </w:r>
      <w:r w:rsidRPr="008B2EB5">
        <w:rPr>
          <w:rFonts w:cs="Times New Roman"/>
          <w:b/>
          <w:i/>
          <w:iCs/>
          <w:noProof/>
          <w:szCs w:val="24"/>
        </w:rPr>
        <w:t>et al.</w:t>
      </w:r>
      <w:r w:rsidRPr="00583138">
        <w:rPr>
          <w:rFonts w:cs="Times New Roman"/>
          <w:noProof/>
          <w:szCs w:val="24"/>
        </w:rPr>
        <w:t xml:space="preserve"> </w:t>
      </w:r>
      <w:r w:rsidR="008B2EB5">
        <w:rPr>
          <w:rFonts w:cs="Times New Roman"/>
          <w:noProof/>
          <w:szCs w:val="24"/>
        </w:rPr>
        <w:t xml:space="preserve">(2012) </w:t>
      </w:r>
      <w:r w:rsidRPr="00583138">
        <w:rPr>
          <w:rFonts w:cs="Times New Roman"/>
          <w:noProof/>
          <w:szCs w:val="24"/>
        </w:rPr>
        <w:t xml:space="preserve">Risk of progression to active tuberculosis following reinfection with Mycobacterium tuberculosis. </w:t>
      </w:r>
      <w:r w:rsidRPr="00583138">
        <w:rPr>
          <w:rFonts w:cs="Times New Roman"/>
          <w:i/>
          <w:iCs/>
          <w:noProof/>
          <w:szCs w:val="24"/>
        </w:rPr>
        <w:t>Clin</w:t>
      </w:r>
      <w:r w:rsidR="008B2EB5">
        <w:rPr>
          <w:rFonts w:cs="Times New Roman"/>
          <w:i/>
          <w:iCs/>
          <w:noProof/>
          <w:szCs w:val="24"/>
        </w:rPr>
        <w:t>ical</w:t>
      </w:r>
      <w:r w:rsidRPr="00583138">
        <w:rPr>
          <w:rFonts w:cs="Times New Roman"/>
          <w:i/>
          <w:iCs/>
          <w:noProof/>
          <w:szCs w:val="24"/>
        </w:rPr>
        <w:t xml:space="preserve"> Infect</w:t>
      </w:r>
      <w:r w:rsidR="008B2EB5">
        <w:rPr>
          <w:rFonts w:cs="Times New Roman"/>
          <w:i/>
          <w:iCs/>
          <w:noProof/>
          <w:szCs w:val="24"/>
        </w:rPr>
        <w:t>ious</w:t>
      </w:r>
      <w:r w:rsidRPr="00583138">
        <w:rPr>
          <w:rFonts w:cs="Times New Roman"/>
          <w:i/>
          <w:iCs/>
          <w:noProof/>
          <w:szCs w:val="24"/>
        </w:rPr>
        <w:t xml:space="preserve"> Dis</w:t>
      </w:r>
      <w:r w:rsidR="008B2EB5">
        <w:rPr>
          <w:rFonts w:cs="Times New Roman"/>
          <w:i/>
          <w:iCs/>
          <w:noProof/>
          <w:szCs w:val="24"/>
        </w:rPr>
        <w:t>eases</w:t>
      </w:r>
      <w:r w:rsidRPr="00583138">
        <w:rPr>
          <w:rFonts w:cs="Times New Roman"/>
          <w:noProof/>
          <w:szCs w:val="24"/>
        </w:rPr>
        <w:t xml:space="preserve"> </w:t>
      </w:r>
      <w:r w:rsidRPr="00583138">
        <w:rPr>
          <w:rFonts w:cs="Times New Roman"/>
          <w:b/>
          <w:bCs/>
          <w:noProof/>
          <w:szCs w:val="24"/>
        </w:rPr>
        <w:t>54,</w:t>
      </w:r>
      <w:r w:rsidRPr="00583138">
        <w:rPr>
          <w:rFonts w:cs="Times New Roman"/>
          <w:noProof/>
          <w:szCs w:val="24"/>
        </w:rPr>
        <w:t xml:space="preserve"> 784–79</w:t>
      </w:r>
      <w:r w:rsidR="008B2EB5">
        <w:rPr>
          <w:rFonts w:cs="Times New Roman"/>
          <w:noProof/>
          <w:szCs w:val="24"/>
        </w:rPr>
        <w:t>1</w:t>
      </w:r>
      <w:r w:rsidRPr="00583138">
        <w:rPr>
          <w:rFonts w:cs="Times New Roman"/>
          <w:noProof/>
          <w:szCs w:val="24"/>
        </w:rPr>
        <w:t>.</w:t>
      </w:r>
    </w:p>
    <w:p w14:paraId="00FDAB5F" w14:textId="4D2EA5EE"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6.</w:t>
      </w:r>
      <w:r w:rsidRPr="00583138">
        <w:rPr>
          <w:rFonts w:cs="Times New Roman"/>
          <w:noProof/>
          <w:szCs w:val="24"/>
        </w:rPr>
        <w:tab/>
      </w:r>
      <w:r w:rsidRPr="008B2EB5">
        <w:rPr>
          <w:rFonts w:cs="Times New Roman"/>
          <w:b/>
          <w:noProof/>
          <w:szCs w:val="24"/>
        </w:rPr>
        <w:t>Verver</w:t>
      </w:r>
      <w:r w:rsidR="008B2EB5" w:rsidRPr="008B2EB5">
        <w:rPr>
          <w:rFonts w:cs="Times New Roman"/>
          <w:b/>
          <w:noProof/>
          <w:szCs w:val="24"/>
        </w:rPr>
        <w:t xml:space="preserve"> </w:t>
      </w:r>
      <w:r w:rsidRPr="008B2EB5">
        <w:rPr>
          <w:rFonts w:cs="Times New Roman"/>
          <w:b/>
          <w:noProof/>
          <w:szCs w:val="24"/>
        </w:rPr>
        <w:t xml:space="preserve">S </w:t>
      </w:r>
      <w:r w:rsidRPr="008B2EB5">
        <w:rPr>
          <w:rFonts w:cs="Times New Roman"/>
          <w:b/>
          <w:i/>
          <w:iCs/>
          <w:noProof/>
          <w:szCs w:val="24"/>
        </w:rPr>
        <w:t>et al.</w:t>
      </w:r>
      <w:r w:rsidRPr="00583138">
        <w:rPr>
          <w:rFonts w:cs="Times New Roman"/>
          <w:noProof/>
          <w:szCs w:val="24"/>
        </w:rPr>
        <w:t xml:space="preserve"> </w:t>
      </w:r>
      <w:r w:rsidR="008B2EB5">
        <w:rPr>
          <w:rFonts w:cs="Times New Roman"/>
          <w:noProof/>
          <w:szCs w:val="24"/>
        </w:rPr>
        <w:t xml:space="preserve">(2005) </w:t>
      </w:r>
      <w:r w:rsidRPr="00583138">
        <w:rPr>
          <w:rFonts w:cs="Times New Roman"/>
          <w:noProof/>
          <w:szCs w:val="24"/>
        </w:rPr>
        <w:t xml:space="preserve">Rate of reinfection tuberculosis after successful treatment is higher than rate of new tuberculosis. </w:t>
      </w:r>
      <w:r w:rsidR="008B2EB5" w:rsidRPr="008B2EB5">
        <w:rPr>
          <w:rFonts w:cs="Times New Roman"/>
          <w:i/>
          <w:noProof/>
          <w:szCs w:val="24"/>
        </w:rPr>
        <w:t xml:space="preserve">American Journal of Respiratory and Critical Care Medicine </w:t>
      </w:r>
      <w:r w:rsidRPr="00583138">
        <w:rPr>
          <w:rFonts w:cs="Times New Roman"/>
          <w:b/>
          <w:bCs/>
          <w:noProof/>
          <w:szCs w:val="24"/>
        </w:rPr>
        <w:t>171,</w:t>
      </w:r>
      <w:r w:rsidRPr="00583138">
        <w:rPr>
          <w:rFonts w:cs="Times New Roman"/>
          <w:noProof/>
          <w:szCs w:val="24"/>
        </w:rPr>
        <w:t xml:space="preserve"> 1430–1435.</w:t>
      </w:r>
    </w:p>
    <w:p w14:paraId="1EA40613" w14:textId="772D72D5"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7.</w:t>
      </w:r>
      <w:r w:rsidRPr="00583138">
        <w:rPr>
          <w:rFonts w:cs="Times New Roman"/>
          <w:noProof/>
          <w:szCs w:val="24"/>
        </w:rPr>
        <w:tab/>
      </w:r>
      <w:r w:rsidRPr="008B2EB5">
        <w:rPr>
          <w:rFonts w:cs="Times New Roman"/>
          <w:b/>
          <w:noProof/>
          <w:szCs w:val="24"/>
        </w:rPr>
        <w:t>Gomes</w:t>
      </w:r>
      <w:r w:rsidR="008B2EB5" w:rsidRPr="008B2EB5">
        <w:rPr>
          <w:rFonts w:cs="Times New Roman"/>
          <w:b/>
          <w:noProof/>
          <w:szCs w:val="24"/>
        </w:rPr>
        <w:t xml:space="preserve"> </w:t>
      </w:r>
      <w:r w:rsidRPr="008B2EB5">
        <w:rPr>
          <w:rFonts w:cs="Times New Roman"/>
          <w:b/>
          <w:noProof/>
          <w:szCs w:val="24"/>
        </w:rPr>
        <w:t xml:space="preserve">MGM </w:t>
      </w:r>
      <w:r w:rsidRPr="008B2EB5">
        <w:rPr>
          <w:rFonts w:cs="Times New Roman"/>
          <w:b/>
          <w:i/>
          <w:iCs/>
          <w:noProof/>
          <w:szCs w:val="24"/>
        </w:rPr>
        <w:t>et al.</w:t>
      </w:r>
      <w:r w:rsidRPr="00583138">
        <w:rPr>
          <w:rFonts w:cs="Times New Roman"/>
          <w:noProof/>
          <w:szCs w:val="24"/>
        </w:rPr>
        <w:t xml:space="preserve"> </w:t>
      </w:r>
      <w:r w:rsidR="008B2EB5">
        <w:rPr>
          <w:rFonts w:cs="Times New Roman"/>
          <w:noProof/>
          <w:szCs w:val="24"/>
        </w:rPr>
        <w:t xml:space="preserve">(2012) </w:t>
      </w:r>
      <w:r w:rsidRPr="00583138">
        <w:rPr>
          <w:rFonts w:cs="Times New Roman"/>
          <w:noProof/>
          <w:szCs w:val="24"/>
        </w:rPr>
        <w:t xml:space="preserve">How host heterogeneity governs tuberculosis reinfection? </w:t>
      </w:r>
      <w:r w:rsidR="008B2EB5" w:rsidRPr="008B2EB5">
        <w:rPr>
          <w:rFonts w:cs="Times New Roman"/>
          <w:i/>
          <w:noProof/>
          <w:szCs w:val="24"/>
        </w:rPr>
        <w:t>Proceedings of the Royal Society B: Biological Sciences</w:t>
      </w:r>
      <w:r w:rsidR="008B2EB5" w:rsidRPr="008B2EB5">
        <w:rPr>
          <w:rFonts w:cs="Times New Roman"/>
          <w:noProof/>
          <w:szCs w:val="24"/>
        </w:rPr>
        <w:t xml:space="preserve"> </w:t>
      </w:r>
      <w:r w:rsidRPr="00583138">
        <w:rPr>
          <w:rFonts w:cs="Times New Roman"/>
          <w:b/>
          <w:bCs/>
          <w:noProof/>
          <w:szCs w:val="24"/>
        </w:rPr>
        <w:t>279,</w:t>
      </w:r>
      <w:r w:rsidRPr="00583138">
        <w:rPr>
          <w:rFonts w:cs="Times New Roman"/>
          <w:noProof/>
          <w:szCs w:val="24"/>
        </w:rPr>
        <w:t xml:space="preserve"> 2473–2478.</w:t>
      </w:r>
    </w:p>
    <w:p w14:paraId="1589CC79" w14:textId="2C009A3A"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8.</w:t>
      </w:r>
      <w:r w:rsidRPr="00583138">
        <w:rPr>
          <w:rFonts w:cs="Times New Roman"/>
          <w:noProof/>
          <w:szCs w:val="24"/>
        </w:rPr>
        <w:tab/>
      </w:r>
      <w:r w:rsidRPr="008B2EB5">
        <w:rPr>
          <w:rFonts w:cs="Times New Roman"/>
          <w:b/>
          <w:noProof/>
          <w:szCs w:val="24"/>
        </w:rPr>
        <w:t>Trauer</w:t>
      </w:r>
      <w:r w:rsidR="008B2EB5" w:rsidRPr="008B2EB5">
        <w:rPr>
          <w:rFonts w:cs="Times New Roman"/>
          <w:b/>
          <w:noProof/>
          <w:szCs w:val="24"/>
        </w:rPr>
        <w:t xml:space="preserve"> </w:t>
      </w:r>
      <w:r w:rsidRPr="008B2EB5">
        <w:rPr>
          <w:rFonts w:cs="Times New Roman"/>
          <w:b/>
          <w:noProof/>
          <w:szCs w:val="24"/>
        </w:rPr>
        <w:t xml:space="preserve">JM </w:t>
      </w:r>
      <w:r w:rsidRPr="008B2EB5">
        <w:rPr>
          <w:rFonts w:cs="Times New Roman"/>
          <w:b/>
          <w:i/>
          <w:iCs/>
          <w:noProof/>
          <w:szCs w:val="24"/>
        </w:rPr>
        <w:t>et al.</w:t>
      </w:r>
      <w:r w:rsidRPr="00583138">
        <w:rPr>
          <w:rFonts w:cs="Times New Roman"/>
          <w:noProof/>
          <w:szCs w:val="24"/>
        </w:rPr>
        <w:t xml:space="preserve"> </w:t>
      </w:r>
      <w:r w:rsidR="008B2EB5">
        <w:rPr>
          <w:rFonts w:cs="Times New Roman"/>
          <w:noProof/>
          <w:szCs w:val="24"/>
        </w:rPr>
        <w:t xml:space="preserve">(2016) </w:t>
      </w:r>
      <w:r w:rsidRPr="00583138">
        <w:rPr>
          <w:rFonts w:cs="Times New Roman"/>
          <w:noProof/>
          <w:szCs w:val="24"/>
        </w:rPr>
        <w:t xml:space="preserve">Risk of active tuberculosis in the five years following infection </w:t>
      </w:r>
      <w:r w:rsidRPr="00583138">
        <w:rPr>
          <w:rFonts w:ascii="Cambria Math" w:hAnsi="Cambria Math" w:cs="Cambria Math"/>
          <w:noProof/>
          <w:szCs w:val="24"/>
        </w:rPr>
        <w:t>⋯</w:t>
      </w:r>
      <w:r w:rsidRPr="00583138">
        <w:rPr>
          <w:rFonts w:cs="Times New Roman"/>
          <w:noProof/>
          <w:szCs w:val="24"/>
        </w:rPr>
        <w:t xml:space="preserve"> 15%? </w:t>
      </w:r>
      <w:r w:rsidRPr="00583138">
        <w:rPr>
          <w:rFonts w:cs="Times New Roman"/>
          <w:i/>
          <w:iCs/>
          <w:noProof/>
          <w:szCs w:val="24"/>
        </w:rPr>
        <w:t>Chest</w:t>
      </w:r>
      <w:r w:rsidRPr="00583138">
        <w:rPr>
          <w:rFonts w:cs="Times New Roman"/>
          <w:noProof/>
          <w:szCs w:val="24"/>
        </w:rPr>
        <w:t xml:space="preserve"> </w:t>
      </w:r>
      <w:r w:rsidRPr="00583138">
        <w:rPr>
          <w:rFonts w:cs="Times New Roman"/>
          <w:b/>
          <w:bCs/>
          <w:noProof/>
          <w:szCs w:val="24"/>
        </w:rPr>
        <w:t>149</w:t>
      </w:r>
      <w:r w:rsidR="008B2EB5">
        <w:rPr>
          <w:rFonts w:cs="Times New Roman"/>
          <w:b/>
          <w:bCs/>
          <w:noProof/>
          <w:szCs w:val="24"/>
        </w:rPr>
        <w:t xml:space="preserve">, </w:t>
      </w:r>
      <w:r w:rsidR="008B2EB5" w:rsidRPr="008B2EB5">
        <w:rPr>
          <w:rFonts w:cs="Times New Roman"/>
          <w:bCs/>
          <w:noProof/>
          <w:szCs w:val="24"/>
        </w:rPr>
        <w:t>516-525</w:t>
      </w:r>
      <w:r w:rsidRPr="00583138">
        <w:rPr>
          <w:rFonts w:cs="Times New Roman"/>
          <w:noProof/>
          <w:szCs w:val="24"/>
        </w:rPr>
        <w:t>.</w:t>
      </w:r>
    </w:p>
    <w:p w14:paraId="627606AC" w14:textId="2030B8E8"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9.</w:t>
      </w:r>
      <w:r w:rsidRPr="00583138">
        <w:rPr>
          <w:rFonts w:cs="Times New Roman"/>
          <w:noProof/>
          <w:szCs w:val="24"/>
        </w:rPr>
        <w:tab/>
      </w:r>
      <w:r w:rsidRPr="008B2EB5">
        <w:rPr>
          <w:rFonts w:cs="Times New Roman"/>
          <w:b/>
          <w:noProof/>
          <w:szCs w:val="24"/>
        </w:rPr>
        <w:t>Sloot</w:t>
      </w:r>
      <w:r w:rsidR="008B2EB5" w:rsidRPr="008B2EB5">
        <w:rPr>
          <w:rFonts w:cs="Times New Roman"/>
          <w:b/>
          <w:noProof/>
          <w:szCs w:val="24"/>
        </w:rPr>
        <w:t xml:space="preserve"> R </w:t>
      </w:r>
      <w:r w:rsidR="008B2EB5" w:rsidRPr="008B2EB5">
        <w:rPr>
          <w:rFonts w:cs="Times New Roman"/>
          <w:b/>
          <w:i/>
          <w:noProof/>
          <w:szCs w:val="24"/>
        </w:rPr>
        <w:t>et al</w:t>
      </w:r>
      <w:r w:rsidR="008B2EB5" w:rsidRPr="008B2EB5">
        <w:rPr>
          <w:rFonts w:cs="Times New Roman"/>
          <w:b/>
          <w:noProof/>
          <w:szCs w:val="24"/>
        </w:rPr>
        <w:t>.</w:t>
      </w:r>
      <w:r w:rsidR="008B2EB5">
        <w:rPr>
          <w:rFonts w:cs="Times New Roman"/>
          <w:noProof/>
          <w:szCs w:val="24"/>
        </w:rPr>
        <w:t xml:space="preserve"> (2014) </w:t>
      </w:r>
      <w:r w:rsidRPr="00583138">
        <w:rPr>
          <w:rFonts w:cs="Times New Roman"/>
          <w:noProof/>
          <w:szCs w:val="24"/>
        </w:rPr>
        <w:t xml:space="preserve">Risk of Tuberculosis after Recent Exposure. A 10-Year Follow-up Study of Contacts in Amsterdam. </w:t>
      </w:r>
      <w:r w:rsidR="008B2EB5" w:rsidRPr="008B2EB5">
        <w:rPr>
          <w:rFonts w:cs="Times New Roman"/>
          <w:i/>
          <w:noProof/>
          <w:szCs w:val="24"/>
        </w:rPr>
        <w:t xml:space="preserve">American Journal of Respiratory and Critical Care Medicine </w:t>
      </w:r>
      <w:r w:rsidRPr="00583138">
        <w:rPr>
          <w:rFonts w:cs="Times New Roman"/>
          <w:b/>
          <w:bCs/>
          <w:noProof/>
          <w:szCs w:val="24"/>
        </w:rPr>
        <w:t>190,</w:t>
      </w:r>
      <w:r w:rsidRPr="00583138">
        <w:rPr>
          <w:rFonts w:cs="Times New Roman"/>
          <w:noProof/>
          <w:szCs w:val="24"/>
        </w:rPr>
        <w:t xml:space="preserve"> 1044–1052.</w:t>
      </w:r>
    </w:p>
    <w:p w14:paraId="64EAEC55" w14:textId="69B9DF54"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10.</w:t>
      </w:r>
      <w:r w:rsidRPr="00583138">
        <w:rPr>
          <w:rFonts w:cs="Times New Roman"/>
          <w:noProof/>
          <w:szCs w:val="24"/>
        </w:rPr>
        <w:tab/>
      </w:r>
      <w:r w:rsidRPr="008B2EB5">
        <w:rPr>
          <w:rFonts w:cs="Times New Roman"/>
          <w:b/>
          <w:noProof/>
          <w:szCs w:val="24"/>
        </w:rPr>
        <w:t>Ragonnet</w:t>
      </w:r>
      <w:r w:rsidR="008B2EB5" w:rsidRPr="008B2EB5">
        <w:rPr>
          <w:rFonts w:cs="Times New Roman"/>
          <w:b/>
          <w:noProof/>
          <w:szCs w:val="24"/>
        </w:rPr>
        <w:t xml:space="preserve"> </w:t>
      </w:r>
      <w:r w:rsidRPr="008B2EB5">
        <w:rPr>
          <w:rFonts w:cs="Times New Roman"/>
          <w:b/>
          <w:noProof/>
          <w:szCs w:val="24"/>
        </w:rPr>
        <w:t>R</w:t>
      </w:r>
      <w:r w:rsidR="008B2EB5" w:rsidRPr="008B2EB5">
        <w:rPr>
          <w:rFonts w:cs="Times New Roman"/>
          <w:b/>
          <w:noProof/>
          <w:szCs w:val="24"/>
        </w:rPr>
        <w:t xml:space="preserve"> </w:t>
      </w:r>
      <w:r w:rsidRPr="008B2EB5">
        <w:rPr>
          <w:rFonts w:cs="Times New Roman"/>
          <w:b/>
          <w:i/>
          <w:iCs/>
          <w:noProof/>
          <w:szCs w:val="24"/>
        </w:rPr>
        <w:t>et al.</w:t>
      </w:r>
      <w:r w:rsidRPr="00583138">
        <w:rPr>
          <w:rFonts w:cs="Times New Roman"/>
          <w:noProof/>
          <w:szCs w:val="24"/>
        </w:rPr>
        <w:t xml:space="preserve"> Optimally capturing latency dynamics in models of tuberculosis transmission. </w:t>
      </w:r>
      <w:r w:rsidRPr="00583138">
        <w:rPr>
          <w:rFonts w:cs="Times New Roman"/>
          <w:i/>
          <w:iCs/>
          <w:noProof/>
          <w:szCs w:val="24"/>
        </w:rPr>
        <w:t>Epidemics</w:t>
      </w:r>
      <w:r w:rsidRPr="00583138">
        <w:rPr>
          <w:rFonts w:cs="Times New Roman"/>
          <w:noProof/>
          <w:szCs w:val="24"/>
        </w:rPr>
        <w:t xml:space="preserve"> </w:t>
      </w:r>
      <w:r w:rsidRPr="00583138">
        <w:rPr>
          <w:rFonts w:cs="Times New Roman"/>
          <w:b/>
          <w:bCs/>
          <w:noProof/>
          <w:szCs w:val="24"/>
        </w:rPr>
        <w:t>21,</w:t>
      </w:r>
      <w:r w:rsidRPr="00583138">
        <w:rPr>
          <w:rFonts w:cs="Times New Roman"/>
          <w:noProof/>
          <w:szCs w:val="24"/>
        </w:rPr>
        <w:t xml:space="preserve"> 39–47.</w:t>
      </w:r>
    </w:p>
    <w:p w14:paraId="23795412" w14:textId="4E6ED450"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11.</w:t>
      </w:r>
      <w:r w:rsidRPr="00583138">
        <w:rPr>
          <w:rFonts w:cs="Times New Roman"/>
          <w:noProof/>
          <w:szCs w:val="24"/>
        </w:rPr>
        <w:tab/>
      </w:r>
      <w:r w:rsidRPr="008B2EB5">
        <w:rPr>
          <w:rFonts w:cs="Times New Roman"/>
          <w:b/>
          <w:noProof/>
          <w:szCs w:val="24"/>
        </w:rPr>
        <w:t>Dowdy</w:t>
      </w:r>
      <w:r w:rsidR="008B2EB5" w:rsidRPr="008B2EB5">
        <w:rPr>
          <w:rFonts w:cs="Times New Roman"/>
          <w:b/>
          <w:noProof/>
          <w:szCs w:val="24"/>
        </w:rPr>
        <w:t xml:space="preserve"> </w:t>
      </w:r>
      <w:r w:rsidRPr="008B2EB5">
        <w:rPr>
          <w:rFonts w:cs="Times New Roman"/>
          <w:b/>
          <w:noProof/>
          <w:szCs w:val="24"/>
        </w:rPr>
        <w:t>DW</w:t>
      </w:r>
      <w:r w:rsidR="008B2EB5" w:rsidRPr="008B2EB5">
        <w:rPr>
          <w:rFonts w:cs="Times New Roman"/>
          <w:b/>
          <w:noProof/>
          <w:szCs w:val="24"/>
        </w:rPr>
        <w:t>,</w:t>
      </w:r>
      <w:r w:rsidRPr="008B2EB5">
        <w:rPr>
          <w:rFonts w:cs="Times New Roman"/>
          <w:b/>
          <w:noProof/>
          <w:szCs w:val="24"/>
        </w:rPr>
        <w:t xml:space="preserve"> Dye C </w:t>
      </w:r>
      <w:r w:rsidR="008B2EB5" w:rsidRPr="008B2EB5">
        <w:rPr>
          <w:rFonts w:cs="Times New Roman"/>
          <w:b/>
          <w:noProof/>
          <w:szCs w:val="24"/>
        </w:rPr>
        <w:t xml:space="preserve">and </w:t>
      </w:r>
      <w:r w:rsidRPr="008B2EB5">
        <w:rPr>
          <w:rFonts w:cs="Times New Roman"/>
          <w:b/>
          <w:noProof/>
          <w:szCs w:val="24"/>
        </w:rPr>
        <w:t xml:space="preserve">Cohen T. </w:t>
      </w:r>
      <w:r w:rsidR="008B2EB5">
        <w:rPr>
          <w:rFonts w:cs="Times New Roman"/>
          <w:noProof/>
          <w:szCs w:val="24"/>
        </w:rPr>
        <w:t xml:space="preserve">(2013) </w:t>
      </w:r>
      <w:r w:rsidRPr="00583138">
        <w:rPr>
          <w:rFonts w:cs="Times New Roman"/>
          <w:noProof/>
          <w:szCs w:val="24"/>
        </w:rPr>
        <w:t xml:space="preserve">Data Needs for Evidence-Based Decisions: a Tuberculosis Modeler’s ‘Wish List’. </w:t>
      </w:r>
      <w:r w:rsidR="008B2EB5" w:rsidRPr="008B2EB5">
        <w:rPr>
          <w:rFonts w:cs="Times New Roman"/>
          <w:i/>
          <w:noProof/>
          <w:szCs w:val="24"/>
        </w:rPr>
        <w:t>International Journal of Tuberculosis and Lung Disease</w:t>
      </w:r>
      <w:r w:rsidR="008B2EB5" w:rsidRPr="008B2EB5">
        <w:rPr>
          <w:rFonts w:cs="Times New Roman"/>
          <w:noProof/>
          <w:szCs w:val="24"/>
        </w:rPr>
        <w:t xml:space="preserve"> </w:t>
      </w:r>
      <w:r w:rsidRPr="00583138">
        <w:rPr>
          <w:rFonts w:cs="Times New Roman"/>
          <w:b/>
          <w:bCs/>
          <w:noProof/>
          <w:szCs w:val="24"/>
        </w:rPr>
        <w:t>17,</w:t>
      </w:r>
      <w:r w:rsidRPr="00583138">
        <w:rPr>
          <w:rFonts w:cs="Times New Roman"/>
          <w:noProof/>
          <w:szCs w:val="24"/>
        </w:rPr>
        <w:t xml:space="preserve"> 866–877.</w:t>
      </w:r>
    </w:p>
    <w:p w14:paraId="009AEC31" w14:textId="78BB076D"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12.</w:t>
      </w:r>
      <w:r w:rsidRPr="00583138">
        <w:rPr>
          <w:rFonts w:cs="Times New Roman"/>
          <w:noProof/>
          <w:szCs w:val="24"/>
        </w:rPr>
        <w:tab/>
      </w:r>
      <w:r w:rsidRPr="008B2EB5">
        <w:rPr>
          <w:rFonts w:cs="Times New Roman"/>
          <w:b/>
          <w:noProof/>
          <w:szCs w:val="24"/>
        </w:rPr>
        <w:t xml:space="preserve">Menzies NA </w:t>
      </w:r>
      <w:r w:rsidRPr="008B2EB5">
        <w:rPr>
          <w:rFonts w:cs="Times New Roman"/>
          <w:b/>
          <w:i/>
          <w:iCs/>
          <w:noProof/>
          <w:szCs w:val="24"/>
        </w:rPr>
        <w:t>et al.</w:t>
      </w:r>
      <w:r w:rsidRPr="00583138">
        <w:rPr>
          <w:rFonts w:cs="Times New Roman"/>
          <w:noProof/>
          <w:szCs w:val="24"/>
        </w:rPr>
        <w:t xml:space="preserve"> </w:t>
      </w:r>
      <w:r w:rsidR="008B2EB5">
        <w:rPr>
          <w:rFonts w:cs="Times New Roman"/>
          <w:noProof/>
          <w:szCs w:val="24"/>
        </w:rPr>
        <w:t xml:space="preserve">(2018) </w:t>
      </w:r>
      <w:r w:rsidRPr="00583138">
        <w:rPr>
          <w:rFonts w:cs="Times New Roman"/>
          <w:noProof/>
          <w:szCs w:val="24"/>
        </w:rPr>
        <w:t xml:space="preserve">Progression from latent infection to active disease in dynamic tuberculosis transmission models: a systematic review of the validity of modelling assumptions. </w:t>
      </w:r>
      <w:r w:rsidRPr="00583138">
        <w:rPr>
          <w:rFonts w:cs="Times New Roman"/>
          <w:i/>
          <w:iCs/>
          <w:noProof/>
          <w:szCs w:val="24"/>
        </w:rPr>
        <w:t>Lancet Infect</w:t>
      </w:r>
      <w:r w:rsidR="009C67B3">
        <w:rPr>
          <w:rFonts w:cs="Times New Roman"/>
          <w:i/>
          <w:iCs/>
          <w:noProof/>
          <w:szCs w:val="24"/>
        </w:rPr>
        <w:t>ious</w:t>
      </w:r>
      <w:r w:rsidRPr="00583138">
        <w:rPr>
          <w:rFonts w:cs="Times New Roman"/>
          <w:i/>
          <w:iCs/>
          <w:noProof/>
          <w:szCs w:val="24"/>
        </w:rPr>
        <w:t xml:space="preserve"> Dis</w:t>
      </w:r>
      <w:r w:rsidR="009C67B3">
        <w:rPr>
          <w:rFonts w:cs="Times New Roman"/>
          <w:i/>
          <w:iCs/>
          <w:noProof/>
          <w:szCs w:val="24"/>
        </w:rPr>
        <w:t>eases</w:t>
      </w:r>
      <w:r w:rsidRPr="00583138">
        <w:rPr>
          <w:rFonts w:cs="Times New Roman"/>
          <w:noProof/>
          <w:szCs w:val="24"/>
        </w:rPr>
        <w:t xml:space="preserve"> </w:t>
      </w:r>
      <w:r w:rsidR="009C67B3" w:rsidRPr="009C67B3">
        <w:rPr>
          <w:rFonts w:cs="Times New Roman"/>
          <w:b/>
          <w:noProof/>
          <w:szCs w:val="24"/>
        </w:rPr>
        <w:t>18</w:t>
      </w:r>
      <w:r w:rsidR="009C67B3" w:rsidRPr="009C67B3">
        <w:rPr>
          <w:rFonts w:cs="Times New Roman"/>
          <w:noProof/>
          <w:szCs w:val="24"/>
        </w:rPr>
        <w:t>:e228-e238</w:t>
      </w:r>
      <w:r w:rsidRPr="00583138">
        <w:rPr>
          <w:rFonts w:cs="Times New Roman"/>
          <w:noProof/>
          <w:szCs w:val="24"/>
        </w:rPr>
        <w:t>.</w:t>
      </w:r>
    </w:p>
    <w:p w14:paraId="5263C960" w14:textId="628B1AD9"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lastRenderedPageBreak/>
        <w:t>13.</w:t>
      </w:r>
      <w:r w:rsidRPr="00583138">
        <w:rPr>
          <w:rFonts w:cs="Times New Roman"/>
          <w:noProof/>
          <w:szCs w:val="24"/>
        </w:rPr>
        <w:tab/>
      </w:r>
      <w:r w:rsidRPr="009C67B3">
        <w:rPr>
          <w:rFonts w:cs="Times New Roman"/>
          <w:b/>
          <w:noProof/>
          <w:szCs w:val="24"/>
        </w:rPr>
        <w:t>Tiemersma</w:t>
      </w:r>
      <w:r w:rsidR="009C67B3" w:rsidRPr="009C67B3">
        <w:rPr>
          <w:rFonts w:cs="Times New Roman"/>
          <w:b/>
          <w:noProof/>
          <w:szCs w:val="24"/>
        </w:rPr>
        <w:t xml:space="preserve"> EW et al</w:t>
      </w:r>
      <w:r w:rsidRPr="009C67B3">
        <w:rPr>
          <w:rFonts w:cs="Times New Roman"/>
          <w:b/>
          <w:noProof/>
          <w:szCs w:val="24"/>
        </w:rPr>
        <w:t>.</w:t>
      </w:r>
      <w:r w:rsidRPr="00583138">
        <w:rPr>
          <w:rFonts w:cs="Times New Roman"/>
          <w:noProof/>
          <w:szCs w:val="24"/>
        </w:rPr>
        <w:t xml:space="preserve"> </w:t>
      </w:r>
      <w:r w:rsidR="009C67B3">
        <w:rPr>
          <w:rFonts w:cs="Times New Roman"/>
          <w:noProof/>
          <w:szCs w:val="24"/>
        </w:rPr>
        <w:t xml:space="preserve">(2011) </w:t>
      </w:r>
      <w:r w:rsidRPr="00583138">
        <w:rPr>
          <w:rFonts w:cs="Times New Roman"/>
          <w:noProof/>
          <w:szCs w:val="24"/>
        </w:rPr>
        <w:t xml:space="preserve">Natural history of tuberculosis: duration and fatality of untreated pulmonary tuberculosis in HIV negative patients: a systematic review. </w:t>
      </w:r>
      <w:r w:rsidRPr="00583138">
        <w:rPr>
          <w:rFonts w:cs="Times New Roman"/>
          <w:i/>
          <w:iCs/>
          <w:noProof/>
          <w:szCs w:val="24"/>
        </w:rPr>
        <w:t>PLoS One</w:t>
      </w:r>
      <w:r w:rsidRPr="00583138">
        <w:rPr>
          <w:rFonts w:cs="Times New Roman"/>
          <w:noProof/>
          <w:szCs w:val="24"/>
        </w:rPr>
        <w:t xml:space="preserve"> </w:t>
      </w:r>
      <w:r w:rsidRPr="00583138">
        <w:rPr>
          <w:rFonts w:cs="Times New Roman"/>
          <w:b/>
          <w:bCs/>
          <w:noProof/>
          <w:szCs w:val="24"/>
        </w:rPr>
        <w:t>6,</w:t>
      </w:r>
      <w:r w:rsidRPr="00583138">
        <w:rPr>
          <w:rFonts w:cs="Times New Roman"/>
          <w:noProof/>
          <w:szCs w:val="24"/>
        </w:rPr>
        <w:t xml:space="preserve"> e17601.</w:t>
      </w:r>
    </w:p>
    <w:p w14:paraId="59313CD8" w14:textId="329F72E0"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14.</w:t>
      </w:r>
      <w:r w:rsidRPr="00583138">
        <w:rPr>
          <w:rFonts w:cs="Times New Roman"/>
          <w:noProof/>
          <w:szCs w:val="24"/>
        </w:rPr>
        <w:tab/>
      </w:r>
      <w:r w:rsidRPr="009C67B3">
        <w:rPr>
          <w:rFonts w:cs="Times New Roman"/>
          <w:b/>
          <w:noProof/>
          <w:szCs w:val="24"/>
        </w:rPr>
        <w:t>World Health Organization.</w:t>
      </w:r>
      <w:r w:rsidRPr="00583138">
        <w:rPr>
          <w:rFonts w:cs="Times New Roman"/>
          <w:noProof/>
          <w:szCs w:val="24"/>
        </w:rPr>
        <w:t xml:space="preserve"> Global Tuberculosis Report 2016.</w:t>
      </w:r>
    </w:p>
    <w:p w14:paraId="50F80F06" w14:textId="3C3C1A4C"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15.</w:t>
      </w:r>
      <w:r w:rsidRPr="00583138">
        <w:rPr>
          <w:rFonts w:cs="Times New Roman"/>
          <w:noProof/>
          <w:szCs w:val="24"/>
        </w:rPr>
        <w:tab/>
      </w:r>
      <w:r w:rsidRPr="009C67B3">
        <w:rPr>
          <w:rFonts w:cs="Times New Roman"/>
          <w:b/>
          <w:noProof/>
          <w:szCs w:val="24"/>
        </w:rPr>
        <w:t>Marais</w:t>
      </w:r>
      <w:r w:rsidR="009C67B3" w:rsidRPr="009C67B3">
        <w:rPr>
          <w:rFonts w:cs="Times New Roman"/>
          <w:b/>
          <w:noProof/>
          <w:szCs w:val="24"/>
        </w:rPr>
        <w:t xml:space="preserve"> </w:t>
      </w:r>
      <w:r w:rsidRPr="009C67B3">
        <w:rPr>
          <w:rFonts w:cs="Times New Roman"/>
          <w:b/>
          <w:noProof/>
          <w:szCs w:val="24"/>
        </w:rPr>
        <w:t xml:space="preserve">BJ </w:t>
      </w:r>
      <w:r w:rsidRPr="009C67B3">
        <w:rPr>
          <w:rFonts w:cs="Times New Roman"/>
          <w:b/>
          <w:i/>
          <w:iCs/>
          <w:noProof/>
          <w:szCs w:val="24"/>
        </w:rPr>
        <w:t>et al.</w:t>
      </w:r>
      <w:r w:rsidRPr="00583138">
        <w:rPr>
          <w:rFonts w:cs="Times New Roman"/>
          <w:noProof/>
          <w:szCs w:val="24"/>
        </w:rPr>
        <w:t xml:space="preserve"> </w:t>
      </w:r>
      <w:r w:rsidR="009C67B3">
        <w:rPr>
          <w:rFonts w:cs="Times New Roman"/>
          <w:noProof/>
          <w:szCs w:val="24"/>
        </w:rPr>
        <w:t xml:space="preserve">(2004) </w:t>
      </w:r>
      <w:r w:rsidRPr="00583138">
        <w:rPr>
          <w:rFonts w:cs="Times New Roman"/>
          <w:noProof/>
          <w:szCs w:val="24"/>
        </w:rPr>
        <w:t xml:space="preserve">The natural history of childhood intra-thoracic tuberculosis: a critical review of literature from the pre-chemotherapy era. </w:t>
      </w:r>
      <w:r w:rsidR="009C67B3" w:rsidRPr="008B2EB5">
        <w:rPr>
          <w:rFonts w:cs="Times New Roman"/>
          <w:i/>
          <w:noProof/>
          <w:szCs w:val="24"/>
        </w:rPr>
        <w:t>International Journal of Tuberculosis and Lung Disease</w:t>
      </w:r>
      <w:r w:rsidR="009C67B3" w:rsidRPr="008B2EB5">
        <w:rPr>
          <w:rFonts w:cs="Times New Roman"/>
          <w:noProof/>
          <w:szCs w:val="24"/>
        </w:rPr>
        <w:t xml:space="preserve"> </w:t>
      </w:r>
      <w:r w:rsidRPr="00583138">
        <w:rPr>
          <w:rFonts w:cs="Times New Roman"/>
          <w:b/>
          <w:bCs/>
          <w:noProof/>
          <w:szCs w:val="24"/>
        </w:rPr>
        <w:t>8,</w:t>
      </w:r>
      <w:r w:rsidRPr="00583138">
        <w:rPr>
          <w:rFonts w:cs="Times New Roman"/>
          <w:noProof/>
          <w:szCs w:val="24"/>
        </w:rPr>
        <w:t xml:space="preserve"> 392–402.</w:t>
      </w:r>
    </w:p>
    <w:p w14:paraId="576529E0" w14:textId="21311D63"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16.</w:t>
      </w:r>
      <w:r w:rsidRPr="00583138">
        <w:rPr>
          <w:rFonts w:cs="Times New Roman"/>
          <w:noProof/>
          <w:szCs w:val="24"/>
        </w:rPr>
        <w:tab/>
      </w:r>
      <w:r w:rsidRPr="009C67B3">
        <w:rPr>
          <w:rFonts w:cs="Times New Roman"/>
          <w:b/>
          <w:noProof/>
          <w:szCs w:val="24"/>
        </w:rPr>
        <w:t>Cruz</w:t>
      </w:r>
      <w:r w:rsidR="009C67B3" w:rsidRPr="009C67B3">
        <w:rPr>
          <w:rFonts w:cs="Times New Roman"/>
          <w:b/>
          <w:noProof/>
          <w:szCs w:val="24"/>
        </w:rPr>
        <w:t xml:space="preserve"> </w:t>
      </w:r>
      <w:r w:rsidRPr="009C67B3">
        <w:rPr>
          <w:rFonts w:cs="Times New Roman"/>
          <w:b/>
          <w:noProof/>
          <w:szCs w:val="24"/>
        </w:rPr>
        <w:t xml:space="preserve">AT </w:t>
      </w:r>
      <w:r w:rsidR="009C67B3" w:rsidRPr="009C67B3">
        <w:rPr>
          <w:rFonts w:cs="Times New Roman"/>
          <w:b/>
          <w:noProof/>
          <w:szCs w:val="24"/>
        </w:rPr>
        <w:t xml:space="preserve">and </w:t>
      </w:r>
      <w:r w:rsidRPr="009C67B3">
        <w:rPr>
          <w:rFonts w:cs="Times New Roman"/>
          <w:b/>
          <w:noProof/>
          <w:szCs w:val="24"/>
        </w:rPr>
        <w:t>Starke JR.</w:t>
      </w:r>
      <w:r w:rsidRPr="00583138">
        <w:rPr>
          <w:rFonts w:cs="Times New Roman"/>
          <w:noProof/>
          <w:szCs w:val="24"/>
        </w:rPr>
        <w:t xml:space="preserve"> </w:t>
      </w:r>
      <w:r w:rsidR="009C67B3">
        <w:rPr>
          <w:rFonts w:cs="Times New Roman"/>
          <w:noProof/>
          <w:szCs w:val="24"/>
        </w:rPr>
        <w:t xml:space="preserve">(2007) </w:t>
      </w:r>
      <w:r w:rsidRPr="00583138">
        <w:rPr>
          <w:rFonts w:cs="Times New Roman"/>
          <w:noProof/>
          <w:szCs w:val="24"/>
        </w:rPr>
        <w:t xml:space="preserve">Clinical manifestations of tuberculosis in children. </w:t>
      </w:r>
      <w:r w:rsidR="009C67B3" w:rsidRPr="009C67B3">
        <w:rPr>
          <w:rFonts w:cs="Times New Roman"/>
          <w:i/>
          <w:noProof/>
          <w:szCs w:val="24"/>
        </w:rPr>
        <w:t>Paediatric Respiratory Reviews</w:t>
      </w:r>
      <w:r w:rsidR="009C67B3">
        <w:rPr>
          <w:rFonts w:cs="Times New Roman"/>
          <w:noProof/>
          <w:szCs w:val="24"/>
        </w:rPr>
        <w:t xml:space="preserve"> </w:t>
      </w:r>
      <w:r w:rsidRPr="00583138">
        <w:rPr>
          <w:rFonts w:cs="Times New Roman"/>
          <w:b/>
          <w:bCs/>
          <w:noProof/>
          <w:szCs w:val="24"/>
        </w:rPr>
        <w:t>8,</w:t>
      </w:r>
      <w:r w:rsidRPr="00583138">
        <w:rPr>
          <w:rFonts w:cs="Times New Roman"/>
          <w:noProof/>
          <w:szCs w:val="24"/>
        </w:rPr>
        <w:t xml:space="preserve"> 107–117.</w:t>
      </w:r>
    </w:p>
    <w:p w14:paraId="5F046844" w14:textId="03048254"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17.</w:t>
      </w:r>
      <w:r w:rsidRPr="00583138">
        <w:rPr>
          <w:rFonts w:cs="Times New Roman"/>
          <w:noProof/>
          <w:szCs w:val="24"/>
        </w:rPr>
        <w:tab/>
      </w:r>
      <w:r w:rsidRPr="009C67B3">
        <w:rPr>
          <w:rFonts w:cs="Times New Roman"/>
          <w:b/>
          <w:noProof/>
          <w:szCs w:val="24"/>
        </w:rPr>
        <w:t>Matlow</w:t>
      </w:r>
      <w:r w:rsidR="009C67B3" w:rsidRPr="009C67B3">
        <w:rPr>
          <w:rFonts w:cs="Times New Roman"/>
          <w:b/>
          <w:noProof/>
          <w:szCs w:val="24"/>
        </w:rPr>
        <w:t xml:space="preserve"> </w:t>
      </w:r>
      <w:r w:rsidRPr="009C67B3">
        <w:rPr>
          <w:rFonts w:cs="Times New Roman"/>
          <w:b/>
          <w:noProof/>
          <w:szCs w:val="24"/>
        </w:rPr>
        <w:t>A</w:t>
      </w:r>
      <w:r w:rsidR="009C67B3" w:rsidRPr="009C67B3">
        <w:rPr>
          <w:rFonts w:cs="Times New Roman"/>
          <w:b/>
          <w:noProof/>
          <w:szCs w:val="24"/>
        </w:rPr>
        <w:t>,</w:t>
      </w:r>
      <w:r w:rsidRPr="009C67B3">
        <w:rPr>
          <w:rFonts w:cs="Times New Roman"/>
          <w:b/>
          <w:noProof/>
          <w:szCs w:val="24"/>
        </w:rPr>
        <w:t xml:space="preserve"> Robb</w:t>
      </w:r>
      <w:r w:rsidR="009C67B3" w:rsidRPr="009C67B3">
        <w:rPr>
          <w:rFonts w:cs="Times New Roman"/>
          <w:b/>
          <w:noProof/>
          <w:szCs w:val="24"/>
        </w:rPr>
        <w:t xml:space="preserve"> </w:t>
      </w:r>
      <w:r w:rsidRPr="009C67B3">
        <w:rPr>
          <w:rFonts w:cs="Times New Roman"/>
          <w:b/>
          <w:noProof/>
          <w:szCs w:val="24"/>
        </w:rPr>
        <w:t xml:space="preserve">M </w:t>
      </w:r>
      <w:r w:rsidR="009C67B3" w:rsidRPr="009C67B3">
        <w:rPr>
          <w:rFonts w:cs="Times New Roman"/>
          <w:b/>
          <w:noProof/>
          <w:szCs w:val="24"/>
        </w:rPr>
        <w:t xml:space="preserve">and </w:t>
      </w:r>
      <w:r w:rsidRPr="009C67B3">
        <w:rPr>
          <w:rFonts w:cs="Times New Roman"/>
          <w:b/>
          <w:noProof/>
          <w:szCs w:val="24"/>
        </w:rPr>
        <w:t>Goldman C.</w:t>
      </w:r>
      <w:r w:rsidRPr="00583138">
        <w:rPr>
          <w:rFonts w:cs="Times New Roman"/>
          <w:noProof/>
          <w:szCs w:val="24"/>
        </w:rPr>
        <w:t xml:space="preserve"> </w:t>
      </w:r>
      <w:r w:rsidR="009C67B3">
        <w:rPr>
          <w:rFonts w:cs="Times New Roman"/>
          <w:noProof/>
          <w:szCs w:val="24"/>
        </w:rPr>
        <w:t xml:space="preserve">(2003) </w:t>
      </w:r>
      <w:r w:rsidRPr="00583138">
        <w:rPr>
          <w:rFonts w:cs="Times New Roman"/>
          <w:noProof/>
          <w:szCs w:val="24"/>
        </w:rPr>
        <w:t xml:space="preserve">Infection control and paediatric tuberculosis: A practical guide for the practicing paediatrician. </w:t>
      </w:r>
      <w:r w:rsidR="009C67B3" w:rsidRPr="009C67B3">
        <w:rPr>
          <w:rFonts w:cs="Times New Roman"/>
          <w:i/>
          <w:noProof/>
          <w:szCs w:val="24"/>
        </w:rPr>
        <w:t>Paediatrics &amp; Child Health</w:t>
      </w:r>
      <w:r w:rsidR="009C67B3" w:rsidRPr="009C67B3">
        <w:rPr>
          <w:rFonts w:cs="Times New Roman"/>
          <w:noProof/>
          <w:szCs w:val="24"/>
        </w:rPr>
        <w:t xml:space="preserve"> </w:t>
      </w:r>
      <w:r w:rsidRPr="00583138">
        <w:rPr>
          <w:rFonts w:cs="Times New Roman"/>
          <w:b/>
          <w:bCs/>
          <w:noProof/>
          <w:szCs w:val="24"/>
        </w:rPr>
        <w:t>8,</w:t>
      </w:r>
      <w:r w:rsidRPr="00583138">
        <w:rPr>
          <w:rFonts w:cs="Times New Roman"/>
          <w:noProof/>
          <w:szCs w:val="24"/>
        </w:rPr>
        <w:t xml:space="preserve"> 624–6.</w:t>
      </w:r>
    </w:p>
    <w:p w14:paraId="4720D623" w14:textId="67EEC17E"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18.</w:t>
      </w:r>
      <w:r w:rsidRPr="00583138">
        <w:rPr>
          <w:rFonts w:cs="Times New Roman"/>
          <w:noProof/>
          <w:szCs w:val="24"/>
        </w:rPr>
        <w:tab/>
      </w:r>
      <w:r w:rsidRPr="00EF6DC6">
        <w:rPr>
          <w:rFonts w:cs="Times New Roman"/>
          <w:b/>
          <w:noProof/>
          <w:szCs w:val="24"/>
        </w:rPr>
        <w:t>Starke</w:t>
      </w:r>
      <w:r w:rsidR="00EF6DC6" w:rsidRPr="00EF6DC6">
        <w:rPr>
          <w:rFonts w:cs="Times New Roman"/>
          <w:b/>
          <w:noProof/>
          <w:szCs w:val="24"/>
        </w:rPr>
        <w:t xml:space="preserve"> </w:t>
      </w:r>
      <w:r w:rsidRPr="00EF6DC6">
        <w:rPr>
          <w:rFonts w:cs="Times New Roman"/>
          <w:b/>
          <w:noProof/>
          <w:szCs w:val="24"/>
        </w:rPr>
        <w:t>JR.</w:t>
      </w:r>
      <w:r w:rsidRPr="00583138">
        <w:rPr>
          <w:rFonts w:cs="Times New Roman"/>
          <w:noProof/>
          <w:szCs w:val="24"/>
        </w:rPr>
        <w:t xml:space="preserve"> </w:t>
      </w:r>
      <w:r w:rsidR="00EF6DC6">
        <w:rPr>
          <w:rFonts w:cs="Times New Roman"/>
          <w:noProof/>
          <w:szCs w:val="24"/>
        </w:rPr>
        <w:t xml:space="preserve">(2001) </w:t>
      </w:r>
      <w:r w:rsidRPr="00583138">
        <w:rPr>
          <w:rFonts w:cs="Times New Roman"/>
          <w:noProof/>
          <w:szCs w:val="24"/>
        </w:rPr>
        <w:t xml:space="preserve">Transmission of mycobacterium tuberculosis to and from children and adolescents. </w:t>
      </w:r>
      <w:r w:rsidR="00EF6DC6" w:rsidRPr="00EF6DC6">
        <w:rPr>
          <w:rFonts w:cs="Times New Roman"/>
          <w:i/>
          <w:noProof/>
          <w:szCs w:val="24"/>
        </w:rPr>
        <w:t>Seminars in Pediatric Infectious Diseases</w:t>
      </w:r>
      <w:r w:rsidR="00EF6DC6" w:rsidRPr="00EF6DC6">
        <w:rPr>
          <w:rFonts w:cs="Times New Roman"/>
          <w:noProof/>
          <w:szCs w:val="24"/>
        </w:rPr>
        <w:t xml:space="preserve"> </w:t>
      </w:r>
      <w:r w:rsidRPr="00583138">
        <w:rPr>
          <w:rFonts w:cs="Times New Roman"/>
          <w:b/>
          <w:bCs/>
          <w:noProof/>
          <w:szCs w:val="24"/>
        </w:rPr>
        <w:t>12,</w:t>
      </w:r>
      <w:r w:rsidRPr="00583138">
        <w:rPr>
          <w:rFonts w:cs="Times New Roman"/>
          <w:noProof/>
          <w:szCs w:val="24"/>
        </w:rPr>
        <w:t xml:space="preserve"> 115–123.</w:t>
      </w:r>
    </w:p>
    <w:p w14:paraId="51C3E9F6" w14:textId="29BC90AA"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19.</w:t>
      </w:r>
      <w:r w:rsidRPr="00583138">
        <w:rPr>
          <w:rFonts w:cs="Times New Roman"/>
          <w:noProof/>
          <w:szCs w:val="24"/>
        </w:rPr>
        <w:tab/>
      </w:r>
      <w:r w:rsidRPr="00EF6DC6">
        <w:rPr>
          <w:rFonts w:cs="Times New Roman"/>
          <w:b/>
          <w:noProof/>
          <w:szCs w:val="24"/>
        </w:rPr>
        <w:t xml:space="preserve">Hussey G, Chisholm T </w:t>
      </w:r>
      <w:r w:rsidR="00EF6DC6" w:rsidRPr="00EF6DC6">
        <w:rPr>
          <w:rFonts w:cs="Times New Roman"/>
          <w:b/>
          <w:noProof/>
          <w:szCs w:val="24"/>
        </w:rPr>
        <w:t>and</w:t>
      </w:r>
      <w:r w:rsidRPr="00EF6DC6">
        <w:rPr>
          <w:rFonts w:cs="Times New Roman"/>
          <w:b/>
          <w:noProof/>
          <w:szCs w:val="24"/>
        </w:rPr>
        <w:t xml:space="preserve"> Kibel M.</w:t>
      </w:r>
      <w:r w:rsidRPr="00583138">
        <w:rPr>
          <w:rFonts w:cs="Times New Roman"/>
          <w:noProof/>
          <w:szCs w:val="24"/>
        </w:rPr>
        <w:t xml:space="preserve"> </w:t>
      </w:r>
      <w:r w:rsidR="00EF6DC6">
        <w:rPr>
          <w:rFonts w:cs="Times New Roman"/>
          <w:noProof/>
          <w:szCs w:val="24"/>
        </w:rPr>
        <w:t xml:space="preserve">(1991) </w:t>
      </w:r>
      <w:r w:rsidRPr="00583138">
        <w:rPr>
          <w:rFonts w:cs="Times New Roman"/>
          <w:noProof/>
          <w:szCs w:val="24"/>
        </w:rPr>
        <w:t xml:space="preserve">Miliary tuberculosis in children: a review of 94 cases. </w:t>
      </w:r>
      <w:r w:rsidR="00EF6DC6" w:rsidRPr="00EF6DC6">
        <w:rPr>
          <w:rFonts w:cs="Times New Roman"/>
          <w:i/>
          <w:noProof/>
          <w:szCs w:val="24"/>
        </w:rPr>
        <w:t xml:space="preserve">The Pediatric Infectious Disease Journal </w:t>
      </w:r>
      <w:r w:rsidRPr="00583138">
        <w:rPr>
          <w:rFonts w:cs="Times New Roman"/>
          <w:b/>
          <w:bCs/>
          <w:noProof/>
          <w:szCs w:val="24"/>
        </w:rPr>
        <w:t>10,</w:t>
      </w:r>
      <w:r w:rsidRPr="00583138">
        <w:rPr>
          <w:rFonts w:cs="Times New Roman"/>
          <w:noProof/>
          <w:szCs w:val="24"/>
        </w:rPr>
        <w:t xml:space="preserve"> 832–</w:t>
      </w:r>
      <w:r w:rsidR="00EF6DC6">
        <w:rPr>
          <w:rFonts w:cs="Times New Roman"/>
          <w:noProof/>
          <w:szCs w:val="24"/>
        </w:rPr>
        <w:t>83</w:t>
      </w:r>
      <w:r w:rsidRPr="00583138">
        <w:rPr>
          <w:rFonts w:cs="Times New Roman"/>
          <w:noProof/>
          <w:szCs w:val="24"/>
        </w:rPr>
        <w:t>6.</w:t>
      </w:r>
    </w:p>
    <w:p w14:paraId="63F355C3" w14:textId="0120F8A5"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20.</w:t>
      </w:r>
      <w:r w:rsidRPr="00583138">
        <w:rPr>
          <w:rFonts w:cs="Times New Roman"/>
          <w:noProof/>
          <w:szCs w:val="24"/>
        </w:rPr>
        <w:tab/>
      </w:r>
      <w:r w:rsidRPr="00EF6DC6">
        <w:rPr>
          <w:rFonts w:cs="Times New Roman"/>
          <w:b/>
          <w:noProof/>
          <w:szCs w:val="24"/>
        </w:rPr>
        <w:t>Straetemans</w:t>
      </w:r>
      <w:r w:rsidR="00EF6DC6" w:rsidRPr="00EF6DC6">
        <w:rPr>
          <w:rFonts w:cs="Times New Roman"/>
          <w:b/>
          <w:noProof/>
          <w:szCs w:val="24"/>
        </w:rPr>
        <w:t xml:space="preserve"> M </w:t>
      </w:r>
      <w:r w:rsidR="00EF6DC6" w:rsidRPr="00EF6DC6">
        <w:rPr>
          <w:rFonts w:cs="Times New Roman"/>
          <w:b/>
          <w:i/>
          <w:noProof/>
          <w:szCs w:val="24"/>
        </w:rPr>
        <w:t>et al</w:t>
      </w:r>
      <w:r w:rsidR="00EF6DC6" w:rsidRPr="00EF6DC6">
        <w:rPr>
          <w:rFonts w:cs="Times New Roman"/>
          <w:b/>
          <w:noProof/>
          <w:szCs w:val="24"/>
        </w:rPr>
        <w:t>.</w:t>
      </w:r>
      <w:r w:rsidR="00EF6DC6">
        <w:rPr>
          <w:rFonts w:cs="Times New Roman"/>
          <w:noProof/>
          <w:szCs w:val="24"/>
        </w:rPr>
        <w:t xml:space="preserve"> (2011) </w:t>
      </w:r>
      <w:r w:rsidRPr="00583138">
        <w:rPr>
          <w:rFonts w:cs="Times New Roman"/>
          <w:noProof/>
          <w:szCs w:val="24"/>
        </w:rPr>
        <w:t xml:space="preserve">Assessing tuberculosis case fatality ratio: a meta-analysis. </w:t>
      </w:r>
      <w:r w:rsidRPr="00583138">
        <w:rPr>
          <w:rFonts w:cs="Times New Roman"/>
          <w:i/>
          <w:iCs/>
          <w:noProof/>
          <w:szCs w:val="24"/>
        </w:rPr>
        <w:t>PLoS One</w:t>
      </w:r>
      <w:r w:rsidRPr="00583138">
        <w:rPr>
          <w:rFonts w:cs="Times New Roman"/>
          <w:noProof/>
          <w:szCs w:val="24"/>
        </w:rPr>
        <w:t xml:space="preserve"> </w:t>
      </w:r>
      <w:r w:rsidRPr="00583138">
        <w:rPr>
          <w:rFonts w:cs="Times New Roman"/>
          <w:b/>
          <w:bCs/>
          <w:noProof/>
          <w:szCs w:val="24"/>
        </w:rPr>
        <w:t>6,</w:t>
      </w:r>
      <w:r w:rsidRPr="00583138">
        <w:rPr>
          <w:rFonts w:cs="Times New Roman"/>
          <w:noProof/>
          <w:szCs w:val="24"/>
        </w:rPr>
        <w:t xml:space="preserve"> e20755.</w:t>
      </w:r>
    </w:p>
    <w:p w14:paraId="092DFA0D" w14:textId="1EC82866"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21.</w:t>
      </w:r>
      <w:r w:rsidRPr="00583138">
        <w:rPr>
          <w:rFonts w:cs="Times New Roman"/>
          <w:noProof/>
          <w:szCs w:val="24"/>
        </w:rPr>
        <w:tab/>
      </w:r>
      <w:r w:rsidRPr="00EF6DC6">
        <w:rPr>
          <w:rFonts w:cs="Times New Roman"/>
          <w:b/>
          <w:noProof/>
          <w:szCs w:val="24"/>
        </w:rPr>
        <w:t xml:space="preserve">Pablos-Méndez A, Blustein J </w:t>
      </w:r>
      <w:r w:rsidR="00EF6DC6" w:rsidRPr="00EF6DC6">
        <w:rPr>
          <w:rFonts w:cs="Times New Roman"/>
          <w:b/>
          <w:noProof/>
          <w:szCs w:val="24"/>
        </w:rPr>
        <w:t xml:space="preserve">and </w:t>
      </w:r>
      <w:r w:rsidRPr="00EF6DC6">
        <w:rPr>
          <w:rFonts w:cs="Times New Roman"/>
          <w:b/>
          <w:noProof/>
          <w:szCs w:val="24"/>
        </w:rPr>
        <w:t xml:space="preserve">Knirsch CA. </w:t>
      </w:r>
      <w:r w:rsidR="00EF6DC6">
        <w:rPr>
          <w:rFonts w:cs="Times New Roman"/>
          <w:noProof/>
          <w:szCs w:val="24"/>
        </w:rPr>
        <w:t xml:space="preserve">(1997) </w:t>
      </w:r>
      <w:r w:rsidRPr="00583138">
        <w:rPr>
          <w:rFonts w:cs="Times New Roman"/>
          <w:noProof/>
          <w:szCs w:val="24"/>
        </w:rPr>
        <w:t xml:space="preserve">The role of diabetes mellitus in the higher prevalence of tuberculosis among Hispanics. </w:t>
      </w:r>
      <w:r w:rsidR="00EF6DC6" w:rsidRPr="00EF6DC6">
        <w:rPr>
          <w:rFonts w:cs="Times New Roman"/>
          <w:i/>
          <w:noProof/>
          <w:szCs w:val="24"/>
        </w:rPr>
        <w:t>American Journal of Public Health</w:t>
      </w:r>
      <w:r w:rsidR="00EF6DC6" w:rsidRPr="00EF6DC6">
        <w:rPr>
          <w:rFonts w:cs="Times New Roman"/>
          <w:noProof/>
          <w:szCs w:val="24"/>
        </w:rPr>
        <w:t xml:space="preserve"> </w:t>
      </w:r>
      <w:r w:rsidRPr="00583138">
        <w:rPr>
          <w:rFonts w:cs="Times New Roman"/>
          <w:b/>
          <w:bCs/>
          <w:noProof/>
          <w:szCs w:val="24"/>
        </w:rPr>
        <w:t>87,</w:t>
      </w:r>
      <w:r w:rsidRPr="00583138">
        <w:rPr>
          <w:rFonts w:cs="Times New Roman"/>
          <w:noProof/>
          <w:szCs w:val="24"/>
        </w:rPr>
        <w:t xml:space="preserve"> 574–</w:t>
      </w:r>
      <w:r w:rsidR="00EF6DC6">
        <w:rPr>
          <w:rFonts w:cs="Times New Roman"/>
          <w:noProof/>
          <w:szCs w:val="24"/>
        </w:rPr>
        <w:t>57</w:t>
      </w:r>
      <w:r w:rsidRPr="00583138">
        <w:rPr>
          <w:rFonts w:cs="Times New Roman"/>
          <w:noProof/>
          <w:szCs w:val="24"/>
        </w:rPr>
        <w:t>9.</w:t>
      </w:r>
    </w:p>
    <w:p w14:paraId="43DE80E4" w14:textId="0D638E9E"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22.</w:t>
      </w:r>
      <w:r w:rsidRPr="00583138">
        <w:rPr>
          <w:rFonts w:cs="Times New Roman"/>
          <w:noProof/>
          <w:szCs w:val="24"/>
        </w:rPr>
        <w:tab/>
      </w:r>
      <w:r w:rsidRPr="00EF6DC6">
        <w:rPr>
          <w:rFonts w:cs="Times New Roman"/>
          <w:b/>
          <w:noProof/>
          <w:szCs w:val="24"/>
        </w:rPr>
        <w:t>Alisjahbana</w:t>
      </w:r>
      <w:r w:rsidR="00EF6DC6" w:rsidRPr="00EF6DC6">
        <w:rPr>
          <w:rFonts w:cs="Times New Roman"/>
          <w:b/>
          <w:noProof/>
          <w:szCs w:val="24"/>
        </w:rPr>
        <w:t xml:space="preserve"> </w:t>
      </w:r>
      <w:r w:rsidRPr="00EF6DC6">
        <w:rPr>
          <w:rFonts w:cs="Times New Roman"/>
          <w:b/>
          <w:noProof/>
          <w:szCs w:val="24"/>
        </w:rPr>
        <w:t xml:space="preserve">B </w:t>
      </w:r>
      <w:r w:rsidRPr="00EF6DC6">
        <w:rPr>
          <w:rFonts w:cs="Times New Roman"/>
          <w:b/>
          <w:i/>
          <w:iCs/>
          <w:noProof/>
          <w:szCs w:val="24"/>
        </w:rPr>
        <w:t>et al.</w:t>
      </w:r>
      <w:r w:rsidRPr="00583138">
        <w:rPr>
          <w:rFonts w:cs="Times New Roman"/>
          <w:noProof/>
          <w:szCs w:val="24"/>
        </w:rPr>
        <w:t xml:space="preserve"> </w:t>
      </w:r>
      <w:r w:rsidR="00EF6DC6">
        <w:rPr>
          <w:rFonts w:cs="Times New Roman"/>
          <w:noProof/>
          <w:szCs w:val="24"/>
        </w:rPr>
        <w:t xml:space="preserve">(2006) </w:t>
      </w:r>
      <w:r w:rsidRPr="00583138">
        <w:rPr>
          <w:rFonts w:cs="Times New Roman"/>
          <w:noProof/>
          <w:szCs w:val="24"/>
        </w:rPr>
        <w:t xml:space="preserve">Diabetes mellitus is strongly associated with tuberculosis in Indonesia. </w:t>
      </w:r>
      <w:r w:rsidR="00EF6DC6" w:rsidRPr="00EF6DC6">
        <w:rPr>
          <w:rFonts w:cs="Times New Roman"/>
          <w:i/>
          <w:noProof/>
          <w:szCs w:val="24"/>
        </w:rPr>
        <w:t>International Journal of Tuberculosis and Lung Disease</w:t>
      </w:r>
      <w:r w:rsidR="00EF6DC6" w:rsidRPr="00EF6DC6">
        <w:rPr>
          <w:rFonts w:cs="Times New Roman"/>
          <w:noProof/>
          <w:szCs w:val="24"/>
        </w:rPr>
        <w:t xml:space="preserve"> </w:t>
      </w:r>
      <w:r w:rsidRPr="00583138">
        <w:rPr>
          <w:rFonts w:cs="Times New Roman"/>
          <w:b/>
          <w:bCs/>
          <w:noProof/>
          <w:szCs w:val="24"/>
        </w:rPr>
        <w:t>10,</w:t>
      </w:r>
      <w:r w:rsidRPr="00583138">
        <w:rPr>
          <w:rFonts w:cs="Times New Roman"/>
          <w:noProof/>
          <w:szCs w:val="24"/>
        </w:rPr>
        <w:t xml:space="preserve"> 696–700.</w:t>
      </w:r>
    </w:p>
    <w:p w14:paraId="4A037F32" w14:textId="6E9ABF81"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23.</w:t>
      </w:r>
      <w:r w:rsidRPr="00583138">
        <w:rPr>
          <w:rFonts w:cs="Times New Roman"/>
          <w:noProof/>
          <w:szCs w:val="24"/>
        </w:rPr>
        <w:tab/>
      </w:r>
      <w:r w:rsidRPr="00EF6DC6">
        <w:rPr>
          <w:rFonts w:cs="Times New Roman"/>
          <w:b/>
          <w:noProof/>
          <w:szCs w:val="24"/>
        </w:rPr>
        <w:t>Kim</w:t>
      </w:r>
      <w:r w:rsidR="00EF6DC6" w:rsidRPr="00EF6DC6">
        <w:rPr>
          <w:rFonts w:cs="Times New Roman"/>
          <w:b/>
          <w:noProof/>
          <w:szCs w:val="24"/>
        </w:rPr>
        <w:t xml:space="preserve"> SJ </w:t>
      </w:r>
      <w:r w:rsidR="00EF6DC6" w:rsidRPr="00EF6DC6">
        <w:rPr>
          <w:rFonts w:cs="Times New Roman"/>
          <w:b/>
          <w:i/>
          <w:noProof/>
          <w:szCs w:val="24"/>
        </w:rPr>
        <w:t>et al</w:t>
      </w:r>
      <w:r w:rsidRPr="00EF6DC6">
        <w:rPr>
          <w:rFonts w:cs="Times New Roman"/>
          <w:b/>
          <w:noProof/>
          <w:szCs w:val="24"/>
        </w:rPr>
        <w:t>.</w:t>
      </w:r>
      <w:r w:rsidRPr="00583138">
        <w:rPr>
          <w:rFonts w:cs="Times New Roman"/>
          <w:noProof/>
          <w:szCs w:val="24"/>
        </w:rPr>
        <w:t xml:space="preserve"> </w:t>
      </w:r>
      <w:r w:rsidR="00EF6DC6">
        <w:rPr>
          <w:rFonts w:cs="Times New Roman"/>
          <w:noProof/>
          <w:szCs w:val="24"/>
        </w:rPr>
        <w:t xml:space="preserve">(1995) </w:t>
      </w:r>
      <w:r w:rsidRPr="00583138">
        <w:rPr>
          <w:rFonts w:cs="Times New Roman"/>
          <w:noProof/>
          <w:szCs w:val="24"/>
        </w:rPr>
        <w:t xml:space="preserve">Incidence of pulmonary tuberculosis among diabetics. </w:t>
      </w:r>
      <w:r w:rsidR="00EF6DC6" w:rsidRPr="00EF6DC6">
        <w:rPr>
          <w:rFonts w:cs="Times New Roman"/>
          <w:i/>
          <w:noProof/>
          <w:szCs w:val="24"/>
        </w:rPr>
        <w:t>Tubercle and Lung Disease</w:t>
      </w:r>
      <w:r w:rsidRPr="00583138">
        <w:rPr>
          <w:rFonts w:cs="Times New Roman"/>
          <w:b/>
          <w:bCs/>
          <w:noProof/>
          <w:szCs w:val="24"/>
        </w:rPr>
        <w:t>76,</w:t>
      </w:r>
      <w:r w:rsidRPr="00583138">
        <w:rPr>
          <w:rFonts w:cs="Times New Roman"/>
          <w:noProof/>
          <w:szCs w:val="24"/>
        </w:rPr>
        <w:t xml:space="preserve"> 529–</w:t>
      </w:r>
      <w:r w:rsidR="00EF6DC6">
        <w:rPr>
          <w:rFonts w:cs="Times New Roman"/>
          <w:noProof/>
          <w:szCs w:val="24"/>
        </w:rPr>
        <w:t>5</w:t>
      </w:r>
      <w:r w:rsidRPr="00583138">
        <w:rPr>
          <w:rFonts w:cs="Times New Roman"/>
          <w:noProof/>
          <w:szCs w:val="24"/>
        </w:rPr>
        <w:t>33.</w:t>
      </w:r>
    </w:p>
    <w:p w14:paraId="03338F3D" w14:textId="3FED4D18"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24.</w:t>
      </w:r>
      <w:r w:rsidRPr="00583138">
        <w:rPr>
          <w:rFonts w:cs="Times New Roman"/>
          <w:noProof/>
          <w:szCs w:val="24"/>
        </w:rPr>
        <w:tab/>
      </w:r>
      <w:r w:rsidRPr="00EF6DC6">
        <w:rPr>
          <w:rFonts w:cs="Times New Roman"/>
          <w:b/>
          <w:noProof/>
          <w:szCs w:val="24"/>
        </w:rPr>
        <w:t xml:space="preserve">Ponce-De-Leon A </w:t>
      </w:r>
      <w:r w:rsidRPr="00EF6DC6">
        <w:rPr>
          <w:rFonts w:cs="Times New Roman"/>
          <w:b/>
          <w:i/>
          <w:iCs/>
          <w:noProof/>
          <w:szCs w:val="24"/>
        </w:rPr>
        <w:t>et al.</w:t>
      </w:r>
      <w:r w:rsidRPr="00583138">
        <w:rPr>
          <w:rFonts w:cs="Times New Roman"/>
          <w:noProof/>
          <w:szCs w:val="24"/>
        </w:rPr>
        <w:t xml:space="preserve"> </w:t>
      </w:r>
      <w:r w:rsidR="00EF6DC6">
        <w:rPr>
          <w:rFonts w:cs="Times New Roman"/>
          <w:noProof/>
          <w:szCs w:val="24"/>
        </w:rPr>
        <w:t xml:space="preserve">(2004) </w:t>
      </w:r>
      <w:r w:rsidRPr="00583138">
        <w:rPr>
          <w:rFonts w:cs="Times New Roman"/>
          <w:noProof/>
          <w:szCs w:val="24"/>
        </w:rPr>
        <w:t xml:space="preserve">Tuberculosis and diabetes in southern Mexico. </w:t>
      </w:r>
      <w:r w:rsidRPr="00583138">
        <w:rPr>
          <w:rFonts w:cs="Times New Roman"/>
          <w:i/>
          <w:iCs/>
          <w:noProof/>
          <w:szCs w:val="24"/>
        </w:rPr>
        <w:t>Diabetes Care</w:t>
      </w:r>
      <w:r w:rsidRPr="00583138">
        <w:rPr>
          <w:rFonts w:cs="Times New Roman"/>
          <w:noProof/>
          <w:szCs w:val="24"/>
        </w:rPr>
        <w:t xml:space="preserve"> </w:t>
      </w:r>
      <w:r w:rsidRPr="00583138">
        <w:rPr>
          <w:rFonts w:cs="Times New Roman"/>
          <w:b/>
          <w:bCs/>
          <w:noProof/>
          <w:szCs w:val="24"/>
        </w:rPr>
        <w:t>27,</w:t>
      </w:r>
      <w:r w:rsidRPr="00583138">
        <w:rPr>
          <w:rFonts w:cs="Times New Roman"/>
          <w:noProof/>
          <w:szCs w:val="24"/>
        </w:rPr>
        <w:t xml:space="preserve"> 1584–</w:t>
      </w:r>
      <w:r w:rsidR="00EF6DC6">
        <w:rPr>
          <w:rFonts w:cs="Times New Roman"/>
          <w:noProof/>
          <w:szCs w:val="24"/>
        </w:rPr>
        <w:t>15</w:t>
      </w:r>
      <w:r w:rsidRPr="00583138">
        <w:rPr>
          <w:rFonts w:cs="Times New Roman"/>
          <w:noProof/>
          <w:szCs w:val="24"/>
        </w:rPr>
        <w:t>90.</w:t>
      </w:r>
    </w:p>
    <w:p w14:paraId="6C0AC41D" w14:textId="496FE24C"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25.</w:t>
      </w:r>
      <w:r w:rsidRPr="00583138">
        <w:rPr>
          <w:rFonts w:cs="Times New Roman"/>
          <w:noProof/>
          <w:szCs w:val="24"/>
        </w:rPr>
        <w:tab/>
      </w:r>
      <w:r w:rsidRPr="00EF6DC6">
        <w:rPr>
          <w:rFonts w:cs="Times New Roman"/>
          <w:b/>
          <w:noProof/>
          <w:szCs w:val="24"/>
        </w:rPr>
        <w:t>Pérez A</w:t>
      </w:r>
      <w:r w:rsidR="00EF6DC6" w:rsidRPr="00EF6DC6">
        <w:rPr>
          <w:rFonts w:cs="Times New Roman"/>
          <w:b/>
          <w:noProof/>
          <w:szCs w:val="24"/>
        </w:rPr>
        <w:t xml:space="preserve"> </w:t>
      </w:r>
      <w:r w:rsidR="00EF6DC6" w:rsidRPr="00EF6DC6">
        <w:rPr>
          <w:rFonts w:cs="Times New Roman"/>
          <w:b/>
          <w:i/>
          <w:noProof/>
          <w:szCs w:val="24"/>
        </w:rPr>
        <w:t>et al</w:t>
      </w:r>
      <w:r w:rsidRPr="00583138">
        <w:rPr>
          <w:rFonts w:cs="Times New Roman"/>
          <w:noProof/>
          <w:szCs w:val="24"/>
        </w:rPr>
        <w:t xml:space="preserve">. </w:t>
      </w:r>
      <w:r w:rsidR="00EF6DC6">
        <w:rPr>
          <w:rFonts w:cs="Times New Roman"/>
          <w:noProof/>
          <w:szCs w:val="24"/>
        </w:rPr>
        <w:t xml:space="preserve">(2006) </w:t>
      </w:r>
      <w:r w:rsidRPr="00583138">
        <w:rPr>
          <w:rFonts w:cs="Times New Roman"/>
          <w:noProof/>
          <w:szCs w:val="24"/>
        </w:rPr>
        <w:t>Association between tuberculosis and diabetes in the Mexican border and non-border regions of Texas.</w:t>
      </w:r>
      <w:r w:rsidR="00EF6DC6">
        <w:rPr>
          <w:rFonts w:cs="Times New Roman"/>
          <w:i/>
          <w:iCs/>
          <w:noProof/>
          <w:szCs w:val="24"/>
        </w:rPr>
        <w:t xml:space="preserve"> </w:t>
      </w:r>
      <w:r w:rsidR="00EF6DC6" w:rsidRPr="00EF6DC6">
        <w:rPr>
          <w:rFonts w:cs="Times New Roman"/>
          <w:i/>
          <w:iCs/>
          <w:noProof/>
          <w:szCs w:val="24"/>
        </w:rPr>
        <w:t>American Journal of Tropical Medicine and Hygiene</w:t>
      </w:r>
      <w:r w:rsidRPr="00583138">
        <w:rPr>
          <w:rFonts w:cs="Times New Roman"/>
          <w:noProof/>
          <w:szCs w:val="24"/>
        </w:rPr>
        <w:t xml:space="preserve"> </w:t>
      </w:r>
      <w:r w:rsidRPr="00583138">
        <w:rPr>
          <w:rFonts w:cs="Times New Roman"/>
          <w:b/>
          <w:bCs/>
          <w:noProof/>
          <w:szCs w:val="24"/>
        </w:rPr>
        <w:t>74,</w:t>
      </w:r>
      <w:r w:rsidRPr="00583138">
        <w:rPr>
          <w:rFonts w:cs="Times New Roman"/>
          <w:noProof/>
          <w:szCs w:val="24"/>
        </w:rPr>
        <w:t xml:space="preserve"> 604–</w:t>
      </w:r>
      <w:r w:rsidR="00EF6DC6">
        <w:rPr>
          <w:rFonts w:cs="Times New Roman"/>
          <w:noProof/>
          <w:szCs w:val="24"/>
        </w:rPr>
        <w:t>6</w:t>
      </w:r>
      <w:r w:rsidRPr="00583138">
        <w:rPr>
          <w:rFonts w:cs="Times New Roman"/>
          <w:noProof/>
          <w:szCs w:val="24"/>
        </w:rPr>
        <w:t>11.</w:t>
      </w:r>
    </w:p>
    <w:p w14:paraId="74128C23" w14:textId="1196F024"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lastRenderedPageBreak/>
        <w:t>26.</w:t>
      </w:r>
      <w:r w:rsidRPr="00583138">
        <w:rPr>
          <w:rFonts w:cs="Times New Roman"/>
          <w:noProof/>
          <w:szCs w:val="24"/>
        </w:rPr>
        <w:tab/>
      </w:r>
      <w:r w:rsidRPr="00EF6DC6">
        <w:rPr>
          <w:rFonts w:cs="Times New Roman"/>
          <w:b/>
          <w:noProof/>
          <w:szCs w:val="24"/>
        </w:rPr>
        <w:t>Oluboyo</w:t>
      </w:r>
      <w:r w:rsidR="00EF6DC6" w:rsidRPr="00EF6DC6">
        <w:rPr>
          <w:rFonts w:cs="Times New Roman"/>
          <w:b/>
          <w:noProof/>
          <w:szCs w:val="24"/>
        </w:rPr>
        <w:t xml:space="preserve"> </w:t>
      </w:r>
      <w:r w:rsidRPr="00EF6DC6">
        <w:rPr>
          <w:rFonts w:cs="Times New Roman"/>
          <w:b/>
          <w:noProof/>
          <w:szCs w:val="24"/>
        </w:rPr>
        <w:t xml:space="preserve">PO </w:t>
      </w:r>
      <w:r w:rsidR="00EF6DC6" w:rsidRPr="00EF6DC6">
        <w:rPr>
          <w:rFonts w:cs="Times New Roman"/>
          <w:b/>
          <w:noProof/>
          <w:szCs w:val="24"/>
        </w:rPr>
        <w:t>and</w:t>
      </w:r>
      <w:r w:rsidRPr="00EF6DC6">
        <w:rPr>
          <w:rFonts w:cs="Times New Roman"/>
          <w:b/>
          <w:noProof/>
          <w:szCs w:val="24"/>
        </w:rPr>
        <w:t xml:space="preserve"> Erasmus RT.</w:t>
      </w:r>
      <w:r w:rsidRPr="00583138">
        <w:rPr>
          <w:rFonts w:cs="Times New Roman"/>
          <w:noProof/>
          <w:szCs w:val="24"/>
        </w:rPr>
        <w:t xml:space="preserve"> </w:t>
      </w:r>
      <w:r w:rsidR="00EF6DC6">
        <w:rPr>
          <w:rFonts w:cs="Times New Roman"/>
          <w:noProof/>
          <w:szCs w:val="24"/>
        </w:rPr>
        <w:t xml:space="preserve">(1990) </w:t>
      </w:r>
      <w:r w:rsidRPr="00583138">
        <w:rPr>
          <w:rFonts w:cs="Times New Roman"/>
          <w:noProof/>
          <w:szCs w:val="24"/>
        </w:rPr>
        <w:t xml:space="preserve">The significance of glucose intolerance in pulmonary tuberculosis. </w:t>
      </w:r>
      <w:r w:rsidRPr="00583138">
        <w:rPr>
          <w:rFonts w:cs="Times New Roman"/>
          <w:i/>
          <w:iCs/>
          <w:noProof/>
          <w:szCs w:val="24"/>
        </w:rPr>
        <w:t>Tubercle</w:t>
      </w:r>
      <w:r w:rsidRPr="00583138">
        <w:rPr>
          <w:rFonts w:cs="Times New Roman"/>
          <w:noProof/>
          <w:szCs w:val="24"/>
        </w:rPr>
        <w:t xml:space="preserve"> </w:t>
      </w:r>
      <w:r w:rsidRPr="00583138">
        <w:rPr>
          <w:rFonts w:cs="Times New Roman"/>
          <w:b/>
          <w:bCs/>
          <w:noProof/>
          <w:szCs w:val="24"/>
        </w:rPr>
        <w:t>71,</w:t>
      </w:r>
      <w:r w:rsidRPr="00583138">
        <w:rPr>
          <w:rFonts w:cs="Times New Roman"/>
          <w:noProof/>
          <w:szCs w:val="24"/>
        </w:rPr>
        <w:t xml:space="preserve"> 135–</w:t>
      </w:r>
      <w:r w:rsidR="00EF6DC6">
        <w:rPr>
          <w:rFonts w:cs="Times New Roman"/>
          <w:noProof/>
          <w:szCs w:val="24"/>
        </w:rPr>
        <w:t>13</w:t>
      </w:r>
      <w:r w:rsidRPr="00583138">
        <w:rPr>
          <w:rFonts w:cs="Times New Roman"/>
          <w:noProof/>
          <w:szCs w:val="24"/>
        </w:rPr>
        <w:t>8.</w:t>
      </w:r>
    </w:p>
    <w:p w14:paraId="06971860" w14:textId="28D11C79"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27.</w:t>
      </w:r>
      <w:r w:rsidRPr="00583138">
        <w:rPr>
          <w:rFonts w:cs="Times New Roman"/>
          <w:noProof/>
          <w:szCs w:val="24"/>
        </w:rPr>
        <w:tab/>
      </w:r>
      <w:r w:rsidRPr="00EF6DC6">
        <w:rPr>
          <w:rFonts w:cs="Times New Roman"/>
          <w:b/>
          <w:noProof/>
          <w:szCs w:val="24"/>
        </w:rPr>
        <w:t>Başoğlu</w:t>
      </w:r>
      <w:r w:rsidR="00EF6DC6" w:rsidRPr="00EF6DC6">
        <w:rPr>
          <w:rFonts w:cs="Times New Roman"/>
          <w:b/>
          <w:noProof/>
          <w:szCs w:val="24"/>
        </w:rPr>
        <w:t xml:space="preserve"> OK </w:t>
      </w:r>
      <w:r w:rsidR="00EF6DC6" w:rsidRPr="00EF6DC6">
        <w:rPr>
          <w:rFonts w:cs="Times New Roman"/>
          <w:b/>
          <w:i/>
          <w:noProof/>
          <w:szCs w:val="24"/>
        </w:rPr>
        <w:t>et al.</w:t>
      </w:r>
      <w:r w:rsidR="00EF6DC6" w:rsidRPr="00EF6DC6">
        <w:rPr>
          <w:rFonts w:cs="Times New Roman"/>
          <w:i/>
          <w:noProof/>
          <w:szCs w:val="24"/>
        </w:rPr>
        <w:t xml:space="preserve"> </w:t>
      </w:r>
      <w:r w:rsidR="00EF6DC6">
        <w:rPr>
          <w:rFonts w:cs="Times New Roman"/>
          <w:noProof/>
          <w:szCs w:val="24"/>
        </w:rPr>
        <w:t xml:space="preserve">(1999) </w:t>
      </w:r>
      <w:r w:rsidRPr="00583138">
        <w:rPr>
          <w:rFonts w:cs="Times New Roman"/>
          <w:noProof/>
          <w:szCs w:val="24"/>
        </w:rPr>
        <w:t xml:space="preserve">The oral glucose tolerance test in patients with respiratory infections. </w:t>
      </w:r>
      <w:r w:rsidR="00EF6DC6" w:rsidRPr="00EF6DC6">
        <w:rPr>
          <w:rFonts w:cs="Times New Roman"/>
          <w:i/>
          <w:noProof/>
          <w:szCs w:val="24"/>
        </w:rPr>
        <w:t xml:space="preserve">Monaldi Archives for Chest Disease </w:t>
      </w:r>
      <w:r w:rsidRPr="00583138">
        <w:rPr>
          <w:rFonts w:cs="Times New Roman"/>
          <w:b/>
          <w:bCs/>
          <w:noProof/>
          <w:szCs w:val="24"/>
        </w:rPr>
        <w:t>54,</w:t>
      </w:r>
      <w:r w:rsidRPr="00583138">
        <w:rPr>
          <w:rFonts w:cs="Times New Roman"/>
          <w:noProof/>
          <w:szCs w:val="24"/>
        </w:rPr>
        <w:t xml:space="preserve"> 307–</w:t>
      </w:r>
      <w:r w:rsidR="00EF6DC6">
        <w:rPr>
          <w:rFonts w:cs="Times New Roman"/>
          <w:noProof/>
          <w:szCs w:val="24"/>
        </w:rPr>
        <w:t>3</w:t>
      </w:r>
      <w:r w:rsidRPr="00583138">
        <w:rPr>
          <w:rFonts w:cs="Times New Roman"/>
          <w:noProof/>
          <w:szCs w:val="24"/>
        </w:rPr>
        <w:t>10.</w:t>
      </w:r>
    </w:p>
    <w:p w14:paraId="6D8EBF83" w14:textId="588B462E"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28.</w:t>
      </w:r>
      <w:r w:rsidRPr="00583138">
        <w:rPr>
          <w:rFonts w:cs="Times New Roman"/>
          <w:noProof/>
          <w:szCs w:val="24"/>
        </w:rPr>
        <w:tab/>
      </w:r>
      <w:r w:rsidRPr="00EF6DC6">
        <w:rPr>
          <w:rFonts w:cs="Times New Roman"/>
          <w:b/>
          <w:noProof/>
          <w:szCs w:val="24"/>
        </w:rPr>
        <w:t xml:space="preserve">Jeon CY </w:t>
      </w:r>
      <w:r w:rsidR="00EF6DC6" w:rsidRPr="00EF6DC6">
        <w:rPr>
          <w:rFonts w:cs="Times New Roman"/>
          <w:b/>
          <w:noProof/>
          <w:szCs w:val="24"/>
        </w:rPr>
        <w:t>and</w:t>
      </w:r>
      <w:r w:rsidRPr="00EF6DC6">
        <w:rPr>
          <w:rFonts w:cs="Times New Roman"/>
          <w:b/>
          <w:noProof/>
          <w:szCs w:val="24"/>
        </w:rPr>
        <w:t xml:space="preserve"> Murray</w:t>
      </w:r>
      <w:r w:rsidR="00EF6DC6" w:rsidRPr="00EF6DC6">
        <w:rPr>
          <w:rFonts w:cs="Times New Roman"/>
          <w:b/>
          <w:noProof/>
          <w:szCs w:val="24"/>
        </w:rPr>
        <w:t xml:space="preserve"> </w:t>
      </w:r>
      <w:r w:rsidRPr="00EF6DC6">
        <w:rPr>
          <w:rFonts w:cs="Times New Roman"/>
          <w:b/>
          <w:noProof/>
          <w:szCs w:val="24"/>
        </w:rPr>
        <w:t>MB.</w:t>
      </w:r>
      <w:r w:rsidRPr="00583138">
        <w:rPr>
          <w:rFonts w:cs="Times New Roman"/>
          <w:noProof/>
          <w:szCs w:val="24"/>
        </w:rPr>
        <w:t xml:space="preserve"> </w:t>
      </w:r>
      <w:r w:rsidR="00E55702">
        <w:rPr>
          <w:rFonts w:cs="Times New Roman"/>
          <w:noProof/>
          <w:szCs w:val="24"/>
        </w:rPr>
        <w:t xml:space="preserve">(2008) </w:t>
      </w:r>
      <w:r w:rsidRPr="00583138">
        <w:rPr>
          <w:rFonts w:cs="Times New Roman"/>
          <w:noProof/>
          <w:szCs w:val="24"/>
        </w:rPr>
        <w:t xml:space="preserve">Diabetes mellitus increases the risk of active tuberculosis: a systematic review of 13 observational studies. </w:t>
      </w:r>
      <w:r w:rsidRPr="00583138">
        <w:rPr>
          <w:rFonts w:cs="Times New Roman"/>
          <w:i/>
          <w:iCs/>
          <w:noProof/>
          <w:szCs w:val="24"/>
        </w:rPr>
        <w:t>PLoS Med</w:t>
      </w:r>
      <w:r w:rsidR="00E55702">
        <w:rPr>
          <w:rFonts w:cs="Times New Roman"/>
          <w:i/>
          <w:iCs/>
          <w:noProof/>
          <w:szCs w:val="24"/>
        </w:rPr>
        <w:t>icine</w:t>
      </w:r>
      <w:r w:rsidRPr="00583138">
        <w:rPr>
          <w:rFonts w:cs="Times New Roman"/>
          <w:noProof/>
          <w:szCs w:val="24"/>
        </w:rPr>
        <w:t xml:space="preserve"> </w:t>
      </w:r>
      <w:r w:rsidRPr="00583138">
        <w:rPr>
          <w:rFonts w:cs="Times New Roman"/>
          <w:b/>
          <w:bCs/>
          <w:noProof/>
          <w:szCs w:val="24"/>
        </w:rPr>
        <w:t>5,</w:t>
      </w:r>
      <w:r w:rsidRPr="00583138">
        <w:rPr>
          <w:rFonts w:cs="Times New Roman"/>
          <w:noProof/>
          <w:szCs w:val="24"/>
        </w:rPr>
        <w:t xml:space="preserve"> e152.</w:t>
      </w:r>
    </w:p>
    <w:p w14:paraId="1855FDFA" w14:textId="3FCD7FBD"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29.</w:t>
      </w:r>
      <w:r w:rsidRPr="00583138">
        <w:rPr>
          <w:rFonts w:cs="Times New Roman"/>
          <w:noProof/>
          <w:szCs w:val="24"/>
        </w:rPr>
        <w:tab/>
      </w:r>
      <w:r w:rsidRPr="00E55702">
        <w:rPr>
          <w:rFonts w:cs="Times New Roman"/>
          <w:b/>
          <w:noProof/>
          <w:szCs w:val="24"/>
        </w:rPr>
        <w:t>Council of Ministers, Republic of Bulgaria.</w:t>
      </w:r>
      <w:r w:rsidRPr="00583138">
        <w:rPr>
          <w:rFonts w:cs="Times New Roman"/>
          <w:noProof/>
          <w:szCs w:val="24"/>
        </w:rPr>
        <w:t xml:space="preserve"> </w:t>
      </w:r>
      <w:r w:rsidRPr="00E55702">
        <w:rPr>
          <w:rFonts w:cs="Times New Roman"/>
          <w:iCs/>
          <w:noProof/>
          <w:szCs w:val="24"/>
        </w:rPr>
        <w:t>National Programme for prevention and control of tuberculosis in the republic of Bulgaria for the period 2016-2020</w:t>
      </w:r>
      <w:r w:rsidRPr="00E55702">
        <w:rPr>
          <w:rFonts w:cs="Times New Roman"/>
          <w:noProof/>
          <w:szCs w:val="24"/>
        </w:rPr>
        <w:t>.</w:t>
      </w:r>
      <w:r w:rsidRPr="00583138">
        <w:rPr>
          <w:rFonts w:cs="Times New Roman"/>
          <w:noProof/>
          <w:szCs w:val="24"/>
        </w:rPr>
        <w:t xml:space="preserve"> </w:t>
      </w:r>
    </w:p>
    <w:p w14:paraId="35FD1D30" w14:textId="42E4E9EA"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30.</w:t>
      </w:r>
      <w:r w:rsidRPr="00583138">
        <w:rPr>
          <w:rFonts w:cs="Times New Roman"/>
          <w:noProof/>
          <w:szCs w:val="24"/>
        </w:rPr>
        <w:tab/>
      </w:r>
      <w:r w:rsidRPr="00E55702">
        <w:rPr>
          <w:rFonts w:cs="Times New Roman"/>
          <w:b/>
          <w:noProof/>
          <w:szCs w:val="24"/>
        </w:rPr>
        <w:t>Trauer</w:t>
      </w:r>
      <w:r w:rsidR="00E55702" w:rsidRPr="00E55702">
        <w:rPr>
          <w:rFonts w:cs="Times New Roman"/>
          <w:b/>
          <w:noProof/>
          <w:szCs w:val="24"/>
        </w:rPr>
        <w:t xml:space="preserve"> </w:t>
      </w:r>
      <w:r w:rsidRPr="00E55702">
        <w:rPr>
          <w:rFonts w:cs="Times New Roman"/>
          <w:b/>
          <w:noProof/>
          <w:szCs w:val="24"/>
        </w:rPr>
        <w:t xml:space="preserve">JM </w:t>
      </w:r>
      <w:r w:rsidRPr="00E55702">
        <w:rPr>
          <w:rFonts w:cs="Times New Roman"/>
          <w:b/>
          <w:i/>
          <w:iCs/>
          <w:noProof/>
          <w:szCs w:val="24"/>
        </w:rPr>
        <w:t>et al.</w:t>
      </w:r>
      <w:r w:rsidRPr="00583138">
        <w:rPr>
          <w:rFonts w:cs="Times New Roman"/>
          <w:noProof/>
          <w:szCs w:val="24"/>
        </w:rPr>
        <w:t xml:space="preserve"> </w:t>
      </w:r>
      <w:r w:rsidR="00E55702">
        <w:rPr>
          <w:rFonts w:cs="Times New Roman"/>
          <w:noProof/>
          <w:szCs w:val="24"/>
        </w:rPr>
        <w:t xml:space="preserve">(2016) </w:t>
      </w:r>
      <w:r w:rsidRPr="00583138">
        <w:rPr>
          <w:rFonts w:cs="Times New Roman"/>
          <w:noProof/>
          <w:szCs w:val="24"/>
        </w:rPr>
        <w:t xml:space="preserve">Modelling the effect of short-course multidrug-resistant tuberculosis treatment in Karakalpakstan, Uzbekistan. </w:t>
      </w:r>
      <w:r w:rsidRPr="00583138">
        <w:rPr>
          <w:rFonts w:cs="Times New Roman"/>
          <w:i/>
          <w:iCs/>
          <w:noProof/>
          <w:szCs w:val="24"/>
        </w:rPr>
        <w:t>BMC Med</w:t>
      </w:r>
      <w:r w:rsidR="00E55702">
        <w:rPr>
          <w:rFonts w:cs="Times New Roman"/>
          <w:i/>
          <w:iCs/>
          <w:noProof/>
          <w:szCs w:val="24"/>
        </w:rPr>
        <w:t>icine</w:t>
      </w:r>
      <w:r w:rsidRPr="00583138">
        <w:rPr>
          <w:rFonts w:cs="Times New Roman"/>
          <w:noProof/>
          <w:szCs w:val="24"/>
        </w:rPr>
        <w:t xml:space="preserve"> </w:t>
      </w:r>
      <w:r w:rsidRPr="00583138">
        <w:rPr>
          <w:rFonts w:cs="Times New Roman"/>
          <w:b/>
          <w:bCs/>
          <w:noProof/>
          <w:szCs w:val="24"/>
        </w:rPr>
        <w:t>14,</w:t>
      </w:r>
      <w:r w:rsidRPr="00583138">
        <w:rPr>
          <w:rFonts w:cs="Times New Roman"/>
          <w:noProof/>
          <w:szCs w:val="24"/>
        </w:rPr>
        <w:t xml:space="preserve"> 187.</w:t>
      </w:r>
    </w:p>
    <w:p w14:paraId="4A558B36" w14:textId="4424640E"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31.</w:t>
      </w:r>
      <w:r w:rsidRPr="00583138">
        <w:rPr>
          <w:rFonts w:cs="Times New Roman"/>
          <w:noProof/>
          <w:szCs w:val="24"/>
        </w:rPr>
        <w:tab/>
      </w:r>
      <w:r w:rsidRPr="00E55702">
        <w:rPr>
          <w:rFonts w:cs="Times New Roman"/>
          <w:b/>
          <w:noProof/>
          <w:szCs w:val="24"/>
        </w:rPr>
        <w:t>Van Deun</w:t>
      </w:r>
      <w:r w:rsidR="00E55702" w:rsidRPr="00E55702">
        <w:rPr>
          <w:rFonts w:cs="Times New Roman"/>
          <w:b/>
          <w:noProof/>
          <w:szCs w:val="24"/>
        </w:rPr>
        <w:t xml:space="preserve"> </w:t>
      </w:r>
      <w:r w:rsidRPr="00E55702">
        <w:rPr>
          <w:rFonts w:cs="Times New Roman"/>
          <w:b/>
          <w:noProof/>
          <w:szCs w:val="24"/>
        </w:rPr>
        <w:t xml:space="preserve">A </w:t>
      </w:r>
      <w:r w:rsidRPr="00E55702">
        <w:rPr>
          <w:rFonts w:cs="Times New Roman"/>
          <w:b/>
          <w:i/>
          <w:iCs/>
          <w:noProof/>
          <w:szCs w:val="24"/>
        </w:rPr>
        <w:t>et al.</w:t>
      </w:r>
      <w:r w:rsidRPr="00583138">
        <w:rPr>
          <w:rFonts w:cs="Times New Roman"/>
          <w:noProof/>
          <w:szCs w:val="24"/>
        </w:rPr>
        <w:t xml:space="preserve"> </w:t>
      </w:r>
      <w:r w:rsidR="00E55702">
        <w:rPr>
          <w:rFonts w:cs="Times New Roman"/>
          <w:noProof/>
          <w:szCs w:val="24"/>
        </w:rPr>
        <w:t xml:space="preserve">(2010) </w:t>
      </w:r>
      <w:r w:rsidRPr="00583138">
        <w:rPr>
          <w:rFonts w:cs="Times New Roman"/>
          <w:noProof/>
          <w:szCs w:val="24"/>
        </w:rPr>
        <w:t xml:space="preserve">Short, highly effective, and inexpensive standardized treatment of multidrug-resistant tuberculosis. </w:t>
      </w:r>
      <w:r w:rsidR="00E55702" w:rsidRPr="00E55702">
        <w:rPr>
          <w:rFonts w:cs="Times New Roman"/>
          <w:i/>
          <w:noProof/>
          <w:szCs w:val="24"/>
        </w:rPr>
        <w:t>American Journal of Respiratory and Critical Care Medicine</w:t>
      </w:r>
      <w:r w:rsidR="00E55702" w:rsidRPr="00E55702">
        <w:rPr>
          <w:rFonts w:cs="Times New Roman"/>
          <w:noProof/>
          <w:szCs w:val="24"/>
        </w:rPr>
        <w:t xml:space="preserve"> </w:t>
      </w:r>
      <w:r w:rsidRPr="00583138">
        <w:rPr>
          <w:rFonts w:cs="Times New Roman"/>
          <w:b/>
          <w:bCs/>
          <w:noProof/>
          <w:szCs w:val="24"/>
        </w:rPr>
        <w:t>182,</w:t>
      </w:r>
      <w:r w:rsidRPr="00583138">
        <w:rPr>
          <w:rFonts w:cs="Times New Roman"/>
          <w:noProof/>
          <w:szCs w:val="24"/>
        </w:rPr>
        <w:t xml:space="preserve"> 684–692.</w:t>
      </w:r>
    </w:p>
    <w:p w14:paraId="4ECA691D" w14:textId="445B789D"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32.</w:t>
      </w:r>
      <w:r w:rsidRPr="00583138">
        <w:rPr>
          <w:rFonts w:cs="Times New Roman"/>
          <w:noProof/>
          <w:szCs w:val="24"/>
        </w:rPr>
        <w:tab/>
      </w:r>
      <w:r w:rsidRPr="00E55702">
        <w:rPr>
          <w:rFonts w:cs="Times New Roman"/>
          <w:b/>
          <w:noProof/>
          <w:szCs w:val="24"/>
        </w:rPr>
        <w:t>Piubello</w:t>
      </w:r>
      <w:r w:rsidR="00E55702" w:rsidRPr="00E55702">
        <w:rPr>
          <w:rFonts w:cs="Times New Roman"/>
          <w:b/>
          <w:noProof/>
          <w:szCs w:val="24"/>
        </w:rPr>
        <w:t xml:space="preserve"> </w:t>
      </w:r>
      <w:r w:rsidRPr="00E55702">
        <w:rPr>
          <w:rFonts w:cs="Times New Roman"/>
          <w:b/>
          <w:noProof/>
          <w:szCs w:val="24"/>
        </w:rPr>
        <w:t xml:space="preserve">A </w:t>
      </w:r>
      <w:r w:rsidRPr="00E55702">
        <w:rPr>
          <w:rFonts w:cs="Times New Roman"/>
          <w:b/>
          <w:i/>
          <w:iCs/>
          <w:noProof/>
          <w:szCs w:val="24"/>
        </w:rPr>
        <w:t>et al.</w:t>
      </w:r>
      <w:r w:rsidRPr="00583138">
        <w:rPr>
          <w:rFonts w:cs="Times New Roman"/>
          <w:noProof/>
          <w:szCs w:val="24"/>
        </w:rPr>
        <w:t xml:space="preserve"> </w:t>
      </w:r>
      <w:r w:rsidR="00E55702">
        <w:rPr>
          <w:rFonts w:cs="Times New Roman"/>
          <w:noProof/>
          <w:szCs w:val="24"/>
        </w:rPr>
        <w:t xml:space="preserve">(2014) </w:t>
      </w:r>
      <w:r w:rsidRPr="00583138">
        <w:rPr>
          <w:rFonts w:cs="Times New Roman"/>
          <w:noProof/>
          <w:szCs w:val="24"/>
        </w:rPr>
        <w:t xml:space="preserve">High cure rate with standardised short-course multidrug-resistant tuberculosis treatment in Niger: no relapses. </w:t>
      </w:r>
      <w:r w:rsidR="00E55702" w:rsidRPr="008B2EB5">
        <w:rPr>
          <w:rFonts w:cs="Times New Roman"/>
          <w:i/>
          <w:noProof/>
          <w:szCs w:val="24"/>
        </w:rPr>
        <w:t>International Journal of Tuberculosis and Lung Disease</w:t>
      </w:r>
      <w:r w:rsidR="00E55702" w:rsidRPr="00583138">
        <w:rPr>
          <w:rFonts w:cs="Times New Roman"/>
          <w:b/>
          <w:bCs/>
          <w:noProof/>
          <w:szCs w:val="24"/>
        </w:rPr>
        <w:t xml:space="preserve"> </w:t>
      </w:r>
      <w:r w:rsidRPr="00583138">
        <w:rPr>
          <w:rFonts w:cs="Times New Roman"/>
          <w:b/>
          <w:bCs/>
          <w:noProof/>
          <w:szCs w:val="24"/>
        </w:rPr>
        <w:t>18,</w:t>
      </w:r>
      <w:r w:rsidRPr="00583138">
        <w:rPr>
          <w:rFonts w:cs="Times New Roman"/>
          <w:noProof/>
          <w:szCs w:val="24"/>
        </w:rPr>
        <w:t xml:space="preserve"> 1188–1194.</w:t>
      </w:r>
    </w:p>
    <w:p w14:paraId="462F56DA" w14:textId="6FCD62F9"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33.</w:t>
      </w:r>
      <w:r w:rsidRPr="00583138">
        <w:rPr>
          <w:rFonts w:cs="Times New Roman"/>
          <w:noProof/>
          <w:szCs w:val="24"/>
        </w:rPr>
        <w:tab/>
      </w:r>
      <w:r w:rsidRPr="00E55702">
        <w:rPr>
          <w:rFonts w:cs="Times New Roman"/>
          <w:b/>
          <w:noProof/>
          <w:szCs w:val="24"/>
        </w:rPr>
        <w:t>Kuaban</w:t>
      </w:r>
      <w:r w:rsidR="00E55702" w:rsidRPr="00E55702">
        <w:rPr>
          <w:rFonts w:cs="Times New Roman"/>
          <w:b/>
          <w:noProof/>
          <w:szCs w:val="24"/>
        </w:rPr>
        <w:t xml:space="preserve"> </w:t>
      </w:r>
      <w:r w:rsidRPr="00E55702">
        <w:rPr>
          <w:rFonts w:cs="Times New Roman"/>
          <w:b/>
          <w:noProof/>
          <w:szCs w:val="24"/>
        </w:rPr>
        <w:t xml:space="preserve">C </w:t>
      </w:r>
      <w:r w:rsidRPr="00E55702">
        <w:rPr>
          <w:rFonts w:cs="Times New Roman"/>
          <w:b/>
          <w:i/>
          <w:iCs/>
          <w:noProof/>
          <w:szCs w:val="24"/>
        </w:rPr>
        <w:t>et al.</w:t>
      </w:r>
      <w:r w:rsidRPr="00583138">
        <w:rPr>
          <w:rFonts w:cs="Times New Roman"/>
          <w:noProof/>
          <w:szCs w:val="24"/>
        </w:rPr>
        <w:t xml:space="preserve"> </w:t>
      </w:r>
      <w:r w:rsidR="00E55702">
        <w:rPr>
          <w:rFonts w:cs="Times New Roman"/>
          <w:noProof/>
          <w:szCs w:val="24"/>
        </w:rPr>
        <w:t xml:space="preserve">(2015) </w:t>
      </w:r>
      <w:r w:rsidRPr="00583138">
        <w:rPr>
          <w:rFonts w:cs="Times New Roman"/>
          <w:noProof/>
          <w:szCs w:val="24"/>
        </w:rPr>
        <w:t xml:space="preserve">High effectiveness of a 12-month regimen for MDR-TB patients in Cameroon. </w:t>
      </w:r>
      <w:r w:rsidR="00E55702" w:rsidRPr="008B2EB5">
        <w:rPr>
          <w:rFonts w:cs="Times New Roman"/>
          <w:i/>
          <w:noProof/>
          <w:szCs w:val="24"/>
        </w:rPr>
        <w:t>International Journal of Tuberculosis and Lung Disease</w:t>
      </w:r>
      <w:r w:rsidR="00E55702" w:rsidRPr="00583138">
        <w:rPr>
          <w:rFonts w:cs="Times New Roman"/>
          <w:b/>
          <w:bCs/>
          <w:noProof/>
          <w:szCs w:val="24"/>
        </w:rPr>
        <w:t xml:space="preserve"> </w:t>
      </w:r>
      <w:r w:rsidRPr="00583138">
        <w:rPr>
          <w:rFonts w:cs="Times New Roman"/>
          <w:b/>
          <w:bCs/>
          <w:noProof/>
          <w:szCs w:val="24"/>
        </w:rPr>
        <w:t>19,</w:t>
      </w:r>
      <w:r w:rsidRPr="00583138">
        <w:rPr>
          <w:rFonts w:cs="Times New Roman"/>
          <w:noProof/>
          <w:szCs w:val="24"/>
        </w:rPr>
        <w:t xml:space="preserve"> 517–524.</w:t>
      </w:r>
    </w:p>
    <w:p w14:paraId="2123B074" w14:textId="6ADB660F"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34.</w:t>
      </w:r>
      <w:r w:rsidRPr="00583138">
        <w:rPr>
          <w:rFonts w:cs="Times New Roman"/>
          <w:noProof/>
          <w:szCs w:val="24"/>
        </w:rPr>
        <w:tab/>
      </w:r>
      <w:r w:rsidRPr="00E55702">
        <w:rPr>
          <w:rFonts w:cs="Times New Roman"/>
          <w:b/>
          <w:noProof/>
          <w:szCs w:val="24"/>
        </w:rPr>
        <w:t xml:space="preserve">Aung KJ </w:t>
      </w:r>
      <w:r w:rsidRPr="00E55702">
        <w:rPr>
          <w:rFonts w:cs="Times New Roman"/>
          <w:b/>
          <w:i/>
          <w:iCs/>
          <w:noProof/>
          <w:szCs w:val="24"/>
        </w:rPr>
        <w:t>et al.</w:t>
      </w:r>
      <w:r w:rsidRPr="00583138">
        <w:rPr>
          <w:rFonts w:cs="Times New Roman"/>
          <w:noProof/>
          <w:szCs w:val="24"/>
        </w:rPr>
        <w:t xml:space="preserve"> </w:t>
      </w:r>
      <w:r w:rsidR="00E55702">
        <w:rPr>
          <w:rFonts w:cs="Times New Roman"/>
          <w:noProof/>
          <w:szCs w:val="24"/>
        </w:rPr>
        <w:t xml:space="preserve">(2014) </w:t>
      </w:r>
      <w:r w:rsidRPr="00583138">
        <w:rPr>
          <w:rFonts w:cs="Times New Roman"/>
          <w:noProof/>
          <w:szCs w:val="24"/>
        </w:rPr>
        <w:t xml:space="preserve">Successful ‘9-month Bangladesh regimen’ for multidrug-resistant tuberculosis among over 500 consecutive patients. </w:t>
      </w:r>
      <w:r w:rsidR="00E55702" w:rsidRPr="008B2EB5">
        <w:rPr>
          <w:rFonts w:cs="Times New Roman"/>
          <w:i/>
          <w:noProof/>
          <w:szCs w:val="24"/>
        </w:rPr>
        <w:t>International Journal of Tuberculosis and Lung Disease</w:t>
      </w:r>
      <w:r w:rsidR="00E55702" w:rsidRPr="00583138">
        <w:rPr>
          <w:rFonts w:cs="Times New Roman"/>
          <w:b/>
          <w:bCs/>
          <w:noProof/>
          <w:szCs w:val="24"/>
        </w:rPr>
        <w:t xml:space="preserve"> </w:t>
      </w:r>
      <w:r w:rsidRPr="00583138">
        <w:rPr>
          <w:rFonts w:cs="Times New Roman"/>
          <w:b/>
          <w:bCs/>
          <w:noProof/>
          <w:szCs w:val="24"/>
        </w:rPr>
        <w:t>18,</w:t>
      </w:r>
      <w:r w:rsidRPr="00583138">
        <w:rPr>
          <w:rFonts w:cs="Times New Roman"/>
          <w:noProof/>
          <w:szCs w:val="24"/>
        </w:rPr>
        <w:t xml:space="preserve"> 1180–1187.</w:t>
      </w:r>
    </w:p>
    <w:p w14:paraId="71352203" w14:textId="58E75675"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35.</w:t>
      </w:r>
      <w:r w:rsidRPr="00583138">
        <w:rPr>
          <w:rFonts w:cs="Times New Roman"/>
          <w:noProof/>
          <w:szCs w:val="24"/>
        </w:rPr>
        <w:tab/>
      </w:r>
      <w:r w:rsidRPr="00E55702">
        <w:rPr>
          <w:rFonts w:cs="Times New Roman"/>
          <w:b/>
          <w:noProof/>
          <w:szCs w:val="24"/>
        </w:rPr>
        <w:t>Lange</w:t>
      </w:r>
      <w:r w:rsidR="00E55702" w:rsidRPr="00E55702">
        <w:rPr>
          <w:rFonts w:cs="Times New Roman"/>
          <w:b/>
          <w:noProof/>
          <w:szCs w:val="24"/>
        </w:rPr>
        <w:t xml:space="preserve"> </w:t>
      </w:r>
      <w:r w:rsidRPr="00E55702">
        <w:rPr>
          <w:rFonts w:cs="Times New Roman"/>
          <w:b/>
          <w:noProof/>
          <w:szCs w:val="24"/>
        </w:rPr>
        <w:t xml:space="preserve">C </w:t>
      </w:r>
      <w:r w:rsidRPr="00E55702">
        <w:rPr>
          <w:rFonts w:cs="Times New Roman"/>
          <w:b/>
          <w:i/>
          <w:iCs/>
          <w:noProof/>
          <w:szCs w:val="24"/>
        </w:rPr>
        <w:t>et al.</w:t>
      </w:r>
      <w:r w:rsidRPr="00583138">
        <w:rPr>
          <w:rFonts w:cs="Times New Roman"/>
          <w:noProof/>
          <w:szCs w:val="24"/>
        </w:rPr>
        <w:t xml:space="preserve"> </w:t>
      </w:r>
      <w:r w:rsidR="00E55702">
        <w:rPr>
          <w:rFonts w:cs="Times New Roman"/>
          <w:noProof/>
          <w:szCs w:val="24"/>
        </w:rPr>
        <w:t xml:space="preserve">(2016) </w:t>
      </w:r>
      <w:r w:rsidRPr="00583138">
        <w:rPr>
          <w:rFonts w:cs="Times New Roman"/>
          <w:noProof/>
          <w:szCs w:val="24"/>
        </w:rPr>
        <w:t>Limited Benefit of the New Shorter Multidrug-Resistant Tuberculosis Regimen in Europe.</w:t>
      </w:r>
      <w:r w:rsidR="00780E80">
        <w:rPr>
          <w:rFonts w:cs="Times New Roman"/>
          <w:i/>
          <w:iCs/>
          <w:noProof/>
          <w:szCs w:val="24"/>
        </w:rPr>
        <w:t xml:space="preserve"> </w:t>
      </w:r>
      <w:r w:rsidR="00780E80" w:rsidRPr="00780E80">
        <w:rPr>
          <w:rFonts w:cs="Times New Roman"/>
          <w:i/>
          <w:iCs/>
          <w:noProof/>
          <w:szCs w:val="24"/>
        </w:rPr>
        <w:t>American Journal of Respiratory and Critical Care Medicine</w:t>
      </w:r>
      <w:r w:rsidRPr="00583138">
        <w:rPr>
          <w:rFonts w:cs="Times New Roman"/>
          <w:noProof/>
          <w:szCs w:val="24"/>
        </w:rPr>
        <w:t xml:space="preserve"> </w:t>
      </w:r>
      <w:r w:rsidRPr="00583138">
        <w:rPr>
          <w:rFonts w:cs="Times New Roman"/>
          <w:b/>
          <w:bCs/>
          <w:noProof/>
          <w:szCs w:val="24"/>
        </w:rPr>
        <w:t>194,</w:t>
      </w:r>
      <w:r w:rsidRPr="00583138">
        <w:rPr>
          <w:rFonts w:cs="Times New Roman"/>
          <w:noProof/>
          <w:szCs w:val="24"/>
        </w:rPr>
        <w:t xml:space="preserve"> 1029–1031.</w:t>
      </w:r>
    </w:p>
    <w:p w14:paraId="1E66BF0F" w14:textId="2E022AF3"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36.</w:t>
      </w:r>
      <w:r w:rsidRPr="00583138">
        <w:rPr>
          <w:rFonts w:cs="Times New Roman"/>
          <w:noProof/>
          <w:szCs w:val="24"/>
        </w:rPr>
        <w:tab/>
      </w:r>
      <w:r w:rsidRPr="00780E80">
        <w:rPr>
          <w:rFonts w:cs="Times New Roman"/>
          <w:b/>
          <w:noProof/>
          <w:szCs w:val="24"/>
        </w:rPr>
        <w:t>Günther G</w:t>
      </w:r>
      <w:r w:rsidR="00780E80" w:rsidRPr="00780E80">
        <w:rPr>
          <w:rFonts w:cs="Times New Roman"/>
          <w:b/>
          <w:noProof/>
          <w:szCs w:val="24"/>
        </w:rPr>
        <w:t xml:space="preserve"> </w:t>
      </w:r>
      <w:r w:rsidRPr="00780E80">
        <w:rPr>
          <w:rFonts w:cs="Times New Roman"/>
          <w:b/>
          <w:i/>
          <w:iCs/>
          <w:noProof/>
          <w:szCs w:val="24"/>
        </w:rPr>
        <w:t>et al.</w:t>
      </w:r>
      <w:r w:rsidRPr="00583138">
        <w:rPr>
          <w:rFonts w:cs="Times New Roman"/>
          <w:noProof/>
          <w:szCs w:val="24"/>
        </w:rPr>
        <w:t xml:space="preserve"> </w:t>
      </w:r>
      <w:r w:rsidR="00780E80">
        <w:rPr>
          <w:rFonts w:cs="Times New Roman"/>
          <w:noProof/>
          <w:szCs w:val="24"/>
        </w:rPr>
        <w:t xml:space="preserve">(2015) </w:t>
      </w:r>
      <w:r w:rsidRPr="00583138">
        <w:rPr>
          <w:rFonts w:cs="Times New Roman"/>
          <w:noProof/>
          <w:szCs w:val="24"/>
        </w:rPr>
        <w:t xml:space="preserve">Multidrug-Resistant Tuberculosis in Europe, 2010–2011. </w:t>
      </w:r>
      <w:r w:rsidR="00780E80" w:rsidRPr="00780E80">
        <w:rPr>
          <w:rFonts w:cs="Times New Roman"/>
          <w:i/>
          <w:noProof/>
          <w:szCs w:val="24"/>
        </w:rPr>
        <w:t>Emerging Infectious Diseases</w:t>
      </w:r>
      <w:r w:rsidR="00780E80">
        <w:rPr>
          <w:rFonts w:cs="Times New Roman"/>
          <w:noProof/>
          <w:szCs w:val="24"/>
        </w:rPr>
        <w:t xml:space="preserve"> </w:t>
      </w:r>
      <w:r w:rsidRPr="00583138">
        <w:rPr>
          <w:rFonts w:cs="Times New Roman"/>
          <w:b/>
          <w:bCs/>
          <w:noProof/>
          <w:szCs w:val="24"/>
        </w:rPr>
        <w:t>21,</w:t>
      </w:r>
      <w:r w:rsidRPr="00583138">
        <w:rPr>
          <w:rFonts w:cs="Times New Roman"/>
          <w:noProof/>
          <w:szCs w:val="24"/>
        </w:rPr>
        <w:t xml:space="preserve"> 409–416.</w:t>
      </w:r>
    </w:p>
    <w:p w14:paraId="66BC6090" w14:textId="0E23CC27"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37.</w:t>
      </w:r>
      <w:r w:rsidRPr="00583138">
        <w:rPr>
          <w:rFonts w:cs="Times New Roman"/>
          <w:noProof/>
          <w:szCs w:val="24"/>
        </w:rPr>
        <w:tab/>
      </w:r>
      <w:r w:rsidRPr="00780E80">
        <w:rPr>
          <w:rFonts w:cs="Times New Roman"/>
          <w:b/>
          <w:noProof/>
          <w:szCs w:val="24"/>
        </w:rPr>
        <w:t>Martins</w:t>
      </w:r>
      <w:r w:rsidR="00780E80" w:rsidRPr="00780E80">
        <w:rPr>
          <w:rFonts w:cs="Times New Roman"/>
          <w:b/>
          <w:noProof/>
          <w:szCs w:val="24"/>
        </w:rPr>
        <w:t xml:space="preserve"> </w:t>
      </w:r>
      <w:r w:rsidRPr="00780E80">
        <w:rPr>
          <w:rFonts w:cs="Times New Roman"/>
          <w:b/>
          <w:noProof/>
          <w:szCs w:val="24"/>
        </w:rPr>
        <w:t xml:space="preserve">N, Morris P </w:t>
      </w:r>
      <w:r w:rsidR="00780E80" w:rsidRPr="00780E80">
        <w:rPr>
          <w:rFonts w:cs="Times New Roman"/>
          <w:b/>
          <w:noProof/>
          <w:szCs w:val="24"/>
        </w:rPr>
        <w:t>and</w:t>
      </w:r>
      <w:r w:rsidRPr="00780E80">
        <w:rPr>
          <w:rFonts w:cs="Times New Roman"/>
          <w:b/>
          <w:noProof/>
          <w:szCs w:val="24"/>
        </w:rPr>
        <w:t xml:space="preserve"> Kelly PM.</w:t>
      </w:r>
      <w:r w:rsidRPr="00583138">
        <w:rPr>
          <w:rFonts w:cs="Times New Roman"/>
          <w:noProof/>
          <w:szCs w:val="24"/>
        </w:rPr>
        <w:t xml:space="preserve"> </w:t>
      </w:r>
      <w:r w:rsidR="00780E80">
        <w:rPr>
          <w:rFonts w:cs="Times New Roman"/>
          <w:noProof/>
          <w:szCs w:val="24"/>
        </w:rPr>
        <w:t xml:space="preserve">(2009) </w:t>
      </w:r>
      <w:r w:rsidRPr="00583138">
        <w:rPr>
          <w:rFonts w:cs="Times New Roman"/>
          <w:noProof/>
          <w:szCs w:val="24"/>
        </w:rPr>
        <w:t xml:space="preserve">Food incentives to improve completion of tuberculosis treatment: randomised controlled trial in Dili, Timor-Leste. </w:t>
      </w:r>
      <w:r w:rsidRPr="00583138">
        <w:rPr>
          <w:rFonts w:cs="Times New Roman"/>
          <w:i/>
          <w:iCs/>
          <w:noProof/>
          <w:szCs w:val="24"/>
        </w:rPr>
        <w:t>BMJ</w:t>
      </w:r>
      <w:r w:rsidRPr="00583138">
        <w:rPr>
          <w:rFonts w:cs="Times New Roman"/>
          <w:noProof/>
          <w:szCs w:val="24"/>
        </w:rPr>
        <w:t xml:space="preserve"> </w:t>
      </w:r>
      <w:r w:rsidRPr="00583138">
        <w:rPr>
          <w:rFonts w:cs="Times New Roman"/>
          <w:b/>
          <w:bCs/>
          <w:noProof/>
          <w:szCs w:val="24"/>
        </w:rPr>
        <w:t>339</w:t>
      </w:r>
      <w:r w:rsidR="00780E80">
        <w:rPr>
          <w:rFonts w:cs="Times New Roman"/>
          <w:noProof/>
          <w:szCs w:val="24"/>
        </w:rPr>
        <w:t>,</w:t>
      </w:r>
      <w:r w:rsidR="00780E80" w:rsidRPr="00780E80">
        <w:t xml:space="preserve"> </w:t>
      </w:r>
      <w:r w:rsidR="00780E80" w:rsidRPr="00780E80">
        <w:rPr>
          <w:rFonts w:cs="Times New Roman"/>
          <w:noProof/>
          <w:szCs w:val="24"/>
        </w:rPr>
        <w:t>b4248</w:t>
      </w:r>
    </w:p>
    <w:p w14:paraId="63D16467" w14:textId="0FF69FEE"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38.</w:t>
      </w:r>
      <w:r w:rsidRPr="00583138">
        <w:rPr>
          <w:rFonts w:cs="Times New Roman"/>
          <w:noProof/>
          <w:szCs w:val="24"/>
        </w:rPr>
        <w:tab/>
      </w:r>
      <w:r w:rsidRPr="00780E80">
        <w:rPr>
          <w:rFonts w:cs="Times New Roman"/>
          <w:b/>
          <w:noProof/>
          <w:szCs w:val="24"/>
        </w:rPr>
        <w:t>Lutge</w:t>
      </w:r>
      <w:r w:rsidR="00780E80" w:rsidRPr="00780E80">
        <w:rPr>
          <w:rFonts w:cs="Times New Roman"/>
          <w:b/>
          <w:noProof/>
          <w:szCs w:val="24"/>
        </w:rPr>
        <w:t xml:space="preserve"> E </w:t>
      </w:r>
      <w:r w:rsidR="00780E80" w:rsidRPr="00780E80">
        <w:rPr>
          <w:rFonts w:cs="Times New Roman"/>
          <w:b/>
          <w:i/>
          <w:noProof/>
          <w:szCs w:val="24"/>
        </w:rPr>
        <w:t>et al</w:t>
      </w:r>
      <w:r w:rsidR="00780E80" w:rsidRPr="00780E80">
        <w:rPr>
          <w:rFonts w:cs="Times New Roman"/>
          <w:b/>
          <w:noProof/>
          <w:szCs w:val="24"/>
        </w:rPr>
        <w:t>.</w:t>
      </w:r>
      <w:r w:rsidR="00780E80">
        <w:rPr>
          <w:rFonts w:cs="Times New Roman"/>
          <w:noProof/>
          <w:szCs w:val="24"/>
        </w:rPr>
        <w:t xml:space="preserve"> (2013) </w:t>
      </w:r>
      <w:r w:rsidRPr="00583138">
        <w:rPr>
          <w:rFonts w:cs="Times New Roman"/>
          <w:noProof/>
          <w:szCs w:val="24"/>
        </w:rPr>
        <w:t xml:space="preserve">Economic support to improve tuberculosis treatment outcomes in </w:t>
      </w:r>
      <w:r w:rsidRPr="00583138">
        <w:rPr>
          <w:rFonts w:cs="Times New Roman"/>
          <w:noProof/>
          <w:szCs w:val="24"/>
        </w:rPr>
        <w:lastRenderedPageBreak/>
        <w:t xml:space="preserve">South Africa: a pragmatic cluster-randomized controlled trial. </w:t>
      </w:r>
      <w:r w:rsidRPr="00583138">
        <w:rPr>
          <w:rFonts w:cs="Times New Roman"/>
          <w:i/>
          <w:iCs/>
          <w:noProof/>
          <w:szCs w:val="24"/>
        </w:rPr>
        <w:t>Trials</w:t>
      </w:r>
      <w:r w:rsidRPr="00583138">
        <w:rPr>
          <w:rFonts w:cs="Times New Roman"/>
          <w:noProof/>
          <w:szCs w:val="24"/>
        </w:rPr>
        <w:t xml:space="preserve"> </w:t>
      </w:r>
      <w:r w:rsidRPr="00583138">
        <w:rPr>
          <w:rFonts w:cs="Times New Roman"/>
          <w:b/>
          <w:bCs/>
          <w:noProof/>
          <w:szCs w:val="24"/>
        </w:rPr>
        <w:t>14,</w:t>
      </w:r>
      <w:r w:rsidRPr="00583138">
        <w:rPr>
          <w:rFonts w:cs="Times New Roman"/>
          <w:noProof/>
          <w:szCs w:val="24"/>
        </w:rPr>
        <w:t xml:space="preserve"> 154.</w:t>
      </w:r>
    </w:p>
    <w:p w14:paraId="7305B96D" w14:textId="7C087EEE"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39.</w:t>
      </w:r>
      <w:r w:rsidRPr="00583138">
        <w:rPr>
          <w:rFonts w:cs="Times New Roman"/>
          <w:noProof/>
          <w:szCs w:val="24"/>
        </w:rPr>
        <w:tab/>
      </w:r>
      <w:r w:rsidRPr="00780E80">
        <w:rPr>
          <w:rFonts w:cs="Times New Roman"/>
          <w:b/>
          <w:noProof/>
          <w:szCs w:val="24"/>
        </w:rPr>
        <w:t>Ciobanu</w:t>
      </w:r>
      <w:r w:rsidR="00780E80" w:rsidRPr="00780E80">
        <w:rPr>
          <w:rFonts w:cs="Times New Roman"/>
          <w:b/>
          <w:noProof/>
          <w:szCs w:val="24"/>
        </w:rPr>
        <w:t xml:space="preserve"> </w:t>
      </w:r>
      <w:r w:rsidRPr="00780E80">
        <w:rPr>
          <w:rFonts w:cs="Times New Roman"/>
          <w:b/>
          <w:noProof/>
          <w:szCs w:val="24"/>
        </w:rPr>
        <w:t xml:space="preserve">A </w:t>
      </w:r>
      <w:r w:rsidRPr="00780E80">
        <w:rPr>
          <w:rFonts w:cs="Times New Roman"/>
          <w:b/>
          <w:i/>
          <w:iCs/>
          <w:noProof/>
          <w:szCs w:val="24"/>
        </w:rPr>
        <w:t>et al.</w:t>
      </w:r>
      <w:r w:rsidRPr="00583138">
        <w:rPr>
          <w:rFonts w:cs="Times New Roman"/>
          <w:noProof/>
          <w:szCs w:val="24"/>
        </w:rPr>
        <w:t xml:space="preserve"> </w:t>
      </w:r>
      <w:r w:rsidR="00780E80">
        <w:rPr>
          <w:rFonts w:cs="Times New Roman"/>
          <w:noProof/>
          <w:szCs w:val="24"/>
        </w:rPr>
        <w:t xml:space="preserve">(2014) </w:t>
      </w:r>
      <w:r w:rsidRPr="00583138">
        <w:rPr>
          <w:rFonts w:cs="Times New Roman"/>
          <w:noProof/>
          <w:szCs w:val="24"/>
        </w:rPr>
        <w:t xml:space="preserve">Do incentives improve tuberculosis treatment outcomes in the Republic of Moldova? </w:t>
      </w:r>
      <w:r w:rsidR="00780E80" w:rsidRPr="00780E80">
        <w:rPr>
          <w:rFonts w:cs="Times New Roman"/>
          <w:i/>
          <w:noProof/>
          <w:szCs w:val="24"/>
        </w:rPr>
        <w:t>Public Health Action</w:t>
      </w:r>
      <w:r w:rsidR="00780E80" w:rsidRPr="00780E80">
        <w:rPr>
          <w:rFonts w:cs="Times New Roman"/>
          <w:noProof/>
          <w:szCs w:val="24"/>
        </w:rPr>
        <w:t xml:space="preserve"> </w:t>
      </w:r>
      <w:r w:rsidRPr="00583138">
        <w:rPr>
          <w:rFonts w:cs="Times New Roman"/>
          <w:b/>
          <w:bCs/>
          <w:noProof/>
          <w:szCs w:val="24"/>
        </w:rPr>
        <w:t>4,</w:t>
      </w:r>
      <w:r w:rsidRPr="00583138">
        <w:rPr>
          <w:rFonts w:cs="Times New Roman"/>
          <w:noProof/>
          <w:szCs w:val="24"/>
        </w:rPr>
        <w:t xml:space="preserve"> 59–63.</w:t>
      </w:r>
    </w:p>
    <w:p w14:paraId="3DA78E06" w14:textId="20323794"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40.</w:t>
      </w:r>
      <w:r w:rsidRPr="00583138">
        <w:rPr>
          <w:rFonts w:cs="Times New Roman"/>
          <w:noProof/>
          <w:szCs w:val="24"/>
        </w:rPr>
        <w:tab/>
      </w:r>
      <w:r w:rsidRPr="00780E80">
        <w:rPr>
          <w:rFonts w:cs="Times New Roman"/>
          <w:b/>
          <w:noProof/>
          <w:szCs w:val="24"/>
        </w:rPr>
        <w:t>Bassili</w:t>
      </w:r>
      <w:r w:rsidR="00780E80" w:rsidRPr="00780E80">
        <w:rPr>
          <w:rFonts w:cs="Times New Roman"/>
          <w:b/>
          <w:noProof/>
          <w:szCs w:val="24"/>
        </w:rPr>
        <w:t xml:space="preserve"> </w:t>
      </w:r>
      <w:r w:rsidRPr="00780E80">
        <w:rPr>
          <w:rFonts w:cs="Times New Roman"/>
          <w:b/>
          <w:noProof/>
          <w:szCs w:val="24"/>
        </w:rPr>
        <w:t xml:space="preserve">A </w:t>
      </w:r>
      <w:r w:rsidRPr="00780E80">
        <w:rPr>
          <w:rFonts w:cs="Times New Roman"/>
          <w:b/>
          <w:i/>
          <w:iCs/>
          <w:noProof/>
          <w:szCs w:val="24"/>
        </w:rPr>
        <w:t>et al.</w:t>
      </w:r>
      <w:r w:rsidRPr="00583138">
        <w:rPr>
          <w:rFonts w:cs="Times New Roman"/>
          <w:noProof/>
          <w:szCs w:val="24"/>
        </w:rPr>
        <w:t xml:space="preserve"> </w:t>
      </w:r>
      <w:r w:rsidR="00780E80">
        <w:rPr>
          <w:rFonts w:cs="Times New Roman"/>
          <w:noProof/>
          <w:szCs w:val="24"/>
        </w:rPr>
        <w:t xml:space="preserve">(2013) </w:t>
      </w:r>
      <w:r w:rsidRPr="00583138">
        <w:rPr>
          <w:rFonts w:cs="Times New Roman"/>
          <w:noProof/>
          <w:szCs w:val="24"/>
        </w:rPr>
        <w:t xml:space="preserve">A systematic review of the effectiveness of hospital- and ambulatory-based management of multidrug-resistant tuberculosis. </w:t>
      </w:r>
      <w:r w:rsidR="00780E80" w:rsidRPr="00780E80">
        <w:rPr>
          <w:rFonts w:cs="Times New Roman"/>
          <w:i/>
          <w:noProof/>
          <w:szCs w:val="24"/>
        </w:rPr>
        <w:t>American Journal of Tropical Medicine and Hygiene</w:t>
      </w:r>
      <w:r w:rsidR="00780E80">
        <w:rPr>
          <w:rFonts w:cs="Times New Roman"/>
          <w:i/>
          <w:noProof/>
          <w:szCs w:val="24"/>
        </w:rPr>
        <w:t xml:space="preserve"> </w:t>
      </w:r>
      <w:r w:rsidRPr="00583138">
        <w:rPr>
          <w:rFonts w:cs="Times New Roman"/>
          <w:b/>
          <w:bCs/>
          <w:noProof/>
          <w:szCs w:val="24"/>
        </w:rPr>
        <w:t>89,</w:t>
      </w:r>
      <w:r w:rsidRPr="00583138">
        <w:rPr>
          <w:rFonts w:cs="Times New Roman"/>
          <w:noProof/>
          <w:szCs w:val="24"/>
        </w:rPr>
        <w:t xml:space="preserve"> 271–</w:t>
      </w:r>
      <w:r w:rsidR="00780E80">
        <w:rPr>
          <w:rFonts w:cs="Times New Roman"/>
          <w:noProof/>
          <w:szCs w:val="24"/>
        </w:rPr>
        <w:t>2</w:t>
      </w:r>
      <w:r w:rsidRPr="00583138">
        <w:rPr>
          <w:rFonts w:cs="Times New Roman"/>
          <w:noProof/>
          <w:szCs w:val="24"/>
        </w:rPr>
        <w:t>80.</w:t>
      </w:r>
    </w:p>
    <w:p w14:paraId="60004695" w14:textId="7BA2B940"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41.</w:t>
      </w:r>
      <w:r w:rsidRPr="00583138">
        <w:rPr>
          <w:rFonts w:cs="Times New Roman"/>
          <w:noProof/>
          <w:szCs w:val="24"/>
        </w:rPr>
        <w:tab/>
      </w:r>
      <w:r w:rsidRPr="00BB2C5E">
        <w:rPr>
          <w:rFonts w:cs="Times New Roman"/>
          <w:b/>
          <w:noProof/>
          <w:szCs w:val="24"/>
        </w:rPr>
        <w:t>Fitzpatrick</w:t>
      </w:r>
      <w:r w:rsidR="00BB2C5E" w:rsidRPr="00BB2C5E">
        <w:rPr>
          <w:rFonts w:cs="Times New Roman"/>
          <w:b/>
          <w:noProof/>
          <w:szCs w:val="24"/>
        </w:rPr>
        <w:t xml:space="preserve"> </w:t>
      </w:r>
      <w:r w:rsidRPr="00BB2C5E">
        <w:rPr>
          <w:rFonts w:cs="Times New Roman"/>
          <w:b/>
          <w:noProof/>
          <w:szCs w:val="24"/>
        </w:rPr>
        <w:t xml:space="preserve">C </w:t>
      </w:r>
      <w:r w:rsidR="00BB2C5E" w:rsidRPr="00BB2C5E">
        <w:rPr>
          <w:rFonts w:cs="Times New Roman"/>
          <w:b/>
          <w:noProof/>
          <w:szCs w:val="24"/>
        </w:rPr>
        <w:t>and</w:t>
      </w:r>
      <w:r w:rsidRPr="00BB2C5E">
        <w:rPr>
          <w:rFonts w:cs="Times New Roman"/>
          <w:b/>
          <w:noProof/>
          <w:szCs w:val="24"/>
        </w:rPr>
        <w:t xml:space="preserve"> Floyd K.</w:t>
      </w:r>
      <w:r w:rsidRPr="00583138">
        <w:rPr>
          <w:rFonts w:cs="Times New Roman"/>
          <w:noProof/>
          <w:szCs w:val="24"/>
        </w:rPr>
        <w:t xml:space="preserve"> </w:t>
      </w:r>
      <w:r w:rsidR="00BB2C5E">
        <w:rPr>
          <w:rFonts w:cs="Times New Roman"/>
          <w:noProof/>
          <w:szCs w:val="24"/>
        </w:rPr>
        <w:t xml:space="preserve">(2012) </w:t>
      </w:r>
      <w:r w:rsidRPr="00583138">
        <w:rPr>
          <w:rFonts w:cs="Times New Roman"/>
          <w:noProof/>
          <w:szCs w:val="24"/>
        </w:rPr>
        <w:t xml:space="preserve">A Systematic Review of the Cost and Cost Effectiveness of Treatment for Multidrug-Resistant Tuberculosis. </w:t>
      </w:r>
      <w:r w:rsidRPr="00583138">
        <w:rPr>
          <w:rFonts w:cs="Times New Roman"/>
          <w:i/>
          <w:iCs/>
          <w:noProof/>
          <w:szCs w:val="24"/>
        </w:rPr>
        <w:t>Pharmacoeconomics</w:t>
      </w:r>
      <w:r w:rsidRPr="00583138">
        <w:rPr>
          <w:rFonts w:cs="Times New Roman"/>
          <w:noProof/>
          <w:szCs w:val="24"/>
        </w:rPr>
        <w:t xml:space="preserve"> </w:t>
      </w:r>
      <w:r w:rsidRPr="00583138">
        <w:rPr>
          <w:rFonts w:cs="Times New Roman"/>
          <w:b/>
          <w:bCs/>
          <w:noProof/>
          <w:szCs w:val="24"/>
        </w:rPr>
        <w:t>30,</w:t>
      </w:r>
      <w:r w:rsidRPr="00583138">
        <w:rPr>
          <w:rFonts w:cs="Times New Roman"/>
          <w:noProof/>
          <w:szCs w:val="24"/>
        </w:rPr>
        <w:t xml:space="preserve"> 63–80.</w:t>
      </w:r>
    </w:p>
    <w:p w14:paraId="05A0AA22" w14:textId="21FC19C2"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42.</w:t>
      </w:r>
      <w:r w:rsidRPr="00583138">
        <w:rPr>
          <w:rFonts w:cs="Times New Roman"/>
          <w:noProof/>
          <w:szCs w:val="24"/>
        </w:rPr>
        <w:tab/>
      </w:r>
      <w:r w:rsidRPr="00BB2C5E">
        <w:rPr>
          <w:rFonts w:cs="Times New Roman"/>
          <w:b/>
          <w:noProof/>
          <w:szCs w:val="24"/>
        </w:rPr>
        <w:t>Horter</w:t>
      </w:r>
      <w:r w:rsidR="00BB2C5E" w:rsidRPr="00BB2C5E">
        <w:rPr>
          <w:rFonts w:cs="Times New Roman"/>
          <w:b/>
          <w:noProof/>
          <w:szCs w:val="24"/>
        </w:rPr>
        <w:t xml:space="preserve"> </w:t>
      </w:r>
      <w:r w:rsidRPr="00BB2C5E">
        <w:rPr>
          <w:rFonts w:cs="Times New Roman"/>
          <w:b/>
          <w:noProof/>
          <w:szCs w:val="24"/>
        </w:rPr>
        <w:t>S</w:t>
      </w:r>
      <w:r w:rsidR="00BB2C5E" w:rsidRPr="00BB2C5E">
        <w:rPr>
          <w:rFonts w:cs="Times New Roman"/>
          <w:b/>
          <w:noProof/>
          <w:szCs w:val="24"/>
        </w:rPr>
        <w:t xml:space="preserve"> </w:t>
      </w:r>
      <w:r w:rsidRPr="00BB2C5E">
        <w:rPr>
          <w:rFonts w:cs="Times New Roman"/>
          <w:b/>
          <w:i/>
          <w:iCs/>
          <w:noProof/>
          <w:szCs w:val="24"/>
        </w:rPr>
        <w:t>et al.</w:t>
      </w:r>
      <w:r w:rsidRPr="00583138">
        <w:rPr>
          <w:rFonts w:cs="Times New Roman"/>
          <w:noProof/>
          <w:szCs w:val="24"/>
        </w:rPr>
        <w:t xml:space="preserve"> </w:t>
      </w:r>
      <w:r w:rsidR="00BB2C5E">
        <w:rPr>
          <w:rFonts w:cs="Times New Roman"/>
          <w:noProof/>
          <w:szCs w:val="24"/>
        </w:rPr>
        <w:t xml:space="preserve">(2014) </w:t>
      </w:r>
      <w:r w:rsidRPr="00583138">
        <w:rPr>
          <w:rFonts w:cs="Times New Roman"/>
          <w:noProof/>
          <w:szCs w:val="24"/>
        </w:rPr>
        <w:t xml:space="preserve">“Home is where the patient is”: a qualitative analysis of a patient-centred model of care for multi-drug resistant tuberculosis. </w:t>
      </w:r>
      <w:r w:rsidR="00BB2C5E" w:rsidRPr="00BB2C5E">
        <w:rPr>
          <w:rFonts w:cs="Times New Roman"/>
          <w:i/>
          <w:noProof/>
          <w:szCs w:val="24"/>
        </w:rPr>
        <w:t>BMC Health Services Research</w:t>
      </w:r>
      <w:r w:rsidR="00BB2C5E">
        <w:rPr>
          <w:rFonts w:cs="Times New Roman"/>
          <w:i/>
          <w:noProof/>
          <w:szCs w:val="24"/>
        </w:rPr>
        <w:t xml:space="preserve"> </w:t>
      </w:r>
      <w:r w:rsidRPr="00583138">
        <w:rPr>
          <w:rFonts w:cs="Times New Roman"/>
          <w:b/>
          <w:bCs/>
          <w:noProof/>
          <w:szCs w:val="24"/>
        </w:rPr>
        <w:t>14,</w:t>
      </w:r>
      <w:r w:rsidRPr="00583138">
        <w:rPr>
          <w:rFonts w:cs="Times New Roman"/>
          <w:noProof/>
          <w:szCs w:val="24"/>
        </w:rPr>
        <w:t xml:space="preserve"> 81.</w:t>
      </w:r>
    </w:p>
    <w:p w14:paraId="7FAB9252" w14:textId="3A64BE40" w:rsidR="00583138" w:rsidRPr="00583138" w:rsidRDefault="00583138" w:rsidP="00583138">
      <w:pPr>
        <w:widowControl w:val="0"/>
        <w:autoSpaceDE w:val="0"/>
        <w:autoSpaceDN w:val="0"/>
        <w:adjustRightInd w:val="0"/>
        <w:ind w:left="640" w:hanging="640"/>
        <w:rPr>
          <w:rFonts w:cs="Times New Roman"/>
          <w:noProof/>
          <w:szCs w:val="24"/>
        </w:rPr>
      </w:pPr>
      <w:r w:rsidRPr="00583138">
        <w:rPr>
          <w:rFonts w:cs="Times New Roman"/>
          <w:noProof/>
          <w:szCs w:val="24"/>
        </w:rPr>
        <w:t>43.</w:t>
      </w:r>
      <w:r w:rsidRPr="00583138">
        <w:rPr>
          <w:rFonts w:cs="Times New Roman"/>
          <w:noProof/>
          <w:szCs w:val="24"/>
        </w:rPr>
        <w:tab/>
      </w:r>
      <w:r w:rsidRPr="00BB2C5E">
        <w:rPr>
          <w:rFonts w:cs="Times New Roman"/>
          <w:b/>
          <w:noProof/>
          <w:szCs w:val="24"/>
        </w:rPr>
        <w:t>Williams</w:t>
      </w:r>
      <w:r w:rsidR="00BB2C5E" w:rsidRPr="00BB2C5E">
        <w:rPr>
          <w:rFonts w:cs="Times New Roman"/>
          <w:b/>
          <w:noProof/>
          <w:szCs w:val="24"/>
        </w:rPr>
        <w:t xml:space="preserve"> </w:t>
      </w:r>
      <w:r w:rsidRPr="00BB2C5E">
        <w:rPr>
          <w:rFonts w:cs="Times New Roman"/>
          <w:b/>
          <w:noProof/>
          <w:szCs w:val="24"/>
        </w:rPr>
        <w:t>AO, Makinde</w:t>
      </w:r>
      <w:r w:rsidR="00BB2C5E" w:rsidRPr="00BB2C5E">
        <w:rPr>
          <w:rFonts w:cs="Times New Roman"/>
          <w:b/>
          <w:noProof/>
          <w:szCs w:val="24"/>
        </w:rPr>
        <w:t xml:space="preserve"> </w:t>
      </w:r>
      <w:r w:rsidRPr="00BB2C5E">
        <w:rPr>
          <w:rFonts w:cs="Times New Roman"/>
          <w:b/>
          <w:noProof/>
          <w:szCs w:val="24"/>
        </w:rPr>
        <w:t xml:space="preserve">OA </w:t>
      </w:r>
      <w:r w:rsidR="00BB2C5E" w:rsidRPr="00BB2C5E">
        <w:rPr>
          <w:rFonts w:cs="Times New Roman"/>
          <w:b/>
          <w:noProof/>
          <w:szCs w:val="24"/>
        </w:rPr>
        <w:t>and</w:t>
      </w:r>
      <w:r w:rsidRPr="00BB2C5E">
        <w:rPr>
          <w:rFonts w:cs="Times New Roman"/>
          <w:b/>
          <w:noProof/>
          <w:szCs w:val="24"/>
        </w:rPr>
        <w:t xml:space="preserve"> Ojo M.</w:t>
      </w:r>
      <w:r w:rsidRPr="00583138">
        <w:rPr>
          <w:rFonts w:cs="Times New Roman"/>
          <w:noProof/>
          <w:szCs w:val="24"/>
        </w:rPr>
        <w:t xml:space="preserve"> </w:t>
      </w:r>
      <w:r w:rsidR="00BB2C5E">
        <w:rPr>
          <w:rFonts w:cs="Times New Roman"/>
          <w:noProof/>
          <w:szCs w:val="24"/>
        </w:rPr>
        <w:t xml:space="preserve">(2016) </w:t>
      </w:r>
      <w:r w:rsidRPr="00583138">
        <w:rPr>
          <w:rFonts w:cs="Times New Roman"/>
          <w:noProof/>
          <w:szCs w:val="24"/>
        </w:rPr>
        <w:t xml:space="preserve">Community-based management versus traditional hospitalization in treatment of drug-resistant tuberculosis: a systematic review and meta-analysis. </w:t>
      </w:r>
      <w:r w:rsidR="00BB2C5E" w:rsidRPr="00BB2C5E">
        <w:rPr>
          <w:rFonts w:cs="Times New Roman"/>
          <w:i/>
          <w:noProof/>
          <w:szCs w:val="24"/>
        </w:rPr>
        <w:t>Global Health Research and Policy</w:t>
      </w:r>
      <w:r w:rsidR="00BB2C5E" w:rsidRPr="00BB2C5E">
        <w:rPr>
          <w:rFonts w:cs="Times New Roman"/>
          <w:noProof/>
          <w:szCs w:val="24"/>
        </w:rPr>
        <w:t xml:space="preserve"> </w:t>
      </w:r>
      <w:r w:rsidRPr="00583138">
        <w:rPr>
          <w:rFonts w:cs="Times New Roman"/>
          <w:b/>
          <w:bCs/>
          <w:noProof/>
          <w:szCs w:val="24"/>
        </w:rPr>
        <w:t>1,</w:t>
      </w:r>
      <w:r w:rsidRPr="00583138">
        <w:rPr>
          <w:rFonts w:cs="Times New Roman"/>
          <w:noProof/>
          <w:szCs w:val="24"/>
        </w:rPr>
        <w:t xml:space="preserve"> 10.</w:t>
      </w:r>
    </w:p>
    <w:p w14:paraId="741947ED" w14:textId="36F260B4" w:rsidR="00583138" w:rsidRPr="00583138" w:rsidRDefault="00583138" w:rsidP="00583138">
      <w:pPr>
        <w:widowControl w:val="0"/>
        <w:autoSpaceDE w:val="0"/>
        <w:autoSpaceDN w:val="0"/>
        <w:adjustRightInd w:val="0"/>
        <w:ind w:left="640" w:hanging="640"/>
        <w:rPr>
          <w:rFonts w:cs="Times New Roman"/>
          <w:noProof/>
        </w:rPr>
      </w:pPr>
      <w:r w:rsidRPr="00583138">
        <w:rPr>
          <w:rFonts w:cs="Times New Roman"/>
          <w:noProof/>
          <w:szCs w:val="24"/>
        </w:rPr>
        <w:t>44.</w:t>
      </w:r>
      <w:r w:rsidRPr="00583138">
        <w:rPr>
          <w:rFonts w:cs="Times New Roman"/>
          <w:noProof/>
          <w:szCs w:val="24"/>
        </w:rPr>
        <w:tab/>
      </w:r>
      <w:r w:rsidRPr="00BB2C5E">
        <w:rPr>
          <w:rFonts w:cs="Times New Roman"/>
          <w:b/>
          <w:noProof/>
          <w:szCs w:val="24"/>
        </w:rPr>
        <w:t xml:space="preserve">LaurenceYV, Griffiths UK </w:t>
      </w:r>
      <w:r w:rsidR="00BB2C5E" w:rsidRPr="00BB2C5E">
        <w:rPr>
          <w:rFonts w:cs="Times New Roman"/>
          <w:b/>
          <w:noProof/>
          <w:szCs w:val="24"/>
        </w:rPr>
        <w:t>and</w:t>
      </w:r>
      <w:r w:rsidRPr="00BB2C5E">
        <w:rPr>
          <w:rFonts w:cs="Times New Roman"/>
          <w:b/>
          <w:noProof/>
          <w:szCs w:val="24"/>
        </w:rPr>
        <w:t xml:space="preserve"> Vassall A.</w:t>
      </w:r>
      <w:r w:rsidRPr="00583138">
        <w:rPr>
          <w:rFonts w:cs="Times New Roman"/>
          <w:noProof/>
          <w:szCs w:val="24"/>
        </w:rPr>
        <w:t xml:space="preserve"> </w:t>
      </w:r>
      <w:r w:rsidR="00BB2C5E">
        <w:rPr>
          <w:rFonts w:cs="Times New Roman"/>
          <w:noProof/>
          <w:szCs w:val="24"/>
        </w:rPr>
        <w:t xml:space="preserve">(2015) </w:t>
      </w:r>
      <w:r w:rsidRPr="00583138">
        <w:rPr>
          <w:rFonts w:cs="Times New Roman"/>
          <w:noProof/>
          <w:szCs w:val="24"/>
        </w:rPr>
        <w:t xml:space="preserve">Costs to Health Services and the Patient of Treating Tuberculosis: A Systematic Literature Review. </w:t>
      </w:r>
      <w:r w:rsidRPr="00583138">
        <w:rPr>
          <w:rFonts w:cs="Times New Roman"/>
          <w:i/>
          <w:iCs/>
          <w:noProof/>
          <w:szCs w:val="24"/>
        </w:rPr>
        <w:t>Pharmacoeconomics</w:t>
      </w:r>
      <w:r w:rsidRPr="00583138">
        <w:rPr>
          <w:rFonts w:cs="Times New Roman"/>
          <w:noProof/>
          <w:szCs w:val="24"/>
        </w:rPr>
        <w:t xml:space="preserve"> </w:t>
      </w:r>
      <w:r w:rsidRPr="00583138">
        <w:rPr>
          <w:rFonts w:cs="Times New Roman"/>
          <w:b/>
          <w:bCs/>
          <w:noProof/>
          <w:szCs w:val="24"/>
        </w:rPr>
        <w:t>33,</w:t>
      </w:r>
      <w:r w:rsidRPr="00583138">
        <w:rPr>
          <w:rFonts w:cs="Times New Roman"/>
          <w:noProof/>
          <w:szCs w:val="24"/>
        </w:rPr>
        <w:t xml:space="preserve"> 939–</w:t>
      </w:r>
      <w:r w:rsidR="00BB2C5E">
        <w:rPr>
          <w:rFonts w:cs="Times New Roman"/>
          <w:noProof/>
          <w:szCs w:val="24"/>
        </w:rPr>
        <w:t>9</w:t>
      </w:r>
      <w:r w:rsidRPr="00583138">
        <w:rPr>
          <w:rFonts w:cs="Times New Roman"/>
          <w:noProof/>
          <w:szCs w:val="24"/>
        </w:rPr>
        <w:t>55.</w:t>
      </w:r>
    </w:p>
    <w:p w14:paraId="55326CE2" w14:textId="47CF5AB3" w:rsidR="00CF047C" w:rsidRPr="00583FCC" w:rsidRDefault="00CF047C" w:rsidP="00583138">
      <w:pPr>
        <w:widowControl w:val="0"/>
        <w:autoSpaceDE w:val="0"/>
        <w:autoSpaceDN w:val="0"/>
        <w:adjustRightInd w:val="0"/>
        <w:ind w:left="640" w:hanging="640"/>
      </w:pPr>
      <w:r>
        <w:fldChar w:fldCharType="end"/>
      </w:r>
    </w:p>
    <w:sectPr w:rsidR="00CF047C" w:rsidRPr="00583FCC">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AF8C5" w14:textId="77777777" w:rsidR="00603480" w:rsidRDefault="00603480" w:rsidP="009E4A67">
      <w:pPr>
        <w:spacing w:after="0" w:line="240" w:lineRule="auto"/>
      </w:pPr>
      <w:r>
        <w:separator/>
      </w:r>
    </w:p>
  </w:endnote>
  <w:endnote w:type="continuationSeparator" w:id="0">
    <w:p w14:paraId="015521E2" w14:textId="77777777" w:rsidR="00603480" w:rsidRDefault="00603480" w:rsidP="009E4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0633886"/>
      <w:docPartObj>
        <w:docPartGallery w:val="Page Numbers (Bottom of Page)"/>
        <w:docPartUnique/>
      </w:docPartObj>
    </w:sdtPr>
    <w:sdtEndPr>
      <w:rPr>
        <w:noProof/>
      </w:rPr>
    </w:sdtEndPr>
    <w:sdtContent>
      <w:p w14:paraId="4CF5ECC6" w14:textId="5620BBD2" w:rsidR="008B2EB5" w:rsidRDefault="008B2EB5">
        <w:pPr>
          <w:pStyle w:val="Footer"/>
          <w:jc w:val="right"/>
        </w:pPr>
        <w:r>
          <w:fldChar w:fldCharType="begin"/>
        </w:r>
        <w:r>
          <w:instrText xml:space="preserve"> PAGE   \* MERGEFORMAT </w:instrText>
        </w:r>
        <w:r>
          <w:fldChar w:fldCharType="separate"/>
        </w:r>
        <w:r w:rsidR="00DE46BB">
          <w:rPr>
            <w:noProof/>
          </w:rPr>
          <w:t>60</w:t>
        </w:r>
        <w:r>
          <w:rPr>
            <w:noProof/>
          </w:rPr>
          <w:fldChar w:fldCharType="end"/>
        </w:r>
      </w:p>
    </w:sdtContent>
  </w:sdt>
  <w:p w14:paraId="7B987E6F" w14:textId="77777777" w:rsidR="008B2EB5" w:rsidRDefault="008B2E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9EDF3F" w14:textId="77777777" w:rsidR="00603480" w:rsidRDefault="00603480" w:rsidP="009E4A67">
      <w:pPr>
        <w:spacing w:after="0" w:line="240" w:lineRule="auto"/>
      </w:pPr>
      <w:r>
        <w:separator/>
      </w:r>
    </w:p>
  </w:footnote>
  <w:footnote w:type="continuationSeparator" w:id="0">
    <w:p w14:paraId="4FF97A98" w14:textId="77777777" w:rsidR="00603480" w:rsidRDefault="00603480" w:rsidP="009E4A67">
      <w:pPr>
        <w:spacing w:after="0" w:line="240" w:lineRule="auto"/>
      </w:pPr>
      <w:r>
        <w:continuationSeparator/>
      </w:r>
    </w:p>
  </w:footnote>
  <w:footnote w:id="1">
    <w:p w14:paraId="05E294F8" w14:textId="41F00710" w:rsidR="008B2EB5" w:rsidRPr="009E4A67" w:rsidRDefault="008B2EB5">
      <w:pPr>
        <w:pStyle w:val="FootnoteText"/>
      </w:pPr>
      <w:r w:rsidRPr="00F51064">
        <w:rPr>
          <w:rStyle w:val="FootnoteReference"/>
        </w:rPr>
        <w:footnoteRef/>
      </w:r>
      <w:r>
        <w:t xml:space="preserve"> Note that we use the term “strain” throughout to refer to forms of </w:t>
      </w:r>
      <w:r>
        <w:rPr>
          <w:i/>
        </w:rPr>
        <w:t>Mtb</w:t>
      </w:r>
      <w:r>
        <w:t xml:space="preserve"> that differ according to their drug susceptibility profile. Therefore, these are not necessarily strains in a phylogenetic sense.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4DD2"/>
    <w:multiLevelType w:val="hybridMultilevel"/>
    <w:tmpl w:val="65165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1C3000"/>
    <w:multiLevelType w:val="hybridMultilevel"/>
    <w:tmpl w:val="22C894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7906F5"/>
    <w:multiLevelType w:val="hybridMultilevel"/>
    <w:tmpl w:val="DD8CE914"/>
    <w:lvl w:ilvl="0" w:tplc="0C09000F">
      <w:start w:val="1"/>
      <w:numFmt w:val="decimal"/>
      <w:lvlText w:val="%1."/>
      <w:lvlJc w:val="left"/>
      <w:pPr>
        <w:ind w:left="1080" w:hanging="360"/>
      </w:p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22CE0117"/>
    <w:multiLevelType w:val="hybridMultilevel"/>
    <w:tmpl w:val="7DD26C50"/>
    <w:lvl w:ilvl="0" w:tplc="0C09000F">
      <w:start w:val="1"/>
      <w:numFmt w:val="decimal"/>
      <w:lvlText w:val="%1."/>
      <w:lvlJc w:val="left"/>
      <w:pPr>
        <w:ind w:left="1080" w:hanging="360"/>
      </w:p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711F67"/>
    <w:multiLevelType w:val="hybridMultilevel"/>
    <w:tmpl w:val="B9127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916401"/>
    <w:multiLevelType w:val="hybridMultilevel"/>
    <w:tmpl w:val="9D34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D37313"/>
    <w:multiLevelType w:val="hybridMultilevel"/>
    <w:tmpl w:val="07746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A04BD2"/>
    <w:multiLevelType w:val="hybridMultilevel"/>
    <w:tmpl w:val="ACACE2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4124D7"/>
    <w:multiLevelType w:val="hybridMultilevel"/>
    <w:tmpl w:val="F6F243A0"/>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A2E19B7"/>
    <w:multiLevelType w:val="hybridMultilevel"/>
    <w:tmpl w:val="1660C790"/>
    <w:lvl w:ilvl="0" w:tplc="0C09000F">
      <w:start w:val="1"/>
      <w:numFmt w:val="decimal"/>
      <w:lvlText w:val="%1."/>
      <w:lvlJc w:val="left"/>
      <w:pPr>
        <w:ind w:left="1080" w:hanging="360"/>
      </w:p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51AC68B3"/>
    <w:multiLevelType w:val="hybridMultilevel"/>
    <w:tmpl w:val="BB645A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B6F7F9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5A38EE"/>
    <w:multiLevelType w:val="hybridMultilevel"/>
    <w:tmpl w:val="64849D1C"/>
    <w:lvl w:ilvl="0" w:tplc="0C09000F">
      <w:start w:val="1"/>
      <w:numFmt w:val="decimal"/>
      <w:lvlText w:val="%1."/>
      <w:lvlJc w:val="left"/>
      <w:pPr>
        <w:ind w:left="1080" w:hanging="360"/>
      </w:p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71DD7294"/>
    <w:multiLevelType w:val="hybridMultilevel"/>
    <w:tmpl w:val="2C5E5958"/>
    <w:lvl w:ilvl="0" w:tplc="0C09000F">
      <w:start w:val="1"/>
      <w:numFmt w:val="decimal"/>
      <w:lvlText w:val="%1."/>
      <w:lvlJc w:val="left"/>
      <w:pPr>
        <w:ind w:left="1080" w:hanging="360"/>
      </w:p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78930261"/>
    <w:multiLevelType w:val="hybridMultilevel"/>
    <w:tmpl w:val="F98068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1"/>
  </w:num>
  <w:num w:numId="3">
    <w:abstractNumId w:val="8"/>
  </w:num>
  <w:num w:numId="4">
    <w:abstractNumId w:val="6"/>
  </w:num>
  <w:num w:numId="5">
    <w:abstractNumId w:val="5"/>
  </w:num>
  <w:num w:numId="6">
    <w:abstractNumId w:val="4"/>
  </w:num>
  <w:num w:numId="7">
    <w:abstractNumId w:val="0"/>
  </w:num>
  <w:num w:numId="8">
    <w:abstractNumId w:val="7"/>
  </w:num>
  <w:num w:numId="9">
    <w:abstractNumId w:val="2"/>
  </w:num>
  <w:num w:numId="10">
    <w:abstractNumId w:val="14"/>
  </w:num>
  <w:num w:numId="11">
    <w:abstractNumId w:val="13"/>
  </w:num>
  <w:num w:numId="12">
    <w:abstractNumId w:val="9"/>
  </w:num>
  <w:num w:numId="13">
    <w:abstractNumId w:val="12"/>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18D"/>
    <w:rsid w:val="00003ED6"/>
    <w:rsid w:val="00013B67"/>
    <w:rsid w:val="0001788E"/>
    <w:rsid w:val="000201B9"/>
    <w:rsid w:val="00020232"/>
    <w:rsid w:val="00021AC0"/>
    <w:rsid w:val="000238AA"/>
    <w:rsid w:val="00023F3D"/>
    <w:rsid w:val="000279C9"/>
    <w:rsid w:val="00033A63"/>
    <w:rsid w:val="00035509"/>
    <w:rsid w:val="00045E22"/>
    <w:rsid w:val="00051F8F"/>
    <w:rsid w:val="000549BB"/>
    <w:rsid w:val="0005640D"/>
    <w:rsid w:val="000633AF"/>
    <w:rsid w:val="000636F1"/>
    <w:rsid w:val="00071847"/>
    <w:rsid w:val="00075CE0"/>
    <w:rsid w:val="0007664D"/>
    <w:rsid w:val="00076D1A"/>
    <w:rsid w:val="00090437"/>
    <w:rsid w:val="000954A2"/>
    <w:rsid w:val="000A1B35"/>
    <w:rsid w:val="000A5DAD"/>
    <w:rsid w:val="000B06BE"/>
    <w:rsid w:val="000B36B5"/>
    <w:rsid w:val="000C5563"/>
    <w:rsid w:val="000C5F78"/>
    <w:rsid w:val="000C7985"/>
    <w:rsid w:val="000C7D9C"/>
    <w:rsid w:val="000D0F7B"/>
    <w:rsid w:val="000D0FD8"/>
    <w:rsid w:val="000D29A3"/>
    <w:rsid w:val="000D2DFB"/>
    <w:rsid w:val="000D2E57"/>
    <w:rsid w:val="000D31D4"/>
    <w:rsid w:val="000D3DE6"/>
    <w:rsid w:val="000D4450"/>
    <w:rsid w:val="000D4DA5"/>
    <w:rsid w:val="000D6F5D"/>
    <w:rsid w:val="000E15B1"/>
    <w:rsid w:val="000E1B7C"/>
    <w:rsid w:val="000E532D"/>
    <w:rsid w:val="000F722F"/>
    <w:rsid w:val="000F7DAD"/>
    <w:rsid w:val="001000BF"/>
    <w:rsid w:val="00102763"/>
    <w:rsid w:val="00116C61"/>
    <w:rsid w:val="0012277B"/>
    <w:rsid w:val="00125BF2"/>
    <w:rsid w:val="00135F33"/>
    <w:rsid w:val="001372CD"/>
    <w:rsid w:val="00140333"/>
    <w:rsid w:val="00143D4A"/>
    <w:rsid w:val="00144F75"/>
    <w:rsid w:val="00147A97"/>
    <w:rsid w:val="00147BE4"/>
    <w:rsid w:val="00151CFD"/>
    <w:rsid w:val="00154047"/>
    <w:rsid w:val="001541F9"/>
    <w:rsid w:val="001543AF"/>
    <w:rsid w:val="00155EA1"/>
    <w:rsid w:val="00156765"/>
    <w:rsid w:val="00157636"/>
    <w:rsid w:val="001609B6"/>
    <w:rsid w:val="00162141"/>
    <w:rsid w:val="0016484A"/>
    <w:rsid w:val="00164A73"/>
    <w:rsid w:val="0017305C"/>
    <w:rsid w:val="00173656"/>
    <w:rsid w:val="001772EB"/>
    <w:rsid w:val="00177B60"/>
    <w:rsid w:val="00182C27"/>
    <w:rsid w:val="00184AA1"/>
    <w:rsid w:val="00185140"/>
    <w:rsid w:val="00186222"/>
    <w:rsid w:val="00187492"/>
    <w:rsid w:val="0019127F"/>
    <w:rsid w:val="00195CB9"/>
    <w:rsid w:val="001962C0"/>
    <w:rsid w:val="001A258F"/>
    <w:rsid w:val="001A26CA"/>
    <w:rsid w:val="001A4873"/>
    <w:rsid w:val="001A4F66"/>
    <w:rsid w:val="001A59BF"/>
    <w:rsid w:val="001C178A"/>
    <w:rsid w:val="001C2A3E"/>
    <w:rsid w:val="001C432F"/>
    <w:rsid w:val="001C7673"/>
    <w:rsid w:val="001D05E1"/>
    <w:rsid w:val="001D157F"/>
    <w:rsid w:val="001D20D0"/>
    <w:rsid w:val="001D2C40"/>
    <w:rsid w:val="001D3BA4"/>
    <w:rsid w:val="001D4412"/>
    <w:rsid w:val="001D52C3"/>
    <w:rsid w:val="001D6DBB"/>
    <w:rsid w:val="001E2147"/>
    <w:rsid w:val="001E2CC0"/>
    <w:rsid w:val="001E385F"/>
    <w:rsid w:val="001E45B7"/>
    <w:rsid w:val="001F02CA"/>
    <w:rsid w:val="001F76B3"/>
    <w:rsid w:val="00203669"/>
    <w:rsid w:val="002175A7"/>
    <w:rsid w:val="002235FC"/>
    <w:rsid w:val="002273FE"/>
    <w:rsid w:val="002340DF"/>
    <w:rsid w:val="002413AB"/>
    <w:rsid w:val="00244364"/>
    <w:rsid w:val="00245949"/>
    <w:rsid w:val="002461BA"/>
    <w:rsid w:val="00262E55"/>
    <w:rsid w:val="00263049"/>
    <w:rsid w:val="00264908"/>
    <w:rsid w:val="00264EEA"/>
    <w:rsid w:val="00265F05"/>
    <w:rsid w:val="00267F64"/>
    <w:rsid w:val="0027432A"/>
    <w:rsid w:val="0028138A"/>
    <w:rsid w:val="0028277D"/>
    <w:rsid w:val="00284C14"/>
    <w:rsid w:val="00292412"/>
    <w:rsid w:val="00293325"/>
    <w:rsid w:val="00296C74"/>
    <w:rsid w:val="002974F0"/>
    <w:rsid w:val="002A196F"/>
    <w:rsid w:val="002A3D5C"/>
    <w:rsid w:val="002A61F7"/>
    <w:rsid w:val="002A67D0"/>
    <w:rsid w:val="002B13E3"/>
    <w:rsid w:val="002B1411"/>
    <w:rsid w:val="002B4919"/>
    <w:rsid w:val="002B5A30"/>
    <w:rsid w:val="002B64FD"/>
    <w:rsid w:val="002C011D"/>
    <w:rsid w:val="002C05F2"/>
    <w:rsid w:val="002C226B"/>
    <w:rsid w:val="002C4E4B"/>
    <w:rsid w:val="002D0746"/>
    <w:rsid w:val="002D2AC2"/>
    <w:rsid w:val="002D3B95"/>
    <w:rsid w:val="002D43FB"/>
    <w:rsid w:val="002D5CAB"/>
    <w:rsid w:val="002E559B"/>
    <w:rsid w:val="002E5BC0"/>
    <w:rsid w:val="002E663D"/>
    <w:rsid w:val="002E68BA"/>
    <w:rsid w:val="002E74A1"/>
    <w:rsid w:val="002F1392"/>
    <w:rsid w:val="002F14EC"/>
    <w:rsid w:val="002F2EDC"/>
    <w:rsid w:val="002F3486"/>
    <w:rsid w:val="002F374A"/>
    <w:rsid w:val="002F4A3B"/>
    <w:rsid w:val="002F6EE9"/>
    <w:rsid w:val="00300900"/>
    <w:rsid w:val="00302C40"/>
    <w:rsid w:val="00306135"/>
    <w:rsid w:val="00306991"/>
    <w:rsid w:val="00307ED6"/>
    <w:rsid w:val="003109EC"/>
    <w:rsid w:val="003162E4"/>
    <w:rsid w:val="00317EDF"/>
    <w:rsid w:val="00321E03"/>
    <w:rsid w:val="00322EF0"/>
    <w:rsid w:val="00325C67"/>
    <w:rsid w:val="00330A10"/>
    <w:rsid w:val="00333D9D"/>
    <w:rsid w:val="00336541"/>
    <w:rsid w:val="003376BC"/>
    <w:rsid w:val="003378C5"/>
    <w:rsid w:val="0034258D"/>
    <w:rsid w:val="00346AAC"/>
    <w:rsid w:val="00350771"/>
    <w:rsid w:val="00355D93"/>
    <w:rsid w:val="00356C57"/>
    <w:rsid w:val="00364E6C"/>
    <w:rsid w:val="0036682E"/>
    <w:rsid w:val="00366EF8"/>
    <w:rsid w:val="003673FD"/>
    <w:rsid w:val="0036750D"/>
    <w:rsid w:val="00370BA5"/>
    <w:rsid w:val="003753CC"/>
    <w:rsid w:val="003768A4"/>
    <w:rsid w:val="003779BB"/>
    <w:rsid w:val="003806A6"/>
    <w:rsid w:val="00383B89"/>
    <w:rsid w:val="00384DC5"/>
    <w:rsid w:val="003960C1"/>
    <w:rsid w:val="003A15A7"/>
    <w:rsid w:val="003A2E59"/>
    <w:rsid w:val="003A3828"/>
    <w:rsid w:val="003A55AB"/>
    <w:rsid w:val="003B07BA"/>
    <w:rsid w:val="003B1244"/>
    <w:rsid w:val="003C2CAF"/>
    <w:rsid w:val="003C556B"/>
    <w:rsid w:val="003C7E41"/>
    <w:rsid w:val="003D54D2"/>
    <w:rsid w:val="003E4DC7"/>
    <w:rsid w:val="003E719F"/>
    <w:rsid w:val="003F15DE"/>
    <w:rsid w:val="003F4885"/>
    <w:rsid w:val="003F597E"/>
    <w:rsid w:val="00404D34"/>
    <w:rsid w:val="00406322"/>
    <w:rsid w:val="00406C2D"/>
    <w:rsid w:val="00413862"/>
    <w:rsid w:val="00422281"/>
    <w:rsid w:val="00431FE5"/>
    <w:rsid w:val="00433F7C"/>
    <w:rsid w:val="00437E87"/>
    <w:rsid w:val="00440C30"/>
    <w:rsid w:val="00441C9D"/>
    <w:rsid w:val="00450FB9"/>
    <w:rsid w:val="00452267"/>
    <w:rsid w:val="00455158"/>
    <w:rsid w:val="00460CC5"/>
    <w:rsid w:val="00462FDB"/>
    <w:rsid w:val="00464363"/>
    <w:rsid w:val="0046649A"/>
    <w:rsid w:val="00473696"/>
    <w:rsid w:val="00480C48"/>
    <w:rsid w:val="00480FC6"/>
    <w:rsid w:val="00481897"/>
    <w:rsid w:val="004861A2"/>
    <w:rsid w:val="004955C1"/>
    <w:rsid w:val="00497316"/>
    <w:rsid w:val="004979E4"/>
    <w:rsid w:val="004A1303"/>
    <w:rsid w:val="004A2F0B"/>
    <w:rsid w:val="004A4A2B"/>
    <w:rsid w:val="004A5298"/>
    <w:rsid w:val="004B0B02"/>
    <w:rsid w:val="004B34AA"/>
    <w:rsid w:val="004B4F2D"/>
    <w:rsid w:val="004B5C69"/>
    <w:rsid w:val="004B7568"/>
    <w:rsid w:val="004C37F3"/>
    <w:rsid w:val="004C7E32"/>
    <w:rsid w:val="004D0160"/>
    <w:rsid w:val="004D1972"/>
    <w:rsid w:val="004D442E"/>
    <w:rsid w:val="004D79EF"/>
    <w:rsid w:val="004E0F75"/>
    <w:rsid w:val="004F1108"/>
    <w:rsid w:val="00500E56"/>
    <w:rsid w:val="0050166A"/>
    <w:rsid w:val="00507347"/>
    <w:rsid w:val="0051103B"/>
    <w:rsid w:val="005117A7"/>
    <w:rsid w:val="00514CE2"/>
    <w:rsid w:val="0052004D"/>
    <w:rsid w:val="005215AD"/>
    <w:rsid w:val="00523741"/>
    <w:rsid w:val="00526633"/>
    <w:rsid w:val="0053135D"/>
    <w:rsid w:val="005313E6"/>
    <w:rsid w:val="00535B65"/>
    <w:rsid w:val="005427BC"/>
    <w:rsid w:val="00547597"/>
    <w:rsid w:val="005500ED"/>
    <w:rsid w:val="00551D0F"/>
    <w:rsid w:val="00557951"/>
    <w:rsid w:val="00560226"/>
    <w:rsid w:val="005609EB"/>
    <w:rsid w:val="00562232"/>
    <w:rsid w:val="00564D9F"/>
    <w:rsid w:val="0056581E"/>
    <w:rsid w:val="0056661A"/>
    <w:rsid w:val="0057456B"/>
    <w:rsid w:val="0057526B"/>
    <w:rsid w:val="00577D51"/>
    <w:rsid w:val="00580FA8"/>
    <w:rsid w:val="00581A45"/>
    <w:rsid w:val="00581E97"/>
    <w:rsid w:val="00583138"/>
    <w:rsid w:val="00583FCC"/>
    <w:rsid w:val="00584EDE"/>
    <w:rsid w:val="00591EA2"/>
    <w:rsid w:val="005A1CD3"/>
    <w:rsid w:val="005A4566"/>
    <w:rsid w:val="005A4936"/>
    <w:rsid w:val="005A598F"/>
    <w:rsid w:val="005B0161"/>
    <w:rsid w:val="005B3495"/>
    <w:rsid w:val="005B60FD"/>
    <w:rsid w:val="005C35B9"/>
    <w:rsid w:val="005C58E6"/>
    <w:rsid w:val="005C64B0"/>
    <w:rsid w:val="005C67EF"/>
    <w:rsid w:val="005D3EDA"/>
    <w:rsid w:val="005D617B"/>
    <w:rsid w:val="005D7D48"/>
    <w:rsid w:val="005E012E"/>
    <w:rsid w:val="005E20FF"/>
    <w:rsid w:val="005E5328"/>
    <w:rsid w:val="005F0D42"/>
    <w:rsid w:val="005F2C84"/>
    <w:rsid w:val="005F2D84"/>
    <w:rsid w:val="005F3AE8"/>
    <w:rsid w:val="00602CB8"/>
    <w:rsid w:val="00603480"/>
    <w:rsid w:val="00610415"/>
    <w:rsid w:val="00612816"/>
    <w:rsid w:val="006137E5"/>
    <w:rsid w:val="0061566B"/>
    <w:rsid w:val="00615A1E"/>
    <w:rsid w:val="00616ABF"/>
    <w:rsid w:val="00616FAF"/>
    <w:rsid w:val="00617EED"/>
    <w:rsid w:val="00623C2F"/>
    <w:rsid w:val="00623C3C"/>
    <w:rsid w:val="00627134"/>
    <w:rsid w:val="00630479"/>
    <w:rsid w:val="006356B6"/>
    <w:rsid w:val="0064029F"/>
    <w:rsid w:val="00645C1E"/>
    <w:rsid w:val="00655100"/>
    <w:rsid w:val="0066267C"/>
    <w:rsid w:val="00662F62"/>
    <w:rsid w:val="00666977"/>
    <w:rsid w:val="00667A62"/>
    <w:rsid w:val="00667E30"/>
    <w:rsid w:val="00672762"/>
    <w:rsid w:val="00672F16"/>
    <w:rsid w:val="00674D0F"/>
    <w:rsid w:val="006767EE"/>
    <w:rsid w:val="00676DF0"/>
    <w:rsid w:val="006773DC"/>
    <w:rsid w:val="006778DD"/>
    <w:rsid w:val="00680A25"/>
    <w:rsid w:val="00683CB1"/>
    <w:rsid w:val="00686574"/>
    <w:rsid w:val="00687FA3"/>
    <w:rsid w:val="00690653"/>
    <w:rsid w:val="006921B2"/>
    <w:rsid w:val="006A2B00"/>
    <w:rsid w:val="006A40BB"/>
    <w:rsid w:val="006A6632"/>
    <w:rsid w:val="006A6912"/>
    <w:rsid w:val="006B2C67"/>
    <w:rsid w:val="006B47D0"/>
    <w:rsid w:val="006B60DB"/>
    <w:rsid w:val="006B7261"/>
    <w:rsid w:val="006C1102"/>
    <w:rsid w:val="006C4B73"/>
    <w:rsid w:val="006C5048"/>
    <w:rsid w:val="006D56F7"/>
    <w:rsid w:val="006D657A"/>
    <w:rsid w:val="006D6BE0"/>
    <w:rsid w:val="006D7AF6"/>
    <w:rsid w:val="006D7B72"/>
    <w:rsid w:val="006E1A4A"/>
    <w:rsid w:val="006E2581"/>
    <w:rsid w:val="006E40B3"/>
    <w:rsid w:val="006E67C1"/>
    <w:rsid w:val="006F3E99"/>
    <w:rsid w:val="006F745B"/>
    <w:rsid w:val="007033C9"/>
    <w:rsid w:val="00703B46"/>
    <w:rsid w:val="00706ED5"/>
    <w:rsid w:val="0071314A"/>
    <w:rsid w:val="007139F9"/>
    <w:rsid w:val="007154DC"/>
    <w:rsid w:val="00724A6D"/>
    <w:rsid w:val="00724F92"/>
    <w:rsid w:val="00731DA3"/>
    <w:rsid w:val="00734D3F"/>
    <w:rsid w:val="00734F8D"/>
    <w:rsid w:val="0073757F"/>
    <w:rsid w:val="00737796"/>
    <w:rsid w:val="00741099"/>
    <w:rsid w:val="00743960"/>
    <w:rsid w:val="0075053C"/>
    <w:rsid w:val="0075704B"/>
    <w:rsid w:val="00766384"/>
    <w:rsid w:val="00770A60"/>
    <w:rsid w:val="007802AA"/>
    <w:rsid w:val="00780E80"/>
    <w:rsid w:val="007824B5"/>
    <w:rsid w:val="00782664"/>
    <w:rsid w:val="00782A65"/>
    <w:rsid w:val="00784C81"/>
    <w:rsid w:val="0078770A"/>
    <w:rsid w:val="0079136A"/>
    <w:rsid w:val="007915B0"/>
    <w:rsid w:val="00792F1E"/>
    <w:rsid w:val="00796EBE"/>
    <w:rsid w:val="007A0D20"/>
    <w:rsid w:val="007A1453"/>
    <w:rsid w:val="007A3881"/>
    <w:rsid w:val="007B2F2F"/>
    <w:rsid w:val="007B5EAD"/>
    <w:rsid w:val="007C0314"/>
    <w:rsid w:val="007C4527"/>
    <w:rsid w:val="007D0F1E"/>
    <w:rsid w:val="007D53AC"/>
    <w:rsid w:val="007E5D67"/>
    <w:rsid w:val="007E5EE7"/>
    <w:rsid w:val="007E6CC7"/>
    <w:rsid w:val="007E76E1"/>
    <w:rsid w:val="007F366E"/>
    <w:rsid w:val="007F4939"/>
    <w:rsid w:val="007F65C4"/>
    <w:rsid w:val="007F7A07"/>
    <w:rsid w:val="0080013F"/>
    <w:rsid w:val="0080046D"/>
    <w:rsid w:val="008013C1"/>
    <w:rsid w:val="008027F5"/>
    <w:rsid w:val="00803D8C"/>
    <w:rsid w:val="008057C3"/>
    <w:rsid w:val="00805C32"/>
    <w:rsid w:val="00811F32"/>
    <w:rsid w:val="008123B4"/>
    <w:rsid w:val="00812D34"/>
    <w:rsid w:val="00813D9C"/>
    <w:rsid w:val="00817282"/>
    <w:rsid w:val="008178A8"/>
    <w:rsid w:val="00821CB0"/>
    <w:rsid w:val="00822FEB"/>
    <w:rsid w:val="0082449E"/>
    <w:rsid w:val="00827441"/>
    <w:rsid w:val="00827FCD"/>
    <w:rsid w:val="00836EA4"/>
    <w:rsid w:val="00843CD1"/>
    <w:rsid w:val="008450BC"/>
    <w:rsid w:val="00846BC1"/>
    <w:rsid w:val="00847D42"/>
    <w:rsid w:val="00850EB4"/>
    <w:rsid w:val="0085221C"/>
    <w:rsid w:val="00856C33"/>
    <w:rsid w:val="00861169"/>
    <w:rsid w:val="008629E8"/>
    <w:rsid w:val="00874E83"/>
    <w:rsid w:val="008817E8"/>
    <w:rsid w:val="00882AEA"/>
    <w:rsid w:val="00884655"/>
    <w:rsid w:val="00887292"/>
    <w:rsid w:val="00892353"/>
    <w:rsid w:val="008942C6"/>
    <w:rsid w:val="008950AD"/>
    <w:rsid w:val="008A2F13"/>
    <w:rsid w:val="008A70A9"/>
    <w:rsid w:val="008A74B5"/>
    <w:rsid w:val="008B0DF9"/>
    <w:rsid w:val="008B2EB5"/>
    <w:rsid w:val="008B5E1D"/>
    <w:rsid w:val="008C3097"/>
    <w:rsid w:val="008C4316"/>
    <w:rsid w:val="008C43A4"/>
    <w:rsid w:val="008C5718"/>
    <w:rsid w:val="008C6780"/>
    <w:rsid w:val="008C6BE8"/>
    <w:rsid w:val="008D4C46"/>
    <w:rsid w:val="008D75C6"/>
    <w:rsid w:val="008E11F1"/>
    <w:rsid w:val="008E54A4"/>
    <w:rsid w:val="008E716E"/>
    <w:rsid w:val="008F4FF5"/>
    <w:rsid w:val="008F7D98"/>
    <w:rsid w:val="0090029D"/>
    <w:rsid w:val="0090153D"/>
    <w:rsid w:val="00910264"/>
    <w:rsid w:val="009102D9"/>
    <w:rsid w:val="00911642"/>
    <w:rsid w:val="00914728"/>
    <w:rsid w:val="00914E83"/>
    <w:rsid w:val="00915671"/>
    <w:rsid w:val="00916079"/>
    <w:rsid w:val="00920B9F"/>
    <w:rsid w:val="009225C9"/>
    <w:rsid w:val="00923DA0"/>
    <w:rsid w:val="009248D5"/>
    <w:rsid w:val="00924F26"/>
    <w:rsid w:val="00925C24"/>
    <w:rsid w:val="00937F36"/>
    <w:rsid w:val="0094460A"/>
    <w:rsid w:val="009504C2"/>
    <w:rsid w:val="0095236C"/>
    <w:rsid w:val="00953936"/>
    <w:rsid w:val="009623DD"/>
    <w:rsid w:val="00965D57"/>
    <w:rsid w:val="009664F5"/>
    <w:rsid w:val="009679FD"/>
    <w:rsid w:val="009752F2"/>
    <w:rsid w:val="00981041"/>
    <w:rsid w:val="00983C13"/>
    <w:rsid w:val="009844B1"/>
    <w:rsid w:val="00984BF2"/>
    <w:rsid w:val="00993F33"/>
    <w:rsid w:val="00996412"/>
    <w:rsid w:val="009A234D"/>
    <w:rsid w:val="009A348E"/>
    <w:rsid w:val="009A5969"/>
    <w:rsid w:val="009A5D8C"/>
    <w:rsid w:val="009A7B9A"/>
    <w:rsid w:val="009B40BF"/>
    <w:rsid w:val="009B5FAC"/>
    <w:rsid w:val="009B6899"/>
    <w:rsid w:val="009B7CFE"/>
    <w:rsid w:val="009C423E"/>
    <w:rsid w:val="009C67B3"/>
    <w:rsid w:val="009C7B3F"/>
    <w:rsid w:val="009D289B"/>
    <w:rsid w:val="009E2398"/>
    <w:rsid w:val="009E33D6"/>
    <w:rsid w:val="009E467E"/>
    <w:rsid w:val="009E4A67"/>
    <w:rsid w:val="009E518D"/>
    <w:rsid w:val="009E5B45"/>
    <w:rsid w:val="009E6B91"/>
    <w:rsid w:val="009E7492"/>
    <w:rsid w:val="009E763D"/>
    <w:rsid w:val="009F199F"/>
    <w:rsid w:val="009F41B7"/>
    <w:rsid w:val="009F536C"/>
    <w:rsid w:val="009F6A87"/>
    <w:rsid w:val="00A071C6"/>
    <w:rsid w:val="00A10396"/>
    <w:rsid w:val="00A12BCF"/>
    <w:rsid w:val="00A1607B"/>
    <w:rsid w:val="00A16857"/>
    <w:rsid w:val="00A16FEB"/>
    <w:rsid w:val="00A17019"/>
    <w:rsid w:val="00A21907"/>
    <w:rsid w:val="00A25737"/>
    <w:rsid w:val="00A33FB6"/>
    <w:rsid w:val="00A3645A"/>
    <w:rsid w:val="00A40183"/>
    <w:rsid w:val="00A43258"/>
    <w:rsid w:val="00A45721"/>
    <w:rsid w:val="00A47063"/>
    <w:rsid w:val="00A51F99"/>
    <w:rsid w:val="00A543F3"/>
    <w:rsid w:val="00A55C2E"/>
    <w:rsid w:val="00A6287B"/>
    <w:rsid w:val="00A62B3D"/>
    <w:rsid w:val="00A6536D"/>
    <w:rsid w:val="00A65CB4"/>
    <w:rsid w:val="00A65D7B"/>
    <w:rsid w:val="00A70360"/>
    <w:rsid w:val="00A71445"/>
    <w:rsid w:val="00A72AD9"/>
    <w:rsid w:val="00A72DC2"/>
    <w:rsid w:val="00A73E72"/>
    <w:rsid w:val="00A7649B"/>
    <w:rsid w:val="00A76A58"/>
    <w:rsid w:val="00A820FA"/>
    <w:rsid w:val="00A852B6"/>
    <w:rsid w:val="00A858E1"/>
    <w:rsid w:val="00A85A56"/>
    <w:rsid w:val="00A8704A"/>
    <w:rsid w:val="00A939EA"/>
    <w:rsid w:val="00A97091"/>
    <w:rsid w:val="00A97D69"/>
    <w:rsid w:val="00AA0F72"/>
    <w:rsid w:val="00AA2814"/>
    <w:rsid w:val="00AA34A7"/>
    <w:rsid w:val="00AA4014"/>
    <w:rsid w:val="00AA716C"/>
    <w:rsid w:val="00AB4904"/>
    <w:rsid w:val="00AB5A17"/>
    <w:rsid w:val="00AB5A39"/>
    <w:rsid w:val="00AB6F2D"/>
    <w:rsid w:val="00AB769F"/>
    <w:rsid w:val="00AC1EFD"/>
    <w:rsid w:val="00AC6C4C"/>
    <w:rsid w:val="00AD0D6C"/>
    <w:rsid w:val="00AD2C2E"/>
    <w:rsid w:val="00AD37F1"/>
    <w:rsid w:val="00AD46FB"/>
    <w:rsid w:val="00AD680C"/>
    <w:rsid w:val="00AE10CF"/>
    <w:rsid w:val="00AE4B30"/>
    <w:rsid w:val="00AF37A4"/>
    <w:rsid w:val="00AF3A58"/>
    <w:rsid w:val="00AF5E23"/>
    <w:rsid w:val="00AF6DF9"/>
    <w:rsid w:val="00AF7466"/>
    <w:rsid w:val="00B003DC"/>
    <w:rsid w:val="00B0350D"/>
    <w:rsid w:val="00B1212B"/>
    <w:rsid w:val="00B13CB5"/>
    <w:rsid w:val="00B14B1A"/>
    <w:rsid w:val="00B172DA"/>
    <w:rsid w:val="00B20B74"/>
    <w:rsid w:val="00B23F43"/>
    <w:rsid w:val="00B2514B"/>
    <w:rsid w:val="00B26DC5"/>
    <w:rsid w:val="00B26FE3"/>
    <w:rsid w:val="00B319E5"/>
    <w:rsid w:val="00B31ABC"/>
    <w:rsid w:val="00B32738"/>
    <w:rsid w:val="00B33319"/>
    <w:rsid w:val="00B33793"/>
    <w:rsid w:val="00B33D1D"/>
    <w:rsid w:val="00B35FA1"/>
    <w:rsid w:val="00B37F53"/>
    <w:rsid w:val="00B40150"/>
    <w:rsid w:val="00B438B4"/>
    <w:rsid w:val="00B43E01"/>
    <w:rsid w:val="00B50775"/>
    <w:rsid w:val="00B52486"/>
    <w:rsid w:val="00B566F5"/>
    <w:rsid w:val="00B61653"/>
    <w:rsid w:val="00B6225A"/>
    <w:rsid w:val="00B650A8"/>
    <w:rsid w:val="00B6596A"/>
    <w:rsid w:val="00B72A0E"/>
    <w:rsid w:val="00B72DBA"/>
    <w:rsid w:val="00B737C4"/>
    <w:rsid w:val="00B81F77"/>
    <w:rsid w:val="00B83858"/>
    <w:rsid w:val="00B87269"/>
    <w:rsid w:val="00B932E0"/>
    <w:rsid w:val="00B93B5D"/>
    <w:rsid w:val="00B9469C"/>
    <w:rsid w:val="00BA0825"/>
    <w:rsid w:val="00BA13F9"/>
    <w:rsid w:val="00BA153A"/>
    <w:rsid w:val="00BA28C4"/>
    <w:rsid w:val="00BA3B9B"/>
    <w:rsid w:val="00BA40A6"/>
    <w:rsid w:val="00BA440A"/>
    <w:rsid w:val="00BB0FAB"/>
    <w:rsid w:val="00BB1BAA"/>
    <w:rsid w:val="00BB2C5E"/>
    <w:rsid w:val="00BB30B0"/>
    <w:rsid w:val="00BB31D9"/>
    <w:rsid w:val="00BB3B88"/>
    <w:rsid w:val="00BB7CCD"/>
    <w:rsid w:val="00BC2A22"/>
    <w:rsid w:val="00BC3341"/>
    <w:rsid w:val="00BC5232"/>
    <w:rsid w:val="00BC5884"/>
    <w:rsid w:val="00BD0C94"/>
    <w:rsid w:val="00BD73FC"/>
    <w:rsid w:val="00BE0FB2"/>
    <w:rsid w:val="00BE76B3"/>
    <w:rsid w:val="00BF50EC"/>
    <w:rsid w:val="00BF6B13"/>
    <w:rsid w:val="00BF7A14"/>
    <w:rsid w:val="00C02F2F"/>
    <w:rsid w:val="00C06556"/>
    <w:rsid w:val="00C06A36"/>
    <w:rsid w:val="00C12A0A"/>
    <w:rsid w:val="00C171F0"/>
    <w:rsid w:val="00C17A3E"/>
    <w:rsid w:val="00C26D06"/>
    <w:rsid w:val="00C31558"/>
    <w:rsid w:val="00C33585"/>
    <w:rsid w:val="00C35138"/>
    <w:rsid w:val="00C37E97"/>
    <w:rsid w:val="00C430D4"/>
    <w:rsid w:val="00C44F6B"/>
    <w:rsid w:val="00C46A0C"/>
    <w:rsid w:val="00C47DF8"/>
    <w:rsid w:val="00C503BB"/>
    <w:rsid w:val="00C519DE"/>
    <w:rsid w:val="00C52624"/>
    <w:rsid w:val="00C5517A"/>
    <w:rsid w:val="00C56916"/>
    <w:rsid w:val="00C60206"/>
    <w:rsid w:val="00C61657"/>
    <w:rsid w:val="00C6257B"/>
    <w:rsid w:val="00C720F7"/>
    <w:rsid w:val="00C74DD5"/>
    <w:rsid w:val="00C778E8"/>
    <w:rsid w:val="00C807A2"/>
    <w:rsid w:val="00C83249"/>
    <w:rsid w:val="00C84B60"/>
    <w:rsid w:val="00C907AC"/>
    <w:rsid w:val="00C918D5"/>
    <w:rsid w:val="00C9284F"/>
    <w:rsid w:val="00C94220"/>
    <w:rsid w:val="00C95035"/>
    <w:rsid w:val="00C96D24"/>
    <w:rsid w:val="00C97A8F"/>
    <w:rsid w:val="00C97AE0"/>
    <w:rsid w:val="00CA189A"/>
    <w:rsid w:val="00CA5231"/>
    <w:rsid w:val="00CA537C"/>
    <w:rsid w:val="00CA683D"/>
    <w:rsid w:val="00CB05A9"/>
    <w:rsid w:val="00CB4A8D"/>
    <w:rsid w:val="00CB5220"/>
    <w:rsid w:val="00CB6D10"/>
    <w:rsid w:val="00CC11CC"/>
    <w:rsid w:val="00CC2459"/>
    <w:rsid w:val="00CF047C"/>
    <w:rsid w:val="00CF0A75"/>
    <w:rsid w:val="00CF120B"/>
    <w:rsid w:val="00CF2C1E"/>
    <w:rsid w:val="00D001EF"/>
    <w:rsid w:val="00D024E7"/>
    <w:rsid w:val="00D026E7"/>
    <w:rsid w:val="00D029AD"/>
    <w:rsid w:val="00D045CE"/>
    <w:rsid w:val="00D079BF"/>
    <w:rsid w:val="00D11A61"/>
    <w:rsid w:val="00D12D8E"/>
    <w:rsid w:val="00D157A5"/>
    <w:rsid w:val="00D22D52"/>
    <w:rsid w:val="00D23A2A"/>
    <w:rsid w:val="00D24344"/>
    <w:rsid w:val="00D26C4E"/>
    <w:rsid w:val="00D30B7F"/>
    <w:rsid w:val="00D3165B"/>
    <w:rsid w:val="00D31930"/>
    <w:rsid w:val="00D31E22"/>
    <w:rsid w:val="00D34C65"/>
    <w:rsid w:val="00D354EE"/>
    <w:rsid w:val="00D370B5"/>
    <w:rsid w:val="00D413B9"/>
    <w:rsid w:val="00D43B72"/>
    <w:rsid w:val="00D4412B"/>
    <w:rsid w:val="00D44CDE"/>
    <w:rsid w:val="00D44DDA"/>
    <w:rsid w:val="00D512AE"/>
    <w:rsid w:val="00D54110"/>
    <w:rsid w:val="00D54D9B"/>
    <w:rsid w:val="00D557D0"/>
    <w:rsid w:val="00D573A4"/>
    <w:rsid w:val="00D63B57"/>
    <w:rsid w:val="00D7500A"/>
    <w:rsid w:val="00D85BB5"/>
    <w:rsid w:val="00D864C9"/>
    <w:rsid w:val="00D938B7"/>
    <w:rsid w:val="00D95C98"/>
    <w:rsid w:val="00DA3932"/>
    <w:rsid w:val="00DA487B"/>
    <w:rsid w:val="00DA5480"/>
    <w:rsid w:val="00DA5F12"/>
    <w:rsid w:val="00DA6943"/>
    <w:rsid w:val="00DB1A61"/>
    <w:rsid w:val="00DB3618"/>
    <w:rsid w:val="00DB4F8C"/>
    <w:rsid w:val="00DB5EB3"/>
    <w:rsid w:val="00DC09E1"/>
    <w:rsid w:val="00DC1D51"/>
    <w:rsid w:val="00DC29DA"/>
    <w:rsid w:val="00DD3F82"/>
    <w:rsid w:val="00DD5CC9"/>
    <w:rsid w:val="00DD5E45"/>
    <w:rsid w:val="00DD75FD"/>
    <w:rsid w:val="00DE0D86"/>
    <w:rsid w:val="00DE2961"/>
    <w:rsid w:val="00DE2DE0"/>
    <w:rsid w:val="00DE46BB"/>
    <w:rsid w:val="00DE48A3"/>
    <w:rsid w:val="00DE5122"/>
    <w:rsid w:val="00DE621C"/>
    <w:rsid w:val="00DE6CA9"/>
    <w:rsid w:val="00DF4A08"/>
    <w:rsid w:val="00E02605"/>
    <w:rsid w:val="00E0600A"/>
    <w:rsid w:val="00E14BF3"/>
    <w:rsid w:val="00E156E4"/>
    <w:rsid w:val="00E2275D"/>
    <w:rsid w:val="00E22AFF"/>
    <w:rsid w:val="00E24182"/>
    <w:rsid w:val="00E25DD3"/>
    <w:rsid w:val="00E31F42"/>
    <w:rsid w:val="00E33BFB"/>
    <w:rsid w:val="00E3551E"/>
    <w:rsid w:val="00E41457"/>
    <w:rsid w:val="00E456A3"/>
    <w:rsid w:val="00E50013"/>
    <w:rsid w:val="00E541C3"/>
    <w:rsid w:val="00E55702"/>
    <w:rsid w:val="00E57292"/>
    <w:rsid w:val="00E63AE8"/>
    <w:rsid w:val="00E65DC3"/>
    <w:rsid w:val="00E7650C"/>
    <w:rsid w:val="00E77F6F"/>
    <w:rsid w:val="00E82A5F"/>
    <w:rsid w:val="00E83B6E"/>
    <w:rsid w:val="00E848EA"/>
    <w:rsid w:val="00E84EA0"/>
    <w:rsid w:val="00E864A2"/>
    <w:rsid w:val="00E87D25"/>
    <w:rsid w:val="00E953EC"/>
    <w:rsid w:val="00E95D4C"/>
    <w:rsid w:val="00E97F59"/>
    <w:rsid w:val="00EA19AA"/>
    <w:rsid w:val="00EA4E30"/>
    <w:rsid w:val="00EA758C"/>
    <w:rsid w:val="00EA7A56"/>
    <w:rsid w:val="00EB1F0B"/>
    <w:rsid w:val="00EB209F"/>
    <w:rsid w:val="00EB2CC4"/>
    <w:rsid w:val="00EB4DCE"/>
    <w:rsid w:val="00EC06BE"/>
    <w:rsid w:val="00EC0D93"/>
    <w:rsid w:val="00EC1968"/>
    <w:rsid w:val="00EC4B60"/>
    <w:rsid w:val="00EC5F79"/>
    <w:rsid w:val="00ED0BFE"/>
    <w:rsid w:val="00ED101B"/>
    <w:rsid w:val="00ED1A4D"/>
    <w:rsid w:val="00ED3900"/>
    <w:rsid w:val="00ED4C9D"/>
    <w:rsid w:val="00ED4CD1"/>
    <w:rsid w:val="00ED7EFF"/>
    <w:rsid w:val="00EE10B1"/>
    <w:rsid w:val="00EE11E2"/>
    <w:rsid w:val="00EE19B7"/>
    <w:rsid w:val="00EE1A30"/>
    <w:rsid w:val="00EE27B0"/>
    <w:rsid w:val="00EE2D5E"/>
    <w:rsid w:val="00EF52A8"/>
    <w:rsid w:val="00EF6DC6"/>
    <w:rsid w:val="00F00031"/>
    <w:rsid w:val="00F04E6C"/>
    <w:rsid w:val="00F05FF8"/>
    <w:rsid w:val="00F06E3F"/>
    <w:rsid w:val="00F07655"/>
    <w:rsid w:val="00F07B01"/>
    <w:rsid w:val="00F1479E"/>
    <w:rsid w:val="00F16337"/>
    <w:rsid w:val="00F20691"/>
    <w:rsid w:val="00F23DB6"/>
    <w:rsid w:val="00F256DF"/>
    <w:rsid w:val="00F25AFF"/>
    <w:rsid w:val="00F26486"/>
    <w:rsid w:val="00F325A8"/>
    <w:rsid w:val="00F336C1"/>
    <w:rsid w:val="00F34A34"/>
    <w:rsid w:val="00F36F0A"/>
    <w:rsid w:val="00F43114"/>
    <w:rsid w:val="00F4436B"/>
    <w:rsid w:val="00F4592C"/>
    <w:rsid w:val="00F51064"/>
    <w:rsid w:val="00F54E50"/>
    <w:rsid w:val="00F61542"/>
    <w:rsid w:val="00F62B2C"/>
    <w:rsid w:val="00F672D1"/>
    <w:rsid w:val="00F7316F"/>
    <w:rsid w:val="00F734DD"/>
    <w:rsid w:val="00F803DD"/>
    <w:rsid w:val="00F80DEC"/>
    <w:rsid w:val="00F813B6"/>
    <w:rsid w:val="00F8535F"/>
    <w:rsid w:val="00F86AB5"/>
    <w:rsid w:val="00F92838"/>
    <w:rsid w:val="00F92AC3"/>
    <w:rsid w:val="00FA0208"/>
    <w:rsid w:val="00FA1C22"/>
    <w:rsid w:val="00FB431D"/>
    <w:rsid w:val="00FB5D36"/>
    <w:rsid w:val="00FC7B9F"/>
    <w:rsid w:val="00FD0C69"/>
    <w:rsid w:val="00FD0F11"/>
    <w:rsid w:val="00FD2DE7"/>
    <w:rsid w:val="00FD3706"/>
    <w:rsid w:val="00FD5BD8"/>
    <w:rsid w:val="00FD5EF1"/>
    <w:rsid w:val="00FD6B22"/>
    <w:rsid w:val="00FD7DD6"/>
    <w:rsid w:val="00FE077A"/>
    <w:rsid w:val="00FE19FA"/>
    <w:rsid w:val="00FE4B60"/>
    <w:rsid w:val="00FE6EA9"/>
    <w:rsid w:val="00FF04B1"/>
    <w:rsid w:val="00FF0B03"/>
    <w:rsid w:val="00FF3DF2"/>
    <w:rsid w:val="00FF5D3C"/>
    <w:rsid w:val="00FF7B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38C6F4"/>
  <w15:docId w15:val="{ADE974E2-3B5B-4BE8-9568-306EFF844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8B7"/>
    <w:pPr>
      <w:spacing w:after="12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2C05F2"/>
    <w:pPr>
      <w:keepNext/>
      <w:keepLines/>
      <w:spacing w:before="480"/>
      <w:outlineLvl w:val="0"/>
    </w:pPr>
    <w:rPr>
      <w:rFonts w:eastAsiaTheme="majorEastAsia" w:cstheme="majorBidi"/>
      <w:b/>
      <w:bCs/>
      <w:color w:val="2E74B5" w:themeColor="accent1" w:themeShade="BF"/>
      <w:sz w:val="32"/>
      <w:szCs w:val="28"/>
    </w:rPr>
  </w:style>
  <w:style w:type="paragraph" w:styleId="Heading2">
    <w:name w:val="heading 2"/>
    <w:basedOn w:val="Normal"/>
    <w:next w:val="Normal"/>
    <w:link w:val="Heading2Char"/>
    <w:uiPriority w:val="9"/>
    <w:unhideWhenUsed/>
    <w:qFormat/>
    <w:rsid w:val="003806A6"/>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D4C9D"/>
    <w:pPr>
      <w:keepNext/>
      <w:keepLines/>
      <w:spacing w:before="200"/>
      <w:outlineLvl w:val="2"/>
    </w:pPr>
    <w:rPr>
      <w:rFonts w:eastAsiaTheme="majorEastAsia" w:cstheme="majorBidi"/>
      <w:b/>
      <w:bCs/>
      <w:i/>
      <w:color w:val="2E74B5" w:themeColor="accent1" w:themeShade="BF"/>
      <w:sz w:val="28"/>
    </w:rPr>
  </w:style>
  <w:style w:type="paragraph" w:styleId="Heading4">
    <w:name w:val="heading 4"/>
    <w:aliases w:val="Table headings"/>
    <w:basedOn w:val="Normal"/>
    <w:next w:val="Normal"/>
    <w:link w:val="Heading4Char"/>
    <w:uiPriority w:val="9"/>
    <w:unhideWhenUsed/>
    <w:qFormat/>
    <w:rsid w:val="009248D5"/>
    <w:pPr>
      <w:keepNext/>
      <w:keepLines/>
      <w:spacing w:line="240" w:lineRule="auto"/>
      <w:outlineLvl w:val="3"/>
    </w:pPr>
    <w:rPr>
      <w:rFonts w:asciiTheme="minorHAnsi" w:eastAsiaTheme="majorEastAsia" w:hAnsiTheme="minorHAnsi" w:cstheme="majorBidi"/>
      <w:bCs/>
      <w:i/>
      <w:iCs/>
      <w:color w:val="808080" w:themeColor="background1" w:themeShade="80"/>
      <w:sz w:val="22"/>
    </w:rPr>
  </w:style>
  <w:style w:type="paragraph" w:styleId="Heading5">
    <w:name w:val="heading 5"/>
    <w:basedOn w:val="Normal"/>
    <w:next w:val="Normal"/>
    <w:link w:val="Heading5Char"/>
    <w:uiPriority w:val="9"/>
    <w:unhideWhenUsed/>
    <w:qFormat/>
    <w:rsid w:val="00591EA2"/>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91EA2"/>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91EA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91EA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91EA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5F2"/>
    <w:rPr>
      <w:rFonts w:ascii="Times New Roman" w:eastAsiaTheme="majorEastAsia" w:hAnsi="Times New Roman" w:cstheme="majorBidi"/>
      <w:b/>
      <w:bCs/>
      <w:color w:val="2E74B5" w:themeColor="accent1" w:themeShade="BF"/>
      <w:sz w:val="32"/>
      <w:szCs w:val="28"/>
    </w:rPr>
  </w:style>
  <w:style w:type="character" w:customStyle="1" w:styleId="Heading2Char">
    <w:name w:val="Heading 2 Char"/>
    <w:basedOn w:val="DefaultParagraphFont"/>
    <w:link w:val="Heading2"/>
    <w:uiPriority w:val="9"/>
    <w:rsid w:val="003806A6"/>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ED4C9D"/>
    <w:rPr>
      <w:rFonts w:ascii="Times New Roman" w:eastAsiaTheme="majorEastAsia" w:hAnsi="Times New Roman" w:cstheme="majorBidi"/>
      <w:b/>
      <w:bCs/>
      <w:i/>
      <w:color w:val="2E74B5" w:themeColor="accent1" w:themeShade="BF"/>
      <w:sz w:val="28"/>
    </w:rPr>
  </w:style>
  <w:style w:type="character" w:customStyle="1" w:styleId="Heading4Char">
    <w:name w:val="Heading 4 Char"/>
    <w:aliases w:val="Table headings Char"/>
    <w:basedOn w:val="DefaultParagraphFont"/>
    <w:link w:val="Heading4"/>
    <w:uiPriority w:val="9"/>
    <w:rsid w:val="009248D5"/>
    <w:rPr>
      <w:rFonts w:eastAsiaTheme="majorEastAsia" w:cstheme="majorBidi"/>
      <w:bCs/>
      <w:i/>
      <w:iCs/>
      <w:color w:val="808080" w:themeColor="background1" w:themeShade="80"/>
    </w:rPr>
  </w:style>
  <w:style w:type="character" w:customStyle="1" w:styleId="Heading5Char">
    <w:name w:val="Heading 5 Char"/>
    <w:basedOn w:val="DefaultParagraphFont"/>
    <w:link w:val="Heading5"/>
    <w:uiPriority w:val="9"/>
    <w:rsid w:val="00591EA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91EA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91E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91E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91EA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91EA2"/>
    <w:pPr>
      <w:spacing w:line="240" w:lineRule="auto"/>
    </w:pPr>
    <w:rPr>
      <w:rFonts w:asciiTheme="minorHAnsi" w:hAnsiTheme="minorHAnsi"/>
      <w:b/>
      <w:bCs/>
      <w:color w:val="5B9BD5" w:themeColor="accent1"/>
      <w:sz w:val="18"/>
      <w:szCs w:val="18"/>
    </w:rPr>
  </w:style>
  <w:style w:type="paragraph" w:styleId="Title">
    <w:name w:val="Title"/>
    <w:basedOn w:val="Normal"/>
    <w:next w:val="Normal"/>
    <w:link w:val="TitleChar"/>
    <w:uiPriority w:val="10"/>
    <w:qFormat/>
    <w:rsid w:val="00591EA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91EA2"/>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91EA2"/>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591EA2"/>
    <w:rPr>
      <w:rFonts w:asciiTheme="majorHAnsi" w:eastAsiaTheme="majorEastAsia" w:hAnsiTheme="majorHAnsi" w:cstheme="majorBidi"/>
      <w:i/>
      <w:iCs/>
      <w:color w:val="5B9BD5" w:themeColor="accent1"/>
      <w:spacing w:val="15"/>
      <w:sz w:val="24"/>
      <w:szCs w:val="24"/>
    </w:rPr>
  </w:style>
  <w:style w:type="paragraph" w:styleId="NoSpacing">
    <w:name w:val="No Spacing"/>
    <w:basedOn w:val="Normal"/>
    <w:uiPriority w:val="1"/>
    <w:qFormat/>
    <w:rsid w:val="00591EA2"/>
    <w:pPr>
      <w:spacing w:line="240" w:lineRule="auto"/>
    </w:pPr>
  </w:style>
  <w:style w:type="paragraph" w:styleId="ListParagraph">
    <w:name w:val="List Paragraph"/>
    <w:aliases w:val="Table content"/>
    <w:basedOn w:val="Normal"/>
    <w:uiPriority w:val="34"/>
    <w:qFormat/>
    <w:rsid w:val="00591EA2"/>
    <w:pPr>
      <w:contextualSpacing/>
    </w:pPr>
  </w:style>
  <w:style w:type="paragraph" w:styleId="Quote">
    <w:name w:val="Quote"/>
    <w:basedOn w:val="Normal"/>
    <w:next w:val="Normal"/>
    <w:link w:val="QuoteChar"/>
    <w:uiPriority w:val="29"/>
    <w:qFormat/>
    <w:rsid w:val="00591EA2"/>
    <w:rPr>
      <w:i/>
      <w:iCs/>
      <w:color w:val="000000" w:themeColor="text1"/>
    </w:rPr>
  </w:style>
  <w:style w:type="character" w:customStyle="1" w:styleId="QuoteChar">
    <w:name w:val="Quote Char"/>
    <w:basedOn w:val="DefaultParagraphFont"/>
    <w:link w:val="Quote"/>
    <w:uiPriority w:val="29"/>
    <w:rsid w:val="00591EA2"/>
    <w:rPr>
      <w:rFonts w:ascii="Times New Roman" w:hAnsi="Times New Roman"/>
      <w:i/>
      <w:iCs/>
      <w:color w:val="000000" w:themeColor="text1"/>
    </w:rPr>
  </w:style>
  <w:style w:type="paragraph" w:styleId="IntenseQuote">
    <w:name w:val="Intense Quote"/>
    <w:basedOn w:val="Normal"/>
    <w:next w:val="Normal"/>
    <w:link w:val="IntenseQuoteChar"/>
    <w:uiPriority w:val="30"/>
    <w:qFormat/>
    <w:rsid w:val="00591EA2"/>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91EA2"/>
    <w:rPr>
      <w:rFonts w:ascii="Times New Roman" w:hAnsi="Times New Roman"/>
      <w:b/>
      <w:bCs/>
      <w:i/>
      <w:iCs/>
      <w:color w:val="5B9BD5" w:themeColor="accent1"/>
    </w:rPr>
  </w:style>
  <w:style w:type="paragraph" w:styleId="TOCHeading">
    <w:name w:val="TOC Heading"/>
    <w:basedOn w:val="Heading1"/>
    <w:next w:val="Normal"/>
    <w:uiPriority w:val="39"/>
    <w:semiHidden/>
    <w:unhideWhenUsed/>
    <w:qFormat/>
    <w:rsid w:val="00591EA2"/>
    <w:pPr>
      <w:outlineLvl w:val="9"/>
    </w:pPr>
    <w:rPr>
      <w:rFonts w:asciiTheme="majorHAnsi" w:hAnsiTheme="majorHAnsi"/>
    </w:rPr>
  </w:style>
  <w:style w:type="character" w:styleId="Strong">
    <w:name w:val="Strong"/>
    <w:basedOn w:val="DefaultParagraphFont"/>
    <w:uiPriority w:val="22"/>
    <w:rsid w:val="00FC7B9F"/>
    <w:rPr>
      <w:b/>
      <w:bCs/>
    </w:rPr>
  </w:style>
  <w:style w:type="paragraph" w:styleId="BalloonText">
    <w:name w:val="Balloon Text"/>
    <w:basedOn w:val="Normal"/>
    <w:link w:val="BalloonTextChar"/>
    <w:uiPriority w:val="99"/>
    <w:semiHidden/>
    <w:unhideWhenUsed/>
    <w:rsid w:val="003109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9EC"/>
    <w:rPr>
      <w:rFonts w:ascii="Tahoma" w:hAnsi="Tahoma" w:cs="Tahoma"/>
      <w:sz w:val="16"/>
      <w:szCs w:val="16"/>
    </w:rPr>
  </w:style>
  <w:style w:type="table" w:styleId="TableGrid">
    <w:name w:val="Table Grid"/>
    <w:basedOn w:val="TableNormal"/>
    <w:uiPriority w:val="39"/>
    <w:rsid w:val="008C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7441"/>
    <w:rPr>
      <w:sz w:val="16"/>
      <w:szCs w:val="16"/>
    </w:rPr>
  </w:style>
  <w:style w:type="paragraph" w:styleId="CommentText">
    <w:name w:val="annotation text"/>
    <w:basedOn w:val="Normal"/>
    <w:link w:val="CommentTextChar"/>
    <w:uiPriority w:val="99"/>
    <w:unhideWhenUsed/>
    <w:rsid w:val="00827441"/>
    <w:pPr>
      <w:spacing w:line="240" w:lineRule="auto"/>
    </w:pPr>
    <w:rPr>
      <w:sz w:val="20"/>
      <w:szCs w:val="20"/>
    </w:rPr>
  </w:style>
  <w:style w:type="character" w:customStyle="1" w:styleId="CommentTextChar">
    <w:name w:val="Comment Text Char"/>
    <w:basedOn w:val="DefaultParagraphFont"/>
    <w:link w:val="CommentText"/>
    <w:uiPriority w:val="99"/>
    <w:rsid w:val="0082744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7441"/>
    <w:rPr>
      <w:b/>
      <w:bCs/>
    </w:rPr>
  </w:style>
  <w:style w:type="character" w:customStyle="1" w:styleId="CommentSubjectChar">
    <w:name w:val="Comment Subject Char"/>
    <w:basedOn w:val="CommentTextChar"/>
    <w:link w:val="CommentSubject"/>
    <w:uiPriority w:val="99"/>
    <w:semiHidden/>
    <w:rsid w:val="00827441"/>
    <w:rPr>
      <w:rFonts w:ascii="Times New Roman" w:hAnsi="Times New Roman"/>
      <w:b/>
      <w:bCs/>
      <w:sz w:val="20"/>
      <w:szCs w:val="20"/>
    </w:rPr>
  </w:style>
  <w:style w:type="character" w:styleId="PlaceholderText">
    <w:name w:val="Placeholder Text"/>
    <w:basedOn w:val="DefaultParagraphFont"/>
    <w:uiPriority w:val="99"/>
    <w:semiHidden/>
    <w:rsid w:val="006D56F7"/>
    <w:rPr>
      <w:color w:val="808080"/>
    </w:rPr>
  </w:style>
  <w:style w:type="paragraph" w:customStyle="1" w:styleId="Default">
    <w:name w:val="Default"/>
    <w:rsid w:val="00E83B6E"/>
    <w:pPr>
      <w:autoSpaceDE w:val="0"/>
      <w:autoSpaceDN w:val="0"/>
      <w:adjustRightInd w:val="0"/>
      <w:spacing w:after="0" w:line="240" w:lineRule="auto"/>
    </w:pPr>
    <w:rPr>
      <w:rFonts w:ascii="Calibri" w:hAnsi="Calibri" w:cs="Calibri"/>
      <w:color w:val="000000"/>
      <w:sz w:val="24"/>
      <w:szCs w:val="24"/>
    </w:rPr>
  </w:style>
  <w:style w:type="character" w:customStyle="1" w:styleId="A1">
    <w:name w:val="A1"/>
    <w:uiPriority w:val="99"/>
    <w:rsid w:val="00B72DBA"/>
    <w:rPr>
      <w:rFonts w:cs="Calibri"/>
      <w:color w:val="000000"/>
      <w:sz w:val="22"/>
      <w:szCs w:val="22"/>
    </w:rPr>
  </w:style>
  <w:style w:type="paragraph" w:styleId="FootnoteText">
    <w:name w:val="footnote text"/>
    <w:basedOn w:val="Normal"/>
    <w:link w:val="FootnoteTextChar"/>
    <w:uiPriority w:val="99"/>
    <w:semiHidden/>
    <w:unhideWhenUsed/>
    <w:rsid w:val="009E4A67"/>
    <w:pPr>
      <w:spacing w:line="240" w:lineRule="auto"/>
    </w:pPr>
    <w:rPr>
      <w:sz w:val="20"/>
      <w:szCs w:val="20"/>
    </w:rPr>
  </w:style>
  <w:style w:type="character" w:customStyle="1" w:styleId="FootnoteTextChar">
    <w:name w:val="Footnote Text Char"/>
    <w:basedOn w:val="DefaultParagraphFont"/>
    <w:link w:val="FootnoteText"/>
    <w:uiPriority w:val="99"/>
    <w:semiHidden/>
    <w:rsid w:val="009E4A67"/>
    <w:rPr>
      <w:rFonts w:ascii="Times New Roman" w:hAnsi="Times New Roman"/>
      <w:sz w:val="20"/>
      <w:szCs w:val="20"/>
    </w:rPr>
  </w:style>
  <w:style w:type="character" w:styleId="FootnoteReference">
    <w:name w:val="footnote reference"/>
    <w:basedOn w:val="DefaultParagraphFont"/>
    <w:uiPriority w:val="99"/>
    <w:semiHidden/>
    <w:unhideWhenUsed/>
    <w:rsid w:val="009E4A67"/>
    <w:rPr>
      <w:vertAlign w:val="superscript"/>
    </w:rPr>
  </w:style>
  <w:style w:type="character" w:styleId="EndnoteReference">
    <w:name w:val="endnote reference"/>
    <w:basedOn w:val="DefaultParagraphFont"/>
    <w:uiPriority w:val="99"/>
    <w:semiHidden/>
    <w:unhideWhenUsed/>
    <w:rsid w:val="00F51064"/>
    <w:rPr>
      <w:vertAlign w:val="superscript"/>
    </w:rPr>
  </w:style>
  <w:style w:type="paragraph" w:styleId="Header">
    <w:name w:val="header"/>
    <w:basedOn w:val="Normal"/>
    <w:link w:val="HeaderChar"/>
    <w:uiPriority w:val="99"/>
    <w:unhideWhenUsed/>
    <w:rsid w:val="003061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135"/>
    <w:rPr>
      <w:rFonts w:ascii="Times New Roman" w:hAnsi="Times New Roman"/>
      <w:sz w:val="24"/>
    </w:rPr>
  </w:style>
  <w:style w:type="paragraph" w:styleId="Footer">
    <w:name w:val="footer"/>
    <w:basedOn w:val="Normal"/>
    <w:link w:val="FooterChar"/>
    <w:uiPriority w:val="99"/>
    <w:unhideWhenUsed/>
    <w:rsid w:val="003061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135"/>
    <w:rPr>
      <w:rFonts w:ascii="Times New Roman" w:hAnsi="Times New Roman"/>
      <w:sz w:val="24"/>
    </w:rPr>
  </w:style>
  <w:style w:type="character" w:styleId="Hyperlink">
    <w:name w:val="Hyperlink"/>
    <w:basedOn w:val="DefaultParagraphFont"/>
    <w:uiPriority w:val="99"/>
    <w:semiHidden/>
    <w:unhideWhenUsed/>
    <w:rsid w:val="008013C1"/>
    <w:rPr>
      <w:color w:val="0000FF"/>
      <w:u w:val="single"/>
    </w:rPr>
  </w:style>
  <w:style w:type="character" w:customStyle="1" w:styleId="highlight">
    <w:name w:val="highlight"/>
    <w:basedOn w:val="DefaultParagraphFont"/>
    <w:rsid w:val="00801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80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CE5527A-9AE8-46EF-9E33-2D6DE0203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33114</Words>
  <Characters>188750</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Anouska Colledge</cp:lastModifiedBy>
  <cp:revision>3</cp:revision>
  <dcterms:created xsi:type="dcterms:W3CDTF">2019-10-15T08:44:00Z</dcterms:created>
  <dcterms:modified xsi:type="dcterms:W3CDTF">2019-10-15T08:44:00Z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16th edition (author-date)</vt:lpwstr>
  </property>
  <property fmtid="{D5CDD505-2E9C-101B-9397-08002B2CF9AE}" pid="4" name="Mendeley Recent Style Id 1_1">
    <vt:lpwstr>http://www.zotero.org/styles/clinical-infectious-diseases</vt:lpwstr>
  </property>
  <property fmtid="{D5CDD505-2E9C-101B-9397-08002B2CF9AE}" pid="5" name="Mendeley Recent Style Name 1_1">
    <vt:lpwstr>Clinical Infectious Diseases</vt:lpwstr>
  </property>
  <property fmtid="{D5CDD505-2E9C-101B-9397-08002B2CF9AE}" pid="6" name="Mendeley Recent Style Id 2_1">
    <vt:lpwstr>http://www.zotero.org/styles/european-respiratory-journal</vt:lpwstr>
  </property>
  <property fmtid="{D5CDD505-2E9C-101B-9397-08002B2CF9AE}" pid="7" name="Mendeley Recent Style Name 2_1">
    <vt:lpwstr>European Respiratory Journal</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http://csl.mendeley.com/styles/485357241/springer-vancouver-brackets</vt:lpwstr>
  </property>
  <property fmtid="{D5CDD505-2E9C-101B-9397-08002B2CF9AE}" pid="19" name="Mendeley Recent Style Name 8_1">
    <vt:lpwstr>Springer Vancouver (brackets) - James Trauer</vt:lpwstr>
  </property>
  <property fmtid="{D5CDD505-2E9C-101B-9397-08002B2CF9AE}" pid="20" name="Mendeley Recent Style Id 9_1">
    <vt:lpwstr>http://www.zotero.org/styles/the-lancet</vt:lpwstr>
  </property>
  <property fmtid="{D5CDD505-2E9C-101B-9397-08002B2CF9AE}" pid="21" name="Mendeley Recent Style Name 9_1">
    <vt:lpwstr>The Lancet</vt:lpwstr>
  </property>
  <property fmtid="{D5CDD505-2E9C-101B-9397-08002B2CF9AE}" pid="22" name="Mendeley Document_1">
    <vt:lpwstr>True</vt:lpwstr>
  </property>
  <property fmtid="{D5CDD505-2E9C-101B-9397-08002B2CF9AE}" pid="23" name="Mendeley Unique User Id_1">
    <vt:lpwstr>c85504b6-369d-35ed-a580-574fa5ca273b</vt:lpwstr>
  </property>
  <property fmtid="{D5CDD505-2E9C-101B-9397-08002B2CF9AE}" pid="24" name="Mendeley Citation Style_1">
    <vt:lpwstr>http://www.zotero.org/styles/nature</vt:lpwstr>
  </property>
</Properties>
</file>