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02" w:rsidRDefault="00E82102" w:rsidP="00E82102">
      <w:pPr>
        <w:widowControl/>
        <w:spacing w:line="360" w:lineRule="auto"/>
        <w:rPr>
          <w:b/>
        </w:rPr>
      </w:pPr>
      <w:bookmarkStart w:id="0" w:name="_GoBack"/>
      <w:bookmarkEnd w:id="0"/>
      <w:r>
        <w:rPr>
          <w:b/>
        </w:rPr>
        <w:t>Epidemiology and Infection</w:t>
      </w:r>
    </w:p>
    <w:p w:rsidR="00E82102" w:rsidRDefault="00E82102" w:rsidP="00E82102">
      <w:pPr>
        <w:widowControl/>
        <w:spacing w:line="360" w:lineRule="auto"/>
        <w:rPr>
          <w:b/>
        </w:rPr>
      </w:pPr>
    </w:p>
    <w:p w:rsidR="00E82102" w:rsidRPr="00C47342" w:rsidRDefault="00E82102" w:rsidP="00E82102">
      <w:pPr>
        <w:widowControl/>
        <w:spacing w:line="360" w:lineRule="auto"/>
        <w:rPr>
          <w:b/>
        </w:rPr>
      </w:pPr>
      <w:r w:rsidRPr="00C47342">
        <w:rPr>
          <w:b/>
        </w:rPr>
        <w:t>Title: The changing epidemiology of varicella and herpes zoster in Hong Kong before universal varicella vaccination in 2014</w:t>
      </w:r>
    </w:p>
    <w:p w:rsidR="00E82102" w:rsidRPr="00C47342" w:rsidRDefault="00E82102" w:rsidP="00E82102">
      <w:pPr>
        <w:widowControl/>
        <w:spacing w:line="360" w:lineRule="auto"/>
        <w:rPr>
          <w:b/>
        </w:rPr>
      </w:pPr>
    </w:p>
    <w:p w:rsidR="00E82102" w:rsidRPr="00C47342" w:rsidRDefault="00E82102" w:rsidP="00E82102">
      <w:pPr>
        <w:widowControl/>
        <w:spacing w:line="360" w:lineRule="auto"/>
        <w:rPr>
          <w:b/>
        </w:rPr>
      </w:pPr>
      <w:r w:rsidRPr="00C47342">
        <w:rPr>
          <w:b/>
        </w:rPr>
        <w:t xml:space="preserve">Authors </w:t>
      </w:r>
    </w:p>
    <w:p w:rsidR="00E82102" w:rsidRDefault="00E82102" w:rsidP="00E82102">
      <w:pPr>
        <w:widowControl/>
        <w:spacing w:line="360" w:lineRule="auto"/>
        <w:rPr>
          <w:b/>
        </w:rPr>
      </w:pPr>
      <w:r w:rsidRPr="00C47342">
        <w:rPr>
          <w:b/>
        </w:rPr>
        <w:t>D.Y.W. CHAN, W. J. EDMUNDS, H.L. CHAN, V. CHAN, Y.C.K. LAM, S.L. THOMAS, A. J. VAN HOEK, S. FLASCHE</w:t>
      </w:r>
    </w:p>
    <w:p w:rsidR="00E82102" w:rsidRDefault="00E82102" w:rsidP="00E82102">
      <w:pPr>
        <w:widowControl/>
        <w:spacing w:line="360" w:lineRule="auto"/>
        <w:rPr>
          <w:b/>
        </w:rPr>
      </w:pPr>
    </w:p>
    <w:p w:rsidR="00E82102" w:rsidRDefault="00E82102" w:rsidP="00E82102">
      <w:pPr>
        <w:widowControl/>
        <w:spacing w:line="360" w:lineRule="auto"/>
        <w:rPr>
          <w:b/>
        </w:rPr>
      </w:pPr>
      <w:r>
        <w:rPr>
          <w:b/>
        </w:rPr>
        <w:t>Supplementary Material</w:t>
      </w:r>
    </w:p>
    <w:p w:rsidR="00E82102" w:rsidRPr="00770BBB" w:rsidRDefault="00E82102" w:rsidP="00E82102">
      <w:pPr>
        <w:widowControl/>
        <w:spacing w:line="360" w:lineRule="auto"/>
      </w:pPr>
    </w:p>
    <w:p w:rsidR="00E82102" w:rsidRPr="00770BBB" w:rsidRDefault="00E82102" w:rsidP="00E82102">
      <w:pPr>
        <w:widowControl/>
        <w:spacing w:line="360" w:lineRule="auto"/>
        <w:jc w:val="both"/>
        <w:rPr>
          <w:lang w:eastAsia="zh-HK"/>
        </w:rPr>
      </w:pPr>
      <w:proofErr w:type="gramStart"/>
      <w:r w:rsidRPr="00770BBB">
        <w:t>Supplementary Table S</w:t>
      </w:r>
      <w:r w:rsidRPr="00770BBB">
        <w:rPr>
          <w:lang w:eastAsia="zh-HK"/>
        </w:rPr>
        <w:t>1.</w:t>
      </w:r>
      <w:proofErr w:type="gramEnd"/>
      <w:r w:rsidRPr="00770BBB">
        <w:rPr>
          <w:lang w:eastAsia="zh-HK"/>
        </w:rPr>
        <w:t xml:space="preserve"> ICD-9-CM codes related to disease and common complications of varicella and zoster, as well as underlying conditions of pregnancy and immunodeficiency </w:t>
      </w:r>
    </w:p>
    <w:p w:rsidR="00E82102" w:rsidRDefault="00E82102" w:rsidP="00E82102">
      <w:pPr>
        <w:widowControl/>
        <w:spacing w:line="360" w:lineRule="auto"/>
        <w:jc w:val="both"/>
        <w:rPr>
          <w:lang w:eastAsia="zh-HK"/>
        </w:rPr>
      </w:pPr>
    </w:p>
    <w:p w:rsidR="00102ADA" w:rsidRPr="00102ADA" w:rsidRDefault="00102ADA" w:rsidP="00102ADA">
      <w:pPr>
        <w:widowControl/>
        <w:spacing w:line="360" w:lineRule="auto"/>
        <w:rPr>
          <w:lang w:eastAsia="zh-HK"/>
        </w:rPr>
      </w:pPr>
      <w:proofErr w:type="gramStart"/>
      <w:r w:rsidRPr="00102ADA">
        <w:t>Supplementary Table S</w:t>
      </w:r>
      <w:r w:rsidRPr="00102ADA">
        <w:rPr>
          <w:rFonts w:hint="eastAsia"/>
          <w:lang w:eastAsia="zh-HK"/>
        </w:rPr>
        <w:t>2</w:t>
      </w:r>
      <w:r w:rsidRPr="00102ADA">
        <w:rPr>
          <w:lang w:eastAsia="zh-HK"/>
        </w:rPr>
        <w:t>.</w:t>
      </w:r>
      <w:proofErr w:type="gramEnd"/>
      <w:r w:rsidRPr="00102ADA">
        <w:rPr>
          <w:lang w:eastAsia="zh-HK"/>
        </w:rPr>
        <w:t xml:space="preserve"> </w:t>
      </w:r>
      <w:r w:rsidRPr="00102ADA">
        <w:rPr>
          <w:rFonts w:hint="eastAsia"/>
          <w:lang w:eastAsia="zh-HK"/>
        </w:rPr>
        <w:t xml:space="preserve">Estimation of </w:t>
      </w:r>
      <w:r>
        <w:rPr>
          <w:rFonts w:hint="eastAsia"/>
          <w:lang w:eastAsia="zh-HK"/>
        </w:rPr>
        <w:t xml:space="preserve">proportion </w:t>
      </w:r>
      <w:r w:rsidRPr="00102ADA">
        <w:rPr>
          <w:rFonts w:hint="eastAsia"/>
          <w:lang w:eastAsia="zh-HK"/>
        </w:rPr>
        <w:t>seroconver</w:t>
      </w:r>
      <w:r>
        <w:rPr>
          <w:rFonts w:hint="eastAsia"/>
          <w:lang w:eastAsia="zh-HK"/>
        </w:rPr>
        <w:t>ted</w:t>
      </w:r>
      <w:r w:rsidRPr="00102ADA">
        <w:rPr>
          <w:rFonts w:hint="eastAsia"/>
          <w:lang w:eastAsia="zh-HK"/>
        </w:rPr>
        <w:t xml:space="preserve"> among </w:t>
      </w:r>
      <w:proofErr w:type="spellStart"/>
      <w:r w:rsidRPr="00102ADA">
        <w:rPr>
          <w:lang w:eastAsia="zh-HK"/>
        </w:rPr>
        <w:t>vaccine</w:t>
      </w:r>
      <w:r w:rsidRPr="00102ADA">
        <w:rPr>
          <w:rFonts w:hint="eastAsia"/>
          <w:lang w:eastAsia="zh-HK"/>
        </w:rPr>
        <w:t>es</w:t>
      </w:r>
      <w:proofErr w:type="spellEnd"/>
      <w:r w:rsidRPr="00102ADA">
        <w:rPr>
          <w:rFonts w:hint="eastAsia"/>
          <w:lang w:eastAsia="zh-HK"/>
        </w:rPr>
        <w:t xml:space="preserve"> in different serological surveys</w:t>
      </w:r>
    </w:p>
    <w:p w:rsidR="00102ADA" w:rsidRPr="00770BBB" w:rsidRDefault="00102ADA" w:rsidP="00E82102">
      <w:pPr>
        <w:widowControl/>
        <w:spacing w:line="360" w:lineRule="auto"/>
        <w:jc w:val="both"/>
        <w:rPr>
          <w:lang w:eastAsia="zh-HK"/>
        </w:rPr>
      </w:pPr>
    </w:p>
    <w:p w:rsidR="00E82102" w:rsidRPr="00770BBB" w:rsidRDefault="00E82102" w:rsidP="00E82102">
      <w:pPr>
        <w:jc w:val="both"/>
        <w:rPr>
          <w:lang w:eastAsia="zh-HK"/>
        </w:rPr>
      </w:pPr>
      <w:proofErr w:type="gramStart"/>
      <w:r w:rsidRPr="00770BBB">
        <w:t>Supplementary Figure S1</w:t>
      </w:r>
      <w:r w:rsidRPr="00770BBB">
        <w:rPr>
          <w:rFonts w:hint="eastAsia"/>
          <w:lang w:eastAsia="zh-HK"/>
        </w:rPr>
        <w:t>.</w:t>
      </w:r>
      <w:proofErr w:type="gramEnd"/>
      <w:r w:rsidRPr="00770BBB">
        <w:rPr>
          <w:rFonts w:hint="eastAsia"/>
          <w:lang w:eastAsia="zh-HK"/>
        </w:rPr>
        <w:t xml:space="preserve"> </w:t>
      </w:r>
      <w:proofErr w:type="gramStart"/>
      <w:r w:rsidRPr="00770BBB">
        <w:rPr>
          <w:rFonts w:hint="eastAsia"/>
          <w:lang w:eastAsia="zh-HK"/>
        </w:rPr>
        <w:t xml:space="preserve">Coding practice of A&amp;E attendance and inpatient </w:t>
      </w:r>
      <w:r w:rsidRPr="00770BBB">
        <w:rPr>
          <w:lang w:eastAsia="zh-HK"/>
        </w:rPr>
        <w:t>admission</w:t>
      </w:r>
      <w:r w:rsidRPr="00770BBB">
        <w:rPr>
          <w:rFonts w:hint="eastAsia"/>
          <w:lang w:eastAsia="zh-HK"/>
        </w:rPr>
        <w:t xml:space="preserve"> in public hospitals of Hong Kong, 2004/05 to 201</w:t>
      </w:r>
      <w:r w:rsidRPr="00770BBB">
        <w:rPr>
          <w:lang w:eastAsia="zh-HK"/>
        </w:rPr>
        <w:t>3</w:t>
      </w:r>
      <w:r w:rsidRPr="00770BBB">
        <w:rPr>
          <w:rFonts w:hint="eastAsia"/>
          <w:lang w:eastAsia="zh-HK"/>
        </w:rPr>
        <w:t>/1</w:t>
      </w:r>
      <w:r w:rsidRPr="00770BBB">
        <w:rPr>
          <w:lang w:eastAsia="zh-HK"/>
        </w:rPr>
        <w:t>4</w:t>
      </w:r>
      <w:r w:rsidRPr="00770BBB">
        <w:rPr>
          <w:rFonts w:hint="eastAsia"/>
          <w:lang w:eastAsia="zh-HK"/>
        </w:rPr>
        <w:t>.</w:t>
      </w:r>
      <w:proofErr w:type="gramEnd"/>
      <w:r w:rsidRPr="00770BBB">
        <w:rPr>
          <w:rFonts w:hint="eastAsia"/>
          <w:lang w:eastAsia="zh-HK"/>
        </w:rPr>
        <w:t xml:space="preserve"> </w:t>
      </w:r>
      <w:r w:rsidRPr="00770BBB">
        <w:t xml:space="preserve">(a) Proportion of </w:t>
      </w:r>
      <w:r w:rsidRPr="00770BBB">
        <w:rPr>
          <w:rFonts w:hint="eastAsia"/>
          <w:lang w:eastAsia="zh-HK"/>
        </w:rPr>
        <w:t>A&amp;E attendance coded, (b) average number of codes per A&amp;E attendance, (c) proportion of A&amp;E referred admission coded and (d) average number of codes per A&amp;E referred admission</w:t>
      </w:r>
    </w:p>
    <w:p w:rsidR="00E82102" w:rsidRPr="00770BBB" w:rsidRDefault="00E82102" w:rsidP="00E82102">
      <w:pPr>
        <w:widowControl/>
        <w:spacing w:line="360" w:lineRule="auto"/>
        <w:jc w:val="both"/>
      </w:pPr>
    </w:p>
    <w:p w:rsidR="00E82102" w:rsidRDefault="00E82102" w:rsidP="00E82102">
      <w:pPr>
        <w:widowControl/>
        <w:spacing w:line="360" w:lineRule="auto"/>
        <w:jc w:val="both"/>
        <w:rPr>
          <w:lang w:eastAsia="zh-HK"/>
        </w:rPr>
      </w:pPr>
      <w:proofErr w:type="gramStart"/>
      <w:r w:rsidRPr="00770BBB">
        <w:t>Supplementary Figure S2.</w:t>
      </w:r>
      <w:proofErr w:type="gramEnd"/>
      <w:r w:rsidRPr="00770BBB">
        <w:t xml:space="preserve"> No. of enrolment, average no. of enrolment per school and per class in preschools^, primary and secondary schools in Hong Kong, 1990 to 2015 (Source: Education Bureau and Social Welfare Department, Hong Kong SAR Government).</w:t>
      </w:r>
    </w:p>
    <w:p w:rsidR="00F264D3" w:rsidRDefault="00F264D3" w:rsidP="00E82102">
      <w:pPr>
        <w:widowControl/>
        <w:spacing w:line="360" w:lineRule="auto"/>
        <w:jc w:val="both"/>
        <w:rPr>
          <w:lang w:eastAsia="zh-HK"/>
        </w:rPr>
      </w:pPr>
    </w:p>
    <w:p w:rsidR="00F264D3" w:rsidRDefault="00F264D3" w:rsidP="00E82102">
      <w:pPr>
        <w:widowControl/>
        <w:spacing w:line="360" w:lineRule="auto"/>
        <w:jc w:val="both"/>
        <w:rPr>
          <w:lang w:eastAsia="zh-HK"/>
        </w:rPr>
      </w:pPr>
      <w:proofErr w:type="gramStart"/>
      <w:r w:rsidRPr="00F264D3">
        <w:rPr>
          <w:lang w:eastAsia="zh-HK"/>
        </w:rPr>
        <w:t>Supplementary Figure S3.</w:t>
      </w:r>
      <w:proofErr w:type="gramEnd"/>
      <w:r w:rsidRPr="00F264D3">
        <w:rPr>
          <w:lang w:eastAsia="zh-HK"/>
        </w:rPr>
        <w:t xml:space="preserve"> </w:t>
      </w:r>
      <w:proofErr w:type="gramStart"/>
      <w:r w:rsidRPr="00F264D3">
        <w:rPr>
          <w:lang w:eastAsia="zh-HK"/>
        </w:rPr>
        <w:t>Proportion seropositive against varicella antibody and model fitting with sensitivity analysis</w:t>
      </w:r>
      <w:r>
        <w:rPr>
          <w:rFonts w:hint="eastAsia"/>
          <w:lang w:eastAsia="zh-HK"/>
        </w:rPr>
        <w:t>.</w:t>
      </w:r>
      <w:proofErr w:type="gramEnd"/>
    </w:p>
    <w:p w:rsidR="00F264D3" w:rsidRDefault="00F264D3" w:rsidP="00E82102">
      <w:pPr>
        <w:widowControl/>
        <w:spacing w:line="360" w:lineRule="auto"/>
        <w:jc w:val="both"/>
        <w:rPr>
          <w:lang w:eastAsia="zh-HK"/>
        </w:rPr>
      </w:pPr>
    </w:p>
    <w:p w:rsidR="00F264D3" w:rsidRPr="00770BBB" w:rsidRDefault="00F264D3" w:rsidP="00E82102">
      <w:pPr>
        <w:widowControl/>
        <w:spacing w:line="360" w:lineRule="auto"/>
        <w:jc w:val="both"/>
        <w:rPr>
          <w:lang w:eastAsia="zh-HK"/>
        </w:rPr>
        <w:sectPr w:rsidR="00F264D3" w:rsidRPr="00770BBB" w:rsidSect="00E5777F">
          <w:pgSz w:w="11906" w:h="16838"/>
          <w:pgMar w:top="720" w:right="284" w:bottom="720" w:left="284" w:header="706" w:footer="706" w:gutter="0"/>
          <w:cols w:space="708"/>
          <w:docGrid w:linePitch="360"/>
        </w:sectPr>
      </w:pPr>
    </w:p>
    <w:p w:rsidR="00E82102" w:rsidRPr="002A2F8F" w:rsidRDefault="00E82102" w:rsidP="00E82102">
      <w:pPr>
        <w:widowControl/>
        <w:spacing w:line="360" w:lineRule="auto"/>
        <w:rPr>
          <w:b/>
          <w:lang w:eastAsia="zh-HK"/>
        </w:rPr>
      </w:pPr>
      <w:proofErr w:type="gramStart"/>
      <w:r w:rsidRPr="002A2F8F">
        <w:rPr>
          <w:b/>
        </w:rPr>
        <w:lastRenderedPageBreak/>
        <w:t xml:space="preserve">Supplementary </w:t>
      </w:r>
      <w:r>
        <w:rPr>
          <w:b/>
        </w:rPr>
        <w:t>T</w:t>
      </w:r>
      <w:r w:rsidRPr="002A2F8F">
        <w:rPr>
          <w:b/>
        </w:rPr>
        <w:t xml:space="preserve">able </w:t>
      </w:r>
      <w:r>
        <w:rPr>
          <w:b/>
        </w:rPr>
        <w:t>S</w:t>
      </w:r>
      <w:r w:rsidRPr="002A2F8F">
        <w:rPr>
          <w:b/>
          <w:lang w:eastAsia="zh-HK"/>
        </w:rPr>
        <w:t>1.</w:t>
      </w:r>
      <w:proofErr w:type="gramEnd"/>
      <w:r w:rsidRPr="002A2F8F">
        <w:rPr>
          <w:b/>
          <w:lang w:eastAsia="zh-HK"/>
        </w:rPr>
        <w:t xml:space="preserve"> ICD-9-CM codes related to disease and common complications of varicella and zoster, as well as underlying conditions of pregnancy and immunodeficiency </w:t>
      </w:r>
    </w:p>
    <w:p w:rsidR="00E82102" w:rsidRPr="002A2F8F" w:rsidRDefault="00E82102" w:rsidP="00E82102">
      <w:pPr>
        <w:spacing w:line="360" w:lineRule="auto"/>
      </w:pP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103"/>
        <w:gridCol w:w="3217"/>
        <w:gridCol w:w="2867"/>
      </w:tblGrid>
      <w:tr w:rsidR="00E82102" w:rsidRPr="002A2F8F" w:rsidTr="00D435F7">
        <w:tc>
          <w:tcPr>
            <w:tcW w:w="212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b/>
                <w:lang w:eastAsia="zh-HK"/>
              </w:rPr>
            </w:pPr>
            <w:r w:rsidRPr="002A2F8F">
              <w:rPr>
                <w:b/>
                <w:lang w:eastAsia="zh-HK"/>
              </w:rPr>
              <w:t>Condition</w:t>
            </w:r>
          </w:p>
        </w:tc>
        <w:tc>
          <w:tcPr>
            <w:tcW w:w="325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b/>
              </w:rPr>
            </w:pPr>
            <w:r w:rsidRPr="002A2F8F">
              <w:rPr>
                <w:b/>
              </w:rPr>
              <w:t>Description</w:t>
            </w:r>
          </w:p>
        </w:tc>
        <w:tc>
          <w:tcPr>
            <w:tcW w:w="29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b/>
              </w:rPr>
            </w:pPr>
            <w:r w:rsidRPr="002A2F8F">
              <w:rPr>
                <w:b/>
              </w:rPr>
              <w:t>ICD-9-CM Codes</w:t>
            </w:r>
          </w:p>
        </w:tc>
      </w:tr>
      <w:tr w:rsidR="00E82102" w:rsidRPr="002A2F8F" w:rsidTr="00D435F7">
        <w:tc>
          <w:tcPr>
            <w:tcW w:w="2125" w:type="dxa"/>
            <w:vMerge w:val="restart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E82102" w:rsidRPr="002A2F8F" w:rsidRDefault="00E82102" w:rsidP="00D435F7">
            <w:pPr>
              <w:spacing w:line="480" w:lineRule="auto"/>
              <w:rPr>
                <w:b/>
              </w:rPr>
            </w:pPr>
            <w:r w:rsidRPr="002A2F8F">
              <w:rPr>
                <w:b/>
              </w:rPr>
              <w:t>Varicella</w:t>
            </w:r>
          </w:p>
        </w:tc>
        <w:tc>
          <w:tcPr>
            <w:tcW w:w="3257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b/>
              </w:rPr>
            </w:pPr>
          </w:p>
        </w:tc>
        <w:tc>
          <w:tcPr>
            <w:tcW w:w="2914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b/>
              </w:rPr>
            </w:pPr>
          </w:p>
        </w:tc>
      </w:tr>
      <w:tr w:rsidR="00E82102" w:rsidRPr="002A2F8F" w:rsidTr="00D435F7">
        <w:tc>
          <w:tcPr>
            <w:tcW w:w="2125" w:type="dxa"/>
            <w:vMerge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b/>
              </w:rPr>
            </w:pPr>
          </w:p>
        </w:tc>
        <w:tc>
          <w:tcPr>
            <w:tcW w:w="3257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b/>
              </w:rPr>
            </w:pPr>
          </w:p>
        </w:tc>
        <w:tc>
          <w:tcPr>
            <w:tcW w:w="2914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b/>
              </w:rPr>
            </w:pPr>
          </w:p>
        </w:tc>
      </w:tr>
      <w:tr w:rsidR="00E82102" w:rsidRPr="002A2F8F" w:rsidTr="00D435F7">
        <w:tc>
          <w:tcPr>
            <w:tcW w:w="5382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Varicella without complication</w:t>
            </w:r>
          </w:p>
        </w:tc>
        <w:tc>
          <w:tcPr>
            <w:tcW w:w="2914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052.9^</w:t>
            </w:r>
          </w:p>
        </w:tc>
      </w:tr>
      <w:tr w:rsidR="00E82102" w:rsidRPr="002A2F8F" w:rsidTr="00D435F7">
        <w:tc>
          <w:tcPr>
            <w:tcW w:w="5382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Varicella with complication</w:t>
            </w:r>
          </w:p>
        </w:tc>
        <w:tc>
          <w:tcPr>
            <w:tcW w:w="2914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052.7^*, 052.8</w:t>
            </w:r>
            <w:r w:rsidRPr="002A2F8F">
              <w:rPr>
                <w:rFonts w:hint="eastAsia"/>
              </w:rPr>
              <w:t>^</w:t>
            </w:r>
          </w:p>
        </w:tc>
      </w:tr>
      <w:tr w:rsidR="00E82102" w:rsidRPr="002A2F8F" w:rsidTr="00D435F7">
        <w:tc>
          <w:tcPr>
            <w:tcW w:w="2125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Neurological complications</w:t>
            </w:r>
          </w:p>
        </w:tc>
        <w:tc>
          <w:tcPr>
            <w:tcW w:w="3257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Encephalitis</w:t>
            </w:r>
          </w:p>
        </w:tc>
        <w:tc>
          <w:tcPr>
            <w:tcW w:w="2914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052.0^, 049.8, 049.9, 136.9, 294.1, 323.0, 323.4, 323.6, 323.8, 323.9</w:t>
            </w:r>
          </w:p>
        </w:tc>
      </w:tr>
      <w:tr w:rsidR="00E82102" w:rsidRPr="002A2F8F" w:rsidTr="00D435F7">
        <w:tc>
          <w:tcPr>
            <w:tcW w:w="2125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Meningitis</w:t>
            </w:r>
          </w:p>
        </w:tc>
        <w:tc>
          <w:tcPr>
            <w:tcW w:w="2914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052.7^*, 047.8, 047.9, 321.2, 321.8, 322.0, 322.9</w:t>
            </w:r>
          </w:p>
        </w:tc>
      </w:tr>
      <w:tr w:rsidR="00E82102" w:rsidRPr="002A2F8F" w:rsidTr="00D435F7">
        <w:tc>
          <w:tcPr>
            <w:tcW w:w="2125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proofErr w:type="spellStart"/>
            <w:r w:rsidRPr="002A2F8F">
              <w:t>Demyelineating</w:t>
            </w:r>
            <w:proofErr w:type="spellEnd"/>
            <w:r w:rsidRPr="002A2F8F">
              <w:t xml:space="preserve"> disease</w:t>
            </w:r>
          </w:p>
        </w:tc>
        <w:tc>
          <w:tcPr>
            <w:tcW w:w="2914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323.9, 341.0, 341.8, 341.9, 377.3</w:t>
            </w:r>
          </w:p>
        </w:tc>
      </w:tr>
      <w:tr w:rsidR="00E82102" w:rsidRPr="002A2F8F" w:rsidTr="00D435F7">
        <w:tc>
          <w:tcPr>
            <w:tcW w:w="2125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Cerebellar ataxia</w:t>
            </w:r>
          </w:p>
        </w:tc>
        <w:tc>
          <w:tcPr>
            <w:tcW w:w="2914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334.3, 334.4</w:t>
            </w:r>
          </w:p>
        </w:tc>
      </w:tr>
      <w:tr w:rsidR="00E82102" w:rsidRPr="002A2F8F" w:rsidTr="00D435F7">
        <w:tc>
          <w:tcPr>
            <w:tcW w:w="2125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Viral infection of the central nervous system</w:t>
            </w:r>
          </w:p>
        </w:tc>
        <w:tc>
          <w:tcPr>
            <w:tcW w:w="2914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049.9</w:t>
            </w:r>
          </w:p>
        </w:tc>
      </w:tr>
      <w:tr w:rsidR="00E82102" w:rsidRPr="002A2F8F" w:rsidTr="00D435F7">
        <w:tc>
          <w:tcPr>
            <w:tcW w:w="2125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Pneumonia/ Pneumonitis</w:t>
            </w:r>
          </w:p>
        </w:tc>
        <w:tc>
          <w:tcPr>
            <w:tcW w:w="3257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Varicella pneumonitis</w:t>
            </w:r>
          </w:p>
        </w:tc>
        <w:tc>
          <w:tcPr>
            <w:tcW w:w="2914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052.1^</w:t>
            </w:r>
          </w:p>
        </w:tc>
      </w:tr>
      <w:tr w:rsidR="00E82102" w:rsidRPr="002A2F8F" w:rsidTr="00D435F7">
        <w:tc>
          <w:tcPr>
            <w:tcW w:w="2125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Pneumococcal pneumonia</w:t>
            </w:r>
          </w:p>
        </w:tc>
        <w:tc>
          <w:tcPr>
            <w:tcW w:w="2914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481*</w:t>
            </w:r>
          </w:p>
        </w:tc>
      </w:tr>
      <w:tr w:rsidR="00E82102" w:rsidRPr="002A2F8F" w:rsidTr="00D435F7">
        <w:tc>
          <w:tcPr>
            <w:tcW w:w="2125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Streptococcal pneumonia</w:t>
            </w:r>
          </w:p>
        </w:tc>
        <w:tc>
          <w:tcPr>
            <w:tcW w:w="2914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482.30-482.39</w:t>
            </w:r>
          </w:p>
        </w:tc>
      </w:tr>
      <w:tr w:rsidR="00E82102" w:rsidRPr="002A2F8F" w:rsidTr="00D435F7">
        <w:tc>
          <w:tcPr>
            <w:tcW w:w="2125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Staphylococcal pneumonia</w:t>
            </w:r>
          </w:p>
        </w:tc>
        <w:tc>
          <w:tcPr>
            <w:tcW w:w="2914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482.4</w:t>
            </w:r>
          </w:p>
        </w:tc>
      </w:tr>
      <w:tr w:rsidR="00E82102" w:rsidRPr="002A2F8F" w:rsidTr="00D435F7">
        <w:tc>
          <w:tcPr>
            <w:tcW w:w="2125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Other pneumonia/ pneumonitis</w:t>
            </w:r>
          </w:p>
        </w:tc>
        <w:tc>
          <w:tcPr>
            <w:tcW w:w="2914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136.9, 480, 480.8, 480.9, 481*, 482.9, 483.8, 484, 484.8, 485, 486</w:t>
            </w:r>
          </w:p>
        </w:tc>
      </w:tr>
      <w:tr w:rsidR="00E82102" w:rsidRPr="002A2F8F" w:rsidTr="00D435F7">
        <w:tc>
          <w:tcPr>
            <w:tcW w:w="212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Septic</w:t>
            </w:r>
            <w:r w:rsidR="00085699">
              <w:rPr>
                <w:rFonts w:hint="eastAsia"/>
                <w:lang w:eastAsia="zh-HK"/>
              </w:rPr>
              <w:t>a</w:t>
            </w:r>
            <w:r w:rsidRPr="002A2F8F">
              <w:t>emia</w:t>
            </w:r>
          </w:p>
        </w:tc>
        <w:tc>
          <w:tcPr>
            <w:tcW w:w="325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29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 xml:space="preserve">038.0-038.3, 038.40-038.49, </w:t>
            </w:r>
            <w:r w:rsidRPr="002A2F8F">
              <w:lastRenderedPageBreak/>
              <w:t>038.8-038.9</w:t>
            </w:r>
          </w:p>
        </w:tc>
      </w:tr>
      <w:tr w:rsidR="00E82102" w:rsidRPr="002A2F8F" w:rsidTr="00D435F7">
        <w:tc>
          <w:tcPr>
            <w:tcW w:w="2125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lastRenderedPageBreak/>
              <w:t>Other bacterial infections</w:t>
            </w:r>
          </w:p>
        </w:tc>
        <w:tc>
          <w:tcPr>
            <w:tcW w:w="3257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Toxic shock syndrome</w:t>
            </w:r>
          </w:p>
        </w:tc>
        <w:tc>
          <w:tcPr>
            <w:tcW w:w="2914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 xml:space="preserve">040.89, </w:t>
            </w:r>
          </w:p>
        </w:tc>
      </w:tr>
      <w:tr w:rsidR="00E82102" w:rsidRPr="002A2F8F" w:rsidTr="00D435F7">
        <w:tc>
          <w:tcPr>
            <w:tcW w:w="2125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Pneumococcal infection</w:t>
            </w:r>
          </w:p>
        </w:tc>
        <w:tc>
          <w:tcPr>
            <w:tcW w:w="2914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041.06, 041.2, 711.00</w:t>
            </w:r>
          </w:p>
        </w:tc>
      </w:tr>
      <w:tr w:rsidR="00E82102" w:rsidRPr="002A2F8F" w:rsidTr="00D435F7">
        <w:tc>
          <w:tcPr>
            <w:tcW w:w="2125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Streptococcal infection</w:t>
            </w:r>
          </w:p>
        </w:tc>
        <w:tc>
          <w:tcPr>
            <w:tcW w:w="2914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034.0, 034.1, 041.00-041.05, 041.09</w:t>
            </w:r>
          </w:p>
        </w:tc>
      </w:tr>
      <w:tr w:rsidR="00E82102" w:rsidRPr="002A2F8F" w:rsidTr="00D435F7">
        <w:tc>
          <w:tcPr>
            <w:tcW w:w="2125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Staphylococcal infection</w:t>
            </w:r>
          </w:p>
        </w:tc>
        <w:tc>
          <w:tcPr>
            <w:tcW w:w="2914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041.10, 041.11, 041.19, 711.00</w:t>
            </w:r>
          </w:p>
        </w:tc>
      </w:tr>
      <w:tr w:rsidR="00E82102" w:rsidRPr="002A2F8F" w:rsidTr="00D435F7">
        <w:tc>
          <w:tcPr>
            <w:tcW w:w="2125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Skin and soft tissue infections</w:t>
            </w:r>
          </w:p>
        </w:tc>
        <w:tc>
          <w:tcPr>
            <w:tcW w:w="3257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Cellulitis, abscess and erysipelas</w:t>
            </w:r>
          </w:p>
        </w:tc>
        <w:tc>
          <w:tcPr>
            <w:tcW w:w="2914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035, 681.0-681.9, 682.0-682.9</w:t>
            </w:r>
          </w:p>
        </w:tc>
      </w:tr>
      <w:tr w:rsidR="00E82102" w:rsidRPr="002A2F8F" w:rsidTr="00D435F7">
        <w:tc>
          <w:tcPr>
            <w:tcW w:w="2125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Impetigo</w:t>
            </w:r>
          </w:p>
        </w:tc>
        <w:tc>
          <w:tcPr>
            <w:tcW w:w="2914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684, 686.8</w:t>
            </w:r>
          </w:p>
        </w:tc>
      </w:tr>
      <w:tr w:rsidR="00E82102" w:rsidRPr="002A2F8F" w:rsidTr="00D435F7">
        <w:tc>
          <w:tcPr>
            <w:tcW w:w="2125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Fasciitis</w:t>
            </w:r>
          </w:p>
        </w:tc>
        <w:tc>
          <w:tcPr>
            <w:tcW w:w="2914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728.86, 729.4</w:t>
            </w:r>
          </w:p>
        </w:tc>
      </w:tr>
      <w:tr w:rsidR="00E82102" w:rsidRPr="002A2F8F" w:rsidTr="00D435F7">
        <w:tc>
          <w:tcPr>
            <w:tcW w:w="538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370.40, 370.49, 372.00, 372.02, 372.03, 372.05, 372.20, 372.30, 372.33, 372.39</w:t>
            </w:r>
          </w:p>
        </w:tc>
      </w:tr>
      <w:tr w:rsidR="00E82102" w:rsidRPr="002A2F8F" w:rsidTr="00D435F7">
        <w:tc>
          <w:tcPr>
            <w:tcW w:w="538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Congenital varicella infection</w:t>
            </w:r>
          </w:p>
        </w:tc>
        <w:tc>
          <w:tcPr>
            <w:tcW w:w="29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771.8</w:t>
            </w:r>
          </w:p>
        </w:tc>
      </w:tr>
      <w:tr w:rsidR="00E82102" w:rsidRPr="002A2F8F" w:rsidTr="00D435F7">
        <w:tc>
          <w:tcPr>
            <w:tcW w:w="538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82102" w:rsidRPr="00085699" w:rsidRDefault="00E82102" w:rsidP="00D435F7">
            <w:pPr>
              <w:spacing w:line="480" w:lineRule="auto"/>
            </w:pPr>
            <w:r w:rsidRPr="001834C4">
              <w:rPr>
                <w:color w:val="000000"/>
              </w:rPr>
              <w:t>VZV in pregnancy/ postpartum</w:t>
            </w:r>
          </w:p>
        </w:tc>
        <w:tc>
          <w:tcPr>
            <w:tcW w:w="29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647.60, 647.63, 647.64</w:t>
            </w:r>
          </w:p>
        </w:tc>
      </w:tr>
      <w:tr w:rsidR="00E82102" w:rsidRPr="002A2F8F" w:rsidTr="00D435F7">
        <w:tc>
          <w:tcPr>
            <w:tcW w:w="2125" w:type="dxa"/>
            <w:vMerge w:val="restart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E82102" w:rsidRPr="002A2F8F" w:rsidRDefault="00E82102" w:rsidP="00D435F7">
            <w:pPr>
              <w:spacing w:line="480" w:lineRule="auto"/>
              <w:rPr>
                <w:b/>
              </w:rPr>
            </w:pPr>
            <w:r w:rsidRPr="002A2F8F">
              <w:rPr>
                <w:b/>
              </w:rPr>
              <w:t>Zoster</w:t>
            </w:r>
          </w:p>
        </w:tc>
        <w:tc>
          <w:tcPr>
            <w:tcW w:w="3257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b/>
              </w:rPr>
            </w:pPr>
          </w:p>
        </w:tc>
        <w:tc>
          <w:tcPr>
            <w:tcW w:w="2914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b/>
                <w:lang w:eastAsia="zh-HK"/>
              </w:rPr>
            </w:pPr>
          </w:p>
        </w:tc>
      </w:tr>
      <w:tr w:rsidR="00E82102" w:rsidRPr="002A2F8F" w:rsidTr="00D435F7">
        <w:tc>
          <w:tcPr>
            <w:tcW w:w="2125" w:type="dxa"/>
            <w:vMerge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b/>
              </w:rPr>
            </w:pPr>
          </w:p>
        </w:tc>
        <w:tc>
          <w:tcPr>
            <w:tcW w:w="3257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b/>
              </w:rPr>
            </w:pPr>
          </w:p>
        </w:tc>
        <w:tc>
          <w:tcPr>
            <w:tcW w:w="2914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b/>
                <w:lang w:eastAsia="zh-HK"/>
              </w:rPr>
            </w:pPr>
          </w:p>
        </w:tc>
      </w:tr>
      <w:tr w:rsidR="00E82102" w:rsidRPr="002A2F8F" w:rsidTr="00D435F7">
        <w:tc>
          <w:tcPr>
            <w:tcW w:w="5382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Zoster (without mention of complication)</w:t>
            </w:r>
          </w:p>
        </w:tc>
        <w:tc>
          <w:tcPr>
            <w:tcW w:w="2914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rPr>
                <w:lang w:eastAsia="zh-HK"/>
              </w:rPr>
              <w:t>053.9^</w:t>
            </w:r>
          </w:p>
        </w:tc>
      </w:tr>
      <w:tr w:rsidR="00E82102" w:rsidRPr="002A2F8F" w:rsidTr="00D435F7">
        <w:tc>
          <w:tcPr>
            <w:tcW w:w="5382" w:type="dxa"/>
            <w:gridSpan w:val="2"/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Zoster with complications</w:t>
            </w:r>
          </w:p>
        </w:tc>
        <w:tc>
          <w:tcPr>
            <w:tcW w:w="2914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053.7^, 053.79^, 053.8^</w:t>
            </w:r>
          </w:p>
        </w:tc>
      </w:tr>
      <w:tr w:rsidR="00E82102" w:rsidRPr="002A2F8F" w:rsidTr="00D435F7">
        <w:tc>
          <w:tcPr>
            <w:tcW w:w="5382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Geniculate herpes zoster/ Ramsay Hunt syndrome</w:t>
            </w:r>
          </w:p>
        </w:tc>
        <w:tc>
          <w:tcPr>
            <w:tcW w:w="2914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053.11^</w:t>
            </w:r>
          </w:p>
        </w:tc>
      </w:tr>
      <w:tr w:rsidR="00E82102" w:rsidRPr="002A2F8F" w:rsidTr="00D435F7">
        <w:tc>
          <w:tcPr>
            <w:tcW w:w="2125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t>Neurological complications</w:t>
            </w:r>
          </w:p>
        </w:tc>
        <w:tc>
          <w:tcPr>
            <w:tcW w:w="3257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t>Encephalitis</w:t>
            </w:r>
            <w:r w:rsidRPr="002A2F8F">
              <w:rPr>
                <w:lang w:eastAsia="zh-HK"/>
              </w:rPr>
              <w:t xml:space="preserve">  </w:t>
            </w:r>
          </w:p>
        </w:tc>
        <w:tc>
          <w:tcPr>
            <w:tcW w:w="2914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053.19^, 049.8, 049.9, 136.9, 294.1, 323.0, 323.4, 323.6, 323.8, 323.9</w:t>
            </w:r>
          </w:p>
        </w:tc>
      </w:tr>
      <w:tr w:rsidR="00E82102" w:rsidRPr="002A2F8F" w:rsidTr="00D435F7">
        <w:tc>
          <w:tcPr>
            <w:tcW w:w="2125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t>Meningitis</w:t>
            </w:r>
            <w:r w:rsidRPr="002A2F8F">
              <w:rPr>
                <w:lang w:eastAsia="zh-HK"/>
              </w:rPr>
              <w:t xml:space="preserve"> </w:t>
            </w:r>
          </w:p>
        </w:tc>
        <w:tc>
          <w:tcPr>
            <w:tcW w:w="2914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 xml:space="preserve">053.0^, 047.8, 047.9, </w:t>
            </w:r>
            <w:r w:rsidRPr="002A2F8F">
              <w:rPr>
                <w:lang w:eastAsia="zh-HK"/>
              </w:rPr>
              <w:lastRenderedPageBreak/>
              <w:t>321.2, 321.8, 322.0, 322.9</w:t>
            </w:r>
          </w:p>
        </w:tc>
      </w:tr>
      <w:tr w:rsidR="00E82102" w:rsidRPr="002A2F8F" w:rsidTr="00D435F7">
        <w:tc>
          <w:tcPr>
            <w:tcW w:w="2125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proofErr w:type="spellStart"/>
            <w:r w:rsidRPr="002A2F8F">
              <w:rPr>
                <w:lang w:eastAsia="zh-HK"/>
              </w:rPr>
              <w:t>Postherpetic</w:t>
            </w:r>
            <w:proofErr w:type="spellEnd"/>
            <w:r w:rsidRPr="002A2F8F">
              <w:rPr>
                <w:lang w:eastAsia="zh-HK"/>
              </w:rPr>
              <w:t xml:space="preserve"> neuralgia </w:t>
            </w:r>
          </w:p>
        </w:tc>
        <w:tc>
          <w:tcPr>
            <w:tcW w:w="2914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053.19^</w:t>
            </w:r>
          </w:p>
        </w:tc>
      </w:tr>
      <w:tr w:rsidR="00E82102" w:rsidRPr="002A2F8F" w:rsidTr="00D435F7">
        <w:tc>
          <w:tcPr>
            <w:tcW w:w="2125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proofErr w:type="spellStart"/>
            <w:r w:rsidRPr="002A2F8F">
              <w:rPr>
                <w:lang w:eastAsia="zh-HK"/>
              </w:rPr>
              <w:t>Postherpetic</w:t>
            </w:r>
            <w:proofErr w:type="spellEnd"/>
            <w:r w:rsidRPr="002A2F8F">
              <w:rPr>
                <w:lang w:eastAsia="zh-HK"/>
              </w:rPr>
              <w:t xml:space="preserve"> polyneuropathy </w:t>
            </w:r>
          </w:p>
        </w:tc>
        <w:tc>
          <w:tcPr>
            <w:tcW w:w="2914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053.13^</w:t>
            </w:r>
          </w:p>
        </w:tc>
      </w:tr>
      <w:tr w:rsidR="00E82102" w:rsidRPr="002A2F8F" w:rsidTr="00D435F7">
        <w:tc>
          <w:tcPr>
            <w:tcW w:w="2125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proofErr w:type="spellStart"/>
            <w:r w:rsidRPr="002A2F8F">
              <w:rPr>
                <w:lang w:eastAsia="zh-HK"/>
              </w:rPr>
              <w:t>Postherpetic</w:t>
            </w:r>
            <w:proofErr w:type="spellEnd"/>
            <w:r w:rsidRPr="002A2F8F">
              <w:rPr>
                <w:lang w:eastAsia="zh-HK"/>
              </w:rPr>
              <w:t xml:space="preserve"> trigeminal neuralgia </w:t>
            </w:r>
          </w:p>
        </w:tc>
        <w:tc>
          <w:tcPr>
            <w:tcW w:w="2914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053.12^</w:t>
            </w:r>
          </w:p>
        </w:tc>
      </w:tr>
      <w:tr w:rsidR="00E82102" w:rsidRPr="002A2F8F" w:rsidTr="00D435F7">
        <w:tc>
          <w:tcPr>
            <w:tcW w:w="2125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  <w:r w:rsidRPr="002A2F8F">
              <w:rPr>
                <w:lang w:eastAsia="zh-HK"/>
              </w:rPr>
              <w:t xml:space="preserve">Viral infection of the nervous system </w:t>
            </w:r>
          </w:p>
        </w:tc>
        <w:tc>
          <w:tcPr>
            <w:tcW w:w="2914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053.1^, 053.10^, 053.19^, 049.9</w:t>
            </w:r>
          </w:p>
        </w:tc>
      </w:tr>
      <w:tr w:rsidR="00E82102" w:rsidRPr="002A2F8F" w:rsidTr="00D435F7">
        <w:tc>
          <w:tcPr>
            <w:tcW w:w="538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t>Zoster with auricular involvement</w:t>
            </w:r>
          </w:p>
        </w:tc>
        <w:tc>
          <w:tcPr>
            <w:tcW w:w="29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053.71^</w:t>
            </w:r>
          </w:p>
        </w:tc>
      </w:tr>
      <w:tr w:rsidR="00E82102" w:rsidRPr="002A2F8F" w:rsidTr="00D435F7">
        <w:tc>
          <w:tcPr>
            <w:tcW w:w="538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t>Zoster with ophthalmic complications</w:t>
            </w:r>
          </w:p>
        </w:tc>
        <w:tc>
          <w:tcPr>
            <w:tcW w:w="29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053.20-053.29</w:t>
            </w:r>
          </w:p>
        </w:tc>
      </w:tr>
      <w:tr w:rsidR="00E82102" w:rsidRPr="002A2F8F" w:rsidTr="00D435F7">
        <w:tc>
          <w:tcPr>
            <w:tcW w:w="538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t>VZV in pregnancy/ postpartum</w:t>
            </w:r>
          </w:p>
        </w:tc>
        <w:tc>
          <w:tcPr>
            <w:tcW w:w="29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647.60, 647.63, 647.64</w:t>
            </w:r>
          </w:p>
        </w:tc>
      </w:tr>
      <w:tr w:rsidR="00E82102" w:rsidRPr="002A2F8F" w:rsidTr="00D435F7">
        <w:tc>
          <w:tcPr>
            <w:tcW w:w="5382" w:type="dxa"/>
            <w:gridSpan w:val="2"/>
            <w:vMerge w:val="restart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E82102" w:rsidRPr="002A2F8F" w:rsidRDefault="00E82102" w:rsidP="00D435F7">
            <w:pPr>
              <w:spacing w:line="480" w:lineRule="auto"/>
              <w:rPr>
                <w:b/>
                <w:lang w:eastAsia="zh-HK"/>
              </w:rPr>
            </w:pPr>
            <w:r w:rsidRPr="002A2F8F">
              <w:rPr>
                <w:b/>
                <w:lang w:eastAsia="zh-HK"/>
              </w:rPr>
              <w:t>Immunodeficiency</w:t>
            </w:r>
          </w:p>
        </w:tc>
        <w:tc>
          <w:tcPr>
            <w:tcW w:w="2914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</w:p>
        </w:tc>
      </w:tr>
      <w:tr w:rsidR="00E82102" w:rsidRPr="002A2F8F" w:rsidTr="00D435F7">
        <w:tc>
          <w:tcPr>
            <w:tcW w:w="5382" w:type="dxa"/>
            <w:gridSpan w:val="2"/>
            <w:vMerge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</w:p>
        </w:tc>
        <w:tc>
          <w:tcPr>
            <w:tcW w:w="2914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</w:p>
        </w:tc>
      </w:tr>
      <w:tr w:rsidR="00E82102" w:rsidRPr="002A2F8F" w:rsidTr="00D435F7">
        <w:tc>
          <w:tcPr>
            <w:tcW w:w="2125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</w:p>
        </w:tc>
        <w:tc>
          <w:tcPr>
            <w:tcW w:w="3257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Malignancy involving solid organ/ tissue</w:t>
            </w:r>
          </w:p>
        </w:tc>
        <w:tc>
          <w:tcPr>
            <w:tcW w:w="2914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140-165, 170-176, 179-199, 573.8</w:t>
            </w:r>
          </w:p>
        </w:tc>
      </w:tr>
      <w:tr w:rsidR="00E82102" w:rsidRPr="002A2F8F" w:rsidTr="00D435F7">
        <w:tc>
          <w:tcPr>
            <w:tcW w:w="2125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Lymphoproliferative malignancy</w:t>
            </w:r>
          </w:p>
        </w:tc>
        <w:tc>
          <w:tcPr>
            <w:tcW w:w="2914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200-208</w:t>
            </w:r>
          </w:p>
        </w:tc>
      </w:tr>
      <w:tr w:rsidR="00E82102" w:rsidRPr="002A2F8F" w:rsidTr="00D435F7">
        <w:tc>
          <w:tcPr>
            <w:tcW w:w="2125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Transplantation#</w:t>
            </w:r>
          </w:p>
        </w:tc>
        <w:tc>
          <w:tcPr>
            <w:tcW w:w="2914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996.8, V42.0-V42.4, V42.6-V42.9, V58.49</w:t>
            </w:r>
          </w:p>
        </w:tc>
      </w:tr>
      <w:tr w:rsidR="00E82102" w:rsidRPr="002A2F8F" w:rsidTr="00D435F7">
        <w:tc>
          <w:tcPr>
            <w:tcW w:w="2125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Human immunodeficiency virus</w:t>
            </w:r>
          </w:p>
        </w:tc>
        <w:tc>
          <w:tcPr>
            <w:tcW w:w="2914" w:type="dxa"/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 xml:space="preserve">042-044, 294.1, </w:t>
            </w:r>
          </w:p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647.60, 647.61, 647.63, 647.64, 795.8, V02.9, V08</w:t>
            </w:r>
          </w:p>
        </w:tc>
      </w:tr>
      <w:tr w:rsidR="00E82102" w:rsidRPr="002A2F8F" w:rsidTr="00D435F7">
        <w:tc>
          <w:tcPr>
            <w:tcW w:w="2125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Chemotherapy</w:t>
            </w:r>
          </w:p>
        </w:tc>
        <w:tc>
          <w:tcPr>
            <w:tcW w:w="2914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277.8, 799.8, V07.3, V07.39, V58.1, V66.1, V66.2, V67.2</w:t>
            </w:r>
          </w:p>
        </w:tc>
      </w:tr>
      <w:tr w:rsidR="00E82102" w:rsidRPr="002A2F8F" w:rsidTr="00D435F7">
        <w:tc>
          <w:tcPr>
            <w:tcW w:w="2125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Radiotherapy</w:t>
            </w:r>
          </w:p>
        </w:tc>
        <w:tc>
          <w:tcPr>
            <w:tcW w:w="2914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253.7, 457.1, 558.1, 990, E879.2, V58.0, V67.1</w:t>
            </w:r>
          </w:p>
        </w:tc>
      </w:tr>
      <w:tr w:rsidR="00E82102" w:rsidRPr="002A2F8F" w:rsidTr="00D435F7">
        <w:tc>
          <w:tcPr>
            <w:tcW w:w="2125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proofErr w:type="spellStart"/>
            <w:r w:rsidRPr="002A2F8F">
              <w:rPr>
                <w:lang w:eastAsia="zh-HK"/>
              </w:rPr>
              <w:t>Asplenia</w:t>
            </w:r>
            <w:proofErr w:type="spellEnd"/>
            <w:r w:rsidRPr="002A2F8F">
              <w:rPr>
                <w:lang w:eastAsia="zh-HK"/>
              </w:rPr>
              <w:t xml:space="preserve"> or other splenic </w:t>
            </w:r>
            <w:r w:rsidRPr="002A2F8F">
              <w:rPr>
                <w:lang w:eastAsia="zh-HK"/>
              </w:rPr>
              <w:lastRenderedPageBreak/>
              <w:t>disease</w:t>
            </w:r>
          </w:p>
        </w:tc>
        <w:tc>
          <w:tcPr>
            <w:tcW w:w="2914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lastRenderedPageBreak/>
              <w:t xml:space="preserve">289.4, 289.5, 759.0, </w:t>
            </w:r>
            <w:r w:rsidRPr="002A2F8F">
              <w:rPr>
                <w:lang w:eastAsia="zh-HK"/>
              </w:rPr>
              <w:lastRenderedPageBreak/>
              <w:t>V45.89</w:t>
            </w:r>
          </w:p>
        </w:tc>
      </w:tr>
      <w:tr w:rsidR="00E82102" w:rsidRPr="002A2F8F" w:rsidTr="00D435F7">
        <w:tc>
          <w:tcPr>
            <w:tcW w:w="2125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</w:pPr>
          </w:p>
        </w:tc>
        <w:tc>
          <w:tcPr>
            <w:tcW w:w="3257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 xml:space="preserve">Other conditions affecting immune system** </w:t>
            </w:r>
          </w:p>
        </w:tc>
        <w:tc>
          <w:tcPr>
            <w:tcW w:w="2914" w:type="dxa"/>
            <w:tcBorders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277.8, 279.01-279.09, 279.1-279.9, 282.4, 284, 284.8, 284.9, 288, 288.8, 648.2, 648.23, V02.9</w:t>
            </w:r>
          </w:p>
        </w:tc>
      </w:tr>
      <w:tr w:rsidR="00E82102" w:rsidRPr="002A2F8F" w:rsidTr="00D435F7">
        <w:tc>
          <w:tcPr>
            <w:tcW w:w="212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b/>
              </w:rPr>
            </w:pPr>
            <w:r w:rsidRPr="002A2F8F">
              <w:rPr>
                <w:b/>
                <w:lang w:eastAsia="zh-HK"/>
              </w:rPr>
              <w:t>Pregnancy</w:t>
            </w:r>
          </w:p>
        </w:tc>
        <w:tc>
          <w:tcPr>
            <w:tcW w:w="325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</w:p>
        </w:tc>
        <w:tc>
          <w:tcPr>
            <w:tcW w:w="29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633.8, 634-677, 694.3, 694.4, 760-763, 773.2,  779.9, 799.9, V22-V24, V27-V39, V41.9, V61.7, V65.9</w:t>
            </w:r>
          </w:p>
        </w:tc>
      </w:tr>
      <w:tr w:rsidR="00E82102" w:rsidRPr="002A2F8F" w:rsidTr="00D435F7">
        <w:tc>
          <w:tcPr>
            <w:tcW w:w="2125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</w:p>
        </w:tc>
        <w:tc>
          <w:tcPr>
            <w:tcW w:w="3257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</w:p>
        </w:tc>
        <w:tc>
          <w:tcPr>
            <w:tcW w:w="2914" w:type="dxa"/>
            <w:tcBorders>
              <w:top w:val="single" w:sz="4" w:space="0" w:color="A6A6A6"/>
            </w:tcBorders>
            <w:shd w:val="clear" w:color="auto" w:fill="auto"/>
          </w:tcPr>
          <w:p w:rsidR="00E82102" w:rsidRPr="002A2F8F" w:rsidRDefault="00E82102" w:rsidP="00D435F7">
            <w:pPr>
              <w:spacing w:line="480" w:lineRule="auto"/>
              <w:rPr>
                <w:lang w:eastAsia="zh-HK"/>
              </w:rPr>
            </w:pPr>
          </w:p>
        </w:tc>
      </w:tr>
    </w:tbl>
    <w:p w:rsidR="00E82102" w:rsidRPr="002A2F8F" w:rsidRDefault="00E82102" w:rsidP="00E82102">
      <w:pPr>
        <w:spacing w:line="360" w:lineRule="auto"/>
        <w:ind w:leftChars="650" w:left="1560"/>
        <w:jc w:val="both"/>
        <w:rPr>
          <w:lang w:eastAsia="zh-HK"/>
        </w:rPr>
      </w:pPr>
      <w:r w:rsidRPr="002A2F8F">
        <w:rPr>
          <w:lang w:eastAsia="zh-HK"/>
        </w:rPr>
        <w:t>Remarks:</w:t>
      </w:r>
    </w:p>
    <w:p w:rsidR="00E82102" w:rsidRPr="002A2F8F" w:rsidRDefault="00E82102" w:rsidP="00E82102">
      <w:pPr>
        <w:spacing w:line="360" w:lineRule="auto"/>
        <w:ind w:leftChars="650" w:left="1560"/>
        <w:jc w:val="both"/>
        <w:rPr>
          <w:i/>
          <w:lang w:eastAsia="zh-HK"/>
        </w:rPr>
      </w:pPr>
      <w:r w:rsidRPr="002A2F8F">
        <w:rPr>
          <w:i/>
          <w:lang w:eastAsia="zh-HK"/>
        </w:rPr>
        <w:t>^ICD-9-CM codes specific to varicella and zoster</w:t>
      </w:r>
    </w:p>
    <w:p w:rsidR="00E82102" w:rsidRPr="002A2F8F" w:rsidRDefault="00E82102" w:rsidP="00E82102">
      <w:pPr>
        <w:spacing w:line="360" w:lineRule="auto"/>
        <w:ind w:leftChars="650" w:left="1560"/>
        <w:jc w:val="both"/>
        <w:rPr>
          <w:i/>
          <w:lang w:eastAsia="zh-HK"/>
        </w:rPr>
      </w:pPr>
      <w:r w:rsidRPr="002A2F8F">
        <w:rPr>
          <w:i/>
          <w:lang w:eastAsia="zh-HK"/>
        </w:rPr>
        <w:t>*An extension code known as Term ID is adopted by the Hospital Authority to supplement the ICD-9-CM codes. Thus the same ICD-9-CM code may represent different description as their Term ID differs</w:t>
      </w:r>
    </w:p>
    <w:p w:rsidR="00E82102" w:rsidRPr="002A2F8F" w:rsidRDefault="00E82102" w:rsidP="00E82102">
      <w:pPr>
        <w:spacing w:line="360" w:lineRule="auto"/>
        <w:ind w:leftChars="650" w:left="1560"/>
        <w:jc w:val="both"/>
        <w:rPr>
          <w:i/>
          <w:lang w:eastAsia="zh-HK"/>
        </w:rPr>
      </w:pPr>
      <w:r w:rsidRPr="002A2F8F">
        <w:rPr>
          <w:i/>
          <w:lang w:eastAsia="zh-HK"/>
        </w:rPr>
        <w:t>#excluding corneal transplantation</w:t>
      </w:r>
    </w:p>
    <w:p w:rsidR="00E82102" w:rsidRPr="002A2F8F" w:rsidRDefault="00E82102" w:rsidP="00E82102">
      <w:pPr>
        <w:spacing w:line="360" w:lineRule="auto"/>
        <w:ind w:leftChars="650" w:left="1560"/>
        <w:jc w:val="both"/>
        <w:rPr>
          <w:i/>
          <w:lang w:eastAsia="zh-HK"/>
        </w:rPr>
      </w:pPr>
      <w:r w:rsidRPr="002A2F8F">
        <w:rPr>
          <w:i/>
          <w:lang w:eastAsia="zh-HK"/>
        </w:rPr>
        <w:t xml:space="preserve">**Including primary immunodeficiency, WBC diseases, aplastic anaemia, thalassaemia major, and other specified diseases with participation of </w:t>
      </w:r>
      <w:proofErr w:type="spellStart"/>
      <w:r w:rsidRPr="002A2F8F">
        <w:rPr>
          <w:i/>
          <w:lang w:eastAsia="zh-HK"/>
        </w:rPr>
        <w:t>lymphoreticular</w:t>
      </w:r>
      <w:proofErr w:type="spellEnd"/>
      <w:r w:rsidRPr="002A2F8F">
        <w:rPr>
          <w:i/>
          <w:lang w:eastAsia="zh-HK"/>
        </w:rPr>
        <w:t xml:space="preserve"> and </w:t>
      </w:r>
      <w:proofErr w:type="spellStart"/>
      <w:r w:rsidRPr="002A2F8F">
        <w:rPr>
          <w:i/>
          <w:lang w:eastAsia="zh-HK"/>
        </w:rPr>
        <w:t>reticulohistiocytic</w:t>
      </w:r>
      <w:proofErr w:type="spellEnd"/>
      <w:r w:rsidRPr="002A2F8F">
        <w:rPr>
          <w:i/>
          <w:lang w:eastAsia="zh-HK"/>
        </w:rPr>
        <w:t xml:space="preserve"> tissue</w:t>
      </w:r>
    </w:p>
    <w:p w:rsidR="00E82102" w:rsidRPr="002A2F8F" w:rsidRDefault="00E82102" w:rsidP="00E82102">
      <w:pPr>
        <w:spacing w:line="360" w:lineRule="auto"/>
        <w:ind w:leftChars="650" w:left="1560"/>
      </w:pPr>
    </w:p>
    <w:p w:rsidR="00184068" w:rsidRDefault="00E82102">
      <w:pPr>
        <w:rPr>
          <w:lang w:eastAsia="zh-HK"/>
        </w:rPr>
      </w:pPr>
      <w:r w:rsidRPr="002A2F8F">
        <w:br w:type="page"/>
      </w:r>
    </w:p>
    <w:p w:rsidR="00184068" w:rsidRPr="002A2F8F" w:rsidRDefault="00184068" w:rsidP="00184068">
      <w:pPr>
        <w:widowControl/>
        <w:spacing w:line="360" w:lineRule="auto"/>
        <w:rPr>
          <w:b/>
          <w:lang w:eastAsia="zh-HK"/>
        </w:rPr>
      </w:pPr>
      <w:proofErr w:type="gramStart"/>
      <w:r w:rsidRPr="002A2F8F">
        <w:rPr>
          <w:b/>
        </w:rPr>
        <w:lastRenderedPageBreak/>
        <w:t xml:space="preserve">Supplementary </w:t>
      </w:r>
      <w:r>
        <w:rPr>
          <w:b/>
        </w:rPr>
        <w:t>T</w:t>
      </w:r>
      <w:r w:rsidRPr="002A2F8F">
        <w:rPr>
          <w:b/>
        </w:rPr>
        <w:t xml:space="preserve">able </w:t>
      </w:r>
      <w:r>
        <w:rPr>
          <w:b/>
        </w:rPr>
        <w:t>S</w:t>
      </w:r>
      <w:r w:rsidR="00102ADA">
        <w:rPr>
          <w:rFonts w:hint="eastAsia"/>
          <w:b/>
          <w:lang w:eastAsia="zh-HK"/>
        </w:rPr>
        <w:t>2</w:t>
      </w:r>
      <w:r w:rsidRPr="002A2F8F">
        <w:rPr>
          <w:b/>
          <w:lang w:eastAsia="zh-HK"/>
        </w:rPr>
        <w:t>.</w:t>
      </w:r>
      <w:proofErr w:type="gramEnd"/>
      <w:r w:rsidRPr="002A2F8F">
        <w:rPr>
          <w:b/>
          <w:lang w:eastAsia="zh-HK"/>
        </w:rPr>
        <w:t xml:space="preserve"> </w:t>
      </w:r>
      <w:r>
        <w:rPr>
          <w:rFonts w:hint="eastAsia"/>
          <w:b/>
          <w:lang w:eastAsia="zh-HK"/>
        </w:rPr>
        <w:t xml:space="preserve">Estimation of </w:t>
      </w:r>
      <w:r w:rsidR="00102ADA">
        <w:rPr>
          <w:rFonts w:hint="eastAsia"/>
          <w:b/>
          <w:lang w:eastAsia="zh-HK"/>
        </w:rPr>
        <w:t xml:space="preserve">proportion </w:t>
      </w:r>
      <w:r>
        <w:rPr>
          <w:rFonts w:hint="eastAsia"/>
          <w:b/>
          <w:lang w:eastAsia="zh-HK"/>
        </w:rPr>
        <w:t>seroconver</w:t>
      </w:r>
      <w:r w:rsidR="00102ADA">
        <w:rPr>
          <w:rFonts w:hint="eastAsia"/>
          <w:b/>
          <w:lang w:eastAsia="zh-HK"/>
        </w:rPr>
        <w:t>ted</w:t>
      </w:r>
      <w:r>
        <w:rPr>
          <w:rFonts w:hint="eastAsia"/>
          <w:b/>
          <w:lang w:eastAsia="zh-HK"/>
        </w:rPr>
        <w:t xml:space="preserve"> among </w:t>
      </w:r>
      <w:proofErr w:type="spellStart"/>
      <w:r>
        <w:rPr>
          <w:b/>
          <w:lang w:eastAsia="zh-HK"/>
        </w:rPr>
        <w:t>vaccine</w:t>
      </w:r>
      <w:r>
        <w:rPr>
          <w:rFonts w:hint="eastAsia"/>
          <w:b/>
          <w:lang w:eastAsia="zh-HK"/>
        </w:rPr>
        <w:t>es</w:t>
      </w:r>
      <w:proofErr w:type="spellEnd"/>
      <w:r>
        <w:rPr>
          <w:rFonts w:hint="eastAsia"/>
          <w:b/>
          <w:lang w:eastAsia="zh-HK"/>
        </w:rPr>
        <w:t xml:space="preserve"> in different serological surveys</w:t>
      </w:r>
    </w:p>
    <w:p w:rsidR="00184068" w:rsidRDefault="00184068">
      <w:pPr>
        <w:rPr>
          <w:lang w:eastAsia="zh-HK"/>
        </w:rPr>
      </w:pPr>
    </w:p>
    <w:tbl>
      <w:tblPr>
        <w:tblW w:w="4971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1419"/>
        <w:gridCol w:w="1700"/>
        <w:gridCol w:w="2271"/>
        <w:gridCol w:w="2549"/>
      </w:tblGrid>
      <w:tr w:rsidR="00102ADA" w:rsidRPr="00D1182D" w:rsidTr="00171955">
        <w:trPr>
          <w:trHeight w:val="1414"/>
        </w:trPr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ADA" w:rsidRPr="00D1182D" w:rsidRDefault="00102ADA" w:rsidP="00085699">
            <w:pPr>
              <w:widowControl/>
              <w:spacing w:line="360" w:lineRule="auto"/>
              <w:jc w:val="both"/>
              <w:rPr>
                <w:rFonts w:eastAsiaTheme="minorEastAsia"/>
                <w:b/>
                <w:color w:val="000000" w:themeColor="text1"/>
                <w:kern w:val="0"/>
                <w:lang w:eastAsia="zh-HK"/>
              </w:rPr>
            </w:pPr>
            <w:r>
              <w:rPr>
                <w:rFonts w:eastAsiaTheme="minorEastAsia" w:hint="eastAsia"/>
                <w:b/>
                <w:color w:val="000000" w:themeColor="text1"/>
                <w:kern w:val="0"/>
                <w:lang w:eastAsia="zh-HK"/>
              </w:rPr>
              <w:t xml:space="preserve">Year of </w:t>
            </w:r>
            <w:r w:rsidRPr="00D1182D">
              <w:rPr>
                <w:rFonts w:eastAsiaTheme="minorEastAsia" w:hint="eastAsia"/>
                <w:b/>
                <w:color w:val="000000" w:themeColor="text1"/>
                <w:kern w:val="0"/>
                <w:lang w:eastAsia="zh-HK"/>
              </w:rPr>
              <w:t>survey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5664BB">
            <w:pPr>
              <w:widowControl/>
              <w:spacing w:line="360" w:lineRule="auto"/>
              <w:jc w:val="both"/>
              <w:rPr>
                <w:rFonts w:eastAsia="Times New Roman"/>
                <w:b/>
                <w:color w:val="000000" w:themeColor="text1"/>
                <w:kern w:val="0"/>
              </w:rPr>
            </w:pPr>
            <w:r w:rsidRPr="00D1182D">
              <w:rPr>
                <w:b/>
                <w:color w:val="000000" w:themeColor="text1"/>
                <w:kern w:val="0"/>
                <w:lang w:eastAsia="zh-HK"/>
              </w:rPr>
              <w:t>A</w:t>
            </w:r>
            <w:r w:rsidRPr="00D1182D">
              <w:rPr>
                <w:rFonts w:eastAsia="Times New Roman"/>
                <w:b/>
                <w:color w:val="000000" w:themeColor="text1"/>
                <w:kern w:val="0"/>
              </w:rPr>
              <w:t>ge group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5664BB">
            <w:pPr>
              <w:widowControl/>
              <w:spacing w:line="360" w:lineRule="auto"/>
              <w:jc w:val="both"/>
              <w:rPr>
                <w:b/>
                <w:color w:val="000000" w:themeColor="text1"/>
                <w:kern w:val="0"/>
                <w:lang w:eastAsia="zh-HK"/>
              </w:rPr>
            </w:pPr>
            <w:r>
              <w:rPr>
                <w:rFonts w:eastAsiaTheme="minorEastAsia" w:hint="eastAsia"/>
                <w:b/>
                <w:color w:val="000000" w:themeColor="text1"/>
                <w:kern w:val="0"/>
                <w:lang w:eastAsia="zh-HK"/>
              </w:rPr>
              <w:t>Birth cohort</w:t>
            </w:r>
            <w:r w:rsidRPr="00D1182D">
              <w:rPr>
                <w:b/>
                <w:color w:val="000000" w:themeColor="text1"/>
                <w:kern w:val="0"/>
                <w:vertAlign w:val="superscript"/>
                <w:lang w:eastAsia="zh-HK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5664BB">
            <w:pPr>
              <w:widowControl/>
              <w:spacing w:line="360" w:lineRule="auto"/>
              <w:jc w:val="both"/>
              <w:rPr>
                <w:b/>
                <w:color w:val="000000" w:themeColor="text1"/>
                <w:kern w:val="0"/>
                <w:lang w:eastAsia="zh-HK"/>
              </w:rPr>
            </w:pPr>
            <w:r w:rsidRPr="00D1182D">
              <w:rPr>
                <w:rFonts w:eastAsia="Times New Roman"/>
                <w:b/>
                <w:color w:val="000000" w:themeColor="text1"/>
                <w:kern w:val="0"/>
              </w:rPr>
              <w:t>Proportion</w:t>
            </w:r>
            <w:r w:rsidRPr="00D1182D">
              <w:rPr>
                <w:b/>
                <w:color w:val="000000" w:themeColor="text1"/>
                <w:kern w:val="0"/>
                <w:lang w:eastAsia="zh-HK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kern w:val="0"/>
                <w:lang w:eastAsia="zh-HK"/>
              </w:rPr>
              <w:t>vaccinated</w:t>
            </w:r>
            <w:r w:rsidRPr="00D1182D">
              <w:rPr>
                <w:b/>
                <w:color w:val="000000" w:themeColor="text1"/>
                <w:kern w:val="0"/>
                <w:vertAlign w:val="superscript"/>
                <w:lang w:eastAsia="zh-HK"/>
              </w:rPr>
              <w:t>2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5664BB">
            <w:pPr>
              <w:widowControl/>
              <w:spacing w:line="360" w:lineRule="auto"/>
              <w:jc w:val="both"/>
              <w:rPr>
                <w:b/>
                <w:color w:val="000000" w:themeColor="text1"/>
                <w:kern w:val="0"/>
                <w:lang w:eastAsia="zh-HK"/>
              </w:rPr>
            </w:pPr>
            <w:r w:rsidRPr="00D1182D">
              <w:rPr>
                <w:b/>
                <w:color w:val="000000" w:themeColor="text1"/>
                <w:kern w:val="0"/>
                <w:lang w:eastAsia="zh-HK"/>
              </w:rPr>
              <w:t xml:space="preserve">Proportion </w:t>
            </w:r>
            <w:r>
              <w:rPr>
                <w:rFonts w:hint="eastAsia"/>
                <w:b/>
                <w:color w:val="000000" w:themeColor="text1"/>
                <w:kern w:val="0"/>
                <w:lang w:eastAsia="zh-HK"/>
              </w:rPr>
              <w:t>seroconverted</w:t>
            </w:r>
            <w:r w:rsidRPr="00D1182D">
              <w:rPr>
                <w:b/>
                <w:color w:val="000000" w:themeColor="text1"/>
                <w:kern w:val="0"/>
                <w:lang w:eastAsia="zh-HK"/>
              </w:rPr>
              <w:t xml:space="preserve"> due to vaccination</w:t>
            </w:r>
            <w:r w:rsidRPr="00D1182D">
              <w:rPr>
                <w:b/>
                <w:color w:val="000000" w:themeColor="text1"/>
                <w:kern w:val="0"/>
                <w:vertAlign w:val="superscript"/>
                <w:lang w:eastAsia="zh-HK"/>
              </w:rPr>
              <w:t>3</w:t>
            </w:r>
          </w:p>
        </w:tc>
      </w:tr>
      <w:tr w:rsidR="00102ADA" w:rsidRPr="00D1182D" w:rsidTr="00171955">
        <w:trPr>
          <w:trHeight w:val="316"/>
        </w:trPr>
        <w:tc>
          <w:tcPr>
            <w:tcW w:w="8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1995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 to 4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1991-1994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5.7%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3.7%</w:t>
            </w:r>
          </w:p>
        </w:tc>
      </w:tr>
      <w:tr w:rsidR="00102ADA" w:rsidRPr="00D1182D" w:rsidTr="00171955">
        <w:trPr>
          <w:trHeight w:val="316"/>
        </w:trPr>
        <w:tc>
          <w:tcPr>
            <w:tcW w:w="88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5 to 9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1986-1990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0.0%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0.0%</w:t>
            </w:r>
          </w:p>
        </w:tc>
      </w:tr>
      <w:tr w:rsidR="00102ADA" w:rsidRPr="00D1182D" w:rsidTr="00171955">
        <w:trPr>
          <w:trHeight w:val="316"/>
        </w:trPr>
        <w:tc>
          <w:tcPr>
            <w:tcW w:w="88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10 to 14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1981-1985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0.0%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0.0%</w:t>
            </w:r>
          </w:p>
        </w:tc>
      </w:tr>
      <w:tr w:rsidR="00102ADA" w:rsidRPr="00D1182D" w:rsidTr="00171955">
        <w:trPr>
          <w:trHeight w:val="316"/>
        </w:trPr>
        <w:tc>
          <w:tcPr>
            <w:tcW w:w="8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15 to 19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1976-1980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0.0%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0.0%</w:t>
            </w:r>
          </w:p>
        </w:tc>
      </w:tr>
      <w:tr w:rsidR="00102ADA" w:rsidRPr="00D1182D" w:rsidTr="00171955">
        <w:trPr>
          <w:trHeight w:val="316"/>
        </w:trPr>
        <w:tc>
          <w:tcPr>
            <w:tcW w:w="88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2000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 to 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1996-1999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9.3%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6.1%</w:t>
            </w:r>
          </w:p>
        </w:tc>
      </w:tr>
      <w:tr w:rsidR="00102ADA" w:rsidRPr="00D1182D" w:rsidTr="00171955">
        <w:trPr>
          <w:trHeight w:val="316"/>
        </w:trPr>
        <w:tc>
          <w:tcPr>
            <w:tcW w:w="88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5 to 9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1991-1995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5.7%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3.7%</w:t>
            </w:r>
          </w:p>
        </w:tc>
      </w:tr>
      <w:tr w:rsidR="00102ADA" w:rsidRPr="00D1182D" w:rsidTr="00171955">
        <w:trPr>
          <w:trHeight w:val="316"/>
        </w:trPr>
        <w:tc>
          <w:tcPr>
            <w:tcW w:w="88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10 to 14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1986-1990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0.0%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0.0%</w:t>
            </w:r>
          </w:p>
        </w:tc>
      </w:tr>
      <w:tr w:rsidR="00102ADA" w:rsidRPr="00D1182D" w:rsidTr="00171955">
        <w:trPr>
          <w:trHeight w:val="316"/>
        </w:trPr>
        <w:tc>
          <w:tcPr>
            <w:tcW w:w="8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15 to 19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1981-1985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0.0%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0.0%</w:t>
            </w:r>
          </w:p>
        </w:tc>
      </w:tr>
      <w:tr w:rsidR="00102ADA" w:rsidRPr="00D1182D" w:rsidTr="00171955">
        <w:trPr>
          <w:trHeight w:val="301"/>
        </w:trPr>
        <w:tc>
          <w:tcPr>
            <w:tcW w:w="88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2005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 to 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2001-2004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22.1%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14.3%</w:t>
            </w:r>
          </w:p>
        </w:tc>
      </w:tr>
      <w:tr w:rsidR="00102ADA" w:rsidRPr="00D1182D" w:rsidTr="00171955">
        <w:trPr>
          <w:trHeight w:val="301"/>
        </w:trPr>
        <w:tc>
          <w:tcPr>
            <w:tcW w:w="88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5 to 9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1996-2000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12.7%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8.2%</w:t>
            </w:r>
          </w:p>
        </w:tc>
      </w:tr>
      <w:tr w:rsidR="00102ADA" w:rsidRPr="00D1182D" w:rsidTr="00171955">
        <w:trPr>
          <w:trHeight w:val="301"/>
        </w:trPr>
        <w:tc>
          <w:tcPr>
            <w:tcW w:w="88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10 to 14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1991-1995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5.7%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3.7%</w:t>
            </w:r>
          </w:p>
        </w:tc>
      </w:tr>
      <w:tr w:rsidR="00102ADA" w:rsidRPr="00D1182D" w:rsidTr="00171955">
        <w:trPr>
          <w:trHeight w:val="301"/>
        </w:trPr>
        <w:tc>
          <w:tcPr>
            <w:tcW w:w="8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15 to 19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1986-1990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0.0%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0.0%</w:t>
            </w:r>
          </w:p>
        </w:tc>
      </w:tr>
      <w:tr w:rsidR="00102ADA" w:rsidRPr="00D1182D" w:rsidTr="00171955">
        <w:trPr>
          <w:trHeight w:val="301"/>
        </w:trPr>
        <w:tc>
          <w:tcPr>
            <w:tcW w:w="88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Theme="minorEastAsia" w:hint="eastAsia"/>
                <w:color w:val="000000" w:themeColor="text1"/>
                <w:kern w:val="0"/>
                <w:lang w:eastAsia="zh-HK"/>
              </w:rPr>
              <w:t>2</w:t>
            </w:r>
            <w:r w:rsidRPr="00D1182D">
              <w:rPr>
                <w:rFonts w:eastAsia="Times New Roman"/>
                <w:color w:val="000000" w:themeColor="text1"/>
                <w:kern w:val="0"/>
              </w:rPr>
              <w:t>010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 to 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2006-2009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36.1%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23.4%</w:t>
            </w:r>
          </w:p>
        </w:tc>
      </w:tr>
      <w:tr w:rsidR="00102ADA" w:rsidRPr="00D1182D" w:rsidTr="00171955">
        <w:trPr>
          <w:trHeight w:val="301"/>
        </w:trPr>
        <w:tc>
          <w:tcPr>
            <w:tcW w:w="88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5 to 9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2001-2005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24.4%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15.9%</w:t>
            </w:r>
          </w:p>
        </w:tc>
      </w:tr>
      <w:tr w:rsidR="00102ADA" w:rsidRPr="00D1182D" w:rsidTr="00171955">
        <w:trPr>
          <w:trHeight w:val="301"/>
        </w:trPr>
        <w:tc>
          <w:tcPr>
            <w:tcW w:w="88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10 to 14</w:t>
            </w:r>
          </w:p>
        </w:tc>
        <w:tc>
          <w:tcPr>
            <w:tcW w:w="8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1996-2000</w:t>
            </w:r>
          </w:p>
        </w:tc>
        <w:tc>
          <w:tcPr>
            <w:tcW w:w="11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12.7%</w:t>
            </w:r>
          </w:p>
        </w:tc>
        <w:tc>
          <w:tcPr>
            <w:tcW w:w="1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8.2%</w:t>
            </w:r>
          </w:p>
        </w:tc>
      </w:tr>
      <w:tr w:rsidR="00102ADA" w:rsidRPr="00D1182D" w:rsidTr="00171955">
        <w:trPr>
          <w:trHeight w:val="301"/>
        </w:trPr>
        <w:tc>
          <w:tcPr>
            <w:tcW w:w="88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15 to 19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1991-1995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5.7%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ADA" w:rsidRPr="00D1182D" w:rsidRDefault="00102ADA" w:rsidP="00171955">
            <w:pPr>
              <w:widowControl/>
              <w:spacing w:line="360" w:lineRule="auto"/>
              <w:jc w:val="right"/>
              <w:rPr>
                <w:rFonts w:eastAsia="Times New Roman"/>
                <w:color w:val="000000" w:themeColor="text1"/>
                <w:kern w:val="0"/>
              </w:rPr>
            </w:pPr>
            <w:r w:rsidRPr="00D1182D">
              <w:rPr>
                <w:rFonts w:eastAsia="Times New Roman"/>
                <w:color w:val="000000" w:themeColor="text1"/>
                <w:kern w:val="0"/>
              </w:rPr>
              <w:t>3.7%</w:t>
            </w:r>
          </w:p>
        </w:tc>
      </w:tr>
    </w:tbl>
    <w:p w:rsidR="00102ADA" w:rsidRDefault="00102ADA" w:rsidP="00102ADA">
      <w:pPr>
        <w:rPr>
          <w:lang w:eastAsia="zh-HK"/>
        </w:rPr>
      </w:pPr>
    </w:p>
    <w:p w:rsidR="00102ADA" w:rsidRDefault="00102ADA" w:rsidP="00102ADA">
      <w:pPr>
        <w:spacing w:line="360" w:lineRule="auto"/>
        <w:rPr>
          <w:lang w:eastAsia="zh-HK"/>
        </w:rPr>
      </w:pPr>
      <w:r>
        <w:rPr>
          <w:lang w:eastAsia="zh-HK"/>
        </w:rPr>
        <w:t>Remarks</w:t>
      </w:r>
      <w:r>
        <w:rPr>
          <w:rFonts w:hint="eastAsia"/>
          <w:lang w:eastAsia="zh-HK"/>
        </w:rPr>
        <w:t>:</w:t>
      </w:r>
    </w:p>
    <w:p w:rsidR="00102ADA" w:rsidRPr="005750EF" w:rsidRDefault="00102ADA" w:rsidP="00102ADA">
      <w:pPr>
        <w:spacing w:line="360" w:lineRule="auto"/>
        <w:jc w:val="both"/>
        <w:rPr>
          <w:i/>
          <w:lang w:eastAsia="zh-HK"/>
        </w:rPr>
      </w:pPr>
      <w:r w:rsidRPr="005750EF">
        <w:rPr>
          <w:i/>
          <w:lang w:eastAsia="zh-HK"/>
        </w:rPr>
        <w:t xml:space="preserve">1. </w:t>
      </w:r>
      <w:r w:rsidRPr="005750EF">
        <w:rPr>
          <w:rFonts w:hint="eastAsia"/>
          <w:i/>
          <w:lang w:eastAsia="zh-HK"/>
        </w:rPr>
        <w:t>Birth cohort</w:t>
      </w:r>
      <w:r w:rsidRPr="005750EF">
        <w:rPr>
          <w:i/>
          <w:lang w:eastAsia="zh-HK"/>
        </w:rPr>
        <w:t xml:space="preserve"> deduced from age group and </w:t>
      </w:r>
      <w:r w:rsidRPr="005750EF">
        <w:rPr>
          <w:rFonts w:hint="eastAsia"/>
          <w:i/>
          <w:lang w:eastAsia="zh-HK"/>
        </w:rPr>
        <w:t xml:space="preserve">corresponding </w:t>
      </w:r>
      <w:r w:rsidRPr="005750EF">
        <w:rPr>
          <w:i/>
          <w:lang w:eastAsia="zh-HK"/>
        </w:rPr>
        <w:t>survey year</w:t>
      </w:r>
      <w:r w:rsidRPr="005750EF">
        <w:rPr>
          <w:rFonts w:hint="eastAsia"/>
          <w:i/>
          <w:lang w:eastAsia="zh-HK"/>
        </w:rPr>
        <w:t>.</w:t>
      </w:r>
    </w:p>
    <w:p w:rsidR="00102ADA" w:rsidRPr="005750EF" w:rsidRDefault="00102ADA" w:rsidP="00102ADA">
      <w:pPr>
        <w:spacing w:line="360" w:lineRule="auto"/>
        <w:jc w:val="both"/>
        <w:rPr>
          <w:i/>
          <w:lang w:eastAsia="zh-HK"/>
        </w:rPr>
      </w:pPr>
      <w:r w:rsidRPr="005750EF">
        <w:rPr>
          <w:i/>
          <w:lang w:eastAsia="zh-HK"/>
        </w:rPr>
        <w:t>2.</w:t>
      </w:r>
      <w:r w:rsidR="00085699">
        <w:rPr>
          <w:rFonts w:hint="eastAsia"/>
          <w:i/>
          <w:lang w:eastAsia="zh-HK"/>
        </w:rPr>
        <w:t xml:space="preserve">Proportion vaccinated was obtained </w:t>
      </w:r>
      <w:r>
        <w:rPr>
          <w:rFonts w:hint="eastAsia"/>
          <w:i/>
          <w:lang w:eastAsia="zh-HK"/>
        </w:rPr>
        <w:t>from first dose varicella vaccination uptake in the immunisation coverage surveys on preschool children in 2001, 2003, 2006, 2009, 2012 and 2015, which covered birth cohorts between 1995 to 2011(</w:t>
      </w:r>
      <w:r w:rsidR="00085699">
        <w:rPr>
          <w:rFonts w:hint="eastAsia"/>
          <w:i/>
          <w:lang w:eastAsia="zh-HK"/>
        </w:rPr>
        <w:t>please refer to</w:t>
      </w:r>
      <w:r>
        <w:rPr>
          <w:rFonts w:hint="eastAsia"/>
          <w:i/>
          <w:lang w:eastAsia="zh-HK"/>
        </w:rPr>
        <w:t xml:space="preserve"> Fig 1a of this manuscript). Children of birth cohorts 1991 to 1994 were assumed to have same vaccination uptake as the 1995 cohort (i.e. 5.7%). Individuals born in 1990 or before were assumed to be unvaccinated as varicella vaccine were only available in the private market in 1996.</w:t>
      </w:r>
    </w:p>
    <w:p w:rsidR="00184068" w:rsidRDefault="00102ADA" w:rsidP="001834C4">
      <w:pPr>
        <w:spacing w:line="360" w:lineRule="auto"/>
        <w:rPr>
          <w:lang w:eastAsia="zh-HK"/>
        </w:rPr>
      </w:pPr>
      <w:r w:rsidRPr="005750EF">
        <w:rPr>
          <w:i/>
          <w:lang w:eastAsia="zh-HK"/>
        </w:rPr>
        <w:t xml:space="preserve">3. </w:t>
      </w:r>
      <w:bookmarkStart w:id="1" w:name="_Hlk497347017"/>
      <w:proofErr w:type="spellStart"/>
      <w:r w:rsidRPr="005750EF">
        <w:rPr>
          <w:i/>
          <w:lang w:eastAsia="zh-HK"/>
        </w:rPr>
        <w:t>Sauerbrei</w:t>
      </w:r>
      <w:proofErr w:type="spellEnd"/>
      <w:r w:rsidRPr="005750EF">
        <w:rPr>
          <w:i/>
          <w:lang w:eastAsia="zh-HK"/>
        </w:rPr>
        <w:t xml:space="preserve"> </w:t>
      </w:r>
      <w:r>
        <w:rPr>
          <w:rFonts w:hint="eastAsia"/>
          <w:i/>
          <w:lang w:eastAsia="zh-HK"/>
        </w:rPr>
        <w:t xml:space="preserve">et al. </w:t>
      </w:r>
      <w:r w:rsidRPr="005750EF">
        <w:rPr>
          <w:i/>
          <w:lang w:eastAsia="zh-HK"/>
        </w:rPr>
        <w:t xml:space="preserve">compared different laboratory tests for assessing varicella immunity. Blood samples of 57 </w:t>
      </w:r>
      <w:proofErr w:type="spellStart"/>
      <w:r w:rsidRPr="005750EF">
        <w:rPr>
          <w:i/>
          <w:lang w:eastAsia="zh-HK"/>
        </w:rPr>
        <w:t>vaccinees</w:t>
      </w:r>
      <w:proofErr w:type="spellEnd"/>
      <w:r w:rsidRPr="005750EF">
        <w:rPr>
          <w:i/>
          <w:lang w:eastAsia="zh-HK"/>
        </w:rPr>
        <w:t xml:space="preserve"> aged 2 to 35 years were obtained 4 to 6 weeks after one or two doses of monovalent varicella vaccine (</w:t>
      </w:r>
      <w:proofErr w:type="spellStart"/>
      <w:r w:rsidRPr="005750EF">
        <w:rPr>
          <w:i/>
          <w:lang w:eastAsia="zh-HK"/>
        </w:rPr>
        <w:t>mVV</w:t>
      </w:r>
      <w:proofErr w:type="spellEnd"/>
      <w:r w:rsidRPr="005750EF">
        <w:rPr>
          <w:i/>
          <w:lang w:eastAsia="zh-HK"/>
        </w:rPr>
        <w:t>)</w:t>
      </w:r>
      <w:r w:rsidR="00085699">
        <w:rPr>
          <w:rFonts w:hint="eastAsia"/>
          <w:i/>
          <w:lang w:eastAsia="zh-HK"/>
        </w:rPr>
        <w:t>.</w:t>
      </w:r>
      <w:r>
        <w:rPr>
          <w:rFonts w:hint="eastAsia"/>
          <w:i/>
          <w:lang w:eastAsia="zh-HK"/>
        </w:rPr>
        <w:t xml:space="preserve"> </w:t>
      </w:r>
      <w:r w:rsidRPr="005750EF">
        <w:rPr>
          <w:i/>
          <w:lang w:eastAsia="zh-HK"/>
        </w:rPr>
        <w:t>37 (65%</w:t>
      </w:r>
      <w:r w:rsidR="00F264D3">
        <w:rPr>
          <w:rFonts w:hint="eastAsia"/>
          <w:i/>
          <w:lang w:eastAsia="zh-HK"/>
        </w:rPr>
        <w:t>)</w:t>
      </w:r>
      <w:r w:rsidRPr="005750EF">
        <w:rPr>
          <w:i/>
          <w:lang w:eastAsia="zh-HK"/>
        </w:rPr>
        <w:t xml:space="preserve"> tested positive</w:t>
      </w:r>
      <w:r>
        <w:rPr>
          <w:rFonts w:hint="eastAsia"/>
          <w:i/>
          <w:lang w:eastAsia="zh-HK"/>
        </w:rPr>
        <w:t xml:space="preserve"> </w:t>
      </w:r>
      <w:r w:rsidRPr="005750EF">
        <w:rPr>
          <w:i/>
          <w:lang w:eastAsia="zh-HK"/>
        </w:rPr>
        <w:t xml:space="preserve">by </w:t>
      </w:r>
      <w:r>
        <w:rPr>
          <w:rFonts w:hint="eastAsia"/>
          <w:i/>
          <w:lang w:eastAsia="zh-HK"/>
        </w:rPr>
        <w:t xml:space="preserve">a commercially available </w:t>
      </w:r>
      <w:r w:rsidRPr="005750EF">
        <w:rPr>
          <w:i/>
          <w:lang w:eastAsia="zh-HK"/>
        </w:rPr>
        <w:t>whole-cell ELISA</w:t>
      </w:r>
      <w:r>
        <w:rPr>
          <w:rFonts w:hint="eastAsia"/>
          <w:i/>
          <w:lang w:eastAsia="zh-HK"/>
        </w:rPr>
        <w:t xml:space="preserve"> kit</w:t>
      </w:r>
      <w:r w:rsidRPr="005750EF">
        <w:rPr>
          <w:i/>
          <w:lang w:eastAsia="zh-HK"/>
        </w:rPr>
        <w:t>.</w:t>
      </w:r>
      <w:bookmarkEnd w:id="1"/>
      <w:r w:rsidRPr="005750EF">
        <w:rPr>
          <w:i/>
          <w:lang w:eastAsia="zh-HK"/>
        </w:rPr>
        <w:t xml:space="preserve"> Numbers in these columns were obtained by multiplying th</w:t>
      </w:r>
      <w:r>
        <w:rPr>
          <w:rFonts w:hint="eastAsia"/>
          <w:i/>
          <w:lang w:eastAsia="zh-HK"/>
        </w:rPr>
        <w:t>is</w:t>
      </w:r>
      <w:r w:rsidRPr="005750EF">
        <w:rPr>
          <w:i/>
          <w:lang w:eastAsia="zh-HK"/>
        </w:rPr>
        <w:t xml:space="preserve"> proportio</w:t>
      </w:r>
      <w:r>
        <w:rPr>
          <w:rFonts w:hint="eastAsia"/>
          <w:i/>
          <w:lang w:eastAsia="zh-HK"/>
        </w:rPr>
        <w:t>n</w:t>
      </w:r>
      <w:r w:rsidRPr="005750EF">
        <w:rPr>
          <w:i/>
          <w:lang w:eastAsia="zh-HK"/>
        </w:rPr>
        <w:t xml:space="preserve"> with the proportion vaccinated.</w:t>
      </w:r>
      <w:r w:rsidR="00184068">
        <w:br w:type="page"/>
      </w:r>
    </w:p>
    <w:p w:rsidR="00E82102" w:rsidRPr="002A2F8F" w:rsidRDefault="00E82102" w:rsidP="00E82102">
      <w:pPr>
        <w:ind w:leftChars="59" w:left="142"/>
        <w:jc w:val="both"/>
        <w:rPr>
          <w:b/>
          <w:lang w:eastAsia="zh-HK"/>
        </w:rPr>
      </w:pPr>
      <w:bookmarkStart w:id="2" w:name="_Hlk497348174"/>
      <w:proofErr w:type="gramStart"/>
      <w:r w:rsidRPr="002A2F8F">
        <w:rPr>
          <w:b/>
        </w:rPr>
        <w:lastRenderedPageBreak/>
        <w:t>Supplementary Fig</w:t>
      </w:r>
      <w:r>
        <w:rPr>
          <w:b/>
        </w:rPr>
        <w:t>ure</w:t>
      </w:r>
      <w:r w:rsidRPr="002A2F8F">
        <w:rPr>
          <w:b/>
        </w:rPr>
        <w:t xml:space="preserve"> </w:t>
      </w:r>
      <w:r>
        <w:rPr>
          <w:b/>
        </w:rPr>
        <w:t>S</w:t>
      </w:r>
      <w:r w:rsidRPr="002A2F8F">
        <w:rPr>
          <w:b/>
        </w:rPr>
        <w:t>1</w:t>
      </w:r>
      <w:r w:rsidRPr="002A2F8F">
        <w:rPr>
          <w:rFonts w:hint="eastAsia"/>
          <w:b/>
          <w:lang w:eastAsia="zh-HK"/>
        </w:rPr>
        <w:t>.</w:t>
      </w:r>
      <w:proofErr w:type="gramEnd"/>
      <w:r>
        <w:rPr>
          <w:rFonts w:hint="eastAsia"/>
          <w:b/>
          <w:lang w:eastAsia="zh-HK"/>
        </w:rPr>
        <w:t xml:space="preserve"> </w:t>
      </w:r>
      <w:proofErr w:type="gramStart"/>
      <w:r w:rsidRPr="002A2F8F">
        <w:rPr>
          <w:rFonts w:hint="eastAsia"/>
          <w:b/>
          <w:lang w:eastAsia="zh-HK"/>
        </w:rPr>
        <w:t xml:space="preserve">Coding practice of A&amp;E attendance and inpatient </w:t>
      </w:r>
      <w:r w:rsidRPr="002A2F8F">
        <w:rPr>
          <w:b/>
          <w:lang w:eastAsia="zh-HK"/>
        </w:rPr>
        <w:t>admission</w:t>
      </w:r>
      <w:r w:rsidRPr="002A2F8F">
        <w:rPr>
          <w:rFonts w:hint="eastAsia"/>
          <w:b/>
          <w:lang w:eastAsia="zh-HK"/>
        </w:rPr>
        <w:t xml:space="preserve"> in public hospitals of Hong Kong, 2004/05 to 201</w:t>
      </w:r>
      <w:r>
        <w:rPr>
          <w:b/>
          <w:lang w:eastAsia="zh-HK"/>
        </w:rPr>
        <w:t>3</w:t>
      </w:r>
      <w:r w:rsidRPr="002A2F8F">
        <w:rPr>
          <w:rFonts w:hint="eastAsia"/>
          <w:b/>
          <w:lang w:eastAsia="zh-HK"/>
        </w:rPr>
        <w:t>/1</w:t>
      </w:r>
      <w:r>
        <w:rPr>
          <w:b/>
          <w:lang w:eastAsia="zh-HK"/>
        </w:rPr>
        <w:t>4</w:t>
      </w:r>
      <w:r w:rsidRPr="002A2F8F">
        <w:rPr>
          <w:rFonts w:hint="eastAsia"/>
          <w:b/>
          <w:lang w:eastAsia="zh-HK"/>
        </w:rPr>
        <w:t>.</w:t>
      </w:r>
      <w:proofErr w:type="gramEnd"/>
      <w:r w:rsidRPr="002A2F8F">
        <w:rPr>
          <w:rFonts w:hint="eastAsia"/>
          <w:b/>
          <w:lang w:eastAsia="zh-HK"/>
        </w:rPr>
        <w:t xml:space="preserve"> </w:t>
      </w:r>
      <w:r w:rsidRPr="002A2F8F">
        <w:rPr>
          <w:b/>
        </w:rPr>
        <w:t xml:space="preserve">(a) Proportion of </w:t>
      </w:r>
      <w:r w:rsidRPr="002A2F8F">
        <w:rPr>
          <w:rFonts w:hint="eastAsia"/>
          <w:b/>
          <w:lang w:eastAsia="zh-HK"/>
        </w:rPr>
        <w:t>A&amp;E attendance coded, (b) average number of codes per A&amp;E attendance, (c) proportion of A&amp;E referred admission coded and (d) average number of codes per A&amp;E referred admission</w:t>
      </w:r>
    </w:p>
    <w:bookmarkEnd w:id="2"/>
    <w:p w:rsidR="00E82102" w:rsidRPr="002A2F8F" w:rsidRDefault="00E82102" w:rsidP="00E82102">
      <w:pPr>
        <w:spacing w:line="360" w:lineRule="auto"/>
        <w:ind w:leftChars="650" w:left="1560"/>
        <w:rPr>
          <w:lang w:eastAsia="zh-HK"/>
        </w:rPr>
      </w:pPr>
    </w:p>
    <w:tbl>
      <w:tblPr>
        <w:tblW w:w="102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9746"/>
      </w:tblGrid>
      <w:tr w:rsidR="00E82102" w:rsidRPr="002A2F8F" w:rsidTr="00D435F7">
        <w:tc>
          <w:tcPr>
            <w:tcW w:w="534" w:type="dxa"/>
            <w:shd w:val="clear" w:color="auto" w:fill="auto"/>
          </w:tcPr>
          <w:p w:rsidR="00E82102" w:rsidRPr="002A2F8F" w:rsidRDefault="00E82102" w:rsidP="00D435F7">
            <w:pPr>
              <w:spacing w:line="36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(a)</w:t>
            </w:r>
          </w:p>
        </w:tc>
        <w:tc>
          <w:tcPr>
            <w:tcW w:w="9746" w:type="dxa"/>
            <w:shd w:val="clear" w:color="auto" w:fill="auto"/>
          </w:tcPr>
          <w:p w:rsidR="00E82102" w:rsidRPr="002A2F8F" w:rsidRDefault="00A7070C" w:rsidP="00D435F7">
            <w:pPr>
              <w:spacing w:line="360" w:lineRule="auto"/>
              <w:rPr>
                <w:lang w:eastAsia="zh-HK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8892910" wp14:editId="70F92DA4">
                  <wp:extent cx="4637405" cy="20420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53"/>
                          <a:stretch/>
                        </pic:blipFill>
                        <pic:spPr bwMode="auto">
                          <a:xfrm>
                            <a:off x="0" y="0"/>
                            <a:ext cx="4682176" cy="206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102" w:rsidRPr="002A2F8F" w:rsidTr="00D435F7">
        <w:tc>
          <w:tcPr>
            <w:tcW w:w="534" w:type="dxa"/>
            <w:shd w:val="clear" w:color="auto" w:fill="auto"/>
          </w:tcPr>
          <w:p w:rsidR="00E82102" w:rsidRPr="002A2F8F" w:rsidRDefault="00E82102" w:rsidP="00D435F7">
            <w:pPr>
              <w:spacing w:line="36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>(b)</w:t>
            </w:r>
          </w:p>
        </w:tc>
        <w:tc>
          <w:tcPr>
            <w:tcW w:w="9746" w:type="dxa"/>
            <w:shd w:val="clear" w:color="auto" w:fill="auto"/>
          </w:tcPr>
          <w:p w:rsidR="00E82102" w:rsidRPr="002A2F8F" w:rsidRDefault="00E82102" w:rsidP="00D435F7">
            <w:pPr>
              <w:spacing w:line="360" w:lineRule="auto"/>
              <w:rPr>
                <w:lang w:eastAsia="zh-HK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58DCD3" wp14:editId="461C41E0">
                  <wp:extent cx="4578985" cy="1880353"/>
                  <wp:effectExtent l="0" t="0" r="0" b="571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95"/>
                          <a:stretch/>
                        </pic:blipFill>
                        <pic:spPr bwMode="auto">
                          <a:xfrm>
                            <a:off x="0" y="0"/>
                            <a:ext cx="4595732" cy="188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102" w:rsidRPr="002A2F8F" w:rsidTr="00D435F7">
        <w:tc>
          <w:tcPr>
            <w:tcW w:w="534" w:type="dxa"/>
            <w:shd w:val="clear" w:color="auto" w:fill="auto"/>
          </w:tcPr>
          <w:p w:rsidR="00E82102" w:rsidRPr="002A2F8F" w:rsidRDefault="00E82102" w:rsidP="00D435F7">
            <w:pPr>
              <w:spacing w:line="360" w:lineRule="auto"/>
              <w:rPr>
                <w:lang w:eastAsia="zh-HK"/>
              </w:rPr>
            </w:pPr>
            <w:r w:rsidRPr="002A2F8F">
              <w:rPr>
                <w:lang w:eastAsia="zh-HK"/>
              </w:rPr>
              <w:t xml:space="preserve">(c) </w:t>
            </w:r>
          </w:p>
        </w:tc>
        <w:tc>
          <w:tcPr>
            <w:tcW w:w="9746" w:type="dxa"/>
            <w:shd w:val="clear" w:color="auto" w:fill="auto"/>
          </w:tcPr>
          <w:p w:rsidR="00E82102" w:rsidRPr="002A2F8F" w:rsidRDefault="00E82102" w:rsidP="00D435F7">
            <w:pPr>
              <w:spacing w:line="360" w:lineRule="auto"/>
              <w:rPr>
                <w:lang w:eastAsia="zh-HK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180332" wp14:editId="453F6051">
                  <wp:extent cx="4613910" cy="1827769"/>
                  <wp:effectExtent l="0" t="0" r="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4"/>
                          <a:stretch/>
                        </pic:blipFill>
                        <pic:spPr bwMode="auto">
                          <a:xfrm>
                            <a:off x="0" y="0"/>
                            <a:ext cx="4631494" cy="183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102" w:rsidRPr="002A2F8F" w:rsidTr="00D435F7">
        <w:tc>
          <w:tcPr>
            <w:tcW w:w="534" w:type="dxa"/>
            <w:shd w:val="clear" w:color="auto" w:fill="auto"/>
          </w:tcPr>
          <w:p w:rsidR="00E82102" w:rsidRPr="002A2F8F" w:rsidRDefault="00E82102" w:rsidP="00D435F7">
            <w:pPr>
              <w:spacing w:line="360" w:lineRule="auto"/>
              <w:rPr>
                <w:lang w:eastAsia="zh-HK"/>
              </w:rPr>
            </w:pPr>
            <w:bookmarkStart w:id="3" w:name="_Hlk497351624"/>
            <w:r w:rsidRPr="002A2F8F">
              <w:rPr>
                <w:lang w:eastAsia="zh-HK"/>
              </w:rPr>
              <w:t>(d)</w:t>
            </w:r>
          </w:p>
        </w:tc>
        <w:tc>
          <w:tcPr>
            <w:tcW w:w="9746" w:type="dxa"/>
            <w:shd w:val="clear" w:color="auto" w:fill="auto"/>
          </w:tcPr>
          <w:p w:rsidR="00E82102" w:rsidRDefault="00E82102" w:rsidP="00D435F7">
            <w:pPr>
              <w:spacing w:line="360" w:lineRule="auto"/>
              <w:rPr>
                <w:lang w:eastAsia="zh-HK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B5EE462" wp14:editId="726C5F16">
                  <wp:extent cx="4668199" cy="177892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90"/>
                          <a:stretch/>
                        </pic:blipFill>
                        <pic:spPr bwMode="auto">
                          <a:xfrm>
                            <a:off x="0" y="0"/>
                            <a:ext cx="4702915" cy="179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1808" w:rsidRDefault="00921808" w:rsidP="00D435F7">
            <w:pPr>
              <w:spacing w:line="360" w:lineRule="auto"/>
              <w:rPr>
                <w:lang w:eastAsia="zh-HK"/>
              </w:rPr>
            </w:pPr>
          </w:p>
          <w:p w:rsidR="00921808" w:rsidRDefault="00921808" w:rsidP="00D435F7">
            <w:pPr>
              <w:spacing w:line="360" w:lineRule="auto"/>
              <w:rPr>
                <w:lang w:eastAsia="zh-HK"/>
              </w:rPr>
            </w:pPr>
          </w:p>
          <w:p w:rsidR="00C54CC9" w:rsidRPr="002A2F8F" w:rsidRDefault="00C54CC9" w:rsidP="00C54CC9">
            <w:pPr>
              <w:spacing w:line="360" w:lineRule="auto"/>
              <w:rPr>
                <w:lang w:eastAsia="zh-HK"/>
              </w:rPr>
            </w:pPr>
          </w:p>
        </w:tc>
      </w:tr>
      <w:bookmarkEnd w:id="3"/>
    </w:tbl>
    <w:p w:rsidR="00E82102" w:rsidRPr="002A2F8F" w:rsidRDefault="00E82102" w:rsidP="00E82102">
      <w:pPr>
        <w:spacing w:line="360" w:lineRule="auto"/>
        <w:rPr>
          <w:lang w:eastAsia="zh-HK"/>
        </w:rPr>
        <w:sectPr w:rsidR="00E82102" w:rsidRPr="002A2F8F" w:rsidSect="00102ADA">
          <w:pgSz w:w="11906" w:h="16838"/>
          <w:pgMar w:top="720" w:right="1133" w:bottom="720" w:left="1134" w:header="706" w:footer="706" w:gutter="0"/>
          <w:cols w:space="708"/>
          <w:docGrid w:linePitch="360"/>
        </w:sectPr>
      </w:pPr>
    </w:p>
    <w:p w:rsidR="00C54CC9" w:rsidRDefault="00C54CC9" w:rsidP="00E82102">
      <w:pPr>
        <w:ind w:leftChars="59" w:left="142"/>
        <w:jc w:val="both"/>
        <w:rPr>
          <w:b/>
        </w:rPr>
      </w:pPr>
      <w:bookmarkStart w:id="4" w:name="_Hlk483218874"/>
    </w:p>
    <w:p w:rsidR="00E82102" w:rsidRPr="002A2F8F" w:rsidRDefault="00E82102" w:rsidP="00E82102">
      <w:pPr>
        <w:ind w:leftChars="59" w:left="142"/>
        <w:jc w:val="both"/>
        <w:rPr>
          <w:lang w:eastAsia="zh-HK"/>
        </w:rPr>
      </w:pPr>
      <w:proofErr w:type="gramStart"/>
      <w:r w:rsidRPr="002A2F8F">
        <w:rPr>
          <w:b/>
        </w:rPr>
        <w:t>Supplementary Fig</w:t>
      </w:r>
      <w:r>
        <w:rPr>
          <w:b/>
        </w:rPr>
        <w:t>ure</w:t>
      </w:r>
      <w:r w:rsidRPr="002A2F8F">
        <w:rPr>
          <w:b/>
        </w:rPr>
        <w:t xml:space="preserve"> </w:t>
      </w:r>
      <w:r>
        <w:rPr>
          <w:b/>
        </w:rPr>
        <w:t>S</w:t>
      </w:r>
      <w:r w:rsidRPr="002A2F8F">
        <w:rPr>
          <w:rFonts w:hint="eastAsia"/>
          <w:b/>
          <w:lang w:eastAsia="zh-HK"/>
        </w:rPr>
        <w:t>2.</w:t>
      </w:r>
      <w:proofErr w:type="gramEnd"/>
      <w:r w:rsidRPr="002A2F8F">
        <w:rPr>
          <w:rFonts w:hint="eastAsia"/>
          <w:b/>
          <w:lang w:eastAsia="zh-HK"/>
        </w:rPr>
        <w:t xml:space="preserve"> No. of enrolment, average no. of enrolment per school and per class in preschools^, primary and secondary schools in Hong Kong, 1990 to 2015</w:t>
      </w:r>
      <w:r>
        <w:rPr>
          <w:b/>
          <w:lang w:eastAsia="zh-HK"/>
        </w:rPr>
        <w:t xml:space="preserve"> (Source: Education Bureau and Social Welfare Department, Hong Kong SAR Government)</w:t>
      </w:r>
      <w:r w:rsidRPr="002A2F8F">
        <w:rPr>
          <w:rFonts w:hint="eastAsia"/>
          <w:b/>
          <w:lang w:eastAsia="zh-HK"/>
        </w:rPr>
        <w:t>.</w:t>
      </w:r>
    </w:p>
    <w:bookmarkEnd w:id="4"/>
    <w:p w:rsidR="00E82102" w:rsidRPr="002A2F8F" w:rsidRDefault="00E82102" w:rsidP="00E82102">
      <w:pPr>
        <w:spacing w:line="360" w:lineRule="auto"/>
        <w:rPr>
          <w:lang w:eastAsia="zh-HK"/>
        </w:rPr>
      </w:pPr>
      <w:r w:rsidRPr="002A2F8F">
        <w:rPr>
          <w:noProof/>
          <w:lang w:val="en-US"/>
        </w:rPr>
        <w:drawing>
          <wp:inline distT="0" distB="0" distL="0" distR="0" wp14:anchorId="4288C6E1" wp14:editId="14427132">
            <wp:extent cx="9134475" cy="5480523"/>
            <wp:effectExtent l="0" t="0" r="0" b="6350"/>
            <wp:docPr id="10" name="圖片 10" descr="H:\To go\#Working\chickenpox\student and class size\student.plo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o go\#Working\chickenpox\student and class size\student.plot.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581" cy="548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102" w:rsidRPr="002A2F8F" w:rsidRDefault="00E82102" w:rsidP="00E82102">
      <w:pPr>
        <w:spacing w:line="360" w:lineRule="auto"/>
        <w:ind w:leftChars="650" w:left="1560"/>
        <w:jc w:val="both"/>
        <w:rPr>
          <w:lang w:eastAsia="zh-HK"/>
        </w:rPr>
      </w:pPr>
      <w:r w:rsidRPr="002A2F8F">
        <w:rPr>
          <w:lang w:eastAsia="zh-HK"/>
        </w:rPr>
        <w:t>Remarks:</w:t>
      </w:r>
      <w:r w:rsidRPr="002A2F8F">
        <w:rPr>
          <w:rFonts w:hint="eastAsia"/>
          <w:lang w:eastAsia="zh-HK"/>
        </w:rPr>
        <w:t xml:space="preserve"> </w:t>
      </w:r>
    </w:p>
    <w:p w:rsidR="00E82102" w:rsidRPr="002A2F8F" w:rsidRDefault="00E82102" w:rsidP="00E82102">
      <w:pPr>
        <w:spacing w:line="360" w:lineRule="auto"/>
        <w:ind w:leftChars="650" w:left="1560"/>
        <w:jc w:val="both"/>
        <w:rPr>
          <w:i/>
          <w:lang w:eastAsia="zh-HK"/>
        </w:rPr>
      </w:pPr>
      <w:r w:rsidRPr="002A2F8F">
        <w:rPr>
          <w:i/>
          <w:lang w:eastAsia="zh-HK"/>
        </w:rPr>
        <w:t xml:space="preserve">^Preschools include kindergartens (KG), child-care-centres (CCC) and KG-cum-CCC. Data regarding no. of enrolment per class is not available for preschools. </w:t>
      </w:r>
      <w:r w:rsidRPr="002A2F8F">
        <w:rPr>
          <w:i/>
          <w:lang w:eastAsia="zh-HK"/>
        </w:rPr>
        <w:fldChar w:fldCharType="begin"/>
      </w:r>
      <w:r w:rsidRPr="002A2F8F">
        <w:rPr>
          <w:i/>
          <w:lang w:eastAsia="zh-HK"/>
        </w:rPr>
        <w:instrText xml:space="preserve"> ADDIN </w:instrText>
      </w:r>
      <w:r w:rsidRPr="002A2F8F">
        <w:rPr>
          <w:i/>
          <w:lang w:eastAsia="zh-HK"/>
        </w:rPr>
        <w:fldChar w:fldCharType="end"/>
      </w:r>
    </w:p>
    <w:p w:rsidR="00471568" w:rsidRDefault="00471568">
      <w:pPr>
        <w:sectPr w:rsidR="00471568" w:rsidSect="002A2F8F">
          <w:pgSz w:w="16838" w:h="11906" w:orient="landscape"/>
          <w:pgMar w:top="284" w:right="720" w:bottom="284" w:left="720" w:header="706" w:footer="706" w:gutter="0"/>
          <w:cols w:space="708"/>
          <w:docGrid w:linePitch="360"/>
        </w:sectPr>
      </w:pPr>
    </w:p>
    <w:p w:rsidR="00471568" w:rsidRDefault="00471568" w:rsidP="00471568">
      <w:pPr>
        <w:ind w:leftChars="59" w:left="142"/>
        <w:jc w:val="both"/>
        <w:rPr>
          <w:b/>
        </w:rPr>
      </w:pPr>
      <w:proofErr w:type="gramStart"/>
      <w:r>
        <w:rPr>
          <w:rFonts w:hint="eastAsia"/>
          <w:b/>
        </w:rPr>
        <w:lastRenderedPageBreak/>
        <w:t>Supplementary Figure S</w:t>
      </w:r>
      <w:r>
        <w:rPr>
          <w:b/>
        </w:rPr>
        <w:t>3</w:t>
      </w:r>
      <w:r>
        <w:rPr>
          <w:rFonts w:hint="eastAsia"/>
          <w:b/>
        </w:rPr>
        <w:t>.</w:t>
      </w:r>
      <w:proofErr w:type="gramEnd"/>
      <w:r>
        <w:rPr>
          <w:rFonts w:hint="eastAsia"/>
          <w:b/>
        </w:rPr>
        <w:t xml:space="preserve"> </w:t>
      </w:r>
      <w:r w:rsidRPr="00C54CC9">
        <w:rPr>
          <w:b/>
        </w:rPr>
        <w:t>Proportion seropositive against varicella antibody and model fitting with sensitivity analysis</w:t>
      </w:r>
      <w:r>
        <w:rPr>
          <w:b/>
        </w:rPr>
        <w:t>^</w:t>
      </w:r>
      <w:r w:rsidRPr="00C54CC9">
        <w:rPr>
          <w:b/>
        </w:rPr>
        <w:t xml:space="preserve"> </w:t>
      </w:r>
    </w:p>
    <w:p w:rsidR="006801AA" w:rsidRDefault="006801AA" w:rsidP="00471568">
      <w:pPr>
        <w:ind w:leftChars="59" w:left="142"/>
        <w:jc w:val="both"/>
        <w:rPr>
          <w:b/>
        </w:rPr>
      </w:pPr>
    </w:p>
    <w:p w:rsidR="00471568" w:rsidRDefault="00471568" w:rsidP="00471568">
      <w:pPr>
        <w:ind w:leftChars="59" w:left="142"/>
        <w:jc w:val="both"/>
        <w:rPr>
          <w:b/>
        </w:rPr>
      </w:pPr>
      <w:r>
        <w:rPr>
          <w:noProof/>
          <w:lang w:val="en-US"/>
        </w:rPr>
        <w:drawing>
          <wp:inline distT="0" distB="0" distL="0" distR="0" wp14:anchorId="53FD3B44" wp14:editId="34D79112">
            <wp:extent cx="9655747" cy="3860800"/>
            <wp:effectExtent l="0" t="0" r="3175" b="6350"/>
            <wp:docPr id="3" name="圖片 3" descr="C:\Users\yungwai\AppData\Local\Microsoft\Windows\INetCache\Content.Word\model_s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ngwai\AppData\Local\Microsoft\Windows\INetCache\Content.Word\model_sa.tif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828" cy="386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AA" w:rsidRDefault="006801AA" w:rsidP="00471568">
      <w:pPr>
        <w:spacing w:line="360" w:lineRule="auto"/>
        <w:jc w:val="both"/>
        <w:rPr>
          <w:lang w:eastAsia="zh-HK"/>
        </w:rPr>
      </w:pPr>
    </w:p>
    <w:p w:rsidR="00471568" w:rsidRPr="002A2F8F" w:rsidRDefault="00471568" w:rsidP="00471568">
      <w:pPr>
        <w:spacing w:line="360" w:lineRule="auto"/>
        <w:jc w:val="both"/>
        <w:rPr>
          <w:lang w:eastAsia="zh-HK"/>
        </w:rPr>
      </w:pPr>
      <w:r w:rsidRPr="002A2F8F">
        <w:rPr>
          <w:lang w:eastAsia="zh-HK"/>
        </w:rPr>
        <w:t>Remarks:</w:t>
      </w:r>
      <w:r w:rsidRPr="002A2F8F">
        <w:rPr>
          <w:rFonts w:hint="eastAsia"/>
          <w:lang w:eastAsia="zh-HK"/>
        </w:rPr>
        <w:t xml:space="preserve"> </w:t>
      </w:r>
    </w:p>
    <w:p w:rsidR="008C5714" w:rsidRPr="00E82102" w:rsidRDefault="00471568" w:rsidP="005664BB">
      <w:pPr>
        <w:jc w:val="both"/>
      </w:pPr>
      <w:r>
        <w:rPr>
          <w:i/>
          <w:lang w:eastAsia="zh-HK"/>
        </w:rPr>
        <w:t>^</w:t>
      </w:r>
      <w:r w:rsidRPr="00C54CC9">
        <w:rPr>
          <w:i/>
          <w:lang w:eastAsia="zh-HK"/>
        </w:rPr>
        <w:t xml:space="preserve">Sensitivity analysis was carried out based on the proportion of </w:t>
      </w:r>
      <w:proofErr w:type="spellStart"/>
      <w:r w:rsidRPr="00C54CC9">
        <w:rPr>
          <w:i/>
          <w:lang w:eastAsia="zh-HK"/>
        </w:rPr>
        <w:t>vaccinee</w:t>
      </w:r>
      <w:proofErr w:type="spellEnd"/>
      <w:r w:rsidRPr="00C54CC9">
        <w:rPr>
          <w:i/>
          <w:lang w:eastAsia="zh-HK"/>
        </w:rPr>
        <w:t xml:space="preserve"> seroconverted and its 95%CI from </w:t>
      </w:r>
      <w:proofErr w:type="spellStart"/>
      <w:r w:rsidRPr="00C54CC9">
        <w:rPr>
          <w:i/>
          <w:lang w:eastAsia="zh-HK"/>
        </w:rPr>
        <w:t>Sauerbrei</w:t>
      </w:r>
      <w:proofErr w:type="spellEnd"/>
      <w:r w:rsidRPr="00C54CC9">
        <w:rPr>
          <w:i/>
          <w:lang w:eastAsia="zh-HK"/>
        </w:rPr>
        <w:t xml:space="preserve"> et al.</w:t>
      </w:r>
      <w:r>
        <w:rPr>
          <w:i/>
          <w:lang w:eastAsia="zh-HK"/>
        </w:rPr>
        <w:t xml:space="preserve">, </w:t>
      </w:r>
      <w:r w:rsidRPr="007902E1">
        <w:rPr>
          <w:i/>
          <w:lang w:eastAsia="zh-HK"/>
        </w:rPr>
        <w:t xml:space="preserve">for which 37 of 57 (65%) of individuals aged 2 to 35 years were tested positive by a commercially available </w:t>
      </w:r>
      <w:proofErr w:type="spellStart"/>
      <w:r w:rsidRPr="007902E1">
        <w:rPr>
          <w:i/>
          <w:lang w:eastAsia="zh-HK"/>
        </w:rPr>
        <w:t>wc</w:t>
      </w:r>
      <w:proofErr w:type="spellEnd"/>
      <w:r w:rsidRPr="007902E1">
        <w:rPr>
          <w:i/>
          <w:lang w:eastAsia="zh-HK"/>
        </w:rPr>
        <w:t xml:space="preserve"> ELISA kit</w:t>
      </w:r>
      <w:r w:rsidR="00F264D3">
        <w:rPr>
          <w:rFonts w:hint="eastAsia"/>
          <w:i/>
          <w:lang w:eastAsia="zh-HK"/>
        </w:rPr>
        <w:t>,</w:t>
      </w:r>
      <w:r w:rsidRPr="007902E1">
        <w:rPr>
          <w:i/>
          <w:lang w:eastAsia="zh-HK"/>
        </w:rPr>
        <w:t xml:space="preserve"> 4 to 6 weeks after receiving one or two doses of </w:t>
      </w:r>
      <w:proofErr w:type="spellStart"/>
      <w:r w:rsidRPr="007902E1">
        <w:rPr>
          <w:i/>
          <w:lang w:eastAsia="zh-HK"/>
        </w:rPr>
        <w:t>mVV</w:t>
      </w:r>
      <w:proofErr w:type="spellEnd"/>
      <w:r w:rsidRPr="007902E1">
        <w:rPr>
          <w:i/>
          <w:lang w:eastAsia="zh-HK"/>
        </w:rPr>
        <w:t xml:space="preserve">. </w:t>
      </w:r>
      <w:r w:rsidRPr="00C54CC9">
        <w:rPr>
          <w:i/>
          <w:lang w:eastAsia="zh-HK"/>
        </w:rPr>
        <w:t>Base: 65%, lower limit (LL): 51% and upper limit (UL): 77%.</w:t>
      </w:r>
    </w:p>
    <w:sectPr w:rsidR="008C5714" w:rsidRPr="00E82102" w:rsidSect="002A2F8F">
      <w:pgSz w:w="16838" w:h="11906" w:orient="landscape"/>
      <w:pgMar w:top="284" w:right="720" w:bottom="28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D1" w:rsidRDefault="00E40FD1" w:rsidP="00F86510">
      <w:r>
        <w:separator/>
      </w:r>
    </w:p>
  </w:endnote>
  <w:endnote w:type="continuationSeparator" w:id="0">
    <w:p w:rsidR="00E40FD1" w:rsidRDefault="00E40FD1" w:rsidP="00F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D1" w:rsidRDefault="00E40FD1" w:rsidP="00F86510">
      <w:r>
        <w:separator/>
      </w:r>
    </w:p>
  </w:footnote>
  <w:footnote w:type="continuationSeparator" w:id="0">
    <w:p w:rsidR="00E40FD1" w:rsidRDefault="00E40FD1" w:rsidP="00F86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27a306c1-ef02-493d-a111-8ca907068cba"/>
  </w:docVars>
  <w:rsids>
    <w:rsidRoot w:val="00E82102"/>
    <w:rsid w:val="00085699"/>
    <w:rsid w:val="00102ADA"/>
    <w:rsid w:val="001834C4"/>
    <w:rsid w:val="00184068"/>
    <w:rsid w:val="001A57D7"/>
    <w:rsid w:val="001C7ADD"/>
    <w:rsid w:val="0032207F"/>
    <w:rsid w:val="003F69D3"/>
    <w:rsid w:val="00471568"/>
    <w:rsid w:val="00510B04"/>
    <w:rsid w:val="00560501"/>
    <w:rsid w:val="005664BB"/>
    <w:rsid w:val="005750EF"/>
    <w:rsid w:val="005D2FD6"/>
    <w:rsid w:val="005E05D9"/>
    <w:rsid w:val="00664FE4"/>
    <w:rsid w:val="006801AA"/>
    <w:rsid w:val="00723291"/>
    <w:rsid w:val="007902E1"/>
    <w:rsid w:val="007D0F54"/>
    <w:rsid w:val="008A4ED2"/>
    <w:rsid w:val="008C5714"/>
    <w:rsid w:val="00921808"/>
    <w:rsid w:val="00951F99"/>
    <w:rsid w:val="00973631"/>
    <w:rsid w:val="009D269F"/>
    <w:rsid w:val="00A55881"/>
    <w:rsid w:val="00A7070C"/>
    <w:rsid w:val="00C0190D"/>
    <w:rsid w:val="00C54CC9"/>
    <w:rsid w:val="00C72C0A"/>
    <w:rsid w:val="00D1182D"/>
    <w:rsid w:val="00E34408"/>
    <w:rsid w:val="00E40FD1"/>
    <w:rsid w:val="00E82102"/>
    <w:rsid w:val="00F264D3"/>
    <w:rsid w:val="00F32323"/>
    <w:rsid w:val="00F8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新細明體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02"/>
    <w:rPr>
      <w:rFonts w:ascii="Times New Roman" w:eastAsia="新細明體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6510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F8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6510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F86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6510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新細明體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02"/>
    <w:rPr>
      <w:rFonts w:ascii="Times New Roman" w:eastAsia="新細明體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6510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F8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6510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F86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6510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ingLiU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PMingLiU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1152</Words>
  <Characters>6567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YUNG WAI CHAN</dc:creator>
  <cp:lastModifiedBy>localadmin</cp:lastModifiedBy>
  <cp:revision>2</cp:revision>
  <dcterms:created xsi:type="dcterms:W3CDTF">2018-06-29T02:43:00Z</dcterms:created>
  <dcterms:modified xsi:type="dcterms:W3CDTF">2018-06-29T02:43:00Z</dcterms:modified>
</cp:coreProperties>
</file>