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E" w:rsidRPr="0055588E" w:rsidRDefault="0055588E" w:rsidP="00AC2215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 w:eastAsia="it-IT"/>
        </w:rPr>
      </w:pPr>
      <w:r w:rsidRPr="005558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GB" w:eastAsia="it-IT"/>
        </w:rPr>
        <w:t>‘’Epidemiology and Infection’’</w:t>
      </w:r>
    </w:p>
    <w:p w:rsidR="0055588E" w:rsidRPr="0055588E" w:rsidRDefault="0055588E" w:rsidP="0055588E">
      <w:pPr>
        <w:spacing w:after="0" w:line="480" w:lineRule="auto"/>
        <w:jc w:val="both"/>
        <w:rPr>
          <w:rFonts w:ascii="Calibri" w:eastAsia="Calibri" w:hAnsi="Calibri" w:cs="Calibri"/>
          <w:color w:val="000000"/>
          <w:lang w:val="en-GB" w:eastAsia="it-IT"/>
        </w:rPr>
      </w:pPr>
      <w:r w:rsidRPr="0055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t>Pregnancy and neonatal outcomes among a cohort of HIV-infected women in a large Italian teaching hospital: a thirty-year retrospective study.</w:t>
      </w:r>
    </w:p>
    <w:p w:rsidR="0055588E" w:rsidRDefault="0055588E" w:rsidP="0055588E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 Grignolo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*, R. Agnello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2*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D. Gerbaldo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2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C. Gotta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3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C. Alicino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4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F. Del Puente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L. Taramasso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B. Bruzzone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5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C. Gustavino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2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S. Trasino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3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A. De Maria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G. Icardi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4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C. Viscoli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A. Di Biagio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 Genova HIV </w:t>
      </w:r>
      <w:proofErr w:type="spellStart"/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Neonatal</w:t>
      </w:r>
      <w:proofErr w:type="spellEnd"/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</w:t>
      </w:r>
      <w:proofErr w:type="spellStart"/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Pregnancy</w:t>
      </w:r>
      <w:proofErr w:type="spellEnd"/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Working</w:t>
      </w:r>
      <w:proofErr w:type="spellEnd"/>
      <w:r w:rsidRPr="00555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Group*.</w:t>
      </w:r>
    </w:p>
    <w:p w:rsidR="00AC2215" w:rsidRPr="00AC2215" w:rsidRDefault="00AC2215" w:rsidP="00AC2215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*Members of the Genova HIV Neonatal and Pregnancy Working Group are listed in the acknowledgment section</w:t>
      </w:r>
    </w:p>
    <w:p w:rsidR="00AC2215" w:rsidRPr="00AC2215" w:rsidRDefault="00AC2215" w:rsidP="00AC2215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it-IT"/>
        </w:rPr>
        <w:t>1</w:t>
      </w: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Infectious Diseases Unit, IRCCS AOU San Martino-IST, University of Genoa,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L.go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Rosanna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Benzi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10, 16132 Genoa, Italy.</w:t>
      </w: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it-IT"/>
        </w:rPr>
        <w:t xml:space="preserve"> </w:t>
      </w:r>
    </w:p>
    <w:p w:rsidR="00AC2215" w:rsidRPr="00AC2215" w:rsidRDefault="00AC2215" w:rsidP="00AC2215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it-IT"/>
        </w:rPr>
        <w:t xml:space="preserve">2 </w:t>
      </w: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Department of Obstetrics and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Gynecology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IRCCS AOU San Martino-IST, University of Genoa,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L.go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Rosanna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Benzi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10, 16132 Genoa, Italy.</w:t>
      </w:r>
    </w:p>
    <w:p w:rsidR="00AC2215" w:rsidRPr="00AC2215" w:rsidRDefault="00AC2215" w:rsidP="00AC2215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3</w:t>
      </w: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Neonatal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Unit, IRCCS AOU San Martino-IST,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L.go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Rosanna Benzi 10, 16132 Genoa,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Italy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C2215" w:rsidRPr="00AC2215" w:rsidRDefault="00AC2215" w:rsidP="00AC2215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it-IT"/>
        </w:rPr>
        <w:t xml:space="preserve">4 </w:t>
      </w: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Department of Health Sciences, University of Genoa, Via A.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Pastore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1 16132 , Genoa, Italy.</w:t>
      </w:r>
    </w:p>
    <w:p w:rsidR="00AC2215" w:rsidRPr="00AC2215" w:rsidRDefault="00AC2215" w:rsidP="00AC2215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5</w:t>
      </w: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Hygiene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Unit, IRCCS AOU San Martino-IST,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L.go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Rosanna Benzi 10, 16132 Genoa,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Italy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C2215" w:rsidRPr="00AC2215" w:rsidRDefault="00AC2215" w:rsidP="00AC2215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AC2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*SG and RA contributed equally in the paper.</w:t>
      </w:r>
    </w:p>
    <w:p w:rsidR="0055588E" w:rsidRPr="0055588E" w:rsidRDefault="0055588E" w:rsidP="0055588E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</w:pPr>
      <w:r w:rsidRPr="0055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t>Supplementary Material</w:t>
      </w:r>
    </w:p>
    <w:p w:rsidR="00F1755B" w:rsidRPr="00F1755B" w:rsidRDefault="0055588E" w:rsidP="00F1755B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 xml:space="preserve">Supplementary </w:t>
      </w:r>
      <w:r w:rsidR="007F1C9E">
        <w:rPr>
          <w:rFonts w:ascii="Times New Roman" w:eastAsia="Calibri" w:hAnsi="Times New Roman" w:cs="Times New Roman"/>
          <w:b/>
          <w:sz w:val="24"/>
          <w:lang w:val="en-US"/>
        </w:rPr>
        <w:t>Table</w:t>
      </w:r>
      <w:r w:rsidR="00F1755B" w:rsidRPr="00F1755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7F1C9E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="00F1755B">
        <w:rPr>
          <w:rFonts w:ascii="Times New Roman" w:eastAsia="Calibri" w:hAnsi="Times New Roman" w:cs="Times New Roman"/>
          <w:b/>
          <w:sz w:val="24"/>
          <w:lang w:val="en-US"/>
        </w:rPr>
        <w:t>1</w:t>
      </w:r>
      <w:r w:rsidR="00F1755B" w:rsidRPr="00F1755B">
        <w:rPr>
          <w:rFonts w:ascii="Times New Roman" w:eastAsia="Calibri" w:hAnsi="Times New Roman" w:cs="Times New Roman"/>
          <w:b/>
          <w:sz w:val="24"/>
          <w:lang w:val="en-US"/>
        </w:rPr>
        <w:t>. Demographic and clinical characteristics of HIV-infected pregnant women and neonatal outcome according to Ethnic group (excluding Asian women).</w:t>
      </w:r>
      <w:r w:rsidR="00F1755B" w:rsidRPr="00F1755B">
        <w:rPr>
          <w:rFonts w:ascii="Times New Roman" w:eastAsia="Calibri" w:hAnsi="Times New Roman" w:cs="Times New Roman"/>
          <w:b/>
          <w:sz w:val="24"/>
          <w:vertAlign w:val="superscript"/>
          <w:lang w:val="en-US"/>
        </w:rPr>
        <w:t>a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2598"/>
        <w:gridCol w:w="2787"/>
        <w:gridCol w:w="2411"/>
        <w:gridCol w:w="1416"/>
      </w:tblGrid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Caucasian (N=227)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n/N (%)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South-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american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(N=22)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n/N (%)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African (N=11)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n/N (%)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p-value</w:t>
            </w:r>
          </w:p>
        </w:tc>
      </w:tr>
      <w:tr w:rsidR="00F1755B" w:rsidRPr="00F1755B" w:rsidTr="00730EF8">
        <w:trPr>
          <w:trHeight w:val="285"/>
        </w:trPr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Median age (IQR)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28 (25-33)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7F28C9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7537">
              <w:rPr>
                <w:rFonts w:ascii="Times New Roman" w:eastAsia="Calibri" w:hAnsi="Times New Roman" w:cs="Times New Roman"/>
                <w:sz w:val="24"/>
                <w:lang w:val="en-US"/>
              </w:rPr>
              <w:t>36</w:t>
            </w:r>
            <w:bookmarkStart w:id="0" w:name="_GoBack"/>
            <w:bookmarkEnd w:id="0"/>
            <w:r w:rsidR="00F1755B"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(28-38)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31 (28-35)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0.02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Decade of birth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1985-1994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121/227 (53.3)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0/22 (0)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1995-2004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63/227 (27.8)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6/22 (27.3)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2/11 (18.2)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2005-2014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43/227 (18.9)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16/22 (72.7)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9/11 (81.8)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AC2215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HIV risk factors (mode of transmission)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Injecting drugs use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127/227 (55.9)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0/22 (0)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Heterosexual intercourse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71/227 (31.3)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21/22 (95.5)</w:t>
            </w:r>
          </w:p>
        </w:tc>
        <w:tc>
          <w:tcPr>
            <w:tcW w:w="879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6/11 (54.5)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MTCT 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3/227 (1.3)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0/22 (0)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0.8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Other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26/227 (11.5)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1/22 (4.5)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5/11 (45.5)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0.002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Co-infection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HCV co-infection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59/227 (26)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1/22 (4.5)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HBV co-infection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29/227 (12.8)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2/22 (9.1)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1/11 (9.1)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0.83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HBV and HCV co-infection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16/227 (7.1)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0/22 (0)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0.29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Smoke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52/227 (22.9)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0/22 (0)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1/11 (9.1)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0.03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Methadone or heroin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39/227 (17.2)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0/22 (0)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0.04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Timing of HIV diagnosis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0.54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Prior to pregnancy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136/227 (59.9)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16/22 (72.7)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8/11 (72.7)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During pregnancy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41/227 (18.1)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4/22 (18.2)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2/11 (18.2)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At/after delivery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50/227 (22)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2/22 (9.1)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1/11 (9.1)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ART at conception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11/227 (13.6)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9/22 (40.9)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4/11 (36.4)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ART prescription during pregnancy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103/227 (45.4)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19/22 (86.4)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9/11 (81.8)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&lt;0.001</w:t>
            </w:r>
          </w:p>
        </w:tc>
      </w:tr>
      <w:tr w:rsidR="00F1755B" w:rsidRPr="00F1755B" w:rsidTr="00730EF8">
        <w:trPr>
          <w:trHeight w:val="972"/>
        </w:trPr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 xml:space="preserve">   Monotherapy/dual therapy</w:t>
            </w:r>
          </w:p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cART</w:t>
            </w:r>
            <w:proofErr w:type="spellEnd"/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cART</w:t>
            </w:r>
            <w:proofErr w:type="spellEnd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 Protease inhibitor based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41/103 (39.8)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62/103 (60.2)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47/62 (75.8)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5/19 (26.3)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14/19 (73.7)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11/14 (78.6)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0/9 (0)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9/9 (100)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8/9 (88.9)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0.04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0.68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Mode of delivery (n =258)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&lt;0.001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Vaginal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125/226 (55.3)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2/22 (9.1)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0/10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Elective caesarian section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90/226 (39.8)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18/22 (81.8)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10/10 (100)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Emergency caesarian section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11/226 (4.9)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2/22 (9.1)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0/10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Antiretroviral prophylaxis </w:t>
            </w:r>
            <w:r w:rsidRPr="00F1755B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intrapartum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86 (37.9)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 (86.4)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 (90.9)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&lt;0.001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HIV-RNA load at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b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 xml:space="preserve"> 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 = 88)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0.007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Undetectable (≤ 50 </w:t>
            </w:r>
            <w:proofErr w:type="spellStart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cp</w:t>
            </w:r>
            <w:proofErr w:type="spellEnd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/ml)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36/65 (55.4)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13/15 (86.7)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8/8 (100)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Detectable (&gt;50cp/ml)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29/65 (44.6)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2/15 (13.3)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0/8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CD4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+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T-cell at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b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 xml:space="preserve"> 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 = 89)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0.7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&lt;200 cell/mm3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2/64 (3.1)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0/15 (0)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0/10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200-499 cell/mm3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22/64 (34.4)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3/15 (20)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3/10 (30)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≥500 cell/mm3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40/64 (62.5)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12/15 (80)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7/10 (70)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pregnancy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73/227 (32.2)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13/22 (59.1)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6/11 (54.5)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0.02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pregnancy interruption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92/227 (40.5)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6/22 (27.2)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1/11 (9.1)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0.06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spontaneous abortion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25/227 (11)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4/22 (18.2)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0.29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PROM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92/227 (40.5)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3/22 (13.6)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0.002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Preterm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c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22/227 (9.7)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2/22 (9.1)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1/11 (9.1)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0.99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Severe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SGA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48/227 (21.2)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5/22 (22.7)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1/11 (9.1)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0.61</w:t>
            </w:r>
          </w:p>
        </w:tc>
      </w:tr>
      <w:tr w:rsidR="00F1755B" w:rsidRPr="00F1755B" w:rsidTr="00730EF8">
        <w:tc>
          <w:tcPr>
            <w:tcW w:w="164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</w:pP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>Infant’s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 xml:space="preserve"> HIV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>infection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fr-FR"/>
              </w:rPr>
              <w:t>e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 xml:space="preserve"> (n = 261)</w:t>
            </w:r>
          </w:p>
        </w:tc>
        <w:tc>
          <w:tcPr>
            <w:tcW w:w="947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17/228 (7.5)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1/22 (4.5)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0/11 (0)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0.56</w:t>
            </w:r>
          </w:p>
        </w:tc>
      </w:tr>
    </w:tbl>
    <w:p w:rsidR="00F1755B" w:rsidRPr="00F1755B" w:rsidRDefault="00F1755B" w:rsidP="00F1755B">
      <w:pPr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IQR, interquartile range; MTCT, mother-to-child transmission; ART, antiretroviral therapy; </w:t>
      </w:r>
      <w:proofErr w:type="spellStart"/>
      <w:r w:rsidRPr="00F1755B">
        <w:rPr>
          <w:rFonts w:ascii="Times New Roman" w:eastAsia="Calibri" w:hAnsi="Times New Roman" w:cs="Times New Roman"/>
          <w:sz w:val="24"/>
          <w:lang w:val="en-US"/>
        </w:rPr>
        <w:t>cART</w:t>
      </w:r>
      <w:proofErr w:type="spellEnd"/>
      <w:r w:rsidRPr="00F1755B">
        <w:rPr>
          <w:rFonts w:ascii="Times New Roman" w:eastAsia="Calibri" w:hAnsi="Times New Roman" w:cs="Times New Roman"/>
          <w:sz w:val="24"/>
          <w:lang w:val="en-US"/>
        </w:rPr>
        <w:t>, combined antiretroviral therapy; PROM, premature rupture of membrane; SEVERE SGA, small for gestational age.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a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Percentages exclude unknown/missing results. 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b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Measurement closest to delivery.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lastRenderedPageBreak/>
        <w:t>c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Delivery was defined as preterm when it occurred before 37</w:t>
      </w: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th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gestational week. 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d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Severe small for gestational age birth was defined when newborn birth weight was lower than the 3</w:t>
      </w: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rd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percentile for the gestational age.</w:t>
      </w:r>
    </w:p>
    <w:p w:rsidR="00F1755B" w:rsidRPr="00F1755B" w:rsidRDefault="00F1755B" w:rsidP="00F1755B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e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In the first decade, there were three deaths in newborns after delivery and one twin pregnancy. One twin pregnancy was in the second and two were in the third decade.</w:t>
      </w:r>
      <w:r w:rsidRPr="00F1755B">
        <w:rPr>
          <w:rFonts w:ascii="Times New Roman" w:eastAsia="Calibri" w:hAnsi="Times New Roman" w:cs="Times New Roman"/>
          <w:sz w:val="24"/>
          <w:lang w:val="en-US"/>
        </w:rPr>
        <w:br w:type="page"/>
      </w:r>
    </w:p>
    <w:p w:rsidR="00F1755B" w:rsidRPr="00F1755B" w:rsidRDefault="0055588E" w:rsidP="00F1755B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55588E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 xml:space="preserve">Supplementary </w:t>
      </w:r>
      <w:r w:rsidR="007F1C9E">
        <w:rPr>
          <w:rFonts w:ascii="Times New Roman" w:eastAsia="Calibri" w:hAnsi="Times New Roman" w:cs="Times New Roman"/>
          <w:b/>
          <w:sz w:val="24"/>
          <w:lang w:val="en-US"/>
        </w:rPr>
        <w:t>T</w:t>
      </w:r>
      <w:r w:rsidR="00F1755B">
        <w:rPr>
          <w:rFonts w:ascii="Times New Roman" w:eastAsia="Calibri" w:hAnsi="Times New Roman" w:cs="Times New Roman"/>
          <w:b/>
          <w:sz w:val="24"/>
          <w:lang w:val="en-US"/>
        </w:rPr>
        <w:t xml:space="preserve">able </w:t>
      </w:r>
      <w:r w:rsidR="007F1C9E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="00F1755B">
        <w:rPr>
          <w:rFonts w:ascii="Times New Roman" w:eastAsia="Calibri" w:hAnsi="Times New Roman" w:cs="Times New Roman"/>
          <w:b/>
          <w:sz w:val="24"/>
          <w:lang w:val="en-US"/>
        </w:rPr>
        <w:t>2</w:t>
      </w:r>
      <w:r w:rsidR="00F1755B" w:rsidRPr="00F1755B">
        <w:rPr>
          <w:rFonts w:ascii="Times New Roman" w:eastAsia="Calibri" w:hAnsi="Times New Roman" w:cs="Times New Roman"/>
          <w:b/>
          <w:sz w:val="24"/>
          <w:lang w:val="en-US"/>
        </w:rPr>
        <w:t xml:space="preserve">. Demographic and clinical characteristics of HIV-infected pregnant women and neonatal outcome according to use of methadone or heroin during </w:t>
      </w:r>
      <w:proofErr w:type="spellStart"/>
      <w:r w:rsidR="00F1755B" w:rsidRPr="00F1755B">
        <w:rPr>
          <w:rFonts w:ascii="Times New Roman" w:eastAsia="Calibri" w:hAnsi="Times New Roman" w:cs="Times New Roman"/>
          <w:b/>
          <w:sz w:val="24"/>
          <w:lang w:val="en-US"/>
        </w:rPr>
        <w:t>pregnancy.</w:t>
      </w:r>
      <w:r w:rsidR="00F1755B" w:rsidRPr="00F1755B">
        <w:rPr>
          <w:rFonts w:ascii="Times New Roman" w:eastAsia="Calibri" w:hAnsi="Times New Roman" w:cs="Times New Roman"/>
          <w:b/>
          <w:sz w:val="24"/>
          <w:vertAlign w:val="superscript"/>
          <w:lang w:val="en-US"/>
        </w:rPr>
        <w:t>a</w:t>
      </w:r>
      <w:proofErr w:type="spellEnd"/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039"/>
        <w:gridCol w:w="4039"/>
        <w:gridCol w:w="1699"/>
      </w:tblGrid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Methadone or heroin users 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(N=39)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n/N (%)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Methadone or heroin not users (N=223)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n/N (%)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p-value</w:t>
            </w:r>
          </w:p>
        </w:tc>
      </w:tr>
      <w:tr w:rsidR="00F1755B" w:rsidRPr="00F1755B" w:rsidTr="00730EF8">
        <w:trPr>
          <w:trHeight w:val="285"/>
        </w:trPr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Median age (IQR)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28 (26 – 35)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29 (25 – 34)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0.74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Decade of birth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0.009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1985-1994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25/39 (64.1)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96/223 (43.1)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1995-2004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11/39 (28.2)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60/223 (26.9)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2005-2014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3/39 (7.7)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67/223 (30)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Ethnic group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0.008</w:t>
            </w:r>
          </w:p>
        </w:tc>
      </w:tr>
      <w:tr w:rsidR="00F1755B" w:rsidRPr="00F1755B" w:rsidTr="00730EF8">
        <w:trPr>
          <w:trHeight w:val="292"/>
        </w:trPr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Caucasian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39/39 (100)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188/223 (84.3)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Not Caucasian</w:t>
            </w:r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South-</w:t>
            </w:r>
            <w:proofErr w:type="spellStart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american</w:t>
            </w:r>
            <w:proofErr w:type="spellEnd"/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African</w:t>
            </w:r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Asian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0/39 (0)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-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-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-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35/223 (15.7)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22/35 (62.9)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11/35 (31.4)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2/35 (5.7)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AC2215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HIV risk factors (mode of transmission)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Injecting drugs use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37/39 (94.9)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90/223 (40.4)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Heterosexual intercourse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1/39 (2.6)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98/223 (43.9)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MTCT 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0/39 (0)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3/223 (1.4)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&gt; 0.99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Other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1/39 (2.6)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32/223 (14.4)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0.04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Co-infection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HCV co-infection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19/39 (48.7)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41/223 (18.4)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HBV co-infection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11/39 (28.2)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21/223 (9.4)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HBV and HCV co-infection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8/39 (20.5)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8/223 (3.6)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Smoke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14/39 (35.9)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39/223 (17.5)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0.02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Timing of HIV diagnosis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0.39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 xml:space="preserve">   Prior to pregnancy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25/39 (64.1)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136/223 (61)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During pregnancy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9/39 (23.1)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39/223 (17.5)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At/after delivery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5/39 (18.2)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48/223 (21.5)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ART at conception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0/39 (0)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45/223 (20.2)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0.002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ART prescription during pregnancy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12/39 (30.8)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120/223 (53.8)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0.008</w:t>
            </w:r>
          </w:p>
        </w:tc>
      </w:tr>
      <w:tr w:rsidR="00F1755B" w:rsidRPr="00F1755B" w:rsidTr="00730EF8">
        <w:trPr>
          <w:trHeight w:val="972"/>
        </w:trPr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Monotherapy/dual therapy</w:t>
            </w:r>
          </w:p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cART</w:t>
            </w:r>
            <w:proofErr w:type="spellEnd"/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cART</w:t>
            </w:r>
            <w:proofErr w:type="spellEnd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 Protease inhibitor based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5/12 (41.7)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7/12 (58.3)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3/5 (42.9)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41/120 (34.2)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79/120 (65.8)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64/79 (81)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0.6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0.26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Mode of 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*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(n = 260)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Vaginal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24/39 (61.5)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103/221 (46.6)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Elective caesarian section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12/39 (30.8)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108/221 (48.9)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Emergency caesarian section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3/39 (7.7)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10/221 (4.5)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Antiretroviral prophylaxis </w:t>
            </w:r>
            <w:r w:rsidRPr="00F1755B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intrapartum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12/39 (30.8)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105/223 (47.1)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0.06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HIV-RNA load at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b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 = 90)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Undetectable (≤ 50 </w:t>
            </w:r>
            <w:proofErr w:type="spellStart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cp</w:t>
            </w:r>
            <w:proofErr w:type="spellEnd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/ml)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1/8 (12.5)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57/82 (69.5)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Detectable (&gt;50cp/ml)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7/8 (87.5)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25/82 (30.5)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CD4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+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T-cell at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b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 = 91)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0.06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&lt;200 cell/mm3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0/7 (0)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3/84 (3.6)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200-499 cell/mm3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5/7 (71.4)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24/84 (28.6)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≥500 cell/mm3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2/7 (28.6)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57/84 (67.9)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pregnancy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14/39 (35.9)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79/223 (35.4)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0.95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pregnancy interruption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15/39 (38.5)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84/223 (37.7)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0.92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spontaneous abortion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5/39 (12.8)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24/223 (10.8)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0.71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PROM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19/39 (48.7)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76/223 (34.1)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0.08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Preterm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c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5/39 (12.8)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20/223 (9)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0.45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Severe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SGA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17/39 (43.6)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38/223 (17)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611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fr-FR"/>
              </w:rPr>
            </w:pP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>Infant’s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 xml:space="preserve"> HIV infection (n = 263)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fr-FR"/>
              </w:rPr>
              <w:t>e</w:t>
            </w:r>
          </w:p>
        </w:tc>
        <w:tc>
          <w:tcPr>
            <w:tcW w:w="1400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3/39 (7.7)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15/224 (6.7)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0.83</w:t>
            </w:r>
          </w:p>
        </w:tc>
      </w:tr>
    </w:tbl>
    <w:p w:rsidR="00F1755B" w:rsidRPr="00F1755B" w:rsidRDefault="00F1755B" w:rsidP="00F1755B">
      <w:pPr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lang w:val="en-US"/>
        </w:rPr>
        <w:lastRenderedPageBreak/>
        <w:t xml:space="preserve">IQR, interquartile range; MTCT, mother-to-child transmission; ART, antiretroviral therapy; </w:t>
      </w:r>
      <w:proofErr w:type="spellStart"/>
      <w:r w:rsidRPr="00F1755B">
        <w:rPr>
          <w:rFonts w:ascii="Times New Roman" w:eastAsia="Calibri" w:hAnsi="Times New Roman" w:cs="Times New Roman"/>
          <w:sz w:val="24"/>
          <w:lang w:val="en-US"/>
        </w:rPr>
        <w:t>cART</w:t>
      </w:r>
      <w:proofErr w:type="spellEnd"/>
      <w:r w:rsidRPr="00F1755B">
        <w:rPr>
          <w:rFonts w:ascii="Times New Roman" w:eastAsia="Calibri" w:hAnsi="Times New Roman" w:cs="Times New Roman"/>
          <w:sz w:val="24"/>
          <w:lang w:val="en-US"/>
        </w:rPr>
        <w:t>, combined antiretroviral therapy; PROM, premature rupture of membrane; SEVERE SGA, small for gestational age.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a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Percentages exclude unknown/missing results. 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b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Measurement closest to delivery.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c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Delivery was defined as preterm when it occurred before 37</w:t>
      </w: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th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gestational week. 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d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Severe small for gestational age birth was defined when newborn birth weight was lower than the 3</w:t>
      </w: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rd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percentile for the gestational age.</w:t>
      </w:r>
    </w:p>
    <w:p w:rsidR="00F1755B" w:rsidRPr="00F1755B" w:rsidRDefault="00F1755B" w:rsidP="00F1755B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e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In the first decade, there were three deaths in newborns after delivery and one twin pregnancy. One twin pregnancy was in the second and two were in the third decade.</w:t>
      </w:r>
      <w:r w:rsidRPr="00F1755B">
        <w:rPr>
          <w:rFonts w:ascii="Times New Roman" w:eastAsia="Calibri" w:hAnsi="Times New Roman" w:cs="Times New Roman"/>
          <w:sz w:val="24"/>
          <w:lang w:val="en-US"/>
        </w:rPr>
        <w:br w:type="page"/>
      </w:r>
    </w:p>
    <w:p w:rsidR="00F1755B" w:rsidRPr="00F1755B" w:rsidRDefault="0055588E" w:rsidP="00F1755B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55588E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 xml:space="preserve">Supplementary </w:t>
      </w:r>
      <w:r w:rsidR="007F1C9E">
        <w:rPr>
          <w:rFonts w:ascii="Times New Roman" w:eastAsia="Calibri" w:hAnsi="Times New Roman" w:cs="Times New Roman"/>
          <w:b/>
          <w:sz w:val="24"/>
          <w:lang w:val="en-US"/>
        </w:rPr>
        <w:t>T</w:t>
      </w:r>
      <w:r w:rsidR="00F1755B" w:rsidRPr="00F1755B">
        <w:rPr>
          <w:rFonts w:ascii="Times New Roman" w:eastAsia="Calibri" w:hAnsi="Times New Roman" w:cs="Times New Roman"/>
          <w:b/>
          <w:sz w:val="24"/>
          <w:lang w:val="en-US"/>
        </w:rPr>
        <w:t xml:space="preserve">able </w:t>
      </w:r>
      <w:r w:rsidR="007F1C9E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="00F1755B">
        <w:rPr>
          <w:rFonts w:ascii="Times New Roman" w:eastAsia="Calibri" w:hAnsi="Times New Roman" w:cs="Times New Roman"/>
          <w:b/>
          <w:sz w:val="24"/>
          <w:lang w:val="en-US"/>
        </w:rPr>
        <w:t>3</w:t>
      </w:r>
      <w:r w:rsidR="00F1755B" w:rsidRPr="00F1755B">
        <w:rPr>
          <w:rFonts w:ascii="Times New Roman" w:eastAsia="Calibri" w:hAnsi="Times New Roman" w:cs="Times New Roman"/>
          <w:b/>
          <w:sz w:val="24"/>
          <w:lang w:val="en-US"/>
        </w:rPr>
        <w:t xml:space="preserve">. Demographic and clinical characteristics of HIV-infected pregnant women and neonatal outcome according vaginal delivery or elective caesarian </w:t>
      </w:r>
      <w:proofErr w:type="spellStart"/>
      <w:r w:rsidR="00F1755B" w:rsidRPr="00F1755B">
        <w:rPr>
          <w:rFonts w:ascii="Times New Roman" w:eastAsia="Calibri" w:hAnsi="Times New Roman" w:cs="Times New Roman"/>
          <w:b/>
          <w:sz w:val="24"/>
          <w:lang w:val="en-US"/>
        </w:rPr>
        <w:t>section.</w:t>
      </w:r>
      <w:r w:rsidR="00F1755B" w:rsidRPr="00F1755B">
        <w:rPr>
          <w:rFonts w:ascii="Times New Roman" w:eastAsia="Calibri" w:hAnsi="Times New Roman" w:cs="Times New Roman"/>
          <w:b/>
          <w:sz w:val="24"/>
          <w:vertAlign w:val="superscript"/>
          <w:lang w:val="en-US"/>
        </w:rPr>
        <w:t>a</w:t>
      </w:r>
      <w:proofErr w:type="spellEnd"/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073"/>
        <w:gridCol w:w="3543"/>
        <w:gridCol w:w="2409"/>
      </w:tblGrid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Vaginal delivery 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(n=127)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Elective caesarian section (n=120)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p-value</w:t>
            </w:r>
          </w:p>
        </w:tc>
      </w:tr>
      <w:tr w:rsidR="00F1755B" w:rsidRPr="00F1755B" w:rsidTr="00730EF8">
        <w:trPr>
          <w:trHeight w:val="285"/>
        </w:trPr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Median age (IQR)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26 (23 – 29)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32 (28 – 36)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Decade of birth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1985-1994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107/127 (84.2)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11/120 (9.2)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1995-2004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20/127 (15.8)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44/120 (36.7)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2005-2014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0/127 (0)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65/120 (54.2)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Ethnic group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rPr>
          <w:trHeight w:val="292"/>
        </w:trPr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Caucasian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125/127 (98.4)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90/120 (75)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rPr>
          <w:trHeight w:val="292"/>
        </w:trPr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Not Caucasian</w:t>
            </w:r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South-</w:t>
            </w:r>
            <w:proofErr w:type="spellStart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american</w:t>
            </w:r>
            <w:proofErr w:type="spellEnd"/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African</w:t>
            </w:r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Asian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2/127 (1.6)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2/2 (100)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0/2 (0)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0/2 (0)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30/120 (25)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18/30 (60)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10/30 (33.3)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2/30 (6.7)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AC2215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HIV risk factors (mode of transmission)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Injecting drugs use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89/127 (70.1)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32/120 (26.7)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Heterosexual intercourse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29/127 (22.8)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64/120 (53.3)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MTCT 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0/127 (0)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3/120 (2.5)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0.07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Other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9/127 (7.1)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21/120 (17.5)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Co-infection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HCV co-infection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27/127 (21.3)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27/120 (22.5)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0.81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HBV co-infection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17/127 (13.4)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12/120 (10)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0.41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HBV and HCV co-infection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6/127 (4.7)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8/120 (6.7)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0.51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Smoke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27/127 (21.6)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25/120 (20.8)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0.93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Methadone or heroin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24/127 (18.9)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12/120 (10)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0.05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Timing of HIV diagnosis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 xml:space="preserve">   Prior to pregnancy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58/127 (45.7)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91/120 (75.8)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During pregnancy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30/127 (23.6)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17/120 (14.2)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At/after delivery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39/127 (30.7)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12/120 (10)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ART at conception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0/127 (0)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42/120 (35)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ART prescription during pregnancy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25/127 (19.7)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99/120 (82.5)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rPr>
          <w:trHeight w:val="972"/>
        </w:trPr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Monotherapy/dual therapy</w:t>
            </w:r>
          </w:p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cART</w:t>
            </w:r>
            <w:proofErr w:type="spellEnd"/>
          </w:p>
          <w:p w:rsidR="00F1755B" w:rsidRPr="00F1755B" w:rsidRDefault="00F1755B" w:rsidP="00F1755B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cART</w:t>
            </w:r>
            <w:proofErr w:type="spellEnd"/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 Protease inhibitor based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25/25 (0)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0/25 (0)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0/0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18/99 (18.2) 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81/99 (81.8)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65/81 (80.2)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NA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Antiretroviral prophylaxis </w:t>
            </w:r>
            <w:r w:rsidRPr="00F1755B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intrapartum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4/127 (3.2)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103/120 (85.8)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HIV-RNA load at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b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 = 85)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0.35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Undetectable (≤ 50 </w:t>
            </w:r>
            <w:proofErr w:type="spellStart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cp</w:t>
            </w:r>
            <w:proofErr w:type="spellEnd"/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/ml)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 (0)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55/84 (65.5)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 Detectable (&gt;50cp/ml)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 (100)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29/84 (34.5)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CD4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+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T-cell at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b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(n = 87)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0.003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&lt;200 cell/mm3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1/11 (9.1)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2/76 (2.6)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200-499 cell/mm3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8/11 (72.7)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20/75 (26.3)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sz w:val="24"/>
                <w:highlight w:val="green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≥500 cell/mm3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2/11 (18.2)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54/76 (71.1)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pregnancy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34/127 (26.7)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54/120 (45)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0.003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pregnancy interruption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54/127 (42.5)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38/120 (31.7)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0.08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Previous spontaneous abortion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14/127 (11)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14/120 (11.7)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0.87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PROM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87/127 (68.5)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0/120 (0)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&lt; 0.001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Preterm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delivery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c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6/127 (4.7)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13/120 (10.8)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0.07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Severe </w:t>
            </w: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SGA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27/127 (21.7)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24/120 (20)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0.81</w:t>
            </w:r>
          </w:p>
        </w:tc>
      </w:tr>
      <w:tr w:rsidR="00F1755B" w:rsidRPr="00F1755B" w:rsidTr="00730EF8">
        <w:tc>
          <w:tcPr>
            <w:tcW w:w="1872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fr-FR"/>
              </w:rPr>
            </w:pPr>
            <w:proofErr w:type="spellStart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>Infant’s</w:t>
            </w:r>
            <w:proofErr w:type="spellEnd"/>
            <w:r w:rsidRPr="00F1755B">
              <w:rPr>
                <w:rFonts w:ascii="Times New Roman" w:eastAsia="Calibri" w:hAnsi="Times New Roman" w:cs="Times New Roman"/>
                <w:b/>
                <w:sz w:val="24"/>
                <w:lang w:val="fr-FR"/>
              </w:rPr>
              <w:t xml:space="preserve"> HIV infection (n = 247)</w:t>
            </w:r>
            <w:r w:rsidRPr="00F1755B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val="fr-FR"/>
              </w:rPr>
              <w:t>e</w:t>
            </w:r>
          </w:p>
        </w:tc>
        <w:tc>
          <w:tcPr>
            <w:tcW w:w="1065" w:type="pct"/>
            <w:shd w:val="clear" w:color="auto" w:fill="auto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12/125 (9.6)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5/122 (4.1)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1755B" w:rsidRPr="00F1755B" w:rsidRDefault="00F1755B" w:rsidP="00F175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1755B">
              <w:rPr>
                <w:rFonts w:ascii="Times New Roman" w:eastAsia="Calibri" w:hAnsi="Times New Roman" w:cs="Times New Roman"/>
                <w:sz w:val="24"/>
                <w:lang w:val="en-US"/>
              </w:rPr>
              <w:t>0.1</w:t>
            </w:r>
          </w:p>
        </w:tc>
      </w:tr>
    </w:tbl>
    <w:p w:rsidR="00F1755B" w:rsidRPr="00F1755B" w:rsidRDefault="00F1755B" w:rsidP="00F1755B">
      <w:pPr>
        <w:spacing w:before="240"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IQR, interquartile range; MTCT, mother-to-child transmission; ART, antiretroviral therapy; </w:t>
      </w:r>
      <w:proofErr w:type="spellStart"/>
      <w:r w:rsidRPr="00F1755B">
        <w:rPr>
          <w:rFonts w:ascii="Times New Roman" w:eastAsia="Calibri" w:hAnsi="Times New Roman" w:cs="Times New Roman"/>
          <w:sz w:val="24"/>
          <w:lang w:val="en-US"/>
        </w:rPr>
        <w:t>cART</w:t>
      </w:r>
      <w:proofErr w:type="spellEnd"/>
      <w:r w:rsidRPr="00F1755B">
        <w:rPr>
          <w:rFonts w:ascii="Times New Roman" w:eastAsia="Calibri" w:hAnsi="Times New Roman" w:cs="Times New Roman"/>
          <w:sz w:val="24"/>
          <w:lang w:val="en-US"/>
        </w:rPr>
        <w:t>, combined antiretroviral therapy; PROM, premature rupture of membrane; SEVERE SGA, small for gestational age.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a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Percentages exclude unknown/missing results. 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lastRenderedPageBreak/>
        <w:t xml:space="preserve">b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Measurement closest to delivery.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c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Delivery was defined as preterm when it occurred before 37</w:t>
      </w: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>th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 gestational week. </w:t>
      </w:r>
    </w:p>
    <w:p w:rsidR="00F1755B" w:rsidRPr="00F1755B" w:rsidRDefault="00F1755B" w:rsidP="00F175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d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 xml:space="preserve">Severe small for gestational age birth was defined when newborn birth weight was lower than the 3rd percentile for the gestational age. </w:t>
      </w:r>
    </w:p>
    <w:p w:rsidR="009B26EC" w:rsidRPr="00F1755B" w:rsidRDefault="00F1755B" w:rsidP="00F1755B">
      <w:pPr>
        <w:rPr>
          <w:lang w:val="en-US"/>
        </w:rPr>
      </w:pPr>
      <w:r w:rsidRPr="00F1755B">
        <w:rPr>
          <w:rFonts w:ascii="Times New Roman" w:eastAsia="Calibri" w:hAnsi="Times New Roman" w:cs="Times New Roman"/>
          <w:sz w:val="24"/>
          <w:vertAlign w:val="superscript"/>
          <w:lang w:val="en-US"/>
        </w:rPr>
        <w:t xml:space="preserve">e </w:t>
      </w:r>
      <w:r w:rsidRPr="00F1755B">
        <w:rPr>
          <w:rFonts w:ascii="Times New Roman" w:eastAsia="Calibri" w:hAnsi="Times New Roman" w:cs="Times New Roman"/>
          <w:sz w:val="24"/>
          <w:lang w:val="en-US"/>
        </w:rPr>
        <w:t>In the first decade, there were three deaths in newborns after delivery and one twin pregnancy. One twin pregnancy was in the second and two were in the third decade.</w:t>
      </w:r>
    </w:p>
    <w:sectPr w:rsidR="009B26EC" w:rsidRPr="00F1755B" w:rsidSect="00D37537">
      <w:pgSz w:w="16838" w:h="11906" w:orient="landscape"/>
      <w:pgMar w:top="1134" w:right="1134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5EE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1B3AB7"/>
    <w:multiLevelType w:val="hybridMultilevel"/>
    <w:tmpl w:val="74009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5B"/>
    <w:rsid w:val="00146C79"/>
    <w:rsid w:val="00334945"/>
    <w:rsid w:val="0055588E"/>
    <w:rsid w:val="00730EF8"/>
    <w:rsid w:val="007B723D"/>
    <w:rsid w:val="007F1C9E"/>
    <w:rsid w:val="007F28C9"/>
    <w:rsid w:val="009B26EC"/>
    <w:rsid w:val="00AC2215"/>
    <w:rsid w:val="00D37537"/>
    <w:rsid w:val="00E32247"/>
    <w:rsid w:val="00F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75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755B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F1755B"/>
  </w:style>
  <w:style w:type="table" w:styleId="Grigliatabella">
    <w:name w:val="Table Grid"/>
    <w:basedOn w:val="Tabellanormale"/>
    <w:uiPriority w:val="59"/>
    <w:rsid w:val="00F17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175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55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55B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5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55B"/>
    <w:rPr>
      <w:rFonts w:ascii="Tahoma" w:eastAsia="Calibri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5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55B"/>
    <w:rPr>
      <w:rFonts w:ascii="Calibri" w:eastAsia="Calibri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F1755B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1755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1755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55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755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55B"/>
    <w:rPr>
      <w:rFonts w:ascii="Calibri" w:eastAsia="Calibri" w:hAnsi="Calibri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755B"/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755B"/>
    <w:rPr>
      <w:rFonts w:ascii="Courier New" w:eastAsia="Calibri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1755B"/>
    <w:rPr>
      <w:rFonts w:ascii="Times New Roman" w:eastAsia="Calibri" w:hAnsi="Times New Roman" w:cs="Times New Roman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1755B"/>
  </w:style>
  <w:style w:type="table" w:customStyle="1" w:styleId="Grigliatabella1">
    <w:name w:val="Griglia tabella1"/>
    <w:basedOn w:val="Tabellanormale"/>
    <w:next w:val="Grigliatabella"/>
    <w:uiPriority w:val="59"/>
    <w:rsid w:val="00F17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uiPriority w:val="99"/>
    <w:semiHidden/>
    <w:unhideWhenUsed/>
    <w:rsid w:val="00F1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75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755B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F1755B"/>
  </w:style>
  <w:style w:type="table" w:styleId="Grigliatabella">
    <w:name w:val="Table Grid"/>
    <w:basedOn w:val="Tabellanormale"/>
    <w:uiPriority w:val="59"/>
    <w:rsid w:val="00F17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175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55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55B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5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55B"/>
    <w:rPr>
      <w:rFonts w:ascii="Tahoma" w:eastAsia="Calibri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5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55B"/>
    <w:rPr>
      <w:rFonts w:ascii="Calibri" w:eastAsia="Calibri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F1755B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1755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1755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55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755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55B"/>
    <w:rPr>
      <w:rFonts w:ascii="Calibri" w:eastAsia="Calibri" w:hAnsi="Calibri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755B"/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755B"/>
    <w:rPr>
      <w:rFonts w:ascii="Courier New" w:eastAsia="Calibri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1755B"/>
    <w:rPr>
      <w:rFonts w:ascii="Times New Roman" w:eastAsia="Calibri" w:hAnsi="Times New Roman" w:cs="Times New Roman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1755B"/>
  </w:style>
  <w:style w:type="table" w:customStyle="1" w:styleId="Grigliatabella1">
    <w:name w:val="Griglia tabella1"/>
    <w:basedOn w:val="Tabellanormale"/>
    <w:next w:val="Grigliatabella"/>
    <w:uiPriority w:val="59"/>
    <w:rsid w:val="00F17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uiPriority w:val="99"/>
    <w:semiHidden/>
    <w:unhideWhenUsed/>
    <w:rsid w:val="00F1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8</cp:revision>
  <dcterms:created xsi:type="dcterms:W3CDTF">2016-12-29T18:17:00Z</dcterms:created>
  <dcterms:modified xsi:type="dcterms:W3CDTF">2017-01-03T21:47:00Z</dcterms:modified>
</cp:coreProperties>
</file>