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7" w:rsidRDefault="00562BF7" w:rsidP="00562BF7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SUPPLEMENTARY MATERIAL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</w:p>
    <w:p w:rsidR="00562BF7" w:rsidRDefault="00562BF7" w:rsidP="00562BF7">
      <w:pPr>
        <w:spacing w:line="360" w:lineRule="auto"/>
        <w:jc w:val="both"/>
        <w:rPr>
          <w:b/>
          <w:caps/>
          <w:lang w:val="en-US"/>
        </w:rPr>
      </w:pPr>
      <w:r>
        <w:rPr>
          <w:b/>
          <w:caps/>
          <w:lang w:val="en-US"/>
        </w:rPr>
        <w:t>Appendix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The model. </w:t>
      </w:r>
      <w:r>
        <w:rPr>
          <w:lang w:val="en-US"/>
        </w:rPr>
        <w:t xml:space="preserve">The model is described by the following equations: 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r>
        <w:rPr>
          <w:lang w:val="en-US"/>
        </w:rPr>
        <w:object w:dxaOrig="8580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75pt;height:250.05pt" o:ole="">
            <v:imagedata r:id="rId5" o:title=""/>
          </v:shape>
          <o:OLEObject Type="Embed" ProgID="Equation.3" ShapeID="_x0000_i1025" DrawAspect="Content" ObjectID="_1472533651" r:id="rId6"/>
        </w:objec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r>
        <w:rPr>
          <w:position w:val="-12"/>
          <w:lang w:val="en-US"/>
        </w:rPr>
        <w:object w:dxaOrig="360" w:dyaOrig="360">
          <v:shape id="_x0000_i1026" type="#_x0000_t75" style="width:18.35pt;height:18.35pt" o:ole="">
            <v:imagedata r:id="rId7" o:title=""/>
          </v:shape>
          <o:OLEObject Type="Embed" ProgID="Equation.3" ShapeID="_x0000_i1026" DrawAspect="Content" ObjectID="_1472533652" r:id="rId8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number of uninfected individuals in sexual risk group </w:t>
      </w:r>
      <w:r>
        <w:rPr>
          <w:position w:val="-10"/>
          <w:lang w:val="en-US"/>
        </w:rPr>
        <w:object w:dxaOrig="1035" w:dyaOrig="315">
          <v:shape id="_x0000_i1027" type="#_x0000_t75" style="width:51.7pt;height:15.7pt" o:ole="">
            <v:imagedata r:id="rId9" o:title=""/>
          </v:shape>
          <o:OLEObject Type="Embed" ProgID="Equation.3" ShapeID="_x0000_i1027" DrawAspect="Content" ObjectID="_1472533653" r:id="rId10"/>
        </w:object>
      </w:r>
      <w:r>
        <w:rPr>
          <w:lang w:val="en-US"/>
        </w:rPr>
        <w:t xml:space="preserve"> and </w:t>
      </w:r>
      <w:r>
        <w:rPr>
          <w:position w:val="-12"/>
          <w:lang w:val="en-US"/>
        </w:rPr>
        <w:object w:dxaOrig="300" w:dyaOrig="360">
          <v:shape id="_x0000_i1028" type="#_x0000_t75" style="width:15.05pt;height:18.35pt" o:ole="">
            <v:imagedata r:id="rId11" o:title=""/>
          </v:shape>
          <o:OLEObject Type="Embed" ProgID="Equation.3" ShapeID="_x0000_i1028" DrawAspect="Content" ObjectID="_1472533654" r:id="rId12"/>
        </w:object>
      </w:r>
      <w:r>
        <w:rPr>
          <w:lang w:val="en-US"/>
        </w:rPr>
        <w:t xml:space="preserve"> is the number of individuals infected with NG strain </w:t>
      </w:r>
      <w:r>
        <w:rPr>
          <w:position w:val="-10"/>
          <w:lang w:val="en-US"/>
        </w:rPr>
        <w:object w:dxaOrig="1680" w:dyaOrig="315">
          <v:shape id="_x0000_i1029" type="#_x0000_t75" style="width:84.45pt;height:15.7pt" o:ole="">
            <v:imagedata r:id="rId13" o:title=""/>
          </v:shape>
          <o:OLEObject Type="Embed" ProgID="Equation.3" ShapeID="_x0000_i1029" DrawAspect="Content" ObjectID="_1472533655" r:id="rId14"/>
        </w:object>
      </w:r>
      <w:r>
        <w:rPr>
          <w:lang w:val="en-US"/>
        </w:rPr>
        <w:t xml:space="preserve"> in sexual risk group </w:t>
      </w:r>
      <w:r>
        <w:rPr>
          <w:position w:val="-10"/>
          <w:lang w:val="en-US"/>
        </w:rPr>
        <w:object w:dxaOrig="1035" w:dyaOrig="315">
          <v:shape id="_x0000_i1030" type="#_x0000_t75" style="width:51.7pt;height:15.7pt" o:ole="">
            <v:imagedata r:id="rId15" o:title=""/>
          </v:shape>
          <o:OLEObject Type="Embed" ProgID="Equation.3" ShapeID="_x0000_i1030" DrawAspect="Content" ObjectID="_1472533656" r:id="rId16"/>
        </w:object>
      </w:r>
      <w:r>
        <w:rPr>
          <w:lang w:val="en-US"/>
        </w:rPr>
        <w:t xml:space="preserve">. The symbols for the different NG strains are as follows: </w:t>
      </w:r>
      <w:r>
        <w:rPr>
          <w:position w:val="-6"/>
          <w:lang w:val="en-US"/>
        </w:rPr>
        <w:object w:dxaOrig="180" w:dyaOrig="225">
          <v:shape id="_x0000_i1031" type="#_x0000_t75" style="width:9.15pt;height:11.15pt" o:ole="">
            <v:imagedata r:id="rId17" o:title=""/>
          </v:shape>
          <o:OLEObject Type="Embed" ProgID="Equation.3" ShapeID="_x0000_i1031" DrawAspect="Content" ObjectID="_1472533657" r:id="rId18"/>
        </w:object>
      </w:r>
      <w:r>
        <w:rPr>
          <w:lang w:val="en-US"/>
        </w:rPr>
        <w:t xml:space="preserve">, strain sensitive to antibiotics A, B, C; </w:t>
      </w:r>
      <w:r>
        <w:rPr>
          <w:position w:val="-6"/>
          <w:lang w:val="en-US"/>
        </w:rPr>
        <w:object w:dxaOrig="195" w:dyaOrig="225">
          <v:shape id="_x0000_i1032" type="#_x0000_t75" style="width:9.8pt;height:11.15pt" o:ole="">
            <v:imagedata r:id="rId19" o:title=""/>
          </v:shape>
          <o:OLEObject Type="Embed" ProgID="Equation.3" ShapeID="_x0000_i1032" DrawAspect="Content" ObjectID="_1472533658" r:id="rId20"/>
        </w:object>
      </w:r>
      <w:r>
        <w:rPr>
          <w:lang w:val="en-US"/>
        </w:rPr>
        <w:t xml:space="preserve">, strain resistant only to antibiotic A; </w:t>
      </w:r>
      <w:r>
        <w:rPr>
          <w:position w:val="-6"/>
          <w:lang w:val="en-US"/>
        </w:rPr>
        <w:object w:dxaOrig="195" w:dyaOrig="285">
          <v:shape id="_x0000_i1033" type="#_x0000_t75" style="width:9.8pt;height:14.4pt" o:ole="">
            <v:imagedata r:id="rId21" o:title=""/>
          </v:shape>
          <o:OLEObject Type="Embed" ProgID="Equation.3" ShapeID="_x0000_i1033" DrawAspect="Content" ObjectID="_1472533659" r:id="rId22"/>
        </w:object>
      </w:r>
      <w:r>
        <w:rPr>
          <w:lang w:val="en-US"/>
        </w:rPr>
        <w:t xml:space="preserve">, strain resistant only to antibiotic B; </w:t>
      </w:r>
      <w:r>
        <w:rPr>
          <w:position w:val="-6"/>
          <w:lang w:val="en-US"/>
        </w:rPr>
        <w:object w:dxaOrig="315" w:dyaOrig="285">
          <v:shape id="_x0000_i1034" type="#_x0000_t75" style="width:15.7pt;height:14.4pt" o:ole="">
            <v:imagedata r:id="rId23" o:title=""/>
          </v:shape>
          <o:OLEObject Type="Embed" ProgID="Equation.3" ShapeID="_x0000_i1034" DrawAspect="Content" ObjectID="_1472533660" r:id="rId24"/>
        </w:object>
      </w:r>
      <w:r>
        <w:rPr>
          <w:lang w:val="en-US"/>
        </w:rPr>
        <w:t xml:space="preserve">, strain resistant to antibiotics A, B; </w:t>
      </w:r>
      <w:r>
        <w:rPr>
          <w:position w:val="-6"/>
          <w:lang w:val="en-US"/>
        </w:rPr>
        <w:object w:dxaOrig="420" w:dyaOrig="285">
          <v:shape id="_x0000_i1035" type="#_x0000_t75" style="width:20.95pt;height:14.4pt" o:ole="">
            <v:imagedata r:id="rId25" o:title=""/>
          </v:shape>
          <o:OLEObject Type="Embed" ProgID="Equation.3" ShapeID="_x0000_i1035" DrawAspect="Content" ObjectID="_1472533661" r:id="rId26"/>
        </w:object>
      </w:r>
      <w:r>
        <w:rPr>
          <w:lang w:val="en-US"/>
        </w:rPr>
        <w:t xml:space="preserve">, strain resistant to antibiotics A, B, C. The size of risk group </w:t>
      </w:r>
      <w:r>
        <w:rPr>
          <w:position w:val="-6"/>
          <w:lang w:val="en-US"/>
        </w:rPr>
        <w:object w:dxaOrig="195" w:dyaOrig="285">
          <v:shape id="_x0000_i1036" type="#_x0000_t75" style="width:9.8pt;height:14.4pt" o:ole="">
            <v:imagedata r:id="rId27" o:title=""/>
          </v:shape>
          <o:OLEObject Type="Embed" ProgID="Equation.3" ShapeID="_x0000_i1036" DrawAspect="Content" ObjectID="_1472533662" r:id="rId28"/>
        </w:object>
      </w:r>
      <w:r>
        <w:rPr>
          <w:lang w:val="en-US"/>
        </w:rPr>
        <w:t xml:space="preserve"> is </w:t>
      </w:r>
      <w:r>
        <w:rPr>
          <w:position w:val="-12"/>
          <w:lang w:val="en-US"/>
        </w:rPr>
        <w:object w:dxaOrig="3615" w:dyaOrig="360">
          <v:shape id="_x0000_i1037" type="#_x0000_t75" style="width:180.65pt;height:18.35pt" o:ole="">
            <v:imagedata r:id="rId29" o:title=""/>
          </v:shape>
          <o:OLEObject Type="Embed" ProgID="Equation.3" ShapeID="_x0000_i1037" DrawAspect="Content" ObjectID="_1472533663" r:id="rId30"/>
        </w:object>
      </w:r>
      <w:r>
        <w:rPr>
          <w:lang w:val="en-US"/>
        </w:rPr>
        <w:t xml:space="preserve">. The rate of entering and departing the sexually active population </w:t>
      </w:r>
      <w:proofErr w:type="gramStart"/>
      <w:r>
        <w:rPr>
          <w:lang w:val="en-US"/>
        </w:rPr>
        <w:t xml:space="preserve">is </w:t>
      </w:r>
      <w:proofErr w:type="gramEnd"/>
      <w:r>
        <w:rPr>
          <w:position w:val="-10"/>
          <w:lang w:val="en-US"/>
        </w:rPr>
        <w:object w:dxaOrig="240" w:dyaOrig="255">
          <v:shape id="_x0000_i1038" type="#_x0000_t75" style="width:12.45pt;height:13.1pt" o:ole="">
            <v:imagedata r:id="rId31" o:title=""/>
          </v:shape>
          <o:OLEObject Type="Embed" ProgID="Equation.3" ShapeID="_x0000_i1038" DrawAspect="Content" ObjectID="_1472533664" r:id="rId32"/>
        </w:object>
      </w:r>
      <w:r>
        <w:rPr>
          <w:lang w:val="en-US"/>
        </w:rPr>
        <w:t xml:space="preserve">, the rate of natural recovery is </w:t>
      </w:r>
      <w:r>
        <w:rPr>
          <w:position w:val="-12"/>
          <w:lang w:val="en-US"/>
        </w:rPr>
        <w:object w:dxaOrig="240" w:dyaOrig="360">
          <v:shape id="_x0000_i1039" type="#_x0000_t75" style="width:12.45pt;height:18.35pt" o:ole="">
            <v:imagedata r:id="rId33" o:title=""/>
          </v:shape>
          <o:OLEObject Type="Embed" ProgID="Equation.3" ShapeID="_x0000_i1039" DrawAspect="Content" ObjectID="_1472533665" r:id="rId34"/>
        </w:object>
      </w:r>
      <w:r>
        <w:rPr>
          <w:lang w:val="en-US"/>
        </w:rPr>
        <w:t xml:space="preserve"> for those infected with NG strain </w:t>
      </w:r>
      <w:r>
        <w:rPr>
          <w:position w:val="-6"/>
          <w:lang w:val="en-US"/>
        </w:rPr>
        <w:object w:dxaOrig="135" w:dyaOrig="255">
          <v:shape id="_x0000_i1040" type="#_x0000_t75" style="width:6.55pt;height:13.1pt" o:ole="">
            <v:imagedata r:id="rId35" o:title=""/>
          </v:shape>
          <o:OLEObject Type="Embed" ProgID="Equation.3" ShapeID="_x0000_i1040" DrawAspect="Content" ObjectID="_1472533666" r:id="rId36"/>
        </w:object>
      </w:r>
      <w:r>
        <w:rPr>
          <w:lang w:val="en-US"/>
        </w:rPr>
        <w:t xml:space="preserve">, and the treatment rate is </w:t>
      </w:r>
      <w:r>
        <w:rPr>
          <w:position w:val="-6"/>
          <w:lang w:val="en-US"/>
        </w:rPr>
        <w:object w:dxaOrig="195" w:dyaOrig="225">
          <v:shape id="_x0000_i1041" type="#_x0000_t75" style="width:9.8pt;height:11.15pt" o:ole="">
            <v:imagedata r:id="rId37" o:title=""/>
          </v:shape>
          <o:OLEObject Type="Embed" ProgID="Equation.3" ShapeID="_x0000_i1041" DrawAspect="Content" ObjectID="_1472533667" r:id="rId38"/>
        </w:object>
      </w:r>
      <w:r>
        <w:rPr>
          <w:lang w:val="en-US"/>
        </w:rPr>
        <w:t xml:space="preserve">. Among NG cases receiving treatment, a fraction </w:t>
      </w:r>
      <w:r>
        <w:rPr>
          <w:position w:val="-12"/>
          <w:lang w:val="en-US"/>
        </w:rPr>
        <w:object w:dxaOrig="285" w:dyaOrig="360">
          <v:shape id="_x0000_i1042" type="#_x0000_t75" style="width:14.4pt;height:18.35pt" o:ole="">
            <v:imagedata r:id="rId39" o:title=""/>
          </v:shape>
          <o:OLEObject Type="Embed" ProgID="Equation.3" ShapeID="_x0000_i1042" DrawAspect="Content" ObjectID="_1472533668" r:id="rId40"/>
        </w:object>
      </w:r>
      <w:r>
        <w:rPr>
          <w:lang w:val="en-US"/>
        </w:rPr>
        <w:t xml:space="preserve"> is </w:t>
      </w:r>
      <w:proofErr w:type="gramStart"/>
      <w:r>
        <w:rPr>
          <w:lang w:val="en-US"/>
        </w:rPr>
        <w:t>prescribed</w:t>
      </w:r>
      <w:proofErr w:type="gramEnd"/>
      <w:r>
        <w:rPr>
          <w:lang w:val="en-US"/>
        </w:rPr>
        <w:t xml:space="preserve"> only antibiotic A, a fraction </w:t>
      </w:r>
      <w:r>
        <w:rPr>
          <w:position w:val="-12"/>
          <w:lang w:val="en-US"/>
        </w:rPr>
        <w:object w:dxaOrig="285" w:dyaOrig="360">
          <v:shape id="_x0000_i1043" type="#_x0000_t75" style="width:14.4pt;height:18.35pt" o:ole="">
            <v:imagedata r:id="rId41" o:title=""/>
          </v:shape>
          <o:OLEObject Type="Embed" ProgID="Equation.3" ShapeID="_x0000_i1043" DrawAspect="Content" ObjectID="_1472533669" r:id="rId42"/>
        </w:object>
      </w:r>
      <w:r>
        <w:rPr>
          <w:lang w:val="en-US"/>
        </w:rPr>
        <w:t xml:space="preserve"> is prescribed only B, and a fraction </w:t>
      </w:r>
      <w:r>
        <w:rPr>
          <w:position w:val="-12"/>
          <w:lang w:val="en-US"/>
        </w:rPr>
        <w:object w:dxaOrig="360" w:dyaOrig="360">
          <v:shape id="_x0000_i1044" type="#_x0000_t75" style="width:18.35pt;height:18.35pt" o:ole="">
            <v:imagedata r:id="rId43" o:title=""/>
          </v:shape>
          <o:OLEObject Type="Embed" ProgID="Equation.3" ShapeID="_x0000_i1044" DrawAspect="Content" ObjectID="_1472533670" r:id="rId44"/>
        </w:object>
      </w:r>
      <w:r>
        <w:rPr>
          <w:lang w:val="en-US"/>
        </w:rPr>
        <w:t xml:space="preserve"> receives combination therapy with A and B, with </w:t>
      </w:r>
      <w:r>
        <w:rPr>
          <w:position w:val="-12"/>
          <w:lang w:val="en-US"/>
        </w:rPr>
        <w:object w:dxaOrig="1665" w:dyaOrig="360">
          <v:shape id="_x0000_i1045" type="#_x0000_t75" style="width:83.15pt;height:18.35pt" o:ole="">
            <v:imagedata r:id="rId45" o:title=""/>
          </v:shape>
          <o:OLEObject Type="Embed" ProgID="Equation.3" ShapeID="_x0000_i1045" DrawAspect="Content" ObjectID="_1472533671" r:id="rId46"/>
        </w:object>
      </w:r>
      <w:r>
        <w:rPr>
          <w:lang w:val="en-US"/>
        </w:rPr>
        <w:t xml:space="preserve">. The fraction of hosts becoming resistant is </w:t>
      </w:r>
      <w:r>
        <w:rPr>
          <w:position w:val="-10"/>
          <w:lang w:val="en-US"/>
        </w:rPr>
        <w:object w:dxaOrig="240" w:dyaOrig="255">
          <v:shape id="_x0000_i1046" type="#_x0000_t75" style="width:12.45pt;height:13.1pt" o:ole="">
            <v:imagedata r:id="rId47" o:title=""/>
          </v:shape>
          <o:OLEObject Type="Embed" ProgID="Equation.3" ShapeID="_x0000_i1046" DrawAspect="Content" ObjectID="_1472533672" r:id="rId48"/>
        </w:object>
      </w:r>
      <w:r>
        <w:rPr>
          <w:lang w:val="en-US"/>
        </w:rPr>
        <w:t xml:space="preserve"> when treated with one antibiotic and </w:t>
      </w:r>
      <w:r>
        <w:rPr>
          <w:position w:val="-10"/>
          <w:lang w:val="en-US"/>
        </w:rPr>
        <w:object w:dxaOrig="705" w:dyaOrig="360">
          <v:shape id="_x0000_i1047" type="#_x0000_t75" style="width:35.35pt;height:18.35pt" o:ole="">
            <v:imagedata r:id="rId49" o:title=""/>
          </v:shape>
          <o:OLEObject Type="Embed" ProgID="Equation.3" ShapeID="_x0000_i1047" DrawAspect="Content" ObjectID="_1472533673" r:id="rId50"/>
        </w:object>
      </w:r>
      <w:r>
        <w:rPr>
          <w:lang w:val="en-US"/>
        </w:rPr>
        <w:t xml:space="preserve"> when </w:t>
      </w:r>
      <w:r w:rsidR="002A567B">
        <w:rPr>
          <w:lang w:val="en-US"/>
        </w:rPr>
        <w:t>treated with two antibiotics [1</w:t>
      </w:r>
      <w:r>
        <w:rPr>
          <w:lang w:val="en-US"/>
        </w:rPr>
        <w:t xml:space="preserve">]. An individual infected from a partner with NG strain resistant to antibiotics, acquires the same NG strain and is resistant to the same antibiotics. Individuals with resistance to antibiotic A who receive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are not successfully treated; a fraction </w:t>
      </w:r>
      <w:r>
        <w:rPr>
          <w:position w:val="-10"/>
          <w:lang w:val="en-US"/>
        </w:rPr>
        <w:object w:dxaOrig="195" w:dyaOrig="315">
          <v:shape id="_x0000_i1048" type="#_x0000_t75" style="width:9.8pt;height:15.7pt" o:ole="">
            <v:imagedata r:id="rId51" o:title=""/>
          </v:shape>
          <o:OLEObject Type="Embed" ProgID="Equation.3" ShapeID="_x0000_i1048" DrawAspect="Content" ObjectID="_1472533674" r:id="rId52"/>
        </w:object>
      </w:r>
      <w:r>
        <w:rPr>
          <w:lang w:val="en-US"/>
        </w:rPr>
        <w:t xml:space="preserve"> of them is later re-treated with antibiotic B. For the scenarios with re-treatment</w:t>
      </w:r>
      <w:proofErr w:type="gramStart"/>
      <w:r>
        <w:rPr>
          <w:lang w:val="en-US"/>
        </w:rPr>
        <w:t xml:space="preserve">, </w:t>
      </w:r>
      <w:proofErr w:type="gramEnd"/>
      <w:r>
        <w:rPr>
          <w:position w:val="-10"/>
          <w:lang w:val="en-US"/>
        </w:rPr>
        <w:object w:dxaOrig="885" w:dyaOrig="315">
          <v:shape id="_x0000_i1049" type="#_x0000_t75" style="width:43.85pt;height:15.7pt" o:ole="">
            <v:imagedata r:id="rId53" o:title=""/>
          </v:shape>
          <o:OLEObject Type="Embed" ProgID="Equation.3" ShapeID="_x0000_i1049" DrawAspect="Content" ObjectID="_1472533675" r:id="rId54"/>
        </w:object>
      </w:r>
      <w:r>
        <w:rPr>
          <w:lang w:val="en-US"/>
        </w:rPr>
        <w:t xml:space="preserve">; for the other scenarios, </w:t>
      </w:r>
      <w:r>
        <w:rPr>
          <w:position w:val="-10"/>
          <w:lang w:val="en-US"/>
        </w:rPr>
        <w:object w:dxaOrig="555" w:dyaOrig="315">
          <v:shape id="_x0000_i1050" type="#_x0000_t75" style="width:28.15pt;height:15.7pt" o:ole="">
            <v:imagedata r:id="rId55" o:title=""/>
          </v:shape>
          <o:OLEObject Type="Embed" ProgID="Equation.3" ShapeID="_x0000_i1050" DrawAspect="Content" ObjectID="_1472533676" r:id="rId56"/>
        </w:object>
      </w:r>
      <w:r>
        <w:rPr>
          <w:lang w:val="en-US"/>
        </w:rPr>
        <w:t xml:space="preserve">. For </w:t>
      </w:r>
      <w:r>
        <w:rPr>
          <w:lang w:val="en-US"/>
        </w:rPr>
        <w:lastRenderedPageBreak/>
        <w:t xml:space="preserve">the scenario of combination therapy with A and B, a fraction </w:t>
      </w:r>
      <w:r>
        <w:rPr>
          <w:position w:val="-12"/>
          <w:lang w:val="en-US"/>
        </w:rPr>
        <w:object w:dxaOrig="1035" w:dyaOrig="360">
          <v:shape id="_x0000_i1051" type="#_x0000_t75" style="width:51.7pt;height:18.35pt" o:ole="">
            <v:imagedata r:id="rId57" o:title=""/>
          </v:shape>
          <o:OLEObject Type="Embed" ProgID="Equation.3" ShapeID="_x0000_i1051" DrawAspect="Content" ObjectID="_1472533677" r:id="rId58"/>
        </w:object>
      </w:r>
      <w:r>
        <w:rPr>
          <w:lang w:val="en-US"/>
        </w:rPr>
        <w:t xml:space="preserve"> of those with dual resistance to A and B is later re-treated with antibiotic C; for the other scenarios</w:t>
      </w:r>
      <w:proofErr w:type="gramStart"/>
      <w:r>
        <w:rPr>
          <w:lang w:val="en-US"/>
        </w:rPr>
        <w:t xml:space="preserve">, </w:t>
      </w:r>
      <w:proofErr w:type="gramEnd"/>
      <w:r>
        <w:rPr>
          <w:position w:val="-12"/>
          <w:lang w:val="en-US"/>
        </w:rPr>
        <w:object w:dxaOrig="720" w:dyaOrig="360">
          <v:shape id="_x0000_i1052" type="#_x0000_t75" style="width:36pt;height:18.35pt" o:ole="">
            <v:imagedata r:id="rId59" o:title=""/>
          </v:shape>
          <o:OLEObject Type="Embed" ProgID="Equation.3" ShapeID="_x0000_i1052" DrawAspect="Content" ObjectID="_1472533678" r:id="rId60"/>
        </w:object>
      </w:r>
      <w:r>
        <w:rPr>
          <w:lang w:val="en-US"/>
        </w:rPr>
        <w:t>.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</w:p>
    <w:p w:rsidR="00562BF7" w:rsidRDefault="00562BF7" w:rsidP="00562BF7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Transmission rate of NG. </w:t>
      </w:r>
      <w:r>
        <w:rPr>
          <w:lang w:val="en-US"/>
        </w:rPr>
        <w:t xml:space="preserve">The rate at which men in activity group </w:t>
      </w:r>
      <w:r>
        <w:rPr>
          <w:position w:val="-10"/>
          <w:lang w:val="en-US"/>
        </w:rPr>
        <w:object w:dxaOrig="1035" w:dyaOrig="315">
          <v:shape id="_x0000_i1053" type="#_x0000_t75" style="width:51.7pt;height:15.7pt" o:ole="">
            <v:imagedata r:id="rId9" o:title=""/>
          </v:shape>
          <o:OLEObject Type="Embed" ProgID="Equation.3" ShapeID="_x0000_i1053" DrawAspect="Content" ObjectID="_1472533679" r:id="rId61"/>
        </w:object>
      </w:r>
      <w:r>
        <w:rPr>
          <w:lang w:val="en-US"/>
        </w:rPr>
        <w:t xml:space="preserve"> get infected with NG </w:t>
      </w:r>
      <w:proofErr w:type="gramStart"/>
      <w:r>
        <w:rPr>
          <w:lang w:val="en-US"/>
        </w:rPr>
        <w:t xml:space="preserve">is </w:t>
      </w:r>
      <w:proofErr w:type="gramEnd"/>
      <w:r>
        <w:rPr>
          <w:position w:val="-30"/>
          <w:lang w:val="en-US"/>
        </w:rPr>
        <w:object w:dxaOrig="1425" w:dyaOrig="555">
          <v:shape id="_x0000_i1054" type="#_x0000_t75" style="width:71.35pt;height:28.15pt" o:ole="">
            <v:imagedata r:id="rId62" o:title=""/>
          </v:shape>
          <o:OLEObject Type="Embed" ProgID="Equation.3" ShapeID="_x0000_i1054" DrawAspect="Content" ObjectID="_1472533680" r:id="rId63"/>
        </w:object>
      </w:r>
      <w:r>
        <w:rPr>
          <w:lang w:val="en-US"/>
        </w:rPr>
        <w:t xml:space="preserve">, where </w:t>
      </w:r>
      <w:r>
        <w:rPr>
          <w:position w:val="-12"/>
          <w:lang w:val="en-US"/>
        </w:rPr>
        <w:object w:dxaOrig="315" w:dyaOrig="360">
          <v:shape id="_x0000_i1055" type="#_x0000_t75" style="width:15.7pt;height:18.35pt" o:ole="">
            <v:imagedata r:id="rId64" o:title=""/>
          </v:shape>
          <o:OLEObject Type="Embed" ProgID="Equation.3" ShapeID="_x0000_i1055" DrawAspect="Content" ObjectID="_1472533681" r:id="rId65"/>
        </w:object>
      </w:r>
      <w:r>
        <w:rPr>
          <w:lang w:val="en-US"/>
        </w:rPr>
        <w:t xml:space="preserve"> is the rate at which men in activity group </w:t>
      </w:r>
      <w:r>
        <w:rPr>
          <w:position w:val="-6"/>
          <w:lang w:val="en-US"/>
        </w:rPr>
        <w:object w:dxaOrig="195" w:dyaOrig="285">
          <v:shape id="_x0000_i1056" type="#_x0000_t75" style="width:9.8pt;height:14.4pt" o:ole="">
            <v:imagedata r:id="rId66" o:title=""/>
          </v:shape>
          <o:OLEObject Type="Embed" ProgID="Equation.3" ShapeID="_x0000_i1056" DrawAspect="Content" ObjectID="_1472533682" r:id="rId67"/>
        </w:object>
      </w:r>
      <w:r>
        <w:rPr>
          <w:lang w:val="en-US"/>
        </w:rPr>
        <w:t xml:space="preserve"> get infected with NG strain </w:t>
      </w:r>
      <w:r>
        <w:rPr>
          <w:position w:val="-10"/>
          <w:lang w:val="en-US"/>
        </w:rPr>
        <w:object w:dxaOrig="1680" w:dyaOrig="315">
          <v:shape id="_x0000_i1057" type="#_x0000_t75" style="width:84.45pt;height:15.7pt" o:ole="">
            <v:imagedata r:id="rId68" o:title=""/>
          </v:shape>
          <o:OLEObject Type="Embed" ProgID="Equation.3" ShapeID="_x0000_i1057" DrawAspect="Content" ObjectID="_1472533683" r:id="rId69"/>
        </w:object>
      </w:r>
      <w:r>
        <w:rPr>
          <w:lang w:val="en-US"/>
        </w:rPr>
        <w:t xml:space="preserve"> as defined from the equations: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r>
        <w:rPr>
          <w:position w:val="-32"/>
          <w:lang w:val="en-US"/>
        </w:rPr>
        <w:object w:dxaOrig="7500" w:dyaOrig="735">
          <v:shape id="_x0000_i1058" type="#_x0000_t75" style="width:375.05pt;height:36.65pt" o:ole="">
            <v:imagedata r:id="rId70" o:title=""/>
          </v:shape>
          <o:OLEObject Type="Embed" ProgID="Equation.3" ShapeID="_x0000_i1058" DrawAspect="Content" ObjectID="_1472533684" r:id="rId71"/>
        </w:object>
      </w:r>
      <w:r>
        <w:rPr>
          <w:lang w:val="en-US"/>
        </w:rPr>
        <w:t>.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probability of transmission of NG strain </w:t>
      </w:r>
      <w:r>
        <w:rPr>
          <w:position w:val="-10"/>
          <w:lang w:val="en-US"/>
        </w:rPr>
        <w:object w:dxaOrig="1680" w:dyaOrig="315">
          <v:shape id="_x0000_i1059" type="#_x0000_t75" style="width:84.45pt;height:15.7pt" o:ole="">
            <v:imagedata r:id="rId68" o:title=""/>
          </v:shape>
          <o:OLEObject Type="Embed" ProgID="Equation.3" ShapeID="_x0000_i1059" DrawAspect="Content" ObjectID="_1472533685" r:id="rId72"/>
        </w:object>
      </w:r>
      <w:r>
        <w:rPr>
          <w:lang w:val="en-US"/>
        </w:rPr>
        <w:t xml:space="preserve"> per act of UAI </w:t>
      </w:r>
      <w:proofErr w:type="gramStart"/>
      <w:r>
        <w:rPr>
          <w:lang w:val="en-US"/>
        </w:rPr>
        <w:t xml:space="preserve">is </w:t>
      </w:r>
      <w:proofErr w:type="gramEnd"/>
      <w:r>
        <w:rPr>
          <w:position w:val="-12"/>
          <w:lang w:val="en-US"/>
        </w:rPr>
        <w:object w:dxaOrig="285" w:dyaOrig="360">
          <v:shape id="_x0000_i1060" type="#_x0000_t75" style="width:14.4pt;height:18.35pt" o:ole="">
            <v:imagedata r:id="rId73" o:title=""/>
          </v:shape>
          <o:OLEObject Type="Embed" ProgID="Equation.3" ShapeID="_x0000_i1060" DrawAspect="Content" ObjectID="_1472533686" r:id="rId74"/>
        </w:object>
      </w:r>
      <w:r>
        <w:rPr>
          <w:lang w:val="en-US"/>
        </w:rPr>
        <w:t xml:space="preserve">, with </w:t>
      </w:r>
      <w:r>
        <w:rPr>
          <w:position w:val="-12"/>
          <w:lang w:val="en-US"/>
        </w:rPr>
        <w:object w:dxaOrig="945" w:dyaOrig="360">
          <v:shape id="_x0000_i1061" type="#_x0000_t75" style="width:47.15pt;height:18.35pt" o:ole="">
            <v:imagedata r:id="rId75" o:title=""/>
          </v:shape>
          <o:OLEObject Type="Embed" ProgID="Equation.3" ShapeID="_x0000_i1061" DrawAspect="Content" ObjectID="_1472533687" r:id="rId76"/>
        </w:object>
      </w:r>
      <w:r>
        <w:rPr>
          <w:lang w:val="en-US"/>
        </w:rPr>
        <w:t xml:space="preserve">, for </w:t>
      </w:r>
      <w:r>
        <w:rPr>
          <w:position w:val="-6"/>
          <w:lang w:val="en-US"/>
        </w:rPr>
        <w:object w:dxaOrig="495" w:dyaOrig="255">
          <v:shape id="_x0000_i1062" type="#_x0000_t75" style="width:24.85pt;height:13.1pt" o:ole="">
            <v:imagedata r:id="rId77" o:title=""/>
          </v:shape>
          <o:OLEObject Type="Embed" ProgID="Equation.3" ShapeID="_x0000_i1062" DrawAspect="Content" ObjectID="_1472533688" r:id="rId78"/>
        </w:object>
      </w:r>
      <w:r>
        <w:rPr>
          <w:lang w:val="en-US"/>
        </w:rPr>
        <w:t xml:space="preserve">, where </w:t>
      </w:r>
      <w:r>
        <w:rPr>
          <w:position w:val="-12"/>
          <w:lang w:val="en-US"/>
        </w:rPr>
        <w:object w:dxaOrig="225" w:dyaOrig="360">
          <v:shape id="_x0000_i1063" type="#_x0000_t75" style="width:11.15pt;height:18.35pt" o:ole="">
            <v:imagedata r:id="rId79" o:title=""/>
          </v:shape>
          <o:OLEObject Type="Embed" ProgID="Equation.3" ShapeID="_x0000_i1063" DrawAspect="Content" ObjectID="_1472533689" r:id="rId80"/>
        </w:object>
      </w:r>
      <w:r>
        <w:rPr>
          <w:lang w:val="en-US"/>
        </w:rPr>
        <w:t xml:space="preserve"> denotes the fitness cost of resistance, compared to the sensitive strain </w:t>
      </w:r>
      <w:r>
        <w:rPr>
          <w:position w:val="-6"/>
          <w:lang w:val="en-US"/>
        </w:rPr>
        <w:object w:dxaOrig="180" w:dyaOrig="225">
          <v:shape id="_x0000_i1064" type="#_x0000_t75" style="width:9.15pt;height:11.15pt" o:ole="">
            <v:imagedata r:id="rId81" o:title=""/>
          </v:shape>
          <o:OLEObject Type="Embed" ProgID="Equation.3" ShapeID="_x0000_i1064" DrawAspect="Content" ObjectID="_1472533690" r:id="rId82"/>
        </w:object>
      </w:r>
      <w:r>
        <w:rPr>
          <w:lang w:val="en-US"/>
        </w:rPr>
        <w:t xml:space="preserve">. Also, </w:t>
      </w:r>
      <w:r>
        <w:rPr>
          <w:position w:val="-12"/>
          <w:lang w:val="en-US"/>
        </w:rPr>
        <w:object w:dxaOrig="240" w:dyaOrig="360">
          <v:shape id="_x0000_i1065" type="#_x0000_t75" style="width:12.45pt;height:18.35pt" o:ole="">
            <v:imagedata r:id="rId83" o:title=""/>
          </v:shape>
          <o:OLEObject Type="Embed" ProgID="Equation.3" ShapeID="_x0000_i1065" DrawAspect="Content" ObjectID="_1472533691" r:id="rId84"/>
        </w:object>
      </w:r>
      <w:r>
        <w:rPr>
          <w:lang w:val="en-US"/>
        </w:rPr>
        <w:t xml:space="preserve"> , </w:t>
      </w:r>
      <w:r>
        <w:rPr>
          <w:position w:val="-12"/>
          <w:lang w:val="en-US"/>
        </w:rPr>
        <w:object w:dxaOrig="255" w:dyaOrig="360">
          <v:shape id="_x0000_i1066" type="#_x0000_t75" style="width:13.1pt;height:18.35pt" o:ole="">
            <v:imagedata r:id="rId85" o:title=""/>
          </v:shape>
          <o:OLEObject Type="Embed" ProgID="Equation.3" ShapeID="_x0000_i1066" DrawAspect="Content" ObjectID="_1472533692" r:id="rId86"/>
        </w:object>
      </w:r>
      <w:r>
        <w:rPr>
          <w:lang w:val="en-US"/>
        </w:rPr>
        <w:t xml:space="preserve"> , </w:t>
      </w:r>
      <w:r>
        <w:rPr>
          <w:position w:val="-12"/>
          <w:lang w:val="en-US"/>
        </w:rPr>
        <w:object w:dxaOrig="285" w:dyaOrig="360">
          <v:shape id="_x0000_i1067" type="#_x0000_t75" style="width:14.4pt;height:18.35pt" o:ole="">
            <v:imagedata r:id="rId87" o:title=""/>
          </v:shape>
          <o:OLEObject Type="Embed" ProgID="Equation.3" ShapeID="_x0000_i1067" DrawAspect="Content" ObjectID="_1472533693" r:id="rId88"/>
        </w:object>
      </w:r>
      <w:r>
        <w:rPr>
          <w:lang w:val="en-US"/>
        </w:rPr>
        <w:t xml:space="preserve"> are the numbers of steady, single-act, multiple-acts casual partners; </w:t>
      </w:r>
      <w:r>
        <w:rPr>
          <w:position w:val="-6"/>
          <w:lang w:val="en-US"/>
        </w:rPr>
        <w:object w:dxaOrig="195" w:dyaOrig="225">
          <v:shape id="_x0000_i1068" type="#_x0000_t75" style="width:9.8pt;height:11.15pt" o:ole="">
            <v:imagedata r:id="rId89" o:title=""/>
          </v:shape>
          <o:OLEObject Type="Embed" ProgID="Equation.3" ShapeID="_x0000_i1068" DrawAspect="Content" ObjectID="_1472533694" r:id="rId90"/>
        </w:object>
      </w:r>
      <w:r>
        <w:rPr>
          <w:lang w:val="en-US"/>
        </w:rPr>
        <w:t xml:space="preserve"> and </w:t>
      </w:r>
      <w:r>
        <w:rPr>
          <w:position w:val="-6"/>
          <w:lang w:val="en-US"/>
        </w:rPr>
        <w:object w:dxaOrig="285" w:dyaOrig="285">
          <v:shape id="_x0000_i1069" type="#_x0000_t75" style="width:14.4pt;height:14.4pt" o:ole="">
            <v:imagedata r:id="rId91" o:title=""/>
          </v:shape>
          <o:OLEObject Type="Embed" ProgID="Equation.3" ShapeID="_x0000_i1069" DrawAspect="Content" ObjectID="_1472533695" r:id="rId92"/>
        </w:object>
      </w:r>
      <w:r>
        <w:rPr>
          <w:lang w:val="en-US"/>
        </w:rPr>
        <w:t xml:space="preserve"> denote the number of acts of UAI per year per partner, for steady and multiple-acts casual partnerships. Based on data from Rutgers WPF Group, </w:t>
      </w:r>
      <w:r>
        <w:rPr>
          <w:position w:val="-6"/>
          <w:lang w:val="en-US"/>
        </w:rPr>
        <w:object w:dxaOrig="195" w:dyaOrig="225">
          <v:shape id="_x0000_i1070" type="#_x0000_t75" style="width:9.8pt;height:11.15pt" o:ole="">
            <v:imagedata r:id="rId89" o:title=""/>
          </v:shape>
          <o:OLEObject Type="Embed" ProgID="Equation.3" ShapeID="_x0000_i1070" DrawAspect="Content" ObjectID="_1472533696" r:id="rId93"/>
        </w:object>
      </w:r>
      <w:r>
        <w:rPr>
          <w:lang w:val="en-US"/>
        </w:rPr>
        <w:t xml:space="preserve"> was taken in the range 15-25 acts per year and </w:t>
      </w:r>
      <w:r>
        <w:rPr>
          <w:position w:val="-6"/>
          <w:lang w:val="en-US"/>
        </w:rPr>
        <w:object w:dxaOrig="285" w:dyaOrig="285">
          <v:shape id="_x0000_i1071" type="#_x0000_t75" style="width:14.4pt;height:14.4pt" o:ole="">
            <v:imagedata r:id="rId91" o:title=""/>
          </v:shape>
          <o:OLEObject Type="Embed" ProgID="Equation.3" ShapeID="_x0000_i1071" DrawAspect="Content" ObjectID="_1472533697" r:id="rId94"/>
        </w:object>
      </w:r>
      <w:r>
        <w:rPr>
          <w:lang w:val="en-US"/>
        </w:rPr>
        <w:t xml:space="preserve"> in the range 1-7 ac</w:t>
      </w:r>
      <w:r w:rsidR="002A567B">
        <w:rPr>
          <w:lang w:val="en-US"/>
        </w:rPr>
        <w:t>ts per year (see also [2</w:t>
      </w:r>
      <w:r>
        <w:rPr>
          <w:lang w:val="en-US"/>
        </w:rPr>
        <w:t xml:space="preserve">]). Mixing between risk groups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>, j</w:t>
      </w:r>
      <w:r>
        <w:rPr>
          <w:lang w:val="en-US"/>
        </w:rPr>
        <w:t xml:space="preserve"> = 1,2,3,4 is defined by </w:t>
      </w:r>
      <w:r>
        <w:rPr>
          <w:position w:val="-14"/>
          <w:lang w:val="en-US"/>
        </w:rPr>
        <w:object w:dxaOrig="345" w:dyaOrig="375">
          <v:shape id="_x0000_i1072" type="#_x0000_t75" style="width:17.65pt;height:19pt" o:ole="">
            <v:imagedata r:id="rId95" o:title=""/>
          </v:shape>
          <o:OLEObject Type="Embed" ProgID="Equation.3" ShapeID="_x0000_i1072" DrawAspect="Content" ObjectID="_1472533698" r:id="rId96"/>
        </w:object>
      </w:r>
      <w:r>
        <w:rPr>
          <w:lang w:val="en-US"/>
        </w:rPr>
        <w:t xml:space="preserve"> for steady partners:  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r>
        <w:rPr>
          <w:position w:val="-42"/>
          <w:lang w:val="en-US"/>
        </w:rPr>
        <w:object w:dxaOrig="3495" w:dyaOrig="1110">
          <v:shape id="_x0000_i1073" type="#_x0000_t75" style="width:174.75pt;height:55.65pt" o:ole="">
            <v:imagedata r:id="rId97" o:title=""/>
          </v:shape>
          <o:OLEObject Type="Embed" ProgID="Equation.3" ShapeID="_x0000_i1073" DrawAspect="Content" ObjectID="_1472533699" r:id="rId98"/>
        </w:objec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45" w:dyaOrig="375">
          <v:shape id="_x0000_i1074" type="#_x0000_t75" style="width:17.65pt;height:19pt" o:ole="">
            <v:imagedata r:id="rId99" o:title=""/>
          </v:shape>
          <o:OLEObject Type="Embed" ProgID="Equation.3" ShapeID="_x0000_i1074" DrawAspect="Content" ObjectID="_1472533700" r:id="rId100"/>
        </w:object>
      </w:r>
      <w:r>
        <w:rPr>
          <w:lang w:val="en-US"/>
        </w:rPr>
        <w:t xml:space="preserve"> for single-act casual partners and </w:t>
      </w:r>
      <w:r>
        <w:rPr>
          <w:position w:val="-14"/>
          <w:lang w:val="en-US"/>
        </w:rPr>
        <w:object w:dxaOrig="345" w:dyaOrig="375">
          <v:shape id="_x0000_i1075" type="#_x0000_t75" style="width:17.65pt;height:19pt" o:ole="">
            <v:imagedata r:id="rId101" o:title=""/>
          </v:shape>
          <o:OLEObject Type="Embed" ProgID="Equation.3" ShapeID="_x0000_i1075" DrawAspect="Content" ObjectID="_1472533701" r:id="rId102"/>
        </w:object>
      </w:r>
      <w:r>
        <w:rPr>
          <w:lang w:val="en-US"/>
        </w:rPr>
        <w:t xml:space="preserve"> for multiple- acts casual partners: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r>
        <w:rPr>
          <w:position w:val="-42"/>
          <w:lang w:val="en-US"/>
        </w:rPr>
        <w:object w:dxaOrig="2910" w:dyaOrig="1110">
          <v:shape id="_x0000_i1076" type="#_x0000_t75" style="width:145.3pt;height:55.65pt" o:ole="">
            <v:imagedata r:id="rId103" o:title=""/>
          </v:shape>
          <o:OLEObject Type="Embed" ProgID="Equation.3" ShapeID="_x0000_i1076" DrawAspect="Content" ObjectID="_1472533702" r:id="rId104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</w:t>
      </w:r>
      <w:r>
        <w:rPr>
          <w:position w:val="-42"/>
          <w:lang w:val="en-US"/>
        </w:rPr>
        <w:object w:dxaOrig="3045" w:dyaOrig="1110">
          <v:shape id="_x0000_i1077" type="#_x0000_t75" style="width:152.5pt;height:55.65pt" o:ole="">
            <v:imagedata r:id="rId105" o:title=""/>
          </v:shape>
          <o:OLEObject Type="Embed" ProgID="Equation.3" ShapeID="_x0000_i1077" DrawAspect="Content" ObjectID="_1472533703" r:id="rId106"/>
        </w:object>
      </w:r>
      <w:r>
        <w:rPr>
          <w:lang w:val="en-US"/>
        </w:rPr>
        <w:t xml:space="preserve"> 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285" w:dyaOrig="375">
          <v:shape id="_x0000_i1078" type="#_x0000_t75" style="width:14.4pt;height:19pt" o:ole="">
            <v:imagedata r:id="rId107" o:title=""/>
          </v:shape>
          <o:OLEObject Type="Embed" ProgID="Equation.3" ShapeID="_x0000_i1078" DrawAspect="Content" ObjectID="_1472533704" r:id="rId108"/>
        </w:object>
      </w:r>
      <w:r>
        <w:rPr>
          <w:lang w:val="en-US"/>
        </w:rPr>
        <w:t xml:space="preserve">is the </w:t>
      </w:r>
      <w:proofErr w:type="spellStart"/>
      <w:r>
        <w:rPr>
          <w:lang w:val="en-US"/>
        </w:rPr>
        <w:t>Kronecker</w:t>
      </w:r>
      <w:proofErr w:type="spellEnd"/>
      <w:r>
        <w:rPr>
          <w:lang w:val="en-US"/>
        </w:rPr>
        <w:t xml:space="preserve"> delta, being equal to 1, if </w:t>
      </w:r>
      <w:r>
        <w:rPr>
          <w:position w:val="-10"/>
          <w:lang w:val="en-US"/>
        </w:rPr>
        <w:object w:dxaOrig="495" w:dyaOrig="300">
          <v:shape id="_x0000_i1079" type="#_x0000_t75" style="width:24.85pt;height:15.05pt" o:ole="">
            <v:imagedata r:id="rId109" o:title=""/>
          </v:shape>
          <o:OLEObject Type="Embed" ProgID="Equation.3" ShapeID="_x0000_i1079" DrawAspect="Content" ObjectID="_1472533705" r:id="rId110"/>
        </w:object>
      </w:r>
      <w:r>
        <w:rPr>
          <w:lang w:val="en-US"/>
        </w:rPr>
        <w:t xml:space="preserve">, and equal to 0, if </w:t>
      </w:r>
      <w:r>
        <w:rPr>
          <w:position w:val="-10"/>
          <w:lang w:val="en-US"/>
        </w:rPr>
        <w:object w:dxaOrig="525" w:dyaOrig="300">
          <v:shape id="_x0000_i1080" type="#_x0000_t75" style="width:26.2pt;height:15.05pt" o:ole="">
            <v:imagedata r:id="rId111" o:title=""/>
          </v:shape>
          <o:OLEObject Type="Embed" ProgID="Equation.3" ShapeID="_x0000_i1080" DrawAspect="Content" ObjectID="_1472533706" r:id="rId112"/>
        </w:object>
      </w:r>
      <w:r>
        <w:rPr>
          <w:lang w:val="en-US"/>
        </w:rPr>
        <w:t xml:space="preserve">. The parameter </w:t>
      </w:r>
      <w:r>
        <w:rPr>
          <w:position w:val="-6"/>
          <w:lang w:val="en-US"/>
        </w:rPr>
        <w:object w:dxaOrig="195" w:dyaOrig="225">
          <v:shape id="_x0000_i1081" type="#_x0000_t75" style="width:9.8pt;height:11.15pt" o:ole="">
            <v:imagedata r:id="rId113" o:title=""/>
          </v:shape>
          <o:OLEObject Type="Embed" ProgID="Equation.3" ShapeID="_x0000_i1081" DrawAspect="Content" ObjectID="_1472533707" r:id="rId114"/>
        </w:object>
      </w:r>
      <w:r>
        <w:rPr>
          <w:lang w:val="en-US"/>
        </w:rPr>
        <w:t xml:space="preserve"> determines the level of </w:t>
      </w:r>
      <w:proofErr w:type="spellStart"/>
      <w:r>
        <w:rPr>
          <w:lang w:val="en-US"/>
        </w:rPr>
        <w:t>assortativeness</w:t>
      </w:r>
      <w:proofErr w:type="spellEnd"/>
      <w:r>
        <w:rPr>
          <w:lang w:val="en-US"/>
        </w:rPr>
        <w:t xml:space="preserve"> in mixing: </w:t>
      </w:r>
      <w:proofErr w:type="gramStart"/>
      <w:r>
        <w:rPr>
          <w:lang w:val="en-US"/>
        </w:rPr>
        <w:t xml:space="preserve">if </w:t>
      </w:r>
      <w:proofErr w:type="gramEnd"/>
      <w:r>
        <w:rPr>
          <w:position w:val="-6"/>
          <w:lang w:val="en-US"/>
        </w:rPr>
        <w:object w:dxaOrig="525" w:dyaOrig="285">
          <v:shape id="_x0000_i1082" type="#_x0000_t75" style="width:26.2pt;height:14.4pt" o:ole="">
            <v:imagedata r:id="rId115" o:title=""/>
          </v:shape>
          <o:OLEObject Type="Embed" ProgID="Equation.3" ShapeID="_x0000_i1082" DrawAspect="Content" ObjectID="_1472533708" r:id="rId116"/>
        </w:object>
      </w:r>
      <w:r>
        <w:rPr>
          <w:lang w:val="en-US"/>
        </w:rPr>
        <w:t xml:space="preserve">, then mixing is purely </w:t>
      </w:r>
      <w:proofErr w:type="spellStart"/>
      <w:r>
        <w:rPr>
          <w:lang w:val="en-US"/>
        </w:rPr>
        <w:t>assortative</w:t>
      </w:r>
      <w:proofErr w:type="spellEnd"/>
      <w:r>
        <w:rPr>
          <w:lang w:val="en-US"/>
        </w:rPr>
        <w:t xml:space="preserve">; if </w:t>
      </w:r>
      <w:r>
        <w:rPr>
          <w:position w:val="-6"/>
          <w:lang w:val="en-US"/>
        </w:rPr>
        <w:object w:dxaOrig="555" w:dyaOrig="285">
          <v:shape id="_x0000_i1083" type="#_x0000_t75" style="width:28.15pt;height:14.4pt" o:ole="">
            <v:imagedata r:id="rId117" o:title=""/>
          </v:shape>
          <o:OLEObject Type="Embed" ProgID="Equation.3" ShapeID="_x0000_i1083" DrawAspect="Content" ObjectID="_1472533709" r:id="rId118"/>
        </w:object>
      </w:r>
      <w:r>
        <w:rPr>
          <w:lang w:val="en-US"/>
        </w:rPr>
        <w:t xml:space="preserve">, then mixing is purely proportionate. Similarly, </w:t>
      </w:r>
      <w:r>
        <w:rPr>
          <w:position w:val="-6"/>
          <w:lang w:val="en-US"/>
        </w:rPr>
        <w:object w:dxaOrig="255" w:dyaOrig="285">
          <v:shape id="_x0000_i1084" type="#_x0000_t75" style="width:13.1pt;height:14.4pt" o:ole="">
            <v:imagedata r:id="rId119" o:title=""/>
          </v:shape>
          <o:OLEObject Type="Embed" ProgID="Equation.3" ShapeID="_x0000_i1084" DrawAspect="Content" ObjectID="_1472533710" r:id="rId120"/>
        </w:object>
      </w:r>
      <w:r>
        <w:rPr>
          <w:lang w:val="en-US"/>
        </w:rPr>
        <w:t xml:space="preserve"> and </w:t>
      </w:r>
      <w:r>
        <w:rPr>
          <w:position w:val="-6"/>
          <w:lang w:val="en-US"/>
        </w:rPr>
        <w:object w:dxaOrig="300" w:dyaOrig="285">
          <v:shape id="_x0000_i1085" type="#_x0000_t75" style="width:15.05pt;height:14.4pt" o:ole="">
            <v:imagedata r:id="rId121" o:title=""/>
          </v:shape>
          <o:OLEObject Type="Embed" ProgID="Equation.3" ShapeID="_x0000_i1085" DrawAspect="Content" ObjectID="_1472533711" r:id="rId122"/>
        </w:object>
      </w:r>
      <w:r>
        <w:rPr>
          <w:lang w:val="en-US"/>
        </w:rPr>
        <w:t xml:space="preserve"> determine the levels of </w:t>
      </w:r>
      <w:proofErr w:type="spellStart"/>
      <w:r>
        <w:rPr>
          <w:lang w:val="en-US"/>
        </w:rPr>
        <w:t>assortativeness</w:t>
      </w:r>
      <w:proofErr w:type="spellEnd"/>
      <w:r>
        <w:rPr>
          <w:lang w:val="en-US"/>
        </w:rPr>
        <w:t xml:space="preserve"> in mixing with single-act and multiple-acts casual partners. We found no data to inform the mixing parameters, but earlier studies have indicated that sexual mixing is mostly </w:t>
      </w:r>
      <w:proofErr w:type="spellStart"/>
      <w:r>
        <w:rPr>
          <w:lang w:val="en-US"/>
        </w:rPr>
        <w:t>assortative</w:t>
      </w:r>
      <w:proofErr w:type="spellEnd"/>
      <w:r>
        <w:rPr>
          <w:lang w:val="en-US"/>
        </w:rPr>
        <w:t xml:space="preserve"> with steady long-lasting partnerships, but less </w:t>
      </w:r>
      <w:proofErr w:type="spellStart"/>
      <w:r>
        <w:rPr>
          <w:lang w:val="en-US"/>
        </w:rPr>
        <w:t>asso</w:t>
      </w:r>
      <w:r w:rsidR="002A567B">
        <w:rPr>
          <w:lang w:val="en-US"/>
        </w:rPr>
        <w:t>rtative</w:t>
      </w:r>
      <w:proofErr w:type="spellEnd"/>
      <w:r w:rsidR="002A567B">
        <w:rPr>
          <w:lang w:val="en-US"/>
        </w:rPr>
        <w:t xml:space="preserve"> with casual partners [3, 4</w:t>
      </w:r>
      <w:r>
        <w:rPr>
          <w:lang w:val="en-US"/>
        </w:rPr>
        <w:t xml:space="preserve">]. Therefore, for steady partners, we assumed that </w:t>
      </w:r>
      <w:r>
        <w:rPr>
          <w:position w:val="-6"/>
          <w:lang w:val="en-US"/>
        </w:rPr>
        <w:object w:dxaOrig="195" w:dyaOrig="225">
          <v:shape id="_x0000_i1086" type="#_x0000_t75" style="width:9.8pt;height:11.15pt" o:ole="">
            <v:imagedata r:id="rId123" o:title=""/>
          </v:shape>
          <o:OLEObject Type="Embed" ProgID="Equation.3" ShapeID="_x0000_i1086" DrawAspect="Content" ObjectID="_1472533712" r:id="rId124"/>
        </w:object>
      </w:r>
      <w:r>
        <w:rPr>
          <w:lang w:val="en-US"/>
        </w:rPr>
        <w:t xml:space="preserve"> is between 50% and 90%, while for casual partners, </w:t>
      </w:r>
      <w:r>
        <w:rPr>
          <w:position w:val="-6"/>
          <w:lang w:val="en-US"/>
        </w:rPr>
        <w:object w:dxaOrig="255" w:dyaOrig="285">
          <v:shape id="_x0000_i1087" type="#_x0000_t75" style="width:13.1pt;height:14.4pt" o:ole="">
            <v:imagedata r:id="rId119" o:title=""/>
          </v:shape>
          <o:OLEObject Type="Embed" ProgID="Equation.3" ShapeID="_x0000_i1087" DrawAspect="Content" ObjectID="_1472533713" r:id="rId125"/>
        </w:object>
      </w:r>
      <w:r>
        <w:rPr>
          <w:lang w:val="en-US"/>
        </w:rPr>
        <w:t xml:space="preserve"> and </w:t>
      </w:r>
      <w:r>
        <w:rPr>
          <w:position w:val="-6"/>
          <w:lang w:val="en-US"/>
        </w:rPr>
        <w:object w:dxaOrig="300" w:dyaOrig="285">
          <v:shape id="_x0000_i1088" type="#_x0000_t75" style="width:15.05pt;height:14.4pt" o:ole="">
            <v:imagedata r:id="rId121" o:title=""/>
          </v:shape>
          <o:OLEObject Type="Embed" ProgID="Equation.3" ShapeID="_x0000_i1088" DrawAspect="Content" ObjectID="_1472533714" r:id="rId126"/>
        </w:object>
      </w:r>
      <w:r>
        <w:rPr>
          <w:lang w:val="en-US"/>
        </w:rPr>
        <w:t xml:space="preserve"> are in the range 30-70%. 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</w:p>
    <w:p w:rsidR="00562BF7" w:rsidRDefault="00562BF7" w:rsidP="00562BF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The four sexual risk groups</w:t>
      </w:r>
    </w:p>
    <w:p w:rsidR="00562BF7" w:rsidRDefault="00562BF7" w:rsidP="00562BF7">
      <w:pPr>
        <w:spacing w:line="360" w:lineRule="auto"/>
        <w:jc w:val="both"/>
        <w:rPr>
          <w:lang w:val="en-US"/>
        </w:rPr>
      </w:pPr>
      <w:r>
        <w:rPr>
          <w:lang w:val="en-US"/>
        </w:rPr>
        <w:t>In the model, MSM may have steady partners, single-act casual partners (with whom they have only one UAI act), and multiple-acts casual partners (with whom they have multiple sexual contacts). The population is divided into four risk groups according to the number of partners. MSM in risk group 1 have no casual partners. MSM in groups 2, 3, and 4 have steady and casual partners, with increasing total number of partners from group 2 to group 4. Parameters relating to sexual behavior were mostly obtained from data from the Amsterdam</w:t>
      </w:r>
      <w:r w:rsidR="002A567B">
        <w:rPr>
          <w:lang w:val="en-US"/>
        </w:rPr>
        <w:t xml:space="preserve"> Cohort Study among MSM (see [2</w:t>
      </w:r>
      <w:r>
        <w:rPr>
          <w:lang w:val="en-US"/>
        </w:rPr>
        <w:t xml:space="preserve">] and references therein). The fraction of the population in risk group 1, 2, 3, 4 is 70%, 20%, 7%, 3%, respectively. The annual rates of partner change for MSM in risk group 1, 2, 3, and 4 are: </w:t>
      </w:r>
    </w:p>
    <w:p w:rsidR="00562BF7" w:rsidRDefault="00562BF7" w:rsidP="00562BF7"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en-US"/>
        </w:rPr>
      </w:pPr>
      <w:r>
        <w:rPr>
          <w:lang w:val="en-US"/>
        </w:rPr>
        <w:t xml:space="preserve">For steady partners: 0.27, 0.26, 0.32, and 0.54, respectively; </w:t>
      </w:r>
    </w:p>
    <w:p w:rsidR="00562BF7" w:rsidRDefault="00562BF7" w:rsidP="00562BF7"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en-US"/>
        </w:rPr>
      </w:pPr>
      <w:r>
        <w:rPr>
          <w:lang w:val="en-US"/>
        </w:rPr>
        <w:t>For single-act casual partners: 0, 1.36, 4.52, and 20.6, respectively;</w:t>
      </w:r>
    </w:p>
    <w:p w:rsidR="007003A4" w:rsidRPr="00562BF7" w:rsidRDefault="00562BF7" w:rsidP="00562BF7"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en-US"/>
        </w:rPr>
      </w:pPr>
      <w:r>
        <w:rPr>
          <w:lang w:val="en-US"/>
        </w:rPr>
        <w:t xml:space="preserve"> </w:t>
      </w:r>
      <w:r w:rsidRPr="00562BF7">
        <w:rPr>
          <w:lang w:val="en-US"/>
        </w:rPr>
        <w:t>For multiple-act casual partners: 0, 1.36, 3.48, and 13, respectively.</w:t>
      </w:r>
    </w:p>
    <w:p w:rsidR="00562BF7" w:rsidRDefault="00562BF7"/>
    <w:p w:rsidR="002A567B" w:rsidRDefault="002A567B"/>
    <w:p w:rsidR="002A567B" w:rsidRDefault="002A567B" w:rsidP="002A567B">
      <w:pPr>
        <w:spacing w:line="360" w:lineRule="auto"/>
        <w:rPr>
          <w:b/>
        </w:rPr>
      </w:pPr>
      <w:r w:rsidRPr="002A567B">
        <w:rPr>
          <w:b/>
        </w:rPr>
        <w:t>REFERENCES</w:t>
      </w:r>
    </w:p>
    <w:p w:rsidR="002A567B" w:rsidRDefault="002A567B" w:rsidP="002A567B">
      <w:pPr>
        <w:spacing w:line="360" w:lineRule="auto"/>
        <w:ind w:left="284" w:hanging="284"/>
        <w:jc w:val="both"/>
        <w:rPr>
          <w:lang w:val="en-GB"/>
        </w:rPr>
      </w:pPr>
      <w:r w:rsidRPr="0009572A">
        <w:rPr>
          <w:lang w:val="en-GB"/>
        </w:rPr>
        <w:t>1.</w:t>
      </w:r>
      <w:r>
        <w:rPr>
          <w:b/>
          <w:lang w:val="en-GB"/>
        </w:rPr>
        <w:t xml:space="preserve"> </w:t>
      </w:r>
      <w:r w:rsidRPr="00DB4BBC">
        <w:rPr>
          <w:b/>
          <w:lang w:val="en-GB"/>
        </w:rPr>
        <w:t xml:space="preserve">Bonhoeffer S, </w:t>
      </w:r>
      <w:proofErr w:type="spellStart"/>
      <w:r w:rsidRPr="00DB4BBC">
        <w:rPr>
          <w:b/>
          <w:lang w:val="en-GB"/>
        </w:rPr>
        <w:t>Lipsitch</w:t>
      </w:r>
      <w:proofErr w:type="spellEnd"/>
      <w:r w:rsidRPr="00DB4BBC">
        <w:rPr>
          <w:b/>
          <w:lang w:val="en-GB"/>
        </w:rPr>
        <w:t xml:space="preserve"> M, Levin BR.</w:t>
      </w:r>
      <w:r w:rsidRPr="00DB4BBC">
        <w:rPr>
          <w:lang w:val="en-GB"/>
        </w:rPr>
        <w:t xml:space="preserve"> Evaluating treatment protocols to prevent antibiotic resistance. </w:t>
      </w:r>
      <w:r w:rsidRPr="00DB4BBC">
        <w:rPr>
          <w:i/>
          <w:lang w:val="en-GB"/>
        </w:rPr>
        <w:t>Proceedings of the National Academy of Sciences USA</w:t>
      </w:r>
      <w:r w:rsidRPr="00DB4BBC">
        <w:rPr>
          <w:lang w:val="en-GB"/>
        </w:rPr>
        <w:t xml:space="preserve"> 1997; </w:t>
      </w:r>
      <w:r w:rsidRPr="00DB4BBC">
        <w:rPr>
          <w:b/>
          <w:lang w:val="en-GB"/>
        </w:rPr>
        <w:t>94</w:t>
      </w:r>
      <w:r w:rsidRPr="00DB4BBC">
        <w:rPr>
          <w:lang w:val="en-GB"/>
        </w:rPr>
        <w:t>: 12106-12111.</w:t>
      </w:r>
    </w:p>
    <w:p w:rsidR="002A567B" w:rsidRDefault="002A567B" w:rsidP="002A567B">
      <w:pPr>
        <w:spacing w:line="360" w:lineRule="auto"/>
        <w:ind w:left="284" w:hanging="284"/>
        <w:jc w:val="both"/>
        <w:rPr>
          <w:lang w:val="en-GB"/>
        </w:rPr>
      </w:pPr>
      <w:r w:rsidRPr="0009572A">
        <w:t>2.</w:t>
      </w:r>
      <w:r>
        <w:rPr>
          <w:b/>
        </w:rPr>
        <w:t xml:space="preserve"> </w:t>
      </w:r>
      <w:r w:rsidRPr="00DB4BBC">
        <w:rPr>
          <w:b/>
        </w:rPr>
        <w:t xml:space="preserve">Xiridou M, </w:t>
      </w:r>
      <w:r w:rsidRPr="00DB4BBC">
        <w:rPr>
          <w:b/>
          <w:i/>
        </w:rPr>
        <w:t>et al</w:t>
      </w:r>
      <w:r w:rsidRPr="00DB4BBC">
        <w:rPr>
          <w:b/>
        </w:rPr>
        <w:t>.</w:t>
      </w:r>
      <w:r w:rsidRPr="00DB4BBC">
        <w:t xml:space="preserve"> </w:t>
      </w:r>
      <w:r w:rsidRPr="00DB4BBC">
        <w:rPr>
          <w:lang w:val="en-US"/>
        </w:rPr>
        <w:t xml:space="preserve">Modelling the impact of chlamydia screening </w:t>
      </w:r>
      <w:r w:rsidRPr="00DB4BBC">
        <w:rPr>
          <w:lang w:val="en-GB"/>
        </w:rPr>
        <w:t xml:space="preserve">on the transmission of HIV among men who have sex with men. </w:t>
      </w:r>
      <w:r w:rsidRPr="00DB4BBC">
        <w:rPr>
          <w:i/>
          <w:lang w:val="en-GB"/>
        </w:rPr>
        <w:t>BMC Infectious Diseases</w:t>
      </w:r>
      <w:r w:rsidRPr="00DB4BBC">
        <w:rPr>
          <w:lang w:val="en-GB"/>
        </w:rPr>
        <w:t xml:space="preserve"> 2013; </w:t>
      </w:r>
      <w:r w:rsidRPr="00DB4BBC">
        <w:rPr>
          <w:b/>
          <w:lang w:val="en-GB"/>
        </w:rPr>
        <w:t>13</w:t>
      </w:r>
      <w:r w:rsidRPr="00DB4BBC">
        <w:rPr>
          <w:lang w:val="en-GB"/>
        </w:rPr>
        <w:t>: 436.</w:t>
      </w:r>
    </w:p>
    <w:p w:rsidR="002A567B" w:rsidRPr="00DB4BBC" w:rsidRDefault="002A567B" w:rsidP="002A567B">
      <w:pPr>
        <w:spacing w:line="360" w:lineRule="auto"/>
        <w:ind w:left="284" w:hanging="284"/>
        <w:jc w:val="both"/>
        <w:rPr>
          <w:lang w:val="en-GB"/>
        </w:rPr>
      </w:pPr>
      <w:r w:rsidRPr="0009572A">
        <w:rPr>
          <w:lang w:val="en-GB"/>
        </w:rPr>
        <w:t>3.</w:t>
      </w:r>
      <w:r>
        <w:rPr>
          <w:b/>
          <w:lang w:val="en-GB"/>
        </w:rPr>
        <w:t xml:space="preserve"> </w:t>
      </w:r>
      <w:r w:rsidRPr="00DB4BBC">
        <w:rPr>
          <w:b/>
          <w:lang w:val="en-GB"/>
        </w:rPr>
        <w:t xml:space="preserve">Garnett GP, </w:t>
      </w:r>
      <w:r w:rsidRPr="00DB4BBC">
        <w:rPr>
          <w:b/>
          <w:i/>
          <w:lang w:val="en-GB"/>
        </w:rPr>
        <w:t>et al</w:t>
      </w:r>
      <w:r w:rsidRPr="00DB4BBC">
        <w:rPr>
          <w:b/>
          <w:lang w:val="en-GB"/>
        </w:rPr>
        <w:t>.</w:t>
      </w:r>
      <w:r w:rsidRPr="00DB4BBC">
        <w:rPr>
          <w:lang w:val="en-GB"/>
        </w:rPr>
        <w:t xml:space="preserve"> Sexual mixing patterns of patients attending sexually transmitted diseases clinics. </w:t>
      </w:r>
      <w:r w:rsidRPr="00DB4BBC">
        <w:rPr>
          <w:i/>
          <w:lang w:val="en-GB"/>
        </w:rPr>
        <w:t>Sexually Transmitted Diseases</w:t>
      </w:r>
      <w:r w:rsidRPr="00DB4BBC">
        <w:rPr>
          <w:lang w:val="en-GB"/>
        </w:rPr>
        <w:t xml:space="preserve"> 1996; </w:t>
      </w:r>
      <w:r w:rsidRPr="00DB4BBC">
        <w:rPr>
          <w:b/>
          <w:lang w:val="en-GB"/>
        </w:rPr>
        <w:t>23</w:t>
      </w:r>
      <w:r w:rsidRPr="00DB4BBC">
        <w:rPr>
          <w:lang w:val="en-GB"/>
        </w:rPr>
        <w:t xml:space="preserve">: 248-257. </w:t>
      </w:r>
    </w:p>
    <w:p w:rsidR="002A567B" w:rsidRPr="002A567B" w:rsidRDefault="002A567B" w:rsidP="002A567B">
      <w:pPr>
        <w:spacing w:line="360" w:lineRule="auto"/>
        <w:ind w:left="284" w:hanging="284"/>
        <w:rPr>
          <w:b/>
        </w:rPr>
      </w:pPr>
      <w:r w:rsidRPr="0009572A">
        <w:rPr>
          <w:lang w:val="en-GB"/>
        </w:rPr>
        <w:t>4.</w:t>
      </w:r>
      <w:r>
        <w:rPr>
          <w:b/>
          <w:lang w:val="en-GB"/>
        </w:rPr>
        <w:t xml:space="preserve"> </w:t>
      </w:r>
      <w:r w:rsidRPr="00DB4BBC">
        <w:rPr>
          <w:b/>
          <w:lang w:val="en-GB"/>
        </w:rPr>
        <w:t xml:space="preserve">Schneider JA, </w:t>
      </w:r>
      <w:r w:rsidRPr="00DB4BBC">
        <w:rPr>
          <w:b/>
          <w:i/>
          <w:lang w:val="en-GB"/>
        </w:rPr>
        <w:t>et al</w:t>
      </w:r>
      <w:r w:rsidRPr="00DB4BBC">
        <w:rPr>
          <w:b/>
          <w:lang w:val="en-GB"/>
        </w:rPr>
        <w:t>.</w:t>
      </w:r>
      <w:r w:rsidRPr="00DB4BBC">
        <w:rPr>
          <w:lang w:val="en-GB"/>
        </w:rPr>
        <w:t xml:space="preserve"> Network mixing and network influences most linked to HIV infection and risk </w:t>
      </w:r>
      <w:proofErr w:type="spellStart"/>
      <w:r w:rsidRPr="00DB4BBC">
        <w:rPr>
          <w:lang w:val="en-GB"/>
        </w:rPr>
        <w:t>behavior</w:t>
      </w:r>
      <w:proofErr w:type="spellEnd"/>
      <w:r w:rsidRPr="00DB4BBC">
        <w:rPr>
          <w:lang w:val="en-GB"/>
        </w:rPr>
        <w:t xml:space="preserve"> in a Black men who have sex with men HIV epidemic. </w:t>
      </w:r>
      <w:r w:rsidRPr="00DB4BBC">
        <w:rPr>
          <w:i/>
          <w:lang w:val="en-GB"/>
        </w:rPr>
        <w:t>American Journal of Pu</w:t>
      </w:r>
      <w:bookmarkStart w:id="0" w:name="_GoBack"/>
      <w:bookmarkEnd w:id="0"/>
      <w:r w:rsidRPr="00DB4BBC">
        <w:rPr>
          <w:i/>
          <w:lang w:val="en-GB"/>
        </w:rPr>
        <w:t>blic Health</w:t>
      </w:r>
      <w:r w:rsidRPr="00DB4BBC">
        <w:rPr>
          <w:lang w:val="en-GB"/>
        </w:rPr>
        <w:t xml:space="preserve"> 2013; </w:t>
      </w:r>
      <w:r w:rsidRPr="00DB4BBC">
        <w:rPr>
          <w:b/>
          <w:lang w:val="en-GB"/>
        </w:rPr>
        <w:t>103</w:t>
      </w:r>
      <w:r w:rsidRPr="00DB4BBC">
        <w:rPr>
          <w:lang w:val="en-GB"/>
        </w:rPr>
        <w:t>: e28-e36.</w:t>
      </w:r>
    </w:p>
    <w:sectPr w:rsidR="002A567B" w:rsidRPr="002A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6AB8"/>
    <w:multiLevelType w:val="hybridMultilevel"/>
    <w:tmpl w:val="E90CF5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F7"/>
    <w:rsid w:val="001E340A"/>
    <w:rsid w:val="002A567B"/>
    <w:rsid w:val="00562BF7"/>
    <w:rsid w:val="007003A4"/>
    <w:rsid w:val="00727B15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9D5DA-76B1-4392-B4D5-F87AA2DD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26" Type="http://schemas.openxmlformats.org/officeDocument/2006/relationships/oleObject" Target="embeddings/oleObject6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2014-09-08T05:48:00Z</dcterms:created>
  <dcterms:modified xsi:type="dcterms:W3CDTF">2014-09-18T07:20:00Z</dcterms:modified>
</cp:coreProperties>
</file>