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3454" w14:textId="77777777" w:rsidR="006D6486" w:rsidRPr="00B907CE" w:rsidRDefault="006D6486" w:rsidP="006D6486">
      <w:pPr>
        <w:jc w:val="both"/>
        <w:rPr>
          <w:rFonts w:ascii="Arial" w:hAnsi="Arial"/>
          <w:sz w:val="20"/>
          <w:lang w:val="en-GB"/>
        </w:rPr>
      </w:pPr>
      <w:bookmarkStart w:id="0" w:name="_GoBack"/>
      <w:bookmarkEnd w:id="0"/>
    </w:p>
    <w:p w14:paraId="59364C90" w14:textId="77777777" w:rsidR="006D6486" w:rsidRPr="00B907CE" w:rsidRDefault="006D6486" w:rsidP="006D6486">
      <w:pPr>
        <w:jc w:val="both"/>
        <w:rPr>
          <w:rFonts w:ascii="Arial" w:hAnsi="Arial"/>
          <w:sz w:val="20"/>
          <w:lang w:val="en-GB"/>
        </w:rPr>
      </w:pPr>
    </w:p>
    <w:p w14:paraId="1324062F" w14:textId="77777777" w:rsidR="006D6486" w:rsidRDefault="00F95DE1" w:rsidP="006D648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Supplementary Table </w:t>
      </w:r>
      <w:r w:rsidR="00DC6DF8">
        <w:rPr>
          <w:rFonts w:ascii="Arial" w:hAnsi="Arial"/>
          <w:sz w:val="20"/>
          <w:lang w:val="en-GB"/>
        </w:rPr>
        <w:t>3</w:t>
      </w:r>
      <w:r w:rsidR="006D6486">
        <w:rPr>
          <w:rFonts w:ascii="Arial" w:hAnsi="Arial"/>
          <w:sz w:val="20"/>
          <w:lang w:val="en-GB"/>
        </w:rPr>
        <w:t xml:space="preserve">: Apathy Scales and interviews </w:t>
      </w:r>
    </w:p>
    <w:p w14:paraId="680DF2B1" w14:textId="77777777" w:rsidR="006D6486" w:rsidRPr="00F95DE1" w:rsidRDefault="006D6486" w:rsidP="006D6486">
      <w:pPr>
        <w:rPr>
          <w:rFonts w:ascii="Arial" w:eastAsia="Helvetica Neue" w:hAnsi="Arial" w:cs="Arial"/>
          <w:color w:val="000000" w:themeColor="text1"/>
          <w:u w:color="000000"/>
          <w:lang w:val="en-GB" w:eastAsia="fr-FR"/>
        </w:rPr>
      </w:pPr>
    </w:p>
    <w:tbl>
      <w:tblPr>
        <w:tblStyle w:val="Tablanormal51"/>
        <w:tblW w:w="10414" w:type="dxa"/>
        <w:tblBorders>
          <w:top w:val="single" w:sz="4" w:space="0" w:color="F8F7F2" w:themeColor="background2" w:themeTint="66"/>
          <w:left w:val="single" w:sz="4" w:space="0" w:color="F8F7F2" w:themeColor="background2" w:themeTint="66"/>
          <w:bottom w:val="single" w:sz="4" w:space="0" w:color="F8F7F2" w:themeColor="background2" w:themeTint="66"/>
          <w:right w:val="single" w:sz="4" w:space="0" w:color="F8F7F2" w:themeColor="background2" w:themeTint="66"/>
          <w:insideH w:val="single" w:sz="4" w:space="0" w:color="F8F7F2" w:themeColor="background2" w:themeTint="66"/>
          <w:insideV w:val="single" w:sz="4" w:space="0" w:color="F8F7F2" w:themeColor="background2" w:themeTint="6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08"/>
        <w:gridCol w:w="3286"/>
        <w:gridCol w:w="3118"/>
      </w:tblGrid>
      <w:tr w:rsidR="006D6486" w:rsidRPr="00A67AAA" w14:paraId="56948EE2" w14:textId="77777777" w:rsidTr="00E73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14:paraId="7A246449" w14:textId="77777777" w:rsidR="006D6486" w:rsidRPr="00360FFF" w:rsidRDefault="006D6486" w:rsidP="00E7369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1284B9D" w14:textId="77777777" w:rsidR="006D6486" w:rsidRPr="00360FFF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FFF">
              <w:rPr>
                <w:rFonts w:ascii="Arial" w:hAnsi="Arial" w:cs="Arial"/>
                <w:sz w:val="18"/>
                <w:szCs w:val="18"/>
                <w:lang w:val="en-US"/>
              </w:rPr>
              <w:t>Scale for:</w:t>
            </w:r>
          </w:p>
        </w:tc>
        <w:tc>
          <w:tcPr>
            <w:tcW w:w="3286" w:type="dxa"/>
          </w:tcPr>
          <w:p w14:paraId="61E9B30E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FFF">
              <w:rPr>
                <w:rFonts w:ascii="Arial" w:hAnsi="Arial" w:cs="Arial"/>
                <w:sz w:val="18"/>
                <w:szCs w:val="18"/>
                <w:lang w:val="en-US"/>
              </w:rPr>
              <w:t>Apathy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imensions</w:t>
            </w:r>
            <w:r w:rsidRPr="00360FFF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  <w:p w14:paraId="5D8704F0" w14:textId="77777777" w:rsidR="006D6486" w:rsidRPr="00360FF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Apathy specific **</w:t>
            </w:r>
          </w:p>
        </w:tc>
        <w:tc>
          <w:tcPr>
            <w:tcW w:w="3118" w:type="dxa"/>
          </w:tcPr>
          <w:p w14:paraId="1FD557C3" w14:textId="77777777" w:rsidR="006D6486" w:rsidRPr="002F4A59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A59">
              <w:rPr>
                <w:rFonts w:ascii="Arial" w:hAnsi="Arial" w:cs="Arial"/>
                <w:sz w:val="18"/>
                <w:szCs w:val="18"/>
                <w:lang w:val="en-US"/>
              </w:rPr>
              <w:t xml:space="preserve">Original study population </w:t>
            </w:r>
          </w:p>
        </w:tc>
      </w:tr>
      <w:tr w:rsidR="006D6486" w:rsidRPr="00A67AAA" w14:paraId="20EF2B3F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C3A530A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u w:color="00000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Brief Psychiatric Rating Scale (BPRS)</w:t>
            </w:r>
          </w:p>
          <w:p w14:paraId="04905F6F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b w:val="0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 w:rsidR="00721526">
              <w:rPr>
                <w:rFonts w:ascii="Arial" w:hAnsi="Arial" w:cs="Arial"/>
                <w:sz w:val="18"/>
              </w:rPr>
              <w:t>1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6" w:history="1">
              <w:r w:rsidRPr="0039239F">
                <w:rPr>
                  <w:rStyle w:val="Hyperlink0"/>
                  <w:rFonts w:ascii="Arial" w:hAnsi="Arial" w:cs="Arial"/>
                  <w:sz w:val="18"/>
                  <w:lang w:val="en-US"/>
                </w:rPr>
                <w:t>Overall and Gorham (1962)</w:t>
              </w:r>
            </w:hyperlink>
          </w:p>
        </w:tc>
        <w:tc>
          <w:tcPr>
            <w:tcW w:w="1208" w:type="dxa"/>
          </w:tcPr>
          <w:p w14:paraId="31A9CCAA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D2568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5A1D5718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2568">
              <w:rPr>
                <w:rFonts w:ascii="Arial" w:hAnsi="Arial" w:cs="Arial"/>
                <w:sz w:val="18"/>
                <w:szCs w:val="18"/>
                <w:lang w:val="en-US"/>
              </w:rPr>
              <w:t>Emotion</w:t>
            </w:r>
          </w:p>
          <w:p w14:paraId="32A31C8B" w14:textId="77777777" w:rsidR="006D6486" w:rsidRPr="00A67AAA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368ADEC2" w14:textId="77777777" w:rsidR="006D6486" w:rsidRPr="00A67AAA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2568">
              <w:rPr>
                <w:rFonts w:ascii="Arial" w:hAnsi="Arial" w:cs="Arial"/>
                <w:sz w:val="18"/>
                <w:szCs w:val="18"/>
                <w:lang w:val="en-US"/>
              </w:rPr>
              <w:t xml:space="preserve">Paranoia </w:t>
            </w:r>
          </w:p>
          <w:p w14:paraId="08907F4A" w14:textId="77777777" w:rsidR="006D6486" w:rsidRPr="00A67AAA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2568">
              <w:rPr>
                <w:rFonts w:ascii="Arial" w:hAnsi="Arial" w:cs="Arial"/>
                <w:sz w:val="18"/>
                <w:szCs w:val="18"/>
                <w:lang w:val="en-US"/>
              </w:rPr>
              <w:t>Schizophrenia</w:t>
            </w:r>
          </w:p>
          <w:p w14:paraId="2A6FDFF3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Depression</w:t>
            </w:r>
          </w:p>
        </w:tc>
      </w:tr>
      <w:tr w:rsidR="006D6486" w:rsidRPr="00A67AAA" w14:paraId="4D6820B7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25ACBAF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Positive and Negative Syndrome Scale (PANSS)</w:t>
            </w: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br/>
            </w:r>
            <w:r>
              <w:rPr>
                <w:rFonts w:ascii="Arial" w:hAnsi="Arial" w:cs="Arial"/>
                <w:sz w:val="18"/>
              </w:rPr>
              <w:t>[</w:t>
            </w:r>
            <w:r w:rsidR="00721526">
              <w:rPr>
                <w:rFonts w:ascii="Arial" w:hAnsi="Arial" w:cs="Arial"/>
                <w:sz w:val="18"/>
              </w:rPr>
              <w:t>2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7" w:history="1">
              <w:r w:rsidRPr="0039239F">
                <w:rPr>
                  <w:rStyle w:val="Hyperlink1"/>
                  <w:rFonts w:ascii="Arial" w:hAnsi="Arial" w:cs="Arial"/>
                  <w:sz w:val="18"/>
                </w:rPr>
                <w:t>Kay et al. (1987)</w:t>
              </w:r>
            </w:hyperlink>
          </w:p>
        </w:tc>
        <w:tc>
          <w:tcPr>
            <w:tcW w:w="1208" w:type="dxa"/>
          </w:tcPr>
          <w:p w14:paraId="4044AA1A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253E83C2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bCs/>
                <w:sz w:val="18"/>
                <w:szCs w:val="18"/>
                <w:lang w:val="en-US"/>
              </w:rPr>
              <w:t>Emotion, Social Interaction</w:t>
            </w:r>
          </w:p>
          <w:p w14:paraId="6A517AEC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52E59A95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bCs/>
                <w:sz w:val="18"/>
                <w:szCs w:val="18"/>
                <w:lang w:val="en-US"/>
              </w:rPr>
              <w:t>Schizophrenia</w:t>
            </w:r>
          </w:p>
        </w:tc>
      </w:tr>
      <w:tr w:rsidR="006D6486" w:rsidRPr="00A67AAA" w14:paraId="1D9AC81D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EBBFD79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u w:color="00000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Scale for the Assessment of Negative Symptoms (SANS)</w:t>
            </w:r>
          </w:p>
          <w:p w14:paraId="7CF7E17F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 w:rsidR="00721526">
              <w:rPr>
                <w:rFonts w:ascii="Arial" w:hAnsi="Arial" w:cs="Arial"/>
                <w:sz w:val="18"/>
              </w:rPr>
              <w:t>3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8" w:history="1">
              <w:r w:rsidRPr="0039239F">
                <w:rPr>
                  <w:rStyle w:val="Hyperlink1"/>
                  <w:rFonts w:ascii="Arial" w:hAnsi="Arial" w:cs="Arial"/>
                  <w:sz w:val="18"/>
                </w:rPr>
                <w:t>Andreasen (1989)</w:t>
              </w:r>
            </w:hyperlink>
          </w:p>
        </w:tc>
        <w:tc>
          <w:tcPr>
            <w:tcW w:w="1208" w:type="dxa"/>
          </w:tcPr>
          <w:p w14:paraId="4C92BD79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347B9A02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Emotion, Social interaction</w:t>
            </w:r>
          </w:p>
          <w:p w14:paraId="04D00A68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14:paraId="3C2BFCCA" w14:textId="77777777" w:rsidR="006D6486" w:rsidRPr="00A67AAA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14:paraId="7E8DB662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bCs/>
                <w:sz w:val="18"/>
                <w:szCs w:val="18"/>
                <w:lang w:val="en-US"/>
              </w:rPr>
              <w:t>Schizophrenia</w:t>
            </w:r>
          </w:p>
        </w:tc>
      </w:tr>
      <w:tr w:rsidR="006D6486" w:rsidRPr="00A67AAA" w14:paraId="7AF68906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5FBB369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i w:val="0"/>
                <w:iCs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 xml:space="preserve">Apathy Evaluation Scale </w:t>
            </w:r>
          </w:p>
          <w:p w14:paraId="341EA9CC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(AES-S/I/C)</w:t>
            </w:r>
          </w:p>
          <w:p w14:paraId="1764CB1B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4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9" w:history="1"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</w:rPr>
                <w:t>Marin et al. (1991)</w:t>
              </w:r>
            </w:hyperlink>
          </w:p>
        </w:tc>
        <w:tc>
          <w:tcPr>
            <w:tcW w:w="1208" w:type="dxa"/>
          </w:tcPr>
          <w:p w14:paraId="10D0960A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Self-report</w:t>
            </w:r>
          </w:p>
          <w:p w14:paraId="2D18BF32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  <w:p w14:paraId="296BB888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24930B4E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38257745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105D53EE" w14:textId="77777777" w:rsidR="006D6486" w:rsidRPr="00A67AAA" w:rsidRDefault="006D6486" w:rsidP="00E73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bdr w:val="none" w:sz="0" w:space="0" w:color="auto"/>
              </w:rPr>
            </w:pPr>
            <w:r w:rsidRPr="00CF2F2C">
              <w:rPr>
                <w:rFonts w:ascii="Arial" w:eastAsia="Times New Roman" w:hAnsi="Arial" w:cs="Arial"/>
                <w:sz w:val="18"/>
                <w:bdr w:val="none" w:sz="0" w:space="0" w:color="auto"/>
              </w:rPr>
              <w:t>AD (Alzheimer’s disease),</w:t>
            </w:r>
          </w:p>
          <w:p w14:paraId="67699E56" w14:textId="77777777" w:rsidR="006D6486" w:rsidRPr="00A67AAA" w:rsidRDefault="006D6486" w:rsidP="00E73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bdr w:val="none" w:sz="0" w:space="0" w:color="auto"/>
              </w:rPr>
            </w:pPr>
            <w:r w:rsidRPr="00CF2F2C">
              <w:rPr>
                <w:rFonts w:ascii="Arial" w:eastAsia="Times New Roman" w:hAnsi="Arial" w:cs="Arial"/>
                <w:sz w:val="18"/>
                <w:bdr w:val="none" w:sz="0" w:space="0" w:color="auto"/>
              </w:rPr>
              <w:t>Brain injury,</w:t>
            </w:r>
          </w:p>
          <w:p w14:paraId="59EC3104" w14:textId="77777777" w:rsidR="006D6486" w:rsidRPr="00A67AAA" w:rsidRDefault="006D6486" w:rsidP="00E73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bdr w:val="none" w:sz="0" w:space="0" w:color="auto"/>
              </w:rPr>
            </w:pPr>
            <w:r w:rsidRPr="00CF2F2C">
              <w:rPr>
                <w:rFonts w:ascii="Arial" w:eastAsia="Times New Roman" w:hAnsi="Arial" w:cs="Arial"/>
                <w:sz w:val="18"/>
                <w:bdr w:val="none" w:sz="0" w:space="0" w:color="auto"/>
              </w:rPr>
              <w:t>Major depression</w:t>
            </w:r>
          </w:p>
          <w:p w14:paraId="5521563F" w14:textId="77777777" w:rsidR="006D6486" w:rsidRPr="00CF2F2C" w:rsidRDefault="006D6486" w:rsidP="00E7369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02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6486" w:rsidRPr="00A67AAA" w14:paraId="6866042B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F398B9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39239F">
              <w:rPr>
                <w:rFonts w:ascii="Arial" w:hAnsi="Arial" w:cs="Arial"/>
                <w:sz w:val="18"/>
                <w:szCs w:val="20"/>
              </w:rPr>
              <w:t>Apathy Scale (AS)</w:t>
            </w:r>
          </w:p>
          <w:p w14:paraId="4236E0A0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5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0" w:history="1"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</w:rPr>
                <w:t xml:space="preserve">Starkstein et al. </w:t>
              </w:r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  <w:lang w:val="en-US"/>
                </w:rPr>
                <w:t>(1992)</w:t>
              </w:r>
            </w:hyperlink>
          </w:p>
        </w:tc>
        <w:tc>
          <w:tcPr>
            <w:tcW w:w="1208" w:type="dxa"/>
          </w:tcPr>
          <w:p w14:paraId="4E5437C9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0FECF5CF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109ECD3C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373431C4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PD (Parkinson’s disease)</w:t>
            </w:r>
          </w:p>
        </w:tc>
      </w:tr>
      <w:tr w:rsidR="006D6486" w:rsidRPr="00A67AAA" w14:paraId="5A242E3B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BAC8E7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Neuropsychiatric Inventory NPI</w:t>
            </w:r>
          </w:p>
          <w:p w14:paraId="14BA133F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[6</w:t>
            </w:r>
            <w:r w:rsidR="006D6486"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1" w:history="1">
              <w:r w:rsidR="006D6486" w:rsidRPr="0039239F">
                <w:rPr>
                  <w:rStyle w:val="Hyperlink0"/>
                  <w:rFonts w:ascii="Arial" w:hAnsi="Arial" w:cs="Arial"/>
                  <w:sz w:val="18"/>
                  <w:szCs w:val="20"/>
                  <w:lang w:val="en-US"/>
                </w:rPr>
                <w:t>Cummings et al. (1994)</w:t>
              </w:r>
            </w:hyperlink>
          </w:p>
        </w:tc>
        <w:tc>
          <w:tcPr>
            <w:tcW w:w="1208" w:type="dxa"/>
          </w:tcPr>
          <w:p w14:paraId="41811CBF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</w:tc>
        <w:tc>
          <w:tcPr>
            <w:tcW w:w="3286" w:type="dxa"/>
          </w:tcPr>
          <w:p w14:paraId="1138A275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</w:t>
            </w:r>
            <w:r w:rsidRPr="00CF2F2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Emotion</w:t>
            </w:r>
          </w:p>
          <w:p w14:paraId="44BD1887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2562CB76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</w:tc>
      </w:tr>
      <w:tr w:rsidR="006D6486" w:rsidRPr="00A67AAA" w14:paraId="17B9407A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90E6866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u w:color="00000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Unified Parkinson’s Disease Rating Scale (UPDRS) 1 item</w:t>
            </w:r>
          </w:p>
          <w:p w14:paraId="78C7D829" w14:textId="77777777" w:rsidR="006D6486" w:rsidRPr="0039239F" w:rsidRDefault="0072152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[7</w:t>
            </w:r>
            <w:r w:rsidR="006D6486" w:rsidRPr="0039239F">
              <w:rPr>
                <w:rFonts w:ascii="Arial" w:hAnsi="Arial" w:cs="Arial"/>
                <w:sz w:val="18"/>
              </w:rPr>
              <w:t xml:space="preserve">] </w:t>
            </w:r>
            <w:hyperlink r:id="rId12" w:history="1">
              <w:r w:rsidR="006D6486" w:rsidRPr="0039239F">
                <w:rPr>
                  <w:rStyle w:val="Hyperlink1"/>
                  <w:rFonts w:ascii="Arial" w:hAnsi="Arial" w:cs="Arial"/>
                  <w:sz w:val="18"/>
                </w:rPr>
                <w:t>Martinez-Sarriez et al. (1994)</w:t>
              </w:r>
            </w:hyperlink>
          </w:p>
        </w:tc>
        <w:tc>
          <w:tcPr>
            <w:tcW w:w="1208" w:type="dxa"/>
          </w:tcPr>
          <w:p w14:paraId="25BC8532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4C4EA302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</w:t>
            </w:r>
          </w:p>
          <w:p w14:paraId="7FD06761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791AE467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</w:p>
        </w:tc>
      </w:tr>
      <w:tr w:rsidR="006D6486" w:rsidRPr="00A67AAA" w14:paraId="39B56CE9" w14:textId="77777777" w:rsidTr="00E73692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8EB41F1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u w:color="00000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The Behavioural Assessment of Dysexecutive Syndrome- DEX</w:t>
            </w:r>
          </w:p>
          <w:p w14:paraId="344D882D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after="200" w:line="276" w:lineRule="auto"/>
              <w:ind w:left="167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[8</w:t>
            </w:r>
            <w:r w:rsidR="006D6486"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3" w:anchor="page=38" w:history="1">
              <w:r w:rsidR="006D6486" w:rsidRPr="0039239F">
                <w:rPr>
                  <w:rStyle w:val="Hyperlink1"/>
                  <w:rFonts w:ascii="Arial" w:hAnsi="Arial" w:cs="Arial"/>
                  <w:sz w:val="18"/>
                  <w:szCs w:val="20"/>
                </w:rPr>
                <w:t>Wilson et al. (1996)</w:t>
              </w:r>
            </w:hyperlink>
          </w:p>
        </w:tc>
        <w:tc>
          <w:tcPr>
            <w:tcW w:w="1208" w:type="dxa"/>
          </w:tcPr>
          <w:p w14:paraId="1D6E0715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  <w:p w14:paraId="21127737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Self-report</w:t>
            </w:r>
          </w:p>
        </w:tc>
        <w:tc>
          <w:tcPr>
            <w:tcW w:w="3286" w:type="dxa"/>
          </w:tcPr>
          <w:p w14:paraId="5C743080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70758F31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69032BD5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Brain injury</w:t>
            </w:r>
          </w:p>
        </w:tc>
      </w:tr>
      <w:tr w:rsidR="006D6486" w:rsidRPr="00A67AAA" w14:paraId="67DFB309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01FFB05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Irritability-Apathy Scale (IAS)</w:t>
            </w:r>
            <w:r w:rsidR="00721526">
              <w:rPr>
                <w:rStyle w:val="Hyperlink1"/>
                <w:rFonts w:ascii="Arial" w:hAnsi="Arial" w:cs="Arial"/>
                <w:b w:val="0"/>
                <w:sz w:val="18"/>
              </w:rPr>
              <w:t xml:space="preserve"> </w:t>
            </w:r>
            <w:r w:rsidR="00721526">
              <w:rPr>
                <w:rFonts w:ascii="Arial" w:hAnsi="Arial" w:cs="Arial"/>
                <w:sz w:val="18"/>
                <w:lang w:val="en-US"/>
              </w:rPr>
              <w:t>[9</w:t>
            </w:r>
            <w:r w:rsidRPr="00AB72A0">
              <w:rPr>
                <w:rFonts w:ascii="Arial" w:hAnsi="Arial" w:cs="Arial"/>
                <w:sz w:val="18"/>
                <w:lang w:val="en-US"/>
              </w:rPr>
              <w:t xml:space="preserve">] </w:t>
            </w:r>
            <w:hyperlink r:id="rId14" w:history="1">
              <w:r w:rsidRPr="0039239F">
                <w:rPr>
                  <w:rStyle w:val="Hyperlink1"/>
                  <w:rFonts w:ascii="Arial" w:hAnsi="Arial" w:cs="Arial"/>
                  <w:sz w:val="18"/>
                </w:rPr>
                <w:t>Burns et al. (1997)</w:t>
              </w:r>
            </w:hyperlink>
          </w:p>
        </w:tc>
        <w:tc>
          <w:tcPr>
            <w:tcW w:w="1208" w:type="dxa"/>
          </w:tcPr>
          <w:p w14:paraId="65ED9028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  <w:p w14:paraId="65C04837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1C9F4D9C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</w:t>
            </w:r>
          </w:p>
          <w:p w14:paraId="2671152B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5B45CEA3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AD</w:t>
            </w:r>
          </w:p>
          <w:p w14:paraId="20153003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HD (Huntington disease)</w:t>
            </w:r>
          </w:p>
        </w:tc>
      </w:tr>
      <w:tr w:rsidR="006D6486" w:rsidRPr="00A67AAA" w14:paraId="5A625029" w14:textId="77777777" w:rsidTr="00E73692">
        <w:trPr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BE45935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u w:color="00000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u w:color="000000"/>
                <w:lang w:val="en-US"/>
              </w:rPr>
              <w:t>Frontal Lobe Personality Scale (FLOPS) now known as the Frontal Systems Behavior Scale (FrSBe)</w:t>
            </w:r>
          </w:p>
          <w:p w14:paraId="523F002C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 w:rsidR="00721526">
              <w:rPr>
                <w:rFonts w:ascii="Arial" w:hAnsi="Arial" w:cs="Arial"/>
                <w:sz w:val="18"/>
              </w:rPr>
              <w:t>10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15" w:history="1">
              <w:r w:rsidRPr="0039239F">
                <w:rPr>
                  <w:rStyle w:val="Hyperlink2"/>
                  <w:rFonts w:ascii="Arial" w:hAnsi="Arial" w:cs="Arial"/>
                  <w:sz w:val="18"/>
                  <w:lang w:val="en-US"/>
                </w:rPr>
                <w:t>Grace et al. (1999)</w:t>
              </w:r>
            </w:hyperlink>
          </w:p>
        </w:tc>
        <w:tc>
          <w:tcPr>
            <w:tcW w:w="1208" w:type="dxa"/>
          </w:tcPr>
          <w:p w14:paraId="55F6817B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Self-report</w:t>
            </w:r>
          </w:p>
          <w:p w14:paraId="6CD2424B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  <w:p w14:paraId="594625B0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7320C73F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</w:t>
            </w:r>
          </w:p>
          <w:p w14:paraId="4B88B4D2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568DBCB9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 xml:space="preserve">Brain injury </w:t>
            </w:r>
          </w:p>
          <w:p w14:paraId="168DD648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(frontal lobe)</w:t>
            </w:r>
          </w:p>
        </w:tc>
      </w:tr>
      <w:tr w:rsidR="006D6486" w:rsidRPr="00A67AAA" w14:paraId="6CA100ED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8AA2418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u w:color="000000"/>
                <w:lang w:val="es-ES"/>
              </w:rPr>
            </w:pPr>
            <w:r w:rsidRPr="0039239F">
              <w:rPr>
                <w:rFonts w:ascii="Arial" w:hAnsi="Arial" w:cs="Arial"/>
                <w:sz w:val="18"/>
                <w:u w:color="000000"/>
                <w:lang w:val="es-ES"/>
              </w:rPr>
              <w:t>NPIa-Q</w:t>
            </w:r>
          </w:p>
          <w:p w14:paraId="02374F1D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 w:rsidR="00721526">
              <w:rPr>
                <w:rFonts w:ascii="Arial" w:hAnsi="Arial" w:cs="Arial"/>
                <w:sz w:val="18"/>
              </w:rPr>
              <w:t>11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16" w:history="1">
              <w:r w:rsidRPr="0039239F">
                <w:rPr>
                  <w:rStyle w:val="Hyperlink2"/>
                  <w:rFonts w:ascii="Arial" w:hAnsi="Arial" w:cs="Arial"/>
                  <w:sz w:val="18"/>
                  <w:lang w:val="es-ES"/>
                </w:rPr>
                <w:t xml:space="preserve">Kaufer et al. </w:t>
              </w:r>
              <w:r w:rsidRPr="0039239F">
                <w:rPr>
                  <w:rStyle w:val="Hyperlink1"/>
                  <w:rFonts w:ascii="Arial" w:hAnsi="Arial" w:cs="Arial"/>
                  <w:sz w:val="18"/>
                </w:rPr>
                <w:t>(2000)</w:t>
              </w:r>
            </w:hyperlink>
          </w:p>
        </w:tc>
        <w:tc>
          <w:tcPr>
            <w:tcW w:w="1208" w:type="dxa"/>
          </w:tcPr>
          <w:p w14:paraId="1EE2CD53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Caregiver</w:t>
            </w:r>
          </w:p>
        </w:tc>
        <w:tc>
          <w:tcPr>
            <w:tcW w:w="3286" w:type="dxa"/>
          </w:tcPr>
          <w:p w14:paraId="7DEBAF0F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55A7D559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22B09DC3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 xml:space="preserve">AD </w:t>
            </w:r>
          </w:p>
        </w:tc>
      </w:tr>
      <w:tr w:rsidR="006D6486" w:rsidRPr="00A67AAA" w14:paraId="186AF3FC" w14:textId="77777777" w:rsidTr="00E73692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7AD820D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u w:color="000000"/>
                <w:lang w:val="es-ES"/>
              </w:rPr>
            </w:pPr>
            <w:r w:rsidRPr="0039239F">
              <w:rPr>
                <w:rFonts w:ascii="Arial" w:hAnsi="Arial" w:cs="Arial"/>
                <w:sz w:val="18"/>
                <w:u w:color="000000"/>
                <w:lang w:val="es-ES"/>
              </w:rPr>
              <w:lastRenderedPageBreak/>
              <w:t>L’échelle d’appréciation de la démotivation (EDA)</w:t>
            </w:r>
          </w:p>
          <w:p w14:paraId="56631399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12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7" w:history="1"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  <w:lang w:val="en-US"/>
                </w:rPr>
                <w:t>Chantoin et al. (2001)</w:t>
              </w:r>
            </w:hyperlink>
          </w:p>
        </w:tc>
        <w:tc>
          <w:tcPr>
            <w:tcW w:w="1208" w:type="dxa"/>
          </w:tcPr>
          <w:p w14:paraId="31F3BD8F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Self-report</w:t>
            </w:r>
          </w:p>
        </w:tc>
        <w:tc>
          <w:tcPr>
            <w:tcW w:w="3286" w:type="dxa"/>
          </w:tcPr>
          <w:p w14:paraId="6EBBDCC8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3811C996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1D6F4CBF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  <w:p w14:paraId="51DFF947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 xml:space="preserve"> (especially memory disorders)</w:t>
            </w:r>
          </w:p>
        </w:tc>
      </w:tr>
      <w:tr w:rsidR="006D6486" w:rsidRPr="00A67AAA" w14:paraId="65B03B4F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1EC032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Apathy Inventory 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9239F">
              <w:rPr>
                <w:rFonts w:ascii="Arial" w:hAnsi="Arial" w:cs="Arial"/>
                <w:sz w:val="18"/>
                <w:szCs w:val="20"/>
              </w:rPr>
              <w:t>AI)</w:t>
            </w:r>
            <w:r w:rsidRPr="0039239F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13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8" w:anchor="bib44" w:history="1">
              <w:r w:rsidRPr="0039239F">
                <w:rPr>
                  <w:rStyle w:val="Hyperlink0"/>
                  <w:rFonts w:ascii="Arial" w:hAnsi="Arial" w:cs="Arial"/>
                  <w:sz w:val="18"/>
                  <w:szCs w:val="20"/>
                </w:rPr>
                <w:t>Robert et al. (2002)</w:t>
              </w:r>
            </w:hyperlink>
          </w:p>
        </w:tc>
        <w:tc>
          <w:tcPr>
            <w:tcW w:w="1208" w:type="dxa"/>
          </w:tcPr>
          <w:p w14:paraId="68C01A19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  <w:p w14:paraId="2CB62C6A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63D2B798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</w:t>
            </w:r>
            <w:r w:rsidRPr="00CF2F2C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Emotion</w:t>
            </w:r>
          </w:p>
          <w:p w14:paraId="25DA414D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4107DCD9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</w:tc>
      </w:tr>
      <w:tr w:rsidR="006D6486" w:rsidRPr="00A67AAA" w14:paraId="6852D60A" w14:textId="77777777" w:rsidTr="00E73692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E034AB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Dementia Apathy Interview and Rating (DAIR)</w:t>
            </w:r>
          </w:p>
          <w:p w14:paraId="18515E56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14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19" w:history="1">
              <w:r w:rsidRPr="0039239F">
                <w:rPr>
                  <w:rStyle w:val="Hyperlink1"/>
                  <w:rFonts w:ascii="Arial" w:hAnsi="Arial" w:cs="Arial"/>
                  <w:sz w:val="18"/>
                  <w:szCs w:val="20"/>
                </w:rPr>
                <w:t>Strauss &amp; Sperry (2002</w:t>
              </w:r>
            </w:hyperlink>
            <w:r w:rsidRPr="0039239F"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</w:tc>
        <w:tc>
          <w:tcPr>
            <w:tcW w:w="1208" w:type="dxa"/>
          </w:tcPr>
          <w:p w14:paraId="049CD765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  <w:p w14:paraId="1000027B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6B6BD26B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Behavior</w:t>
            </w:r>
          </w:p>
          <w:p w14:paraId="22743362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5EE3E847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</w:tc>
      </w:tr>
      <w:tr w:rsidR="006D6486" w:rsidRPr="00A67AAA" w14:paraId="6D232FB9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EA2D33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Key Behavior Change Inventory (KBCI)</w:t>
            </w:r>
          </w:p>
          <w:p w14:paraId="4ED4E920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[15</w:t>
            </w:r>
            <w:r w:rsidR="006D6486"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20" w:history="1">
              <w:r w:rsidR="006D6486" w:rsidRPr="0039239F">
                <w:rPr>
                  <w:rStyle w:val="Hyperlink0"/>
                  <w:rFonts w:ascii="Arial" w:hAnsi="Arial" w:cs="Arial"/>
                  <w:sz w:val="18"/>
                  <w:szCs w:val="20"/>
                  <w:lang w:val="en-US"/>
                </w:rPr>
                <w:t>Belanger et al. (2002)</w:t>
              </w:r>
            </w:hyperlink>
          </w:p>
        </w:tc>
        <w:tc>
          <w:tcPr>
            <w:tcW w:w="1208" w:type="dxa"/>
          </w:tcPr>
          <w:p w14:paraId="5900442B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</w:tc>
        <w:tc>
          <w:tcPr>
            <w:tcW w:w="3286" w:type="dxa"/>
          </w:tcPr>
          <w:p w14:paraId="7A4413C3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20B7207E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2C6656F8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Elderly memory disorder</w:t>
            </w:r>
          </w:p>
        </w:tc>
      </w:tr>
      <w:tr w:rsidR="006D6486" w:rsidRPr="00A67AAA" w14:paraId="30C372AB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EABEEB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Lille Apathy Rating Scale (LARS)</w:t>
            </w:r>
          </w:p>
          <w:p w14:paraId="3DAB412C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[16</w:t>
            </w:r>
            <w:r w:rsidR="006D6486" w:rsidRPr="007B7F07">
              <w:rPr>
                <w:rFonts w:ascii="Arial" w:hAnsi="Arial" w:cs="Arial"/>
                <w:sz w:val="18"/>
                <w:szCs w:val="20"/>
                <w:lang w:val="en-US"/>
              </w:rPr>
              <w:t xml:space="preserve">] </w:t>
            </w:r>
            <w:hyperlink r:id="rId21" w:history="1">
              <w:r w:rsidR="006D6486" w:rsidRPr="0039239F">
                <w:rPr>
                  <w:rStyle w:val="Hyperlink2"/>
                  <w:rFonts w:ascii="Arial" w:hAnsi="Arial" w:cs="Arial"/>
                  <w:sz w:val="18"/>
                  <w:szCs w:val="20"/>
                  <w:lang w:val="en-US"/>
                </w:rPr>
                <w:t>Sockeel et al. (2006)</w:t>
              </w:r>
            </w:hyperlink>
          </w:p>
          <w:p w14:paraId="6DEFFBF0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sz w:val="18"/>
                <w:szCs w:val="20"/>
                <w:lang w:val="en-US"/>
              </w:rPr>
              <w:t>Lille Apathy Rating Scale short form (sfLARS)</w:t>
            </w:r>
          </w:p>
          <w:p w14:paraId="2AA126EA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b w:val="0"/>
                <w:color w:val="0070C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[17</w:t>
            </w:r>
            <w:r w:rsidR="006D6486" w:rsidRPr="007B7F07">
              <w:rPr>
                <w:rFonts w:ascii="Arial" w:hAnsi="Arial" w:cs="Arial"/>
                <w:sz w:val="18"/>
                <w:szCs w:val="20"/>
                <w:lang w:val="en-US"/>
              </w:rPr>
              <w:t xml:space="preserve">] </w:t>
            </w:r>
            <w:r w:rsidR="006D6486">
              <w:t xml:space="preserve"> </w:t>
            </w:r>
            <w:hyperlink r:id="rId22" w:history="1">
              <w:r w:rsidR="006D6486" w:rsidRPr="0039239F">
                <w:rPr>
                  <w:rStyle w:val="Hyperlink"/>
                  <w:rFonts w:ascii="Arial" w:hAnsi="Arial" w:cs="Arial"/>
                  <w:color w:val="0070C0"/>
                  <w:sz w:val="18"/>
                  <w:szCs w:val="20"/>
                  <w:lang w:val="en-US"/>
                </w:rPr>
                <w:t>Dujardin et al. (2013)</w:t>
              </w:r>
            </w:hyperlink>
          </w:p>
        </w:tc>
        <w:tc>
          <w:tcPr>
            <w:tcW w:w="1208" w:type="dxa"/>
          </w:tcPr>
          <w:p w14:paraId="035EBB40" w14:textId="77777777" w:rsidR="006D6486" w:rsidRPr="00EE452D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452D">
              <w:rPr>
                <w:rFonts w:ascii="Arial" w:hAnsi="Arial" w:cs="Arial"/>
                <w:sz w:val="18"/>
                <w:szCs w:val="18"/>
                <w:lang w:val="en-US"/>
              </w:rPr>
              <w:t>Clinician</w:t>
            </w:r>
          </w:p>
        </w:tc>
        <w:tc>
          <w:tcPr>
            <w:tcW w:w="3286" w:type="dxa"/>
          </w:tcPr>
          <w:p w14:paraId="64422A5D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B6C">
              <w:rPr>
                <w:rFonts w:ascii="Arial" w:hAnsi="Arial" w:cs="Arial"/>
                <w:sz w:val="18"/>
                <w:szCs w:val="18"/>
                <w:lang w:val="en-US"/>
              </w:rPr>
              <w:t xml:space="preserve">Cognition, Behavior,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Emotion, Social Interaction</w:t>
            </w:r>
          </w:p>
          <w:p w14:paraId="596020C1" w14:textId="77777777" w:rsidR="006D6486" w:rsidRPr="00412713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57D56653" w14:textId="77777777" w:rsidR="006D6486" w:rsidRPr="00360FF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FFF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</w:p>
        </w:tc>
      </w:tr>
      <w:tr w:rsidR="006D6486" w:rsidRPr="00A67AAA" w14:paraId="1F30A9E9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512CEE8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sz w:val="18"/>
                <w:szCs w:val="20"/>
                <w:lang w:val="en-US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  <w:lang w:val="en-US"/>
              </w:rPr>
              <w:t>18</w:t>
            </w:r>
            <w:r w:rsidRPr="0039239F">
              <w:rPr>
                <w:rFonts w:ascii="Arial" w:hAnsi="Arial" w:cs="Arial"/>
                <w:sz w:val="18"/>
                <w:szCs w:val="20"/>
                <w:lang w:val="en-US"/>
              </w:rPr>
              <w:t xml:space="preserve">] </w:t>
            </w: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Informant based Lille apathy rating scale (LARS-i)</w:t>
            </w:r>
          </w:p>
          <w:p w14:paraId="4D986A61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Style w:val="Hyperlink2"/>
                <w:rFonts w:ascii="Arial" w:hAnsi="Arial" w:cs="Arial"/>
                <w:b w:val="0"/>
                <w:sz w:val="18"/>
                <w:szCs w:val="20"/>
                <w:lang w:val="en-US"/>
              </w:rPr>
              <w:t>Dujardin et al. (2008)</w:t>
            </w:r>
          </w:p>
        </w:tc>
        <w:tc>
          <w:tcPr>
            <w:tcW w:w="1208" w:type="dxa"/>
          </w:tcPr>
          <w:p w14:paraId="6B35EBBE" w14:textId="77777777" w:rsidR="006D6486" w:rsidRPr="004E1B6C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1B6C">
              <w:rPr>
                <w:rFonts w:ascii="Arial" w:hAnsi="Arial" w:cs="Arial"/>
                <w:sz w:val="18"/>
                <w:szCs w:val="18"/>
              </w:rPr>
              <w:t>Caregiver</w:t>
            </w:r>
          </w:p>
        </w:tc>
        <w:tc>
          <w:tcPr>
            <w:tcW w:w="3286" w:type="dxa"/>
          </w:tcPr>
          <w:p w14:paraId="0EA1D66E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13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Emotion, Social Interaction</w:t>
            </w:r>
          </w:p>
          <w:p w14:paraId="71ABFDEB" w14:textId="77777777" w:rsidR="006D6486" w:rsidRPr="00412713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6E3916E8" w14:textId="77777777" w:rsidR="006D6486" w:rsidRPr="00360FF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FFF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</w:p>
        </w:tc>
      </w:tr>
      <w:tr w:rsidR="006D6486" w:rsidRPr="00A67AAA" w14:paraId="5DF3971A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8F30B37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</w:rPr>
              <w:t>Neuropsychiatric Inventory NPI-C</w:t>
            </w:r>
          </w:p>
          <w:p w14:paraId="0F01FFF8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[19</w:t>
            </w:r>
            <w:r w:rsidR="006D6486" w:rsidRPr="0039239F">
              <w:rPr>
                <w:rFonts w:ascii="Arial" w:hAnsi="Arial" w:cs="Arial"/>
                <w:sz w:val="18"/>
                <w:szCs w:val="20"/>
              </w:rPr>
              <w:t xml:space="preserve">] de </w:t>
            </w:r>
            <w:hyperlink r:id="rId23" w:history="1">
              <w:r w:rsidR="006D6486" w:rsidRPr="0039239F">
                <w:rPr>
                  <w:rStyle w:val="Hyperlink3"/>
                  <w:rFonts w:ascii="Arial" w:hAnsi="Arial" w:cs="Arial"/>
                  <w:sz w:val="18"/>
                  <w:szCs w:val="20"/>
                </w:rPr>
                <w:t>Medeiros et al (2010)</w:t>
              </w:r>
            </w:hyperlink>
          </w:p>
        </w:tc>
        <w:tc>
          <w:tcPr>
            <w:tcW w:w="1208" w:type="dxa"/>
          </w:tcPr>
          <w:p w14:paraId="5AC58F67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Clinician</w:t>
            </w:r>
          </w:p>
        </w:tc>
        <w:tc>
          <w:tcPr>
            <w:tcW w:w="3286" w:type="dxa"/>
          </w:tcPr>
          <w:p w14:paraId="681B591A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 xml:space="preserve">Behavior,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Cognition, </w:t>
            </w: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Emotion</w:t>
            </w:r>
          </w:p>
          <w:p w14:paraId="7C362FDB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8" w:type="dxa"/>
          </w:tcPr>
          <w:p w14:paraId="45D6D699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</w:tc>
      </w:tr>
      <w:tr w:rsidR="006D6486" w:rsidRPr="00A67AAA" w14:paraId="5A875FBA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4F8B362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Abbreviated apathy evaluation</w:t>
            </w:r>
          </w:p>
          <w:p w14:paraId="3406A8DE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scale (AES-10)</w:t>
            </w:r>
          </w:p>
          <w:p w14:paraId="7E89268F" w14:textId="77777777" w:rsidR="006D6486" w:rsidRPr="0039239F" w:rsidRDefault="0072152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[20</w:t>
            </w:r>
            <w:r w:rsidR="006D6486"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24" w:history="1">
              <w:r w:rsidR="006D6486" w:rsidRPr="0039239F">
                <w:rPr>
                  <w:rStyle w:val="Hyperlink2"/>
                  <w:rFonts w:ascii="Arial" w:hAnsi="Arial" w:cs="Arial"/>
                  <w:sz w:val="18"/>
                  <w:szCs w:val="20"/>
                  <w:lang w:val="en-US"/>
                </w:rPr>
                <w:t>Leontjevas et al. (2012)</w:t>
              </w:r>
            </w:hyperlink>
          </w:p>
        </w:tc>
        <w:tc>
          <w:tcPr>
            <w:tcW w:w="1208" w:type="dxa"/>
          </w:tcPr>
          <w:p w14:paraId="6E993AF3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</w:tc>
        <w:tc>
          <w:tcPr>
            <w:tcW w:w="3286" w:type="dxa"/>
          </w:tcPr>
          <w:p w14:paraId="077777FD" w14:textId="77777777" w:rsidR="006D6486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Cognition, Behavior, Emotion</w:t>
            </w:r>
          </w:p>
          <w:p w14:paraId="0D42D431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14:paraId="57D326E1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Dementia</w:t>
            </w:r>
          </w:p>
        </w:tc>
      </w:tr>
      <w:tr w:rsidR="006D6486" w:rsidRPr="00A67AAA" w14:paraId="7A423AD5" w14:textId="77777777" w:rsidTr="00E73692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670422F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b w:val="0"/>
                <w:sz w:val="18"/>
                <w:szCs w:val="20"/>
                <w:lang w:val="en-US"/>
              </w:rPr>
            </w:pPr>
            <w:r w:rsidRPr="0039239F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Apathy in institutionalized persons with dementia APADEM-NH</w:t>
            </w:r>
          </w:p>
          <w:p w14:paraId="6BA7AFDB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21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25" w:history="1"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  <w:lang w:val="en-US"/>
                </w:rPr>
                <w:t>Aguera-Ortiz &amp; al (2015)</w:t>
              </w:r>
            </w:hyperlink>
          </w:p>
        </w:tc>
        <w:tc>
          <w:tcPr>
            <w:tcW w:w="1208" w:type="dxa"/>
          </w:tcPr>
          <w:p w14:paraId="1B1259E6" w14:textId="77777777" w:rsidR="006D6486" w:rsidRPr="00CF2F2C" w:rsidRDefault="006D6486" w:rsidP="00E73692">
            <w:pPr>
              <w:pStyle w:val="Corps"/>
              <w:tabs>
                <w:tab w:val="left" w:pos="708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Caregiver</w:t>
            </w:r>
          </w:p>
        </w:tc>
        <w:tc>
          <w:tcPr>
            <w:tcW w:w="3286" w:type="dxa"/>
          </w:tcPr>
          <w:p w14:paraId="2A0F916A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</w:t>
            </w:r>
          </w:p>
          <w:p w14:paraId="324A6693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14:paraId="6B4DF1C9" w14:textId="77777777" w:rsidR="006D6486" w:rsidRPr="00A67AAA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</w:tcPr>
          <w:p w14:paraId="2841AACD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Dementia</w:t>
            </w:r>
          </w:p>
        </w:tc>
      </w:tr>
      <w:tr w:rsidR="006D6486" w:rsidRPr="00A67AAA" w14:paraId="3160A3ED" w14:textId="77777777" w:rsidTr="00E73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9D7FEB4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39239F">
              <w:rPr>
                <w:rFonts w:ascii="Arial" w:hAnsi="Arial" w:cs="Arial"/>
                <w:sz w:val="18"/>
                <w:szCs w:val="20"/>
              </w:rPr>
              <w:t>Dimensional Apathy Scale (DAS)</w:t>
            </w:r>
          </w:p>
          <w:p w14:paraId="4E532D03" w14:textId="77777777" w:rsidR="006D6486" w:rsidRPr="0039239F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</w:t>
            </w:r>
            <w:r w:rsidR="00721526">
              <w:rPr>
                <w:rFonts w:ascii="Arial" w:hAnsi="Arial" w:cs="Arial"/>
                <w:sz w:val="18"/>
                <w:szCs w:val="20"/>
              </w:rPr>
              <w:t>22</w:t>
            </w:r>
            <w:r w:rsidRPr="0039239F">
              <w:rPr>
                <w:rFonts w:ascii="Arial" w:hAnsi="Arial" w:cs="Arial"/>
                <w:sz w:val="18"/>
                <w:szCs w:val="20"/>
              </w:rPr>
              <w:t xml:space="preserve">] </w:t>
            </w:r>
            <w:hyperlink r:id="rId26" w:anchor="bib44f" w:history="1">
              <w:r w:rsidRPr="0039239F">
                <w:rPr>
                  <w:rStyle w:val="Hyperlink2"/>
                  <w:rFonts w:ascii="Arial" w:hAnsi="Arial" w:cs="Arial"/>
                  <w:sz w:val="18"/>
                  <w:szCs w:val="20"/>
                </w:rPr>
                <w:t>Radakovic et Abrahams (2017)</w:t>
              </w:r>
            </w:hyperlink>
          </w:p>
        </w:tc>
        <w:tc>
          <w:tcPr>
            <w:tcW w:w="1208" w:type="dxa"/>
          </w:tcPr>
          <w:p w14:paraId="67F29BF6" w14:textId="77777777" w:rsidR="006D6486" w:rsidRPr="00A67AAA" w:rsidRDefault="006D6486" w:rsidP="00E73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7AAA">
              <w:rPr>
                <w:rFonts w:ascii="Arial" w:hAnsi="Arial" w:cs="Arial"/>
                <w:sz w:val="18"/>
                <w:szCs w:val="18"/>
              </w:rPr>
              <w:t>Self-report</w:t>
            </w:r>
          </w:p>
        </w:tc>
        <w:tc>
          <w:tcPr>
            <w:tcW w:w="3286" w:type="dxa"/>
          </w:tcPr>
          <w:p w14:paraId="61561E55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452D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Emotion,</w:t>
            </w:r>
          </w:p>
          <w:p w14:paraId="3FD68748" w14:textId="77777777" w:rsidR="006D6486" w:rsidRPr="00EE452D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2410BE48" w14:textId="77777777" w:rsidR="006D6486" w:rsidRPr="004E1B6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1B6C">
              <w:rPr>
                <w:rFonts w:ascii="Arial" w:hAnsi="Arial" w:cs="Arial"/>
                <w:sz w:val="18"/>
                <w:szCs w:val="18"/>
                <w:lang w:val="en-US"/>
              </w:rPr>
              <w:t>Neurodegenerative diseases</w:t>
            </w:r>
          </w:p>
        </w:tc>
      </w:tr>
      <w:tr w:rsidR="006D6486" w:rsidRPr="00A67AAA" w14:paraId="51DE198D" w14:textId="77777777" w:rsidTr="00E73692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37D97C8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eastAsia="Arial" w:hAnsi="Arial" w:cs="Arial"/>
                <w:sz w:val="18"/>
                <w:u w:color="000000"/>
              </w:rPr>
            </w:pPr>
            <w:r w:rsidRPr="0039239F">
              <w:rPr>
                <w:rFonts w:ascii="Arial" w:hAnsi="Arial" w:cs="Arial"/>
                <w:sz w:val="18"/>
                <w:u w:color="000000"/>
              </w:rPr>
              <w:t>Apathy motivation index</w:t>
            </w:r>
          </w:p>
          <w:p w14:paraId="6434C7F1" w14:textId="77777777" w:rsidR="006D6486" w:rsidRPr="0039239F" w:rsidRDefault="006D6486" w:rsidP="00E73692">
            <w:pPr>
              <w:pStyle w:val="Pardfaut"/>
              <w:tabs>
                <w:tab w:val="left" w:pos="708"/>
                <w:tab w:val="left" w:pos="1416"/>
                <w:tab w:val="left" w:pos="2124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[2</w:t>
            </w:r>
            <w:r w:rsidR="00721526">
              <w:rPr>
                <w:rFonts w:ascii="Arial" w:hAnsi="Arial" w:cs="Arial"/>
                <w:sz w:val="18"/>
              </w:rPr>
              <w:t>3</w:t>
            </w:r>
            <w:r w:rsidRPr="0039239F">
              <w:rPr>
                <w:rFonts w:ascii="Arial" w:hAnsi="Arial" w:cs="Arial"/>
                <w:sz w:val="18"/>
              </w:rPr>
              <w:t xml:space="preserve">] </w:t>
            </w:r>
            <w:hyperlink r:id="rId27" w:history="1">
              <w:r w:rsidRPr="0039239F">
                <w:rPr>
                  <w:rStyle w:val="Hyperlink2"/>
                  <w:rFonts w:ascii="Arial" w:hAnsi="Arial" w:cs="Arial"/>
                  <w:sz w:val="18"/>
                </w:rPr>
                <w:t xml:space="preserve">Ang et al. </w:t>
              </w:r>
              <w:r w:rsidRPr="0039239F">
                <w:rPr>
                  <w:rStyle w:val="Hyperlink2"/>
                  <w:rFonts w:ascii="Arial" w:hAnsi="Arial" w:cs="Arial"/>
                  <w:sz w:val="18"/>
                  <w:lang w:val="en-US"/>
                </w:rPr>
                <w:t>(2017</w:t>
              </w:r>
            </w:hyperlink>
            <w:r w:rsidRPr="0039239F">
              <w:rPr>
                <w:rFonts w:ascii="Arial" w:hAnsi="Arial" w:cs="Arial"/>
                <w:sz w:val="18"/>
                <w:u w:color="000000"/>
                <w:lang w:val="en-US"/>
              </w:rPr>
              <w:t>)</w:t>
            </w:r>
          </w:p>
        </w:tc>
        <w:tc>
          <w:tcPr>
            <w:tcW w:w="1208" w:type="dxa"/>
          </w:tcPr>
          <w:p w14:paraId="57E76528" w14:textId="77777777" w:rsidR="006D6486" w:rsidRPr="00A67AAA" w:rsidRDefault="006D6486" w:rsidP="00E73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2F2C">
              <w:rPr>
                <w:rFonts w:ascii="Arial" w:hAnsi="Arial" w:cs="Arial"/>
                <w:sz w:val="18"/>
                <w:szCs w:val="18"/>
              </w:rPr>
              <w:t>Self-report</w:t>
            </w:r>
          </w:p>
        </w:tc>
        <w:tc>
          <w:tcPr>
            <w:tcW w:w="3286" w:type="dxa"/>
          </w:tcPr>
          <w:p w14:paraId="63208BFE" w14:textId="77777777" w:rsidR="006D6486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Cognition, Behavior, Emotion, Social Interaction</w:t>
            </w:r>
          </w:p>
          <w:p w14:paraId="72A76EA8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3118" w:type="dxa"/>
          </w:tcPr>
          <w:p w14:paraId="1C4D05A4" w14:textId="77777777" w:rsidR="006D6486" w:rsidRPr="00CF2F2C" w:rsidRDefault="006D6486" w:rsidP="00E73692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2F2C">
              <w:rPr>
                <w:rFonts w:ascii="Arial" w:hAnsi="Arial" w:cs="Arial"/>
                <w:sz w:val="18"/>
                <w:szCs w:val="18"/>
                <w:lang w:val="en-US"/>
              </w:rPr>
              <w:t>Healthy adults</w:t>
            </w:r>
          </w:p>
        </w:tc>
      </w:tr>
    </w:tbl>
    <w:p w14:paraId="5087202C" w14:textId="77777777" w:rsidR="006D6486" w:rsidRPr="00A67AAA" w:rsidRDefault="006D6486" w:rsidP="006D6486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14:paraId="6AEA0BAD" w14:textId="77777777" w:rsidR="006D6486" w:rsidRDefault="006D6486" w:rsidP="006D6486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Arial" w:hAnsi="Arial" w:cs="Arial"/>
          <w:szCs w:val="24"/>
          <w:lang w:val="en-US"/>
        </w:rPr>
      </w:pPr>
      <w:r w:rsidRPr="00A67AAA">
        <w:rPr>
          <w:rStyle w:val="Aucun"/>
          <w:rFonts w:ascii="Arial" w:hAnsi="Arial" w:cs="Arial"/>
          <w:szCs w:val="24"/>
          <w:lang w:val="en-US"/>
        </w:rPr>
        <w:t>* Based on the following classification coming from the Apathy diagnostic criteria 2018:</w:t>
      </w:r>
      <w:r>
        <w:rPr>
          <w:rStyle w:val="Aucun"/>
          <w:rFonts w:ascii="Arial" w:hAnsi="Arial" w:cs="Arial"/>
          <w:szCs w:val="24"/>
          <w:lang w:val="en-US"/>
        </w:rPr>
        <w:t xml:space="preserve"> </w:t>
      </w:r>
      <w:r w:rsidRPr="00A67AAA">
        <w:rPr>
          <w:rStyle w:val="Aucun"/>
          <w:rFonts w:ascii="Arial" w:hAnsi="Arial" w:cs="Arial"/>
          <w:szCs w:val="24"/>
          <w:lang w:val="en-US"/>
        </w:rPr>
        <w:t>B</w:t>
      </w:r>
      <w:r w:rsidRPr="00EE452D">
        <w:rPr>
          <w:rStyle w:val="Aucun"/>
          <w:rFonts w:ascii="Arial" w:hAnsi="Arial" w:cs="Arial"/>
          <w:szCs w:val="24"/>
          <w:lang w:val="en-US"/>
        </w:rPr>
        <w:t>ehavior &amp; Cognition</w:t>
      </w:r>
      <w:r>
        <w:rPr>
          <w:rStyle w:val="Aucun"/>
          <w:rFonts w:ascii="Arial" w:hAnsi="Arial" w:cs="Arial"/>
          <w:szCs w:val="24"/>
          <w:lang w:val="en-US"/>
        </w:rPr>
        <w:t>;</w:t>
      </w:r>
      <w:r w:rsidRPr="00EE452D">
        <w:rPr>
          <w:rStyle w:val="Aucun"/>
          <w:rFonts w:ascii="Arial" w:hAnsi="Arial" w:cs="Arial"/>
          <w:szCs w:val="24"/>
          <w:lang w:val="en-US"/>
        </w:rPr>
        <w:t xml:space="preserve"> Emotion</w:t>
      </w:r>
      <w:r>
        <w:rPr>
          <w:rStyle w:val="Aucun"/>
          <w:rFonts w:ascii="Arial" w:hAnsi="Arial" w:cs="Arial"/>
          <w:szCs w:val="24"/>
          <w:lang w:val="en-US"/>
        </w:rPr>
        <w:t>;</w:t>
      </w:r>
      <w:r w:rsidRPr="00EE452D">
        <w:rPr>
          <w:rStyle w:val="Aucun"/>
          <w:rFonts w:ascii="Arial" w:hAnsi="Arial" w:cs="Arial"/>
          <w:szCs w:val="24"/>
          <w:lang w:val="en-US"/>
        </w:rPr>
        <w:t xml:space="preserve"> Social interaction</w:t>
      </w:r>
      <w:r>
        <w:rPr>
          <w:rStyle w:val="Aucun"/>
          <w:rFonts w:ascii="Arial" w:hAnsi="Arial" w:cs="Arial"/>
          <w:szCs w:val="24"/>
          <w:lang w:val="en-US"/>
        </w:rPr>
        <w:t>.</w:t>
      </w:r>
    </w:p>
    <w:p w14:paraId="2FCEE7EE" w14:textId="77777777" w:rsidR="006D6486" w:rsidRDefault="006D6486" w:rsidP="006D6486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ucun"/>
          <w:rFonts w:ascii="Arial" w:hAnsi="Arial" w:cs="Arial"/>
          <w:szCs w:val="24"/>
          <w:lang w:val="en-US"/>
        </w:rPr>
      </w:pPr>
      <w:r w:rsidRPr="00846059">
        <w:rPr>
          <w:rStyle w:val="Aucun"/>
          <w:rFonts w:ascii="Arial" w:hAnsi="Arial" w:cs="Arial"/>
          <w:szCs w:val="24"/>
          <w:lang w:val="en-US"/>
        </w:rPr>
        <w:t xml:space="preserve">** </w:t>
      </w:r>
      <w:r w:rsidRPr="00846059">
        <w:rPr>
          <w:rFonts w:ascii="Arial" w:hAnsi="Arial" w:cs="Arial"/>
          <w:lang w:val="en-US"/>
        </w:rPr>
        <w:t xml:space="preserve">Yes = the scale is apathy specific. No = </w:t>
      </w:r>
      <w:r>
        <w:rPr>
          <w:rFonts w:ascii="Arial" w:hAnsi="Arial" w:cs="Arial"/>
          <w:lang w:val="en-US"/>
        </w:rPr>
        <w:t>t</w:t>
      </w:r>
      <w:r w:rsidRPr="00846059">
        <w:rPr>
          <w:rFonts w:ascii="Arial" w:hAnsi="Arial" w:cs="Arial"/>
          <w:lang w:val="en-US"/>
        </w:rPr>
        <w:t>he scale assess</w:t>
      </w:r>
      <w:r>
        <w:rPr>
          <w:rFonts w:ascii="Arial" w:hAnsi="Arial" w:cs="Arial"/>
          <w:lang w:val="en-US"/>
        </w:rPr>
        <w:t>es</w:t>
      </w:r>
      <w:r w:rsidRPr="00846059">
        <w:rPr>
          <w:rFonts w:ascii="Arial" w:hAnsi="Arial" w:cs="Arial"/>
          <w:lang w:val="en-US"/>
        </w:rPr>
        <w:t xml:space="preserve"> apathy as a subdomain</w:t>
      </w:r>
      <w:r>
        <w:rPr>
          <w:rFonts w:ascii="Arial" w:hAnsi="Arial" w:cs="Arial"/>
          <w:lang w:val="en-US"/>
        </w:rPr>
        <w:t>.</w:t>
      </w:r>
    </w:p>
    <w:p w14:paraId="2FA46782" w14:textId="77777777" w:rsidR="006D6486" w:rsidRPr="00846059" w:rsidRDefault="006D6486" w:rsidP="006D6486">
      <w:pPr>
        <w:pStyle w:val="Pardfau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eastAsia="Times New Roman" w:hAnsi="Arial" w:cs="Arial"/>
          <w:bCs/>
          <w:color w:val="0075B9"/>
          <w:u w:color="0075B9"/>
          <w:shd w:val="clear" w:color="auto" w:fill="FEFB66"/>
          <w:lang w:val="en-US"/>
        </w:rPr>
      </w:pPr>
    </w:p>
    <w:p w14:paraId="5123BC18" w14:textId="77777777" w:rsidR="006D6486" w:rsidRPr="00B907CE" w:rsidRDefault="006D6486" w:rsidP="006D6486">
      <w:pPr>
        <w:rPr>
          <w:rFonts w:ascii="Arial" w:hAnsi="Arial"/>
          <w:sz w:val="20"/>
          <w:lang w:val="en-GB"/>
        </w:rPr>
      </w:pPr>
    </w:p>
    <w:p w14:paraId="62F3C4B3" w14:textId="77777777" w:rsidR="00A43503" w:rsidRDefault="00A43503">
      <w:pPr>
        <w:rPr>
          <w:lang w:val="en-GB"/>
        </w:rPr>
      </w:pPr>
    </w:p>
    <w:p w14:paraId="3CCDFB04" w14:textId="77777777" w:rsidR="00F95DE1" w:rsidRDefault="00F95DE1">
      <w:pPr>
        <w:rPr>
          <w:lang w:val="en-GB"/>
        </w:rPr>
      </w:pPr>
    </w:p>
    <w:p w14:paraId="4523A930" w14:textId="77777777" w:rsidR="00F95DE1" w:rsidRDefault="00F95DE1">
      <w:pPr>
        <w:rPr>
          <w:lang w:val="en-GB"/>
        </w:rPr>
      </w:pPr>
    </w:p>
    <w:p w14:paraId="041E5D06" w14:textId="77777777" w:rsidR="00F95DE1" w:rsidRPr="00F95DE1" w:rsidRDefault="00F95DE1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</w:p>
    <w:p w14:paraId="1BE366B4" w14:textId="77777777" w:rsidR="00DC6DF8" w:rsidRDefault="00DC6DF8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b/>
          <w:color w:val="333333"/>
          <w:sz w:val="22"/>
          <w:szCs w:val="22"/>
          <w:bdr w:val="none" w:sz="0" w:space="0" w:color="auto"/>
          <w:lang w:eastAsia="fr-FR"/>
        </w:rPr>
      </w:pPr>
      <w:r w:rsidRPr="00DC6DF8">
        <w:rPr>
          <w:rFonts w:ascii="Arial" w:eastAsia="Times New Roman" w:hAnsi="Arial" w:cs="Arial"/>
          <w:b/>
          <w:color w:val="333333"/>
          <w:sz w:val="22"/>
          <w:szCs w:val="22"/>
          <w:bdr w:val="none" w:sz="0" w:space="0" w:color="auto"/>
          <w:lang w:eastAsia="fr-FR"/>
        </w:rPr>
        <w:t>References</w:t>
      </w:r>
    </w:p>
    <w:p w14:paraId="7DE7D1B7" w14:textId="77777777" w:rsidR="00DC6DF8" w:rsidRPr="00DC6DF8" w:rsidRDefault="00DC6DF8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b/>
          <w:color w:val="333333"/>
          <w:sz w:val="22"/>
          <w:szCs w:val="22"/>
          <w:bdr w:val="none" w:sz="0" w:space="0" w:color="auto"/>
          <w:lang w:eastAsia="fr-FR"/>
        </w:rPr>
      </w:pPr>
    </w:p>
    <w:p w14:paraId="416560E0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J. Overall and D. Gorham, The Brief Psychiatric Rating ScalePsychological Reports.brief psychiatric rating scale, Psychol Rep 10 (3), 1962, 799–812.</w:t>
      </w:r>
    </w:p>
    <w:p w14:paraId="694253E7" w14:textId="77777777" w:rsid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[2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S. Kay, A. Fiszbein and L. Opler, The Positive and Negative Syndrome Scale (PANSS) for Spositive and negative syndrome scale (PANSS) for schizophrenia, Schizophrenia Bulletin. Bull 13 (2), 1987, 261–276.</w:t>
      </w:r>
    </w:p>
    <w:p w14:paraId="3099BFA7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[3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N.C. Andreasen, The Scale for the Assessment of Negative Symptoms (SANS): conceptual and theoretical foundations, Br J Psychiatry Suppl (.November (7)), 1989, 49–58.</w:t>
      </w:r>
    </w:p>
    <w:p w14:paraId="155A3161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[4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R. Marin, R. Biedrzycki and S. Firinciogullari, Reliability and validity of the apathy evaluation scale, Psychiatry Res earch.38 (2), 1991, 143–162.</w:t>
      </w:r>
    </w:p>
    <w:p w14:paraId="40250332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5] S. Starksein, H. Mayberg, T. Preziosi, P. Andrezejewski, R. Leiguarda and R. Robinson, Reliability, validity, and clinical correlates of apathy in Parkinson’s disease, The Journal of Neuropsychiatry and Clinical Neurosciences.J Neuropsychiatry Clin Neurosci 4 (2), 1992, 134–139.</w:t>
      </w:r>
    </w:p>
    <w:p w14:paraId="66F86E67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6] J. Cummings, M. Mega, K. Gray, S. Rosenberg-Thompson, D. Carusi and J. Gornbein, The Neuropsychiatric Inventory: Ccomprehensive assessment of psychopathology in dementia, Neurology .44 (12), 1994, 2308-2308.</w:t>
      </w:r>
    </w:p>
    <w:p w14:paraId="63B04C11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7] P. Martínez-Martín, A. Gil-Nagel, L.M. Gracia, J.B. Gómez, J. Martínez-Sarriés, et al., F.BermejoUnified Parkinson’s Disease Rating SUnified parkinson’s disease rating scale characteristics and structure, The CooperativeCoop Multicentric Group. Mov Disord. 9 (Januray (1)), 1994, 76–83.</w:t>
      </w:r>
    </w:p>
    <w:p w14:paraId="7D632288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8] B. Wilson, J. Evans, N. Alderman, P. Burgess and H. Emilie, Behavioural assessment of the dysexecutive syndrome, In: P. Rabbitt, (Ed), Methodology of frontal and executive function, 1997, 239–250.</w:t>
      </w:r>
    </w:p>
    <w:p w14:paraId="5F30ACFF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9] A. Burns, S. Folstein, J. Brandt and M. Folstein, Clinical Assessment of Irritability, Aggression, and Aassessment of irritability, aggression, and apathy in Huntington and Alzheimer DiseaseThe Journal of Nervous and Mental Disease.alzheimer disease, J Nerv Ment Dis 178 (1), 1990, 20–26.</w:t>
      </w:r>
    </w:p>
    <w:p w14:paraId="69699A8F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[10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J. Grace, J. Stout and P. Malloy, Assessing Frontal Lobe Behavioral Syndromes with the Frontal Lobe Personality Sfrontal lobe behavioral syndromes with the frontal lobe personality scale, Assessment .6 (3), 1999, 269–284.</w:t>
      </w:r>
    </w:p>
    <w:p w14:paraId="135B5DAF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1] D. Kaufer, J. Cummings, P. Ketchel, V. Smith, A. MacMillan, T. Shelley, et al., Validation of the NPI-Q, a Brief Clinical Form of the Neuropsychiatric InventoryThe Journal of Neuropsychiatry and Clinical Neurosciences.brief clinical form of the neuropsychiatric inventory, J Neuropsychiatry Clin Neurosci 12 (2), 2000, 233–239.</w:t>
      </w:r>
    </w:p>
    <w:p w14:paraId="3325AE1C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val="fr-FR"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val="fr-FR" w:eastAsia="fr-FR"/>
        </w:rPr>
        <w:t>[1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val="fr-FR" w:eastAsia="fr-FR"/>
        </w:rPr>
        <w:t>2] S. Chantoin, C. Hazif-Thomas, R. Billon and P. Thomas, Construction d’une échelle d’appréciation de la démotivation chez la personne âgée, L’Encéphale 27 (7), 2001, 450–458.</w:t>
      </w:r>
    </w:p>
    <w:p w14:paraId="4795301A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3] P. Robert, S. Clairet, M. Benoit, J. Koutaich, C. Bertogliati, O. Tible, et al., The Apathy Inventory: assessment of apathy and awareness in Alzheimer’s disease, Parkinson’s disease and mild cognitive impairment, International Journal of Geriatric J Geriatr Psychiatry 17 (12), 2002, 1099–1105.</w:t>
      </w:r>
    </w:p>
    <w:p w14:paraId="41633DAC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4] M.E. Strauss and S.D. Sperry, An informant-based assessment of apathy in Alzheimer disease, Neuropsychiatryneuropsychology, and behavioral neurology Neuropsychol Behav Neurol 15 (September (3)), 2002, 176–183.</w:t>
      </w:r>
    </w:p>
    <w:p w14:paraId="1741BC5D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[15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H. Belanger, L. Brown, T. Crowell, R. Vanderploeg and G. Curtiss, The Key Behaviors Change Inventory and Executive Functioning in an Elderly Clinic SampleThe Clinical Neuropsychologist (Neuropsychology, Development and Cognition: Section D)key behaviors change inventory and executive functioning in an elderly clinic sample, Clin Neuropsychol 16 (3), 2002, 251–257.</w:t>
      </w:r>
    </w:p>
    <w:p w14:paraId="4FE3FD32" w14:textId="77777777" w:rsidR="00721526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lastRenderedPageBreak/>
        <w:t>[16</w:t>
      </w:r>
      <w:r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 xml:space="preserve">] </w:t>
      </w:r>
      <w:r w:rsidRPr="00721526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P. Sockeel, K. Dujardin, D. Devos, C. Deneve, A. Destée and L. Defebvre, The Lille apathy rating scale (LARS), a new instrument for detecting and quantifying apathy: validation in Parkinson’s disease, Journal of Neurology, Neurosurgery &amp; Psychiatry Neurol Neurosurg Psychiatr 77 (5), 2006, 579–584.</w:t>
      </w:r>
    </w:p>
    <w:p w14:paraId="787556F4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[17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K. Dujardin, P. Sockeel, A. Carette, M. Delliaux and L. Defebvre, Assessing apathy in everyday clinical practice with the short-form Lille Apathy Rating Scale, Movement Disorders. Disord 28 (14), 2013, 2014–2019.</w:t>
      </w:r>
    </w:p>
    <w:p w14:paraId="4895CF24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[18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K. Dujardin, P. Sockeel, M. Delliaux, A. Destée and L. Defebvre, The Lille Apathy Rating Scale: Vlille apathy rating scale: validation of a caregiver-based version, Movement Disorders. Disord 23 (6), 2008, 845–849.</w:t>
      </w:r>
    </w:p>
    <w:p w14:paraId="363885B3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[19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K. De Medeiros, P. Robert, S. Gauthier, F. Stella, A. Politis, J. Leoutsakos, et al., The Neuropsychiatric Inventory-Clinician rating scale (NPI-C): reliability and validity of a revised assessment of neuropsychiatric symptoms in dementia, International Psychogeriatrics. Psychogeriatr 22 (06), 2010, 984–994.</w:t>
      </w:r>
    </w:p>
    <w:p w14:paraId="316DF3E7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[20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R. Leontjevas, A. Evers-Stephan, M. Smalbrugge, A. Pot, V. Thewissen, D. Gerritsen, et al., A comparative validation of the abbreviated apathy evaluation scale (AES-10) with the neuropsychiatric inventory apathy subscale against diagnostic criteria of apathy, J Am Med Dir Assoc 13 (3), 2012, 308.e1-308.e6.</w:t>
      </w:r>
    </w:p>
    <w:p w14:paraId="6232B085" w14:textId="77777777" w:rsidR="00F95DE1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[21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L. Agüera-Ortiz, N. Gil-Ruiz, I. Cruz-Orduña, et al., A novel rating scale for the measurement of apathy in institutionalized persons with dementia: The APADEM-NH, . The American Journal of Geriatric Psychiatry.Am J Geriatr Psychiatry 23 (2), 2015, 149–159.</w:t>
      </w:r>
    </w:p>
    <w:p w14:paraId="4DAAC2B8" w14:textId="77777777" w:rsid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[22</w:t>
      </w:r>
      <w:r w:rsidR="00F95DE1"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] R. Radakovic and S. Abrahams, Developing a new apathy measurement scale: Ddimensional Apathy Scale, Psychiatry Res earch.219 (3), 2014, 658–663.</w:t>
      </w:r>
    </w:p>
    <w:p w14:paraId="2AFCF5F8" w14:textId="77777777" w:rsidR="00721526" w:rsidRPr="00F95DE1" w:rsidRDefault="00721526" w:rsidP="00F95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0" w:lineRule="atLeast"/>
        <w:ind w:left="709" w:hanging="709"/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</w:pP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[23</w:t>
      </w:r>
      <w:r w:rsidRPr="00F95DE1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 xml:space="preserve">] </w:t>
      </w:r>
      <w:r w:rsidRPr="00721526">
        <w:rPr>
          <w:rFonts w:ascii="Arial" w:eastAsia="Times New Roman" w:hAnsi="Arial" w:cs="Arial"/>
          <w:color w:val="333333"/>
          <w:sz w:val="22"/>
          <w:szCs w:val="22"/>
          <w:bdr w:val="none" w:sz="0" w:space="0" w:color="auto"/>
          <w:lang w:eastAsia="fr-FR"/>
        </w:rPr>
        <w:t>Y. Ang, P. Lockwood, M. Apps, K. Muhammed and M. Husain, Distinct Subtypes of Apathy Revealed by the Apathy Motivation IndexPLOS ONE.subtypes of apathy revealed by the apathy motivation index, PLoS One 12 (1), 2017, e0169938.</w:t>
      </w:r>
    </w:p>
    <w:p w14:paraId="4574FEDD" w14:textId="77777777" w:rsidR="00F95DE1" w:rsidRPr="00F95DE1" w:rsidRDefault="00F95DE1"/>
    <w:sectPr w:rsidR="00F95DE1" w:rsidRPr="00F95DE1" w:rsidSect="00ED2568">
      <w:footerReference w:type="default" r:id="rId2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E2AA" w14:textId="77777777" w:rsidR="001F5E7B" w:rsidRDefault="001F5E7B">
      <w:r>
        <w:separator/>
      </w:r>
    </w:p>
  </w:endnote>
  <w:endnote w:type="continuationSeparator" w:id="0">
    <w:p w14:paraId="537FE53E" w14:textId="77777777" w:rsidR="001F5E7B" w:rsidRDefault="001F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045E" w14:textId="77777777" w:rsidR="000D3B67" w:rsidRDefault="006D6486">
    <w:pPr>
      <w:pStyle w:val="Corps"/>
      <w:jc w:val="right"/>
    </w:pPr>
    <w:r>
      <w:rPr>
        <w:rFonts w:ascii="Arial" w:hAnsi="Arial"/>
        <w:i/>
        <w:iCs/>
        <w:color w:val="404040"/>
        <w:sz w:val="18"/>
        <w:szCs w:val="18"/>
        <w:u w:color="404040"/>
      </w:rPr>
      <w:fldChar w:fldCharType="begin"/>
    </w:r>
    <w:r>
      <w:rPr>
        <w:rFonts w:ascii="Arial" w:hAnsi="Arial"/>
        <w:i/>
        <w:iCs/>
        <w:color w:val="404040"/>
        <w:sz w:val="18"/>
        <w:szCs w:val="18"/>
        <w:u w:color="404040"/>
      </w:rPr>
      <w:instrText xml:space="preserve"> PAGE </w:instrText>
    </w:r>
    <w:r>
      <w:rPr>
        <w:rFonts w:ascii="Arial" w:hAnsi="Arial"/>
        <w:i/>
        <w:iCs/>
        <w:color w:val="404040"/>
        <w:sz w:val="18"/>
        <w:szCs w:val="18"/>
        <w:u w:color="404040"/>
      </w:rPr>
      <w:fldChar w:fldCharType="separate"/>
    </w:r>
    <w:r w:rsidR="005116F2">
      <w:rPr>
        <w:rFonts w:ascii="Arial" w:hAnsi="Arial"/>
        <w:i/>
        <w:iCs/>
        <w:noProof/>
        <w:color w:val="404040"/>
        <w:sz w:val="18"/>
        <w:szCs w:val="18"/>
        <w:u w:color="404040"/>
      </w:rPr>
      <w:t>3</w:t>
    </w:r>
    <w:r>
      <w:rPr>
        <w:rFonts w:ascii="Arial" w:hAnsi="Arial"/>
        <w:i/>
        <w:iCs/>
        <w:color w:val="404040"/>
        <w:sz w:val="18"/>
        <w:szCs w:val="18"/>
        <w:u w:color="40404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29FEC" w14:textId="77777777" w:rsidR="001F5E7B" w:rsidRDefault="001F5E7B">
      <w:r>
        <w:separator/>
      </w:r>
    </w:p>
  </w:footnote>
  <w:footnote w:type="continuationSeparator" w:id="0">
    <w:p w14:paraId="1C2BA5F6" w14:textId="77777777" w:rsidR="001F5E7B" w:rsidRDefault="001F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6"/>
    <w:rsid w:val="001107F6"/>
    <w:rsid w:val="001D0422"/>
    <w:rsid w:val="001F5E7B"/>
    <w:rsid w:val="005116F2"/>
    <w:rsid w:val="006D6486"/>
    <w:rsid w:val="00721526"/>
    <w:rsid w:val="00806F1F"/>
    <w:rsid w:val="008973D8"/>
    <w:rsid w:val="008A3986"/>
    <w:rsid w:val="008A58E7"/>
    <w:rsid w:val="00A43503"/>
    <w:rsid w:val="00C65852"/>
    <w:rsid w:val="00DC6DF8"/>
    <w:rsid w:val="00F0795D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4288"/>
  <w15:docId w15:val="{19413273-CFBE-437F-87EE-D3F34F6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6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486"/>
    <w:rPr>
      <w:u w:val="single"/>
    </w:rPr>
  </w:style>
  <w:style w:type="paragraph" w:customStyle="1" w:styleId="Corps">
    <w:name w:val="Corps"/>
    <w:rsid w:val="006D6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PardfautA">
    <w:name w:val="Par défaut A"/>
    <w:rsid w:val="006D6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</w:rPr>
  </w:style>
  <w:style w:type="paragraph" w:customStyle="1" w:styleId="Pardfaut">
    <w:name w:val="Par défaut"/>
    <w:rsid w:val="006D6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">
    <w:name w:val="Aucun"/>
    <w:rsid w:val="006D6486"/>
    <w:rPr>
      <w:lang w:val="pt-PT"/>
    </w:rPr>
  </w:style>
  <w:style w:type="character" w:customStyle="1" w:styleId="Hyperlink0">
    <w:name w:val="Hyperlink.0"/>
    <w:basedOn w:val="DefaultParagraphFont"/>
    <w:rsid w:val="006D6486"/>
    <w:rPr>
      <w:color w:val="007398"/>
      <w:u w:val="single" w:color="007398"/>
      <w:lang w:val="fr-FR"/>
    </w:rPr>
  </w:style>
  <w:style w:type="character" w:customStyle="1" w:styleId="Hyperlink1">
    <w:name w:val="Hyperlink.1"/>
    <w:basedOn w:val="DefaultParagraphFont"/>
    <w:rsid w:val="006D6486"/>
    <w:rPr>
      <w:color w:val="0000FF"/>
      <w:u w:val="single" w:color="0000FF"/>
      <w:lang w:val="en-US"/>
    </w:rPr>
  </w:style>
  <w:style w:type="character" w:customStyle="1" w:styleId="Hyperlink2">
    <w:name w:val="Hyperlink.2"/>
    <w:basedOn w:val="DefaultParagraphFont"/>
    <w:rsid w:val="006D6486"/>
    <w:rPr>
      <w:color w:val="0000FF"/>
      <w:u w:val="single" w:color="0000FF"/>
      <w:lang w:val="fr-FR"/>
    </w:rPr>
  </w:style>
  <w:style w:type="character" w:customStyle="1" w:styleId="Hyperlink3">
    <w:name w:val="Hyperlink.3"/>
    <w:basedOn w:val="DefaultParagraphFont"/>
    <w:rsid w:val="006D6486"/>
    <w:rPr>
      <w:color w:val="0000FF"/>
      <w:u w:val="single" w:color="0E7398"/>
      <w:lang w:val="fr-FR"/>
    </w:rPr>
  </w:style>
  <w:style w:type="table" w:customStyle="1" w:styleId="Tablanormal51">
    <w:name w:val="Tabla normal 51"/>
    <w:basedOn w:val="TableNormal"/>
    <w:uiPriority w:val="45"/>
    <w:rsid w:val="006D6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C6D9F1" w:themeFill="tex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5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5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unicode-char1">
    <w:name w:val="unicode-char1"/>
    <w:basedOn w:val="DefaultParagraphFont"/>
    <w:rsid w:val="00F95DE1"/>
  </w:style>
  <w:style w:type="character" w:customStyle="1" w:styleId="cpedel1">
    <w:name w:val="cpedel1"/>
    <w:basedOn w:val="DefaultParagraphFont"/>
    <w:rsid w:val="00F95DE1"/>
  </w:style>
  <w:style w:type="character" w:customStyle="1" w:styleId="cpeins1">
    <w:name w:val="cpeins1"/>
    <w:basedOn w:val="DefaultParagraphFont"/>
    <w:rsid w:val="00F95DE1"/>
  </w:style>
  <w:style w:type="character" w:customStyle="1" w:styleId="celabel2">
    <w:name w:val="ce_label2"/>
    <w:basedOn w:val="DefaultParagraphFont"/>
    <w:rsid w:val="00F95DE1"/>
  </w:style>
  <w:style w:type="character" w:customStyle="1" w:styleId="x8">
    <w:name w:val="x8"/>
    <w:basedOn w:val="DefaultParagraphFont"/>
    <w:rsid w:val="00F95DE1"/>
  </w:style>
  <w:style w:type="character" w:customStyle="1" w:styleId="cegiven-name">
    <w:name w:val="ce_given-name"/>
    <w:basedOn w:val="DefaultParagraphFont"/>
    <w:rsid w:val="00F95DE1"/>
  </w:style>
  <w:style w:type="character" w:customStyle="1" w:styleId="cesurname3">
    <w:name w:val="ce_surname3"/>
    <w:basedOn w:val="DefaultParagraphFont"/>
    <w:rsid w:val="00F95DE1"/>
  </w:style>
  <w:style w:type="character" w:customStyle="1" w:styleId="sbmaintitle">
    <w:name w:val="sb_maintitle"/>
    <w:basedOn w:val="DefaultParagraphFont"/>
    <w:rsid w:val="00F95DE1"/>
  </w:style>
  <w:style w:type="character" w:customStyle="1" w:styleId="sbissue-nr">
    <w:name w:val="sb_issue-nr"/>
    <w:basedOn w:val="DefaultParagraphFont"/>
    <w:rsid w:val="00F95DE1"/>
  </w:style>
  <w:style w:type="character" w:customStyle="1" w:styleId="sbdate">
    <w:name w:val="sb_date"/>
    <w:basedOn w:val="DefaultParagraphFont"/>
    <w:rsid w:val="00F95DE1"/>
  </w:style>
  <w:style w:type="character" w:customStyle="1" w:styleId="sbfirst-page">
    <w:name w:val="sb_first-page"/>
    <w:basedOn w:val="DefaultParagraphFont"/>
    <w:rsid w:val="00F95DE1"/>
  </w:style>
  <w:style w:type="character" w:customStyle="1" w:styleId="sblast-page">
    <w:name w:val="sb_last-page"/>
    <w:basedOn w:val="DefaultParagraphFont"/>
    <w:rsid w:val="00F95DE1"/>
  </w:style>
  <w:style w:type="character" w:customStyle="1" w:styleId="sbvolume-nr2">
    <w:name w:val="sb_volume-nr2"/>
    <w:basedOn w:val="DefaultParagraphFont"/>
    <w:rsid w:val="00F95DE1"/>
  </w:style>
  <w:style w:type="character" w:customStyle="1" w:styleId="sbcomment">
    <w:name w:val="sb_comment"/>
    <w:basedOn w:val="DefaultParagraphFont"/>
    <w:rsid w:val="00F9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0289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0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4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93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7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4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4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1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43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2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35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18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7184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8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844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7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3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37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iencedirect.com/science/article/pii/016517819190040V" TargetMode="External"/><Relationship Id="rId20" Type="http://schemas.openxmlformats.org/officeDocument/2006/relationships/hyperlink" Target="https://www.ncbi.nlm.nih.gov/pubmed/12607138" TargetMode="External"/><Relationship Id="rId21" Type="http://schemas.openxmlformats.org/officeDocument/2006/relationships/hyperlink" Target="http://jnnp.bmj.com/content/77/5/579?utm_source=TrendMD&amp;utm_medium=cpc&amp;utm_campaign=J_Neurol_Neurosurg_Psychiatry_TrendMD_1" TargetMode="External"/><Relationship Id="rId22" Type="http://schemas.openxmlformats.org/officeDocument/2006/relationships/hyperlink" Target="https://www.ncbi.nlm.nih.gov/pubmed/23836341" TargetMode="External"/><Relationship Id="rId23" Type="http://schemas.openxmlformats.org/officeDocument/2006/relationships/hyperlink" Target="https://www.ncbi.nlm.nih.gov/pubmed/20594384" TargetMode="External"/><Relationship Id="rId24" Type="http://schemas.openxmlformats.org/officeDocument/2006/relationships/hyperlink" Target="https://www.ncbi.nlm.nih.gov/pubmed/21764646" TargetMode="External"/><Relationship Id="rId25" Type="http://schemas.openxmlformats.org/officeDocument/2006/relationships/hyperlink" Target="https://www.sciencedirect.com/science/article/pii/S1064748113001371?via%253Dihub" TargetMode="External"/><Relationship Id="rId26" Type="http://schemas.openxmlformats.org/officeDocument/2006/relationships/hyperlink" Target="https://www.sciencedirect.com/science/article/pii/S0165178114004910" TargetMode="External"/><Relationship Id="rId27" Type="http://schemas.openxmlformats.org/officeDocument/2006/relationships/hyperlink" Target="http://journals.plos.org/plosone/article?id=10.1371/journal.pone.0169938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citeseerx.ist.psu.edu/viewdoc/download?doi=10.1.1.461.658&amp;rep=rep1&amp;type=pdf" TargetMode="External"/><Relationship Id="rId11" Type="http://schemas.openxmlformats.org/officeDocument/2006/relationships/hyperlink" Target="https://www.ncbi.nlm.nih.gov/pubmed/7991117" TargetMode="External"/><Relationship Id="rId12" Type="http://schemas.openxmlformats.org/officeDocument/2006/relationships/hyperlink" Target="https://www.ncbi.nlm.nih.gov/pubmed/12815652/10.1002/mds.10473" TargetMode="External"/><Relationship Id="rId13" Type="http://schemas.openxmlformats.org/officeDocument/2006/relationships/hyperlink" Target="http://www.sxf.uevora.pt/wp-content/uploads/2013/03/Munir_2003.pdf" TargetMode="External"/><Relationship Id="rId14" Type="http://schemas.openxmlformats.org/officeDocument/2006/relationships/hyperlink" Target="https://www.ncbi.nlm.nih.gov/pubmed/2136908/" TargetMode="External"/><Relationship Id="rId15" Type="http://schemas.openxmlformats.org/officeDocument/2006/relationships/hyperlink" Target="http://journals.sagepub.com/doi/abs/10.1177/107319119900600307" TargetMode="External"/><Relationship Id="rId16" Type="http://schemas.openxmlformats.org/officeDocument/2006/relationships/hyperlink" Target="https://www.ncbi.nlm.nih.gov/pubmed/11001602" TargetMode="External"/><Relationship Id="rId17" Type="http://schemas.openxmlformats.org/officeDocument/2006/relationships/hyperlink" Target="http://www.em-consulte.com/en/article/83079" TargetMode="External"/><Relationship Id="rId18" Type="http://schemas.openxmlformats.org/officeDocument/2006/relationships/hyperlink" Target="https://www.sciencedirect.com/science/article/pii/S0165178114004910" TargetMode="External"/><Relationship Id="rId19" Type="http://schemas.openxmlformats.org/officeDocument/2006/relationships/hyperlink" Target="https://www.ncbi.nlm.nih.gov/pubmed/1221871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mhconline.com/images/userfiles/File/Article_BriefPsychiatricRating_Scale(1).pdf" TargetMode="External"/><Relationship Id="rId7" Type="http://schemas.openxmlformats.org/officeDocument/2006/relationships/hyperlink" Target="https://www.ncbi.nlm.nih.gov/pubmed/3616518" TargetMode="External"/><Relationship Id="rId8" Type="http://schemas.openxmlformats.org/officeDocument/2006/relationships/hyperlink" Target="http://psycnet.apa.org/record/1990-13687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1599</Words>
  <Characters>9120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Manera</dc:creator>
  <cp:lastModifiedBy>Microsoft Office User</cp:lastModifiedBy>
  <cp:revision>5</cp:revision>
  <dcterms:created xsi:type="dcterms:W3CDTF">2018-08-03T06:12:00Z</dcterms:created>
  <dcterms:modified xsi:type="dcterms:W3CDTF">2018-08-27T09:48:00Z</dcterms:modified>
</cp:coreProperties>
</file>