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F8" w:rsidRPr="001173B1" w:rsidRDefault="001C47F8" w:rsidP="00FD7F35">
      <w:pPr>
        <w:jc w:val="both"/>
        <w:rPr>
          <w:rFonts w:ascii="Times New Roman" w:hAnsi="Times New Roman" w:cs="Times New Roman"/>
          <w:b/>
          <w:sz w:val="24"/>
          <w:szCs w:val="24"/>
        </w:rPr>
      </w:pPr>
      <w:r w:rsidRPr="001173B1">
        <w:rPr>
          <w:rFonts w:ascii="Times New Roman" w:hAnsi="Times New Roman" w:cs="Times New Roman"/>
          <w:b/>
          <w:sz w:val="24"/>
          <w:szCs w:val="24"/>
        </w:rPr>
        <w:t>Supplementary file 4</w:t>
      </w:r>
    </w:p>
    <w:p w:rsidR="001173B1" w:rsidRPr="001173B1" w:rsidRDefault="001C47F8" w:rsidP="008D4027">
      <w:pPr>
        <w:spacing w:line="480" w:lineRule="auto"/>
        <w:jc w:val="both"/>
        <w:rPr>
          <w:rFonts w:ascii="Times New Roman" w:hAnsi="Times New Roman" w:cs="Times New Roman"/>
          <w:b/>
          <w:i/>
          <w:sz w:val="24"/>
          <w:szCs w:val="24"/>
        </w:rPr>
      </w:pPr>
      <w:r w:rsidRPr="001173B1">
        <w:rPr>
          <w:rFonts w:ascii="Times New Roman" w:hAnsi="Times New Roman" w:cs="Times New Roman"/>
          <w:b/>
          <w:i/>
          <w:sz w:val="24"/>
          <w:szCs w:val="24"/>
        </w:rPr>
        <w:t>Infection control preparedness and investigation for measles outbreak in hospitals</w:t>
      </w:r>
    </w:p>
    <w:p w:rsidR="001C47F8" w:rsidRPr="001173B1" w:rsidRDefault="001C47F8" w:rsidP="001173B1">
      <w:pPr>
        <w:spacing w:line="480" w:lineRule="auto"/>
        <w:ind w:firstLine="720"/>
        <w:jc w:val="both"/>
        <w:rPr>
          <w:rFonts w:ascii="Times New Roman" w:hAnsi="Times New Roman" w:cs="Times New Roman"/>
          <w:b/>
          <w:i/>
          <w:sz w:val="24"/>
          <w:szCs w:val="24"/>
        </w:rPr>
      </w:pPr>
      <w:r w:rsidRPr="001173B1">
        <w:rPr>
          <w:rFonts w:ascii="Times New Roman" w:hAnsi="Times New Roman" w:cs="Times New Roman"/>
          <w:sz w:val="24"/>
          <w:szCs w:val="24"/>
        </w:rPr>
        <w:t>In response to the outbreak of measles in HKIA as well as the increasing number of confirmed cases of measles in the community, proactive infection control measures were implemented by the Hospital Authority, a governing body of 7 healthcare networks with 43 public hospitals in Hong Kong. Based on the infection control infrastructure combating emerging infectious diseases, active surveillance of measles infection according to clinical and epidemiological criteria was performed at the triage stations in Accident &amp; Emergency Departments or outpatient clinics</w:t>
      </w:r>
      <w:r w:rsidR="001173B1" w:rsidRPr="001173B1">
        <w:rPr>
          <w:rFonts w:ascii="Times New Roman" w:hAnsi="Times New Roman" w:cs="Times New Roman"/>
          <w:sz w:val="24"/>
          <w:szCs w:val="24"/>
        </w:rPr>
        <w:t>.</w:t>
      </w:r>
      <w:r w:rsidRPr="001173B1">
        <w:rPr>
          <w:rFonts w:ascii="Times New Roman" w:hAnsi="Times New Roman" w:cs="Times New Roman"/>
          <w:noProof/>
          <w:sz w:val="24"/>
          <w:szCs w:val="24"/>
          <w:vertAlign w:val="superscript"/>
        </w:rPr>
        <w:t>1-6</w:t>
      </w:r>
      <w:r w:rsidRPr="001173B1">
        <w:rPr>
          <w:rFonts w:ascii="Times New Roman" w:hAnsi="Times New Roman" w:cs="Times New Roman"/>
          <w:sz w:val="24"/>
          <w:szCs w:val="24"/>
        </w:rPr>
        <w:t xml:space="preserve"> Care bundles were implemented for patients recruited under active surveillance, which included early isolation in an airborne infection isolation roo</w:t>
      </w:r>
      <w:r w:rsidR="00780B37">
        <w:rPr>
          <w:rFonts w:ascii="Times New Roman" w:hAnsi="Times New Roman" w:cs="Times New Roman"/>
          <w:sz w:val="24"/>
          <w:szCs w:val="24"/>
        </w:rPr>
        <w:t>m</w:t>
      </w:r>
      <w:r w:rsidRPr="001173B1">
        <w:rPr>
          <w:rFonts w:ascii="Times New Roman" w:hAnsi="Times New Roman" w:cs="Times New Roman"/>
          <w:sz w:val="24"/>
          <w:szCs w:val="24"/>
        </w:rPr>
        <w:t xml:space="preserve">, collection of nasopharyngeal and throat swab for rapid molecular diagnostic test, and notification to the CHP. Contact tracing was performed to identify all healthcare workers (HCWs) and patients with significant contact with a confirmed case of measles. Significant contact was defined as face-to-face contact of any length or staying in the same room for ≥15 minutes during infectious period of the confirmed case. Staff forums were arranged to provide timely education to frontline healthcare workers. MMR vaccination was offered to HCWs except for those who were born before 1967 or had received two documented doses of measles vaccination, as they are considered to have immunity against measles. </w:t>
      </w:r>
    </w:p>
    <w:p w:rsidR="001C47F8" w:rsidRPr="001173B1" w:rsidRDefault="001C47F8" w:rsidP="00780B37">
      <w:pPr>
        <w:spacing w:line="480" w:lineRule="auto"/>
        <w:jc w:val="both"/>
        <w:outlineLvl w:val="0"/>
        <w:rPr>
          <w:rFonts w:ascii="Times New Roman" w:hAnsi="Times New Roman" w:cs="Times New Roman"/>
          <w:sz w:val="24"/>
          <w:szCs w:val="24"/>
        </w:rPr>
      </w:pPr>
      <w:bookmarkStart w:id="0" w:name="_GoBack"/>
      <w:bookmarkEnd w:id="0"/>
      <w:r w:rsidRPr="001173B1">
        <w:rPr>
          <w:rFonts w:ascii="Times New Roman" w:hAnsi="Times New Roman" w:cs="Times New Roman"/>
          <w:sz w:val="24"/>
          <w:szCs w:val="24"/>
        </w:rPr>
        <w:t xml:space="preserve">References </w:t>
      </w:r>
    </w:p>
    <w:p w:rsidR="001C47F8" w:rsidRPr="001173B1" w:rsidRDefault="001C47F8" w:rsidP="00165243">
      <w:pPr>
        <w:pStyle w:val="EndNoteBibliography"/>
        <w:spacing w:after="0"/>
        <w:ind w:left="720" w:hanging="720"/>
        <w:rPr>
          <w:rFonts w:ascii="Times New Roman" w:hAnsi="Times New Roman" w:cs="Times New Roman"/>
          <w:sz w:val="24"/>
          <w:szCs w:val="24"/>
        </w:rPr>
      </w:pPr>
      <w:r w:rsidRPr="001173B1">
        <w:rPr>
          <w:rFonts w:ascii="Times New Roman" w:hAnsi="Times New Roman" w:cs="Times New Roman"/>
          <w:sz w:val="24"/>
          <w:szCs w:val="24"/>
        </w:rPr>
        <w:t>1.</w:t>
      </w:r>
      <w:r w:rsidRPr="001173B1">
        <w:rPr>
          <w:rFonts w:ascii="Times New Roman" w:hAnsi="Times New Roman" w:cs="Times New Roman"/>
          <w:sz w:val="24"/>
          <w:szCs w:val="24"/>
        </w:rPr>
        <w:tab/>
        <w:t xml:space="preserve">Cheng VC, Lau SK, Woo PC, Yuen KY. Severe acute respiratory syndrome coronavirus as an agent of emerging and reemerging infection. </w:t>
      </w:r>
      <w:r w:rsidRPr="001173B1">
        <w:rPr>
          <w:rFonts w:ascii="Times New Roman" w:hAnsi="Times New Roman" w:cs="Times New Roman"/>
          <w:i/>
          <w:sz w:val="24"/>
          <w:szCs w:val="24"/>
        </w:rPr>
        <w:t xml:space="preserve">Clin Microbiol Rev. </w:t>
      </w:r>
      <w:r w:rsidRPr="001173B1">
        <w:rPr>
          <w:rFonts w:ascii="Times New Roman" w:hAnsi="Times New Roman" w:cs="Times New Roman"/>
          <w:sz w:val="24"/>
          <w:szCs w:val="24"/>
        </w:rPr>
        <w:t>Oct 2007;20(4):660-694.</w:t>
      </w:r>
    </w:p>
    <w:p w:rsidR="001C47F8" w:rsidRPr="001173B1" w:rsidRDefault="001C47F8" w:rsidP="00165243">
      <w:pPr>
        <w:pStyle w:val="EndNoteBibliography"/>
        <w:spacing w:after="0"/>
        <w:ind w:left="720" w:hanging="720"/>
        <w:rPr>
          <w:rFonts w:ascii="Times New Roman" w:hAnsi="Times New Roman" w:cs="Times New Roman"/>
          <w:sz w:val="24"/>
          <w:szCs w:val="24"/>
        </w:rPr>
      </w:pPr>
      <w:r w:rsidRPr="001173B1">
        <w:rPr>
          <w:rFonts w:ascii="Times New Roman" w:hAnsi="Times New Roman" w:cs="Times New Roman"/>
          <w:sz w:val="24"/>
          <w:szCs w:val="24"/>
        </w:rPr>
        <w:t>2.</w:t>
      </w:r>
      <w:r w:rsidRPr="001173B1">
        <w:rPr>
          <w:rFonts w:ascii="Times New Roman" w:hAnsi="Times New Roman" w:cs="Times New Roman"/>
          <w:sz w:val="24"/>
          <w:szCs w:val="24"/>
        </w:rPr>
        <w:tab/>
        <w:t xml:space="preserve">Cheng VC, Tai JW, Wong LM, et al. Prevention of nosocomial transmission of swine-origin pandemic influenza virus A/H1N1 by infection control bundle. </w:t>
      </w:r>
      <w:r w:rsidRPr="001173B1">
        <w:rPr>
          <w:rFonts w:ascii="Times New Roman" w:hAnsi="Times New Roman" w:cs="Times New Roman"/>
          <w:i/>
          <w:sz w:val="24"/>
          <w:szCs w:val="24"/>
        </w:rPr>
        <w:t xml:space="preserve">J Hosp Infect. </w:t>
      </w:r>
      <w:r w:rsidRPr="001173B1">
        <w:rPr>
          <w:rFonts w:ascii="Times New Roman" w:hAnsi="Times New Roman" w:cs="Times New Roman"/>
          <w:sz w:val="24"/>
          <w:szCs w:val="24"/>
        </w:rPr>
        <w:t>Mar 2010;74(3):271-277.</w:t>
      </w:r>
    </w:p>
    <w:p w:rsidR="001C47F8" w:rsidRPr="001173B1" w:rsidRDefault="001C47F8" w:rsidP="00165243">
      <w:pPr>
        <w:pStyle w:val="EndNoteBibliography"/>
        <w:spacing w:after="0"/>
        <w:ind w:left="720" w:hanging="720"/>
        <w:rPr>
          <w:rFonts w:ascii="Times New Roman" w:hAnsi="Times New Roman" w:cs="Times New Roman"/>
          <w:sz w:val="24"/>
          <w:szCs w:val="24"/>
        </w:rPr>
      </w:pPr>
      <w:r w:rsidRPr="001173B1">
        <w:rPr>
          <w:rFonts w:ascii="Times New Roman" w:hAnsi="Times New Roman" w:cs="Times New Roman"/>
          <w:sz w:val="24"/>
          <w:szCs w:val="24"/>
        </w:rPr>
        <w:lastRenderedPageBreak/>
        <w:t>3.</w:t>
      </w:r>
      <w:r w:rsidRPr="001173B1">
        <w:rPr>
          <w:rFonts w:ascii="Times New Roman" w:hAnsi="Times New Roman" w:cs="Times New Roman"/>
          <w:sz w:val="24"/>
          <w:szCs w:val="24"/>
        </w:rPr>
        <w:tab/>
        <w:t xml:space="preserve">Cheng VC, To KK, Tse H, Hung IF, Yuen KY. Two years after pandemic influenza A/2009/H1N1: what have we learned? </w:t>
      </w:r>
      <w:r w:rsidRPr="001173B1">
        <w:rPr>
          <w:rFonts w:ascii="Times New Roman" w:hAnsi="Times New Roman" w:cs="Times New Roman"/>
          <w:i/>
          <w:sz w:val="24"/>
          <w:szCs w:val="24"/>
        </w:rPr>
        <w:t xml:space="preserve">Clin Microbiol Rev. </w:t>
      </w:r>
      <w:r w:rsidRPr="001173B1">
        <w:rPr>
          <w:rFonts w:ascii="Times New Roman" w:hAnsi="Times New Roman" w:cs="Times New Roman"/>
          <w:sz w:val="24"/>
          <w:szCs w:val="24"/>
        </w:rPr>
        <w:t>Apr 2012;25(2):223-263.</w:t>
      </w:r>
    </w:p>
    <w:p w:rsidR="001C47F8" w:rsidRPr="001173B1" w:rsidRDefault="001C47F8" w:rsidP="00165243">
      <w:pPr>
        <w:pStyle w:val="EndNoteBibliography"/>
        <w:spacing w:after="0"/>
        <w:ind w:left="720" w:hanging="720"/>
        <w:rPr>
          <w:rFonts w:ascii="Times New Roman" w:hAnsi="Times New Roman" w:cs="Times New Roman"/>
          <w:sz w:val="24"/>
          <w:szCs w:val="24"/>
        </w:rPr>
      </w:pPr>
      <w:r w:rsidRPr="001173B1">
        <w:rPr>
          <w:rFonts w:ascii="Times New Roman" w:hAnsi="Times New Roman" w:cs="Times New Roman"/>
          <w:sz w:val="24"/>
          <w:szCs w:val="24"/>
        </w:rPr>
        <w:t>4.</w:t>
      </w:r>
      <w:r w:rsidRPr="001173B1">
        <w:rPr>
          <w:rFonts w:ascii="Times New Roman" w:hAnsi="Times New Roman" w:cs="Times New Roman"/>
          <w:sz w:val="24"/>
          <w:szCs w:val="24"/>
        </w:rPr>
        <w:tab/>
        <w:t xml:space="preserve">Cheng VC, Chan JF, To KK, Yuen KY. Clinical management and infection control of SARS: lessons learned. </w:t>
      </w:r>
      <w:r w:rsidRPr="001173B1">
        <w:rPr>
          <w:rFonts w:ascii="Times New Roman" w:hAnsi="Times New Roman" w:cs="Times New Roman"/>
          <w:i/>
          <w:sz w:val="24"/>
          <w:szCs w:val="24"/>
        </w:rPr>
        <w:t xml:space="preserve">Antiviral Res. </w:t>
      </w:r>
      <w:r w:rsidRPr="001173B1">
        <w:rPr>
          <w:rFonts w:ascii="Times New Roman" w:hAnsi="Times New Roman" w:cs="Times New Roman"/>
          <w:sz w:val="24"/>
          <w:szCs w:val="24"/>
        </w:rPr>
        <w:t>Nov 2013;100(2):407-419.</w:t>
      </w:r>
    </w:p>
    <w:p w:rsidR="001C47F8" w:rsidRPr="001173B1" w:rsidRDefault="001C47F8" w:rsidP="00165243">
      <w:pPr>
        <w:pStyle w:val="EndNoteBibliography"/>
        <w:spacing w:after="0"/>
        <w:ind w:left="720" w:hanging="720"/>
        <w:rPr>
          <w:rFonts w:ascii="Times New Roman" w:hAnsi="Times New Roman" w:cs="Times New Roman"/>
          <w:sz w:val="24"/>
          <w:szCs w:val="24"/>
        </w:rPr>
      </w:pPr>
      <w:r w:rsidRPr="001173B1">
        <w:rPr>
          <w:rFonts w:ascii="Times New Roman" w:hAnsi="Times New Roman" w:cs="Times New Roman"/>
          <w:sz w:val="24"/>
          <w:szCs w:val="24"/>
        </w:rPr>
        <w:t>5.</w:t>
      </w:r>
      <w:r w:rsidRPr="001173B1">
        <w:rPr>
          <w:rFonts w:ascii="Times New Roman" w:hAnsi="Times New Roman" w:cs="Times New Roman"/>
          <w:sz w:val="24"/>
          <w:szCs w:val="24"/>
        </w:rPr>
        <w:tab/>
        <w:t xml:space="preserve">Cheng VC, Tai JW, Lee WM, et al. Infection control preparedness for human infection with influenza A H7N9 in Hong Kong. </w:t>
      </w:r>
      <w:r w:rsidRPr="001173B1">
        <w:rPr>
          <w:rFonts w:ascii="Times New Roman" w:hAnsi="Times New Roman" w:cs="Times New Roman"/>
          <w:i/>
          <w:sz w:val="24"/>
          <w:szCs w:val="24"/>
        </w:rPr>
        <w:t xml:space="preserve">Infect Control Hosp Epidemiol. </w:t>
      </w:r>
      <w:r w:rsidRPr="001173B1">
        <w:rPr>
          <w:rFonts w:ascii="Times New Roman" w:hAnsi="Times New Roman" w:cs="Times New Roman"/>
          <w:sz w:val="24"/>
          <w:szCs w:val="24"/>
        </w:rPr>
        <w:t>Jan 2015;36(1):87-92.</w:t>
      </w:r>
    </w:p>
    <w:p w:rsidR="001C47F8" w:rsidRPr="001173B1" w:rsidRDefault="001C47F8" w:rsidP="00165243">
      <w:pPr>
        <w:pStyle w:val="EndNoteBibliography"/>
        <w:ind w:left="720" w:hanging="720"/>
        <w:rPr>
          <w:rFonts w:ascii="Times New Roman" w:hAnsi="Times New Roman" w:cs="Times New Roman"/>
          <w:sz w:val="24"/>
          <w:szCs w:val="24"/>
        </w:rPr>
      </w:pPr>
      <w:r w:rsidRPr="001173B1">
        <w:rPr>
          <w:rFonts w:ascii="Times New Roman" w:hAnsi="Times New Roman" w:cs="Times New Roman"/>
          <w:sz w:val="24"/>
          <w:szCs w:val="24"/>
        </w:rPr>
        <w:t>6.</w:t>
      </w:r>
      <w:r w:rsidRPr="001173B1">
        <w:rPr>
          <w:rFonts w:ascii="Times New Roman" w:hAnsi="Times New Roman" w:cs="Times New Roman"/>
          <w:sz w:val="24"/>
          <w:szCs w:val="24"/>
        </w:rPr>
        <w:tab/>
        <w:t xml:space="preserve">Cheng VC, Lee WM, Sridhar S, Ho PL, Yuen KY. Prevention of nosocomial transmission of influenza A (H7N9) in Hong Kong. </w:t>
      </w:r>
      <w:r w:rsidRPr="001173B1">
        <w:rPr>
          <w:rFonts w:ascii="Times New Roman" w:hAnsi="Times New Roman" w:cs="Times New Roman"/>
          <w:i/>
          <w:sz w:val="24"/>
          <w:szCs w:val="24"/>
        </w:rPr>
        <w:t xml:space="preserve">J Hosp Infect. </w:t>
      </w:r>
      <w:r w:rsidRPr="001173B1">
        <w:rPr>
          <w:rFonts w:ascii="Times New Roman" w:hAnsi="Times New Roman" w:cs="Times New Roman"/>
          <w:sz w:val="24"/>
          <w:szCs w:val="24"/>
        </w:rPr>
        <w:t>Aug 2015;90(4):355-356.</w:t>
      </w:r>
    </w:p>
    <w:p w:rsidR="001C47F8" w:rsidRDefault="001C47F8" w:rsidP="008D4027">
      <w:pPr>
        <w:spacing w:line="480" w:lineRule="auto"/>
        <w:jc w:val="both"/>
        <w:rPr>
          <w:rFonts w:ascii="Times New Roman" w:hAnsi="Times New Roman"/>
          <w:b/>
          <w:i/>
        </w:rPr>
      </w:pPr>
    </w:p>
    <w:p w:rsidR="007C1198" w:rsidRDefault="007C1198"/>
    <w:sectPr w:rsidR="007C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C47F8"/>
    <w:rsid w:val="001173B1"/>
    <w:rsid w:val="001C47F8"/>
    <w:rsid w:val="00780B37"/>
    <w:rsid w:val="007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8"/>
  </w:style>
  <w:style w:type="character" w:default="1" w:styleId="DefaultParagraphFont">
    <w:name w:val="Default Paragraph Font"/>
    <w:uiPriority w:val="1"/>
    <w:unhideWhenUsed/>
    <w:rsid w:val="001C4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7F8"/>
  </w:style>
  <w:style w:type="paragraph" w:customStyle="1" w:styleId="EndNoteBibliographyTitle">
    <w:name w:val="EndNote Bibliography Title"/>
    <w:basedOn w:val="Normal"/>
    <w:link w:val="EndNoteBibliographyTitleChar"/>
    <w:rsid w:val="001C47F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C47F8"/>
    <w:rPr>
      <w:rFonts w:ascii="Calibri" w:hAnsi="Calibri" w:cs="Calibri"/>
      <w:noProof/>
    </w:rPr>
  </w:style>
  <w:style w:type="paragraph" w:customStyle="1" w:styleId="EndNoteBibliography">
    <w:name w:val="EndNote Bibliography"/>
    <w:basedOn w:val="Normal"/>
    <w:link w:val="EndNoteBibliographyChar"/>
    <w:rsid w:val="001C47F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C47F8"/>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8"/>
  </w:style>
  <w:style w:type="character" w:default="1" w:styleId="DefaultParagraphFont">
    <w:name w:val="Default Paragraph Font"/>
    <w:uiPriority w:val="1"/>
    <w:unhideWhenUsed/>
    <w:rsid w:val="001C4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7F8"/>
  </w:style>
  <w:style w:type="paragraph" w:customStyle="1" w:styleId="EndNoteBibliographyTitle">
    <w:name w:val="EndNote Bibliography Title"/>
    <w:basedOn w:val="Normal"/>
    <w:link w:val="EndNoteBibliographyTitleChar"/>
    <w:rsid w:val="001C47F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C47F8"/>
    <w:rPr>
      <w:rFonts w:ascii="Calibri" w:hAnsi="Calibri" w:cs="Calibri"/>
      <w:noProof/>
    </w:rPr>
  </w:style>
  <w:style w:type="paragraph" w:customStyle="1" w:styleId="EndNoteBibliography">
    <w:name w:val="EndNote Bibliography"/>
    <w:basedOn w:val="Normal"/>
    <w:link w:val="EndNoteBibliographyChar"/>
    <w:rsid w:val="001C47F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C47F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2019-07-09T02:09:00Z</dcterms:created>
  <dcterms:modified xsi:type="dcterms:W3CDTF">2019-07-09T02:14:00Z</dcterms:modified>
</cp:coreProperties>
</file>