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1D" w:rsidRPr="00D44FA0" w:rsidRDefault="00372F0A" w:rsidP="00D44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A0">
        <w:rPr>
          <w:rFonts w:ascii="Times New Roman" w:hAnsi="Times New Roman" w:cs="Times New Roman"/>
          <w:b/>
          <w:sz w:val="24"/>
          <w:szCs w:val="24"/>
        </w:rPr>
        <w:t>Supplemental Appendix</w:t>
      </w:r>
      <w:r w:rsidR="00D44FA0" w:rsidRPr="00D44FA0">
        <w:rPr>
          <w:rFonts w:ascii="Times New Roman" w:hAnsi="Times New Roman" w:cs="Times New Roman"/>
          <w:b/>
          <w:sz w:val="24"/>
          <w:szCs w:val="24"/>
        </w:rPr>
        <w:t>: Risk Factor Analysis Methods</w:t>
      </w:r>
    </w:p>
    <w:p w:rsidR="00826C1D" w:rsidRDefault="00826C1D">
      <w:pPr>
        <w:rPr>
          <w:rFonts w:ascii="Times New Roman" w:hAnsi="Times New Roman" w:cs="Times New Roman"/>
          <w:sz w:val="24"/>
          <w:szCs w:val="24"/>
        </w:rPr>
      </w:pPr>
    </w:p>
    <w:p w:rsidR="00826C1D" w:rsidRDefault="00826C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Risk Factor Measurement</w:t>
      </w:r>
    </w:p>
    <w:p w:rsidR="00826C1D" w:rsidRDefault="00826C1D" w:rsidP="00826C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933">
        <w:rPr>
          <w:rFonts w:ascii="Times New Roman" w:hAnsi="Times New Roman" w:cs="Times New Roman"/>
          <w:sz w:val="24"/>
          <w:szCs w:val="24"/>
        </w:rPr>
        <w:t xml:space="preserve">Patient comorbidities were </w:t>
      </w:r>
      <w:r>
        <w:rPr>
          <w:rFonts w:ascii="Times New Roman" w:hAnsi="Times New Roman" w:cs="Times New Roman"/>
          <w:sz w:val="24"/>
          <w:szCs w:val="24"/>
        </w:rPr>
        <w:t>identified</w:t>
      </w:r>
      <w:r w:rsidRPr="00B02933">
        <w:rPr>
          <w:rFonts w:ascii="Times New Roman" w:hAnsi="Times New Roman" w:cs="Times New Roman"/>
          <w:sz w:val="24"/>
          <w:szCs w:val="24"/>
        </w:rPr>
        <w:t xml:space="preserve"> using the discharge diagnosis ICD-9-CM (January 2015 – September 2015) and ICD-10-CM (October 2015 – December 2017) codes on each record. </w:t>
      </w:r>
      <w:proofErr w:type="spellStart"/>
      <w:r w:rsidRPr="00B02933">
        <w:rPr>
          <w:rFonts w:ascii="Times New Roman" w:hAnsi="Times New Roman" w:cs="Times New Roman"/>
          <w:sz w:val="24"/>
          <w:szCs w:val="24"/>
        </w:rPr>
        <w:t>Deyo</w:t>
      </w:r>
      <w:proofErr w:type="spellEnd"/>
      <w:r w:rsidRPr="00B02933">
        <w:rPr>
          <w:rFonts w:ascii="Times New Roman" w:hAnsi="Times New Roman" w:cs="Times New Roman"/>
          <w:sz w:val="24"/>
          <w:szCs w:val="24"/>
        </w:rPr>
        <w:t xml:space="preserve"> et al. (1992) and Quan et al. (2005) algorithms were adapted to identify components of the Charlson comorbidity index (CCI) score (Supplemental Table 1).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1,2</w:t>
      </w:r>
      <w:r w:rsidRPr="003137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2933">
        <w:rPr>
          <w:rFonts w:ascii="Times New Roman" w:hAnsi="Times New Roman" w:cs="Times New Roman"/>
          <w:sz w:val="24"/>
          <w:szCs w:val="24"/>
        </w:rPr>
        <w:t xml:space="preserve">Diagnosis codes for incident events (e.g. acute myocardial infarction) were </w:t>
      </w:r>
      <w:r>
        <w:rPr>
          <w:rFonts w:ascii="Times New Roman" w:hAnsi="Times New Roman" w:cs="Times New Roman"/>
          <w:sz w:val="24"/>
          <w:szCs w:val="24"/>
        </w:rPr>
        <w:t>removed</w:t>
      </w:r>
      <w:r w:rsidRPr="00B02933">
        <w:rPr>
          <w:rFonts w:ascii="Times New Roman" w:hAnsi="Times New Roman" w:cs="Times New Roman"/>
          <w:sz w:val="24"/>
          <w:szCs w:val="24"/>
        </w:rPr>
        <w:t xml:space="preserve"> from a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B02933">
        <w:rPr>
          <w:rFonts w:ascii="Times New Roman" w:hAnsi="Times New Roman" w:cs="Times New Roman"/>
          <w:sz w:val="24"/>
          <w:szCs w:val="24"/>
        </w:rPr>
        <w:t xml:space="preserve"> component definitions.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B02933">
        <w:rPr>
          <w:rFonts w:ascii="Times New Roman" w:hAnsi="Times New Roman" w:cs="Times New Roman"/>
          <w:sz w:val="24"/>
          <w:szCs w:val="24"/>
        </w:rPr>
        <w:t xml:space="preserve"> Peripheral vascular disease (PVD) was also excluded due to low incidence (n=201)</w:t>
      </w:r>
      <w:r>
        <w:rPr>
          <w:rFonts w:ascii="Times New Roman" w:hAnsi="Times New Roman" w:cs="Times New Roman"/>
          <w:sz w:val="24"/>
          <w:szCs w:val="24"/>
        </w:rPr>
        <w:t xml:space="preserve"> and both malignancy (solid tumor or metastatic disease) and human immunodeficiency viruses (HIV) were incorporated into the broader classification of immunocompromised. </w:t>
      </w:r>
    </w:p>
    <w:p w:rsidR="00826C1D" w:rsidRDefault="00826C1D" w:rsidP="00826C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Immunocompromised patients were identified using the Advisory Committee on Immunization Practices (ACIP) and Infectious Diseases Society of America (IDSA) guidelines, which are used to determine persons who cannot receive live-attenuated vaccinations.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Diagnoses of immunosuppressive conditions- which included HIV, neutropenia, organ transplant, and any malignancy- were identified using discharge diagnosis codes; relevant ICD-9-CM codes were identified using the Greenberg et al. (2016)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algorithm and ICD-10-CM codes were identified using CMS Generalized Equivalence Mappings (GEMS) (Supplemental Table 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Patients receiving chemotherapeutic agents, corticosteroids, or immune-modulating agents within the first 2 days of their hospitalization were identified using inpatient medications (Supplemental Table 2). Neutropenia was identified using both diagnosis codes and laboratory blood test results within the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hospitalization days (defined as ≥2 WBC counts &lt;500 cells/mm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Urinary retention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identified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inpatient medication treatment for the condition (Supplemental Table 2).</w:t>
      </w:r>
    </w:p>
    <w:p w:rsidR="00826C1D" w:rsidRDefault="00826C1D" w:rsidP="00826C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Severity of illness was captured using the</w:t>
      </w:r>
      <w:r w:rsidRPr="00C72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Modified Early Warning Score (MEWS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5,6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54CC6">
        <w:rPr>
          <w:rFonts w:ascii="Times New Roman" w:hAnsi="Times New Roman" w:cs="Times New Roman"/>
          <w:sz w:val="24"/>
          <w:szCs w:val="24"/>
        </w:rPr>
        <w:t xml:space="preserve"> Morse Fall Scale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7,8</w:t>
      </w:r>
      <w:r w:rsidRPr="00754CC6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754CC6">
        <w:rPr>
          <w:rFonts w:ascii="Times New Roman" w:hAnsi="Times New Roman" w:cs="Times New Roman"/>
          <w:sz w:val="24"/>
          <w:szCs w:val="24"/>
        </w:rPr>
        <w:t xml:space="preserve"> captured and calculated within the</w:t>
      </w:r>
      <w:r>
        <w:rPr>
          <w:rFonts w:ascii="Times New Roman" w:hAnsi="Times New Roman" w:cs="Times New Roman"/>
          <w:sz w:val="24"/>
          <w:szCs w:val="24"/>
        </w:rPr>
        <w:t xml:space="preserve"> UNC Hospitals</w:t>
      </w:r>
      <w:r w:rsidRPr="00754CC6">
        <w:rPr>
          <w:rFonts w:ascii="Times New Roman" w:hAnsi="Times New Roman" w:cs="Times New Roman"/>
          <w:sz w:val="24"/>
          <w:szCs w:val="24"/>
        </w:rPr>
        <w:t xml:space="preserve"> EMR. </w:t>
      </w:r>
      <w:r>
        <w:rPr>
          <w:rFonts w:ascii="Times New Roman" w:hAnsi="Times New Roman" w:cs="Times New Roman"/>
          <w:sz w:val="24"/>
          <w:szCs w:val="24"/>
        </w:rPr>
        <w:t xml:space="preserve">The MEWS uses vital signs- specifically systolic blood pressure, heart rate, respiratory rate, temperature, level of consciousness, and hourly urine output (for two hours)- to detect patients at risk for imminent clinical deterioration. The Morse Fall Scale is a simple prediction score designed to identify patients at risk for falling in the hospital.  The Morse Fall Scale includes the following variables: history of falling, number of secondary diagnoses, whether ambulatory aid </w:t>
      </w:r>
      <w:proofErr w:type="gramStart"/>
      <w:r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intravenous therapy/heparin lock, gait, and mental status. For each patient, the first MEWS and Morse Fall Scale score within the first 2 days of admission was captured and categorized using clinically relevant cut points (MEWS: &lt;1 [reference], 2, 3, ≥4; Morse Fall Scale: 0 [reference], 1-24, 25-45, &gt;45). </w:t>
      </w:r>
      <w:bookmarkStart w:id="0" w:name="_Hlk5828835"/>
      <w:r>
        <w:rPr>
          <w:rFonts w:ascii="Times New Roman" w:hAnsi="Times New Roman" w:cs="Times New Roman"/>
          <w:sz w:val="24"/>
          <w:szCs w:val="24"/>
        </w:rPr>
        <w:t>A MEWS ≥4 and a Morse Fall Scale score &gt;45 are both considered indicators of severe illness.</w:t>
      </w:r>
      <w:bookmarkEnd w:id="0"/>
    </w:p>
    <w:p w:rsidR="00826C1D" w:rsidRDefault="00826C1D" w:rsidP="00826C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medications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identified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orders captured in the EMR and receipt was confirmed using the medication administration record (Supplemental Table 2). Urinary retention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captured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treatment for urinary dysfunction (Supplemental Table 2), and urologic procedures were identified using CPT codes 50010 – 53899.</w:t>
      </w:r>
    </w:p>
    <w:p w:rsidR="00826C1D" w:rsidRDefault="00826C1D" w:rsidP="00826C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C1D" w:rsidRDefault="00826C1D" w:rsidP="00826C1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Inverse-Probability of Missing Weights (IPTW)</w:t>
      </w:r>
    </w:p>
    <w:p w:rsidR="00826C1D" w:rsidRDefault="00826C1D" w:rsidP="00D44F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ab/>
      </w:r>
      <w:r w:rsidRPr="008225FA">
        <w:rPr>
          <w:rFonts w:ascii="Times New Roman" w:hAnsi="Times New Roman" w:cs="Times New Roman"/>
          <w:sz w:val="24"/>
          <w:szCs w:val="24"/>
        </w:rPr>
        <w:t xml:space="preserve">Due </w:t>
      </w:r>
      <w:r w:rsidRPr="006E6580">
        <w:rPr>
          <w:rFonts w:ascii="Times New Roman" w:hAnsi="Times New Roman" w:cs="Times New Roman"/>
          <w:sz w:val="24"/>
          <w:szCs w:val="24"/>
        </w:rPr>
        <w:t xml:space="preserve">to missing values </w:t>
      </w:r>
      <w:r w:rsidRPr="008225FA">
        <w:rPr>
          <w:rFonts w:ascii="Times New Roman" w:hAnsi="Times New Roman" w:cs="Times New Roman"/>
          <w:sz w:val="24"/>
          <w:szCs w:val="24"/>
        </w:rPr>
        <w:t>of BMI (</w:t>
      </w:r>
      <w:r>
        <w:rPr>
          <w:rFonts w:ascii="Times New Roman" w:hAnsi="Times New Roman" w:cs="Times New Roman"/>
          <w:sz w:val="24"/>
          <w:szCs w:val="24"/>
        </w:rPr>
        <w:t>n=</w:t>
      </w:r>
      <w:r w:rsidRPr="008225FA">
        <w:rPr>
          <w:rFonts w:ascii="Times New Roman" w:hAnsi="Times New Roman" w:cs="Times New Roman"/>
          <w:sz w:val="24"/>
          <w:szCs w:val="24"/>
        </w:rPr>
        <w:t>15,146, 17%), MEWS (</w:t>
      </w:r>
      <w:r>
        <w:rPr>
          <w:rFonts w:ascii="Times New Roman" w:hAnsi="Times New Roman" w:cs="Times New Roman"/>
          <w:sz w:val="24"/>
          <w:szCs w:val="24"/>
        </w:rPr>
        <w:t>n=</w:t>
      </w:r>
      <w:r w:rsidRPr="008225FA">
        <w:rPr>
          <w:rFonts w:ascii="Times New Roman" w:hAnsi="Times New Roman" w:cs="Times New Roman"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8225FA">
        <w:rPr>
          <w:rFonts w:ascii="Times New Roman" w:hAnsi="Times New Roman" w:cs="Times New Roman"/>
          <w:sz w:val="24"/>
          <w:szCs w:val="24"/>
        </w:rPr>
        <w:t>, 21%)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5FA">
        <w:rPr>
          <w:rFonts w:ascii="Times New Roman" w:hAnsi="Times New Roman" w:cs="Times New Roman"/>
          <w:sz w:val="24"/>
          <w:szCs w:val="24"/>
        </w:rPr>
        <w:t xml:space="preserve"> Morse Fall Scale (</w:t>
      </w:r>
      <w:r>
        <w:rPr>
          <w:rFonts w:ascii="Times New Roman" w:hAnsi="Times New Roman" w:cs="Times New Roman"/>
          <w:sz w:val="24"/>
          <w:szCs w:val="24"/>
        </w:rPr>
        <w:t>n=</w:t>
      </w:r>
      <w:r w:rsidRPr="008225FA">
        <w:rPr>
          <w:rFonts w:ascii="Times New Roman" w:hAnsi="Times New Roman" w:cs="Times New Roman"/>
          <w:sz w:val="24"/>
          <w:szCs w:val="24"/>
        </w:rPr>
        <w:t>8,571, 10%)</w:t>
      </w:r>
      <w:r>
        <w:rPr>
          <w:rFonts w:ascii="Times New Roman" w:hAnsi="Times New Roman" w:cs="Times New Roman"/>
          <w:sz w:val="24"/>
          <w:szCs w:val="24"/>
        </w:rPr>
        <w:t xml:space="preserve">, and location/discharge disposition (n=8,482, 10%), </w:t>
      </w:r>
      <w:r w:rsidRPr="006E6580">
        <w:rPr>
          <w:rFonts w:ascii="Times New Roman" w:hAnsi="Times New Roman" w:cs="Times New Roman"/>
          <w:sz w:val="24"/>
          <w:szCs w:val="24"/>
        </w:rPr>
        <w:t xml:space="preserve">inverse-probability of missing </w:t>
      </w:r>
      <w:r>
        <w:rPr>
          <w:rFonts w:ascii="Times New Roman" w:hAnsi="Times New Roman" w:cs="Times New Roman"/>
          <w:sz w:val="24"/>
          <w:szCs w:val="24"/>
        </w:rPr>
        <w:t>weights (IPMW) were calculated.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Weights were estimated using multivariable logistic regression, which modeled the probability of being a complete case </w:t>
      </w:r>
      <w:r w:rsidRPr="006E6580">
        <w:rPr>
          <w:rFonts w:ascii="Times New Roman" w:hAnsi="Times New Roman" w:cs="Times New Roman"/>
          <w:sz w:val="24"/>
          <w:szCs w:val="24"/>
        </w:rPr>
        <w:t>as a function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E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following variables: year and season of admission, cause of admission, patient age, sex, Charlson </w:t>
      </w:r>
      <w:r>
        <w:rPr>
          <w:rFonts w:ascii="Times New Roman" w:hAnsi="Times New Roman" w:cs="Times New Roman"/>
          <w:sz w:val="24"/>
          <w:szCs w:val="24"/>
        </w:rPr>
        <w:lastRenderedPageBreak/>
        <w:t>score comorbidities (excluding HIV and cancer), immunosuppression, TPN, target medication usage anytime during hospitalization (antibiotics, antipsychotics, local anesthetics, general anesthetics, benzodiazepines, opioids, alpha-2 agonists, non-steroid anti-inflammatory drugs [</w:t>
      </w:r>
      <w:r w:rsidRPr="00E2666F">
        <w:rPr>
          <w:rFonts w:ascii="Times New Roman" w:hAnsi="Times New Roman" w:cs="Times New Roman"/>
          <w:sz w:val="24"/>
          <w:szCs w:val="24"/>
        </w:rPr>
        <w:t>NSAIDs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2666F">
        <w:rPr>
          <w:rFonts w:ascii="Times New Roman" w:hAnsi="Times New Roman" w:cs="Times New Roman"/>
          <w:sz w:val="24"/>
          <w:szCs w:val="24"/>
        </w:rPr>
        <w:t xml:space="preserve">, calcium channel blockers, statins, angiotensin converting enzyme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2666F"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2666F">
        <w:rPr>
          <w:rFonts w:ascii="Times New Roman" w:hAnsi="Times New Roman" w:cs="Times New Roman"/>
          <w:sz w:val="24"/>
          <w:szCs w:val="24"/>
        </w:rPr>
        <w:t xml:space="preserve"> inhibitors, </w:t>
      </w:r>
      <w:bookmarkStart w:id="1" w:name="_Hlk5829411"/>
      <w:r w:rsidRPr="00FF0FFF">
        <w:rPr>
          <w:rFonts w:ascii="Times New Roman" w:hAnsi="Times New Roman" w:cs="Times New Roman"/>
          <w:sz w:val="24"/>
          <w:szCs w:val="24"/>
          <w:shd w:val="clear" w:color="auto" w:fill="FFFFFF"/>
        </w:rPr>
        <w:t>angiotensin II receptor blockers [</w:t>
      </w:r>
      <w:r w:rsidRPr="00FF0FFF">
        <w:rPr>
          <w:rFonts w:ascii="Times New Roman" w:hAnsi="Times New Roman" w:cs="Times New Roman"/>
          <w:sz w:val="24"/>
          <w:szCs w:val="24"/>
        </w:rPr>
        <w:t xml:space="preserve">ARBs], </w:t>
      </w:r>
      <w:bookmarkEnd w:id="1"/>
      <w:r w:rsidRPr="00FF0FFF">
        <w:rPr>
          <w:rFonts w:ascii="Times New Roman" w:hAnsi="Times New Roman" w:cs="Times New Roman"/>
          <w:sz w:val="24"/>
          <w:szCs w:val="24"/>
        </w:rPr>
        <w:t>histamine</w:t>
      </w:r>
      <w:r>
        <w:rPr>
          <w:rFonts w:ascii="Times New Roman" w:hAnsi="Times New Roman" w:cs="Times New Roman"/>
          <w:sz w:val="24"/>
          <w:szCs w:val="24"/>
        </w:rPr>
        <w:t>-2 agonists, proton pump inhibitors), device use (urinary catheter, ventilator, central venous catheter, peripheral venous catheter), whether they underwent any surgery (CPT 10021 – 69990), and LOS, as well as interaction terms between admission date (year and quarter) and both cause of admission and LOS. Age and LOS were modeled as restricted quadratic splines.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99% of hospitalizations from January-March 2015 were missing MEWS (28% of all the missing data), all hospitalizations in this time period were excluded from multivariable analysis.</w:t>
      </w:r>
    </w:p>
    <w:p w:rsidR="00826C1D" w:rsidRDefault="00826C1D" w:rsidP="00826C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C1D" w:rsidRDefault="00826C1D" w:rsidP="00826C1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6C1D">
        <w:rPr>
          <w:rFonts w:ascii="Times New Roman" w:hAnsi="Times New Roman" w:cs="Times New Roman"/>
          <w:i/>
          <w:sz w:val="24"/>
          <w:szCs w:val="24"/>
          <w:u w:val="single"/>
        </w:rPr>
        <w:t>References</w:t>
      </w:r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B013B">
        <w:rPr>
          <w:rFonts w:ascii="Times New Roman" w:hAnsi="Times New Roman" w:cs="Times New Roman"/>
          <w:sz w:val="24"/>
          <w:szCs w:val="24"/>
        </w:rPr>
        <w:t xml:space="preserve">Deyo RA, Cherkin DC, Ciol MA. Adapting a clinical comorbidity index for use with </w:t>
      </w:r>
      <w:r>
        <w:rPr>
          <w:rFonts w:ascii="Times New Roman" w:hAnsi="Times New Roman" w:cs="Times New Roman"/>
          <w:sz w:val="24"/>
          <w:szCs w:val="24"/>
        </w:rPr>
        <w:t>ICD</w:t>
      </w:r>
      <w:r w:rsidRPr="003B013B">
        <w:rPr>
          <w:rFonts w:ascii="Times New Roman" w:hAnsi="Times New Roman" w:cs="Times New Roman"/>
          <w:sz w:val="24"/>
          <w:szCs w:val="24"/>
        </w:rPr>
        <w:t>-9-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3B013B">
        <w:rPr>
          <w:rFonts w:ascii="Times New Roman" w:hAnsi="Times New Roman" w:cs="Times New Roman"/>
          <w:sz w:val="24"/>
          <w:szCs w:val="24"/>
        </w:rPr>
        <w:t xml:space="preserve"> administrative databases. </w:t>
      </w:r>
      <w:r w:rsidRPr="0046647C">
        <w:rPr>
          <w:rFonts w:ascii="Times New Roman" w:hAnsi="Times New Roman" w:cs="Times New Roman"/>
          <w:i/>
          <w:sz w:val="24"/>
          <w:szCs w:val="24"/>
        </w:rPr>
        <w:t>J Clin Epidemiol</w:t>
      </w:r>
      <w:r w:rsidRPr="003B013B">
        <w:rPr>
          <w:rFonts w:ascii="Times New Roman" w:hAnsi="Times New Roman" w:cs="Times New Roman"/>
          <w:sz w:val="24"/>
          <w:szCs w:val="24"/>
        </w:rPr>
        <w:t xml:space="preserve"> </w:t>
      </w:r>
      <w:r w:rsidRPr="0046647C">
        <w:rPr>
          <w:rFonts w:ascii="Times New Roman" w:hAnsi="Times New Roman" w:cs="Times New Roman"/>
          <w:sz w:val="24"/>
          <w:szCs w:val="24"/>
        </w:rPr>
        <w:t>1992</w:t>
      </w:r>
      <w:r w:rsidRPr="003B013B">
        <w:rPr>
          <w:rFonts w:ascii="Times New Roman" w:hAnsi="Times New Roman" w:cs="Times New Roman"/>
          <w:sz w:val="24"/>
          <w:szCs w:val="24"/>
        </w:rPr>
        <w:t>;45:613-619.</w:t>
      </w:r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Quan H, Sundararajan V, Halfon P, et al. Coding algorithms for defining comorbidities in ICD-9-CM and ICD-10 administrative data. </w:t>
      </w:r>
      <w:r w:rsidRPr="00826C1D">
        <w:rPr>
          <w:rFonts w:ascii="Times New Roman" w:hAnsi="Times New Roman" w:cs="Times New Roman"/>
          <w:i/>
          <w:sz w:val="24"/>
          <w:szCs w:val="24"/>
        </w:rPr>
        <w:t>Med Care</w:t>
      </w:r>
      <w:r w:rsidRPr="00826C1D">
        <w:rPr>
          <w:rFonts w:ascii="Times New Roman" w:hAnsi="Times New Roman" w:cs="Times New Roman"/>
          <w:sz w:val="24"/>
          <w:szCs w:val="24"/>
        </w:rPr>
        <w:t xml:space="preserve"> 2005;43:1130-1139.</w:t>
      </w:r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Use of 13-valent pneumococcal conjugate vaccine and 23-valent pneumococcal polysaccharide vaccine for adults with immunocompromising conditions: Recommendations of the Advisory Committee on Immunization Practices (ACIP). </w:t>
      </w:r>
      <w:r w:rsidRPr="00826C1D">
        <w:rPr>
          <w:rFonts w:ascii="Times New Roman" w:hAnsi="Times New Roman" w:cs="Times New Roman"/>
          <w:i/>
          <w:sz w:val="24"/>
          <w:szCs w:val="24"/>
        </w:rPr>
        <w:t>MMWR Morb Mortal Wkly Rep</w:t>
      </w:r>
      <w:r w:rsidRPr="00826C1D">
        <w:rPr>
          <w:rFonts w:ascii="Times New Roman" w:hAnsi="Times New Roman" w:cs="Times New Roman"/>
          <w:sz w:val="24"/>
          <w:szCs w:val="24"/>
        </w:rPr>
        <w:t xml:space="preserve"> 2012;61:816-819.</w:t>
      </w:r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lastRenderedPageBreak/>
        <w:t xml:space="preserve">Greenberg JA, Hohmann SF, Hall JB, Kress JP, David MZ. Validation of a method to identify immunocompromised patients with severe sepsis in administrative databases. </w:t>
      </w:r>
      <w:r w:rsidRPr="00826C1D">
        <w:rPr>
          <w:rFonts w:ascii="Times New Roman" w:hAnsi="Times New Roman" w:cs="Times New Roman"/>
          <w:i/>
          <w:sz w:val="24"/>
          <w:szCs w:val="24"/>
        </w:rPr>
        <w:t>Ann Am Thorac Soc</w:t>
      </w:r>
      <w:r w:rsidRPr="00826C1D">
        <w:rPr>
          <w:rFonts w:ascii="Times New Roman" w:hAnsi="Times New Roman" w:cs="Times New Roman"/>
          <w:sz w:val="24"/>
          <w:szCs w:val="24"/>
        </w:rPr>
        <w:t xml:space="preserve"> 2016;13:253-258. </w:t>
      </w:r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Subbe CP, Kruger M, Rutherford P, Gemmel L. Validation of a modified early warning score in medical admissions. </w:t>
      </w:r>
      <w:bookmarkStart w:id="2" w:name="_Hlk10230014"/>
      <w:r w:rsidRPr="00826C1D">
        <w:rPr>
          <w:rFonts w:ascii="Times New Roman" w:hAnsi="Times New Roman" w:cs="Times New Roman"/>
          <w:i/>
          <w:sz w:val="24"/>
          <w:szCs w:val="24"/>
        </w:rPr>
        <w:t>QJM</w:t>
      </w:r>
      <w:r w:rsidRPr="00826C1D">
        <w:rPr>
          <w:rFonts w:ascii="Times New Roman" w:hAnsi="Times New Roman" w:cs="Times New Roman"/>
          <w:sz w:val="24"/>
          <w:szCs w:val="24"/>
        </w:rPr>
        <w:t xml:space="preserve"> 2001;94:521-526.</w:t>
      </w:r>
      <w:bookmarkEnd w:id="2"/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Morgan RJM, Williams F, Wright MM. An early warning scoring system for detecting developing critical illness. </w:t>
      </w:r>
      <w:r w:rsidRPr="00826C1D">
        <w:rPr>
          <w:rFonts w:ascii="Times New Roman" w:hAnsi="Times New Roman" w:cs="Times New Roman"/>
          <w:i/>
          <w:sz w:val="24"/>
          <w:szCs w:val="24"/>
        </w:rPr>
        <w:t>Clin Intensive Care</w:t>
      </w:r>
      <w:r w:rsidRPr="00826C1D">
        <w:rPr>
          <w:rFonts w:ascii="Times New Roman" w:hAnsi="Times New Roman" w:cs="Times New Roman"/>
          <w:sz w:val="24"/>
          <w:szCs w:val="24"/>
        </w:rPr>
        <w:t xml:space="preserve"> 1997;8:100.</w:t>
      </w:r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Morse JM, Morse RM, Tylko SJ. Development of a scale to identify the fall-prone patient. </w:t>
      </w:r>
      <w:bookmarkStart w:id="3" w:name="_Hlk10230025"/>
      <w:r w:rsidRPr="00826C1D">
        <w:rPr>
          <w:rFonts w:ascii="Times New Roman" w:hAnsi="Times New Roman" w:cs="Times New Roman"/>
          <w:i/>
          <w:sz w:val="24"/>
          <w:szCs w:val="24"/>
        </w:rPr>
        <w:t>Can J Aging</w:t>
      </w:r>
      <w:r w:rsidRPr="00826C1D">
        <w:rPr>
          <w:rFonts w:ascii="Times New Roman" w:hAnsi="Times New Roman" w:cs="Times New Roman"/>
          <w:sz w:val="24"/>
          <w:szCs w:val="24"/>
        </w:rPr>
        <w:t xml:space="preserve"> 1989;8:366-377</w:t>
      </w:r>
      <w:bookmarkEnd w:id="3"/>
      <w:r w:rsidRPr="00826C1D">
        <w:rPr>
          <w:rFonts w:ascii="Times New Roman" w:hAnsi="Times New Roman" w:cs="Times New Roman"/>
          <w:sz w:val="24"/>
          <w:szCs w:val="24"/>
        </w:rPr>
        <w:t>.</w:t>
      </w:r>
    </w:p>
    <w:p w:rsid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Morse JM, Black C, Oberle K, Donahue P. A prospective study to identify the fall-prone patient. </w:t>
      </w:r>
      <w:bookmarkStart w:id="4" w:name="_Hlk10230034"/>
      <w:r w:rsidRPr="00826C1D">
        <w:rPr>
          <w:rFonts w:ascii="Times New Roman" w:hAnsi="Times New Roman" w:cs="Times New Roman"/>
          <w:i/>
          <w:sz w:val="24"/>
          <w:szCs w:val="24"/>
        </w:rPr>
        <w:t>Soc Sci Med</w:t>
      </w:r>
      <w:r w:rsidRPr="00826C1D">
        <w:rPr>
          <w:rFonts w:ascii="Times New Roman" w:hAnsi="Times New Roman" w:cs="Times New Roman"/>
          <w:sz w:val="24"/>
          <w:szCs w:val="24"/>
        </w:rPr>
        <w:t xml:space="preserve"> 1989;28:81-86</w:t>
      </w:r>
      <w:bookmarkEnd w:id="4"/>
      <w:r w:rsidRPr="00826C1D">
        <w:rPr>
          <w:rFonts w:ascii="Times New Roman" w:hAnsi="Times New Roman" w:cs="Times New Roman"/>
          <w:sz w:val="24"/>
          <w:szCs w:val="24"/>
        </w:rPr>
        <w:t>.</w:t>
      </w:r>
    </w:p>
    <w:p w:rsidR="00826C1D" w:rsidRP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Seaman SR, White IR. Review of inverse </w:t>
      </w:r>
      <w:bookmarkStart w:id="5" w:name="_GoBack"/>
      <w:bookmarkEnd w:id="5"/>
      <w:r w:rsidRPr="00826C1D">
        <w:rPr>
          <w:rFonts w:ascii="Times New Roman" w:hAnsi="Times New Roman" w:cs="Times New Roman"/>
          <w:sz w:val="24"/>
          <w:szCs w:val="24"/>
        </w:rPr>
        <w:t xml:space="preserve">probability weighting for dealing with missing data. </w:t>
      </w:r>
      <w:bookmarkStart w:id="6" w:name="_Hlk10230072"/>
      <w:r w:rsidRPr="00826C1D">
        <w:rPr>
          <w:rFonts w:ascii="Times New Roman" w:hAnsi="Times New Roman" w:cs="Times New Roman"/>
          <w:i/>
          <w:sz w:val="24"/>
          <w:szCs w:val="24"/>
        </w:rPr>
        <w:t>Stat Methods Med Res</w:t>
      </w:r>
      <w:r w:rsidRPr="00826C1D">
        <w:rPr>
          <w:rFonts w:ascii="Times New Roman" w:hAnsi="Times New Roman" w:cs="Times New Roman"/>
          <w:sz w:val="24"/>
          <w:szCs w:val="24"/>
        </w:rPr>
        <w:t xml:space="preserve"> 2013;22:278-295</w:t>
      </w:r>
      <w:bookmarkEnd w:id="6"/>
      <w:r w:rsidRPr="00826C1D">
        <w:rPr>
          <w:rFonts w:ascii="Times New Roman" w:hAnsi="Times New Roman" w:cs="Times New Roman"/>
          <w:sz w:val="24"/>
          <w:szCs w:val="24"/>
        </w:rPr>
        <w:t>.</w:t>
      </w:r>
    </w:p>
    <w:p w:rsidR="00826C1D" w:rsidRPr="00826C1D" w:rsidRDefault="00826C1D" w:rsidP="00826C1D">
      <w:pPr>
        <w:pStyle w:val="EndNoteBibliography"/>
        <w:numPr>
          <w:ilvl w:val="0"/>
          <w:numId w:val="1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26C1D">
        <w:rPr>
          <w:rFonts w:ascii="Times New Roman" w:hAnsi="Times New Roman" w:cs="Times New Roman"/>
          <w:sz w:val="24"/>
          <w:szCs w:val="24"/>
        </w:rPr>
        <w:t xml:space="preserve">Howe CJ, Cole SR, Westreich DJ, Greenland S, Napravnik S, Eron JJ, Jr. Splines for trend analysis and continuous confounder control. </w:t>
      </w:r>
      <w:bookmarkStart w:id="7" w:name="_Hlk10230087"/>
      <w:r w:rsidRPr="00826C1D">
        <w:rPr>
          <w:rFonts w:ascii="Times New Roman" w:hAnsi="Times New Roman" w:cs="Times New Roman"/>
          <w:i/>
          <w:sz w:val="24"/>
          <w:szCs w:val="24"/>
        </w:rPr>
        <w:t>Epidemiology</w:t>
      </w:r>
      <w:r w:rsidRPr="00826C1D">
        <w:rPr>
          <w:rFonts w:ascii="Times New Roman" w:hAnsi="Times New Roman" w:cs="Times New Roman"/>
          <w:sz w:val="24"/>
          <w:szCs w:val="24"/>
        </w:rPr>
        <w:t xml:space="preserve"> 2011;22:874-875</w:t>
      </w:r>
      <w:bookmarkEnd w:id="7"/>
      <w:r w:rsidRPr="00826C1D">
        <w:rPr>
          <w:rFonts w:ascii="Times New Roman" w:hAnsi="Times New Roman" w:cs="Times New Roman"/>
          <w:sz w:val="24"/>
          <w:szCs w:val="24"/>
        </w:rPr>
        <w:t>.</w:t>
      </w:r>
    </w:p>
    <w:p w:rsidR="00826C1D" w:rsidRPr="00826C1D" w:rsidRDefault="00826C1D" w:rsidP="00D44FA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6C1D"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:rsidR="00475799" w:rsidRDefault="00475799" w:rsidP="004757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1. Diagnosis codes used to identify comorbidities and immunosuppressive conditions. </w:t>
      </w:r>
    </w:p>
    <w:tbl>
      <w:tblPr>
        <w:tblStyle w:val="ListTable1Light-Accent3"/>
        <w:tblW w:w="9612" w:type="dxa"/>
        <w:tblLook w:val="04A0" w:firstRow="1" w:lastRow="0" w:firstColumn="1" w:lastColumn="0" w:noHBand="0" w:noVBand="1"/>
      </w:tblPr>
      <w:tblGrid>
        <w:gridCol w:w="3292"/>
        <w:gridCol w:w="3151"/>
        <w:gridCol w:w="3169"/>
      </w:tblGrid>
      <w:tr w:rsidR="00475799" w:rsidRPr="00C80765" w:rsidTr="0027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:rsidR="00475799" w:rsidRPr="00C80765" w:rsidRDefault="00475799" w:rsidP="00272DE0">
            <w:pPr>
              <w:jc w:val="center"/>
              <w:rPr>
                <w:rFonts w:ascii="Times New Roman" w:hAnsi="Times New Roman" w:cs="Times New Roman"/>
              </w:rPr>
            </w:pPr>
            <w:bookmarkStart w:id="8" w:name="_Hlk5876024"/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475799" w:rsidRPr="00C80765" w:rsidRDefault="00475799" w:rsidP="0027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ICD-9-CM code(s)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475799" w:rsidRPr="00C80765" w:rsidRDefault="00475799" w:rsidP="0027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ICD-10-CM code(s)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tcBorders>
              <w:top w:val="single" w:sz="4" w:space="0" w:color="auto"/>
            </w:tcBorders>
          </w:tcPr>
          <w:p w:rsidR="00475799" w:rsidRPr="00C80765" w:rsidRDefault="00475799" w:rsidP="00272DE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80765">
              <w:rPr>
                <w:rFonts w:ascii="Times New Roman" w:hAnsi="Times New Roman" w:cs="Times New Roman"/>
              </w:rPr>
              <w:t>Comorbidities</w:t>
            </w:r>
            <w:r w:rsidRPr="00C80765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History of MI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I25.2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Congestive heart failure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428.0 – 428.9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I50.1 – I50.9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Cerebrovascular disease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438.0 – 438.9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I69.00 – I69.998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Dementia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290.0 – 290.9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F01.5 – F03.91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Chronic pulmonary disease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490 – 496, 500 – 505, 506.4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J40 – J47.9, J60 – J67.9, J68.4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Rheumatic disease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710.0, 710.1, 710.4, 714.0 – 714.2, 714.81, 725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M05.00 – M05.9, M06.00 – M06.9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Peptic ulcer disease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531.4 – 531.7, 532.4 – 532.7, 533.4 – 533.7, 534.4 – 534.7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K25.4 – K25.7, K26.4 – K26.7, K27.4 – K27.7, K28.4 – K28.7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Mild liver disease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571.2, 571.4 – 571.6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K70.30, K70.31, K74.0, K74.3, K74.4, K74.5, K74.60, K74.69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Moderate or severe liver disease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572.2 – 572.8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K72.10, K72.90, K72.91, K76.6, K76.7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Diabetes without chronic complications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250.0 – 250.3, 250.7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E10.10, E10.11, E10.61 – E10.69, E10.8, E10.9, E11.00, E11.01, E11.10, E11.11, E11.61 – E11.69, E11.8, E11.9, E12.00, E12.01, E12.10, E12.11, E12.61 – E12.69, E12.8, E12.9, E13.00, E13.01, E13.10, E13.11, E13.61 – E13.69, E13.8, E13.9, E14.00, E14.01, E14.10, E14.11, E14.61 – E14.69, E14.8, E14.9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Diabetes with chronic complication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250.4 –250.6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E10.21 – E10.29, E10.31 – E10.39, E10.40 – E10.49, E10.51 – E10.59, E10.71 – E10.79, E11.21 – E11.29, E11.31 – E11.39, E11.40 – E11.49, E11.51 – E11.59, E11.71 – E11.79, E12.21 – E12.29, E12.31 – E12.39, E12.40 – E12.49, E12.51 – E12.59, E12.71 – E13.79, E13.21 – E13.29, E13.31 – E13.39, E13.40 – E13.49, E13.51 – E13.59, E13.71 – E13.79, E14.21 – E14.29, E14.31 – E14.39, E14.40 – E14.49, E14.51 – E14.59, E14.71 – E14.79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Hemiplegia or paraplegia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342.0 – 342.9, 344.1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G81.0 – G82.54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Renal disease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582.0 – 582.9, 583.0 – 583.7, 585.1 – 585.9, 586, 588.0 – 588.9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N03.0 – N03.9, N05.0 – N05.9, N18.1 – N18.9, N19, N25.0 – N25.9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475799" w:rsidRPr="00C80765" w:rsidRDefault="00475799" w:rsidP="00272DE0">
            <w:pPr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Immunosuppressive conditions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HIV/AIDS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042, 079.53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B20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Neutropenia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288.00 – 288.9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D70.0 – D70.9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Organ transplant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996.80 – 996.99, V42.0 – V42.9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T86.00 – T86.99, Z94.0 – Z94.9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Hematological malignancy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200.0 – 208.92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C81. 00 – C96.9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Solid malignancy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140.0 – 199.2, 209.0 – 209.79, 235.0 – 239.9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C00.0 – C80.2, C7A, C7B, D37.01 – D49.9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Rheumatologic/inflammatory condition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135, 277.30 – 277.39, 340, 341.0 – 341.9, 357.0 – 357.9, 422.0 – 422.99, 446.0 – 446.7, 495.9, 516.0 – 516.9, 555.0 – 558.9, 695.4, 710.0 – 712.99, 714.0 – 714.9, 720.0 – 720.9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D86.0 – D86.9, E10.40, E10.42, E11.40, E11.42, E12.40, E12.42, E13.40, E13.42, E14.40, E14.42, E85.0 – E85.9, G35, G36.0 – G36.9, G61.0 – G65.2, I40.0 – I40.9, I41, J67.9, J84.01 – J84.09, K50.00 – K52.9, K55.0 – K55.9, L93.0, L93.2,  M00.00 – M00.9, M01.X0 0 M01.X9, M02.10 – M02.19, M02.30 – M02.39, M04.1, M05.00 – M05.9, M06.00 – M06.9, M08.00 – M08.99,</w:t>
            </w:r>
          </w:p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M11.00 – M11.9, M12.00 – M12.09, M30.0 – M30.8, M32.0 – M34.9, M35.00 – M35.3, M35.8, M35.9, M45.0 – M46.1, M46.50 – M46.59, M46.80 – M46.99, M49.80 – M49.89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Other immune conditions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279.0 – 279.9, 288.0 – 288.2, 288.50 – 279.59, 288.8, 288.9, 288.00 – 288.9, 289.83, 289.89, 289.9, 795.71, 795.79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D47.4, D71, D72.0, D72.810 – D72.819, D72.89, D72.9, D75.81, D75.89, D75.9, D80.0 – D80.9, D89.2, R75, R76.0, R76.8, R76.9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475799" w:rsidRPr="00C80765" w:rsidRDefault="00475799" w:rsidP="00272DE0">
            <w:pPr>
              <w:rPr>
                <w:rFonts w:ascii="Times New Roman" w:hAnsi="Times New Roman" w:cs="Times New Roman"/>
                <w:vertAlign w:val="superscript"/>
              </w:rPr>
            </w:pPr>
            <w:r w:rsidRPr="00C80765">
              <w:rPr>
                <w:rFonts w:ascii="Times New Roman" w:hAnsi="Times New Roman" w:cs="Times New Roman"/>
              </w:rPr>
              <w:t>Cause of admission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C80765" w:rsidRDefault="00475799" w:rsidP="00272DE0">
            <w:pPr>
              <w:jc w:val="right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Trauma</w:t>
            </w:r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800.0 – 959.9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S00.00XA – T34.99XS, T79.0XXA – T79.9XXS</w:t>
            </w:r>
          </w:p>
        </w:tc>
      </w:tr>
      <w:tr w:rsidR="00475799" w:rsidRPr="00C80765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Align w:val="center"/>
          </w:tcPr>
          <w:p w:rsidR="00475799" w:rsidRPr="0014218A" w:rsidRDefault="00475799" w:rsidP="00272DE0">
            <w:pPr>
              <w:jc w:val="right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 xml:space="preserve">Urologic </w:t>
            </w:r>
            <w:proofErr w:type="spellStart"/>
            <w:r w:rsidRPr="00C80765">
              <w:rPr>
                <w:rFonts w:ascii="Times New Roman" w:hAnsi="Times New Roman" w:cs="Times New Roman"/>
                <w:b w:val="0"/>
              </w:rPr>
              <w:t>disease</w:t>
            </w:r>
            <w:r>
              <w:rPr>
                <w:rFonts w:ascii="Times New Roman" w:hAnsi="Times New Roman" w:cs="Times New Roman"/>
                <w:b w:val="0"/>
                <w:vertAlign w:val="superscript"/>
              </w:rPr>
              <w:t>b</w:t>
            </w:r>
            <w:proofErr w:type="spellEnd"/>
          </w:p>
        </w:tc>
        <w:tc>
          <w:tcPr>
            <w:tcW w:w="3151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590.0 – 599.9, 996.64, 997.5</w:t>
            </w:r>
          </w:p>
        </w:tc>
        <w:tc>
          <w:tcPr>
            <w:tcW w:w="3169" w:type="dxa"/>
            <w:vAlign w:val="center"/>
          </w:tcPr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N10 – N13.9, N16, N20.0 – N22, N28.0 – N37, N39.0 – N39.9, N99.0 – N99.89, T83.510 – T83.598S</w:t>
            </w:r>
          </w:p>
          <w:p w:rsidR="00475799" w:rsidRPr="00C80765" w:rsidRDefault="00475799" w:rsidP="0027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0765">
              <w:rPr>
                <w:rFonts w:ascii="Times New Roman" w:hAnsi="Times New Roman" w:cs="Times New Roman"/>
              </w:rPr>
              <w:t>R80.2</w:t>
            </w:r>
          </w:p>
        </w:tc>
      </w:tr>
      <w:tr w:rsidR="00475799" w:rsidRPr="00C80765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799" w:rsidRPr="00C80765" w:rsidRDefault="00475799" w:rsidP="00272DE0">
            <w:pPr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</w:rPr>
              <w:t>Abbreviations; ICD-9-CM, International Classification of Diseases, 9</w:t>
            </w:r>
            <w:r w:rsidRPr="00C80765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C80765">
              <w:rPr>
                <w:rFonts w:ascii="Times New Roman" w:hAnsi="Times New Roman" w:cs="Times New Roman"/>
                <w:b w:val="0"/>
              </w:rPr>
              <w:t xml:space="preserve"> edition, Clinical modification; ICD-10-CM, International Classification of Diseases, 10</w:t>
            </w:r>
            <w:r w:rsidRPr="00C80765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Pr="00C80765">
              <w:rPr>
                <w:rFonts w:ascii="Times New Roman" w:hAnsi="Times New Roman" w:cs="Times New Roman"/>
                <w:b w:val="0"/>
              </w:rPr>
              <w:t xml:space="preserve"> edition, Clinical modification; CCI, Charlson Comorbidity Index; MI, myocardial infarction: HIV/AIDS, human immunodeficiency virus/acquired immunodeficiency syndrome</w:t>
            </w:r>
          </w:p>
          <w:p w:rsidR="00475799" w:rsidRPr="00C80765" w:rsidRDefault="00475799" w:rsidP="00272DE0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80765">
              <w:rPr>
                <w:rFonts w:ascii="Times New Roman" w:hAnsi="Times New Roman" w:cs="Times New Roman"/>
                <w:b w:val="0"/>
                <w:vertAlign w:val="superscript"/>
              </w:rPr>
              <w:t>a</w:t>
            </w:r>
            <w:proofErr w:type="spellEnd"/>
            <w:r w:rsidRPr="00C80765">
              <w:rPr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C80765">
              <w:rPr>
                <w:rFonts w:ascii="Times New Roman" w:hAnsi="Times New Roman" w:cs="Times New Roman"/>
                <w:b w:val="0"/>
              </w:rPr>
              <w:t>Only codes which could be applied to the index hospitalization were used; e.g. history of MI  (ICD-9-CM 412) was included, but acute MI (ICD-9-CM 410-410.92) was excluded</w:t>
            </w:r>
          </w:p>
          <w:p w:rsidR="00475799" w:rsidRPr="00C80765" w:rsidRDefault="00475799" w:rsidP="00272DE0">
            <w:pPr>
              <w:rPr>
                <w:rFonts w:ascii="Times New Roman" w:hAnsi="Times New Roman" w:cs="Times New Roman"/>
                <w:b w:val="0"/>
              </w:rPr>
            </w:pPr>
            <w:r w:rsidRPr="00C80765">
              <w:rPr>
                <w:rFonts w:ascii="Times New Roman" w:hAnsi="Times New Roman" w:cs="Times New Roman"/>
                <w:b w:val="0"/>
                <w:vertAlign w:val="superscript"/>
              </w:rPr>
              <w:t>b</w:t>
            </w:r>
            <w:r w:rsidRPr="00C80765">
              <w:rPr>
                <w:rFonts w:ascii="Times New Roman" w:hAnsi="Times New Roman" w:cs="Times New Roman"/>
                <w:b w:val="0"/>
              </w:rPr>
              <w:t xml:space="preserve"> Captured by assessing admitting diagnoses (DX1) only</w:t>
            </w:r>
          </w:p>
          <w:p w:rsidR="00475799" w:rsidRPr="00C80765" w:rsidRDefault="00475799" w:rsidP="00272DE0">
            <w:pPr>
              <w:rPr>
                <w:rFonts w:ascii="Times New Roman" w:hAnsi="Times New Roman" w:cs="Times New Roman"/>
              </w:rPr>
            </w:pPr>
          </w:p>
        </w:tc>
      </w:tr>
      <w:bookmarkEnd w:id="8"/>
    </w:tbl>
    <w:p w:rsidR="00475799" w:rsidRDefault="00475799" w:rsidP="00475799">
      <w:pPr>
        <w:rPr>
          <w:rFonts w:ascii="Times New Roman" w:hAnsi="Times New Roman" w:cs="Times New Roman"/>
          <w:sz w:val="24"/>
          <w:szCs w:val="24"/>
        </w:rPr>
      </w:pPr>
    </w:p>
    <w:p w:rsidR="00475799" w:rsidRDefault="00475799" w:rsidP="004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5799" w:rsidRDefault="00475799" w:rsidP="0047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2. </w:t>
      </w:r>
      <w:bookmarkStart w:id="9" w:name="_Hlk5876066"/>
      <w:r>
        <w:rPr>
          <w:rFonts w:ascii="Times New Roman" w:hAnsi="Times New Roman" w:cs="Times New Roman"/>
          <w:sz w:val="24"/>
          <w:szCs w:val="24"/>
        </w:rPr>
        <w:t>Generic medication names used to classify medications of interest.</w:t>
      </w:r>
      <w:bookmarkEnd w:id="9"/>
    </w:p>
    <w:tbl>
      <w:tblPr>
        <w:tblStyle w:val="ListTable2-Accent31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475799" w:rsidRPr="002B4C61" w:rsidTr="0027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75799" w:rsidRPr="002B4C61" w:rsidRDefault="00475799" w:rsidP="00272DE0">
            <w:pPr>
              <w:rPr>
                <w:rFonts w:ascii="Times New Roman" w:hAnsi="Times New Roman" w:cs="Times New Roman"/>
              </w:rPr>
            </w:pPr>
            <w:bookmarkStart w:id="10" w:name="_Hlk5876074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75799" w:rsidRPr="002B4C61" w:rsidRDefault="00475799" w:rsidP="0027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</w:rPr>
              <w:t>Generic medication name(s)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nil"/>
            </w:tcBorders>
          </w:tcPr>
          <w:p w:rsidR="00475799" w:rsidRPr="002B4C61" w:rsidRDefault="00475799" w:rsidP="00272DE0">
            <w:pPr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</w:rPr>
              <w:t>Antibiotics, systemic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75799" w:rsidRPr="002B4C61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β-lactams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Amoxicillin, Ampicillin, Benzathine penicillin, Dicloxacillin,  Nafcillin, Oxacillin, Penicillin G, Penicillin V,  Piperacillin</w:t>
            </w:r>
          </w:p>
          <w:p w:rsidR="00475799" w:rsidRPr="00842280" w:rsidRDefault="00475799" w:rsidP="00272D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Cefaclor,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Cefadroxil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Cefazolin,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Cefdinir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Cefepime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Cefixime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Cefotetan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Cefoxatime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Cefoxitin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Cefpodoxime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Ceftriaxone,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Ceftaroline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Ceftazidime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Cefuroxime, Cephalexin,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Cepodoxime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proxetil</w:t>
            </w:r>
            <w:proofErr w:type="spellEnd"/>
          </w:p>
          <w:p w:rsidR="00475799" w:rsidRPr="00842280" w:rsidRDefault="00475799" w:rsidP="00272D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Aztreonam </w:t>
            </w:r>
          </w:p>
          <w:p w:rsidR="00475799" w:rsidRPr="00842280" w:rsidRDefault="00475799" w:rsidP="00272D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Ertapenem, Imipenem, Meropenem</w:t>
            </w:r>
          </w:p>
          <w:p w:rsidR="00475799" w:rsidRPr="00842280" w:rsidRDefault="00475799" w:rsidP="00272D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Avibactam, Clavulanic acid, Sulbactam </w:t>
            </w:r>
          </w:p>
          <w:p w:rsidR="00475799" w:rsidRPr="00842280" w:rsidRDefault="00475799" w:rsidP="00272D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Ampicillin/Sulbactam, Amoxicillin/</w:t>
            </w:r>
            <w:proofErr w:type="spellStart"/>
            <w:r w:rsidRPr="00842280">
              <w:rPr>
                <w:rFonts w:ascii="Times New Roman" w:hAnsi="Times New Roman" w:cs="Times New Roman"/>
              </w:rPr>
              <w:t>Clavulanate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Ceftolozane</w:t>
            </w:r>
            <w:proofErr w:type="spellEnd"/>
            <w:r w:rsidRPr="00842280">
              <w:rPr>
                <w:rFonts w:ascii="Times New Roman" w:hAnsi="Times New Roman" w:cs="Times New Roman"/>
              </w:rPr>
              <w:t>/</w:t>
            </w:r>
            <w:proofErr w:type="spellStart"/>
            <w:r w:rsidRPr="00842280">
              <w:rPr>
                <w:rFonts w:ascii="Times New Roman" w:hAnsi="Times New Roman" w:cs="Times New Roman"/>
              </w:rPr>
              <w:t>tazobactam</w:t>
            </w:r>
            <w:proofErr w:type="spellEnd"/>
            <w:r w:rsidRPr="00842280">
              <w:rPr>
                <w:rFonts w:ascii="Times New Roman" w:hAnsi="Times New Roman" w:cs="Times New Roman"/>
              </w:rPr>
              <w:t>, Piperacillin/</w:t>
            </w:r>
            <w:proofErr w:type="spellStart"/>
            <w:r w:rsidRPr="00842280">
              <w:rPr>
                <w:rFonts w:ascii="Times New Roman" w:hAnsi="Times New Roman" w:cs="Times New Roman"/>
              </w:rPr>
              <w:t>Tazobactam</w:t>
            </w:r>
            <w:proofErr w:type="spellEnd"/>
          </w:p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42280">
              <w:rPr>
                <w:rFonts w:ascii="Times New Roman" w:hAnsi="Times New Roman" w:cs="Times New Roman"/>
              </w:rPr>
              <w:t>Colistin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2280">
              <w:rPr>
                <w:rFonts w:ascii="Times New Roman" w:hAnsi="Times New Roman" w:cs="Times New Roman"/>
              </w:rPr>
              <w:t>colistamethate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sodium),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Daptomycin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Ethambutol, Isoniazid, Polymyxin B, Pyrazinamide, Metronidazole 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Aminoglycosides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Amikacin, Gentamicin,  Neomycin, Paromomycin, Tobramycin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Chloramphenicol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Chloramphenicol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B4C61">
              <w:rPr>
                <w:rFonts w:ascii="Times New Roman" w:hAnsi="Times New Roman" w:cs="Times New Roman"/>
                <w:b w:val="0"/>
              </w:rPr>
              <w:t>Glycopeptides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Telavancin, Vancomycin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Macrolides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Azithromycin, Clarithromycin, Erythromycin,  Fidaxomicin, Telithromycin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Oxazolidinones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Linezolid, Tedizolid 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Quinolones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Ciprofloxacin,  Levofloxacin, Moxifloxacin, Ofloxacin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Rifaximin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Rifaximin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Sulfonamides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42280">
              <w:rPr>
                <w:rFonts w:ascii="Times New Roman" w:hAnsi="Times New Roman" w:cs="Times New Roman"/>
              </w:rPr>
              <w:t xml:space="preserve">Sulfadiazine, Sulfamethoxazole, Trimethoprim 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Tetracyclines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Doxycycline, Minocycline, Rifampin, Tetracycline, Tigecycline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B4C61">
              <w:rPr>
                <w:rFonts w:ascii="Times New Roman" w:hAnsi="Times New Roman" w:cs="Times New Roman"/>
                <w:b w:val="0"/>
              </w:rPr>
              <w:t>Lincosamides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Clindamycin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Lipopeptides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Daptomycin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Nitrofurans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42280">
              <w:rPr>
                <w:rFonts w:ascii="Times New Roman" w:hAnsi="Times New Roman" w:cs="Times New Roman"/>
              </w:rPr>
              <w:t>Nitrofuratoin</w:t>
            </w:r>
            <w:proofErr w:type="spellEnd"/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</w:rPr>
              <w:t>Anesthetics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General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Etomidate, Ketamine, Midazolam, Propofol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Local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Benzocaine, Bupivacaine,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Chloroprocaine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Lidocaine,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Ropivacaine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Tetracaine</w:t>
            </w:r>
            <w:proofErr w:type="spellEnd"/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04744A" w:rsidRDefault="00475799" w:rsidP="00272DE0">
            <w:pPr>
              <w:rPr>
                <w:rFonts w:ascii="Times New Roman" w:hAnsi="Times New Roman" w:cs="Times New Roman"/>
                <w:b w:val="0"/>
                <w:bCs w:val="0"/>
              </w:rPr>
            </w:pPr>
            <w:bookmarkStart w:id="11" w:name="_Hlk4143335"/>
            <w:r w:rsidRPr="002B4C61">
              <w:rPr>
                <w:rFonts w:ascii="Times New Roman" w:hAnsi="Times New Roman" w:cs="Times New Roman"/>
              </w:rPr>
              <w:t xml:space="preserve">Anticholinergics 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11"/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04744A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Antipsychotics/neuroleptics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Amitriptyline, Aripiprazole, Chlorpromazine, Clozapine,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Desipramine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Doxepin,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Droperidol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Fluphenazine</w:t>
            </w:r>
            <w:proofErr w:type="spellEnd"/>
            <w:r w:rsidRPr="00842280">
              <w:rPr>
                <w:rFonts w:ascii="Times New Roman" w:hAnsi="Times New Roman" w:cs="Times New Roman"/>
              </w:rPr>
              <w:t>, Haloperidol, Imipramine, Lurasidone, Nortriptyline, Olanzapine, Paliperidone, Paroxetine, Perphenazine, Prochlorperazine, Promazine, Promethazine, Protriptyline,  Quetiapine, Risperidone, Thioridazine, Thiothixene, Trifluoperazine, Ziprasidone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Default="00475799" w:rsidP="00272DE0">
            <w:pPr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Other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Amantadine, Atropine, Baclofen, Benztropine, Carisoprodol, Cetirizine, Chlorpheniramine, Colchicine, Cyclobenzaprine, Cyproheptadine, Dexchlorpheniramine,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Dicyclomine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Digoxin, Diphenhydramine,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Diphenoxylate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Darifenacin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Fesoterodine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42280">
              <w:rPr>
                <w:rFonts w:ascii="Times New Roman" w:hAnsi="Times New Roman" w:cs="Times New Roman"/>
              </w:rPr>
              <w:t xml:space="preserve"> Hydroxyzine,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Hyoscyamine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Loperamide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Loratadine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Meclizine, Pseudoephedrine, Ranitidine, Scopolamine,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Solifenacin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Tizanidine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Tolterodine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Trospium</w:t>
            </w:r>
            <w:proofErr w:type="spellEnd"/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650E16" w:rsidRDefault="00475799" w:rsidP="00272DE0">
            <w:pPr>
              <w:rPr>
                <w:rFonts w:ascii="Times New Roman" w:hAnsi="Times New Roman" w:cs="Times New Roman"/>
              </w:rPr>
            </w:pPr>
            <w:r w:rsidRPr="00650E16">
              <w:rPr>
                <w:rFonts w:ascii="Times New Roman" w:hAnsi="Times New Roman" w:cs="Times New Roman"/>
              </w:rPr>
              <w:t>Benzodiazepines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>Alprazolam, Chlordiazepoxide, Clobazam, Clomipramine, Clonazepam, Clorazepate, Diazepam, Flurazepam, Lorazepam,  Midazolam, Oxazepam, Temazepam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650E16" w:rsidRDefault="00475799" w:rsidP="00272DE0">
            <w:pPr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</w:rPr>
              <w:t>Opioids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</w:rPr>
              <w:t xml:space="preserve">Buprenorphine, Codeine, Fentanyl, Hydromorphone, Meperidine, Methadone, Morphine, </w:t>
            </w:r>
            <w:proofErr w:type="spellStart"/>
            <w:r w:rsidRPr="002B4C61">
              <w:rPr>
                <w:rFonts w:ascii="Times New Roman" w:hAnsi="Times New Roman" w:cs="Times New Roman"/>
              </w:rPr>
              <w:t>Nalbuphine</w:t>
            </w:r>
            <w:proofErr w:type="spellEnd"/>
            <w:r w:rsidRPr="002B4C61">
              <w:rPr>
                <w:rFonts w:ascii="Times New Roman" w:hAnsi="Times New Roman" w:cs="Times New Roman"/>
              </w:rPr>
              <w:t xml:space="preserve">, Oxycodone, </w:t>
            </w:r>
            <w:proofErr w:type="spellStart"/>
            <w:r w:rsidRPr="002B4C61">
              <w:rPr>
                <w:rFonts w:ascii="Times New Roman" w:hAnsi="Times New Roman" w:cs="Times New Roman"/>
              </w:rPr>
              <w:t>Oxymorphone</w:t>
            </w:r>
            <w:proofErr w:type="spellEnd"/>
            <w:r w:rsidRPr="002B4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C61">
              <w:rPr>
                <w:rFonts w:ascii="Times New Roman" w:hAnsi="Times New Roman" w:cs="Times New Roman"/>
              </w:rPr>
              <w:t>Sufentanil</w:t>
            </w:r>
            <w:proofErr w:type="spellEnd"/>
            <w:r w:rsidRPr="002B4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C61">
              <w:rPr>
                <w:rFonts w:ascii="Times New Roman" w:hAnsi="Times New Roman" w:cs="Times New Roman"/>
              </w:rPr>
              <w:t>Tapentadol</w:t>
            </w:r>
            <w:proofErr w:type="spellEnd"/>
            <w:r w:rsidRPr="002B4C61">
              <w:rPr>
                <w:rFonts w:ascii="Times New Roman" w:hAnsi="Times New Roman" w:cs="Times New Roman"/>
              </w:rPr>
              <w:t>, Tramadol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650E16" w:rsidRDefault="00475799" w:rsidP="00272DE0">
            <w:pPr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</w:rPr>
              <w:t xml:space="preserve">Urinary </w:t>
            </w:r>
            <w:r>
              <w:rPr>
                <w:rFonts w:ascii="Times New Roman" w:hAnsi="Times New Roman" w:cs="Times New Roman"/>
              </w:rPr>
              <w:t>dysfunction</w:t>
            </w:r>
            <w:r w:rsidRPr="002B4C61">
              <w:rPr>
                <w:rFonts w:ascii="Times New Roman" w:hAnsi="Times New Roman" w:cs="Times New Roman"/>
              </w:rPr>
              <w:t xml:space="preserve"> medication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12" w:name="_Hlk5792258"/>
            <w:r w:rsidRPr="002B4C61">
              <w:rPr>
                <w:rFonts w:ascii="Times New Roman" w:hAnsi="Times New Roman" w:cs="Times New Roman"/>
              </w:rPr>
              <w:t xml:space="preserve">Doxazosin, </w:t>
            </w:r>
            <w:proofErr w:type="spellStart"/>
            <w:r w:rsidRPr="002B4C61">
              <w:rPr>
                <w:rFonts w:ascii="Times New Roman" w:hAnsi="Times New Roman" w:cs="Times New Roman"/>
              </w:rPr>
              <w:t>Tadalafil</w:t>
            </w:r>
            <w:proofErr w:type="spellEnd"/>
            <w:r w:rsidRPr="002B4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C61">
              <w:rPr>
                <w:rFonts w:ascii="Times New Roman" w:hAnsi="Times New Roman" w:cs="Times New Roman"/>
              </w:rPr>
              <w:t>Tamsulosin</w:t>
            </w:r>
            <w:proofErr w:type="spellEnd"/>
            <w:r w:rsidRPr="002B4C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C61">
              <w:rPr>
                <w:rFonts w:ascii="Times New Roman" w:hAnsi="Times New Roman" w:cs="Times New Roman"/>
              </w:rPr>
              <w:t>Tarazosin</w:t>
            </w:r>
            <w:bookmarkEnd w:id="12"/>
            <w:proofErr w:type="spellEnd"/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rPr>
                <w:rFonts w:ascii="Times New Roman" w:hAnsi="Times New Roman" w:cs="Times New Roman"/>
              </w:rPr>
            </w:pPr>
            <w:r w:rsidRPr="002B4C61">
              <w:rPr>
                <w:rFonts w:ascii="Times New Roman" w:hAnsi="Times New Roman" w:cs="Times New Roman"/>
              </w:rPr>
              <w:t>Immunosuppressive medications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Cs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 xml:space="preserve">Chemotherapeutic agents </w:t>
            </w:r>
          </w:p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(alkylating)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42280">
              <w:rPr>
                <w:rFonts w:ascii="Times New Roman" w:hAnsi="Times New Roman" w:cs="Times New Roman"/>
              </w:rPr>
              <w:t>Bendamustine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hydrochloride,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Busulfan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Carmustine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 Cyclophosphamide,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Darabazine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Ifosfamide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Melphalan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Thiotepa</w:t>
            </w:r>
            <w:proofErr w:type="spellEnd"/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Cs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 xml:space="preserve">Chemotherapeutic agents </w:t>
            </w:r>
          </w:p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(antibiotics)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80">
              <w:rPr>
                <w:rFonts w:ascii="Times New Roman" w:hAnsi="Times New Roman" w:cs="Times New Roman"/>
              </w:rPr>
              <w:t>Bleomycin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sulfate,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Dactinomycin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Daunorubicin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Doxorubicin,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Epirubicin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Idarubicin</w:t>
            </w:r>
            <w:proofErr w:type="spellEnd"/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Cs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 xml:space="preserve">Chemotherapeutic agents </w:t>
            </w:r>
          </w:p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(antimetabolites)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Capecitabine, Cladribine, Clofarabine, Cytarabine,  </w:t>
            </w:r>
            <w:proofErr w:type="spellStart"/>
            <w:r w:rsidRPr="00842280">
              <w:rPr>
                <w:rFonts w:ascii="Times New Roman" w:hAnsi="Times New Roman" w:cs="Times New Roman"/>
              </w:rPr>
              <w:t>Fludarabine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Fluorouracil, Gemcitabine,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Mercaptopurine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Methotrexate,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Pemetrexed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Pentostatin</w:t>
            </w:r>
            <w:proofErr w:type="spellEnd"/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Cs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 xml:space="preserve">Chemotherapeutic agents </w:t>
            </w:r>
          </w:p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(</w:t>
            </w:r>
            <w:proofErr w:type="spellStart"/>
            <w:r w:rsidRPr="002B4C61">
              <w:rPr>
                <w:rFonts w:ascii="Times New Roman" w:hAnsi="Times New Roman" w:cs="Times New Roman"/>
                <w:b w:val="0"/>
              </w:rPr>
              <w:t>antimitotics</w:t>
            </w:r>
            <w:proofErr w:type="spellEnd"/>
            <w:r w:rsidRPr="002B4C61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 Docetaxel, Paclitaxel, Vinblastine, Vincristine, Vinorelbine</w:t>
            </w:r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Cs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 xml:space="preserve">Chemotherapeutic agents </w:t>
            </w:r>
          </w:p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(monoclonal antibodies)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42280">
              <w:rPr>
                <w:rFonts w:ascii="Times New Roman" w:hAnsi="Times New Roman" w:cs="Times New Roman"/>
              </w:rPr>
              <w:t>Alemtuzumab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Bevacizumab,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Cetuximab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Gemtuzumab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</w:p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280">
              <w:rPr>
                <w:rFonts w:ascii="Times New Roman" w:hAnsi="Times New Roman" w:cs="Times New Roman"/>
              </w:rPr>
              <w:t xml:space="preserve"> Ofatumumab, Rituximab</w:t>
            </w:r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Cs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Chemotherapeutic agents</w:t>
            </w:r>
          </w:p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  <w:color w:val="FF000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(other)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42280">
              <w:rPr>
                <w:rFonts w:ascii="Times New Roman" w:hAnsi="Times New Roman" w:cs="Times New Roman"/>
              </w:rPr>
              <w:t>Aldesleukin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 Arsenic trioxide,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Asparaginase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Azacitidine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Brentuximab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80">
              <w:rPr>
                <w:rFonts w:ascii="Times New Roman" w:hAnsi="Times New Roman" w:cs="Times New Roman"/>
              </w:rPr>
              <w:t>vedotin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Bortezomib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Carboplatin,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Carfilzomib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Cisplatin,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Dasatinib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Decitabine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Erlotinib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Etoposide,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Everolimus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Imatinib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Irinotecan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Lapatinib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Mitoxantrone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Nelarabine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Nilotinib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Oxaliplatin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Pazopanib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Pegaspargase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Pralatrexate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Procarbazine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Romidepsin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Sorafenib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Sunitinib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Temozolomide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Temsirolimus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Topotecan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Tretinoin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Vorinostat</w:t>
            </w:r>
            <w:proofErr w:type="spellEnd"/>
          </w:p>
        </w:tc>
      </w:tr>
      <w:tr w:rsidR="00475799" w:rsidRPr="002B4C61" w:rsidTr="0027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Immune-modulating agents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475799" w:rsidRPr="00842280" w:rsidRDefault="00475799" w:rsidP="0027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42280">
              <w:rPr>
                <w:rFonts w:ascii="Times New Roman" w:hAnsi="Times New Roman" w:cs="Times New Roman"/>
              </w:rPr>
              <w:t>Abatacept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Adalimumab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Alefacept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Anakinra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 Azathioprine,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Basiliximab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Belatacept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Belimumab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Certolizumab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pegol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Cyclosporine, Daclizumab, Denosumab, Eculizumab, Efalizumab, Etanercept, Fingolimod, Glatiramer, Golimumab, Infliximab, Interferon alfa-2a, Interferon alfa-2b, Interferon alfa-n3, Interferon alfacon-1, Interferon beta-1a, Interferon beta-1b, Interferon gamma-1b, Leflunomide, Lenalidomide, Muromonab-CD3, Mycophenolate acid,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Mycophenolate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80">
              <w:rPr>
                <w:rFonts w:ascii="Times New Roman" w:hAnsi="Times New Roman" w:cs="Times New Roman"/>
              </w:rPr>
              <w:t>mofetil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Natalizumab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Palifermin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Palivizumab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Pomalidomide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Pegademase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bovine,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Peginterferon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alfa-2a,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Peginterferon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 alfa-2b,  </w:t>
            </w:r>
            <w:proofErr w:type="spellStart"/>
            <w:r w:rsidRPr="00842280">
              <w:rPr>
                <w:rFonts w:ascii="Times New Roman" w:hAnsi="Times New Roman" w:cs="Times New Roman"/>
              </w:rPr>
              <w:t>Sirolimus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Tacrolimus,  </w:t>
            </w:r>
            <w:proofErr w:type="spellStart"/>
            <w:r w:rsidRPr="00842280">
              <w:rPr>
                <w:rFonts w:ascii="Times New Roman" w:hAnsi="Times New Roman" w:cs="Times New Roman"/>
              </w:rPr>
              <w:t>Tocilizumab</w:t>
            </w:r>
            <w:proofErr w:type="spellEnd"/>
            <w:r w:rsidRPr="00842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2280">
              <w:rPr>
                <w:rFonts w:ascii="Times New Roman" w:hAnsi="Times New Roman" w:cs="Times New Roman"/>
              </w:rPr>
              <w:t>Ustekinumab</w:t>
            </w:r>
            <w:proofErr w:type="spellEnd"/>
          </w:p>
        </w:tc>
      </w:tr>
      <w:tr w:rsidR="00475799" w:rsidRPr="002B4C61" w:rsidTr="0027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single" w:sz="4" w:space="0" w:color="auto"/>
            </w:tcBorders>
          </w:tcPr>
          <w:p w:rsidR="00475799" w:rsidRPr="002B4C61" w:rsidRDefault="00475799" w:rsidP="00272DE0">
            <w:pPr>
              <w:tabs>
                <w:tab w:val="left" w:pos="3792"/>
              </w:tabs>
              <w:jc w:val="right"/>
              <w:rPr>
                <w:rFonts w:ascii="Times New Roman" w:hAnsi="Times New Roman" w:cs="Times New Roman"/>
                <w:b w:val="0"/>
              </w:rPr>
            </w:pPr>
            <w:r w:rsidRPr="002B4C61">
              <w:rPr>
                <w:rFonts w:ascii="Times New Roman" w:hAnsi="Times New Roman" w:cs="Times New Roman"/>
                <w:b w:val="0"/>
              </w:rPr>
              <w:t>Systemic corticosteroids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475799" w:rsidRPr="004E79D8" w:rsidRDefault="00475799" w:rsidP="00272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79D8">
              <w:rPr>
                <w:rFonts w:ascii="Times New Roman" w:hAnsi="Times New Roman" w:cs="Times New Roman"/>
              </w:rPr>
              <w:t>Betamethasone, Budesonide, Dexamethasone, Methylprednisolone, Prednisolone, Triamcinolone</w:t>
            </w:r>
          </w:p>
        </w:tc>
      </w:tr>
      <w:bookmarkEnd w:id="10"/>
    </w:tbl>
    <w:p w:rsidR="00475799" w:rsidRDefault="00475799"/>
    <w:sectPr w:rsidR="0047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26FF"/>
    <w:multiLevelType w:val="hybridMultilevel"/>
    <w:tmpl w:val="81A89A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99"/>
    <w:rsid w:val="00372F0A"/>
    <w:rsid w:val="00475799"/>
    <w:rsid w:val="00826C1D"/>
    <w:rsid w:val="00D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F0C9"/>
  <w15:chartTrackingRefBased/>
  <w15:docId w15:val="{AA74E0F2-54ED-4F72-9597-A75161F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3">
    <w:name w:val="List Table 1 Light Accent 3"/>
    <w:basedOn w:val="TableNormal"/>
    <w:uiPriority w:val="46"/>
    <w:rsid w:val="00475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757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C1D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826C1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6C1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Strassle, Paula D</dc:creator>
  <cp:keywords/>
  <dc:description/>
  <cp:lastModifiedBy>Strassle, Paula D</cp:lastModifiedBy>
  <cp:revision>3</cp:revision>
  <dcterms:created xsi:type="dcterms:W3CDTF">2019-05-31T02:43:00Z</dcterms:created>
  <dcterms:modified xsi:type="dcterms:W3CDTF">2019-07-26T16:07:00Z</dcterms:modified>
</cp:coreProperties>
</file>