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bookmarkStart w:id="0" w:name="_GoBack"/>
      <w:bookmarkEnd w:id="0"/>
      <w:r w:rsidRPr="005C3530">
        <w:rPr>
          <w:rFonts w:ascii="Times New Roman" w:hAnsi="Times New Roman" w:cs="Times New Roman"/>
          <w:b/>
          <w:sz w:val="24"/>
          <w:szCs w:val="24"/>
          <w:lang w:eastAsia="ko-KR"/>
        </w:rPr>
        <w:t>Supplementary Table 1</w:t>
      </w:r>
      <w:r w:rsidRPr="005C3530">
        <w:rPr>
          <w:rFonts w:ascii="Times New Roman" w:hAnsi="Times New Roman" w:cs="Times New Roman"/>
          <w:sz w:val="24"/>
          <w:szCs w:val="24"/>
          <w:lang w:eastAsia="ko-KR"/>
        </w:rPr>
        <w:t>. MRSA Patient Characteristics, Stratified by Classification and Severity, in Four Calgary Acute Care Facilities Between April 2011-March 2017.</w:t>
      </w:r>
    </w:p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Style w:val="MediumList11"/>
        <w:tblW w:w="9576" w:type="dxa"/>
        <w:tblLook w:val="04A0" w:firstRow="1" w:lastRow="0" w:firstColumn="1" w:lastColumn="0" w:noHBand="0" w:noVBand="1"/>
      </w:tblPr>
      <w:tblGrid>
        <w:gridCol w:w="1836"/>
        <w:gridCol w:w="1238"/>
        <w:gridCol w:w="1660"/>
        <w:gridCol w:w="972"/>
        <w:gridCol w:w="1238"/>
        <w:gridCol w:w="1660"/>
        <w:gridCol w:w="972"/>
      </w:tblGrid>
      <w:tr w:rsidR="00286D46" w:rsidRPr="005C3530" w:rsidTr="0062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Characteristic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HA-MRSA Infection (N=325)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HA-MRSA Colonization (N=901)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p-value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CA-MRSA Infection (N=264)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CA-MRSA Colonization (N=940)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p-value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 (%)</w:t>
            </w:r>
          </w:p>
        </w:tc>
        <w:tc>
          <w:tcPr>
            <w:tcW w:w="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 (%)</w:t>
            </w:r>
          </w:p>
        </w:tc>
        <w:tc>
          <w:tcPr>
            <w:tcW w:w="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 (%)</w:t>
            </w:r>
          </w:p>
        </w:tc>
        <w:tc>
          <w:tcPr>
            <w:tcW w:w="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 (%)</w:t>
            </w:r>
          </w:p>
        </w:tc>
        <w:tc>
          <w:tcPr>
            <w:tcW w:w="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Age (Mean, SD)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66.6 (18.0)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71.7 (16.7)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&lt;0.001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52.1 (19.4)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63.4 (20.6)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&lt;0.001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Category(19-45)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45 (13.9)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74 (8.2)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0.003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106 (40.2)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208 (22.1)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&lt;0.001</w:t>
            </w:r>
          </w:p>
        </w:tc>
      </w:tr>
      <w:tr w:rsidR="00286D46" w:rsidRPr="005C3530" w:rsidTr="006247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 xml:space="preserve">                 (46-64)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79 (24.3)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193 (21.4)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0.280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90 (34.1)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249 (26.5)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0.015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 xml:space="preserve">                 (65+)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 (61.9)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634 (70.4)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0.005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68 (25.8)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483 (51.4)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&lt;0.001</w:t>
            </w:r>
          </w:p>
        </w:tc>
      </w:tr>
      <w:tr w:rsidR="00286D46" w:rsidRPr="005C3530" w:rsidTr="006247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Gender (% Male)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190 (58.5)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454 (50.4)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0.012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173 (65.5)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519 (55.2)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0.003</w:t>
            </w:r>
          </w:p>
        </w:tc>
      </w:tr>
      <w:tr w:rsidR="00286D46" w:rsidRPr="005C3530" w:rsidTr="006247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Select Comorbidity (</w:t>
            </w:r>
            <w:proofErr w:type="spellStart"/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Charlson</w:t>
            </w:r>
            <w:proofErr w:type="spellEnd"/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 (%)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 (%)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 (%)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 (%)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Congestive Heart Failure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34 (10.5) 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127 (14.1)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0.100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 (3.8)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68 (7.2)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0.047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lastRenderedPageBreak/>
              <w:t>Dementia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34 (10.5)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124 (13.8)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0.128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13 (4.9)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60 (6.4)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0.367</w:t>
            </w:r>
          </w:p>
        </w:tc>
      </w:tr>
      <w:tr w:rsidR="00286D46" w:rsidRPr="005C3530" w:rsidTr="0062477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Chronic Pulmonary Disease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39 (12.0)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109 (12.1)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0.962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23 (8.3)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67 (7.0)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0.473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Diabetes, complication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62 (19.1)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177 (19.6)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0.845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21 (8.0)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115 (12.2)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0.057</w:t>
            </w:r>
          </w:p>
        </w:tc>
      </w:tr>
      <w:tr w:rsidR="00286D46" w:rsidRPr="005C3530" w:rsidTr="006247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Charlson</w:t>
            </w:r>
            <w:proofErr w:type="spellEnd"/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Score </w:t>
            </w: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br/>
              <w:t>(Mean, SD)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1.7 (1.9)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1.7 (1.8)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1.000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 (1.3)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1.0 (1.6)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0.005</w:t>
            </w:r>
          </w:p>
        </w:tc>
      </w:tr>
      <w:tr w:rsidR="00286D46" w:rsidRPr="005C3530" w:rsidTr="006247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# of Comorbidities Index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 (%)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 (%)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 (%)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 (%)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116 (35.7)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310 (34.4)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0.673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162 (61.4)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521 (55.4)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0.082</w:t>
            </w:r>
          </w:p>
        </w:tc>
      </w:tr>
      <w:tr w:rsidR="00286D46" w:rsidRPr="005C3530" w:rsidTr="006247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56 (17.2)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179 (19.9)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0.289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58 (22.0)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170 (18.1)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0.153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71 (21.9)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182 (20.2)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0.516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27 (10.2)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126 (13.4)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0.168</w:t>
            </w:r>
          </w:p>
        </w:tc>
      </w:tr>
      <w:tr w:rsidR="00286D46" w:rsidRPr="005C3530" w:rsidTr="006247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41 (12.6)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113 (12.5)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0.963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 (2.7)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60 (6.4)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0.021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4+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41 (12.6)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117 (13.0)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0.854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 (3.8)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63 (6.7)</w:t>
            </w:r>
          </w:p>
        </w:tc>
        <w:tc>
          <w:tcPr>
            <w:tcW w:w="0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0.081</w:t>
            </w:r>
          </w:p>
        </w:tc>
      </w:tr>
    </w:tbl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 w:rsidRPr="005C3530">
        <w:rPr>
          <w:rFonts w:ascii="Times New Roman" w:hAnsi="Times New Roman" w:cs="Times New Roman"/>
          <w:b/>
          <w:sz w:val="24"/>
          <w:szCs w:val="24"/>
          <w:lang w:eastAsia="ko-KR"/>
        </w:rPr>
        <w:t>Supplementary Table 2</w:t>
      </w:r>
      <w:r w:rsidRPr="005C3530">
        <w:rPr>
          <w:rFonts w:ascii="Times New Roman" w:hAnsi="Times New Roman" w:cs="Times New Roman"/>
          <w:sz w:val="24"/>
          <w:szCs w:val="24"/>
          <w:lang w:eastAsia="ko-KR"/>
        </w:rPr>
        <w:t>. MRSA Hospital Outcome Characteristics, Stratified by Classification and Severity, in Four Calgary Acute Care Facilities Between April 2011-March 2017.</w:t>
      </w:r>
    </w:p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ko-KR"/>
        </w:rPr>
      </w:pPr>
    </w:p>
    <w:tbl>
      <w:tblPr>
        <w:tblStyle w:val="MediumList11"/>
        <w:tblW w:w="9576" w:type="dxa"/>
        <w:tblLook w:val="04A0" w:firstRow="1" w:lastRow="0" w:firstColumn="1" w:lastColumn="0" w:noHBand="0" w:noVBand="1"/>
      </w:tblPr>
      <w:tblGrid>
        <w:gridCol w:w="2069"/>
        <w:gridCol w:w="1576"/>
        <w:gridCol w:w="1576"/>
        <w:gridCol w:w="763"/>
        <w:gridCol w:w="1230"/>
        <w:gridCol w:w="1523"/>
        <w:gridCol w:w="892"/>
      </w:tblGrid>
      <w:tr w:rsidR="00286D46" w:rsidRPr="005C3530" w:rsidTr="0062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Characteristic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HA-MRSA Infection (N=325)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HA-MRSA Colonization (N=901)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p-value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CA-MRSA Infection (N=264)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CA-MRSA Colonization (N=940)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p-value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Median LOS (IQR)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43 (70)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30 (60)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 (14)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 (12)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Range</w:t>
            </w: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3-398</w:t>
            </w: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3-422</w:t>
            </w: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1 - 187</w:t>
            </w: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1-168</w:t>
            </w: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# of Prior Hospitalizations in 1 year</w:t>
            </w: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 (%)</w:t>
            </w: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 (%)</w:t>
            </w: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 (%)</w:t>
            </w: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 (%)</w:t>
            </w: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58 (17.9)</w:t>
            </w: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133 (14.8)</w:t>
            </w: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0.187</w:t>
            </w: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104 (39.9)</w:t>
            </w: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239 (25.4)</w:t>
            </w: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&lt;0.001</w:t>
            </w:r>
          </w:p>
        </w:tc>
      </w:tr>
      <w:tr w:rsidR="00286D46" w:rsidRPr="005C3530" w:rsidTr="0062477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111 (34.2)</w:t>
            </w: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298 (33.1)</w:t>
            </w: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0.719</w:t>
            </w: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118 (44.7)</w:t>
            </w: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532 (56.6)</w:t>
            </w: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&lt;0.001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67 (20.6)</w:t>
            </w: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238 (26.4)</w:t>
            </w: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0.038</w:t>
            </w: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25 (9.5)</w:t>
            </w: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92 (9.8)</w:t>
            </w: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0.089</w:t>
            </w:r>
          </w:p>
        </w:tc>
      </w:tr>
      <w:tr w:rsidR="00286D46" w:rsidRPr="005C3530" w:rsidTr="0062477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48 (14.8)</w:t>
            </w: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105 (11.7)</w:t>
            </w: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0.148</w:t>
            </w: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 (5.3)</w:t>
            </w: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40 (4.3)</w:t>
            </w: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0.490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4+</w:t>
            </w: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41 (12.5)</w:t>
            </w: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127 (14.0)</w:t>
            </w: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0.499</w:t>
            </w: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 (1.1)</w:t>
            </w: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37  (3.9)</w:t>
            </w: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0.024</w:t>
            </w:r>
          </w:p>
        </w:tc>
      </w:tr>
      <w:tr w:rsidR="00286D46" w:rsidRPr="005C3530" w:rsidTr="0062477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Disposition of Index</w:t>
            </w: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- Discharge/Transfer</w:t>
            </w: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284 (83.4)</w:t>
            </w: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826 (89.7)</w:t>
            </w: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0.003</w:t>
            </w: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310 (92.0)</w:t>
            </w: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892 (92.8)</w:t>
            </w: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0.660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- Death</w:t>
            </w: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54 (16.6)</w:t>
            </w: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93  (10.3)</w:t>
            </w: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0.003</w:t>
            </w: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21 (8.0)</w:t>
            </w: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68 (7.2)</w:t>
            </w: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0.660</w:t>
            </w:r>
          </w:p>
        </w:tc>
      </w:tr>
      <w:tr w:rsidR="00286D46" w:rsidRPr="005C3530" w:rsidTr="0062477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Top 5 Most Responsible Diagnoses</w:t>
            </w: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CHF (18, 5.5%)</w:t>
            </w: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CHF (42, 4.7%)</w:t>
            </w: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>S. aureus</w:t>
            </w: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Sepsis </w:t>
            </w: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br/>
              <w:t>(27, 10.2%)</w:t>
            </w: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COPD with acute exacerbation (29, 3.1%)</w:t>
            </w: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Rehabilitation Care </w:t>
            </w: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br/>
              <w:t>(16, 4.9%)</w:t>
            </w: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COPD with LRTI </w:t>
            </w: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br/>
              <w:t>(39, 4.3%)</w:t>
            </w: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Cellulitis of Lower Limb </w:t>
            </w: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br/>
              <w:t>(14, 5.3%)</w:t>
            </w: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CHF (28, 3.0%)</w:t>
            </w: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Infection after procedure (12, 3.7%)</w:t>
            </w: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Rehabilitation Care</w:t>
            </w: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br/>
              <w:t>(38, 4.2%)</w:t>
            </w: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Abscess, carbuncle, furuncle of limb </w:t>
            </w: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br/>
              <w:t>(13, 4.9%)</w:t>
            </w: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COPD with acute LRTI (25, 2.7%)</w:t>
            </w: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5C3530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>S.aureus</w:t>
            </w:r>
            <w:proofErr w:type="spellEnd"/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Sepsis</w:t>
            </w: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br/>
              <w:t>(8, 2.5%)</w:t>
            </w: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UTI (33, 3.7%)</w:t>
            </w: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Cellulitis of other parts of limb </w:t>
            </w: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br/>
              <w:t>(10, 3.8%)</w:t>
            </w: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UTI (25, 2.7%)</w:t>
            </w: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Cs w:val="0"/>
                <w:sz w:val="24"/>
                <w:szCs w:val="24"/>
                <w:lang w:eastAsia="ko-KR"/>
              </w:rPr>
            </w:pPr>
          </w:p>
          <w:p w:rsidR="00286D46" w:rsidRPr="005C3530" w:rsidRDefault="00286D46" w:rsidP="0062477F">
            <w:pPr>
              <w:spacing w:line="48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ko-KR"/>
              </w:rPr>
            </w:pPr>
          </w:p>
          <w:p w:rsidR="00286D46" w:rsidRPr="005C3530" w:rsidRDefault="00286D46" w:rsidP="0062477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COPD with LRTI</w:t>
            </w: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br/>
              <w:t xml:space="preserve"> (8, 2.5%)</w:t>
            </w: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Delirium on Dementia </w:t>
            </w: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br/>
              <w:t>(26, 2.9%)</w:t>
            </w: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Cutaneous abscess, furuncle and carbuncle of trunk  (7, 2.7%)</w:t>
            </w: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Sepsis, unspecified </w:t>
            </w: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br/>
              <w:t>(23, 2.5%)</w:t>
            </w: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286D46" w:rsidRPr="005C3530" w:rsidRDefault="00286D46" w:rsidP="0062477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</w:p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 w:rsidRPr="005C3530">
        <w:rPr>
          <w:rFonts w:ascii="Times New Roman" w:hAnsi="Times New Roman" w:cs="Times New Roman"/>
          <w:b/>
          <w:sz w:val="24"/>
          <w:szCs w:val="24"/>
          <w:lang w:eastAsia="ko-KR"/>
        </w:rPr>
        <w:t>Supplementary Table 3.</w:t>
      </w:r>
      <w:r w:rsidRPr="005C3530">
        <w:rPr>
          <w:rFonts w:ascii="Times New Roman" w:hAnsi="Times New Roman" w:cs="Times New Roman"/>
          <w:sz w:val="24"/>
          <w:szCs w:val="24"/>
          <w:lang w:eastAsia="ko-KR"/>
        </w:rPr>
        <w:t xml:space="preserve"> Identified Sampling Rationale Behind Incident HA-MRSA and CA-MRSA Cases between April 2011-March 2017.</w:t>
      </w:r>
    </w:p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Style w:val="MediumList11"/>
        <w:tblW w:w="9405" w:type="dxa"/>
        <w:tblLook w:val="04A0" w:firstRow="1" w:lastRow="0" w:firstColumn="1" w:lastColumn="0" w:noHBand="0" w:noVBand="1"/>
      </w:tblPr>
      <w:tblGrid>
        <w:gridCol w:w="2355"/>
        <w:gridCol w:w="1506"/>
        <w:gridCol w:w="2019"/>
        <w:gridCol w:w="1506"/>
        <w:gridCol w:w="2019"/>
      </w:tblGrid>
      <w:tr w:rsidR="00286D46" w:rsidRPr="005C3530" w:rsidTr="0062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Severity and Classification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Hospital Acquired</w:t>
            </w:r>
          </w:p>
        </w:tc>
        <w:tc>
          <w:tcPr>
            <w:tcW w:w="0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Community Acquired</w:t>
            </w:r>
          </w:p>
        </w:tc>
      </w:tr>
      <w:tr w:rsidR="00286D46" w:rsidRPr="005C3530" w:rsidTr="00624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Sampling Reason</w:t>
            </w:r>
          </w:p>
        </w:tc>
        <w:tc>
          <w:tcPr>
            <w:tcW w:w="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Infection</w:t>
            </w:r>
          </w:p>
        </w:tc>
        <w:tc>
          <w:tcPr>
            <w:tcW w:w="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Colonization</w:t>
            </w:r>
          </w:p>
        </w:tc>
        <w:tc>
          <w:tcPr>
            <w:tcW w:w="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Infection</w:t>
            </w:r>
          </w:p>
        </w:tc>
        <w:tc>
          <w:tcPr>
            <w:tcW w:w="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Colonization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auto"/>
            </w:tcBorders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Clearing Protocol</w:t>
            </w:r>
          </w:p>
        </w:tc>
        <w:tc>
          <w:tcPr>
            <w:tcW w:w="0" w:type="dxa"/>
            <w:tcBorders>
              <w:top w:val="single" w:sz="12" w:space="0" w:color="auto"/>
            </w:tcBorders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0" w:type="dxa"/>
            <w:tcBorders>
              <w:top w:val="single" w:sz="12" w:space="0" w:color="auto"/>
            </w:tcBorders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tcBorders>
              <w:top w:val="single" w:sz="12" w:space="0" w:color="auto"/>
            </w:tcBorders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0" w:type="dxa"/>
            <w:tcBorders>
              <w:top w:val="single" w:sz="12" w:space="0" w:color="auto"/>
            </w:tcBorders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</w:t>
            </w:r>
          </w:p>
        </w:tc>
      </w:tr>
      <w:tr w:rsidR="00286D46" w:rsidRPr="005C3530" w:rsidTr="00624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Clinical Isolate**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315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108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249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61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Cluster Investigation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</w:tr>
      <w:tr w:rsidR="00286D46" w:rsidRPr="005C3530" w:rsidTr="00624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Other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44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Prevalence Survey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286D46" w:rsidRPr="005C3530" w:rsidTr="00624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Roommate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76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Admission Screening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36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286D4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Nasal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30</w:t>
            </w:r>
          </w:p>
        </w:tc>
      </w:tr>
      <w:tr w:rsidR="00286D46" w:rsidRPr="005C3530" w:rsidTr="00624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286D4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Rectal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286D4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Others (e.g. Wound)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286D46" w:rsidRPr="005C3530" w:rsidTr="00624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pStyle w:val="ListParagraph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Follow-up Screening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58</w:t>
            </w:r>
          </w:p>
        </w:tc>
      </w:tr>
      <w:tr w:rsidR="00286D46" w:rsidRPr="005C3530" w:rsidTr="00624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286D4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Nasal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42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286D4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Rectal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</w:t>
            </w:r>
          </w:p>
        </w:tc>
      </w:tr>
      <w:tr w:rsidR="00286D46" w:rsidRPr="005C3530" w:rsidTr="00624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286D4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Others (e.g. Wound)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pStyle w:val="ListParagraph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Screen-Admit Facility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106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145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286D4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Nasal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74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106</w:t>
            </w:r>
          </w:p>
        </w:tc>
      </w:tr>
      <w:tr w:rsidR="00286D46" w:rsidRPr="005C3530" w:rsidTr="00624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286D4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Rectal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38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286D4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Others (e.g. Wound)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286D46" w:rsidRPr="005C3530" w:rsidTr="00624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Screen-Admit Unit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460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586</w:t>
            </w:r>
          </w:p>
        </w:tc>
      </w:tr>
      <w:tr w:rsidR="00286D46" w:rsidRPr="005C3530" w:rsidTr="00624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286D4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Nasal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297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452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286D4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Rectal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161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130</w:t>
            </w:r>
          </w:p>
        </w:tc>
      </w:tr>
      <w:tr w:rsidR="00286D46" w:rsidRPr="005C3530" w:rsidTr="00624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286D46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Others (e.g. Wound)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86D46" w:rsidRPr="005C3530" w:rsidTr="00624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Screen-Discharge Facility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286D46" w:rsidRPr="005C3530" w:rsidTr="006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Total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325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901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264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:rsidR="00286D46" w:rsidRPr="005C3530" w:rsidRDefault="00286D46" w:rsidP="0062477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C353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940</w:t>
            </w:r>
          </w:p>
        </w:tc>
      </w:tr>
    </w:tbl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 w:rsidRPr="005C3530">
        <w:rPr>
          <w:rFonts w:ascii="Times New Roman" w:hAnsi="Times New Roman" w:cs="Times New Roman"/>
          <w:sz w:val="24"/>
          <w:szCs w:val="24"/>
          <w:lang w:eastAsia="ko-KR"/>
        </w:rPr>
        <w:t xml:space="preserve">** Clinical isolate denotes obtained culture ordered by a physician as a result of some clinical indication or a suspicion. </w:t>
      </w:r>
    </w:p>
    <w:p w:rsidR="00286D46" w:rsidRPr="005C3530" w:rsidRDefault="00286D46" w:rsidP="00286D4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</w:p>
    <w:p w:rsidR="00286D46" w:rsidRPr="005C3530" w:rsidRDefault="00286D46" w:rsidP="00286D4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5C3530">
        <w:rPr>
          <w:rFonts w:ascii="Times New Roman" w:hAnsi="Times New Roman" w:cs="Times New Roman"/>
          <w:sz w:val="24"/>
          <w:szCs w:val="24"/>
          <w:lang w:eastAsia="ko-KR"/>
        </w:rPr>
        <w:t>Rationales related to screening programs were further stratified by swab sites (nasal, rectal, and others)</w:t>
      </w:r>
      <w:r w:rsidRPr="005C3530"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  <w:r w:rsidRPr="005C3530">
        <w:rPr>
          <w:rFonts w:ascii="Times New Roman" w:hAnsi="Times New Roman" w:cs="Times New Roman"/>
          <w:b/>
          <w:noProof/>
          <w:sz w:val="24"/>
          <w:szCs w:val="24"/>
          <w:lang w:eastAsia="ko-KR"/>
        </w:rPr>
        <w:lastRenderedPageBreak/>
        <w:drawing>
          <wp:inline distT="0" distB="0" distL="0" distR="0" wp14:anchorId="6A979F63" wp14:editId="55CA9AE4">
            <wp:extent cx="5943600" cy="4629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2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46" w:rsidRDefault="00286D46" w:rsidP="00286D4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5C3530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Figure 1. </w:t>
      </w:r>
    </w:p>
    <w:p w:rsidR="00286D46" w:rsidRDefault="00286D46" w:rsidP="00286D46">
      <w:pPr>
        <w:spacing w:line="480" w:lineRule="auto"/>
        <w:rPr>
          <w:rFonts w:ascii="Times New Roman" w:hAnsi="Times New Roman" w:cs="Times New Roman"/>
          <w:sz w:val="24"/>
          <w:szCs w:val="24"/>
          <w:lang w:eastAsia="ko-KR"/>
        </w:rPr>
        <w:sectPr w:rsidR="00286D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6D46" w:rsidRDefault="00286D46" w:rsidP="00286D46">
      <w:pPr>
        <w:spacing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8718B5">
        <w:rPr>
          <w:rFonts w:ascii="Times New Roman" w:hAnsi="Times New Roman" w:cs="Times New Roman"/>
          <w:b/>
          <w:bCs/>
          <w:noProof/>
          <w:sz w:val="24"/>
          <w:szCs w:val="24"/>
          <w:lang w:eastAsia="ko-KR"/>
          <w:rPrChange w:id="1" w:author="nm-edits" w:date="2019-06-13T15:20:00Z">
            <w:rPr>
              <w:rFonts w:ascii="Calibri" w:hAnsi="Calibri"/>
              <w:b/>
              <w:bCs/>
              <w:noProof/>
              <w:lang w:eastAsia="ko-KR"/>
            </w:rPr>
          </w:rPrChange>
        </w:rPr>
        <w:lastRenderedPageBreak/>
        <w:drawing>
          <wp:inline distT="0" distB="0" distL="0" distR="0" wp14:anchorId="060AC139" wp14:editId="65A34FCB">
            <wp:extent cx="5943600" cy="3034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1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46" w:rsidRDefault="00286D46" w:rsidP="00286D46">
      <w:pPr>
        <w:spacing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286D46" w:rsidRPr="00875E1C" w:rsidRDefault="00286D46" w:rsidP="00286D4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875E1C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Figure 2.</w:t>
      </w:r>
    </w:p>
    <w:p w:rsidR="0062477F" w:rsidRDefault="0062477F"/>
    <w:sectPr w:rsidR="0062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55964"/>
    <w:multiLevelType w:val="hybridMultilevel"/>
    <w:tmpl w:val="56486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76E33"/>
    <w:multiLevelType w:val="hybridMultilevel"/>
    <w:tmpl w:val="38626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m-edits">
    <w15:presenceInfo w15:providerId="None" w15:userId="nm-edi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46"/>
    <w:rsid w:val="000B4C55"/>
    <w:rsid w:val="00161ACC"/>
    <w:rsid w:val="00286D46"/>
    <w:rsid w:val="004C5E1D"/>
    <w:rsid w:val="00507E20"/>
    <w:rsid w:val="0062477F"/>
    <w:rsid w:val="006A23B9"/>
    <w:rsid w:val="00875E1C"/>
    <w:rsid w:val="008D2A65"/>
    <w:rsid w:val="00C23DE9"/>
    <w:rsid w:val="00C85C03"/>
    <w:rsid w:val="00FC2A28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03D04-3CB9-4432-8ECF-C92A88EC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46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List11">
    <w:name w:val="Medium List 11"/>
    <w:basedOn w:val="TableNormal"/>
    <w:uiPriority w:val="65"/>
    <w:rsid w:val="00286D46"/>
    <w:pPr>
      <w:spacing w:after="0" w:line="240" w:lineRule="auto"/>
    </w:pPr>
    <w:rPr>
      <w:rFonts w:eastAsiaTheme="minorEastAsia"/>
      <w:color w:val="000000" w:themeColor="text1"/>
      <w:lang w:val="en-CA"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8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nm-edits</dc:creator>
  <cp:keywords/>
  <dc:description/>
  <cp:lastModifiedBy>nm-edits</cp:lastModifiedBy>
  <cp:revision>1</cp:revision>
  <dcterms:created xsi:type="dcterms:W3CDTF">2019-06-13T20:21:00Z</dcterms:created>
  <dcterms:modified xsi:type="dcterms:W3CDTF">2019-06-14T11:36:00Z</dcterms:modified>
</cp:coreProperties>
</file>