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8F7" w:rsidRPr="00407515" w:rsidRDefault="000858F7" w:rsidP="000858F7">
      <w:pPr>
        <w:spacing w:line="480" w:lineRule="auto"/>
        <w:jc w:val="center"/>
        <w:rPr>
          <w:rFonts w:ascii="Times New Roman" w:hAnsi="Times New Roman" w:cs="Times New Roman"/>
          <w:b/>
          <w:sz w:val="24"/>
          <w:szCs w:val="24"/>
        </w:rPr>
      </w:pPr>
      <w:bookmarkStart w:id="0" w:name="_GoBack"/>
      <w:bookmarkEnd w:id="0"/>
      <w:r w:rsidRPr="00407515">
        <w:rPr>
          <w:rFonts w:ascii="Times New Roman" w:hAnsi="Times New Roman" w:cs="Times New Roman"/>
          <w:b/>
          <w:sz w:val="24"/>
          <w:szCs w:val="24"/>
        </w:rPr>
        <w:t>Table A:  Supplementary Information on Methods</w:t>
      </w:r>
    </w:p>
    <w:tbl>
      <w:tblPr>
        <w:tblStyle w:val="TableGrid"/>
        <w:tblW w:w="0" w:type="auto"/>
        <w:tblLook w:val="04A0" w:firstRow="1" w:lastRow="0" w:firstColumn="1" w:lastColumn="0" w:noHBand="0" w:noVBand="1"/>
      </w:tblPr>
      <w:tblGrid>
        <w:gridCol w:w="9016"/>
      </w:tblGrid>
      <w:tr w:rsidR="000858F7" w:rsidRPr="00407515" w:rsidTr="00033936">
        <w:tc>
          <w:tcPr>
            <w:tcW w:w="9350" w:type="dxa"/>
          </w:tcPr>
          <w:p w:rsidR="000858F7" w:rsidRPr="00407515" w:rsidRDefault="000858F7" w:rsidP="000858F7">
            <w:pPr>
              <w:pStyle w:val="ListParagraph"/>
              <w:numPr>
                <w:ilvl w:val="0"/>
                <w:numId w:val="3"/>
              </w:numPr>
              <w:spacing w:after="160" w:line="480" w:lineRule="auto"/>
              <w:rPr>
                <w:rFonts w:ascii="Times New Roman" w:hAnsi="Times New Roman" w:cs="Times New Roman"/>
                <w:b/>
                <w:sz w:val="24"/>
                <w:szCs w:val="24"/>
              </w:rPr>
            </w:pPr>
            <w:r w:rsidRPr="00407515">
              <w:rPr>
                <w:rFonts w:ascii="Times New Roman" w:hAnsi="Times New Roman" w:cs="Times New Roman"/>
                <w:b/>
                <w:sz w:val="24"/>
                <w:szCs w:val="24"/>
              </w:rPr>
              <w:t>Categorization and analysis of potentially pathogenic bacteria</w:t>
            </w:r>
          </w:p>
          <w:p w:rsidR="000858F7" w:rsidRPr="00407515" w:rsidRDefault="000858F7" w:rsidP="00033936">
            <w:pPr>
              <w:spacing w:line="480" w:lineRule="auto"/>
              <w:rPr>
                <w:rFonts w:ascii="Times New Roman" w:hAnsi="Times New Roman" w:cs="Times New Roman"/>
                <w:sz w:val="24"/>
                <w:szCs w:val="24"/>
              </w:rPr>
            </w:pPr>
            <w:r w:rsidRPr="00407515">
              <w:rPr>
                <w:rFonts w:ascii="Times New Roman" w:hAnsi="Times New Roman" w:cs="Times New Roman"/>
                <w:sz w:val="24"/>
                <w:szCs w:val="24"/>
              </w:rPr>
              <w:t xml:space="preserve">Several steps were taken to develop a consistent dataset of potentially pathogenic bacteria during data cleaning phase (Figure 1). The steps includes; (a) removed inconsistencies in reporting polymicrobial data (i.e. polymicrobial was codes as a specific organism in the data entry form, therefore, was recorded as polymicrobial, probably the contamination specimen, similarly, pathogens recorded as mixed organisms were classified as polymicrobial and removed), (b) deleted non-bacterial culture results (i.e., </w:t>
            </w:r>
            <w:r w:rsidRPr="00407515">
              <w:rPr>
                <w:rFonts w:ascii="Times New Roman" w:hAnsi="Times New Roman" w:cs="Times New Roman"/>
                <w:i/>
                <w:sz w:val="24"/>
                <w:szCs w:val="24"/>
              </w:rPr>
              <w:t>Candida</w:t>
            </w:r>
            <w:r w:rsidRPr="00407515">
              <w:rPr>
                <w:rFonts w:ascii="Times New Roman" w:hAnsi="Times New Roman" w:cs="Times New Roman"/>
                <w:sz w:val="24"/>
                <w:szCs w:val="24"/>
              </w:rPr>
              <w:t xml:space="preserve"> /</w:t>
            </w:r>
            <w:r w:rsidRPr="00407515">
              <w:rPr>
                <w:rFonts w:ascii="Times New Roman" w:hAnsi="Times New Roman" w:cs="Times New Roman"/>
                <w:i/>
                <w:sz w:val="24"/>
                <w:szCs w:val="24"/>
              </w:rPr>
              <w:t>Yeasts species</w:t>
            </w:r>
            <w:r w:rsidRPr="00407515">
              <w:rPr>
                <w:rFonts w:ascii="Times New Roman" w:hAnsi="Times New Roman" w:cs="Times New Roman"/>
                <w:sz w:val="24"/>
                <w:szCs w:val="24"/>
              </w:rPr>
              <w:t xml:space="preserve"> ) and, (c) bacterial non-pathogenic bacteria (i.e., </w:t>
            </w:r>
            <w:r w:rsidRPr="00407515">
              <w:rPr>
                <w:rFonts w:ascii="Times New Roman" w:hAnsi="Times New Roman" w:cs="Times New Roman"/>
                <w:i/>
                <w:sz w:val="24"/>
                <w:szCs w:val="24"/>
              </w:rPr>
              <w:t>Lactobacillus</w:t>
            </w:r>
            <w:r w:rsidRPr="00407515">
              <w:rPr>
                <w:rFonts w:ascii="Times New Roman" w:hAnsi="Times New Roman" w:cs="Times New Roman"/>
                <w:sz w:val="24"/>
                <w:szCs w:val="24"/>
              </w:rPr>
              <w:t xml:space="preserve">, </w:t>
            </w:r>
            <w:r w:rsidRPr="00407515">
              <w:rPr>
                <w:rFonts w:ascii="Times New Roman" w:hAnsi="Times New Roman" w:cs="Times New Roman"/>
                <w:i/>
                <w:sz w:val="24"/>
                <w:szCs w:val="24"/>
              </w:rPr>
              <w:t>Corynebacterium</w:t>
            </w:r>
            <w:r w:rsidRPr="00407515">
              <w:rPr>
                <w:rFonts w:ascii="Times New Roman" w:hAnsi="Times New Roman" w:cs="Times New Roman"/>
                <w:sz w:val="24"/>
                <w:szCs w:val="24"/>
              </w:rPr>
              <w:t xml:space="preserve">, </w:t>
            </w:r>
            <w:proofErr w:type="spellStart"/>
            <w:r w:rsidRPr="00407515">
              <w:rPr>
                <w:rFonts w:ascii="Times New Roman" w:hAnsi="Times New Roman" w:cs="Times New Roman"/>
                <w:i/>
                <w:sz w:val="24"/>
                <w:szCs w:val="24"/>
              </w:rPr>
              <w:t>Gardnerella</w:t>
            </w:r>
            <w:proofErr w:type="spellEnd"/>
            <w:r w:rsidRPr="00407515">
              <w:rPr>
                <w:rFonts w:ascii="Times New Roman" w:hAnsi="Times New Roman" w:cs="Times New Roman"/>
                <w:sz w:val="24"/>
                <w:szCs w:val="24"/>
              </w:rPr>
              <w:t xml:space="preserve"> </w:t>
            </w:r>
            <w:r w:rsidRPr="00407515">
              <w:rPr>
                <w:rFonts w:ascii="Times New Roman" w:hAnsi="Times New Roman" w:cs="Times New Roman"/>
                <w:i/>
                <w:sz w:val="24"/>
                <w:szCs w:val="24"/>
              </w:rPr>
              <w:t>vaginalis)</w:t>
            </w:r>
            <w:r w:rsidRPr="00407515">
              <w:rPr>
                <w:rFonts w:ascii="Times New Roman" w:hAnsi="Times New Roman" w:cs="Times New Roman"/>
                <w:sz w:val="24"/>
                <w:szCs w:val="24"/>
              </w:rPr>
              <w:t>.</w:t>
            </w:r>
          </w:p>
          <w:p w:rsidR="000858F7" w:rsidRPr="00407515" w:rsidRDefault="000858F7" w:rsidP="00033936">
            <w:pPr>
              <w:autoSpaceDE w:val="0"/>
              <w:autoSpaceDN w:val="0"/>
              <w:adjustRightInd w:val="0"/>
              <w:spacing w:line="480" w:lineRule="auto"/>
              <w:rPr>
                <w:rFonts w:ascii="Times New Roman" w:hAnsi="Times New Roman" w:cs="Times New Roman"/>
                <w:sz w:val="24"/>
                <w:szCs w:val="24"/>
              </w:rPr>
            </w:pPr>
            <w:r w:rsidRPr="00407515">
              <w:rPr>
                <w:rFonts w:ascii="Times New Roman" w:hAnsi="Times New Roman" w:cs="Times New Roman"/>
                <w:sz w:val="24"/>
                <w:szCs w:val="24"/>
              </w:rPr>
              <w:t xml:space="preserve">The final dataset included 5,167 urine cultures from 27 NHs that were positive for bacteria that are </w:t>
            </w:r>
            <w:proofErr w:type="spellStart"/>
            <w:r w:rsidRPr="00407515">
              <w:rPr>
                <w:rFonts w:ascii="Times New Roman" w:hAnsi="Times New Roman" w:cs="Times New Roman"/>
                <w:sz w:val="24"/>
                <w:szCs w:val="24"/>
              </w:rPr>
              <w:t>are</w:t>
            </w:r>
            <w:proofErr w:type="spellEnd"/>
            <w:r w:rsidRPr="00407515">
              <w:rPr>
                <w:rFonts w:ascii="Times New Roman" w:hAnsi="Times New Roman" w:cs="Times New Roman"/>
                <w:sz w:val="24"/>
                <w:szCs w:val="24"/>
              </w:rPr>
              <w:t xml:space="preserve"> known urinary tract pathogens. The potentially pathogenic bacteria were further classified into 14 broad categories eliminating inconsistencies in naming and reporting bacteria. For instance </w:t>
            </w:r>
            <w:r w:rsidRPr="00407515">
              <w:rPr>
                <w:rFonts w:ascii="Times New Roman" w:hAnsi="Times New Roman" w:cs="Times New Roman"/>
                <w:i/>
                <w:sz w:val="24"/>
                <w:szCs w:val="24"/>
              </w:rPr>
              <w:t>Streptococcus</w:t>
            </w:r>
            <w:r w:rsidRPr="00407515">
              <w:rPr>
                <w:rFonts w:ascii="Times New Roman" w:hAnsi="Times New Roman" w:cs="Times New Roman"/>
                <w:sz w:val="24"/>
                <w:szCs w:val="24"/>
              </w:rPr>
              <w:t xml:space="preserve"> </w:t>
            </w:r>
            <w:proofErr w:type="spellStart"/>
            <w:r w:rsidRPr="00407515">
              <w:rPr>
                <w:rFonts w:ascii="Times New Roman" w:hAnsi="Times New Roman" w:cs="Times New Roman"/>
                <w:i/>
                <w:sz w:val="24"/>
                <w:szCs w:val="24"/>
              </w:rPr>
              <w:t>agalactiae</w:t>
            </w:r>
            <w:proofErr w:type="spellEnd"/>
            <w:r w:rsidRPr="00407515">
              <w:rPr>
                <w:rFonts w:ascii="Times New Roman" w:hAnsi="Times New Roman" w:cs="Times New Roman"/>
                <w:sz w:val="24"/>
                <w:szCs w:val="24"/>
              </w:rPr>
              <w:t xml:space="preserve"> and </w:t>
            </w:r>
            <w:r w:rsidRPr="00407515">
              <w:rPr>
                <w:rFonts w:ascii="Times New Roman" w:hAnsi="Times New Roman" w:cs="Times New Roman"/>
                <w:i/>
                <w:sz w:val="24"/>
                <w:szCs w:val="24"/>
              </w:rPr>
              <w:t>Streptococcus group B</w:t>
            </w:r>
            <w:r w:rsidRPr="00407515">
              <w:rPr>
                <w:rFonts w:ascii="Times New Roman" w:hAnsi="Times New Roman" w:cs="Times New Roman"/>
                <w:sz w:val="24"/>
                <w:szCs w:val="24"/>
              </w:rPr>
              <w:t xml:space="preserve"> categorized into a single category named Streptococcus; </w:t>
            </w:r>
            <w:r w:rsidRPr="00407515">
              <w:rPr>
                <w:rFonts w:ascii="Times New Roman" w:hAnsi="Times New Roman" w:cs="Times New Roman"/>
                <w:i/>
                <w:sz w:val="24"/>
                <w:szCs w:val="24"/>
              </w:rPr>
              <w:t>Proteus</w:t>
            </w:r>
            <w:r w:rsidRPr="00407515">
              <w:rPr>
                <w:rFonts w:ascii="Times New Roman" w:hAnsi="Times New Roman" w:cs="Times New Roman"/>
                <w:sz w:val="24"/>
                <w:szCs w:val="24"/>
              </w:rPr>
              <w:t xml:space="preserve"> </w:t>
            </w:r>
            <w:proofErr w:type="spellStart"/>
            <w:r w:rsidRPr="00407515">
              <w:rPr>
                <w:rFonts w:ascii="Times New Roman" w:hAnsi="Times New Roman" w:cs="Times New Roman"/>
                <w:i/>
                <w:sz w:val="24"/>
                <w:szCs w:val="24"/>
              </w:rPr>
              <w:t>mirabillis</w:t>
            </w:r>
            <w:proofErr w:type="spellEnd"/>
            <w:r w:rsidRPr="00407515">
              <w:rPr>
                <w:rFonts w:ascii="Times New Roman" w:hAnsi="Times New Roman" w:cs="Times New Roman"/>
                <w:sz w:val="24"/>
                <w:szCs w:val="24"/>
              </w:rPr>
              <w:t xml:space="preserve">, </w:t>
            </w:r>
            <w:r w:rsidRPr="00407515">
              <w:rPr>
                <w:rFonts w:ascii="Times New Roman" w:hAnsi="Times New Roman" w:cs="Times New Roman"/>
                <w:i/>
                <w:sz w:val="24"/>
                <w:szCs w:val="24"/>
              </w:rPr>
              <w:t>Proteus vulgaris</w:t>
            </w:r>
            <w:r w:rsidRPr="00407515">
              <w:rPr>
                <w:rFonts w:ascii="Times New Roman" w:hAnsi="Times New Roman" w:cs="Times New Roman"/>
                <w:sz w:val="24"/>
                <w:szCs w:val="24"/>
              </w:rPr>
              <w:t xml:space="preserve"> and </w:t>
            </w:r>
            <w:r w:rsidRPr="00407515">
              <w:rPr>
                <w:rFonts w:ascii="Times New Roman" w:hAnsi="Times New Roman" w:cs="Times New Roman"/>
                <w:i/>
                <w:sz w:val="24"/>
                <w:szCs w:val="24"/>
              </w:rPr>
              <w:t>Proteus species</w:t>
            </w:r>
            <w:r w:rsidRPr="00407515">
              <w:rPr>
                <w:rFonts w:ascii="Times New Roman" w:hAnsi="Times New Roman" w:cs="Times New Roman"/>
                <w:sz w:val="24"/>
                <w:szCs w:val="24"/>
              </w:rPr>
              <w:t xml:space="preserve"> into a single category Proteus</w:t>
            </w:r>
            <w:r w:rsidRPr="00407515">
              <w:rPr>
                <w:rFonts w:ascii="Times New Roman" w:hAnsi="Times New Roman" w:cs="Times New Roman"/>
                <w:i/>
                <w:sz w:val="24"/>
                <w:szCs w:val="24"/>
              </w:rPr>
              <w:t xml:space="preserve"> species </w:t>
            </w:r>
            <w:r w:rsidRPr="00407515">
              <w:rPr>
                <w:rFonts w:ascii="Times New Roman" w:hAnsi="Times New Roman" w:cs="Times New Roman"/>
                <w:sz w:val="24"/>
                <w:szCs w:val="24"/>
              </w:rPr>
              <w:t>etc.</w:t>
            </w:r>
          </w:p>
          <w:p w:rsidR="000858F7" w:rsidRPr="00407515" w:rsidRDefault="000858F7" w:rsidP="000858F7">
            <w:pPr>
              <w:pStyle w:val="ListParagraph"/>
              <w:numPr>
                <w:ilvl w:val="0"/>
                <w:numId w:val="3"/>
              </w:numPr>
              <w:spacing w:after="160" w:line="480" w:lineRule="auto"/>
              <w:rPr>
                <w:rFonts w:ascii="Times New Roman" w:hAnsi="Times New Roman" w:cs="Times New Roman"/>
                <w:b/>
                <w:sz w:val="24"/>
                <w:szCs w:val="24"/>
              </w:rPr>
            </w:pPr>
            <w:r w:rsidRPr="00407515">
              <w:rPr>
                <w:rFonts w:ascii="Times New Roman" w:hAnsi="Times New Roman" w:cs="Times New Roman"/>
                <w:b/>
                <w:sz w:val="24"/>
                <w:szCs w:val="24"/>
              </w:rPr>
              <w:t>Categorizations of antimicrobials to calculate multi-drug resistance  (MDR)</w:t>
            </w:r>
          </w:p>
          <w:p w:rsidR="000858F7" w:rsidRPr="00407515" w:rsidRDefault="000858F7" w:rsidP="00033936">
            <w:pPr>
              <w:autoSpaceDE w:val="0"/>
              <w:autoSpaceDN w:val="0"/>
              <w:adjustRightInd w:val="0"/>
              <w:spacing w:line="480" w:lineRule="auto"/>
              <w:rPr>
                <w:rFonts w:ascii="Times New Roman" w:hAnsi="Times New Roman" w:cs="Times New Roman"/>
                <w:sz w:val="24"/>
                <w:szCs w:val="24"/>
              </w:rPr>
            </w:pPr>
            <w:r w:rsidRPr="00407515">
              <w:rPr>
                <w:rFonts w:ascii="Times New Roman" w:hAnsi="Times New Roman" w:cs="Times New Roman"/>
                <w:sz w:val="24"/>
                <w:szCs w:val="24"/>
              </w:rPr>
              <w:t xml:space="preserve">Five classes of antimicrobials were derived </w:t>
            </w:r>
            <w:r w:rsidRPr="00407515">
              <w:rPr>
                <w:rFonts w:ascii="Times New Roman" w:hAnsi="Times New Roman" w:cs="Times New Roman"/>
                <w:sz w:val="24"/>
                <w:szCs w:val="24"/>
              </w:rPr>
              <w:fldChar w:fldCharType="begin">
                <w:fldData xml:space="preserve">PEVuZE5vdGU+PENpdGU+PEF1dGhvcj5BLuKAkFAuPC9BdXRob3I+PFllYXI+MjAxMjwvWWVhcj48
UmVjTnVtPjE1MjE8L1JlY051bT48RGlzcGxheVRleHQ+KDIwLCAyMSk8L0Rpc3BsYXlUZXh0Pjxy
ZWNvcmQ+PHJlYy1udW1iZXI+MTUyMTwvcmVjLW51bWJlcj48Zm9yZWlnbi1rZXlzPjxrZXkgYXBw
PSJFTiIgZGItaWQ9ImZwcGV3ZnRybDIwMDlvZXR3ejVwZWVmdHN4eHNkeGRzcDJ0ciIgdGltZXN0
YW1wPSIxNTI1NzE0ODc2Ij4xNTIxPC9rZXk+PGtleSBhcHA9IkVOV2ViIiBkYi1pZD0iIj4wPC9r
ZXk+PC9mb3JlaWduLWtleXM+PHJlZi10eXBlIG5hbWU9IkpvdXJuYWwgQXJ0aWNsZSI+MTc8L3Jl
Zi10eXBlPjxjb250cmlidXRvcnM+PGF1dGhvcnM+PGF1dGhvcj5NYWdpb3Jha29zIEEu4oCQUC48
L2F1dGhvcj48YXV0aG9yPlNyaW5pdmFzYW4gQS48L2F1dGhvcj48YXV0aG9yPkNhcmV5IFIuIEIu
PC9hdXRob3I+PGF1dGhvcj5DYXJtZWxpIFkuPC9hdXRob3I+PGF1dGhvcj5GYWxhZ2FzIE0uIEUu
PC9hdXRob3I+PGF1dGhvcj5HaXNrZSBDLiBHLjwvYXV0aG9yPjxhdXRob3I+SGFyYmFydGggUy48
L2F1dGhvcj48YXV0aG9yPkhpbmRsZXIgSi4gRi48L2F1dGhvcj48YXV0aG9yPkthaGxtZXRlciBH
LjwvYXV0aG9yPjxhdXRob3I+T2xzc29u4oCQTGlsamVxdWlzdCBCLjwvYXV0aG9yPjxhdXRob3I+
UGF0ZXJzb24gRC4gTC48L2F1dGhvcj48YXV0aG9yPlJpY2UgTC4gQi48L2F1dGhvcj48YXV0aG9y
PlN0ZWxsaW5nIEouPC9hdXRob3I+PGF1dGhvcj5TdHJ1ZWxlbnMgTS4gSi48L2F1dGhvcj48YXV0
aG9yPlZhdG9wb3Vsb3MgQS48L2F1dGhvcj48YXV0aG9yPldlYmVyIEouIFQuPC9hdXRob3I+PGF1
dGhvcj5Nb25uZXQgRC4gTC48L2F1dGhvcj48L2F1dGhvcnM+PC9jb250cmlidXRvcnM+PHRpdGxl
cz48dGl0bGU+TXVsdGlkcnVn4oCQcmVzaXN0YW50LCBleHRlbnNpdmVseSBkcnVn4oCQcmVzaXN0
YW50IGFuZCBwYW5kcnVn4oCQcmVzaXN0YW50IGJhY3RlcmlhOiBhbiBpbnRlcm5hdGlvbmFsIGV4
cGVydCBwcm9wb3NhbCBmb3IgaW50ZXJpbSBzdGFuZGFyZCBkZWZpbml0aW9ucyBmb3IgYWNxdWly
ZWQgcmVzaXN0YW5jZTwvdGl0bGU+PHNlY29uZGFyeS10aXRsZT5DbGluaWNhbCBNaWNyb2Jpb2xv
Z3kgYW5kIEluZmVjdGlvbjwvc2Vjb25kYXJ5LXRpdGxlPjwvdGl0bGVzPjxwZXJpb2RpY2FsPjxm
dWxsLXRpdGxlPkNsaW5pY2FsIE1pY3JvYmlvbG9neSBhbmQgSW5mZWN0aW9uPC9mdWxsLXRpdGxl
PjwvcGVyaW9kaWNhbD48cGFnZXM+MjY4LTI4MTwvcGFnZXM+PHZvbHVtZT4xODwvdm9sdW1lPjxu
dW1iZXI+MzwvbnVtYmVyPjxkYXRlcz48eWVhcj4yMDEyPC95ZWFyPjwvZGF0ZXM+PHVybHM+PHJl
bGF0ZWQtdXJscz48dXJsPmh0dHBzOi8vb25saW5lbGlicmFyeS53aWxleS5jb20vZG9pL2Ficy8x
MC4xMTExL2ouMTQ2OS0wNjkxLjIwMTEuMDM1NzAueDwvdXJsPjwvcmVsYXRlZC11cmxzPjwvdXJs
cz48ZWxlY3Ryb25pYy1yZXNvdXJjZS1udW0+ZG9pOjEwLjExMTEvai4xNDY5LTA2OTEuMjAxMS4w
MzU3MC54PC9lbGVjdHJvbmljLXJlc291cmNlLW51bT48L3JlY29yZD48L0NpdGU+PENpdGU+PEF1
dGhvcj5TaWV2ZXJ0PC9BdXRob3I+PFllYXI+MjAxNTwvWWVhcj48UmVjTnVtPjE1MjA8L1JlY051
bT48cmVjb3JkPjxyZWMtbnVtYmVyPjE1MjA8L3JlYy1udW1iZXI+PGZvcmVpZ24ta2V5cz48a2V5
IGFwcD0iRU4iIGRiLWlkPSJmcHBld2Z0cmwyMDA5b2V0d3o1cGVlZnRzeHhzZHhkc3AydHIiIHRp
bWVzdGFtcD0iMTUyNTcxNDcwNSI+MTUyMDwva2V5PjxrZXkgYXBwPSJFTldlYiIgZGItaWQ9IiI+
MDwva2V5PjwvZm9yZWlnbi1rZXlzPjxyZWYtdHlwZSBuYW1lPSJKb3VybmFsIEFydGljbGUiPjE3
PC9yZWYtdHlwZT48Y29udHJpYnV0b3JzPjxhdXRob3JzPjxhdXRob3I+U2lldmVydCwgRGF3biBN
LjwvYXV0aG9yPjxhdXRob3I+Umlja3MsIFBoaWxpcDwvYXV0aG9yPjxhdXRob3I+RWR3YXJkcywg
Sm9uYXRoYW4gUi48L2F1dGhvcj48YXV0aG9yPlNjaG5laWRlciwgQW15PC9hdXRob3I+PGF1dGhv
cj5QYXRlbCwgSmVhbjwvYXV0aG9yPjxhdXRob3I+U3Jpbml2YXNhbiwgQXJqdW48L2F1dGhvcj48
YXV0aG9yPkthbGxlbiwgQWxleDwvYXV0aG9yPjxhdXRob3I+TGltYmFnbywgQnJhbmRpPC9hdXRo
b3I+PGF1dGhvcj5Gcmlka2luLCBTY290dDwvYXV0aG9yPjwvYXV0aG9ycz48L2NvbnRyaWJ1dG9y
cz48dGl0bGVzPjx0aXRsZT5BbnRpbWljcm9iaWFsLVJlc2lzdGFudCBQYXRob2dlbnMgQXNzb2Np
YXRlZCB3aXRoIEhlYWx0aGNhcmUtQXNzb2NpYXRlZCBJbmZlY3Rpb25zIFN1bW1hcnkgb2YgRGF0
YSBSZXBvcnRlZCB0byB0aGUgTmF0aW9uYWwgSGVhbHRoY2FyZSBTYWZldHkgTmV0d29yayBhdCB0
aGUgQ2VudGVycyBmb3IgRGlzZWFzZSBDb250cm9sIGFuZCBQcmV2ZW50aW9uLCAyMDA54oCTMjAx
MDwvdGl0bGU+PHNlY29uZGFyeS10aXRsZT5JbmZlY3Rpb24gQ29udHJvbCAmYW1wOyN4MDAyNjsg
SG9zcGl0YWwgRXBpZGVtaW9sb2d5PC9zZWNvbmRhcnktdGl0bGU+PC90aXRsZXM+PHBlcmlvZGlj
YWw+PGZ1bGwtdGl0bGU+SW5mZWN0aW9uIENvbnRyb2wgJmFtcDsjeDAwMjY7IEhvc3BpdGFsIEVw
aWRlbWlvbG9neTwvZnVsbC10aXRsZT48L3BlcmlvZGljYWw+PHBhZ2VzPjEtMTQ8L3BhZ2VzPjx2
b2x1bWU+MzQ8L3ZvbHVtZT48bnVtYmVyPjE8L251bWJlcj48ZWRpdGlvbj4wMS8wMTwvZWRpdGlv
bj48ZGF0ZXM+PHllYXI+MjAxNTwveWVhcj48L2RhdGVzPjxwdWJsaXNoZXI+Q2FtYnJpZGdlIFVu
aXZlcnNpdHkgUHJlc3M8L3B1Ymxpc2hlcj48aXNibj4wODk5LTgyM1g8L2lzYm4+PHVybHM+PHJl
bGF0ZWQtdXJscz48dXJsPmh0dHBzOi8vd3d3LmNhbWJyaWRnZS5vcmcvY29yZS9hcnRpY2xlL2Fu
dGltaWNyb2JpYWxyZXNpc3RhbnQtcGF0aG9nZW5zLWFzc29jaWF0ZWQtd2l0aC1oZWFsdGhjYXJl
YXNzb2NpYXRlZC1pbmZlY3Rpb25zLXN1bW1hcnktb2YtZGF0YS1yZXBvcnRlZC10by10aGUtbmF0
aW9uYWwtaGVhbHRoY2FyZS1zYWZldHktbmV0d29yay1hdC10aGUtY2VudGVycy1mb3ItZGlzZWFz
ZS1jb250cm9sLWFuZC1wcmV2ZW50aW9uLTIwMDkyMDEwL0UwMTcxREEyQTNERjRDNjk2NzRCQUVD
QzdCMUI1MkQxPC91cmw+PC9yZWxhdGVkLXVybHM+PC91cmxzPjxlbGVjdHJvbmljLXJlc291cmNl
LW51bT4xMC4xMDg2LzY2ODc3MDwvZWxlY3Ryb25pYy1yZXNvdXJjZS1udW0+PHJlbW90ZS1kYXRh
YmFzZS1uYW1lPkNhbWJyaWRnZSBDb3JlPC9yZW1vdGUtZGF0YWJhc2UtbmFtZT48cmVtb3RlLWRh
dGFiYXNlLXByb3ZpZGVyPkNhbWJyaWRnZSBVbml2ZXJzaXR5IFByZXNzPC9yZW1vdGUtZGF0YWJh
c2UtcHJvdmlkZXI+PC9yZWNvcmQ+PC9DaXRlPjwvRW5kTm90ZT4A
</w:fldData>
              </w:fldChar>
            </w:r>
            <w:r w:rsidRPr="00407515">
              <w:rPr>
                <w:rFonts w:ascii="Times New Roman" w:hAnsi="Times New Roman" w:cs="Times New Roman"/>
                <w:sz w:val="24"/>
                <w:szCs w:val="24"/>
              </w:rPr>
              <w:instrText xml:space="preserve"> ADDIN EN.CITE </w:instrText>
            </w:r>
            <w:r w:rsidRPr="00407515">
              <w:rPr>
                <w:rFonts w:ascii="Times New Roman" w:hAnsi="Times New Roman" w:cs="Times New Roman"/>
                <w:sz w:val="24"/>
                <w:szCs w:val="24"/>
              </w:rPr>
              <w:fldChar w:fldCharType="begin">
                <w:fldData xml:space="preserve">PEVuZE5vdGU+PENpdGU+PEF1dGhvcj5BLuKAkFAuPC9BdXRob3I+PFllYXI+MjAxMjwvWWVhcj48
UmVjTnVtPjE1MjE8L1JlY051bT48RGlzcGxheVRleHQ+KDIwLCAyMSk8L0Rpc3BsYXlUZXh0Pjxy
ZWNvcmQ+PHJlYy1udW1iZXI+MTUyMTwvcmVjLW51bWJlcj48Zm9yZWlnbi1rZXlzPjxrZXkgYXBw
PSJFTiIgZGItaWQ9ImZwcGV3ZnRybDIwMDlvZXR3ejVwZWVmdHN4eHNkeGRzcDJ0ciIgdGltZXN0
YW1wPSIxNTI1NzE0ODc2Ij4xNTIxPC9rZXk+PGtleSBhcHA9IkVOV2ViIiBkYi1pZD0iIj4wPC9r
ZXk+PC9mb3JlaWduLWtleXM+PHJlZi10eXBlIG5hbWU9IkpvdXJuYWwgQXJ0aWNsZSI+MTc8L3Jl
Zi10eXBlPjxjb250cmlidXRvcnM+PGF1dGhvcnM+PGF1dGhvcj5NYWdpb3Jha29zIEEu4oCQUC48
L2F1dGhvcj48YXV0aG9yPlNyaW5pdmFzYW4gQS48L2F1dGhvcj48YXV0aG9yPkNhcmV5IFIuIEIu
PC9hdXRob3I+PGF1dGhvcj5DYXJtZWxpIFkuPC9hdXRob3I+PGF1dGhvcj5GYWxhZ2FzIE0uIEUu
PC9hdXRob3I+PGF1dGhvcj5HaXNrZSBDLiBHLjwvYXV0aG9yPjxhdXRob3I+SGFyYmFydGggUy48
L2F1dGhvcj48YXV0aG9yPkhpbmRsZXIgSi4gRi48L2F1dGhvcj48YXV0aG9yPkthaGxtZXRlciBH
LjwvYXV0aG9yPjxhdXRob3I+T2xzc29u4oCQTGlsamVxdWlzdCBCLjwvYXV0aG9yPjxhdXRob3I+
UGF0ZXJzb24gRC4gTC48L2F1dGhvcj48YXV0aG9yPlJpY2UgTC4gQi48L2F1dGhvcj48YXV0aG9y
PlN0ZWxsaW5nIEouPC9hdXRob3I+PGF1dGhvcj5TdHJ1ZWxlbnMgTS4gSi48L2F1dGhvcj48YXV0
aG9yPlZhdG9wb3Vsb3MgQS48L2F1dGhvcj48YXV0aG9yPldlYmVyIEouIFQuPC9hdXRob3I+PGF1
dGhvcj5Nb25uZXQgRC4gTC48L2F1dGhvcj48L2F1dGhvcnM+PC9jb250cmlidXRvcnM+PHRpdGxl
cz48dGl0bGU+TXVsdGlkcnVn4oCQcmVzaXN0YW50LCBleHRlbnNpdmVseSBkcnVn4oCQcmVzaXN0
YW50IGFuZCBwYW5kcnVn4oCQcmVzaXN0YW50IGJhY3RlcmlhOiBhbiBpbnRlcm5hdGlvbmFsIGV4
cGVydCBwcm9wb3NhbCBmb3IgaW50ZXJpbSBzdGFuZGFyZCBkZWZpbml0aW9ucyBmb3IgYWNxdWly
ZWQgcmVzaXN0YW5jZTwvdGl0bGU+PHNlY29uZGFyeS10aXRsZT5DbGluaWNhbCBNaWNyb2Jpb2xv
Z3kgYW5kIEluZmVjdGlvbjwvc2Vjb25kYXJ5LXRpdGxlPjwvdGl0bGVzPjxwZXJpb2RpY2FsPjxm
dWxsLXRpdGxlPkNsaW5pY2FsIE1pY3JvYmlvbG9neSBhbmQgSW5mZWN0aW9uPC9mdWxsLXRpdGxl
PjwvcGVyaW9kaWNhbD48cGFnZXM+MjY4LTI4MTwvcGFnZXM+PHZvbHVtZT4xODwvdm9sdW1lPjxu
dW1iZXI+MzwvbnVtYmVyPjxkYXRlcz48eWVhcj4yMDEyPC95ZWFyPjwvZGF0ZXM+PHVybHM+PHJl
bGF0ZWQtdXJscz48dXJsPmh0dHBzOi8vb25saW5lbGlicmFyeS53aWxleS5jb20vZG9pL2Ficy8x
MC4xMTExL2ouMTQ2OS0wNjkxLjIwMTEuMDM1NzAueDwvdXJsPjwvcmVsYXRlZC11cmxzPjwvdXJs
cz48ZWxlY3Ryb25pYy1yZXNvdXJjZS1udW0+ZG9pOjEwLjExMTEvai4xNDY5LTA2OTEuMjAxMS4w
MzU3MC54PC9lbGVjdHJvbmljLXJlc291cmNlLW51bT48L3JlY29yZD48L0NpdGU+PENpdGU+PEF1
dGhvcj5TaWV2ZXJ0PC9BdXRob3I+PFllYXI+MjAxNTwvWWVhcj48UmVjTnVtPjE1MjA8L1JlY051
bT48cmVjb3JkPjxyZWMtbnVtYmVyPjE1MjA8L3JlYy1udW1iZXI+PGZvcmVpZ24ta2V5cz48a2V5
IGFwcD0iRU4iIGRiLWlkPSJmcHBld2Z0cmwyMDA5b2V0d3o1cGVlZnRzeHhzZHhkc3AydHIiIHRp
bWVzdGFtcD0iMTUyNTcxNDcwNSI+MTUyMDwva2V5PjxrZXkgYXBwPSJFTldlYiIgZGItaWQ9IiI+
MDwva2V5PjwvZm9yZWlnbi1rZXlzPjxyZWYtdHlwZSBuYW1lPSJKb3VybmFsIEFydGljbGUiPjE3
PC9yZWYtdHlwZT48Y29udHJpYnV0b3JzPjxhdXRob3JzPjxhdXRob3I+U2lldmVydCwgRGF3biBN
LjwvYXV0aG9yPjxhdXRob3I+Umlja3MsIFBoaWxpcDwvYXV0aG9yPjxhdXRob3I+RWR3YXJkcywg
Sm9uYXRoYW4gUi48L2F1dGhvcj48YXV0aG9yPlNjaG5laWRlciwgQW15PC9hdXRob3I+PGF1dGhv
cj5QYXRlbCwgSmVhbjwvYXV0aG9yPjxhdXRob3I+U3Jpbml2YXNhbiwgQXJqdW48L2F1dGhvcj48
YXV0aG9yPkthbGxlbiwgQWxleDwvYXV0aG9yPjxhdXRob3I+TGltYmFnbywgQnJhbmRpPC9hdXRo
b3I+PGF1dGhvcj5Gcmlka2luLCBTY290dDwvYXV0aG9yPjwvYXV0aG9ycz48L2NvbnRyaWJ1dG9y
cz48dGl0bGVzPjx0aXRsZT5BbnRpbWljcm9iaWFsLVJlc2lzdGFudCBQYXRob2dlbnMgQXNzb2Np
YXRlZCB3aXRoIEhlYWx0aGNhcmUtQXNzb2NpYXRlZCBJbmZlY3Rpb25zIFN1bW1hcnkgb2YgRGF0
YSBSZXBvcnRlZCB0byB0aGUgTmF0aW9uYWwgSGVhbHRoY2FyZSBTYWZldHkgTmV0d29yayBhdCB0
aGUgQ2VudGVycyBmb3IgRGlzZWFzZSBDb250cm9sIGFuZCBQcmV2ZW50aW9uLCAyMDA54oCTMjAx
MDwvdGl0bGU+PHNlY29uZGFyeS10aXRsZT5JbmZlY3Rpb24gQ29udHJvbCAmYW1wOyN4MDAyNjsg
SG9zcGl0YWwgRXBpZGVtaW9sb2d5PC9zZWNvbmRhcnktdGl0bGU+PC90aXRsZXM+PHBlcmlvZGlj
YWw+PGZ1bGwtdGl0bGU+SW5mZWN0aW9uIENvbnRyb2wgJmFtcDsjeDAwMjY7IEhvc3BpdGFsIEVw
aWRlbWlvbG9neTwvZnVsbC10aXRsZT48L3BlcmlvZGljYWw+PHBhZ2VzPjEtMTQ8L3BhZ2VzPjx2
b2x1bWU+MzQ8L3ZvbHVtZT48bnVtYmVyPjE8L251bWJlcj48ZWRpdGlvbj4wMS8wMTwvZWRpdGlv
bj48ZGF0ZXM+PHllYXI+MjAxNTwveWVhcj48L2RhdGVzPjxwdWJsaXNoZXI+Q2FtYnJpZGdlIFVu
aXZlcnNpdHkgUHJlc3M8L3B1Ymxpc2hlcj48aXNibj4wODk5LTgyM1g8L2lzYm4+PHVybHM+PHJl
bGF0ZWQtdXJscz48dXJsPmh0dHBzOi8vd3d3LmNhbWJyaWRnZS5vcmcvY29yZS9hcnRpY2xlL2Fu
dGltaWNyb2JpYWxyZXNpc3RhbnQtcGF0aG9nZW5zLWFzc29jaWF0ZWQtd2l0aC1oZWFsdGhjYXJl
YXNzb2NpYXRlZC1pbmZlY3Rpb25zLXN1bW1hcnktb2YtZGF0YS1yZXBvcnRlZC10by10aGUtbmF0
aW9uYWwtaGVhbHRoY2FyZS1zYWZldHktbmV0d29yay1hdC10aGUtY2VudGVycy1mb3ItZGlzZWFz
ZS1jb250cm9sLWFuZC1wcmV2ZW50aW9uLTIwMDkyMDEwL0UwMTcxREEyQTNERjRDNjk2NzRCQUVD
QzdCMUI1MkQxPC91cmw+PC9yZWxhdGVkLXVybHM+PC91cmxzPjxlbGVjdHJvbmljLXJlc291cmNl
LW51bT4xMC4xMDg2LzY2ODc3MDwvZWxlY3Ryb25pYy1yZXNvdXJjZS1udW0+PHJlbW90ZS1kYXRh
YmFzZS1uYW1lPkNhbWJyaWRnZSBDb3JlPC9yZW1vdGUtZGF0YWJhc2UtbmFtZT48cmVtb3RlLWRh
dGFiYXNlLXByb3ZpZGVyPkNhbWJyaWRnZSBVbml2ZXJzaXR5IFByZXNzPC9yZW1vdGUtZGF0YWJh
c2UtcHJvdmlkZXI+PC9yZWNvcmQ+PC9DaXRlPjwvRW5kTm90ZT4A
</w:fldData>
              </w:fldChar>
            </w:r>
            <w:r w:rsidRPr="00407515">
              <w:rPr>
                <w:rFonts w:ascii="Times New Roman" w:hAnsi="Times New Roman" w:cs="Times New Roman"/>
                <w:sz w:val="24"/>
                <w:szCs w:val="24"/>
              </w:rPr>
              <w:instrText xml:space="preserve"> ADDIN EN.CITE.DATA </w:instrText>
            </w:r>
            <w:r w:rsidRPr="00407515">
              <w:rPr>
                <w:rFonts w:ascii="Times New Roman" w:hAnsi="Times New Roman" w:cs="Times New Roman"/>
                <w:sz w:val="24"/>
                <w:szCs w:val="24"/>
              </w:rPr>
            </w:r>
            <w:r w:rsidRPr="00407515">
              <w:rPr>
                <w:rFonts w:ascii="Times New Roman" w:hAnsi="Times New Roman" w:cs="Times New Roman"/>
                <w:sz w:val="24"/>
                <w:szCs w:val="24"/>
              </w:rPr>
              <w:fldChar w:fldCharType="end"/>
            </w:r>
            <w:r w:rsidRPr="00407515">
              <w:rPr>
                <w:rFonts w:ascii="Times New Roman" w:hAnsi="Times New Roman" w:cs="Times New Roman"/>
                <w:sz w:val="24"/>
                <w:szCs w:val="24"/>
              </w:rPr>
            </w:r>
            <w:r w:rsidRPr="00407515">
              <w:rPr>
                <w:rFonts w:ascii="Times New Roman" w:hAnsi="Times New Roman" w:cs="Times New Roman"/>
                <w:sz w:val="24"/>
                <w:szCs w:val="24"/>
              </w:rPr>
              <w:fldChar w:fldCharType="separate"/>
            </w:r>
            <w:r w:rsidRPr="00407515">
              <w:rPr>
                <w:rFonts w:ascii="Times New Roman" w:hAnsi="Times New Roman" w:cs="Times New Roman"/>
                <w:noProof/>
                <w:sz w:val="24"/>
                <w:szCs w:val="24"/>
              </w:rPr>
              <w:t>(20, 21)</w:t>
            </w:r>
            <w:r w:rsidRPr="00407515">
              <w:rPr>
                <w:rFonts w:ascii="Times New Roman" w:hAnsi="Times New Roman" w:cs="Times New Roman"/>
                <w:sz w:val="24"/>
                <w:szCs w:val="24"/>
              </w:rPr>
              <w:fldChar w:fldCharType="end"/>
            </w:r>
            <w:r w:rsidRPr="00407515">
              <w:rPr>
                <w:rFonts w:ascii="Times New Roman" w:hAnsi="Times New Roman" w:cs="Times New Roman"/>
                <w:sz w:val="24"/>
                <w:szCs w:val="24"/>
              </w:rPr>
              <w:t>, they are:</w:t>
            </w:r>
          </w:p>
          <w:p w:rsidR="000858F7" w:rsidRPr="00407515" w:rsidRDefault="000858F7" w:rsidP="000858F7">
            <w:pPr>
              <w:pStyle w:val="ListParagraph"/>
              <w:numPr>
                <w:ilvl w:val="0"/>
                <w:numId w:val="4"/>
              </w:numPr>
              <w:autoSpaceDE w:val="0"/>
              <w:autoSpaceDN w:val="0"/>
              <w:adjustRightInd w:val="0"/>
              <w:spacing w:after="160" w:line="480" w:lineRule="auto"/>
              <w:rPr>
                <w:rFonts w:ascii="Times New Roman" w:hAnsi="Times New Roman" w:cs="Times New Roman"/>
                <w:sz w:val="24"/>
                <w:szCs w:val="24"/>
              </w:rPr>
            </w:pPr>
            <w:r w:rsidRPr="00407515">
              <w:rPr>
                <w:rFonts w:ascii="Times New Roman" w:hAnsi="Times New Roman" w:cs="Times New Roman"/>
                <w:sz w:val="24"/>
                <w:szCs w:val="24"/>
              </w:rPr>
              <w:t xml:space="preserve">Extended-spectrum cephalosporin which included third and fourth generation cephalosporin (ceftriaxone or </w:t>
            </w:r>
            <w:proofErr w:type="spellStart"/>
            <w:r w:rsidRPr="00407515">
              <w:rPr>
                <w:rFonts w:ascii="Times New Roman" w:hAnsi="Times New Roman" w:cs="Times New Roman"/>
                <w:sz w:val="24"/>
                <w:szCs w:val="24"/>
              </w:rPr>
              <w:t>cefixime</w:t>
            </w:r>
            <w:proofErr w:type="spellEnd"/>
            <w:r w:rsidRPr="00407515">
              <w:rPr>
                <w:rFonts w:ascii="Times New Roman" w:hAnsi="Times New Roman" w:cs="Times New Roman"/>
                <w:sz w:val="24"/>
                <w:szCs w:val="24"/>
              </w:rPr>
              <w:t xml:space="preserve"> or cefotaxime or </w:t>
            </w:r>
            <w:proofErr w:type="spellStart"/>
            <w:r w:rsidRPr="00407515">
              <w:rPr>
                <w:rFonts w:ascii="Times New Roman" w:hAnsi="Times New Roman" w:cs="Times New Roman"/>
                <w:sz w:val="24"/>
                <w:szCs w:val="24"/>
              </w:rPr>
              <w:t>cefpodoxime</w:t>
            </w:r>
            <w:proofErr w:type="spellEnd"/>
            <w:r w:rsidRPr="00407515">
              <w:rPr>
                <w:rFonts w:ascii="Times New Roman" w:hAnsi="Times New Roman" w:cs="Times New Roman"/>
                <w:sz w:val="24"/>
                <w:szCs w:val="24"/>
              </w:rPr>
              <w:t xml:space="preserve"> or </w:t>
            </w:r>
            <w:proofErr w:type="spellStart"/>
            <w:r w:rsidRPr="00407515">
              <w:rPr>
                <w:rFonts w:ascii="Times New Roman" w:hAnsi="Times New Roman" w:cs="Times New Roman"/>
                <w:sz w:val="24"/>
                <w:szCs w:val="24"/>
              </w:rPr>
              <w:t>cefdinir</w:t>
            </w:r>
            <w:proofErr w:type="spellEnd"/>
            <w:r w:rsidRPr="00407515">
              <w:rPr>
                <w:rFonts w:ascii="Times New Roman" w:hAnsi="Times New Roman" w:cs="Times New Roman"/>
                <w:sz w:val="24"/>
                <w:szCs w:val="24"/>
              </w:rPr>
              <w:t xml:space="preserve"> or ceftazidime or </w:t>
            </w:r>
            <w:proofErr w:type="spellStart"/>
            <w:r w:rsidRPr="00407515">
              <w:rPr>
                <w:rFonts w:ascii="Times New Roman" w:hAnsi="Times New Roman" w:cs="Times New Roman"/>
                <w:sz w:val="24"/>
                <w:szCs w:val="24"/>
              </w:rPr>
              <w:t>cefepime</w:t>
            </w:r>
            <w:proofErr w:type="spellEnd"/>
            <w:r w:rsidRPr="00407515">
              <w:rPr>
                <w:rFonts w:ascii="Times New Roman" w:hAnsi="Times New Roman" w:cs="Times New Roman"/>
                <w:sz w:val="24"/>
                <w:szCs w:val="24"/>
              </w:rPr>
              <w:t>)</w:t>
            </w:r>
          </w:p>
          <w:p w:rsidR="000858F7" w:rsidRPr="00407515" w:rsidRDefault="000858F7" w:rsidP="000858F7">
            <w:pPr>
              <w:pStyle w:val="ListParagraph"/>
              <w:numPr>
                <w:ilvl w:val="0"/>
                <w:numId w:val="4"/>
              </w:numPr>
              <w:autoSpaceDE w:val="0"/>
              <w:autoSpaceDN w:val="0"/>
              <w:adjustRightInd w:val="0"/>
              <w:spacing w:after="160" w:line="480" w:lineRule="auto"/>
              <w:rPr>
                <w:rFonts w:ascii="Times New Roman" w:hAnsi="Times New Roman" w:cs="Times New Roman"/>
                <w:sz w:val="24"/>
                <w:szCs w:val="24"/>
              </w:rPr>
            </w:pPr>
            <w:r w:rsidRPr="00407515">
              <w:rPr>
                <w:rFonts w:ascii="Times New Roman" w:hAnsi="Times New Roman" w:cs="Times New Roman"/>
                <w:sz w:val="24"/>
                <w:szCs w:val="24"/>
              </w:rPr>
              <w:t>Fluoroquinolones included ciprofloxacin or levofloxacin (for E</w:t>
            </w:r>
            <w:r w:rsidRPr="00407515">
              <w:rPr>
                <w:rFonts w:ascii="Times New Roman" w:hAnsi="Times New Roman" w:cs="Times New Roman"/>
                <w:i/>
                <w:sz w:val="24"/>
                <w:szCs w:val="24"/>
              </w:rPr>
              <w:t>nterobacteriaceae</w:t>
            </w:r>
            <w:r w:rsidRPr="00407515">
              <w:rPr>
                <w:rFonts w:ascii="Times New Roman" w:hAnsi="Times New Roman" w:cs="Times New Roman"/>
                <w:sz w:val="24"/>
                <w:szCs w:val="24"/>
              </w:rPr>
              <w:t xml:space="preserve"> only ciprofloxacin was included base on the literature ) </w:t>
            </w:r>
          </w:p>
          <w:p w:rsidR="000858F7" w:rsidRPr="00407515" w:rsidRDefault="000858F7" w:rsidP="000858F7">
            <w:pPr>
              <w:pStyle w:val="ListParagraph"/>
              <w:numPr>
                <w:ilvl w:val="0"/>
                <w:numId w:val="4"/>
              </w:numPr>
              <w:autoSpaceDE w:val="0"/>
              <w:autoSpaceDN w:val="0"/>
              <w:adjustRightInd w:val="0"/>
              <w:spacing w:after="160" w:line="480" w:lineRule="auto"/>
              <w:rPr>
                <w:rFonts w:ascii="Times New Roman" w:hAnsi="Times New Roman" w:cs="Times New Roman"/>
                <w:sz w:val="24"/>
                <w:szCs w:val="24"/>
              </w:rPr>
            </w:pPr>
            <w:r w:rsidRPr="00407515">
              <w:rPr>
                <w:rFonts w:ascii="Times New Roman" w:hAnsi="Times New Roman" w:cs="Times New Roman"/>
                <w:sz w:val="24"/>
                <w:szCs w:val="24"/>
              </w:rPr>
              <w:t>Aminoglycosides includes amikacin or gentamycin or tobramycin</w:t>
            </w:r>
          </w:p>
          <w:p w:rsidR="000858F7" w:rsidRPr="00407515" w:rsidRDefault="000858F7" w:rsidP="000858F7">
            <w:pPr>
              <w:pStyle w:val="ListParagraph"/>
              <w:numPr>
                <w:ilvl w:val="0"/>
                <w:numId w:val="4"/>
              </w:numPr>
              <w:autoSpaceDE w:val="0"/>
              <w:autoSpaceDN w:val="0"/>
              <w:adjustRightInd w:val="0"/>
              <w:spacing w:after="160" w:line="480" w:lineRule="auto"/>
              <w:rPr>
                <w:rFonts w:ascii="Times New Roman" w:hAnsi="Times New Roman" w:cs="Times New Roman"/>
                <w:sz w:val="24"/>
                <w:szCs w:val="24"/>
              </w:rPr>
            </w:pPr>
            <w:r w:rsidRPr="00407515">
              <w:rPr>
                <w:rFonts w:ascii="Times New Roman" w:hAnsi="Times New Roman" w:cs="Times New Roman"/>
                <w:sz w:val="24"/>
                <w:szCs w:val="24"/>
              </w:rPr>
              <w:lastRenderedPageBreak/>
              <w:t xml:space="preserve">Carbapenems included </w:t>
            </w:r>
            <w:proofErr w:type="spellStart"/>
            <w:r w:rsidRPr="00407515">
              <w:rPr>
                <w:rFonts w:ascii="Times New Roman" w:hAnsi="Times New Roman" w:cs="Times New Roman"/>
                <w:sz w:val="24"/>
                <w:szCs w:val="24"/>
              </w:rPr>
              <w:t>doripenem</w:t>
            </w:r>
            <w:proofErr w:type="spellEnd"/>
            <w:r w:rsidRPr="00407515">
              <w:rPr>
                <w:rFonts w:ascii="Times New Roman" w:hAnsi="Times New Roman" w:cs="Times New Roman"/>
                <w:sz w:val="24"/>
                <w:szCs w:val="24"/>
              </w:rPr>
              <w:t xml:space="preserve">, imipenem, </w:t>
            </w:r>
            <w:proofErr w:type="spellStart"/>
            <w:r w:rsidRPr="00407515">
              <w:rPr>
                <w:rFonts w:ascii="Times New Roman" w:hAnsi="Times New Roman" w:cs="Times New Roman"/>
                <w:sz w:val="24"/>
                <w:szCs w:val="24"/>
              </w:rPr>
              <w:t>ertapenem</w:t>
            </w:r>
            <w:proofErr w:type="spellEnd"/>
            <w:r w:rsidRPr="00407515">
              <w:rPr>
                <w:rFonts w:ascii="Times New Roman" w:hAnsi="Times New Roman" w:cs="Times New Roman"/>
                <w:sz w:val="24"/>
                <w:szCs w:val="24"/>
              </w:rPr>
              <w:t xml:space="preserve">, </w:t>
            </w:r>
            <w:proofErr w:type="spellStart"/>
            <w:r w:rsidRPr="00407515">
              <w:rPr>
                <w:rFonts w:ascii="Times New Roman" w:hAnsi="Times New Roman" w:cs="Times New Roman"/>
                <w:sz w:val="24"/>
                <w:szCs w:val="24"/>
              </w:rPr>
              <w:t>meropenem</w:t>
            </w:r>
            <w:proofErr w:type="spellEnd"/>
          </w:p>
          <w:p w:rsidR="000858F7" w:rsidRPr="00407515" w:rsidRDefault="000858F7" w:rsidP="000858F7">
            <w:pPr>
              <w:pStyle w:val="ListParagraph"/>
              <w:numPr>
                <w:ilvl w:val="0"/>
                <w:numId w:val="4"/>
              </w:numPr>
              <w:autoSpaceDE w:val="0"/>
              <w:autoSpaceDN w:val="0"/>
              <w:adjustRightInd w:val="0"/>
              <w:spacing w:after="160" w:line="480" w:lineRule="auto"/>
              <w:rPr>
                <w:rFonts w:ascii="Times New Roman" w:hAnsi="Times New Roman" w:cs="Times New Roman"/>
                <w:sz w:val="24"/>
                <w:szCs w:val="24"/>
              </w:rPr>
            </w:pPr>
            <w:r w:rsidRPr="00407515">
              <w:rPr>
                <w:rFonts w:ascii="Times New Roman" w:hAnsi="Times New Roman" w:cs="Times New Roman"/>
                <w:sz w:val="24"/>
                <w:szCs w:val="24"/>
              </w:rPr>
              <w:t>Piperacillin or piperacillin/</w:t>
            </w:r>
            <w:proofErr w:type="spellStart"/>
            <w:r w:rsidRPr="00407515">
              <w:rPr>
                <w:rFonts w:ascii="Times New Roman" w:hAnsi="Times New Roman" w:cs="Times New Roman"/>
                <w:sz w:val="24"/>
                <w:szCs w:val="24"/>
              </w:rPr>
              <w:t>tazobactam</w:t>
            </w:r>
            <w:proofErr w:type="spellEnd"/>
            <w:r w:rsidRPr="00407515">
              <w:rPr>
                <w:rFonts w:ascii="Times New Roman" w:hAnsi="Times New Roman" w:cs="Times New Roman"/>
                <w:sz w:val="24"/>
                <w:szCs w:val="24"/>
              </w:rPr>
              <w:t xml:space="preserve">. </w:t>
            </w:r>
          </w:p>
          <w:p w:rsidR="000858F7" w:rsidRPr="00407515" w:rsidRDefault="000858F7" w:rsidP="00033936">
            <w:pPr>
              <w:autoSpaceDE w:val="0"/>
              <w:autoSpaceDN w:val="0"/>
              <w:adjustRightInd w:val="0"/>
              <w:spacing w:line="480" w:lineRule="auto"/>
              <w:rPr>
                <w:rFonts w:ascii="Times New Roman" w:hAnsi="Times New Roman" w:cs="Times New Roman"/>
                <w:sz w:val="24"/>
                <w:szCs w:val="24"/>
              </w:rPr>
            </w:pPr>
            <w:r w:rsidRPr="00407515">
              <w:rPr>
                <w:rFonts w:ascii="Times New Roman" w:hAnsi="Times New Roman" w:cs="Times New Roman"/>
                <w:sz w:val="24"/>
                <w:szCs w:val="24"/>
              </w:rPr>
              <w:t xml:space="preserve">Pathogens with intrinsic resistance to antimicrobial agent or categories were excluded before MDR was calculated. For example, </w:t>
            </w:r>
            <w:r w:rsidRPr="00407515">
              <w:rPr>
                <w:rFonts w:ascii="Times New Roman" w:hAnsi="Times New Roman" w:cs="Times New Roman"/>
                <w:i/>
                <w:sz w:val="24"/>
                <w:szCs w:val="24"/>
              </w:rPr>
              <w:t>Providencia</w:t>
            </w:r>
            <w:r w:rsidRPr="00407515">
              <w:rPr>
                <w:rFonts w:ascii="Times New Roman" w:hAnsi="Times New Roman" w:cs="Times New Roman"/>
                <w:sz w:val="24"/>
                <w:szCs w:val="24"/>
              </w:rPr>
              <w:t xml:space="preserve"> </w:t>
            </w:r>
            <w:proofErr w:type="spellStart"/>
            <w:r w:rsidRPr="00407515">
              <w:rPr>
                <w:rFonts w:ascii="Times New Roman" w:hAnsi="Times New Roman" w:cs="Times New Roman"/>
                <w:i/>
                <w:sz w:val="24"/>
                <w:szCs w:val="24"/>
              </w:rPr>
              <w:t>Rettgeri</w:t>
            </w:r>
            <w:proofErr w:type="spellEnd"/>
            <w:r w:rsidRPr="00407515">
              <w:rPr>
                <w:rFonts w:ascii="Times New Roman" w:hAnsi="Times New Roman" w:cs="Times New Roman"/>
                <w:i/>
                <w:sz w:val="24"/>
                <w:szCs w:val="24"/>
              </w:rPr>
              <w:t xml:space="preserve">, Providencia </w:t>
            </w:r>
            <w:proofErr w:type="spellStart"/>
            <w:r w:rsidRPr="00407515">
              <w:rPr>
                <w:rFonts w:ascii="Times New Roman" w:hAnsi="Times New Roman" w:cs="Times New Roman"/>
                <w:i/>
                <w:sz w:val="24"/>
                <w:szCs w:val="24"/>
              </w:rPr>
              <w:t>Stuartii</w:t>
            </w:r>
            <w:proofErr w:type="spellEnd"/>
            <w:r w:rsidRPr="00407515">
              <w:rPr>
                <w:rFonts w:ascii="Times New Roman" w:hAnsi="Times New Roman" w:cs="Times New Roman"/>
                <w:sz w:val="24"/>
                <w:szCs w:val="24"/>
              </w:rPr>
              <w:t xml:space="preserve"> are intrinsic resistance to gentamycin and tobramycin hence were deleted before MDR was calculated for </w:t>
            </w:r>
            <w:r w:rsidRPr="00407515">
              <w:rPr>
                <w:rFonts w:ascii="Times New Roman" w:hAnsi="Times New Roman" w:cs="Times New Roman"/>
                <w:i/>
                <w:sz w:val="24"/>
                <w:szCs w:val="24"/>
              </w:rPr>
              <w:t>Enterobacteriaceae.</w:t>
            </w:r>
            <w:r w:rsidRPr="00407515">
              <w:rPr>
                <w:rFonts w:ascii="Times New Roman" w:hAnsi="Times New Roman" w:cs="Times New Roman"/>
                <w:sz w:val="24"/>
                <w:szCs w:val="24"/>
              </w:rPr>
              <w:t xml:space="preserve"> </w:t>
            </w:r>
          </w:p>
        </w:tc>
      </w:tr>
    </w:tbl>
    <w:p w:rsidR="00055214" w:rsidRDefault="00055214"/>
    <w:sectPr w:rsidR="000552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03A59"/>
    <w:multiLevelType w:val="hybridMultilevel"/>
    <w:tmpl w:val="D6AC441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0FD09B6"/>
    <w:multiLevelType w:val="hybridMultilevel"/>
    <w:tmpl w:val="22E89F38"/>
    <w:lvl w:ilvl="0" w:tplc="D7988530">
      <w:start w:val="1"/>
      <w:numFmt w:val="lowerRoman"/>
      <w:lvlText w:val="(%1)"/>
      <w:lvlJc w:val="left"/>
      <w:pPr>
        <w:ind w:left="780" w:hanging="72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 w15:restartNumberingAfterBreak="0">
    <w:nsid w:val="59782681"/>
    <w:multiLevelType w:val="multilevel"/>
    <w:tmpl w:val="AD9E34F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DC91A23"/>
    <w:multiLevelType w:val="hybridMultilevel"/>
    <w:tmpl w:val="9A589038"/>
    <w:lvl w:ilvl="0" w:tplc="7B7E1510">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F7"/>
    <w:rsid w:val="00055214"/>
    <w:rsid w:val="000858F7"/>
    <w:rsid w:val="009D6487"/>
    <w:rsid w:val="00DE3E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8B95D-FB65-4FDD-BD32-5324430A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F7"/>
    <w:pPr>
      <w:spacing w:after="0" w:line="240" w:lineRule="auto"/>
    </w:pPr>
    <w:rPr>
      <w:lang w:val="en-US"/>
    </w:rPr>
  </w:style>
  <w:style w:type="paragraph" w:styleId="Heading2">
    <w:name w:val="heading 2"/>
    <w:basedOn w:val="Normal"/>
    <w:next w:val="Normal"/>
    <w:link w:val="Heading2Char"/>
    <w:uiPriority w:val="9"/>
    <w:unhideWhenUsed/>
    <w:qFormat/>
    <w:rsid w:val="009D6487"/>
    <w:pPr>
      <w:keepNext/>
      <w:keepLines/>
      <w:numPr>
        <w:numId w:val="2"/>
      </w:numPr>
      <w:spacing w:before="120" w:after="120" w:line="360" w:lineRule="auto"/>
      <w:ind w:hanging="360"/>
      <w:jc w:val="both"/>
      <w:outlineLvl w:val="1"/>
    </w:pPr>
    <w:rPr>
      <w:rFonts w:asciiTheme="majorHAnsi" w:eastAsiaTheme="majorEastAsia" w:hAnsiTheme="majorHAnsi" w:cstheme="majorBidi"/>
      <w:b/>
      <w:i/>
      <w:color w:val="000000" w:themeColor="text1"/>
      <w:sz w:val="24"/>
      <w:szCs w:val="2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6487"/>
    <w:rPr>
      <w:rFonts w:asciiTheme="majorHAnsi" w:eastAsiaTheme="majorEastAsia" w:hAnsiTheme="majorHAnsi" w:cstheme="majorBidi"/>
      <w:b/>
      <w:i/>
      <w:color w:val="000000" w:themeColor="text1"/>
      <w:sz w:val="24"/>
      <w:szCs w:val="26"/>
      <w:lang w:eastAsia="en-IE"/>
    </w:rPr>
  </w:style>
  <w:style w:type="paragraph" w:styleId="ListParagraph">
    <w:name w:val="List Paragraph"/>
    <w:basedOn w:val="Normal"/>
    <w:uiPriority w:val="34"/>
    <w:qFormat/>
    <w:rsid w:val="000858F7"/>
    <w:pPr>
      <w:ind w:left="720"/>
      <w:contextualSpacing/>
    </w:pPr>
  </w:style>
  <w:style w:type="table" w:styleId="TableGrid">
    <w:name w:val="Table Grid"/>
    <w:basedOn w:val="TableNormal"/>
    <w:uiPriority w:val="39"/>
    <w:rsid w:val="000858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TANDAN, MEERA</dc:creator>
  <cp:keywords/>
  <dc:description/>
  <cp:lastModifiedBy>TANDAN, MEERA</cp:lastModifiedBy>
  <cp:revision>2</cp:revision>
  <dcterms:created xsi:type="dcterms:W3CDTF">2018-09-04T13:10:00Z</dcterms:created>
  <dcterms:modified xsi:type="dcterms:W3CDTF">2018-09-04T13:10:00Z</dcterms:modified>
</cp:coreProperties>
</file>