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B6" w:rsidRPr="00C46298" w:rsidRDefault="00DA2CB6" w:rsidP="00DA2CB6">
      <w:pPr>
        <w:spacing w:line="240" w:lineRule="auto"/>
        <w:rPr>
          <w:rFonts w:ascii="Times New Roman" w:eastAsia="Times New Roman" w:hAnsi="Times New Roman"/>
          <w:b/>
          <w:sz w:val="24"/>
          <w:szCs w:val="24"/>
        </w:rPr>
      </w:pPr>
      <w:r w:rsidRPr="00C46298">
        <w:rPr>
          <w:rFonts w:ascii="Times New Roman" w:eastAsia="Times New Roman" w:hAnsi="Times New Roman"/>
          <w:b/>
          <w:sz w:val="24"/>
          <w:szCs w:val="24"/>
        </w:rPr>
        <w:t>Appendix A: Incubation Periods for HAVI Surveillance</w:t>
      </w:r>
    </w:p>
    <w:p w:rsidR="00DA2CB6" w:rsidRPr="00C46298" w:rsidRDefault="00DA2CB6" w:rsidP="00DA2CB6">
      <w:pPr>
        <w:spacing w:line="240" w:lineRule="auto"/>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3618"/>
        <w:gridCol w:w="2970"/>
      </w:tblGrid>
      <w:tr w:rsidR="00DA2CB6" w:rsidRPr="00C46298" w:rsidTr="00242AE3">
        <w:tc>
          <w:tcPr>
            <w:tcW w:w="3618" w:type="dxa"/>
          </w:tcPr>
          <w:p w:rsidR="00DA2CB6" w:rsidRPr="00C46298" w:rsidRDefault="00DA2CB6" w:rsidP="00242AE3">
            <w:pPr>
              <w:rPr>
                <w:rFonts w:ascii="Times New Roman" w:eastAsia="Times New Roman" w:hAnsi="Times New Roman"/>
                <w:b/>
                <w:sz w:val="24"/>
                <w:szCs w:val="24"/>
              </w:rPr>
            </w:pPr>
            <w:r w:rsidRPr="00C46298">
              <w:rPr>
                <w:rFonts w:ascii="Times New Roman" w:eastAsia="Times New Roman" w:hAnsi="Times New Roman"/>
                <w:b/>
                <w:sz w:val="24"/>
                <w:szCs w:val="24"/>
              </w:rPr>
              <w:t>Organism</w:t>
            </w:r>
          </w:p>
        </w:tc>
        <w:tc>
          <w:tcPr>
            <w:tcW w:w="2970" w:type="dxa"/>
          </w:tcPr>
          <w:p w:rsidR="00DA2CB6" w:rsidRPr="00C46298" w:rsidRDefault="00DA2CB6" w:rsidP="00242AE3">
            <w:pPr>
              <w:jc w:val="center"/>
              <w:rPr>
                <w:rFonts w:ascii="Times New Roman" w:eastAsia="Times New Roman" w:hAnsi="Times New Roman"/>
                <w:b/>
                <w:sz w:val="24"/>
                <w:szCs w:val="24"/>
              </w:rPr>
            </w:pPr>
            <w:r w:rsidRPr="00C46298">
              <w:rPr>
                <w:rFonts w:ascii="Times New Roman" w:eastAsia="Times New Roman" w:hAnsi="Times New Roman"/>
                <w:b/>
                <w:sz w:val="24"/>
                <w:szCs w:val="24"/>
              </w:rPr>
              <w:t xml:space="preserve">Incubation Period for </w:t>
            </w:r>
            <w:r>
              <w:rPr>
                <w:rFonts w:ascii="Times New Roman" w:eastAsia="Times New Roman" w:hAnsi="Times New Roman"/>
                <w:b/>
                <w:sz w:val="24"/>
                <w:szCs w:val="24"/>
              </w:rPr>
              <w:br/>
            </w:r>
            <w:r w:rsidRPr="00C46298">
              <w:rPr>
                <w:rFonts w:ascii="Times New Roman" w:eastAsia="Times New Roman" w:hAnsi="Times New Roman"/>
                <w:b/>
                <w:sz w:val="24"/>
                <w:szCs w:val="24"/>
              </w:rPr>
              <w:t xml:space="preserve">HAI </w:t>
            </w:r>
            <w:proofErr w:type="spellStart"/>
            <w:r w:rsidRPr="00C46298">
              <w:rPr>
                <w:rFonts w:ascii="Times New Roman" w:eastAsia="Times New Roman" w:hAnsi="Times New Roman"/>
                <w:b/>
                <w:sz w:val="24"/>
                <w:szCs w:val="24"/>
              </w:rPr>
              <w:t>Surveillance</w:t>
            </w:r>
            <w:r w:rsidR="00480CBD">
              <w:rPr>
                <w:rFonts w:ascii="Times New Roman" w:eastAsia="Times New Roman" w:hAnsi="Times New Roman"/>
                <w:b/>
                <w:sz w:val="24"/>
                <w:szCs w:val="24"/>
                <w:vertAlign w:val="superscript"/>
              </w:rPr>
              <w:t>a</w:t>
            </w:r>
            <w:proofErr w:type="spellEnd"/>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Adenovirus</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8 days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proofErr w:type="spellStart"/>
            <w:r w:rsidRPr="00C46298">
              <w:rPr>
                <w:rFonts w:ascii="Times New Roman" w:eastAsia="Times New Roman" w:hAnsi="Times New Roman"/>
                <w:sz w:val="24"/>
                <w:szCs w:val="24"/>
              </w:rPr>
              <w:t>Astrovirus</w:t>
            </w:r>
            <w:proofErr w:type="spellEnd"/>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48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Coronavirus</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72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 xml:space="preserve">Human </w:t>
            </w:r>
            <w:proofErr w:type="spellStart"/>
            <w:r w:rsidRPr="00C46298">
              <w:rPr>
                <w:rFonts w:ascii="Times New Roman" w:eastAsia="Times New Roman" w:hAnsi="Times New Roman"/>
                <w:sz w:val="24"/>
                <w:szCs w:val="24"/>
              </w:rPr>
              <w:t>Metapneumovirus</w:t>
            </w:r>
            <w:proofErr w:type="spellEnd"/>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96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Influenza</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72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Norovirus</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48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Parainfluenza</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120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Respiratory Syncytial Virus (RSV)</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120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Rhinovirus</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96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r w:rsidRPr="00C46298">
              <w:rPr>
                <w:rFonts w:ascii="Times New Roman" w:eastAsia="Times New Roman" w:hAnsi="Times New Roman"/>
                <w:sz w:val="24"/>
                <w:szCs w:val="24"/>
              </w:rPr>
              <w:t>Rotavirus</w:t>
            </w:r>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48 hours after admission</w:t>
            </w:r>
          </w:p>
        </w:tc>
      </w:tr>
      <w:tr w:rsidR="00DA2CB6" w:rsidRPr="00C46298" w:rsidTr="00242AE3">
        <w:tc>
          <w:tcPr>
            <w:tcW w:w="3618" w:type="dxa"/>
          </w:tcPr>
          <w:p w:rsidR="00DA2CB6" w:rsidRPr="00C46298" w:rsidRDefault="00DA2CB6" w:rsidP="00242AE3">
            <w:pPr>
              <w:rPr>
                <w:rFonts w:ascii="Times New Roman" w:eastAsia="Times New Roman" w:hAnsi="Times New Roman"/>
                <w:sz w:val="24"/>
                <w:szCs w:val="24"/>
              </w:rPr>
            </w:pPr>
            <w:proofErr w:type="spellStart"/>
            <w:r w:rsidRPr="00C46298">
              <w:rPr>
                <w:rFonts w:ascii="Times New Roman" w:eastAsia="Times New Roman" w:hAnsi="Times New Roman"/>
                <w:sz w:val="24"/>
                <w:szCs w:val="24"/>
              </w:rPr>
              <w:t>Sapovirus</w:t>
            </w:r>
            <w:proofErr w:type="spellEnd"/>
          </w:p>
        </w:tc>
        <w:tc>
          <w:tcPr>
            <w:tcW w:w="2970" w:type="dxa"/>
          </w:tcPr>
          <w:p w:rsidR="00DA2CB6" w:rsidRPr="00C46298" w:rsidRDefault="00DA2CB6" w:rsidP="00242AE3">
            <w:pPr>
              <w:jc w:val="center"/>
              <w:rPr>
                <w:rFonts w:ascii="Times New Roman" w:eastAsia="Times New Roman" w:hAnsi="Times New Roman"/>
                <w:sz w:val="24"/>
                <w:szCs w:val="24"/>
              </w:rPr>
            </w:pPr>
            <w:r w:rsidRPr="00C46298">
              <w:rPr>
                <w:rFonts w:ascii="Times New Roman" w:eastAsia="Times New Roman" w:hAnsi="Times New Roman"/>
                <w:sz w:val="24"/>
                <w:szCs w:val="24"/>
              </w:rPr>
              <w:t>48 hours after admission</w:t>
            </w:r>
          </w:p>
        </w:tc>
      </w:tr>
    </w:tbl>
    <w:p w:rsidR="00DA2CB6" w:rsidRPr="00C46298" w:rsidRDefault="00DA2CB6" w:rsidP="00DA2CB6">
      <w:pPr>
        <w:spacing w:line="240" w:lineRule="auto"/>
        <w:rPr>
          <w:rFonts w:ascii="Times New Roman" w:eastAsia="Times New Roman" w:hAnsi="Times New Roman"/>
          <w:b/>
          <w:sz w:val="24"/>
          <w:szCs w:val="24"/>
        </w:rPr>
      </w:pPr>
    </w:p>
    <w:p w:rsidR="00DA2CB6" w:rsidRPr="00C46298" w:rsidRDefault="00480CBD" w:rsidP="00DA2CB6">
      <w:pPr>
        <w:rPr>
          <w:rFonts w:ascii="Times New Roman" w:hAnsi="Times New Roman"/>
          <w:sz w:val="24"/>
          <w:szCs w:val="24"/>
        </w:rPr>
      </w:pPr>
      <w:proofErr w:type="spellStart"/>
      <w:proofErr w:type="gramStart"/>
      <w:r w:rsidRPr="00480CBD">
        <w:rPr>
          <w:rFonts w:ascii="Times New Roman" w:hAnsi="Times New Roman"/>
          <w:sz w:val="24"/>
          <w:szCs w:val="24"/>
          <w:vertAlign w:val="superscript"/>
        </w:rPr>
        <w:t>a</w:t>
      </w:r>
      <w:r w:rsidR="00403866">
        <w:rPr>
          <w:rFonts w:ascii="Times New Roman" w:hAnsi="Times New Roman"/>
          <w:sz w:val="24"/>
          <w:szCs w:val="24"/>
        </w:rPr>
        <w:t>Infections</w:t>
      </w:r>
      <w:proofErr w:type="spellEnd"/>
      <w:proofErr w:type="gramEnd"/>
      <w:r w:rsidR="00403866">
        <w:rPr>
          <w:rFonts w:ascii="Times New Roman" w:hAnsi="Times New Roman"/>
          <w:sz w:val="24"/>
          <w:szCs w:val="24"/>
        </w:rPr>
        <w:t xml:space="preserve"> are called using </w:t>
      </w:r>
      <w:r w:rsidR="006F44B3">
        <w:rPr>
          <w:rFonts w:ascii="Times New Roman" w:hAnsi="Times New Roman"/>
          <w:sz w:val="24"/>
          <w:szCs w:val="24"/>
        </w:rPr>
        <w:t xml:space="preserve">mean incubation periods according to the Red Book; however, to be considered hospital-acquired per NHSN definitions, </w:t>
      </w:r>
      <w:r w:rsidR="00403866">
        <w:rPr>
          <w:rFonts w:ascii="Times New Roman" w:hAnsi="Times New Roman"/>
          <w:sz w:val="24"/>
          <w:szCs w:val="24"/>
        </w:rPr>
        <w:t>incubation</w:t>
      </w:r>
      <w:r w:rsidR="006F44B3">
        <w:rPr>
          <w:rFonts w:ascii="Times New Roman" w:hAnsi="Times New Roman"/>
          <w:sz w:val="24"/>
          <w:szCs w:val="24"/>
        </w:rPr>
        <w:t xml:space="preserve"> periods must be longer than 2 </w:t>
      </w:r>
      <w:r w:rsidR="00403866">
        <w:rPr>
          <w:rFonts w:ascii="Times New Roman" w:hAnsi="Times New Roman"/>
          <w:sz w:val="24"/>
          <w:szCs w:val="24"/>
        </w:rPr>
        <w:t>full days.</w:t>
      </w:r>
      <w:r w:rsidR="00DA2CB6" w:rsidRPr="00C46298">
        <w:rPr>
          <w:rFonts w:ascii="Times New Roman" w:hAnsi="Times New Roman"/>
          <w:sz w:val="24"/>
          <w:szCs w:val="24"/>
        </w:rPr>
        <w:t xml:space="preserve"> </w:t>
      </w:r>
      <w:r w:rsidR="00DA2CB6">
        <w:rPr>
          <w:rFonts w:ascii="Times New Roman" w:hAnsi="Times New Roman"/>
          <w:sz w:val="24"/>
          <w:szCs w:val="24"/>
        </w:rPr>
        <w:br/>
      </w: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Appendix B: Visitor Screening Script</w:t>
      </w:r>
    </w:p>
    <w:p w:rsidR="00DA2CB6" w:rsidRDefault="00DA2CB6" w:rsidP="00DA2CB6">
      <w:pPr>
        <w:spacing w:line="240" w:lineRule="auto"/>
        <w:rPr>
          <w:rFonts w:ascii="Times New Roman" w:eastAsia="Times New Roman" w:hAnsi="Times New Roman"/>
          <w:b/>
          <w:sz w:val="24"/>
          <w:szCs w:val="24"/>
        </w:rPr>
      </w:pPr>
    </w:p>
    <w:p w:rsidR="00DA2CB6" w:rsidRPr="00B96853" w:rsidRDefault="00DA2CB6" w:rsidP="00DA2CB6">
      <w:pPr>
        <w:jc w:val="center"/>
        <w:rPr>
          <w:rFonts w:ascii="Times New Roman" w:hAnsi="Times New Roman"/>
          <w:b/>
          <w:sz w:val="24"/>
          <w:szCs w:val="24"/>
        </w:rPr>
      </w:pPr>
      <w:r w:rsidRPr="00B96853">
        <w:rPr>
          <w:rFonts w:ascii="Times New Roman" w:hAnsi="Times New Roman"/>
          <w:b/>
          <w:sz w:val="24"/>
          <w:szCs w:val="24"/>
        </w:rPr>
        <w:t>Visitor Screening Instructions</w:t>
      </w:r>
    </w:p>
    <w:p w:rsidR="00DA2CB6" w:rsidRPr="00B96853" w:rsidRDefault="00DA2CB6" w:rsidP="00DA2CB6">
      <w:pPr>
        <w:rPr>
          <w:rFonts w:ascii="Times New Roman" w:hAnsi="Times New Roman"/>
          <w:b/>
          <w:sz w:val="24"/>
          <w:szCs w:val="24"/>
          <w:u w:val="single"/>
        </w:rPr>
      </w:pPr>
      <w:r w:rsidRPr="00B96853">
        <w:rPr>
          <w:rFonts w:ascii="Times New Roman" w:hAnsi="Times New Roman"/>
          <w:b/>
          <w:sz w:val="24"/>
          <w:szCs w:val="24"/>
          <w:u w:val="single"/>
        </w:rPr>
        <w:t>Why we screen visitors:</w:t>
      </w:r>
    </w:p>
    <w:p w:rsidR="00DA2CB6" w:rsidRPr="00B96853" w:rsidRDefault="00DA2CB6" w:rsidP="00DA2CB6">
      <w:pPr>
        <w:rPr>
          <w:rFonts w:ascii="Times New Roman" w:hAnsi="Times New Roman"/>
          <w:sz w:val="24"/>
          <w:szCs w:val="24"/>
        </w:rPr>
      </w:pPr>
      <w:r w:rsidRPr="00B96853">
        <w:rPr>
          <w:rFonts w:ascii="Times New Roman" w:hAnsi="Times New Roman"/>
          <w:sz w:val="24"/>
          <w:szCs w:val="24"/>
        </w:rPr>
        <w:t>For the safety of our patients, it is necessary to screen visitors for signs of viral illness all year round. In doing so, we can reduce the transmission of infectious diseases to our patients.</w:t>
      </w:r>
    </w:p>
    <w:p w:rsidR="00DA2CB6" w:rsidRPr="00B96853" w:rsidRDefault="00DA2CB6" w:rsidP="00DA2CB6">
      <w:pPr>
        <w:rPr>
          <w:rFonts w:ascii="Times New Roman" w:hAnsi="Times New Roman"/>
          <w:b/>
          <w:sz w:val="24"/>
          <w:szCs w:val="24"/>
          <w:u w:val="single"/>
        </w:rPr>
      </w:pPr>
      <w:r w:rsidRPr="00B96853">
        <w:rPr>
          <w:rFonts w:ascii="Times New Roman" w:hAnsi="Times New Roman"/>
          <w:b/>
          <w:sz w:val="24"/>
          <w:szCs w:val="24"/>
          <w:u w:val="single"/>
        </w:rPr>
        <w:t xml:space="preserve">Who should screen </w:t>
      </w:r>
      <w:proofErr w:type="gramStart"/>
      <w:r w:rsidRPr="00B96853">
        <w:rPr>
          <w:rFonts w:ascii="Times New Roman" w:hAnsi="Times New Roman"/>
          <w:b/>
          <w:sz w:val="24"/>
          <w:szCs w:val="24"/>
          <w:u w:val="single"/>
        </w:rPr>
        <w:t>visitors:</w:t>
      </w:r>
      <w:proofErr w:type="gramEnd"/>
    </w:p>
    <w:p w:rsidR="00DA2CB6" w:rsidRPr="00B96853" w:rsidRDefault="00DA2CB6" w:rsidP="00DA2CB6">
      <w:pPr>
        <w:rPr>
          <w:rFonts w:ascii="Times New Roman" w:hAnsi="Times New Roman"/>
          <w:sz w:val="24"/>
          <w:szCs w:val="24"/>
        </w:rPr>
      </w:pPr>
      <w:r w:rsidRPr="00B96853">
        <w:rPr>
          <w:rFonts w:ascii="Times New Roman" w:hAnsi="Times New Roman"/>
          <w:sz w:val="24"/>
          <w:szCs w:val="24"/>
        </w:rPr>
        <w:t>Welcome Desk during normal business hours, Security after hours, Inpatient Clerks, and Staff.</w:t>
      </w:r>
    </w:p>
    <w:p w:rsidR="00DA2CB6" w:rsidRPr="00B96853" w:rsidRDefault="00DA2CB6" w:rsidP="00DA2CB6">
      <w:pPr>
        <w:rPr>
          <w:rFonts w:ascii="Times New Roman" w:hAnsi="Times New Roman"/>
          <w:sz w:val="24"/>
          <w:szCs w:val="24"/>
        </w:rPr>
      </w:pPr>
      <w:r w:rsidRPr="00B96853">
        <w:rPr>
          <w:rFonts w:ascii="Times New Roman" w:hAnsi="Times New Roman"/>
          <w:b/>
          <w:sz w:val="24"/>
          <w:szCs w:val="24"/>
        </w:rPr>
        <w:t>Exception</w:t>
      </w:r>
      <w:r w:rsidRPr="00B96853">
        <w:rPr>
          <w:rFonts w:ascii="Times New Roman" w:hAnsi="Times New Roman"/>
          <w:sz w:val="24"/>
          <w:szCs w:val="24"/>
        </w:rPr>
        <w:t>:  Parents/Guardians who wish to stay with their child shall be instructed on how to minimize risk of spreading their infection.</w:t>
      </w:r>
    </w:p>
    <w:p w:rsidR="00DA2CB6" w:rsidRPr="00B96853" w:rsidRDefault="00DA2CB6" w:rsidP="00DA2CB6">
      <w:pPr>
        <w:rPr>
          <w:rFonts w:ascii="Times New Roman" w:hAnsi="Times New Roman"/>
          <w:sz w:val="24"/>
          <w:szCs w:val="24"/>
        </w:rPr>
      </w:pPr>
      <w:r w:rsidRPr="00B96853">
        <w:rPr>
          <w:rFonts w:ascii="Times New Roman" w:hAnsi="Times New Roman"/>
          <w:sz w:val="24"/>
          <w:szCs w:val="24"/>
        </w:rPr>
        <w:t>Upon entrance, please ask the following questions:</w:t>
      </w:r>
    </w:p>
    <w:p w:rsidR="00DA2CB6" w:rsidRPr="00B96853" w:rsidRDefault="00DA2CB6" w:rsidP="00DA2CB6">
      <w:pPr>
        <w:numPr>
          <w:ilvl w:val="0"/>
          <w:numId w:val="1"/>
        </w:numPr>
        <w:contextualSpacing/>
        <w:rPr>
          <w:rFonts w:ascii="Times New Roman" w:hAnsi="Times New Roman"/>
          <w:sz w:val="24"/>
          <w:szCs w:val="24"/>
        </w:rPr>
      </w:pPr>
      <w:r w:rsidRPr="00B96853">
        <w:rPr>
          <w:rFonts w:ascii="Times New Roman" w:hAnsi="Times New Roman"/>
          <w:sz w:val="24"/>
          <w:szCs w:val="24"/>
        </w:rPr>
        <w:t>In the past 48 hours, have you had any of following symptoms?</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Fever</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Cough/Sneezing</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Runny nose</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Diarrhea/Vomiting</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Rash</w:t>
      </w:r>
      <w:r w:rsidRPr="00B96853">
        <w:rPr>
          <w:rFonts w:ascii="Times New Roman" w:hAnsi="Times New Roman"/>
          <w:sz w:val="24"/>
          <w:szCs w:val="24"/>
        </w:rPr>
        <w:br/>
      </w:r>
    </w:p>
    <w:p w:rsidR="00DA2CB6" w:rsidRPr="00B96853" w:rsidRDefault="00DA2CB6" w:rsidP="00DA2CB6">
      <w:pPr>
        <w:numPr>
          <w:ilvl w:val="0"/>
          <w:numId w:val="1"/>
        </w:numPr>
        <w:contextualSpacing/>
        <w:rPr>
          <w:rFonts w:ascii="Times New Roman" w:hAnsi="Times New Roman"/>
          <w:sz w:val="24"/>
          <w:szCs w:val="24"/>
        </w:rPr>
      </w:pPr>
      <w:r w:rsidRPr="00B96853">
        <w:rPr>
          <w:rFonts w:ascii="Times New Roman" w:hAnsi="Times New Roman"/>
          <w:sz w:val="24"/>
          <w:szCs w:val="24"/>
        </w:rPr>
        <w:t xml:space="preserve">Please advise visitors who disclose/demonstrate any of the above symptoms not to visit our patients. </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 xml:space="preserve">For assistance in discerning whether or not a visitor should be allowed to visit, contact the Charge Nurse or his/her designee. </w:t>
      </w:r>
    </w:p>
    <w:p w:rsidR="00DA2CB6" w:rsidRPr="00B96853" w:rsidRDefault="00DA2CB6" w:rsidP="00DA2CB6">
      <w:pPr>
        <w:numPr>
          <w:ilvl w:val="1"/>
          <w:numId w:val="1"/>
        </w:numPr>
        <w:contextualSpacing/>
        <w:rPr>
          <w:rFonts w:ascii="Times New Roman" w:hAnsi="Times New Roman"/>
          <w:sz w:val="24"/>
          <w:szCs w:val="24"/>
        </w:rPr>
      </w:pPr>
      <w:r w:rsidRPr="00B96853">
        <w:rPr>
          <w:rFonts w:ascii="Times New Roman" w:hAnsi="Times New Roman"/>
          <w:sz w:val="24"/>
          <w:szCs w:val="24"/>
        </w:rPr>
        <w:t xml:space="preserve">Inform them that symptoms must have resolved for 48 hours before they can visit. </w:t>
      </w:r>
    </w:p>
    <w:p w:rsidR="00DA2CB6" w:rsidRPr="00B96853" w:rsidRDefault="00DA2CB6" w:rsidP="00DA2CB6">
      <w:pPr>
        <w:ind w:left="1440"/>
        <w:rPr>
          <w:rFonts w:ascii="Times New Roman" w:hAnsi="Times New Roman"/>
          <w:sz w:val="24"/>
          <w:szCs w:val="24"/>
        </w:rPr>
      </w:pPr>
    </w:p>
    <w:p w:rsidR="00DA2CB6" w:rsidRPr="00B96853" w:rsidRDefault="00DA2CB6" w:rsidP="00DA2CB6">
      <w:pPr>
        <w:numPr>
          <w:ilvl w:val="0"/>
          <w:numId w:val="1"/>
        </w:numPr>
        <w:contextualSpacing/>
        <w:rPr>
          <w:rFonts w:ascii="Times New Roman" w:hAnsi="Times New Roman"/>
          <w:sz w:val="24"/>
          <w:szCs w:val="24"/>
        </w:rPr>
      </w:pPr>
      <w:r w:rsidRPr="00B96853">
        <w:rPr>
          <w:rFonts w:ascii="Times New Roman" w:hAnsi="Times New Roman"/>
          <w:sz w:val="24"/>
          <w:szCs w:val="24"/>
        </w:rPr>
        <w:t xml:space="preserve">Provide symptom free visitors with a screening sticker. </w:t>
      </w:r>
    </w:p>
    <w:p w:rsidR="00DA2CB6" w:rsidRPr="00B96853" w:rsidRDefault="00DA2CB6" w:rsidP="00DA2CB6">
      <w:pPr>
        <w:rPr>
          <w:rFonts w:ascii="Times New Roman" w:hAnsi="Times New Roman"/>
          <w:sz w:val="24"/>
          <w:szCs w:val="24"/>
        </w:rPr>
      </w:pPr>
    </w:p>
    <w:p w:rsidR="00DA2CB6" w:rsidRPr="00B96853" w:rsidRDefault="00DA2CB6" w:rsidP="00DA2CB6">
      <w:pPr>
        <w:numPr>
          <w:ilvl w:val="0"/>
          <w:numId w:val="1"/>
        </w:numPr>
        <w:contextualSpacing/>
        <w:rPr>
          <w:rFonts w:ascii="Times New Roman" w:hAnsi="Times New Roman"/>
          <w:sz w:val="24"/>
          <w:szCs w:val="24"/>
        </w:rPr>
      </w:pPr>
      <w:r w:rsidRPr="00B96853">
        <w:rPr>
          <w:rFonts w:ascii="Times New Roman" w:hAnsi="Times New Roman"/>
          <w:sz w:val="24"/>
          <w:szCs w:val="24"/>
        </w:rPr>
        <w:t xml:space="preserve">Instruct screened visitors to perform hand hygiene immediately before and after contact with the patient. </w:t>
      </w:r>
    </w:p>
    <w:p w:rsidR="00DA2CB6" w:rsidRPr="00B96853" w:rsidRDefault="00DA2CB6" w:rsidP="00DA2CB6">
      <w:pPr>
        <w:rPr>
          <w:rFonts w:ascii="Times New Roman" w:hAnsi="Times New Roman"/>
          <w:sz w:val="24"/>
          <w:szCs w:val="24"/>
        </w:rPr>
      </w:pPr>
      <w:r>
        <w:rPr>
          <w:rFonts w:ascii="Times New Roman" w:hAnsi="Times New Roman"/>
          <w:sz w:val="24"/>
          <w:szCs w:val="24"/>
        </w:rPr>
        <w:t xml:space="preserve">Supplemental </w:t>
      </w:r>
      <w:proofErr w:type="spellStart"/>
      <w:r>
        <w:rPr>
          <w:rFonts w:ascii="Times New Roman" w:hAnsi="Times New Roman"/>
          <w:sz w:val="24"/>
          <w:szCs w:val="24"/>
        </w:rPr>
        <w:t>Guidance</w:t>
      </w:r>
      <w:proofErr w:type="gramStart"/>
      <w:r>
        <w:rPr>
          <w:rFonts w:ascii="Times New Roman" w:hAnsi="Times New Roman"/>
          <w:sz w:val="24"/>
          <w:szCs w:val="24"/>
        </w:rPr>
        <w:t>:</w:t>
      </w:r>
      <w:r w:rsidRPr="00B96853">
        <w:rPr>
          <w:rFonts w:ascii="Times New Roman" w:hAnsi="Times New Roman"/>
          <w:sz w:val="24"/>
          <w:szCs w:val="24"/>
        </w:rPr>
        <w:t>Includes</w:t>
      </w:r>
      <w:proofErr w:type="spellEnd"/>
      <w:proofErr w:type="gramEnd"/>
      <w:r w:rsidRPr="00B96853">
        <w:rPr>
          <w:rFonts w:ascii="Times New Roman" w:hAnsi="Times New Roman"/>
          <w:sz w:val="24"/>
          <w:szCs w:val="24"/>
        </w:rPr>
        <w:t xml:space="preserve"> individuals and groups who visit the Hospital for interviews, tours, and public relations purposes such as celebrity appearances and performances. </w:t>
      </w:r>
    </w:p>
    <w:p w:rsidR="00DA2CB6" w:rsidRPr="00086D6B" w:rsidRDefault="00DA2CB6" w:rsidP="00DA2CB6">
      <w:pPr>
        <w:spacing w:line="240" w:lineRule="auto"/>
        <w:rPr>
          <w:rFonts w:ascii="Times New Roman" w:eastAsia="Times New Roman" w:hAnsi="Times New Roman"/>
          <w:b/>
          <w:sz w:val="24"/>
          <w:szCs w:val="24"/>
        </w:rPr>
      </w:pPr>
    </w:p>
    <w:p w:rsidR="00DA2CB6" w:rsidRPr="00086D6B" w:rsidRDefault="00DA2CB6" w:rsidP="00DA2CB6">
      <w:pPr>
        <w:spacing w:line="240" w:lineRule="auto"/>
        <w:rPr>
          <w:rFonts w:ascii="Times New Roman" w:eastAsia="Times New Roman" w:hAnsi="Times New Roman"/>
          <w:b/>
          <w:sz w:val="24"/>
          <w:szCs w:val="24"/>
        </w:rPr>
      </w:pPr>
    </w:p>
    <w:p w:rsidR="00DA2CB6" w:rsidRPr="00086D6B" w:rsidRDefault="00DA2CB6" w:rsidP="00DA2CB6">
      <w:pPr>
        <w:spacing w:line="240" w:lineRule="auto"/>
        <w:rPr>
          <w:rFonts w:ascii="Times New Roman" w:eastAsia="Times New Roman" w:hAnsi="Times New Roman"/>
          <w:b/>
          <w:sz w:val="24"/>
          <w:szCs w:val="24"/>
        </w:rPr>
      </w:pPr>
    </w:p>
    <w:p w:rsidR="00DA2CB6" w:rsidRDefault="00DA2CB6" w:rsidP="00DA2CB6">
      <w:pPr>
        <w:spacing w:line="240" w:lineRule="auto"/>
        <w:rPr>
          <w:rFonts w:ascii="Times New Roman" w:eastAsia="Times New Roman" w:hAnsi="Times New Roman"/>
          <w:b/>
          <w:sz w:val="24"/>
          <w:szCs w:val="24"/>
        </w:rPr>
      </w:pPr>
    </w:p>
    <w:p w:rsidR="00DA2CB6" w:rsidRDefault="00DA2CB6" w:rsidP="00DA2CB6">
      <w:pPr>
        <w:spacing w:after="0" w:line="240" w:lineRule="auto"/>
        <w:rPr>
          <w:rFonts w:ascii="Times New Roman" w:eastAsia="Times New Roman" w:hAnsi="Times New Roman"/>
          <w:b/>
          <w:sz w:val="24"/>
          <w:szCs w:val="24"/>
        </w:rPr>
      </w:pPr>
    </w:p>
    <w:p w:rsidR="00DA2CB6" w:rsidRDefault="00DA2CB6" w:rsidP="00DA2CB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A</w:t>
      </w:r>
      <w:bookmarkStart w:id="0" w:name="_GoBack"/>
      <w:bookmarkEnd w:id="0"/>
      <w:r>
        <w:rPr>
          <w:rFonts w:ascii="Times New Roman" w:eastAsia="Times New Roman" w:hAnsi="Times New Roman"/>
          <w:b/>
          <w:sz w:val="24"/>
          <w:szCs w:val="24"/>
        </w:rPr>
        <w:t>ppendix C</w:t>
      </w:r>
      <w:r w:rsidRPr="00086D6B">
        <w:rPr>
          <w:rFonts w:ascii="Times New Roman" w:eastAsia="Times New Roman" w:hAnsi="Times New Roman"/>
          <w:b/>
          <w:sz w:val="24"/>
          <w:szCs w:val="24"/>
        </w:rPr>
        <w:t>: Bedside Review</w:t>
      </w:r>
    </w:p>
    <w:p w:rsidR="00DA2CB6" w:rsidRPr="00086D6B" w:rsidRDefault="00DA2CB6" w:rsidP="00DA2CB6">
      <w:pPr>
        <w:spacing w:after="0" w:line="240" w:lineRule="auto"/>
        <w:rPr>
          <w:rFonts w:ascii="Times New Roman" w:eastAsia="Times New Roman" w:hAnsi="Times New Roman"/>
          <w:b/>
          <w:sz w:val="24"/>
          <w:szCs w:val="24"/>
        </w:rPr>
      </w:pPr>
      <w:r w:rsidRPr="00086D6B">
        <w:rPr>
          <w:rFonts w:ascii="Times New Roman" w:eastAsia="Times New Roman" w:hAnsi="Times New Roman"/>
          <w:sz w:val="24"/>
          <w:szCs w:val="24"/>
        </w:rPr>
        <w:br/>
        <w:t>The bedside review process is initiated upon confirmation of a HAVI by IP&amp;C.</w:t>
      </w:r>
    </w:p>
    <w:tbl>
      <w:tblPr>
        <w:tblpPr w:leftFromText="180" w:rightFromText="180" w:vertAnchor="text" w:horzAnchor="margin" w:tblpY="153"/>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112"/>
      </w:tblGrid>
      <w:tr w:rsidR="00DA2CB6" w:rsidRPr="00086D6B" w:rsidTr="00242AE3">
        <w:trPr>
          <w:trHeight w:val="232"/>
          <w:tblHeader/>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b/>
                <w:color w:val="000000"/>
                <w:sz w:val="24"/>
                <w:szCs w:val="24"/>
              </w:rPr>
            </w:pPr>
            <w:r w:rsidRPr="00086D6B">
              <w:rPr>
                <w:rFonts w:ascii="Times New Roman" w:eastAsia="Times New Roman" w:hAnsi="Times New Roman"/>
                <w:b/>
                <w:color w:val="000000"/>
                <w:sz w:val="24"/>
                <w:szCs w:val="24"/>
              </w:rPr>
              <w:t>Question</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Supplemental Informatio</w:t>
            </w:r>
            <w:r w:rsidRPr="00086D6B">
              <w:rPr>
                <w:rFonts w:ascii="Times New Roman" w:eastAsia="Times New Roman" w:hAnsi="Times New Roman"/>
                <w:b/>
                <w:color w:val="000000"/>
                <w:sz w:val="24"/>
                <w:szCs w:val="24"/>
              </w:rPr>
              <w:t>n</w:t>
            </w:r>
          </w:p>
        </w:tc>
      </w:tr>
      <w:tr w:rsidR="00DA2CB6" w:rsidRPr="00086D6B" w:rsidTr="00242AE3">
        <w:trPr>
          <w:trHeight w:val="245"/>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Patient Last Name</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09"/>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Patient First Name</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MRN</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DOB</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Gender</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0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Admission date</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1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Unit Location</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Service</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Date of symptom onset?</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Organism 1</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Organism 2</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84"/>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 xml:space="preserve">Did the patient have contact with sick primary caregivers? </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Primary caregiver</w:t>
            </w:r>
            <w:r>
              <w:rPr>
                <w:rFonts w:ascii="Times New Roman" w:eastAsia="Times New Roman" w:hAnsi="Times New Roman"/>
                <w:color w:val="000000"/>
                <w:sz w:val="24"/>
                <w:szCs w:val="24"/>
              </w:rPr>
              <w:t xml:space="preserve"> </w:t>
            </w:r>
            <w:r w:rsidRPr="00086D6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86D6B">
              <w:rPr>
                <w:rFonts w:ascii="Times New Roman" w:eastAsia="Times New Roman" w:hAnsi="Times New Roman"/>
                <w:color w:val="000000"/>
                <w:sz w:val="24"/>
                <w:szCs w:val="24"/>
              </w:rPr>
              <w:t>parent or legal guardian</w:t>
            </w:r>
          </w:p>
        </w:tc>
      </w:tr>
      <w:tr w:rsidR="00DA2CB6" w:rsidRPr="00086D6B" w:rsidTr="00242AE3">
        <w:trPr>
          <w:trHeight w:val="434"/>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 xml:space="preserve">Did the patient have contact with a visitor with upper respiratory/gastrointestinal illness in the last 4 days? </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Visitor = any one not a primary caregiver; includes siblings and extended family</w:t>
            </w:r>
          </w:p>
        </w:tc>
      </w:tr>
      <w:tr w:rsidR="00DA2CB6" w:rsidRPr="00086D6B" w:rsidTr="00242AE3">
        <w:trPr>
          <w:trHeight w:val="277"/>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Is there daily documentation of visitors being screened?</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All units have a daily visitor log at the inpatient clerk desk.</w:t>
            </w:r>
          </w:p>
        </w:tc>
      </w:tr>
      <w:tr w:rsidR="00DA2CB6" w:rsidRPr="00086D6B" w:rsidTr="00242AE3">
        <w:trPr>
          <w:trHeight w:val="463"/>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Did any healthcare workers caring for the patient have any known viral symptoms in the last 4 days?</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Symptoms include fever, diarrhea, runny nose, coughing, sneezing, vomiting, exposure to other illnesses (e.g. pertussis, chicken pox, tuberculosis)</w:t>
            </w:r>
          </w:p>
        </w:tc>
      </w:tr>
      <w:tr w:rsidR="00DA2CB6" w:rsidRPr="00086D6B" w:rsidTr="00242AE3">
        <w:trPr>
          <w:trHeight w:val="456"/>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Did the family require frequent re-education by staff about isolation, sick visitors, and/or hand washing?</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Guidelines are in place to limit patients and their siblings from common spaces (including playrooms) if placed on transmission-based precautions</w:t>
            </w: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Did family have a language barrier?</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Primary language not English</w:t>
            </w:r>
          </w:p>
        </w:tc>
      </w:tr>
      <w:tr w:rsidR="00DA2CB6" w:rsidRPr="00086D6B" w:rsidTr="00242AE3">
        <w:trPr>
          <w:trHeight w:val="269"/>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Was there any other barrier to cleanliness of environment?</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Clean environment</w:t>
            </w:r>
            <w:r>
              <w:rPr>
                <w:rFonts w:ascii="Times New Roman" w:eastAsia="Times New Roman" w:hAnsi="Times New Roman"/>
                <w:color w:val="000000"/>
                <w:sz w:val="24"/>
                <w:szCs w:val="24"/>
              </w:rPr>
              <w:t xml:space="preserve"> </w:t>
            </w:r>
            <w:r w:rsidRPr="00086D6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086D6B">
              <w:rPr>
                <w:rFonts w:ascii="Times New Roman" w:eastAsia="Times New Roman" w:hAnsi="Times New Roman"/>
                <w:color w:val="000000"/>
                <w:sz w:val="24"/>
                <w:szCs w:val="24"/>
              </w:rPr>
              <w:t>void of food and/or trash, patient and limited family belongings appropriately stored in designated bins/cabinets</w:t>
            </w:r>
          </w:p>
        </w:tc>
      </w:tr>
      <w:tr w:rsidR="00DA2CB6" w:rsidRPr="00086D6B" w:rsidTr="00242AE3">
        <w:trPr>
          <w:trHeight w:val="448"/>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Did the patient travel off the unit in the last 3 days? If yes, specify location(s)</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23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Is the patient in a shared room?</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477"/>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Was the affected patient's roommate on precautions for a similar viral illness?</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492"/>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Did the patient have the same nursing assignment as another patient diagnosed with the same organism?</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p>
        </w:tc>
      </w:tr>
      <w:tr w:rsidR="00DA2CB6" w:rsidRPr="00086D6B" w:rsidTr="00242AE3">
        <w:trPr>
          <w:trHeight w:val="988"/>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Were there any difficulties or challenges in caring for the patient over the past 3 days?</w:t>
            </w:r>
            <w:r w:rsidRPr="00086D6B">
              <w:rPr>
                <w:rFonts w:ascii="Times New Roman" w:eastAsia="Times New Roman" w:hAnsi="Times New Roman"/>
                <w:color w:val="000000"/>
                <w:sz w:val="24"/>
                <w:szCs w:val="24"/>
              </w:rPr>
              <w:br/>
              <w:t>--Patient required 1:1 care</w:t>
            </w:r>
            <w:r w:rsidRPr="00086D6B">
              <w:rPr>
                <w:rFonts w:ascii="Times New Roman" w:eastAsia="Times New Roman" w:hAnsi="Times New Roman"/>
                <w:color w:val="000000"/>
                <w:sz w:val="24"/>
                <w:szCs w:val="24"/>
              </w:rPr>
              <w:br/>
              <w:t>--Patient was acute and required many interventions</w:t>
            </w:r>
            <w:r w:rsidRPr="00086D6B">
              <w:rPr>
                <w:rFonts w:ascii="Times New Roman" w:eastAsia="Times New Roman" w:hAnsi="Times New Roman"/>
                <w:color w:val="000000"/>
                <w:sz w:val="24"/>
                <w:szCs w:val="24"/>
              </w:rPr>
              <w:br/>
              <w:t>--Patient had multiple caregivers</w:t>
            </w:r>
          </w:p>
        </w:tc>
        <w:tc>
          <w:tcPr>
            <w:tcW w:w="5112" w:type="dxa"/>
            <w:shd w:val="clear" w:color="auto" w:fill="auto"/>
            <w:hideMark/>
          </w:tcPr>
          <w:p w:rsidR="00DA2CB6" w:rsidRDefault="00DA2CB6" w:rsidP="00242A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care = </w:t>
            </w:r>
            <w:r w:rsidRPr="00086D6B">
              <w:rPr>
                <w:rFonts w:ascii="Times New Roman" w:eastAsia="Times New Roman" w:hAnsi="Times New Roman"/>
                <w:color w:val="000000"/>
                <w:sz w:val="24"/>
                <w:szCs w:val="24"/>
              </w:rPr>
              <w:t xml:space="preserve">designated staff </w:t>
            </w:r>
            <w:r>
              <w:rPr>
                <w:rFonts w:ascii="Times New Roman" w:eastAsia="Times New Roman" w:hAnsi="Times New Roman"/>
                <w:color w:val="000000"/>
                <w:sz w:val="24"/>
                <w:szCs w:val="24"/>
              </w:rPr>
              <w:t>to watch patient</w:t>
            </w:r>
            <w:r w:rsidRPr="00086D6B">
              <w:rPr>
                <w:rFonts w:ascii="Times New Roman" w:eastAsia="Times New Roman" w:hAnsi="Times New Roman"/>
                <w:color w:val="000000"/>
                <w:sz w:val="24"/>
                <w:szCs w:val="24"/>
              </w:rPr>
              <w:t xml:space="preserve"> due to behavi</w:t>
            </w:r>
            <w:r>
              <w:rPr>
                <w:rFonts w:ascii="Times New Roman" w:eastAsia="Times New Roman" w:hAnsi="Times New Roman"/>
                <w:color w:val="000000"/>
                <w:sz w:val="24"/>
                <w:szCs w:val="24"/>
              </w:rPr>
              <w:t>oral or developmental concerns.</w:t>
            </w:r>
          </w:p>
          <w:p w:rsidR="00DA2CB6" w:rsidRPr="00086D6B" w:rsidRDefault="00DA2CB6" w:rsidP="00242AE3">
            <w:pPr>
              <w:spacing w:after="0" w:line="240" w:lineRule="auto"/>
              <w:rPr>
                <w:rFonts w:ascii="Times New Roman" w:eastAsia="Times New Roman" w:hAnsi="Times New Roman"/>
                <w:color w:val="000000"/>
                <w:sz w:val="24"/>
                <w:szCs w:val="24"/>
              </w:rPr>
            </w:pPr>
          </w:p>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Multiple caregivers = seen by many consults, departments</w:t>
            </w:r>
          </w:p>
        </w:tc>
      </w:tr>
      <w:tr w:rsidR="00DA2CB6" w:rsidRPr="00086D6B" w:rsidTr="00242AE3">
        <w:trPr>
          <w:trHeight w:val="434"/>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lastRenderedPageBreak/>
              <w:t>Was there known poor hand hygiene compliance?</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Unit h</w:t>
            </w:r>
            <w:r w:rsidRPr="00086D6B">
              <w:rPr>
                <w:rFonts w:ascii="Times New Roman" w:eastAsia="Times New Roman" w:hAnsi="Times New Roman"/>
                <w:color w:val="000000"/>
                <w:sz w:val="24"/>
                <w:szCs w:val="24"/>
              </w:rPr>
              <w:t>and hygiene compliance as measured by Hand Hygiene Program observers</w:t>
            </w:r>
          </w:p>
        </w:tc>
      </w:tr>
      <w:tr w:rsidR="00DA2CB6" w:rsidRPr="00086D6B" w:rsidTr="00242AE3">
        <w:trPr>
          <w:trHeight w:val="1619"/>
        </w:trPr>
        <w:tc>
          <w:tcPr>
            <w:tcW w:w="5508"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Did the infection require any of the following:</w:t>
            </w:r>
            <w:r w:rsidRPr="00086D6B">
              <w:rPr>
                <w:rFonts w:ascii="Times New Roman" w:eastAsia="Times New Roman" w:hAnsi="Times New Roman"/>
                <w:color w:val="000000"/>
                <w:sz w:val="24"/>
                <w:szCs w:val="24"/>
              </w:rPr>
              <w:br/>
              <w:t>--Escalation of care</w:t>
            </w:r>
            <w:r w:rsidRPr="00086D6B">
              <w:rPr>
                <w:rFonts w:ascii="Times New Roman" w:eastAsia="Times New Roman" w:hAnsi="Times New Roman"/>
                <w:color w:val="000000"/>
                <w:sz w:val="24"/>
                <w:szCs w:val="24"/>
              </w:rPr>
              <w:br/>
              <w:t>--Delay of discharge</w:t>
            </w:r>
            <w:r w:rsidRPr="00086D6B">
              <w:rPr>
                <w:rFonts w:ascii="Times New Roman" w:eastAsia="Times New Roman" w:hAnsi="Times New Roman"/>
                <w:color w:val="000000"/>
                <w:sz w:val="24"/>
                <w:szCs w:val="24"/>
              </w:rPr>
              <w:br/>
              <w:t>--Delay of procedure/surgery/imaging</w:t>
            </w:r>
            <w:r w:rsidRPr="00086D6B">
              <w:rPr>
                <w:rFonts w:ascii="Times New Roman" w:eastAsia="Times New Roman" w:hAnsi="Times New Roman"/>
                <w:color w:val="000000"/>
                <w:sz w:val="24"/>
                <w:szCs w:val="24"/>
              </w:rPr>
              <w:br/>
              <w:t>--Transfer to ICU</w:t>
            </w:r>
            <w:r w:rsidRPr="00086D6B">
              <w:rPr>
                <w:rFonts w:ascii="Times New Roman" w:eastAsia="Times New Roman" w:hAnsi="Times New Roman"/>
                <w:color w:val="000000"/>
                <w:sz w:val="24"/>
                <w:szCs w:val="24"/>
              </w:rPr>
              <w:br/>
              <w:t>--Intubation</w:t>
            </w:r>
            <w:r w:rsidRPr="00086D6B">
              <w:rPr>
                <w:rFonts w:ascii="Times New Roman" w:eastAsia="Times New Roman" w:hAnsi="Times New Roman"/>
                <w:color w:val="000000"/>
                <w:sz w:val="24"/>
                <w:szCs w:val="24"/>
              </w:rPr>
              <w:br/>
              <w:t>--Readmission</w:t>
            </w:r>
            <w:r w:rsidRPr="00086D6B">
              <w:rPr>
                <w:rFonts w:ascii="Times New Roman" w:eastAsia="Times New Roman" w:hAnsi="Times New Roman"/>
                <w:color w:val="000000"/>
                <w:sz w:val="24"/>
                <w:szCs w:val="24"/>
              </w:rPr>
              <w:br/>
              <w:t>--Other (explain)</w:t>
            </w:r>
          </w:p>
        </w:tc>
        <w:tc>
          <w:tcPr>
            <w:tcW w:w="5112" w:type="dxa"/>
            <w:shd w:val="clear" w:color="auto" w:fill="auto"/>
            <w:hideMark/>
          </w:tcPr>
          <w:p w:rsidR="00DA2CB6" w:rsidRPr="00086D6B" w:rsidRDefault="00DA2CB6" w:rsidP="00242AE3">
            <w:pPr>
              <w:spacing w:after="0" w:line="240" w:lineRule="auto"/>
              <w:rPr>
                <w:rFonts w:ascii="Times New Roman" w:eastAsia="Times New Roman" w:hAnsi="Times New Roman"/>
                <w:color w:val="000000"/>
                <w:sz w:val="24"/>
                <w:szCs w:val="24"/>
              </w:rPr>
            </w:pPr>
            <w:r w:rsidRPr="00086D6B">
              <w:rPr>
                <w:rFonts w:ascii="Times New Roman" w:eastAsia="Times New Roman" w:hAnsi="Times New Roman"/>
                <w:color w:val="000000"/>
                <w:sz w:val="24"/>
                <w:szCs w:val="24"/>
              </w:rPr>
              <w:t>Escalation of Care = required interventions above baseline or above expected? Or additional treatment that was not originally part of plan of care?</w:t>
            </w:r>
          </w:p>
        </w:tc>
      </w:tr>
    </w:tbl>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Default="00DA2CB6" w:rsidP="00DA2CB6">
      <w:pPr>
        <w:spacing w:line="240" w:lineRule="auto"/>
        <w:rPr>
          <w:rFonts w:ascii="Times New Roman" w:eastAsia="Times New Roman" w:hAnsi="Times New Roman"/>
          <w:b/>
          <w:color w:val="000000"/>
          <w:sz w:val="24"/>
          <w:szCs w:val="24"/>
        </w:rPr>
      </w:pPr>
    </w:p>
    <w:p w:rsidR="00DA2CB6" w:rsidRPr="00A35975" w:rsidRDefault="00DA2CB6" w:rsidP="00DA2CB6">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Appendix D</w:t>
      </w:r>
      <w:r w:rsidRPr="00086D6B">
        <w:rPr>
          <w:rFonts w:ascii="Times New Roman" w:eastAsia="Times New Roman" w:hAnsi="Times New Roman"/>
          <w:b/>
          <w:color w:val="000000"/>
          <w:sz w:val="24"/>
          <w:szCs w:val="24"/>
        </w:rPr>
        <w:t>: Process Metric Compliance</w:t>
      </w:r>
    </w:p>
    <w:p w:rsidR="00DA2CB6" w:rsidRDefault="00DA2CB6" w:rsidP="00DA2CB6"/>
    <w:p w:rsidR="00DA2CB6" w:rsidRPr="0054735D" w:rsidRDefault="00DA2CB6" w:rsidP="00DA2CB6">
      <w:pPr>
        <w:rPr>
          <w:rFonts w:ascii="Times New Roman" w:hAnsi="Times New Roman"/>
        </w:rPr>
      </w:pPr>
      <w:r w:rsidRPr="00A35975">
        <w:rPr>
          <w:rFonts w:ascii="Times New Roman" w:hAnsi="Times New Roman"/>
          <w:noProof/>
        </w:rPr>
        <w:drawing>
          <wp:inline distT="0" distB="0" distL="0" distR="0">
            <wp:extent cx="6026785" cy="3081020"/>
            <wp:effectExtent l="0" t="0" r="12065" b="508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A2CB6" w:rsidRPr="0054735D" w:rsidRDefault="00DA2CB6" w:rsidP="00DA2CB6">
      <w:pPr>
        <w:rPr>
          <w:rFonts w:ascii="Times New Roman" w:hAnsi="Times New Roman"/>
        </w:rPr>
      </w:pPr>
    </w:p>
    <w:p w:rsidR="00272B04" w:rsidRDefault="00DA2CB6" w:rsidP="00DA2CB6">
      <w:r w:rsidRPr="00A35975">
        <w:rPr>
          <w:noProof/>
        </w:rPr>
        <w:drawing>
          <wp:inline distT="0" distB="0" distL="0" distR="0">
            <wp:extent cx="6113145" cy="3038475"/>
            <wp:effectExtent l="0" t="0" r="190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27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203"/>
    <w:multiLevelType w:val="hybridMultilevel"/>
    <w:tmpl w:val="AA7CCA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B6"/>
    <w:rsid w:val="00272B04"/>
    <w:rsid w:val="00403866"/>
    <w:rsid w:val="00480CBD"/>
    <w:rsid w:val="006F44B3"/>
    <w:rsid w:val="009F42F4"/>
    <w:rsid w:val="00DA2CB6"/>
    <w:rsid w:val="00D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33C8"/>
  <w15:chartTrackingRefBased/>
  <w15:docId w15:val="{50B67EF3-63E6-45A4-8A34-8E2B21E8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C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hop.edu\personalshare\hd12\heih\DATA\Nosocomial%20Viral\PAPER\HH%20and%20Screening%20charts%20for%20Appendix.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hop.edu\personalshare\hd12\heih\DATA\Nosocomial%20Viral\PAPER\HH%20and%20Screening%20charts%20for%20Append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Hand Hygiene Compliance</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Sheet1!$B$1</c:f>
              <c:strCache>
                <c:ptCount val="1"/>
                <c:pt idx="0">
                  <c:v>Hand Hygiene Compliance</c:v>
                </c:pt>
              </c:strCache>
            </c:strRef>
          </c:tx>
          <c:spPr>
            <a:ln w="28575" cap="rnd">
              <a:solidFill>
                <a:schemeClr val="tx1">
                  <a:lumMod val="50000"/>
                  <a:lumOff val="50000"/>
                </a:schemeClr>
              </a:solidFill>
              <a:round/>
            </a:ln>
            <a:effectLst/>
          </c:spPr>
          <c:marker>
            <c:symbol val="none"/>
          </c:marker>
          <c:trendline>
            <c:spPr>
              <a:ln w="19050" cap="rnd">
                <a:solidFill>
                  <a:schemeClr val="tx1">
                    <a:lumMod val="50000"/>
                    <a:lumOff val="50000"/>
                  </a:schemeClr>
                </a:solidFill>
                <a:prstDash val="sysDot"/>
              </a:ln>
              <a:effectLst/>
            </c:spPr>
            <c:trendlineType val="linear"/>
            <c:dispRSqr val="0"/>
            <c:dispEq val="0"/>
          </c:trendline>
          <c:cat>
            <c:numRef>
              <c:f>Sheet1!$A$2:$A$49</c:f>
              <c:numCache>
                <c:formatCode>mmm\-yy</c:formatCode>
                <c:ptCount val="48"/>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cat>
          <c:val>
            <c:numRef>
              <c:f>Sheet1!$B$2:$B$90</c:f>
              <c:numCache>
                <c:formatCode>0.00%</c:formatCode>
                <c:ptCount val="89"/>
                <c:pt idx="0">
                  <c:v>0.98499399759903961</c:v>
                </c:pt>
                <c:pt idx="1">
                  <c:v>0.96162201303403338</c:v>
                </c:pt>
                <c:pt idx="2">
                  <c:v>0.95436022819885902</c:v>
                </c:pt>
                <c:pt idx="3">
                  <c:v>0.94190268700072621</c:v>
                </c:pt>
                <c:pt idx="4">
                  <c:v>0.95184135977337103</c:v>
                </c:pt>
                <c:pt idx="5">
                  <c:v>0.95080645161290323</c:v>
                </c:pt>
                <c:pt idx="6">
                  <c:v>0.94828957836117733</c:v>
                </c:pt>
                <c:pt idx="7">
                  <c:v>0.95298245614035082</c:v>
                </c:pt>
                <c:pt idx="8">
                  <c:v>0.95405078597339776</c:v>
                </c:pt>
                <c:pt idx="9">
                  <c:v>0.97233666862860502</c:v>
                </c:pt>
                <c:pt idx="10">
                  <c:v>0.98405103668261562</c:v>
                </c:pt>
                <c:pt idx="11">
                  <c:v>0.97617664148750716</c:v>
                </c:pt>
                <c:pt idx="12">
                  <c:v>0.97033656588705075</c:v>
                </c:pt>
                <c:pt idx="13">
                  <c:v>0.97189981673793524</c:v>
                </c:pt>
                <c:pt idx="14">
                  <c:v>0.96859903381642509</c:v>
                </c:pt>
                <c:pt idx="15">
                  <c:v>0.97639751552795029</c:v>
                </c:pt>
                <c:pt idx="16">
                  <c:v>0.9684940138626339</c:v>
                </c:pt>
                <c:pt idx="17">
                  <c:v>0.97583971714790807</c:v>
                </c:pt>
                <c:pt idx="18">
                  <c:v>0.96832579185520362</c:v>
                </c:pt>
                <c:pt idx="19">
                  <c:v>0.95781959766385472</c:v>
                </c:pt>
                <c:pt idx="20">
                  <c:v>0.95662797800855215</c:v>
                </c:pt>
                <c:pt idx="21">
                  <c:v>0.95704779189352696</c:v>
                </c:pt>
                <c:pt idx="22">
                  <c:v>0.95992485911083281</c:v>
                </c:pt>
                <c:pt idx="23">
                  <c:v>0.96681277395115839</c:v>
                </c:pt>
                <c:pt idx="24">
                  <c:v>0.95735607675906176</c:v>
                </c:pt>
                <c:pt idx="25">
                  <c:v>0.97035430224150399</c:v>
                </c:pt>
                <c:pt idx="26">
                  <c:v>0.95763993948562787</c:v>
                </c:pt>
                <c:pt idx="27">
                  <c:v>0.9605346912794398</c:v>
                </c:pt>
                <c:pt idx="28">
                  <c:v>0.96296296296296291</c:v>
                </c:pt>
                <c:pt idx="29">
                  <c:v>0.97338173018753782</c:v>
                </c:pt>
                <c:pt idx="30">
                  <c:v>0.9671132764920829</c:v>
                </c:pt>
                <c:pt idx="31">
                  <c:v>0.97604790419161669</c:v>
                </c:pt>
                <c:pt idx="32">
                  <c:v>0.96869244935543275</c:v>
                </c:pt>
                <c:pt idx="33">
                  <c:v>0.97031539888682738</c:v>
                </c:pt>
                <c:pt idx="34">
                  <c:v>0.97773411918795017</c:v>
                </c:pt>
                <c:pt idx="35">
                  <c:v>0.98185231539424278</c:v>
                </c:pt>
                <c:pt idx="36">
                  <c:v>0.97728706624605677</c:v>
                </c:pt>
                <c:pt idx="37">
                  <c:v>0.97376839411388361</c:v>
                </c:pt>
                <c:pt idx="38">
                  <c:v>0.98355037697052783</c:v>
                </c:pt>
                <c:pt idx="39">
                  <c:v>0.97620538509705701</c:v>
                </c:pt>
                <c:pt idx="40">
                  <c:v>0.98210980876002463</c:v>
                </c:pt>
                <c:pt idx="41">
                  <c:v>0.98241206030150752</c:v>
                </c:pt>
                <c:pt idx="42">
                  <c:v>0.97208121827411165</c:v>
                </c:pt>
                <c:pt idx="43">
                  <c:v>0.97727272727272729</c:v>
                </c:pt>
                <c:pt idx="44">
                  <c:v>0.96950840074673306</c:v>
                </c:pt>
                <c:pt idx="45">
                  <c:v>0.97686715135492408</c:v>
                </c:pt>
                <c:pt idx="46">
                  <c:v>0.97289999999999999</c:v>
                </c:pt>
                <c:pt idx="47">
                  <c:v>0.97570000000000001</c:v>
                </c:pt>
              </c:numCache>
            </c:numRef>
          </c:val>
          <c:smooth val="0"/>
          <c:extLst>
            <c:ext xmlns:c16="http://schemas.microsoft.com/office/drawing/2014/chart" uri="{C3380CC4-5D6E-409C-BE32-E72D297353CC}">
              <c16:uniqueId val="{00000000-EE47-4B44-A1F1-C94FFD7D5BEE}"/>
            </c:ext>
          </c:extLst>
        </c:ser>
        <c:dLbls>
          <c:showLegendKey val="0"/>
          <c:showVal val="0"/>
          <c:showCatName val="0"/>
          <c:showSerName val="0"/>
          <c:showPercent val="0"/>
          <c:showBubbleSize val="0"/>
        </c:dLbls>
        <c:smooth val="0"/>
        <c:axId val="480677360"/>
        <c:axId val="477371776"/>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month</c:v>
                      </c:pt>
                    </c:strCache>
                  </c:strRef>
                </c:tx>
                <c:spPr>
                  <a:ln w="28575" cap="rnd">
                    <a:solidFill>
                      <a:schemeClr val="accent1"/>
                    </a:solidFill>
                    <a:round/>
                  </a:ln>
                  <a:effectLst/>
                </c:spPr>
                <c:marker>
                  <c:symbol val="none"/>
                </c:marker>
                <c:cat>
                  <c:numRef>
                    <c:extLst>
                      <c:ext uri="{02D57815-91ED-43cb-92C2-25804820EDAC}">
                        <c15:formulaRef>
                          <c15:sqref>Sheet1!$A$2:$A$49</c15:sqref>
                        </c15:formulaRef>
                      </c:ext>
                    </c:extLst>
                    <c:numCache>
                      <c:formatCode>mmm\-yy</c:formatCode>
                      <c:ptCount val="48"/>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cat>
                <c:val>
                  <c:numRef>
                    <c:extLst>
                      <c:ext uri="{02D57815-91ED-43cb-92C2-25804820EDAC}">
                        <c15:formulaRef>
                          <c15:sqref>Sheet1!$A$2:$A$90</c15:sqref>
                        </c15:formulaRef>
                      </c:ext>
                    </c:extLst>
                    <c:numCache>
                      <c:formatCode>mmm\-yy</c:formatCode>
                      <c:ptCount val="89"/>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val>
                <c:smooth val="0"/>
                <c:extLst>
                  <c:ext xmlns:c16="http://schemas.microsoft.com/office/drawing/2014/chart" uri="{C3380CC4-5D6E-409C-BE32-E72D297353CC}">
                    <c16:uniqueId val="{00000001-EE47-4B44-A1F1-C94FFD7D5BE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Sheet1!$C$1</c15:sqref>
                        </c15:formulaRef>
                      </c:ext>
                    </c:extLst>
                    <c:strCache>
                      <c:ptCount val="1"/>
                      <c:pt idx="0">
                        <c:v>Visitor Screening Compliance</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Sheet1!$A$2:$A$49</c15:sqref>
                        </c15:formulaRef>
                      </c:ext>
                    </c:extLst>
                    <c:numCache>
                      <c:formatCode>mmm\-yy</c:formatCode>
                      <c:ptCount val="48"/>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cat>
                <c:val>
                  <c:numRef>
                    <c:extLst xmlns:c15="http://schemas.microsoft.com/office/drawing/2012/chart">
                      <c:ext xmlns:c15="http://schemas.microsoft.com/office/drawing/2012/chart" uri="{02D57815-91ED-43cb-92C2-25804820EDAC}">
                        <c15:formulaRef>
                          <c15:sqref>Sheet1!$C$2:$C$90</c15:sqref>
                        </c15:formulaRef>
                      </c:ext>
                    </c:extLst>
                    <c:numCache>
                      <c:formatCode>0%</c:formatCode>
                      <c:ptCount val="89"/>
                      <c:pt idx="0">
                        <c:v>0.5</c:v>
                      </c:pt>
                      <c:pt idx="1">
                        <c:v>0.64</c:v>
                      </c:pt>
                      <c:pt idx="2">
                        <c:v>0.62</c:v>
                      </c:pt>
                      <c:pt idx="3">
                        <c:v>0.71</c:v>
                      </c:pt>
                      <c:pt idx="4">
                        <c:v>0.84</c:v>
                      </c:pt>
                      <c:pt idx="5">
                        <c:v>0.93</c:v>
                      </c:pt>
                      <c:pt idx="6">
                        <c:v>0.85</c:v>
                      </c:pt>
                      <c:pt idx="7">
                        <c:v>0.92</c:v>
                      </c:pt>
                      <c:pt idx="8">
                        <c:v>0.94000000000000006</c:v>
                      </c:pt>
                      <c:pt idx="9">
                        <c:v>0.9</c:v>
                      </c:pt>
                      <c:pt idx="10">
                        <c:v>0.9</c:v>
                      </c:pt>
                      <c:pt idx="11">
                        <c:v>0.95000000000000007</c:v>
                      </c:pt>
                      <c:pt idx="12">
                        <c:v>0.93</c:v>
                      </c:pt>
                      <c:pt idx="13">
                        <c:v>0.86</c:v>
                      </c:pt>
                      <c:pt idx="14">
                        <c:v>0.87</c:v>
                      </c:pt>
                      <c:pt idx="15">
                        <c:v>0.85</c:v>
                      </c:pt>
                      <c:pt idx="16">
                        <c:v>0.92</c:v>
                      </c:pt>
                      <c:pt idx="17">
                        <c:v>0.9</c:v>
                      </c:pt>
                      <c:pt idx="18">
                        <c:v>0.88</c:v>
                      </c:pt>
                      <c:pt idx="19">
                        <c:v>0.96</c:v>
                      </c:pt>
                      <c:pt idx="20">
                        <c:v>0.98</c:v>
                      </c:pt>
                      <c:pt idx="21">
                        <c:v>0.78</c:v>
                      </c:pt>
                      <c:pt idx="22">
                        <c:v>0.89</c:v>
                      </c:pt>
                      <c:pt idx="23">
                        <c:v>0.89</c:v>
                      </c:pt>
                      <c:pt idx="24">
                        <c:v>0.62</c:v>
                      </c:pt>
                      <c:pt idx="25">
                        <c:v>0.74</c:v>
                      </c:pt>
                      <c:pt idx="26">
                        <c:v>0.86</c:v>
                      </c:pt>
                      <c:pt idx="27">
                        <c:v>0.93</c:v>
                      </c:pt>
                      <c:pt idx="28">
                        <c:v>0.93</c:v>
                      </c:pt>
                      <c:pt idx="29">
                        <c:v>0.87</c:v>
                      </c:pt>
                      <c:pt idx="30">
                        <c:v>0.93</c:v>
                      </c:pt>
                      <c:pt idx="31">
                        <c:v>0.94000000000000006</c:v>
                      </c:pt>
                      <c:pt idx="32">
                        <c:v>0.94000000000000006</c:v>
                      </c:pt>
                      <c:pt idx="33">
                        <c:v>0.94000000000000006</c:v>
                      </c:pt>
                      <c:pt idx="34">
                        <c:v>0.89</c:v>
                      </c:pt>
                      <c:pt idx="35">
                        <c:v>0.86</c:v>
                      </c:pt>
                      <c:pt idx="36">
                        <c:v>0.96</c:v>
                      </c:pt>
                      <c:pt idx="37">
                        <c:v>0.97</c:v>
                      </c:pt>
                      <c:pt idx="38">
                        <c:v>0.97</c:v>
                      </c:pt>
                      <c:pt idx="39">
                        <c:v>0.97</c:v>
                      </c:pt>
                      <c:pt idx="40">
                        <c:v>0.99</c:v>
                      </c:pt>
                      <c:pt idx="41">
                        <c:v>0.99</c:v>
                      </c:pt>
                      <c:pt idx="42">
                        <c:v>0.95000000000000007</c:v>
                      </c:pt>
                      <c:pt idx="43">
                        <c:v>0.97</c:v>
                      </c:pt>
                      <c:pt idx="44">
                        <c:v>0.98</c:v>
                      </c:pt>
                      <c:pt idx="45">
                        <c:v>0.88</c:v>
                      </c:pt>
                      <c:pt idx="46">
                        <c:v>0.94</c:v>
                      </c:pt>
                      <c:pt idx="47">
                        <c:v>0.93</c:v>
                      </c:pt>
                      <c:pt idx="54" formatCode="General">
                        <c:v>1.1221294613455999</c:v>
                      </c:pt>
                      <c:pt idx="55" formatCode="General">
                        <c:v>0.75231958695312873</c:v>
                      </c:pt>
                      <c:pt idx="56" formatCode="General">
                        <c:v>0.78614562339261551</c:v>
                      </c:pt>
                      <c:pt idx="57" formatCode="General">
                        <c:v>0.56243630048797366</c:v>
                      </c:pt>
                    </c:numCache>
                  </c:numRef>
                </c:val>
                <c:smooth val="0"/>
                <c:extLst xmlns:c15="http://schemas.microsoft.com/office/drawing/2012/chart">
                  <c:ext xmlns:c16="http://schemas.microsoft.com/office/drawing/2014/chart" uri="{C3380CC4-5D6E-409C-BE32-E72D297353CC}">
                    <c16:uniqueId val="{00000002-EE47-4B44-A1F1-C94FFD7D5BEE}"/>
                  </c:ext>
                </c:extLst>
              </c15:ser>
            </c15:filteredLineSeries>
          </c:ext>
        </c:extLst>
      </c:lineChart>
      <c:dateAx>
        <c:axId val="48067736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7371776"/>
        <c:crosses val="autoZero"/>
        <c:auto val="1"/>
        <c:lblOffset val="100"/>
        <c:baseTimeUnit val="months"/>
      </c:dateAx>
      <c:valAx>
        <c:axId val="477371776"/>
        <c:scaling>
          <c:orientation val="minMax"/>
          <c:max val="1"/>
          <c:min val="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677360"/>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overlay val="0"/>
      <c:spPr>
        <a:no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2"/>
          <c:order val="2"/>
          <c:tx>
            <c:strRef>
              <c:f>Sheet1!$C$1</c:f>
              <c:strCache>
                <c:ptCount val="1"/>
                <c:pt idx="0">
                  <c:v>Visitor Screening Compliance</c:v>
                </c:pt>
              </c:strCache>
              <c:extLst xmlns:c15="http://schemas.microsoft.com/office/drawing/2012/chart"/>
            </c:strRef>
          </c:tx>
          <c:spPr>
            <a:ln w="28575" cap="rnd">
              <a:solidFill>
                <a:schemeClr val="tx1">
                  <a:lumMod val="50000"/>
                  <a:lumOff val="50000"/>
                </a:schemeClr>
              </a:solidFill>
              <a:round/>
            </a:ln>
            <a:effectLst/>
          </c:spPr>
          <c:marker>
            <c:symbol val="none"/>
          </c:marker>
          <c:trendline>
            <c:spPr>
              <a:ln w="19050" cap="rnd">
                <a:solidFill>
                  <a:schemeClr val="tx1">
                    <a:lumMod val="50000"/>
                    <a:lumOff val="50000"/>
                  </a:schemeClr>
                </a:solidFill>
                <a:prstDash val="sysDot"/>
              </a:ln>
              <a:effectLst/>
            </c:spPr>
            <c:trendlineType val="linear"/>
            <c:dispRSqr val="0"/>
            <c:dispEq val="0"/>
          </c:trendline>
          <c:cat>
            <c:numRef>
              <c:f>Sheet1!$A$2:$A$49</c:f>
              <c:numCache>
                <c:formatCode>mmm\-yy</c:formatCode>
                <c:ptCount val="48"/>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extLst xmlns:c15="http://schemas.microsoft.com/office/drawing/2012/chart"/>
            </c:numRef>
          </c:cat>
          <c:val>
            <c:numRef>
              <c:f>Sheet1!$C$2:$C$90</c:f>
              <c:numCache>
                <c:formatCode>0%</c:formatCode>
                <c:ptCount val="89"/>
                <c:pt idx="0">
                  <c:v>0.5</c:v>
                </c:pt>
                <c:pt idx="1">
                  <c:v>0.64</c:v>
                </c:pt>
                <c:pt idx="2">
                  <c:v>0.62</c:v>
                </c:pt>
                <c:pt idx="3">
                  <c:v>0.71</c:v>
                </c:pt>
                <c:pt idx="4">
                  <c:v>0.84</c:v>
                </c:pt>
                <c:pt idx="5">
                  <c:v>0.93</c:v>
                </c:pt>
                <c:pt idx="6">
                  <c:v>0.85</c:v>
                </c:pt>
                <c:pt idx="7">
                  <c:v>0.92</c:v>
                </c:pt>
                <c:pt idx="8">
                  <c:v>0.94000000000000006</c:v>
                </c:pt>
                <c:pt idx="9">
                  <c:v>0.9</c:v>
                </c:pt>
                <c:pt idx="10">
                  <c:v>0.9</c:v>
                </c:pt>
                <c:pt idx="11">
                  <c:v>0.95000000000000007</c:v>
                </c:pt>
                <c:pt idx="12">
                  <c:v>0.93</c:v>
                </c:pt>
                <c:pt idx="13">
                  <c:v>0.86</c:v>
                </c:pt>
                <c:pt idx="14">
                  <c:v>0.87</c:v>
                </c:pt>
                <c:pt idx="15">
                  <c:v>0.85</c:v>
                </c:pt>
                <c:pt idx="16">
                  <c:v>0.92</c:v>
                </c:pt>
                <c:pt idx="17">
                  <c:v>0.9</c:v>
                </c:pt>
                <c:pt idx="18">
                  <c:v>0.88</c:v>
                </c:pt>
                <c:pt idx="19">
                  <c:v>0.96</c:v>
                </c:pt>
                <c:pt idx="20">
                  <c:v>0.98</c:v>
                </c:pt>
                <c:pt idx="21">
                  <c:v>0.78</c:v>
                </c:pt>
                <c:pt idx="22">
                  <c:v>0.89</c:v>
                </c:pt>
                <c:pt idx="23">
                  <c:v>0.89</c:v>
                </c:pt>
                <c:pt idx="24">
                  <c:v>0.62</c:v>
                </c:pt>
                <c:pt idx="25">
                  <c:v>0.74</c:v>
                </c:pt>
                <c:pt idx="26">
                  <c:v>0.86</c:v>
                </c:pt>
                <c:pt idx="27">
                  <c:v>0.93</c:v>
                </c:pt>
                <c:pt idx="28">
                  <c:v>0.93</c:v>
                </c:pt>
                <c:pt idx="29">
                  <c:v>0.87</c:v>
                </c:pt>
                <c:pt idx="30">
                  <c:v>0.93</c:v>
                </c:pt>
                <c:pt idx="31">
                  <c:v>0.94000000000000006</c:v>
                </c:pt>
                <c:pt idx="32">
                  <c:v>0.94000000000000006</c:v>
                </c:pt>
                <c:pt idx="33">
                  <c:v>0.94000000000000006</c:v>
                </c:pt>
                <c:pt idx="34">
                  <c:v>0.89</c:v>
                </c:pt>
                <c:pt idx="35">
                  <c:v>0.86</c:v>
                </c:pt>
                <c:pt idx="36">
                  <c:v>0.96</c:v>
                </c:pt>
                <c:pt idx="37">
                  <c:v>0.97</c:v>
                </c:pt>
                <c:pt idx="38">
                  <c:v>0.97</c:v>
                </c:pt>
                <c:pt idx="39">
                  <c:v>0.97</c:v>
                </c:pt>
                <c:pt idx="40">
                  <c:v>0.99</c:v>
                </c:pt>
                <c:pt idx="41">
                  <c:v>0.99</c:v>
                </c:pt>
                <c:pt idx="42">
                  <c:v>0.95000000000000007</c:v>
                </c:pt>
                <c:pt idx="43">
                  <c:v>0.97</c:v>
                </c:pt>
                <c:pt idx="44">
                  <c:v>0.98</c:v>
                </c:pt>
                <c:pt idx="45">
                  <c:v>0.88</c:v>
                </c:pt>
                <c:pt idx="46">
                  <c:v>0.94</c:v>
                </c:pt>
                <c:pt idx="47">
                  <c:v>0.93</c:v>
                </c:pt>
                <c:pt idx="54" formatCode="General">
                  <c:v>1.1221294613455999</c:v>
                </c:pt>
                <c:pt idx="55" formatCode="General">
                  <c:v>0.75231958695312873</c:v>
                </c:pt>
                <c:pt idx="56" formatCode="General">
                  <c:v>0.78614562339261551</c:v>
                </c:pt>
                <c:pt idx="57" formatCode="General">
                  <c:v>0.56243630048797366</c:v>
                </c:pt>
              </c:numCache>
              <c:extLst xmlns:c15="http://schemas.microsoft.com/office/drawing/2012/chart"/>
            </c:numRef>
          </c:val>
          <c:smooth val="0"/>
          <c:extLst>
            <c:ext xmlns:c16="http://schemas.microsoft.com/office/drawing/2014/chart" uri="{C3380CC4-5D6E-409C-BE32-E72D297353CC}">
              <c16:uniqueId val="{00000000-64D3-49E7-BCD2-99B7512465E3}"/>
            </c:ext>
          </c:extLst>
        </c:ser>
        <c:dLbls>
          <c:showLegendKey val="0"/>
          <c:showVal val="0"/>
          <c:showCatName val="0"/>
          <c:showSerName val="0"/>
          <c:showPercent val="0"/>
          <c:showBubbleSize val="0"/>
        </c:dLbls>
        <c:smooth val="0"/>
        <c:axId val="352417688"/>
        <c:axId val="352418080"/>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month</c:v>
                      </c:pt>
                    </c:strCache>
                  </c:strRef>
                </c:tx>
                <c:spPr>
                  <a:ln w="28575" cap="rnd">
                    <a:solidFill>
                      <a:schemeClr val="accent1"/>
                    </a:solidFill>
                    <a:round/>
                  </a:ln>
                  <a:effectLst/>
                </c:spPr>
                <c:marker>
                  <c:symbol val="none"/>
                </c:marker>
                <c:cat>
                  <c:numRef>
                    <c:extLst>
                      <c:ext uri="{02D57815-91ED-43cb-92C2-25804820EDAC}">
                        <c15:formulaRef>
                          <c15:sqref>Sheet1!$A$2:$A$49</c15:sqref>
                        </c15:formulaRef>
                      </c:ext>
                    </c:extLst>
                    <c:numCache>
                      <c:formatCode>mmm\-yy</c:formatCode>
                      <c:ptCount val="48"/>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cat>
                <c:val>
                  <c:numRef>
                    <c:extLst>
                      <c:ext uri="{02D57815-91ED-43cb-92C2-25804820EDAC}">
                        <c15:formulaRef>
                          <c15:sqref>Sheet1!$A$2:$A$90</c15:sqref>
                        </c15:formulaRef>
                      </c:ext>
                    </c:extLst>
                    <c:numCache>
                      <c:formatCode>mmm\-yy</c:formatCode>
                      <c:ptCount val="89"/>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val>
                <c:smooth val="0"/>
                <c:extLst>
                  <c:ext xmlns:c16="http://schemas.microsoft.com/office/drawing/2014/chart" uri="{C3380CC4-5D6E-409C-BE32-E72D297353CC}">
                    <c16:uniqueId val="{00000001-64D3-49E7-BCD2-99B7512465E3}"/>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Sheet1!$B$1</c15:sqref>
                        </c15:formulaRef>
                      </c:ext>
                    </c:extLst>
                    <c:strCache>
                      <c:ptCount val="1"/>
                      <c:pt idx="0">
                        <c:v>Hand Hygiene Compliance</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extLst xmlns:c15="http://schemas.microsoft.com/office/drawing/2012/chart">
                      <c:ext xmlns:c15="http://schemas.microsoft.com/office/drawing/2012/chart" uri="{02D57815-91ED-43cb-92C2-25804820EDAC}">
                        <c15:formulaRef>
                          <c15:sqref>Sheet1!$A$2:$A$49</c15:sqref>
                        </c15:formulaRef>
                      </c:ext>
                    </c:extLst>
                    <c:numCache>
                      <c:formatCode>mmm\-yy</c:formatCode>
                      <c:ptCount val="48"/>
                      <c:pt idx="0">
                        <c:v>41091</c:v>
                      </c:pt>
                      <c:pt idx="1">
                        <c:v>41122</c:v>
                      </c:pt>
                      <c:pt idx="2">
                        <c:v>41153</c:v>
                      </c:pt>
                      <c:pt idx="3">
                        <c:v>41183</c:v>
                      </c:pt>
                      <c:pt idx="4">
                        <c:v>41214</c:v>
                      </c:pt>
                      <c:pt idx="5">
                        <c:v>41244</c:v>
                      </c:pt>
                      <c:pt idx="6">
                        <c:v>41275</c:v>
                      </c:pt>
                      <c:pt idx="7">
                        <c:v>41306</c:v>
                      </c:pt>
                      <c:pt idx="8">
                        <c:v>41334</c:v>
                      </c:pt>
                      <c:pt idx="9">
                        <c:v>41365</c:v>
                      </c:pt>
                      <c:pt idx="10">
                        <c:v>41395</c:v>
                      </c:pt>
                      <c:pt idx="11">
                        <c:v>41426</c:v>
                      </c:pt>
                      <c:pt idx="12">
                        <c:v>41456</c:v>
                      </c:pt>
                      <c:pt idx="13">
                        <c:v>41487</c:v>
                      </c:pt>
                      <c:pt idx="14">
                        <c:v>41518</c:v>
                      </c:pt>
                      <c:pt idx="15">
                        <c:v>41548</c:v>
                      </c:pt>
                      <c:pt idx="16">
                        <c:v>41579</c:v>
                      </c:pt>
                      <c:pt idx="17">
                        <c:v>41609</c:v>
                      </c:pt>
                      <c:pt idx="18">
                        <c:v>41640</c:v>
                      </c:pt>
                      <c:pt idx="19">
                        <c:v>41671</c:v>
                      </c:pt>
                      <c:pt idx="20">
                        <c:v>41699</c:v>
                      </c:pt>
                      <c:pt idx="21">
                        <c:v>41730</c:v>
                      </c:pt>
                      <c:pt idx="22">
                        <c:v>41760</c:v>
                      </c:pt>
                      <c:pt idx="23">
                        <c:v>41791</c:v>
                      </c:pt>
                      <c:pt idx="24">
                        <c:v>41821</c:v>
                      </c:pt>
                      <c:pt idx="25">
                        <c:v>41852</c:v>
                      </c:pt>
                      <c:pt idx="26">
                        <c:v>41883</c:v>
                      </c:pt>
                      <c:pt idx="27">
                        <c:v>41913</c:v>
                      </c:pt>
                      <c:pt idx="28">
                        <c:v>41944</c:v>
                      </c:pt>
                      <c:pt idx="29">
                        <c:v>41974</c:v>
                      </c:pt>
                      <c:pt idx="30">
                        <c:v>42005</c:v>
                      </c:pt>
                      <c:pt idx="31">
                        <c:v>42036</c:v>
                      </c:pt>
                      <c:pt idx="32">
                        <c:v>42064</c:v>
                      </c:pt>
                      <c:pt idx="33">
                        <c:v>42095</c:v>
                      </c:pt>
                      <c:pt idx="34">
                        <c:v>42125</c:v>
                      </c:pt>
                      <c:pt idx="35">
                        <c:v>42156</c:v>
                      </c:pt>
                      <c:pt idx="36">
                        <c:v>42186</c:v>
                      </c:pt>
                      <c:pt idx="37">
                        <c:v>42217</c:v>
                      </c:pt>
                      <c:pt idx="38">
                        <c:v>42248</c:v>
                      </c:pt>
                      <c:pt idx="39">
                        <c:v>42278</c:v>
                      </c:pt>
                      <c:pt idx="40">
                        <c:v>42309</c:v>
                      </c:pt>
                      <c:pt idx="41">
                        <c:v>42339</c:v>
                      </c:pt>
                      <c:pt idx="42">
                        <c:v>42370</c:v>
                      </c:pt>
                      <c:pt idx="43">
                        <c:v>42401</c:v>
                      </c:pt>
                      <c:pt idx="44">
                        <c:v>42430</c:v>
                      </c:pt>
                      <c:pt idx="45">
                        <c:v>42461</c:v>
                      </c:pt>
                      <c:pt idx="46">
                        <c:v>42491</c:v>
                      </c:pt>
                      <c:pt idx="47">
                        <c:v>42522</c:v>
                      </c:pt>
                    </c:numCache>
                  </c:numRef>
                </c:cat>
                <c:val>
                  <c:numRef>
                    <c:extLst xmlns:c15="http://schemas.microsoft.com/office/drawing/2012/chart">
                      <c:ext xmlns:c15="http://schemas.microsoft.com/office/drawing/2012/chart" uri="{02D57815-91ED-43cb-92C2-25804820EDAC}">
                        <c15:formulaRef>
                          <c15:sqref>Sheet1!$B$2:$B$90</c15:sqref>
                        </c15:formulaRef>
                      </c:ext>
                    </c:extLst>
                    <c:numCache>
                      <c:formatCode>0.00%</c:formatCode>
                      <c:ptCount val="89"/>
                      <c:pt idx="0">
                        <c:v>0.98499399759903961</c:v>
                      </c:pt>
                      <c:pt idx="1">
                        <c:v>0.96162201303403338</c:v>
                      </c:pt>
                      <c:pt idx="2">
                        <c:v>0.95436022819885902</c:v>
                      </c:pt>
                      <c:pt idx="3">
                        <c:v>0.94190268700072621</c:v>
                      </c:pt>
                      <c:pt idx="4">
                        <c:v>0.95184135977337103</c:v>
                      </c:pt>
                      <c:pt idx="5">
                        <c:v>0.95080645161290323</c:v>
                      </c:pt>
                      <c:pt idx="6">
                        <c:v>0.94828957836117733</c:v>
                      </c:pt>
                      <c:pt idx="7">
                        <c:v>0.95298245614035082</c:v>
                      </c:pt>
                      <c:pt idx="8">
                        <c:v>0.95405078597339776</c:v>
                      </c:pt>
                      <c:pt idx="9">
                        <c:v>0.97233666862860502</c:v>
                      </c:pt>
                      <c:pt idx="10">
                        <c:v>0.98405103668261562</c:v>
                      </c:pt>
                      <c:pt idx="11">
                        <c:v>0.97617664148750716</c:v>
                      </c:pt>
                      <c:pt idx="12">
                        <c:v>0.97033656588705075</c:v>
                      </c:pt>
                      <c:pt idx="13">
                        <c:v>0.97189981673793524</c:v>
                      </c:pt>
                      <c:pt idx="14">
                        <c:v>0.96859903381642509</c:v>
                      </c:pt>
                      <c:pt idx="15">
                        <c:v>0.97639751552795029</c:v>
                      </c:pt>
                      <c:pt idx="16">
                        <c:v>0.9684940138626339</c:v>
                      </c:pt>
                      <c:pt idx="17">
                        <c:v>0.97583971714790807</c:v>
                      </c:pt>
                      <c:pt idx="18">
                        <c:v>0.96832579185520362</c:v>
                      </c:pt>
                      <c:pt idx="19">
                        <c:v>0.95781959766385472</c:v>
                      </c:pt>
                      <c:pt idx="20">
                        <c:v>0.95662797800855215</c:v>
                      </c:pt>
                      <c:pt idx="21">
                        <c:v>0.95704779189352696</c:v>
                      </c:pt>
                      <c:pt idx="22">
                        <c:v>0.95992485911083281</c:v>
                      </c:pt>
                      <c:pt idx="23">
                        <c:v>0.96681277395115839</c:v>
                      </c:pt>
                      <c:pt idx="24">
                        <c:v>0.95735607675906176</c:v>
                      </c:pt>
                      <c:pt idx="25">
                        <c:v>0.97035430224150399</c:v>
                      </c:pt>
                      <c:pt idx="26">
                        <c:v>0.95763993948562787</c:v>
                      </c:pt>
                      <c:pt idx="27">
                        <c:v>0.9605346912794398</c:v>
                      </c:pt>
                      <c:pt idx="28">
                        <c:v>0.96296296296296291</c:v>
                      </c:pt>
                      <c:pt idx="29">
                        <c:v>0.97338173018753782</c:v>
                      </c:pt>
                      <c:pt idx="30">
                        <c:v>0.9671132764920829</c:v>
                      </c:pt>
                      <c:pt idx="31">
                        <c:v>0.97604790419161669</c:v>
                      </c:pt>
                      <c:pt idx="32">
                        <c:v>0.96869244935543275</c:v>
                      </c:pt>
                      <c:pt idx="33">
                        <c:v>0.97031539888682738</c:v>
                      </c:pt>
                      <c:pt idx="34">
                        <c:v>0.97773411918795017</c:v>
                      </c:pt>
                      <c:pt idx="35">
                        <c:v>0.98185231539424278</c:v>
                      </c:pt>
                      <c:pt idx="36">
                        <c:v>0.97728706624605677</c:v>
                      </c:pt>
                      <c:pt idx="37">
                        <c:v>0.97376839411388361</c:v>
                      </c:pt>
                      <c:pt idx="38">
                        <c:v>0.98355037697052783</c:v>
                      </c:pt>
                      <c:pt idx="39">
                        <c:v>0.97620538509705701</c:v>
                      </c:pt>
                      <c:pt idx="40">
                        <c:v>0.98210980876002463</c:v>
                      </c:pt>
                      <c:pt idx="41">
                        <c:v>0.98241206030150752</c:v>
                      </c:pt>
                      <c:pt idx="42">
                        <c:v>0.97208121827411165</c:v>
                      </c:pt>
                      <c:pt idx="43">
                        <c:v>0.97727272727272729</c:v>
                      </c:pt>
                      <c:pt idx="44">
                        <c:v>0.96950840074673306</c:v>
                      </c:pt>
                      <c:pt idx="45">
                        <c:v>0.97686715135492408</c:v>
                      </c:pt>
                      <c:pt idx="46">
                        <c:v>0.97289999999999999</c:v>
                      </c:pt>
                      <c:pt idx="47">
                        <c:v>0.97570000000000001</c:v>
                      </c:pt>
                    </c:numCache>
                  </c:numRef>
                </c:val>
                <c:smooth val="0"/>
                <c:extLst xmlns:c15="http://schemas.microsoft.com/office/drawing/2012/chart">
                  <c:ext xmlns:c16="http://schemas.microsoft.com/office/drawing/2014/chart" uri="{C3380CC4-5D6E-409C-BE32-E72D297353CC}">
                    <c16:uniqueId val="{00000002-64D3-49E7-BCD2-99B7512465E3}"/>
                  </c:ext>
                </c:extLst>
              </c15:ser>
            </c15:filteredLineSeries>
          </c:ext>
        </c:extLst>
      </c:lineChart>
      <c:dateAx>
        <c:axId val="35241768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2418080"/>
        <c:crosses val="autoZero"/>
        <c:auto val="1"/>
        <c:lblOffset val="100"/>
        <c:baseTimeUnit val="months"/>
      </c:dateAx>
      <c:valAx>
        <c:axId val="35241808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2417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28</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 Hillary</dc:creator>
  <cp:keywords/>
  <dc:description/>
  <cp:lastModifiedBy>Hei, Hillary</cp:lastModifiedBy>
  <cp:revision>4</cp:revision>
  <dcterms:created xsi:type="dcterms:W3CDTF">2018-05-16T19:49:00Z</dcterms:created>
  <dcterms:modified xsi:type="dcterms:W3CDTF">2018-05-17T18:43:00Z</dcterms:modified>
</cp:coreProperties>
</file>