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788F" w:rsidRPr="00F95548" w:rsidRDefault="0052677A" w:rsidP="0052677A">
      <w:pPr>
        <w:jc w:val="center"/>
        <w:rPr>
          <w:rFonts w:ascii="Times New Roman" w:hAnsi="Times New Roman" w:cs="Times New Roman"/>
          <w:b/>
        </w:rPr>
      </w:pPr>
      <w:r w:rsidRPr="00F95548">
        <w:rPr>
          <w:rFonts w:ascii="Times New Roman" w:hAnsi="Times New Roman" w:cs="Times New Roman"/>
          <w:b/>
          <w:sz w:val="28"/>
        </w:rPr>
        <w:t xml:space="preserve">Supplementary </w:t>
      </w:r>
      <w:r w:rsidR="00FD526B" w:rsidRPr="00F95548">
        <w:rPr>
          <w:rFonts w:ascii="Times New Roman" w:hAnsi="Times New Roman" w:cs="Times New Roman"/>
          <w:b/>
          <w:sz w:val="28"/>
        </w:rPr>
        <w:t>Document</w:t>
      </w:r>
      <w:r w:rsidRPr="00F95548">
        <w:rPr>
          <w:rFonts w:ascii="Times New Roman" w:hAnsi="Times New Roman" w:cs="Times New Roman"/>
          <w:b/>
        </w:rPr>
        <w:t xml:space="preserve"> </w:t>
      </w:r>
    </w:p>
    <w:p w:rsidR="00FD526B" w:rsidRPr="00F95548" w:rsidRDefault="00FD526B" w:rsidP="00FD526B">
      <w:pPr>
        <w:widowControl/>
        <w:spacing w:after="140" w:line="288" w:lineRule="auto"/>
        <w:rPr>
          <w:rFonts w:ascii="Times New Roman" w:eastAsia="新細明體" w:hAnsi="Times New Roman" w:cs="Times New Roman"/>
          <w:kern w:val="0"/>
        </w:rPr>
      </w:pPr>
    </w:p>
    <w:p w:rsidR="00F95548" w:rsidRPr="00F95548" w:rsidRDefault="00F95548" w:rsidP="00FD526B">
      <w:pPr>
        <w:widowControl/>
        <w:spacing w:after="140" w:line="288" w:lineRule="auto"/>
        <w:rPr>
          <w:rFonts w:ascii="Times New Roman" w:eastAsia="新細明體" w:hAnsi="Times New Roman" w:cs="Times New Roman"/>
          <w:kern w:val="0"/>
        </w:rPr>
      </w:pPr>
      <w:r w:rsidRPr="00F95548">
        <w:rPr>
          <w:rFonts w:ascii="Times New Roman" w:eastAsia="新細明體" w:hAnsi="Times New Roman" w:cs="Times New Roman"/>
          <w:kern w:val="0"/>
        </w:rPr>
        <w:t>Supplementary Table 1. Procedures and the corresponding codes in the study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529"/>
        <w:gridCol w:w="2777"/>
      </w:tblGrid>
      <w:tr w:rsidR="00FD526B" w:rsidRPr="00F95548" w:rsidTr="00FD526B">
        <w:tc>
          <w:tcPr>
            <w:tcW w:w="5529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Type of Procedure</w:t>
            </w:r>
          </w:p>
        </w:tc>
        <w:tc>
          <w:tcPr>
            <w:tcW w:w="2777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Code </w:t>
            </w:r>
          </w:p>
        </w:tc>
      </w:tr>
      <w:tr w:rsidR="00FD526B" w:rsidRPr="00F95548" w:rsidTr="00FD526B">
        <w:tc>
          <w:tcPr>
            <w:tcW w:w="5529" w:type="dxa"/>
            <w:tcBorders>
              <w:top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Total hip joint replacement </w:t>
            </w:r>
          </w:p>
        </w:tc>
        <w:tc>
          <w:tcPr>
            <w:tcW w:w="2777" w:type="dxa"/>
            <w:tcBorders>
              <w:top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64164B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Total knee replacement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64162B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Periodontal treatment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Full mouth scaling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91004C,91104C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Subgingival curettage, root planing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91006C, 91007C,91008C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91009C, 91010C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Non-surgical extraction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92013C, 92014C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Invasive oral surgery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Surgical extraction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92015C,92016C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Cyst enucleatation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92017C,92018B,92019B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Oral soft tumor excision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92020B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Apicoectomy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92030C,92031C,92032C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Hemisection or root amputatation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92033C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Alveoloplasty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92041C,92042C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Autotransplantation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92045A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Surgical exposure 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92050C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Bone tumor excision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92056C,92057C,92058C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Surgical removal of tooth or foreign body in maxillary sinus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92059C</w:t>
            </w:r>
          </w:p>
        </w:tc>
      </w:tr>
      <w:tr w:rsidR="00FD526B" w:rsidRPr="00F95548" w:rsidTr="00FD526B">
        <w:tc>
          <w:tcPr>
            <w:tcW w:w="5529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Surgical removal of deep bony impaction of jaws</w:t>
            </w:r>
          </w:p>
        </w:tc>
        <w:tc>
          <w:tcPr>
            <w:tcW w:w="2777" w:type="dxa"/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92063C</w:t>
            </w:r>
          </w:p>
        </w:tc>
      </w:tr>
      <w:tr w:rsidR="00FD526B" w:rsidRPr="00F95548" w:rsidTr="00FD526B">
        <w:trPr>
          <w:trHeight w:val="60"/>
        </w:trPr>
        <w:tc>
          <w:tcPr>
            <w:tcW w:w="5529" w:type="dxa"/>
            <w:tcBorders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Surgical removal of foreign body in pterygomandibular space, submandibular space, etc</w:t>
            </w:r>
          </w:p>
        </w:tc>
        <w:tc>
          <w:tcPr>
            <w:tcW w:w="2777" w:type="dxa"/>
            <w:tcBorders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92064C</w:t>
            </w:r>
          </w:p>
        </w:tc>
      </w:tr>
    </w:tbl>
    <w:p w:rsidR="00FD526B" w:rsidRPr="00F95548" w:rsidRDefault="00FD526B" w:rsidP="00FD526B">
      <w:pPr>
        <w:widowControl/>
        <w:spacing w:after="140" w:line="480" w:lineRule="auto"/>
        <w:rPr>
          <w:rFonts w:ascii="Times New Roman" w:eastAsia="新細明體" w:hAnsi="Times New Roman" w:cs="Times New Roman"/>
          <w:kern w:val="0"/>
        </w:rPr>
      </w:pPr>
    </w:p>
    <w:p w:rsidR="00FD526B" w:rsidRPr="00F95548" w:rsidRDefault="00FD526B" w:rsidP="00FD526B">
      <w:pPr>
        <w:widowControl/>
        <w:spacing w:after="140" w:line="480" w:lineRule="auto"/>
        <w:rPr>
          <w:rFonts w:ascii="Times New Roman" w:eastAsia="新細明體" w:hAnsi="Times New Roman" w:cs="Times New Roman"/>
          <w:kern w:val="0"/>
        </w:rPr>
      </w:pPr>
    </w:p>
    <w:p w:rsidR="00FD526B" w:rsidRPr="00F95548" w:rsidRDefault="00FD526B" w:rsidP="00FD526B">
      <w:pPr>
        <w:widowControl/>
        <w:spacing w:after="140" w:line="480" w:lineRule="auto"/>
        <w:rPr>
          <w:rFonts w:ascii="Times New Roman" w:eastAsia="新細明體" w:hAnsi="Times New Roman" w:cs="Times New Roman"/>
          <w:kern w:val="0"/>
        </w:rPr>
      </w:pPr>
    </w:p>
    <w:p w:rsidR="00FD526B" w:rsidRPr="00F95548" w:rsidRDefault="00FD526B" w:rsidP="00FD526B">
      <w:pPr>
        <w:widowControl/>
        <w:spacing w:after="140" w:line="480" w:lineRule="auto"/>
        <w:rPr>
          <w:rFonts w:ascii="Times New Roman" w:eastAsia="新細明體" w:hAnsi="Times New Roman" w:cs="Times New Roman"/>
          <w:kern w:val="0"/>
        </w:rPr>
      </w:pPr>
    </w:p>
    <w:p w:rsidR="00FD526B" w:rsidRPr="00F95548" w:rsidRDefault="00FD526B" w:rsidP="00FD526B">
      <w:pPr>
        <w:widowControl/>
        <w:spacing w:after="140" w:line="480" w:lineRule="auto"/>
        <w:rPr>
          <w:rFonts w:ascii="Times New Roman" w:eastAsia="新細明體" w:hAnsi="Times New Roman" w:cs="Times New Roman"/>
          <w:kern w:val="0"/>
        </w:rPr>
      </w:pPr>
    </w:p>
    <w:p w:rsidR="00FD526B" w:rsidRPr="00F95548" w:rsidRDefault="00FD526B" w:rsidP="00FD526B">
      <w:pPr>
        <w:widowControl/>
        <w:rPr>
          <w:rFonts w:ascii="Times New Roman" w:eastAsia="新細明體" w:hAnsi="Times New Roman" w:cs="Times New Roman"/>
          <w:kern w:val="0"/>
        </w:rPr>
        <w:sectPr w:rsidR="00FD526B" w:rsidRPr="00F9554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FD526B" w:rsidRPr="00F95548" w:rsidRDefault="00F95548" w:rsidP="00FD526B">
      <w:pPr>
        <w:widowControl/>
        <w:rPr>
          <w:rFonts w:ascii="Times New Roman" w:eastAsia="新細明體" w:hAnsi="Times New Roman" w:cs="Times New Roman"/>
          <w:kern w:val="0"/>
        </w:rPr>
      </w:pPr>
      <w:r w:rsidRPr="00F95548">
        <w:rPr>
          <w:rFonts w:ascii="Times New Roman" w:eastAsia="新細明體" w:hAnsi="Times New Roman" w:cs="Times New Roman"/>
          <w:kern w:val="0"/>
        </w:rPr>
        <w:lastRenderedPageBreak/>
        <w:t>Supplementary Table 2. The codes for the definition of prosthetic infection following joint replacement.</w:t>
      </w:r>
    </w:p>
    <w:p w:rsidR="00FD526B" w:rsidRPr="00F95548" w:rsidRDefault="00FD526B" w:rsidP="00FD526B">
      <w:pPr>
        <w:widowControl/>
        <w:rPr>
          <w:rFonts w:ascii="Times New Roman" w:eastAsia="新細明體" w:hAnsi="Times New Roman" w:cs="Times New Roman"/>
          <w:kern w:val="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838"/>
        <w:gridCol w:w="2868"/>
        <w:gridCol w:w="2600"/>
      </w:tblGrid>
      <w:tr w:rsidR="00FD526B" w:rsidRPr="00F95548" w:rsidTr="00FD526B">
        <w:tc>
          <w:tcPr>
            <w:tcW w:w="310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ICD-</w:t>
            </w:r>
            <w:r w:rsidR="00F95548"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9-</w:t>
            </w: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CM</w:t>
            </w:r>
          </w:p>
        </w:tc>
        <w:tc>
          <w:tcPr>
            <w:tcW w:w="2914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exclusion</w:t>
            </w:r>
          </w:p>
        </w:tc>
        <w:tc>
          <w:tcPr>
            <w:tcW w:w="274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Intervention</w:t>
            </w:r>
          </w:p>
        </w:tc>
      </w:tr>
      <w:tr w:rsidR="00FD526B" w:rsidRPr="00F95548" w:rsidTr="00FD526B">
        <w:trPr>
          <w:trHeight w:val="11772"/>
        </w:trPr>
        <w:tc>
          <w:tcPr>
            <w:tcW w:w="3101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996.66; 996.67; 996.69 infection due to internal device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998.5; 998.51; 998.59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surgical wound infection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730 osteomyelitis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 Septic arthritis</w:t>
            </w:r>
          </w:p>
        </w:tc>
        <w:tc>
          <w:tcPr>
            <w:tcW w:w="2914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730.01~730.04 ; 730.07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 730.11~730.14;  730.17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730.21~730.24 ;  730.27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730.31~730.34 ;  730.37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730.7; 730.70~730.79 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730.81~730.84;  730.87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730.91~730.94 ;  730.97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711.01~711.04 ; 711.07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711.1; 711.10~711.19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711.2; 711.20~711.29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711.31~711.34 ; 711.37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711.41~711.44 ; 711.47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711.51~711.54 ; 711.57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 xml:space="preserve">711.61~711.64 ; 711.67 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711.7; 711.70~711.79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711.8; 711.81~711.89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711.91~711.94 ; 711.97</w:t>
            </w:r>
          </w:p>
        </w:tc>
        <w:tc>
          <w:tcPr>
            <w:tcW w:w="2745" w:type="dxa"/>
            <w:tcBorders>
              <w:top w:val="double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auto"/>
            <w:tcMar>
              <w:left w:w="108" w:type="dxa"/>
            </w:tcMar>
          </w:tcPr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Hip: 64005B, 64052B, 64054B, 64203B, 64198B, 48004C, 48005C, 48006C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Knee: 64004C, 64005B, 64053B, 64055B,64198B, 48004C, 48005C, 48006C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  <w:r w:rsidRPr="00F95548">
              <w:rPr>
                <w:rFonts w:ascii="Times New Roman" w:eastAsia="新細明體" w:hAnsi="Times New Roman" w:cs="Times New Roman"/>
                <w:kern w:val="0"/>
                <w:szCs w:val="24"/>
              </w:rPr>
              <w:t>Exclusion: 64003C, 64056B, 64057B, 64200B, 64199B</w:t>
            </w:r>
          </w:p>
          <w:p w:rsidR="00FD526B" w:rsidRPr="00F95548" w:rsidRDefault="00FD526B" w:rsidP="00FD526B">
            <w:pPr>
              <w:widowControl/>
              <w:rPr>
                <w:rFonts w:ascii="Times New Roman" w:eastAsia="新細明體" w:hAnsi="Times New Roman" w:cs="Times New Roman"/>
                <w:kern w:val="0"/>
                <w:szCs w:val="24"/>
              </w:rPr>
            </w:pPr>
          </w:p>
        </w:tc>
      </w:tr>
    </w:tbl>
    <w:p w:rsidR="00FD526B" w:rsidRPr="00F95548" w:rsidRDefault="00FD526B" w:rsidP="00FD526B">
      <w:pPr>
        <w:widowControl/>
        <w:rPr>
          <w:rFonts w:ascii="Times New Roman" w:eastAsia="新細明體" w:hAnsi="Times New Roman" w:cs="Times New Roman"/>
          <w:kern w:val="0"/>
        </w:rPr>
      </w:pPr>
    </w:p>
    <w:p w:rsidR="00A5771C" w:rsidRDefault="00F95548" w:rsidP="00FD526B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</w:rPr>
        <w:lastRenderedPageBreak/>
        <w:t>Supplementary Table 3.</w:t>
      </w:r>
      <w:r w:rsidR="00A5771C">
        <w:rPr>
          <w:rFonts w:ascii="Times New Roman" w:hAnsi="Times New Roman" w:cs="Times New Roman"/>
        </w:rPr>
        <w:t xml:space="preserve"> Risk of prosthetic joint infection according to types of dental procedures between patients with and those without antibiotic prophylaxis</w:t>
      </w:r>
    </w:p>
    <w:p w:rsidR="00FD526B" w:rsidRDefault="00F95548" w:rsidP="00FD526B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</w:rPr>
        <w:t xml:space="preserve"> </w:t>
      </w:r>
    </w:p>
    <w:tbl>
      <w:tblPr>
        <w:tblStyle w:val="a7"/>
        <w:tblW w:w="9782" w:type="dxa"/>
        <w:tblInd w:w="-851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709"/>
        <w:gridCol w:w="850"/>
        <w:gridCol w:w="1701"/>
        <w:gridCol w:w="709"/>
        <w:gridCol w:w="1701"/>
        <w:gridCol w:w="709"/>
      </w:tblGrid>
      <w:tr w:rsidR="00A5771C" w:rsidRPr="00D24EC1" w:rsidTr="00A5771C">
        <w:tc>
          <w:tcPr>
            <w:tcW w:w="3403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A5771C" w:rsidP="00A5771C">
            <w:pPr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 w:hint="eastAsia"/>
              </w:rPr>
              <w:t>Group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A5771C" w:rsidP="003A3D9C">
            <w:pPr>
              <w:jc w:val="center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 w:hint="eastAsia"/>
              </w:rPr>
              <w:t>Case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A5771C" w:rsidP="003A3D9C">
            <w:pPr>
              <w:jc w:val="center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 w:hint="eastAsia"/>
              </w:rPr>
              <w:t>Event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A5771C" w:rsidP="00A5771C">
            <w:pPr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 w:hint="eastAsia"/>
              </w:rPr>
              <w:t>OR</w:t>
            </w:r>
            <w:r w:rsidRPr="00D24EC1">
              <w:rPr>
                <w:rFonts w:ascii="Times New Roman" w:hAnsi="Times New Roman" w:cs="Times New Roman"/>
              </w:rPr>
              <w:t xml:space="preserve"> </w:t>
            </w:r>
            <w:r w:rsidRPr="00D24EC1">
              <w:rPr>
                <w:rFonts w:ascii="Times New Roman" w:hAnsi="Times New Roman" w:cs="Times New Roman" w:hint="eastAsia"/>
              </w:rPr>
              <w:t>(95%</w:t>
            </w:r>
            <w:r w:rsidRPr="00D24EC1">
              <w:rPr>
                <w:rFonts w:ascii="Times New Roman" w:hAnsi="Times New Roman" w:cs="Times New Roman"/>
              </w:rPr>
              <w:t xml:space="preserve"> </w:t>
            </w:r>
            <w:r w:rsidRPr="00D24EC1">
              <w:rPr>
                <w:rFonts w:ascii="Times New Roman" w:hAnsi="Times New Roman" w:cs="Times New Roman" w:hint="eastAsia"/>
              </w:rPr>
              <w:t>CI)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D24EC1" w:rsidP="00A5771C">
            <w:pPr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A5771C" w:rsidP="00A5771C">
            <w:pPr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 w:hint="eastAsia"/>
              </w:rPr>
              <w:t xml:space="preserve">HR </w:t>
            </w:r>
            <w:r w:rsidRPr="00D24EC1">
              <w:rPr>
                <w:rFonts w:ascii="Times New Roman" w:hAnsi="Times New Roman" w:cs="Times New Roman"/>
              </w:rPr>
              <w:t>(95%</w:t>
            </w:r>
            <w:r w:rsidR="00D24EC1">
              <w:rPr>
                <w:rFonts w:ascii="Times New Roman" w:hAnsi="Times New Roman" w:cs="Times New Roman"/>
              </w:rPr>
              <w:t xml:space="preserve"> </w:t>
            </w:r>
            <w:r w:rsidRPr="00D24EC1">
              <w:rPr>
                <w:rFonts w:ascii="Times New Roman" w:hAnsi="Times New Roman" w:cs="Times New Roman"/>
              </w:rPr>
              <w:t>CI)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</w:tcPr>
          <w:p w:rsidR="00A5771C" w:rsidRPr="00D24EC1" w:rsidRDefault="00D24EC1" w:rsidP="00A5771C">
            <w:pPr>
              <w:rPr>
                <w:rFonts w:ascii="Times New Roman" w:hAnsi="Times New Roman" w:cs="Times New Roman"/>
                <w:i/>
              </w:rPr>
            </w:pPr>
            <w:r w:rsidRPr="00D24EC1">
              <w:rPr>
                <w:rFonts w:ascii="Times New Roman" w:hAnsi="Times New Roman" w:cs="Times New Roman"/>
                <w:i/>
              </w:rPr>
              <w:t>P</w:t>
            </w:r>
          </w:p>
        </w:tc>
      </w:tr>
      <w:tr w:rsidR="00A5771C" w:rsidRPr="00A5771C" w:rsidTr="00A5771C">
        <w:tc>
          <w:tcPr>
            <w:tcW w:w="3403" w:type="dxa"/>
            <w:tcBorders>
              <w:top w:val="single" w:sz="4" w:space="0" w:color="auto"/>
            </w:tcBorders>
          </w:tcPr>
          <w:p w:rsidR="00A5771C" w:rsidRPr="00D24EC1" w:rsidRDefault="00A5771C" w:rsidP="00A5771C">
            <w:pPr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Non-Antibiotic</w:t>
            </w: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5771C" w:rsidRPr="00A5771C" w:rsidRDefault="00A5771C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A5771C" w:rsidRPr="00A5771C" w:rsidRDefault="00A5771C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5771C" w:rsidRPr="00A5771C" w:rsidRDefault="00A5771C" w:rsidP="00A577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5771C" w:rsidRPr="00A5771C" w:rsidRDefault="00A5771C" w:rsidP="00A577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A5771C" w:rsidRPr="00A5771C" w:rsidRDefault="00A5771C" w:rsidP="00A5771C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:rsidR="00A5771C" w:rsidRPr="00A5771C" w:rsidRDefault="00A5771C" w:rsidP="00A5771C">
            <w:pPr>
              <w:rPr>
                <w:rFonts w:ascii="Times New Roman" w:hAnsi="Times New Roman" w:cs="Times New Roman"/>
                <w:sz w:val="22"/>
              </w:rPr>
            </w:pPr>
          </w:p>
        </w:tc>
      </w:tr>
      <w:tr w:rsidR="00D24EC1" w:rsidRPr="00A5771C" w:rsidTr="00F51CC1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Periodontal treatment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4718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9</w:t>
            </w:r>
          </w:p>
        </w:tc>
        <w:tc>
          <w:tcPr>
            <w:tcW w:w="1701" w:type="dxa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Reference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Reference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D24EC1" w:rsidRPr="00A5771C" w:rsidTr="00806CE5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Non-surgical tooth extraction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1759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3</w:t>
            </w: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0.89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 w:hint="eastAsia"/>
                <w:sz w:val="22"/>
              </w:rPr>
              <w:t>(0.24-3.31)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/>
                <w:sz w:val="22"/>
              </w:rPr>
              <w:t>0.90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/>
                <w:sz w:val="22"/>
              </w:rPr>
              <w:t>(0.24-3.33)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0.88</w:t>
            </w:r>
          </w:p>
        </w:tc>
      </w:tr>
      <w:tr w:rsidR="00D24EC1" w:rsidRPr="00A5771C" w:rsidTr="00486773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Surgical tooth extraction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24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Not applicable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Not applicable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D24EC1" w:rsidRPr="00A5771C" w:rsidTr="00806CE5">
        <w:tc>
          <w:tcPr>
            <w:tcW w:w="3403" w:type="dxa"/>
          </w:tcPr>
          <w:p w:rsidR="00D24EC1" w:rsidRPr="00D24EC1" w:rsidRDefault="00D24EC1" w:rsidP="00D24EC1">
            <w:pPr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Antibiotic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  <w:tr w:rsidR="00D24EC1" w:rsidRPr="00A5771C" w:rsidTr="00806CE5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Periodontal treatment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3144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6</w:t>
            </w: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1.00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 w:hint="eastAsia"/>
                <w:sz w:val="22"/>
              </w:rPr>
              <w:t>(0.36-2.81)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0.96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/>
                <w:sz w:val="22"/>
              </w:rPr>
              <w:t>1.01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/>
                <w:sz w:val="22"/>
              </w:rPr>
              <w:t>(0.36-2.82)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0.99</w:t>
            </w:r>
          </w:p>
        </w:tc>
      </w:tr>
      <w:tr w:rsidR="00D24EC1" w:rsidRPr="00A5771C" w:rsidTr="00806CE5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Non-surgical tooth extraction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3257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7</w:t>
            </w: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1.13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 w:hint="eastAsia"/>
                <w:sz w:val="22"/>
              </w:rPr>
              <w:t>(0.42-3.03)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0.95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/>
                <w:sz w:val="22"/>
              </w:rPr>
              <w:t>1.14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A5771C">
              <w:rPr>
                <w:rFonts w:ascii="Times New Roman" w:hAnsi="Times New Roman" w:cs="Times New Roman"/>
                <w:sz w:val="22"/>
              </w:rPr>
              <w:t>(0.42-3.06)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0.80</w:t>
            </w:r>
          </w:p>
        </w:tc>
      </w:tr>
      <w:tr w:rsidR="00D24EC1" w:rsidRPr="00A5771C" w:rsidTr="00DD1976">
        <w:tc>
          <w:tcPr>
            <w:tcW w:w="3403" w:type="dxa"/>
          </w:tcPr>
          <w:p w:rsidR="00D24EC1" w:rsidRPr="00D24EC1" w:rsidRDefault="00D24EC1" w:rsidP="00D24EC1">
            <w:pPr>
              <w:ind w:firstLineChars="100" w:firstLine="240"/>
              <w:rPr>
                <w:rFonts w:ascii="Times New Roman" w:hAnsi="Times New Roman" w:cs="Times New Roman"/>
              </w:rPr>
            </w:pPr>
            <w:r w:rsidRPr="00D24EC1">
              <w:rPr>
                <w:rFonts w:ascii="Times New Roman" w:hAnsi="Times New Roman" w:cs="Times New Roman"/>
              </w:rPr>
              <w:t>Surgical tooth extraction</w:t>
            </w:r>
          </w:p>
        </w:tc>
        <w:tc>
          <w:tcPr>
            <w:tcW w:w="709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99</w:t>
            </w:r>
          </w:p>
        </w:tc>
        <w:tc>
          <w:tcPr>
            <w:tcW w:w="850" w:type="dxa"/>
          </w:tcPr>
          <w:p w:rsidR="00D24EC1" w:rsidRPr="00A5771C" w:rsidRDefault="00D24EC1" w:rsidP="003A3D9C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A5771C">
              <w:rPr>
                <w:rFonts w:ascii="Times New Roman" w:hAnsi="Times New Roman" w:cs="Times New Roman" w:hint="eastAsia"/>
                <w:sz w:val="22"/>
              </w:rPr>
              <w:t>0</w:t>
            </w:r>
          </w:p>
        </w:tc>
        <w:tc>
          <w:tcPr>
            <w:tcW w:w="1701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Not applicable</w:t>
            </w:r>
          </w:p>
        </w:tc>
        <w:tc>
          <w:tcPr>
            <w:tcW w:w="709" w:type="dxa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</w:p>
        </w:tc>
        <w:tc>
          <w:tcPr>
            <w:tcW w:w="1701" w:type="dxa"/>
            <w:shd w:val="clear" w:color="auto" w:fill="auto"/>
          </w:tcPr>
          <w:p w:rsidR="00D24EC1" w:rsidRPr="00A5771C" w:rsidRDefault="00D24EC1" w:rsidP="00D24EC1">
            <w:pPr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 w:hint="eastAsia"/>
                <w:sz w:val="22"/>
              </w:rPr>
              <w:t>Not applicable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24EC1" w:rsidRPr="00D24EC1" w:rsidRDefault="00D24EC1" w:rsidP="00D24EC1">
            <w:pPr>
              <w:jc w:val="center"/>
              <w:rPr>
                <w:rFonts w:ascii="Times New Roman" w:hAnsi="Times New Roman" w:cs="Times New Roman"/>
                <w:sz w:val="22"/>
              </w:rPr>
            </w:pPr>
          </w:p>
        </w:tc>
      </w:tr>
    </w:tbl>
    <w:p w:rsidR="00A5771C" w:rsidRPr="00A5771C" w:rsidRDefault="00A5771C" w:rsidP="00A5771C">
      <w:pPr>
        <w:rPr>
          <w:rFonts w:ascii="Times New Roman" w:hAnsi="Times New Roman" w:cs="Times New Roman"/>
        </w:rPr>
      </w:pPr>
    </w:p>
    <w:p w:rsidR="00494326" w:rsidRPr="00F95548" w:rsidRDefault="00494326" w:rsidP="00FD526B">
      <w:pPr>
        <w:rPr>
          <w:rFonts w:ascii="Times New Roman" w:hAnsi="Times New Roman" w:cs="Times New Roman"/>
        </w:rPr>
      </w:pPr>
    </w:p>
    <w:p w:rsidR="00FD526B" w:rsidRPr="00F95548" w:rsidRDefault="00FD526B">
      <w:pPr>
        <w:rPr>
          <w:rFonts w:ascii="Times New Roman" w:hAnsi="Times New Roman" w:cs="Times New Roman"/>
        </w:rPr>
        <w:sectPr w:rsidR="00FD526B" w:rsidRPr="00F9554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  <w:bookmarkStart w:id="0" w:name="_GoBack"/>
      <w:bookmarkEnd w:id="0"/>
    </w:p>
    <w:p w:rsidR="0052677A" w:rsidRPr="00F95548" w:rsidRDefault="0052677A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</w:rPr>
        <w:lastRenderedPageBreak/>
        <w:t>Figure 1. Flow diagram of subject identification and event definition.</w:t>
      </w:r>
    </w:p>
    <w:p w:rsidR="0052677A" w:rsidRPr="00F95548" w:rsidRDefault="008A0C6B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  <w:noProof/>
        </w:rPr>
        <w:drawing>
          <wp:inline distT="0" distB="0" distL="0" distR="0">
            <wp:extent cx="5274310" cy="687768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lementary_Figure 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7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526B" w:rsidRPr="00F95548" w:rsidRDefault="00FD526B">
      <w:pPr>
        <w:rPr>
          <w:rFonts w:ascii="Times New Roman" w:hAnsi="Times New Roman" w:cs="Times New Roman"/>
        </w:rPr>
      </w:pPr>
    </w:p>
    <w:p w:rsidR="008A0C6B" w:rsidRPr="00F95548" w:rsidRDefault="008A0C6B">
      <w:pPr>
        <w:rPr>
          <w:rFonts w:ascii="Times New Roman" w:hAnsi="Times New Roman" w:cs="Times New Roman"/>
        </w:rPr>
        <w:sectPr w:rsidR="008A0C6B" w:rsidRPr="00F95548">
          <w:pgSz w:w="11906" w:h="16838"/>
          <w:pgMar w:top="1440" w:right="1800" w:bottom="1440" w:left="1800" w:header="851" w:footer="992" w:gutter="0"/>
          <w:cols w:space="425"/>
          <w:docGrid w:type="lines" w:linePitch="360"/>
        </w:sectPr>
      </w:pPr>
    </w:p>
    <w:p w:rsidR="0052677A" w:rsidRPr="00F95548" w:rsidRDefault="0052677A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</w:rPr>
        <w:lastRenderedPageBreak/>
        <w:t xml:space="preserve">Figure 2. The forest plot illustrated no association between dental treatment and prosthetic joint infection across subgroups.  </w:t>
      </w:r>
    </w:p>
    <w:p w:rsidR="008A0C6B" w:rsidRPr="00F95548" w:rsidRDefault="008A0C6B">
      <w:pPr>
        <w:rPr>
          <w:rFonts w:ascii="Times New Roman" w:hAnsi="Times New Roman" w:cs="Times New Roman"/>
        </w:rPr>
      </w:pPr>
      <w:r w:rsidRPr="00F95548">
        <w:rPr>
          <w:rFonts w:ascii="Times New Roman" w:hAnsi="Times New Roman" w:cs="Times New Roman"/>
          <w:noProof/>
        </w:rPr>
        <w:drawing>
          <wp:inline distT="0" distB="0" distL="0" distR="0">
            <wp:extent cx="5274310" cy="653415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lementary_Figure 2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3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0C6B" w:rsidRPr="00F9554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5909" w:rsidRDefault="00935909" w:rsidP="00FD526B">
      <w:r>
        <w:separator/>
      </w:r>
    </w:p>
  </w:endnote>
  <w:endnote w:type="continuationSeparator" w:id="0">
    <w:p w:rsidR="00935909" w:rsidRDefault="00935909" w:rsidP="00FD52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5909" w:rsidRDefault="00935909" w:rsidP="00FD526B">
      <w:r>
        <w:separator/>
      </w:r>
    </w:p>
  </w:footnote>
  <w:footnote w:type="continuationSeparator" w:id="0">
    <w:p w:rsidR="00935909" w:rsidRDefault="00935909" w:rsidP="00FD52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677A"/>
    <w:rsid w:val="000D107D"/>
    <w:rsid w:val="003A3D9C"/>
    <w:rsid w:val="00494326"/>
    <w:rsid w:val="0052677A"/>
    <w:rsid w:val="008A0C6B"/>
    <w:rsid w:val="00935909"/>
    <w:rsid w:val="00A5771C"/>
    <w:rsid w:val="00A968DE"/>
    <w:rsid w:val="00BB71EE"/>
    <w:rsid w:val="00C8788F"/>
    <w:rsid w:val="00D24EC1"/>
    <w:rsid w:val="00E354AE"/>
    <w:rsid w:val="00F95548"/>
    <w:rsid w:val="00FD5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89B8C5-7894-4547-B018-8A42F964C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52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FD526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FD526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FD526B"/>
    <w:rPr>
      <w:sz w:val="20"/>
      <w:szCs w:val="20"/>
    </w:rPr>
  </w:style>
  <w:style w:type="table" w:styleId="a7">
    <w:name w:val="Table Grid"/>
    <w:basedOn w:val="a1"/>
    <w:uiPriority w:val="39"/>
    <w:rsid w:val="00A577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400</Words>
  <Characters>2285</Characters>
  <Application>Microsoft Office Word</Application>
  <DocSecurity>0</DocSecurity>
  <Lines>19</Lines>
  <Paragraphs>5</Paragraphs>
  <ScaleCrop>false</ScaleCrop>
  <Company/>
  <LinksUpToDate>false</LinksUpToDate>
  <CharactersWithSpaces>2680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Holden Hsu</dc:creator>
  <cp:keywords/>
  <dc:description/>
  <cp:lastModifiedBy>Holden Hsu</cp:lastModifiedBy>
  <cp:revision>6</cp:revision>
  <dcterms:created xsi:type="dcterms:W3CDTF">2016-08-23T04:05:00Z</dcterms:created>
  <dcterms:modified xsi:type="dcterms:W3CDTF">2016-08-23T06:24:00Z</dcterms:modified>
</cp:coreProperties>
</file>