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50" w:rsidRPr="006334C2" w:rsidRDefault="0005214B" w:rsidP="0005214B">
      <w:pPr>
        <w:jc w:val="center"/>
        <w:rPr>
          <w:b/>
          <w:lang w:val="en-US"/>
        </w:rPr>
      </w:pPr>
      <w:r w:rsidRPr="006334C2">
        <w:rPr>
          <w:b/>
          <w:lang w:val="en-US"/>
        </w:rPr>
        <w:t>Supplementary Information</w:t>
      </w:r>
    </w:p>
    <w:p w:rsidR="0005214B" w:rsidRPr="006334C2" w:rsidRDefault="0005214B" w:rsidP="0005214B">
      <w:pPr>
        <w:spacing w:line="480" w:lineRule="auto"/>
        <w:jc w:val="center"/>
        <w:rPr>
          <w:b/>
          <w:bCs/>
          <w:lang w:val="en-US"/>
        </w:rPr>
      </w:pPr>
      <w:r w:rsidRPr="006334C2">
        <w:rPr>
          <w:b/>
          <w:bCs/>
          <w:lang w:val="en-US"/>
        </w:rPr>
        <w:t>Sol-Gel Derived Silica/Polyethylene Glycol Hybrids as Potential Oligonucleotide Vectors</w:t>
      </w:r>
    </w:p>
    <w:p w:rsidR="0005214B" w:rsidRPr="006334C2" w:rsidRDefault="0005214B" w:rsidP="0005214B">
      <w:pPr>
        <w:jc w:val="center"/>
        <w:rPr>
          <w:b/>
          <w:lang w:val="en-US"/>
        </w:rPr>
      </w:pPr>
      <w:r w:rsidRPr="006334C2">
        <w:rPr>
          <w:b/>
          <w:lang w:val="en-US"/>
        </w:rPr>
        <w:t>Derya Kapusuz</w:t>
      </w:r>
    </w:p>
    <w:p w:rsidR="0005214B" w:rsidRPr="006334C2" w:rsidRDefault="007A0896" w:rsidP="0005214B">
      <w:pPr>
        <w:jc w:val="center"/>
        <w:rPr>
          <w:b/>
          <w:lang w:val="en-US"/>
        </w:rPr>
      </w:pPr>
      <w:r>
        <w:rPr>
          <w:b/>
          <w:noProof/>
          <w:lang w:eastAsia="tr-TR"/>
        </w:rPr>
        <w:drawing>
          <wp:inline distT="0" distB="0" distL="0" distR="0">
            <wp:extent cx="4400550" cy="3191271"/>
            <wp:effectExtent l="19050" t="0" r="0" b="0"/>
            <wp:docPr id="7" name="6 Resim" descr="Fi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1.jpg"/>
                    <pic:cNvPicPr/>
                  </pic:nvPicPr>
                  <pic:blipFill>
                    <a:blip r:embed="rId6" cstate="print"/>
                    <a:stretch>
                      <a:fillRect/>
                    </a:stretch>
                  </pic:blipFill>
                  <pic:spPr>
                    <a:xfrm>
                      <a:off x="0" y="0"/>
                      <a:ext cx="4411693" cy="3199352"/>
                    </a:xfrm>
                    <a:prstGeom prst="rect">
                      <a:avLst/>
                    </a:prstGeom>
                  </pic:spPr>
                </pic:pic>
              </a:graphicData>
            </a:graphic>
          </wp:inline>
        </w:drawing>
      </w:r>
    </w:p>
    <w:p w:rsidR="0005214B" w:rsidRDefault="0005214B" w:rsidP="0005214B">
      <w:pPr>
        <w:jc w:val="center"/>
        <w:rPr>
          <w:lang w:val="en-US"/>
        </w:rPr>
      </w:pPr>
      <w:proofErr w:type="gramStart"/>
      <w:r w:rsidRPr="006334C2">
        <w:rPr>
          <w:b/>
          <w:lang w:val="en-US"/>
        </w:rPr>
        <w:t>Fig S1.</w:t>
      </w:r>
      <w:proofErr w:type="gramEnd"/>
      <w:r w:rsidRPr="006334C2">
        <w:rPr>
          <w:b/>
          <w:lang w:val="en-US"/>
        </w:rPr>
        <w:t xml:space="preserve"> </w:t>
      </w:r>
      <w:r w:rsidRPr="006334C2">
        <w:rPr>
          <w:lang w:val="en-US"/>
        </w:rPr>
        <w:t xml:space="preserve">FTIR spectra of a) TEOS, </w:t>
      </w:r>
      <w:r w:rsidR="00FD144C">
        <w:rPr>
          <w:lang w:val="en-US"/>
        </w:rPr>
        <w:t>b</w:t>
      </w:r>
      <w:r w:rsidRPr="006334C2">
        <w:rPr>
          <w:lang w:val="en-US"/>
        </w:rPr>
        <w:t xml:space="preserve">) PEG and </w:t>
      </w:r>
      <w:r w:rsidR="00FD144C">
        <w:rPr>
          <w:lang w:val="en-US"/>
        </w:rPr>
        <w:t>c</w:t>
      </w:r>
      <w:r w:rsidRPr="006334C2">
        <w:rPr>
          <w:lang w:val="en-US"/>
        </w:rPr>
        <w:t xml:space="preserve">) Ethanol (EtOH) </w:t>
      </w:r>
      <w:r w:rsidR="00E054DD">
        <w:rPr>
          <w:lang w:val="en-US"/>
        </w:rPr>
        <w:t xml:space="preserve">in </w:t>
      </w:r>
      <w:r w:rsidR="00FD144C">
        <w:rPr>
          <w:lang w:val="en-US"/>
        </w:rPr>
        <w:t>4</w:t>
      </w:r>
      <w:r w:rsidR="00E054DD">
        <w:rPr>
          <w:lang w:val="en-US"/>
        </w:rPr>
        <w:t>000-400 cm</w:t>
      </w:r>
      <w:r w:rsidR="00E054DD" w:rsidRPr="00E054DD">
        <w:rPr>
          <w:vertAlign w:val="superscript"/>
          <w:lang w:val="en-US"/>
        </w:rPr>
        <w:t>-1</w:t>
      </w:r>
      <w:r w:rsidR="00E054DD">
        <w:rPr>
          <w:lang w:val="en-US"/>
        </w:rPr>
        <w:t xml:space="preserve"> </w:t>
      </w:r>
      <w:r w:rsidR="00FD144C">
        <w:rPr>
          <w:lang w:val="en-US"/>
        </w:rPr>
        <w:t xml:space="preserve">wavenumber </w:t>
      </w:r>
      <w:r w:rsidR="00E054DD">
        <w:rPr>
          <w:lang w:val="en-US"/>
        </w:rPr>
        <w:t>range.</w:t>
      </w:r>
    </w:p>
    <w:p w:rsidR="00FD144C" w:rsidRDefault="00FD144C" w:rsidP="0005214B">
      <w:pPr>
        <w:jc w:val="center"/>
        <w:rPr>
          <w:lang w:val="en-US"/>
        </w:rPr>
      </w:pPr>
      <w:r w:rsidRPr="00FD144C">
        <w:rPr>
          <w:noProof/>
          <w:lang w:eastAsia="tr-TR"/>
        </w:rPr>
        <w:drawing>
          <wp:inline distT="0" distB="0" distL="0" distR="0">
            <wp:extent cx="4023178" cy="2810282"/>
            <wp:effectExtent l="19050" t="0" r="0" b="0"/>
            <wp:docPr id="5" name="1 Resim" descr="Fig 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2.jpg"/>
                    <pic:cNvPicPr/>
                  </pic:nvPicPr>
                  <pic:blipFill>
                    <a:blip r:embed="rId7" cstate="print"/>
                    <a:stretch>
                      <a:fillRect/>
                    </a:stretch>
                  </pic:blipFill>
                  <pic:spPr>
                    <a:xfrm>
                      <a:off x="0" y="0"/>
                      <a:ext cx="4026718" cy="2812755"/>
                    </a:xfrm>
                    <a:prstGeom prst="rect">
                      <a:avLst/>
                    </a:prstGeom>
                  </pic:spPr>
                </pic:pic>
              </a:graphicData>
            </a:graphic>
          </wp:inline>
        </w:drawing>
      </w:r>
    </w:p>
    <w:p w:rsidR="00FD144C" w:rsidRPr="006334C2" w:rsidRDefault="00FD144C" w:rsidP="00FD144C">
      <w:pPr>
        <w:jc w:val="center"/>
        <w:rPr>
          <w:lang w:val="en-US"/>
        </w:rPr>
      </w:pPr>
      <w:proofErr w:type="gramStart"/>
      <w:r w:rsidRPr="006334C2">
        <w:rPr>
          <w:b/>
          <w:lang w:val="en-US"/>
        </w:rPr>
        <w:t>Fig S2.</w:t>
      </w:r>
      <w:proofErr w:type="gramEnd"/>
      <w:r w:rsidRPr="006334C2">
        <w:rPr>
          <w:b/>
          <w:lang w:val="en-US"/>
        </w:rPr>
        <w:t xml:space="preserve"> </w:t>
      </w:r>
      <w:r w:rsidRPr="006334C2">
        <w:rPr>
          <w:lang w:val="en-US"/>
        </w:rPr>
        <w:t xml:space="preserve">UV-Vis spectra of HG solutions at various concentrations (10-250 </w:t>
      </w:r>
      <w:r w:rsidRPr="006334C2">
        <w:rPr>
          <w:rFonts w:cs="Times New Roman"/>
          <w:lang w:val="en-US"/>
        </w:rPr>
        <w:t>µ</w:t>
      </w:r>
      <w:r w:rsidRPr="006334C2">
        <w:rPr>
          <w:lang w:val="en-US"/>
        </w:rPr>
        <w:t>g/mL)</w:t>
      </w:r>
    </w:p>
    <w:p w:rsidR="00FD144C" w:rsidRDefault="00FD144C" w:rsidP="0005214B">
      <w:pPr>
        <w:jc w:val="center"/>
        <w:rPr>
          <w:lang w:val="en-US"/>
        </w:rPr>
      </w:pPr>
    </w:p>
    <w:p w:rsidR="00FD144C" w:rsidRDefault="00FD144C" w:rsidP="0005214B">
      <w:pPr>
        <w:jc w:val="center"/>
        <w:rPr>
          <w:lang w:val="en-US"/>
        </w:rPr>
      </w:pPr>
    </w:p>
    <w:p w:rsidR="0005214B" w:rsidRDefault="00FD144C" w:rsidP="0005214B">
      <w:pPr>
        <w:jc w:val="center"/>
        <w:rPr>
          <w:b/>
          <w:lang w:val="en-US"/>
        </w:rPr>
      </w:pPr>
      <w:r>
        <w:rPr>
          <w:b/>
          <w:lang w:val="en-US"/>
        </w:rPr>
        <w:lastRenderedPageBreak/>
        <w:t>T</w:t>
      </w:r>
      <w:r w:rsidR="005C5B51">
        <w:rPr>
          <w:b/>
          <w:lang w:val="en-US"/>
        </w:rPr>
        <w:t>able S</w:t>
      </w:r>
      <w:r w:rsidR="00824B22">
        <w:rPr>
          <w:b/>
          <w:lang w:val="en-US"/>
        </w:rPr>
        <w:t>I</w:t>
      </w:r>
      <w:r w:rsidR="005C5B51">
        <w:rPr>
          <w:b/>
          <w:lang w:val="en-US"/>
        </w:rPr>
        <w:t xml:space="preserve">. </w:t>
      </w:r>
      <w:r w:rsidR="005C5B51" w:rsidRPr="000F295F">
        <w:rPr>
          <w:lang w:val="en-US"/>
        </w:rPr>
        <w:t>FTIR absorbance bands</w:t>
      </w:r>
      <w:r w:rsidR="005C5B51">
        <w:rPr>
          <w:b/>
          <w:lang w:val="en-US"/>
        </w:rPr>
        <w:t xml:space="preserve"> </w:t>
      </w:r>
    </w:p>
    <w:tbl>
      <w:tblPr>
        <w:tblW w:w="8738"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
        <w:gridCol w:w="708"/>
        <w:gridCol w:w="1728"/>
        <w:gridCol w:w="540"/>
        <w:gridCol w:w="709"/>
        <w:gridCol w:w="1708"/>
        <w:gridCol w:w="418"/>
        <w:gridCol w:w="851"/>
        <w:gridCol w:w="1559"/>
      </w:tblGrid>
      <w:tr w:rsidR="009C7DE3" w:rsidTr="000F295F">
        <w:trPr>
          <w:trHeight w:val="467"/>
        </w:trPr>
        <w:tc>
          <w:tcPr>
            <w:tcW w:w="2953" w:type="dxa"/>
            <w:gridSpan w:val="3"/>
            <w:tcBorders>
              <w:left w:val="single" w:sz="24" w:space="0" w:color="auto"/>
            </w:tcBorders>
            <w:shd w:val="clear" w:color="auto" w:fill="000000" w:themeFill="text1"/>
            <w:vAlign w:val="center"/>
          </w:tcPr>
          <w:p w:rsidR="009C7DE3" w:rsidRDefault="009C7DE3" w:rsidP="009C7DE3">
            <w:pPr>
              <w:spacing w:after="0"/>
              <w:jc w:val="center"/>
              <w:rPr>
                <w:b/>
                <w:lang w:val="en-US"/>
              </w:rPr>
            </w:pPr>
            <w:r>
              <w:rPr>
                <w:b/>
                <w:lang w:val="en-US"/>
              </w:rPr>
              <w:t>TEOS</w:t>
            </w:r>
          </w:p>
        </w:tc>
        <w:tc>
          <w:tcPr>
            <w:tcW w:w="2957" w:type="dxa"/>
            <w:gridSpan w:val="3"/>
            <w:shd w:val="clear" w:color="auto" w:fill="000000" w:themeFill="text1"/>
            <w:vAlign w:val="center"/>
          </w:tcPr>
          <w:p w:rsidR="009C7DE3" w:rsidRDefault="009C7DE3" w:rsidP="009C7DE3">
            <w:pPr>
              <w:spacing w:after="0"/>
              <w:jc w:val="center"/>
              <w:rPr>
                <w:b/>
                <w:lang w:val="en-US"/>
              </w:rPr>
            </w:pPr>
            <w:r>
              <w:rPr>
                <w:b/>
                <w:lang w:val="en-US"/>
              </w:rPr>
              <w:t>EtOH</w:t>
            </w:r>
          </w:p>
        </w:tc>
        <w:tc>
          <w:tcPr>
            <w:tcW w:w="2828" w:type="dxa"/>
            <w:gridSpan w:val="3"/>
            <w:tcBorders>
              <w:right w:val="single" w:sz="24" w:space="0" w:color="auto"/>
            </w:tcBorders>
            <w:shd w:val="clear" w:color="auto" w:fill="000000" w:themeFill="text1"/>
            <w:vAlign w:val="center"/>
          </w:tcPr>
          <w:p w:rsidR="009C7DE3" w:rsidRDefault="009C7DE3" w:rsidP="009C7DE3">
            <w:pPr>
              <w:spacing w:after="0"/>
              <w:jc w:val="center"/>
              <w:rPr>
                <w:b/>
                <w:lang w:val="en-US"/>
              </w:rPr>
            </w:pPr>
            <w:r>
              <w:rPr>
                <w:b/>
                <w:lang w:val="en-US"/>
              </w:rPr>
              <w:t>PEG</w:t>
            </w:r>
          </w:p>
        </w:tc>
      </w:tr>
      <w:tr w:rsidR="00ED436A" w:rsidTr="00ED436A">
        <w:trPr>
          <w:trHeight w:val="480"/>
        </w:trPr>
        <w:tc>
          <w:tcPr>
            <w:tcW w:w="517" w:type="dxa"/>
            <w:tcBorders>
              <w:left w:val="single" w:sz="24" w:space="0" w:color="auto"/>
            </w:tcBorders>
            <w:shd w:val="clear" w:color="auto" w:fill="000000" w:themeFill="text1"/>
            <w:vAlign w:val="center"/>
          </w:tcPr>
          <w:p w:rsidR="009C7DE3" w:rsidRDefault="00ED436A" w:rsidP="009C7DE3">
            <w:pPr>
              <w:spacing w:after="0"/>
              <w:jc w:val="center"/>
              <w:rPr>
                <w:b/>
                <w:lang w:val="en-US"/>
              </w:rPr>
            </w:pPr>
            <w:r w:rsidRPr="00913E2F">
              <w:rPr>
                <w:b/>
                <w:color w:val="FFFFFF" w:themeColor="background1"/>
                <w:lang w:val="en-US"/>
              </w:rPr>
              <w:t>#</w:t>
            </w:r>
          </w:p>
        </w:tc>
        <w:tc>
          <w:tcPr>
            <w:tcW w:w="708" w:type="dxa"/>
            <w:shd w:val="clear" w:color="auto" w:fill="000000" w:themeFill="text1"/>
            <w:vAlign w:val="center"/>
          </w:tcPr>
          <w:p w:rsidR="009C7DE3" w:rsidRDefault="009C7DE3" w:rsidP="009C7DE3">
            <w:pPr>
              <w:spacing w:after="0"/>
              <w:jc w:val="center"/>
              <w:rPr>
                <w:b/>
                <w:lang w:val="en-US"/>
              </w:rPr>
            </w:pPr>
            <w:r>
              <w:rPr>
                <w:b/>
                <w:lang w:val="en-US"/>
              </w:rPr>
              <w:t xml:space="preserve">Band </w:t>
            </w:r>
          </w:p>
        </w:tc>
        <w:tc>
          <w:tcPr>
            <w:tcW w:w="1728" w:type="dxa"/>
            <w:shd w:val="clear" w:color="auto" w:fill="000000" w:themeFill="text1"/>
            <w:vAlign w:val="center"/>
          </w:tcPr>
          <w:p w:rsidR="009C7DE3" w:rsidRDefault="009C7DE3" w:rsidP="00DA09FB">
            <w:pPr>
              <w:spacing w:after="0"/>
              <w:jc w:val="center"/>
              <w:rPr>
                <w:b/>
                <w:lang w:val="en-US"/>
              </w:rPr>
            </w:pPr>
            <w:r>
              <w:rPr>
                <w:b/>
                <w:lang w:val="en-US"/>
              </w:rPr>
              <w:t>Assignment</w:t>
            </w:r>
            <w:r w:rsidR="00DA09FB">
              <w:rPr>
                <w:b/>
                <w:lang w:val="en-US"/>
              </w:rPr>
              <w:t xml:space="preserve"> </w:t>
            </w:r>
            <w:r w:rsidR="002C0BF9">
              <w:rPr>
                <w:b/>
                <w:lang w:val="en-US"/>
              </w:rPr>
              <w:fldChar w:fldCharType="begin" w:fldLock="1"/>
            </w:r>
            <w:r w:rsidR="00A47155">
              <w:rPr>
                <w:b/>
                <w:lang w:val="en-US"/>
              </w:rPr>
              <w:instrText>ADDIN CSL_CITATION {"citationItems":[{"id":"ITEM-1","itemData":{"DOI":"10.1016/S0022-3093(05)80622-2","ISSN":"00223093","abstract":"Fourier-transform infrared and Raman spectroscopies were simultaneously used in order to study the time evolution of the acid-catalyzed hydrolysis and condensation of tetraethoxysilane (TEOS) in ethanol, to form silica xerogel. The transformation to vitreous silica by gradual densification of the gel was also monitored after different heat treatments. The extent of hydrolysis was revealed by the changes in intensity of the IR-active bands of TEOS at 793 cm- (Si{single bond}O asymmetric stretch), 1102 cm-1 (C{single bond}O asymmetric stretch), 1168 cm-1 (CH3 rocking) and 1400 cm-1 (CH2 wagging) and also the TEOS Raman-active bands corresponding to the strongly polarized Si{single bond}O symmetric stretch (656 cm-1) and the depolarized CH3 rocking (960 cm-1). The intensity of all these bands clearly decreased as the reactions proceeded. Good evidence for the formation of ethanol in the initial steps of hydrolysis and for the subsequent predominance of its evaporation was found in the occurrence of maximum intensities for its infrared and Raman-active bands due to deformation of CH3 or CH2 groups (881 cm-1) and CH2 bending (1275 cm-1), after a period of time. The intensity of these bands later decreased. The gel to glass conversion was followed through the disappearance of the infrared peaks at 554 cm-) (Si{single bond}OH rocking) and 940 cm-1 (Si{single bond}OH stretching), together with the intensity increase of the peaks at 800 and 1078 cm-1. The complementary nature of the IR and Raman spectroscopies is of great value for a complete understanding of the TEOS to silica glass transformation. © 1992 Elsevier Science Publishers B.V. All rights reserved.","author":[{"dropping-particle":"","family":"Matos","given":"M. C.","non-dropping-particle":"","parse-names":false,"suffix":""},{"dropping-particle":"","family":"Ilharco","given":"L. M.","non-dropping-particle":"","parse-names":false,"suffix":""},{"dropping-particle":"","family":"Almeida","given":"R. M.","non-dropping-particle":"","parse-names":false,"suffix":""}],"container-title":"Journal of Non-Crystalline Solids","id":"ITEM-1","issue":"C","issued":{"date-parts":[["1992","1","1"]]},"page":"232-237","publisher":"North-Holland","title":"The evolution of TEOS to silica gel and glass by vibrational spectroscopy","type":"article-journal","volume":"147-148"},"uris":["http://www.mendeley.com/documents/?uuid=f2c53f21-03ad-323c-9de0-6fd50786c820"]},{"id":"ITEM-2","itemData":{"DOI":"10.1080/00387019808006772","ISSN":"0038-7010","abstract":"Abstract The hydrolysis and polymerization of a non-catalyzed silica sol was investigated by Fourier Transform Infrared Spectroscopy (FT-IR) and deconvolution of the infrared spectra. The hydrolysi...","author":[{"dropping-particle":"","family":"Rubio","given":"F.","non-dropping-particle":"","parse-names":false,"suffix":""},{"dropping-particle":"","family":"Rubio","given":"J.","non-dropping-particle":"","parse-names":false,"suffix":""},{"dropping-particle":"","family":"Oteo","given":"J. L.","non-dropping-particle":"","parse-names":false,"suffix":""}],"container-title":"Spectroscopy Letters","id":"ITEM-2","issue":"1","issued":{"date-parts":[["1998","1"]]},"page":"199-219","publisher":"Taylor &amp; Francis Group","title":"A FT-IR Study of the Hydrolysis of Tetraethylorthosilicate[1] F. Rubio, J. Rubio, J.L. Oteo, A FT-IR Study of the Hydrolysis of Tetraethylorthosilicate (TEOS)., Spectrosc. Lett. 31 (1998) 199–219. doi:10.1080/00387019808006772. (TEOS).","type":"article-journal","volume":"31"},"uris":["http://www.mendeley.com/documents/?uuid=94bf21d6-1b15-3605-90f1-5449377b86eb"]}],"mendeley":{"formattedCitation":"&lt;sup&gt;1,2&lt;/sup&gt;","plainTextFormattedCitation":"1,2","previouslyFormattedCitation":"&lt;sup&gt;1,2&lt;/sup&gt;"},"properties":{"noteIndex":0},"schema":"https://github.com/citation-style-language/schema/raw/master/csl-citation.json"}</w:instrText>
            </w:r>
            <w:r w:rsidR="002C0BF9">
              <w:rPr>
                <w:b/>
                <w:lang w:val="en-US"/>
              </w:rPr>
              <w:fldChar w:fldCharType="separate"/>
            </w:r>
            <w:r w:rsidR="00DA09FB" w:rsidRPr="00DA09FB">
              <w:rPr>
                <w:noProof/>
                <w:vertAlign w:val="superscript"/>
                <w:lang w:val="en-US"/>
              </w:rPr>
              <w:t>1,2</w:t>
            </w:r>
            <w:r w:rsidR="002C0BF9">
              <w:rPr>
                <w:b/>
                <w:lang w:val="en-US"/>
              </w:rPr>
              <w:fldChar w:fldCharType="end"/>
            </w:r>
          </w:p>
        </w:tc>
        <w:tc>
          <w:tcPr>
            <w:tcW w:w="540" w:type="dxa"/>
            <w:shd w:val="clear" w:color="auto" w:fill="000000" w:themeFill="text1"/>
            <w:vAlign w:val="center"/>
          </w:tcPr>
          <w:p w:rsidR="009C7DE3" w:rsidRDefault="00ED436A" w:rsidP="008B606C">
            <w:pPr>
              <w:spacing w:after="0"/>
              <w:jc w:val="center"/>
              <w:rPr>
                <w:b/>
                <w:lang w:val="en-US"/>
              </w:rPr>
            </w:pPr>
            <w:r w:rsidRPr="00913E2F">
              <w:rPr>
                <w:b/>
                <w:color w:val="FFFFFF" w:themeColor="background1"/>
                <w:lang w:val="en-US"/>
              </w:rPr>
              <w:t>#</w:t>
            </w:r>
          </w:p>
        </w:tc>
        <w:tc>
          <w:tcPr>
            <w:tcW w:w="709" w:type="dxa"/>
            <w:shd w:val="clear" w:color="auto" w:fill="000000" w:themeFill="text1"/>
            <w:vAlign w:val="center"/>
          </w:tcPr>
          <w:p w:rsidR="009C7DE3" w:rsidRDefault="009C7DE3" w:rsidP="008B606C">
            <w:pPr>
              <w:spacing w:after="0"/>
              <w:jc w:val="center"/>
              <w:rPr>
                <w:b/>
                <w:lang w:val="en-US"/>
              </w:rPr>
            </w:pPr>
            <w:r>
              <w:rPr>
                <w:b/>
                <w:lang w:val="en-US"/>
              </w:rPr>
              <w:t xml:space="preserve">Band </w:t>
            </w:r>
          </w:p>
        </w:tc>
        <w:tc>
          <w:tcPr>
            <w:tcW w:w="1708" w:type="dxa"/>
            <w:shd w:val="clear" w:color="auto" w:fill="000000" w:themeFill="text1"/>
            <w:vAlign w:val="center"/>
          </w:tcPr>
          <w:p w:rsidR="009C7DE3" w:rsidRDefault="009C7DE3" w:rsidP="00DA09FB">
            <w:pPr>
              <w:spacing w:after="0"/>
              <w:jc w:val="center"/>
              <w:rPr>
                <w:b/>
                <w:lang w:val="en-US"/>
              </w:rPr>
            </w:pPr>
            <w:r>
              <w:rPr>
                <w:b/>
                <w:lang w:val="en-US"/>
              </w:rPr>
              <w:t>Assignment</w:t>
            </w:r>
            <w:r w:rsidR="002C0BF9">
              <w:rPr>
                <w:b/>
                <w:lang w:val="en-US"/>
              </w:rPr>
              <w:fldChar w:fldCharType="begin" w:fldLock="1"/>
            </w:r>
            <w:r w:rsidR="00A47155">
              <w:rPr>
                <w:b/>
                <w:lang w:val="en-US"/>
              </w:rPr>
              <w:instrText>ADDIN CSL_CITATION {"citationItems":[{"id":"ITEM-1","itemData":{"DOI":"10.1016/S0022-3093(05)80622-2","ISSN":"00223093","abstract":"Fourier-transform infrared and Raman spectroscopies were simultaneously used in order to study the time evolution of the acid-catalyzed hydrolysis and condensation of tetraethoxysilane (TEOS) in ethanol, to form silica xerogel. The transformation to vitreous silica by gradual densification of the gel was also monitored after different heat treatments. The extent of hydrolysis was revealed by the changes in intensity of the IR-active bands of TEOS at 793 cm- (Si{single bond}O asymmetric stretch), 1102 cm-1 (C{single bond}O asymmetric stretch), 1168 cm-1 (CH3 rocking) and 1400 cm-1 (CH2 wagging) and also the TEOS Raman-active bands corresponding to the strongly polarized Si{single bond}O symmetric stretch (656 cm-1) and the depolarized CH3 rocking (960 cm-1). The intensity of all these bands clearly decreased as the reactions proceeded. Good evidence for the formation of ethanol in the initial steps of hydrolysis and for the subsequent predominance of its evaporation was found in the occurrence of maximum intensities for its infrared and Raman-active bands due to deformation of CH3 or CH2 groups (881 cm-1) and CH2 bending (1275 cm-1), after a period of time. The intensity of these bands later decreased. The gel to glass conversion was followed through the disappearance of the infrared peaks at 554 cm-) (Si{single bond}OH rocking) and 940 cm-1 (Si{single bond}OH stretching), together with the intensity increase of the peaks at 800 and 1078 cm-1. The complementary nature of the IR and Raman spectroscopies is of great value for a complete understanding of the TEOS to silica glass transformation. © 1992 Elsevier Science Publishers B.V. All rights reserved.","author":[{"dropping-particle":"","family":"Matos","given":"M. C.","non-dropping-particle":"","parse-names":false,"suffix":""},{"dropping-particle":"","family":"Ilharco","given":"L. M.","non-dropping-particle":"","parse-names":false,"suffix":""},{"dropping-particle":"","family":"Almeida","given":"R. M.","non-dropping-particle":"","parse-names":false,"suffix":""}],"container-title":"Journal of Non-Crystalline Solids","id":"ITEM-1","issue":"C","issued":{"date-parts":[["1992","1","1"]]},"page":"232-237","publisher":"North-Holland","title":"The evolution of TEOS to silica gel and glass by vibrational spectroscopy","type":"article-journal","volume":"147-148"},"uris":["http://www.mendeley.com/documents/?uuid=f2c53f21-03ad-323c-9de0-6fd50786c820"]},{"id":"ITEM-2","itemData":{"DOI":"10.1080/00387019808006772","ISSN":"0038-7010","abstract":"Abstract The hydrolysis and polymerization of a non-catalyzed silica sol was investigated by Fourier Transform Infrared Spectroscopy (FT-IR) and deconvolution of the infrared spectra. The hydrolysi...","author":[{"dropping-particle":"","family":"Rubio","given":"F.","non-dropping-particle":"","parse-names":false,"suffix":""},{"dropping-particle":"","family":"Rubio","given":"J.","non-dropping-particle":"","parse-names":false,"suffix":""},{"dropping-particle":"","family":"Oteo","given":"J. L.","non-dropping-particle":"","parse-names":false,"suffix":""}],"container-title":"Spectroscopy Letters","id":"ITEM-2","issue":"1","issued":{"date-parts":[["1998","1"]]},"page":"199-219","publisher":"Taylor &amp; Francis Group","title":"A FT-IR Study of the Hydrolysis of Tetraethylorthosilicate[1] F. Rubio, J. Rubio, J.L. Oteo, A FT-IR Study of the Hydrolysis of Tetraethylorthosilicate (TEOS)., Spectrosc. Lett. 31 (1998) 199–219. doi:10.1080/00387019808006772. (TEOS).","type":"article-journal","volume":"31"},"uris":["http://www.mendeley.com/documents/?uuid=94bf21d6-1b15-3605-90f1-5449377b86eb"]}],"mendeley":{"formattedCitation":"&lt;sup&gt;1,2&lt;/sup&gt;","plainTextFormattedCitation":"1,2","previouslyFormattedCitation":"&lt;sup&gt;1,2&lt;/sup&gt;"},"properties":{"noteIndex":0},"schema":"https://github.com/citation-style-language/schema/raw/master/csl-citation.json"}</w:instrText>
            </w:r>
            <w:r w:rsidR="002C0BF9">
              <w:rPr>
                <w:b/>
                <w:lang w:val="en-US"/>
              </w:rPr>
              <w:fldChar w:fldCharType="separate"/>
            </w:r>
            <w:r w:rsidR="00DA09FB" w:rsidRPr="00DA09FB">
              <w:rPr>
                <w:noProof/>
                <w:vertAlign w:val="superscript"/>
                <w:lang w:val="en-US"/>
              </w:rPr>
              <w:t>1,2</w:t>
            </w:r>
            <w:r w:rsidR="002C0BF9">
              <w:rPr>
                <w:b/>
                <w:lang w:val="en-US"/>
              </w:rPr>
              <w:fldChar w:fldCharType="end"/>
            </w:r>
          </w:p>
        </w:tc>
        <w:tc>
          <w:tcPr>
            <w:tcW w:w="418" w:type="dxa"/>
            <w:shd w:val="clear" w:color="auto" w:fill="000000" w:themeFill="text1"/>
            <w:vAlign w:val="center"/>
          </w:tcPr>
          <w:p w:rsidR="009C7DE3" w:rsidRDefault="00ED436A" w:rsidP="008B606C">
            <w:pPr>
              <w:spacing w:after="0"/>
              <w:jc w:val="center"/>
              <w:rPr>
                <w:b/>
                <w:lang w:val="en-US"/>
              </w:rPr>
            </w:pPr>
            <w:r w:rsidRPr="00913E2F">
              <w:rPr>
                <w:b/>
                <w:color w:val="FFFFFF" w:themeColor="background1"/>
                <w:lang w:val="en-US"/>
              </w:rPr>
              <w:t>#</w:t>
            </w:r>
          </w:p>
        </w:tc>
        <w:tc>
          <w:tcPr>
            <w:tcW w:w="851" w:type="dxa"/>
            <w:shd w:val="clear" w:color="auto" w:fill="000000" w:themeFill="text1"/>
            <w:vAlign w:val="center"/>
          </w:tcPr>
          <w:p w:rsidR="009C7DE3" w:rsidRDefault="009C7DE3" w:rsidP="008B606C">
            <w:pPr>
              <w:spacing w:after="0"/>
              <w:jc w:val="center"/>
              <w:rPr>
                <w:b/>
                <w:lang w:val="en-US"/>
              </w:rPr>
            </w:pPr>
            <w:r>
              <w:rPr>
                <w:b/>
                <w:lang w:val="en-US"/>
              </w:rPr>
              <w:t xml:space="preserve">Band </w:t>
            </w:r>
          </w:p>
        </w:tc>
        <w:tc>
          <w:tcPr>
            <w:tcW w:w="1559" w:type="dxa"/>
            <w:tcBorders>
              <w:right w:val="single" w:sz="24" w:space="0" w:color="auto"/>
            </w:tcBorders>
            <w:shd w:val="clear" w:color="auto" w:fill="000000" w:themeFill="text1"/>
            <w:vAlign w:val="center"/>
          </w:tcPr>
          <w:p w:rsidR="009C7DE3" w:rsidRDefault="009C7DE3" w:rsidP="00A47155">
            <w:pPr>
              <w:spacing w:after="0"/>
              <w:jc w:val="center"/>
              <w:rPr>
                <w:b/>
                <w:lang w:val="en-US"/>
              </w:rPr>
            </w:pPr>
            <w:r>
              <w:rPr>
                <w:b/>
                <w:lang w:val="en-US"/>
              </w:rPr>
              <w:t>Assignment</w:t>
            </w:r>
            <w:r w:rsidR="002C0BF9">
              <w:rPr>
                <w:b/>
                <w:lang w:val="en-US"/>
              </w:rPr>
              <w:fldChar w:fldCharType="begin" w:fldLock="1"/>
            </w:r>
            <w:r w:rsidR="00A47155">
              <w:rPr>
                <w:b/>
                <w:lang w:val="en-US"/>
              </w:rPr>
              <w:instrText>ADDIN CSL_CITATION {"citationItems":[{"id":"ITEM-1","itemData":{"DOI":"10.1080/00387019808006772","ISSN":"0038-7010","abstract":"Abstract The hydrolysis and polymerization of a non-catalyzed silica sol was investigated by Fourier Transform Infrared Spectroscopy (FT-IR) and deconvolution of the infrared spectra. The hydrolysi...","author":[{"dropping-particle":"","family":"Rubio","given":"F.","non-dropping-particle":"","parse-names":false,"suffix":""},{"dropping-particle":"","family":"Rubio","given":"J.","non-dropping-particle":"","parse-names":false,"suffix":""},{"dropping-particle":"","family":"Oteo","given":"J. L.","non-dropping-particle":"","parse-names":false,"suffix":""}],"container-title":"Spectroscopy Letters","id":"ITEM-1","issue":"1","issued":{"date-parts":[["1998","1"]]},"page":"199-219","publisher":"Taylor &amp; Francis Group","title":"A FT-IR Study of the Hydrolysis of Tetraethylorthosilicate[1] F. Rubio, J. Rubio, J.L. Oteo, A FT-IR Study of the Hydrolysis of Tetraethylorthosilicate (TEOS)., Spectrosc. Lett. 31 (1998) 199–219. doi:10.1080/00387019808006772. (TEOS).","type":"article-journal","volume":"31"},"uris":["http://www.mendeley.com/documents/?uuid=94bf21d6-1b15-3605-90f1-5449377b86eb"]},{"id":"ITEM-2","itemData":{"DOI":"10.1002/1097-4636(20000905)51:3&lt;343::AID-JBM7&gt;3.0.CO;2-D","ISSN":"00219304","abstract":"Surfaces covered with polyethylene glycol (PEG; HO-(CH(2)-CH(2)-O)(n)-H) have been shown to be biocompatible because PEG's properties yield nonimmunogenicity, nonantigenicity, and protein rejection. To produce a biocompatible surface coating, we have developed a method for grafting PEG onto activated silica films. We first deposited an amorphous silica film by plasma-enhanced chemical vapor deposition from SiH(4) and O(2) gases, which provided the flexibility to coat diverse materials with different chemistries and shapes. The silica films were activated by exposure to water plasma, increasing the number of silanol groups (Si-OH) on their surface. The surface silanol groups were then chemically reacted with the hydroxyl end of PEG to form an ester bond, Si-O-C, and to cover the surface with PEG. The surface reactions were monitored using attenuated total reflection Fourier transform infrared spectroscopy. The vibrational absorption bands of the C-O and -CH(2) bonds increased with time and saturated, indicating that PEG was adsorbed to saturation coverage on the surface. Simultaneously, the Si-OH absorption band decreased, showing that the surface silanols reacted with PEG and were depleted. The PEG-covered surfaces were physically characterized by atomic force microscopy, Auger electron spectroscopy, ellipsometry, and contact angle measurements. These characterization techniques provided additional evidence for the existence of chemically bonded PEG on the surfaces. Efficacy of protein rejection on PEG-covered surfaces was studied through measurements of the fluorescence intensity of Texas red-labeled bovine serum albumin brought in contact with such surfaces in solution. Significantly less protein adsorption was observed on surfaces covered with PEG compared to uncovered surfaces.","author":[{"dropping-particle":"","family":"Alcantar","given":"Norma A.","non-dropping-particle":"","parse-names":false,"suffix":""},{"dropping-particle":"","family":"Aydil","given":"Eray S.","non-dropping-particle":"","parse-names":false,"suffix":""},{"dropping-particle":"","family":"Israelachvili","given":"Jacob N.","non-dropping-particle":"","parse-names":false,"suffix":""}],"container-title":"Journal of Biomedical Materials Research","id":"ITEM-2","issue":"3","issued":{"date-parts":[["2000","9","5"]]},"page":"343-351","publisher":"John Wiley &amp; Sons, Ltd","title":"Polyethylene glycol-coated biocompatible surfaces","type":"article-journal","volume":"51"},"uris":["http://www.mendeley.com/documents/?uuid=a6f36f8d-ee6c-35dd-b067-06fc20cd73c0"]},{"id":"ITEM-3","itemData":{"DOI":"10.1155/2011/628790","ISSN":"09734945","abstract":"Ionic conductivity of poly(ethylene glycol) (PEG) - ammonium chloride (NH 4 Cl) based polymer electrolytes can be enhanced by incorporating ceramic filler TiO 2 into PEG-NH 4 Cl matrix. The electrolyte samples were prepared by solution casting technique. FTIR studies indicates that the complex formation between the polymer, salt and ceramic filler. The ionic conductivity was measured using impedance spectroscopy technique. It was observed that the conductivity of the electrolyte varies with TiO 2 concentration and temperature. The highest room temperature conductivity of the electrolyte of 7.72×10 −6 S cm -1 was obtained at 15% by weight of TiO 2 and that without TiO 2 filler was found to be 9.58×10 −7 S cm −1 . The conductivity has been improved by 8 times when the TiO 2 filler was introduced into the PEG–NH 4 Cl electrolyte system. The conductance spectra shows two distinct regions: a dc plateau and a dispersive region. The temperature dependence of the conductivity of the polymer electrolytes seems to obey the VTF relation. The conductivity values of the polymer electrolytes were reported and the results were discussed. The imaginary part of dielectric constant (ε i ) decreases with increase in frequency in the low frequency region whereas frequency independent behavior is observed in the high frequency region.","author":[{"dropping-particle":"","family":"Polu","given":"Anji Reddy","non-dropping-particle":"","parse-names":false,"suffix":""},{"dropping-particle":"","family":"Kumar","given":"Ranveer","non-dropping-particle":"","parse-names":false,"suffix":""}],"container-title":"E-Journal of Chemistry","id":"ITEM-3","issue":"1","issued":{"date-parts":[["2011"]]},"page":"347-353","publisher":"Hindawi","title":"Impedance spectroscopy and FTIR studies of PEG - Based polymer electrolytes","type":"article-journal","volume":"8"},"uris":["http://www.mendeley.com/documents/?uuid=21ac02a3-ded0-34f1-a60f-187f33de7749"]},{"id":"ITEM-4","itemData":{"DOI":"10.1088/1742-6596/776/1/012053","ISSN":"17426596","author":[{"dropping-particle":"","family":"Khairuddin","given":"","non-dropping-particle":"","parse-names":false,"suffix":""},{"dropping-particle":"","family":"Pramono","given":"E.","non-dropping-particle":"","parse-names":false,"suffix":""},{"dropping-particle":"","family":"Utomo","given":"S. B.","non-dropping-particle":"","parse-names":false,"suffix":""},{"dropping-particle":"","family":"Wulandari","given":"V.","non-dropping-particle":"","parse-names":false,"suffix":""},{"dropping-particle":"","family":"Zahrotul","given":"A. W.","non-dropping-particle":"","parse-names":false,"suffix":""},{"dropping-particle":"","family":"Clegg","given":"F.","non-dropping-particle":"","parse-names":false,"suffix":""}],"container-title":"Journal of Physics: Conference Series","id":"ITEM-4","issue":"1","issued":{"date-parts":[["2016"]]},"title":"FTIR studies on the effect of concentration of polyethylene glycol on polimerization of Shellac","type":"paper-conference","volume":"776"},"uris":["http://www.mendeley.com/documents/?uuid=baf96152-7d38-344a-8dcc-ef478f22aeec"]}],"mendeley":{"formattedCitation":"&lt;sup&gt;2–5&lt;/sup&gt;","plainTextFormattedCitation":"2–5"},"properties":{"noteIndex":0},"schema":"https://github.com/citation-style-language/schema/raw/master/csl-citation.json"}</w:instrText>
            </w:r>
            <w:r w:rsidR="002C0BF9">
              <w:rPr>
                <w:b/>
                <w:lang w:val="en-US"/>
              </w:rPr>
              <w:fldChar w:fldCharType="separate"/>
            </w:r>
            <w:r w:rsidR="00A47155" w:rsidRPr="00A47155">
              <w:rPr>
                <w:noProof/>
                <w:vertAlign w:val="superscript"/>
                <w:lang w:val="en-US"/>
              </w:rPr>
              <w:t>2–5</w:t>
            </w:r>
            <w:r w:rsidR="002C0BF9">
              <w:rPr>
                <w:b/>
                <w:lang w:val="en-US"/>
              </w:rPr>
              <w:fldChar w:fldCharType="end"/>
            </w:r>
          </w:p>
        </w:tc>
      </w:tr>
      <w:tr w:rsidR="00ED436A" w:rsidTr="00ED436A">
        <w:trPr>
          <w:trHeight w:val="374"/>
        </w:trPr>
        <w:tc>
          <w:tcPr>
            <w:tcW w:w="517" w:type="dxa"/>
            <w:tcBorders>
              <w:left w:val="single" w:sz="24" w:space="0" w:color="auto"/>
            </w:tcBorders>
            <w:vAlign w:val="center"/>
          </w:tcPr>
          <w:p w:rsidR="009C7DE3" w:rsidRDefault="009C7DE3" w:rsidP="009C7DE3">
            <w:pPr>
              <w:spacing w:after="0" w:line="240" w:lineRule="auto"/>
              <w:jc w:val="center"/>
              <w:rPr>
                <w:b/>
                <w:lang w:val="en-US"/>
              </w:rPr>
            </w:pPr>
            <w:r>
              <w:rPr>
                <w:b/>
                <w:lang w:val="en-US"/>
              </w:rPr>
              <w:t>1</w:t>
            </w:r>
          </w:p>
        </w:tc>
        <w:tc>
          <w:tcPr>
            <w:tcW w:w="708" w:type="dxa"/>
            <w:vAlign w:val="center"/>
          </w:tcPr>
          <w:p w:rsidR="009C7DE3" w:rsidRPr="009C7DE3" w:rsidRDefault="009C7DE3" w:rsidP="009C7DE3">
            <w:pPr>
              <w:spacing w:after="0" w:line="240" w:lineRule="auto"/>
              <w:jc w:val="center"/>
              <w:rPr>
                <w:lang w:val="en-US"/>
              </w:rPr>
            </w:pPr>
            <w:r w:rsidRPr="009C7DE3">
              <w:rPr>
                <w:lang w:val="en-US"/>
              </w:rPr>
              <w:t>2976</w:t>
            </w:r>
          </w:p>
        </w:tc>
        <w:tc>
          <w:tcPr>
            <w:tcW w:w="1728" w:type="dxa"/>
            <w:tcBorders>
              <w:right w:val="single" w:sz="24" w:space="0" w:color="auto"/>
            </w:tcBorders>
            <w:vAlign w:val="center"/>
          </w:tcPr>
          <w:p w:rsidR="009C7DE3" w:rsidRDefault="009C7DE3" w:rsidP="009C7DE3">
            <w:pPr>
              <w:spacing w:after="0" w:line="240" w:lineRule="auto"/>
              <w:jc w:val="center"/>
              <w:rPr>
                <w:b/>
                <w:lang w:val="en-US"/>
              </w:rPr>
            </w:pPr>
            <w:r w:rsidRPr="009C7DE3">
              <w:rPr>
                <w:lang w:val="en-US"/>
              </w:rPr>
              <w:t>-OH stretching</w:t>
            </w:r>
          </w:p>
        </w:tc>
        <w:tc>
          <w:tcPr>
            <w:tcW w:w="540" w:type="dxa"/>
            <w:tcBorders>
              <w:left w:val="single" w:sz="24" w:space="0" w:color="auto"/>
            </w:tcBorders>
            <w:vAlign w:val="center"/>
          </w:tcPr>
          <w:p w:rsidR="009C7DE3" w:rsidRDefault="009C7DE3" w:rsidP="009C7DE3">
            <w:pPr>
              <w:spacing w:after="0" w:line="240" w:lineRule="auto"/>
              <w:jc w:val="center"/>
              <w:rPr>
                <w:b/>
                <w:lang w:val="en-US"/>
              </w:rPr>
            </w:pPr>
            <w:r>
              <w:rPr>
                <w:b/>
                <w:lang w:val="en-US"/>
              </w:rPr>
              <w:t>1</w:t>
            </w:r>
          </w:p>
        </w:tc>
        <w:tc>
          <w:tcPr>
            <w:tcW w:w="709" w:type="dxa"/>
            <w:vAlign w:val="center"/>
          </w:tcPr>
          <w:p w:rsidR="009C7DE3" w:rsidRPr="009C7DE3" w:rsidRDefault="009C7DE3" w:rsidP="009C7DE3">
            <w:pPr>
              <w:spacing w:after="0" w:line="240" w:lineRule="auto"/>
              <w:jc w:val="center"/>
              <w:rPr>
                <w:lang w:val="en-US"/>
              </w:rPr>
            </w:pPr>
            <w:r w:rsidRPr="009C7DE3">
              <w:rPr>
                <w:lang w:val="en-US"/>
              </w:rPr>
              <w:t>3320</w:t>
            </w:r>
          </w:p>
        </w:tc>
        <w:tc>
          <w:tcPr>
            <w:tcW w:w="1708" w:type="dxa"/>
            <w:tcBorders>
              <w:right w:val="single" w:sz="24" w:space="0" w:color="auto"/>
            </w:tcBorders>
            <w:vAlign w:val="center"/>
          </w:tcPr>
          <w:p w:rsidR="009C7DE3" w:rsidRDefault="009C7DE3" w:rsidP="009C7DE3">
            <w:pPr>
              <w:spacing w:after="0" w:line="240" w:lineRule="auto"/>
              <w:jc w:val="center"/>
              <w:rPr>
                <w:b/>
                <w:lang w:val="en-US"/>
              </w:rPr>
            </w:pPr>
            <w:r w:rsidRPr="009C7DE3">
              <w:rPr>
                <w:lang w:val="en-US"/>
              </w:rPr>
              <w:t>-OH stretching</w:t>
            </w:r>
          </w:p>
        </w:tc>
        <w:tc>
          <w:tcPr>
            <w:tcW w:w="418" w:type="dxa"/>
            <w:tcBorders>
              <w:left w:val="single" w:sz="24" w:space="0" w:color="auto"/>
            </w:tcBorders>
            <w:vAlign w:val="center"/>
          </w:tcPr>
          <w:p w:rsidR="009C7DE3" w:rsidRDefault="009C7DE3" w:rsidP="009C7DE3">
            <w:pPr>
              <w:spacing w:after="0" w:line="240" w:lineRule="auto"/>
              <w:jc w:val="center"/>
              <w:rPr>
                <w:b/>
                <w:lang w:val="en-US"/>
              </w:rPr>
            </w:pPr>
            <w:r>
              <w:rPr>
                <w:b/>
                <w:lang w:val="en-US"/>
              </w:rPr>
              <w:t>1</w:t>
            </w:r>
          </w:p>
        </w:tc>
        <w:tc>
          <w:tcPr>
            <w:tcW w:w="851" w:type="dxa"/>
            <w:vAlign w:val="center"/>
          </w:tcPr>
          <w:p w:rsidR="009C7DE3" w:rsidRPr="009C7DE3" w:rsidRDefault="009C7DE3" w:rsidP="009C7DE3">
            <w:pPr>
              <w:spacing w:after="0" w:line="240" w:lineRule="auto"/>
              <w:jc w:val="center"/>
              <w:rPr>
                <w:lang w:val="en-US"/>
              </w:rPr>
            </w:pPr>
            <w:r w:rsidRPr="009C7DE3">
              <w:rPr>
                <w:lang w:val="en-US"/>
              </w:rPr>
              <w:t>3450</w:t>
            </w:r>
          </w:p>
        </w:tc>
        <w:tc>
          <w:tcPr>
            <w:tcW w:w="1559" w:type="dxa"/>
            <w:tcBorders>
              <w:right w:val="single" w:sz="24" w:space="0" w:color="auto"/>
            </w:tcBorders>
            <w:vAlign w:val="center"/>
          </w:tcPr>
          <w:p w:rsidR="009C7DE3" w:rsidRPr="009C7DE3" w:rsidRDefault="009C7DE3" w:rsidP="009C7DE3">
            <w:pPr>
              <w:spacing w:after="0" w:line="240" w:lineRule="auto"/>
              <w:jc w:val="center"/>
              <w:rPr>
                <w:lang w:val="en-US"/>
              </w:rPr>
            </w:pPr>
            <w:r w:rsidRPr="009C7DE3">
              <w:rPr>
                <w:lang w:val="en-US"/>
              </w:rPr>
              <w:t>-OH stretching</w:t>
            </w:r>
          </w:p>
        </w:tc>
      </w:tr>
      <w:tr w:rsidR="00ED436A" w:rsidTr="00ED436A">
        <w:trPr>
          <w:trHeight w:val="294"/>
        </w:trPr>
        <w:tc>
          <w:tcPr>
            <w:tcW w:w="517" w:type="dxa"/>
            <w:tcBorders>
              <w:left w:val="single" w:sz="24" w:space="0" w:color="auto"/>
            </w:tcBorders>
            <w:vAlign w:val="center"/>
          </w:tcPr>
          <w:p w:rsidR="009C7DE3" w:rsidRDefault="009C7DE3" w:rsidP="009C7DE3">
            <w:pPr>
              <w:spacing w:after="0"/>
              <w:jc w:val="center"/>
              <w:rPr>
                <w:b/>
                <w:lang w:val="en-US"/>
              </w:rPr>
            </w:pPr>
            <w:r>
              <w:rPr>
                <w:b/>
                <w:lang w:val="en-US"/>
              </w:rPr>
              <w:t>2</w:t>
            </w:r>
          </w:p>
        </w:tc>
        <w:tc>
          <w:tcPr>
            <w:tcW w:w="708" w:type="dxa"/>
            <w:vAlign w:val="center"/>
          </w:tcPr>
          <w:p w:rsidR="009C7DE3" w:rsidRPr="009C7DE3" w:rsidRDefault="009C7DE3" w:rsidP="009C7DE3">
            <w:pPr>
              <w:spacing w:after="0"/>
              <w:jc w:val="center"/>
              <w:rPr>
                <w:lang w:val="en-US"/>
              </w:rPr>
            </w:pPr>
            <w:r w:rsidRPr="009C7DE3">
              <w:rPr>
                <w:lang w:val="en-US"/>
              </w:rPr>
              <w:t>2930</w:t>
            </w:r>
          </w:p>
        </w:tc>
        <w:tc>
          <w:tcPr>
            <w:tcW w:w="1728" w:type="dxa"/>
            <w:tcBorders>
              <w:right w:val="single" w:sz="24" w:space="0" w:color="auto"/>
            </w:tcBorders>
            <w:vAlign w:val="center"/>
          </w:tcPr>
          <w:p w:rsidR="009C7DE3" w:rsidRDefault="00FD144C" w:rsidP="00A8372F">
            <w:pPr>
              <w:spacing w:after="0"/>
              <w:jc w:val="center"/>
              <w:rPr>
                <w:b/>
                <w:lang w:val="en-US"/>
              </w:rPr>
            </w:pPr>
            <w:r w:rsidRPr="009C7DE3">
              <w:rPr>
                <w:lang w:val="en-US"/>
              </w:rPr>
              <w:t>Asym. C-H stretching (CH</w:t>
            </w:r>
            <w:r w:rsidR="00A8372F">
              <w:rPr>
                <w:vertAlign w:val="subscript"/>
                <w:lang w:val="en-US"/>
              </w:rPr>
              <w:t>3</w:t>
            </w:r>
            <w:r w:rsidRPr="009C7DE3">
              <w:rPr>
                <w:lang w:val="en-US"/>
              </w:rPr>
              <w:t>)</w:t>
            </w:r>
          </w:p>
        </w:tc>
        <w:tc>
          <w:tcPr>
            <w:tcW w:w="540" w:type="dxa"/>
            <w:tcBorders>
              <w:left w:val="single" w:sz="24" w:space="0" w:color="auto"/>
            </w:tcBorders>
            <w:vAlign w:val="center"/>
          </w:tcPr>
          <w:p w:rsidR="009C7DE3" w:rsidRDefault="009C7DE3" w:rsidP="008B606C">
            <w:pPr>
              <w:spacing w:after="0"/>
              <w:jc w:val="center"/>
              <w:rPr>
                <w:b/>
                <w:lang w:val="en-US"/>
              </w:rPr>
            </w:pPr>
            <w:r>
              <w:rPr>
                <w:b/>
                <w:lang w:val="en-US"/>
              </w:rPr>
              <w:t>2</w:t>
            </w:r>
          </w:p>
        </w:tc>
        <w:tc>
          <w:tcPr>
            <w:tcW w:w="709" w:type="dxa"/>
            <w:vAlign w:val="center"/>
          </w:tcPr>
          <w:p w:rsidR="009C7DE3" w:rsidRPr="009C7DE3" w:rsidRDefault="009C7DE3" w:rsidP="009C7DE3">
            <w:pPr>
              <w:spacing w:after="0"/>
              <w:jc w:val="center"/>
              <w:rPr>
                <w:lang w:val="en-US"/>
              </w:rPr>
            </w:pPr>
            <w:r w:rsidRPr="009C7DE3">
              <w:rPr>
                <w:lang w:val="en-US"/>
              </w:rPr>
              <w:t>2975</w:t>
            </w:r>
          </w:p>
        </w:tc>
        <w:tc>
          <w:tcPr>
            <w:tcW w:w="1708" w:type="dxa"/>
            <w:tcBorders>
              <w:right w:val="single" w:sz="24" w:space="0" w:color="auto"/>
            </w:tcBorders>
            <w:vAlign w:val="center"/>
          </w:tcPr>
          <w:p w:rsidR="009C7DE3" w:rsidRPr="009C7DE3" w:rsidRDefault="009C7DE3" w:rsidP="009C7DE3">
            <w:pPr>
              <w:spacing w:after="0"/>
              <w:jc w:val="center"/>
              <w:rPr>
                <w:lang w:val="en-US"/>
              </w:rPr>
            </w:pPr>
            <w:r w:rsidRPr="009C7DE3">
              <w:rPr>
                <w:lang w:val="en-US"/>
              </w:rPr>
              <w:t>Asym. C-H stretching (CH</w:t>
            </w:r>
            <w:r w:rsidRPr="009C7DE3">
              <w:rPr>
                <w:vertAlign w:val="subscript"/>
                <w:lang w:val="en-US"/>
              </w:rPr>
              <w:t>3</w:t>
            </w:r>
            <w:r w:rsidRPr="009C7DE3">
              <w:rPr>
                <w:lang w:val="en-US"/>
              </w:rPr>
              <w:t>)</w:t>
            </w:r>
          </w:p>
        </w:tc>
        <w:tc>
          <w:tcPr>
            <w:tcW w:w="418" w:type="dxa"/>
            <w:tcBorders>
              <w:left w:val="single" w:sz="24" w:space="0" w:color="auto"/>
            </w:tcBorders>
            <w:vAlign w:val="center"/>
          </w:tcPr>
          <w:p w:rsidR="009C7DE3" w:rsidRDefault="009C7DE3" w:rsidP="008B606C">
            <w:pPr>
              <w:spacing w:after="0"/>
              <w:jc w:val="center"/>
              <w:rPr>
                <w:b/>
                <w:lang w:val="en-US"/>
              </w:rPr>
            </w:pPr>
            <w:r>
              <w:rPr>
                <w:b/>
                <w:lang w:val="en-US"/>
              </w:rPr>
              <w:t>2</w:t>
            </w:r>
          </w:p>
        </w:tc>
        <w:tc>
          <w:tcPr>
            <w:tcW w:w="851" w:type="dxa"/>
            <w:vAlign w:val="center"/>
          </w:tcPr>
          <w:p w:rsidR="009C7DE3" w:rsidRPr="009C7DE3" w:rsidRDefault="009C7DE3" w:rsidP="009C7DE3">
            <w:pPr>
              <w:spacing w:after="0"/>
              <w:jc w:val="center"/>
              <w:rPr>
                <w:lang w:val="en-US"/>
              </w:rPr>
            </w:pPr>
            <w:r w:rsidRPr="009C7DE3">
              <w:rPr>
                <w:lang w:val="en-US"/>
              </w:rPr>
              <w:t>2860</w:t>
            </w:r>
          </w:p>
        </w:tc>
        <w:tc>
          <w:tcPr>
            <w:tcW w:w="1559" w:type="dxa"/>
            <w:tcBorders>
              <w:right w:val="single" w:sz="24" w:space="0" w:color="auto"/>
            </w:tcBorders>
            <w:vAlign w:val="center"/>
          </w:tcPr>
          <w:p w:rsidR="009C7DE3" w:rsidRPr="009C7DE3" w:rsidRDefault="009C7DE3" w:rsidP="009C7DE3">
            <w:pPr>
              <w:spacing w:after="0"/>
              <w:jc w:val="center"/>
              <w:rPr>
                <w:lang w:val="en-US"/>
              </w:rPr>
            </w:pPr>
            <w:r>
              <w:rPr>
                <w:lang w:val="en-US"/>
              </w:rPr>
              <w:t>Asym. C-H stretching</w:t>
            </w:r>
            <w:r w:rsidR="00DA09FB">
              <w:rPr>
                <w:lang w:val="en-US"/>
              </w:rPr>
              <w:t xml:space="preserve"> </w:t>
            </w:r>
            <w:r w:rsidR="00DA09FB" w:rsidRPr="009C7DE3">
              <w:rPr>
                <w:lang w:val="en-US"/>
              </w:rPr>
              <w:t>(CH</w:t>
            </w:r>
            <w:r w:rsidR="00DA09FB">
              <w:rPr>
                <w:vertAlign w:val="subscript"/>
                <w:lang w:val="en-US"/>
              </w:rPr>
              <w:t>2</w:t>
            </w:r>
            <w:r w:rsidR="00DA09FB" w:rsidRPr="009C7DE3">
              <w:rPr>
                <w:lang w:val="en-US"/>
              </w:rPr>
              <w:t>)</w:t>
            </w:r>
          </w:p>
        </w:tc>
      </w:tr>
      <w:tr w:rsidR="00ED436A" w:rsidTr="00ED436A">
        <w:trPr>
          <w:trHeight w:val="280"/>
        </w:trPr>
        <w:tc>
          <w:tcPr>
            <w:tcW w:w="517" w:type="dxa"/>
            <w:tcBorders>
              <w:left w:val="single" w:sz="24" w:space="0" w:color="auto"/>
            </w:tcBorders>
            <w:vAlign w:val="center"/>
          </w:tcPr>
          <w:p w:rsidR="009C7DE3" w:rsidRDefault="009C7DE3" w:rsidP="009C7DE3">
            <w:pPr>
              <w:spacing w:after="0"/>
              <w:jc w:val="center"/>
              <w:rPr>
                <w:b/>
                <w:lang w:val="en-US"/>
              </w:rPr>
            </w:pPr>
            <w:r>
              <w:rPr>
                <w:b/>
                <w:lang w:val="en-US"/>
              </w:rPr>
              <w:t>3</w:t>
            </w:r>
          </w:p>
        </w:tc>
        <w:tc>
          <w:tcPr>
            <w:tcW w:w="708" w:type="dxa"/>
            <w:vAlign w:val="center"/>
          </w:tcPr>
          <w:p w:rsidR="009C7DE3" w:rsidRPr="009C7DE3" w:rsidRDefault="009C7DE3" w:rsidP="009C7DE3">
            <w:pPr>
              <w:spacing w:after="0"/>
              <w:jc w:val="center"/>
              <w:rPr>
                <w:lang w:val="en-US"/>
              </w:rPr>
            </w:pPr>
            <w:r w:rsidRPr="009C7DE3">
              <w:rPr>
                <w:lang w:val="en-US"/>
              </w:rPr>
              <w:t>2888</w:t>
            </w:r>
          </w:p>
        </w:tc>
        <w:tc>
          <w:tcPr>
            <w:tcW w:w="1728" w:type="dxa"/>
            <w:tcBorders>
              <w:right w:val="single" w:sz="24" w:space="0" w:color="auto"/>
            </w:tcBorders>
            <w:vAlign w:val="center"/>
          </w:tcPr>
          <w:p w:rsidR="009C7DE3" w:rsidRDefault="00A8372F" w:rsidP="009C7DE3">
            <w:pPr>
              <w:spacing w:after="0"/>
              <w:jc w:val="center"/>
              <w:rPr>
                <w:b/>
                <w:lang w:val="en-US"/>
              </w:rPr>
            </w:pPr>
            <w:r w:rsidRPr="009C7DE3">
              <w:rPr>
                <w:lang w:val="en-US"/>
              </w:rPr>
              <w:t>Asym. C-H stretching (CH</w:t>
            </w:r>
            <w:r>
              <w:rPr>
                <w:vertAlign w:val="subscript"/>
                <w:lang w:val="en-US"/>
              </w:rPr>
              <w:t>2</w:t>
            </w:r>
            <w:r w:rsidRPr="009C7DE3">
              <w:rPr>
                <w:lang w:val="en-US"/>
              </w:rPr>
              <w:t>)</w:t>
            </w:r>
          </w:p>
        </w:tc>
        <w:tc>
          <w:tcPr>
            <w:tcW w:w="540" w:type="dxa"/>
            <w:tcBorders>
              <w:left w:val="single" w:sz="24" w:space="0" w:color="auto"/>
            </w:tcBorders>
            <w:vAlign w:val="center"/>
          </w:tcPr>
          <w:p w:rsidR="009C7DE3" w:rsidRDefault="009C7DE3" w:rsidP="008B606C">
            <w:pPr>
              <w:spacing w:after="0"/>
              <w:jc w:val="center"/>
              <w:rPr>
                <w:b/>
                <w:lang w:val="en-US"/>
              </w:rPr>
            </w:pPr>
            <w:r>
              <w:rPr>
                <w:b/>
                <w:lang w:val="en-US"/>
              </w:rPr>
              <w:t>3</w:t>
            </w:r>
          </w:p>
        </w:tc>
        <w:tc>
          <w:tcPr>
            <w:tcW w:w="709" w:type="dxa"/>
            <w:vAlign w:val="center"/>
          </w:tcPr>
          <w:p w:rsidR="009C7DE3" w:rsidRPr="009C7DE3" w:rsidRDefault="009C7DE3" w:rsidP="009C7DE3">
            <w:pPr>
              <w:spacing w:after="0"/>
              <w:jc w:val="center"/>
              <w:rPr>
                <w:lang w:val="en-US"/>
              </w:rPr>
            </w:pPr>
            <w:r w:rsidRPr="009C7DE3">
              <w:rPr>
                <w:lang w:val="en-US"/>
              </w:rPr>
              <w:t>2880</w:t>
            </w:r>
          </w:p>
        </w:tc>
        <w:tc>
          <w:tcPr>
            <w:tcW w:w="1708" w:type="dxa"/>
            <w:tcBorders>
              <w:right w:val="single" w:sz="24" w:space="0" w:color="auto"/>
            </w:tcBorders>
            <w:vAlign w:val="center"/>
          </w:tcPr>
          <w:p w:rsidR="009C7DE3" w:rsidRDefault="00A8372F" w:rsidP="009C7DE3">
            <w:pPr>
              <w:spacing w:after="0"/>
              <w:jc w:val="center"/>
              <w:rPr>
                <w:b/>
                <w:lang w:val="en-US"/>
              </w:rPr>
            </w:pPr>
            <w:r w:rsidRPr="009C7DE3">
              <w:rPr>
                <w:lang w:val="en-US"/>
              </w:rPr>
              <w:t>Asym. C-H stretching (CH</w:t>
            </w:r>
            <w:r>
              <w:rPr>
                <w:vertAlign w:val="subscript"/>
                <w:lang w:val="en-US"/>
              </w:rPr>
              <w:t>2</w:t>
            </w:r>
            <w:r w:rsidRPr="009C7DE3">
              <w:rPr>
                <w:lang w:val="en-US"/>
              </w:rPr>
              <w:t>)</w:t>
            </w:r>
          </w:p>
        </w:tc>
        <w:tc>
          <w:tcPr>
            <w:tcW w:w="418" w:type="dxa"/>
            <w:tcBorders>
              <w:left w:val="single" w:sz="24" w:space="0" w:color="auto"/>
            </w:tcBorders>
            <w:vAlign w:val="center"/>
          </w:tcPr>
          <w:p w:rsidR="009C7DE3" w:rsidRDefault="009C7DE3" w:rsidP="008B606C">
            <w:pPr>
              <w:spacing w:after="0"/>
              <w:jc w:val="center"/>
              <w:rPr>
                <w:b/>
                <w:lang w:val="en-US"/>
              </w:rPr>
            </w:pPr>
            <w:r>
              <w:rPr>
                <w:b/>
                <w:lang w:val="en-US"/>
              </w:rPr>
              <w:t>3</w:t>
            </w:r>
          </w:p>
        </w:tc>
        <w:tc>
          <w:tcPr>
            <w:tcW w:w="851" w:type="dxa"/>
            <w:vAlign w:val="center"/>
          </w:tcPr>
          <w:p w:rsidR="009C7DE3" w:rsidRPr="009C7DE3" w:rsidRDefault="009C7DE3" w:rsidP="009C7DE3">
            <w:pPr>
              <w:spacing w:after="0"/>
              <w:jc w:val="center"/>
              <w:rPr>
                <w:lang w:val="en-US"/>
              </w:rPr>
            </w:pPr>
            <w:r w:rsidRPr="009C7DE3">
              <w:rPr>
                <w:lang w:val="en-US"/>
              </w:rPr>
              <w:t>1455</w:t>
            </w:r>
          </w:p>
        </w:tc>
        <w:tc>
          <w:tcPr>
            <w:tcW w:w="1559" w:type="dxa"/>
            <w:tcBorders>
              <w:right w:val="single" w:sz="24" w:space="0" w:color="auto"/>
            </w:tcBorders>
            <w:vAlign w:val="center"/>
          </w:tcPr>
          <w:p w:rsidR="009C7DE3" w:rsidRPr="009C7DE3" w:rsidRDefault="009C7DE3" w:rsidP="009C7DE3">
            <w:pPr>
              <w:spacing w:after="0"/>
              <w:jc w:val="center"/>
              <w:rPr>
                <w:lang w:val="en-US"/>
              </w:rPr>
            </w:pPr>
            <w:r>
              <w:rPr>
                <w:lang w:val="en-US"/>
              </w:rPr>
              <w:t>Asym. C-H bending</w:t>
            </w:r>
          </w:p>
        </w:tc>
      </w:tr>
      <w:tr w:rsidR="00ED436A" w:rsidTr="00ED436A">
        <w:trPr>
          <w:trHeight w:val="334"/>
        </w:trPr>
        <w:tc>
          <w:tcPr>
            <w:tcW w:w="517" w:type="dxa"/>
            <w:tcBorders>
              <w:left w:val="single" w:sz="24" w:space="0" w:color="auto"/>
            </w:tcBorders>
            <w:vAlign w:val="center"/>
          </w:tcPr>
          <w:p w:rsidR="009C7DE3" w:rsidRDefault="009C7DE3" w:rsidP="009C7DE3">
            <w:pPr>
              <w:spacing w:after="0"/>
              <w:jc w:val="center"/>
              <w:rPr>
                <w:b/>
                <w:lang w:val="en-US"/>
              </w:rPr>
            </w:pPr>
            <w:r>
              <w:rPr>
                <w:b/>
                <w:lang w:val="en-US"/>
              </w:rPr>
              <w:t>4</w:t>
            </w:r>
          </w:p>
        </w:tc>
        <w:tc>
          <w:tcPr>
            <w:tcW w:w="708" w:type="dxa"/>
            <w:vAlign w:val="center"/>
          </w:tcPr>
          <w:p w:rsidR="009C7DE3" w:rsidRPr="009C7DE3" w:rsidRDefault="009C7DE3" w:rsidP="009C7DE3">
            <w:pPr>
              <w:spacing w:after="0"/>
              <w:jc w:val="center"/>
              <w:rPr>
                <w:lang w:val="en-US"/>
              </w:rPr>
            </w:pPr>
            <w:r w:rsidRPr="009C7DE3">
              <w:rPr>
                <w:lang w:val="en-US"/>
              </w:rPr>
              <w:t>1445</w:t>
            </w:r>
          </w:p>
        </w:tc>
        <w:tc>
          <w:tcPr>
            <w:tcW w:w="1728" w:type="dxa"/>
            <w:tcBorders>
              <w:right w:val="single" w:sz="24" w:space="0" w:color="auto"/>
            </w:tcBorders>
            <w:vAlign w:val="center"/>
          </w:tcPr>
          <w:p w:rsidR="009C7DE3" w:rsidRDefault="00FD144C" w:rsidP="009C7DE3">
            <w:pPr>
              <w:spacing w:after="0"/>
              <w:jc w:val="center"/>
              <w:rPr>
                <w:lang w:val="en-US"/>
              </w:rPr>
            </w:pPr>
            <w:r>
              <w:rPr>
                <w:lang w:val="en-US"/>
              </w:rPr>
              <w:t>As</w:t>
            </w:r>
            <w:r w:rsidRPr="009C7DE3">
              <w:rPr>
                <w:lang w:val="en-US"/>
              </w:rPr>
              <w:t>ym. C-H bending</w:t>
            </w:r>
          </w:p>
          <w:p w:rsidR="00ED7E67" w:rsidRDefault="00ED7E67" w:rsidP="009C7DE3">
            <w:pPr>
              <w:spacing w:after="0"/>
              <w:jc w:val="center"/>
              <w:rPr>
                <w:b/>
                <w:lang w:val="en-US"/>
              </w:rPr>
            </w:pPr>
            <w:r w:rsidRPr="00FD144C">
              <w:rPr>
                <w:lang w:val="en-US"/>
              </w:rPr>
              <w:t>(CH</w:t>
            </w:r>
            <w:r w:rsidRPr="00FD144C">
              <w:rPr>
                <w:vertAlign w:val="subscript"/>
                <w:lang w:val="en-US"/>
              </w:rPr>
              <w:t>3</w:t>
            </w:r>
            <w:r w:rsidRPr="00FD144C">
              <w:rPr>
                <w:lang w:val="en-US"/>
              </w:rPr>
              <w:t>)</w:t>
            </w:r>
          </w:p>
        </w:tc>
        <w:tc>
          <w:tcPr>
            <w:tcW w:w="540" w:type="dxa"/>
            <w:tcBorders>
              <w:left w:val="single" w:sz="24" w:space="0" w:color="auto"/>
            </w:tcBorders>
            <w:vAlign w:val="center"/>
          </w:tcPr>
          <w:p w:rsidR="009C7DE3" w:rsidRDefault="009C7DE3" w:rsidP="008B606C">
            <w:pPr>
              <w:spacing w:after="0"/>
              <w:jc w:val="center"/>
              <w:rPr>
                <w:b/>
                <w:lang w:val="en-US"/>
              </w:rPr>
            </w:pPr>
            <w:r>
              <w:rPr>
                <w:b/>
                <w:lang w:val="en-US"/>
              </w:rPr>
              <w:t>4</w:t>
            </w:r>
          </w:p>
        </w:tc>
        <w:tc>
          <w:tcPr>
            <w:tcW w:w="709" w:type="dxa"/>
            <w:vAlign w:val="center"/>
          </w:tcPr>
          <w:p w:rsidR="009C7DE3" w:rsidRPr="009C7DE3" w:rsidRDefault="009C7DE3" w:rsidP="009C7DE3">
            <w:pPr>
              <w:spacing w:after="0"/>
              <w:jc w:val="center"/>
              <w:rPr>
                <w:lang w:val="en-US"/>
              </w:rPr>
            </w:pPr>
            <w:r w:rsidRPr="009C7DE3">
              <w:rPr>
                <w:lang w:val="en-US"/>
              </w:rPr>
              <w:t>1380</w:t>
            </w:r>
          </w:p>
        </w:tc>
        <w:tc>
          <w:tcPr>
            <w:tcW w:w="1708" w:type="dxa"/>
            <w:tcBorders>
              <w:right w:val="single" w:sz="24" w:space="0" w:color="auto"/>
            </w:tcBorders>
            <w:vAlign w:val="center"/>
          </w:tcPr>
          <w:p w:rsidR="009C7DE3" w:rsidRPr="009C7DE3" w:rsidRDefault="009C7DE3" w:rsidP="009C7DE3">
            <w:pPr>
              <w:spacing w:after="0"/>
              <w:jc w:val="center"/>
              <w:rPr>
                <w:lang w:val="en-US"/>
              </w:rPr>
            </w:pPr>
            <w:r w:rsidRPr="009C7DE3">
              <w:rPr>
                <w:lang w:val="en-US"/>
              </w:rPr>
              <w:t>Sym. C-H bending</w:t>
            </w:r>
          </w:p>
        </w:tc>
        <w:tc>
          <w:tcPr>
            <w:tcW w:w="418" w:type="dxa"/>
            <w:tcBorders>
              <w:left w:val="single" w:sz="24" w:space="0" w:color="auto"/>
            </w:tcBorders>
            <w:vAlign w:val="center"/>
          </w:tcPr>
          <w:p w:rsidR="009C7DE3" w:rsidRDefault="009C7DE3" w:rsidP="008B606C">
            <w:pPr>
              <w:spacing w:after="0"/>
              <w:jc w:val="center"/>
              <w:rPr>
                <w:b/>
                <w:lang w:val="en-US"/>
              </w:rPr>
            </w:pPr>
            <w:r>
              <w:rPr>
                <w:b/>
                <w:lang w:val="en-US"/>
              </w:rPr>
              <w:t>4</w:t>
            </w:r>
          </w:p>
        </w:tc>
        <w:tc>
          <w:tcPr>
            <w:tcW w:w="851" w:type="dxa"/>
            <w:vAlign w:val="center"/>
          </w:tcPr>
          <w:p w:rsidR="009C7DE3" w:rsidRPr="009C7DE3" w:rsidRDefault="009C7DE3" w:rsidP="009C7DE3">
            <w:pPr>
              <w:spacing w:after="0"/>
              <w:jc w:val="center"/>
              <w:rPr>
                <w:lang w:val="en-US"/>
              </w:rPr>
            </w:pPr>
            <w:r w:rsidRPr="009C7DE3">
              <w:rPr>
                <w:lang w:val="en-US"/>
              </w:rPr>
              <w:t>1350</w:t>
            </w:r>
          </w:p>
        </w:tc>
        <w:tc>
          <w:tcPr>
            <w:tcW w:w="1559" w:type="dxa"/>
            <w:tcBorders>
              <w:right w:val="single" w:sz="24" w:space="0" w:color="auto"/>
            </w:tcBorders>
            <w:vAlign w:val="center"/>
          </w:tcPr>
          <w:p w:rsidR="009C7DE3" w:rsidRPr="009C7DE3" w:rsidRDefault="009C7DE3" w:rsidP="009C7DE3">
            <w:pPr>
              <w:spacing w:after="0"/>
              <w:jc w:val="center"/>
              <w:rPr>
                <w:lang w:val="en-US"/>
              </w:rPr>
            </w:pPr>
            <w:r>
              <w:rPr>
                <w:lang w:val="en-US"/>
              </w:rPr>
              <w:t>C-H bending</w:t>
            </w:r>
          </w:p>
        </w:tc>
      </w:tr>
      <w:tr w:rsidR="00ED436A" w:rsidTr="00ED436A">
        <w:trPr>
          <w:trHeight w:val="661"/>
        </w:trPr>
        <w:tc>
          <w:tcPr>
            <w:tcW w:w="517" w:type="dxa"/>
            <w:tcBorders>
              <w:left w:val="single" w:sz="24" w:space="0" w:color="auto"/>
            </w:tcBorders>
            <w:vAlign w:val="center"/>
          </w:tcPr>
          <w:p w:rsidR="009C7DE3" w:rsidRDefault="009C7DE3" w:rsidP="009C7DE3">
            <w:pPr>
              <w:spacing w:after="0"/>
              <w:jc w:val="center"/>
              <w:rPr>
                <w:b/>
                <w:lang w:val="en-US"/>
              </w:rPr>
            </w:pPr>
            <w:r>
              <w:rPr>
                <w:b/>
                <w:lang w:val="en-US"/>
              </w:rPr>
              <w:t>5</w:t>
            </w:r>
          </w:p>
        </w:tc>
        <w:tc>
          <w:tcPr>
            <w:tcW w:w="708" w:type="dxa"/>
            <w:vAlign w:val="center"/>
          </w:tcPr>
          <w:p w:rsidR="009C7DE3" w:rsidRPr="009C7DE3" w:rsidRDefault="009C7DE3" w:rsidP="009C7DE3">
            <w:pPr>
              <w:spacing w:after="0"/>
              <w:jc w:val="center"/>
              <w:rPr>
                <w:lang w:val="en-US"/>
              </w:rPr>
            </w:pPr>
            <w:r w:rsidRPr="009C7DE3">
              <w:rPr>
                <w:lang w:val="en-US"/>
              </w:rPr>
              <w:t>1390</w:t>
            </w:r>
          </w:p>
        </w:tc>
        <w:tc>
          <w:tcPr>
            <w:tcW w:w="1728" w:type="dxa"/>
            <w:tcBorders>
              <w:right w:val="single" w:sz="24" w:space="0" w:color="auto"/>
            </w:tcBorders>
            <w:vAlign w:val="center"/>
          </w:tcPr>
          <w:p w:rsidR="00ED7E67" w:rsidRDefault="00ED7E67" w:rsidP="00ED7E67">
            <w:pPr>
              <w:spacing w:after="0"/>
              <w:jc w:val="center"/>
              <w:rPr>
                <w:b/>
                <w:lang w:val="en-US"/>
              </w:rPr>
            </w:pPr>
            <w:r w:rsidRPr="009C7DE3">
              <w:rPr>
                <w:lang w:val="en-US"/>
              </w:rPr>
              <w:t>Sym. C-H bending</w:t>
            </w:r>
          </w:p>
        </w:tc>
        <w:tc>
          <w:tcPr>
            <w:tcW w:w="540" w:type="dxa"/>
            <w:tcBorders>
              <w:left w:val="single" w:sz="24" w:space="0" w:color="auto"/>
            </w:tcBorders>
            <w:vAlign w:val="center"/>
          </w:tcPr>
          <w:p w:rsidR="009C7DE3" w:rsidRDefault="009C7DE3" w:rsidP="008B606C">
            <w:pPr>
              <w:spacing w:after="0"/>
              <w:jc w:val="center"/>
              <w:rPr>
                <w:b/>
                <w:lang w:val="en-US"/>
              </w:rPr>
            </w:pPr>
            <w:r>
              <w:rPr>
                <w:b/>
                <w:lang w:val="en-US"/>
              </w:rPr>
              <w:t>5</w:t>
            </w:r>
          </w:p>
        </w:tc>
        <w:tc>
          <w:tcPr>
            <w:tcW w:w="709" w:type="dxa"/>
            <w:vAlign w:val="center"/>
          </w:tcPr>
          <w:p w:rsidR="009C7DE3" w:rsidRPr="009C7DE3" w:rsidRDefault="009C7DE3" w:rsidP="009C7DE3">
            <w:pPr>
              <w:spacing w:after="0"/>
              <w:jc w:val="center"/>
              <w:rPr>
                <w:lang w:val="en-US"/>
              </w:rPr>
            </w:pPr>
            <w:r w:rsidRPr="009C7DE3">
              <w:rPr>
                <w:lang w:val="en-US"/>
              </w:rPr>
              <w:t>1085</w:t>
            </w:r>
          </w:p>
        </w:tc>
        <w:tc>
          <w:tcPr>
            <w:tcW w:w="1708" w:type="dxa"/>
            <w:tcBorders>
              <w:right w:val="single" w:sz="24" w:space="0" w:color="auto"/>
            </w:tcBorders>
            <w:vAlign w:val="center"/>
          </w:tcPr>
          <w:p w:rsidR="009C7DE3" w:rsidRPr="009C7DE3" w:rsidRDefault="009C7DE3" w:rsidP="009C7DE3">
            <w:pPr>
              <w:spacing w:after="0"/>
              <w:jc w:val="center"/>
              <w:rPr>
                <w:lang w:val="en-US"/>
              </w:rPr>
            </w:pPr>
            <w:r w:rsidRPr="009C7DE3">
              <w:rPr>
                <w:lang w:val="en-US"/>
              </w:rPr>
              <w:t>Asym. C-O stretching</w:t>
            </w:r>
          </w:p>
        </w:tc>
        <w:tc>
          <w:tcPr>
            <w:tcW w:w="418" w:type="dxa"/>
            <w:tcBorders>
              <w:left w:val="single" w:sz="24" w:space="0" w:color="auto"/>
            </w:tcBorders>
            <w:vAlign w:val="center"/>
          </w:tcPr>
          <w:p w:rsidR="009C7DE3" w:rsidRDefault="009C7DE3" w:rsidP="008B606C">
            <w:pPr>
              <w:spacing w:after="0"/>
              <w:jc w:val="center"/>
              <w:rPr>
                <w:b/>
                <w:lang w:val="en-US"/>
              </w:rPr>
            </w:pPr>
            <w:r>
              <w:rPr>
                <w:b/>
                <w:lang w:val="en-US"/>
              </w:rPr>
              <w:t>5</w:t>
            </w:r>
          </w:p>
        </w:tc>
        <w:tc>
          <w:tcPr>
            <w:tcW w:w="851" w:type="dxa"/>
            <w:vAlign w:val="center"/>
          </w:tcPr>
          <w:p w:rsidR="009C7DE3" w:rsidRPr="009C7DE3" w:rsidRDefault="009C7DE3" w:rsidP="009C7DE3">
            <w:pPr>
              <w:spacing w:after="0"/>
              <w:jc w:val="center"/>
              <w:rPr>
                <w:lang w:val="en-US"/>
              </w:rPr>
            </w:pPr>
            <w:r w:rsidRPr="009C7DE3">
              <w:rPr>
                <w:lang w:val="en-US"/>
              </w:rPr>
              <w:t>1250</w:t>
            </w:r>
          </w:p>
        </w:tc>
        <w:tc>
          <w:tcPr>
            <w:tcW w:w="1559" w:type="dxa"/>
            <w:tcBorders>
              <w:right w:val="single" w:sz="24" w:space="0" w:color="auto"/>
            </w:tcBorders>
            <w:vAlign w:val="center"/>
          </w:tcPr>
          <w:p w:rsidR="009C7DE3" w:rsidRPr="009C7DE3" w:rsidRDefault="0041591E" w:rsidP="0041591E">
            <w:pPr>
              <w:spacing w:after="0"/>
              <w:jc w:val="center"/>
              <w:rPr>
                <w:lang w:val="en-US"/>
              </w:rPr>
            </w:pPr>
            <w:r>
              <w:rPr>
                <w:lang w:val="en-US"/>
              </w:rPr>
              <w:t>Alcohol C-O</w:t>
            </w:r>
            <w:r w:rsidR="00DA09FB">
              <w:rPr>
                <w:lang w:val="en-US"/>
              </w:rPr>
              <w:t xml:space="preserve"> stretching</w:t>
            </w:r>
          </w:p>
        </w:tc>
      </w:tr>
      <w:tr w:rsidR="00ED436A" w:rsidTr="00ED436A">
        <w:trPr>
          <w:trHeight w:val="400"/>
        </w:trPr>
        <w:tc>
          <w:tcPr>
            <w:tcW w:w="517" w:type="dxa"/>
            <w:tcBorders>
              <w:left w:val="single" w:sz="24" w:space="0" w:color="auto"/>
            </w:tcBorders>
            <w:vAlign w:val="center"/>
          </w:tcPr>
          <w:p w:rsidR="009C7DE3" w:rsidRDefault="009C7DE3" w:rsidP="009C7DE3">
            <w:pPr>
              <w:spacing w:after="0"/>
              <w:jc w:val="center"/>
              <w:rPr>
                <w:b/>
                <w:lang w:val="en-US"/>
              </w:rPr>
            </w:pPr>
            <w:r>
              <w:rPr>
                <w:b/>
                <w:lang w:val="en-US"/>
              </w:rPr>
              <w:t>6</w:t>
            </w:r>
          </w:p>
        </w:tc>
        <w:tc>
          <w:tcPr>
            <w:tcW w:w="708" w:type="dxa"/>
            <w:vAlign w:val="center"/>
          </w:tcPr>
          <w:p w:rsidR="009C7DE3" w:rsidRPr="009C7DE3" w:rsidRDefault="009C7DE3" w:rsidP="009C7DE3">
            <w:pPr>
              <w:spacing w:after="0"/>
              <w:jc w:val="center"/>
              <w:rPr>
                <w:lang w:val="en-US"/>
              </w:rPr>
            </w:pPr>
            <w:r w:rsidRPr="009C7DE3">
              <w:rPr>
                <w:lang w:val="en-US"/>
              </w:rPr>
              <w:t>1290</w:t>
            </w:r>
          </w:p>
        </w:tc>
        <w:tc>
          <w:tcPr>
            <w:tcW w:w="1728" w:type="dxa"/>
            <w:tcBorders>
              <w:right w:val="single" w:sz="24" w:space="0" w:color="auto"/>
            </w:tcBorders>
            <w:vAlign w:val="center"/>
          </w:tcPr>
          <w:p w:rsidR="009C7DE3" w:rsidRDefault="00FD144C" w:rsidP="00ED7E67">
            <w:pPr>
              <w:spacing w:after="0"/>
              <w:jc w:val="center"/>
              <w:rPr>
                <w:lang w:val="en-US"/>
              </w:rPr>
            </w:pPr>
            <w:r w:rsidRPr="00FD144C">
              <w:rPr>
                <w:lang w:val="en-US"/>
              </w:rPr>
              <w:t>C-H twist</w:t>
            </w:r>
          </w:p>
          <w:p w:rsidR="00ED7E67" w:rsidRPr="00FD144C" w:rsidRDefault="00ED7E67" w:rsidP="00ED7E67">
            <w:pPr>
              <w:spacing w:after="0"/>
              <w:jc w:val="center"/>
              <w:rPr>
                <w:lang w:val="en-US"/>
              </w:rPr>
            </w:pPr>
            <w:r w:rsidRPr="00FD144C">
              <w:rPr>
                <w:lang w:val="en-US"/>
              </w:rPr>
              <w:t>(CH</w:t>
            </w:r>
            <w:r>
              <w:rPr>
                <w:vertAlign w:val="subscript"/>
                <w:lang w:val="en-US"/>
              </w:rPr>
              <w:t>2</w:t>
            </w:r>
            <w:r w:rsidRPr="00FD144C">
              <w:rPr>
                <w:lang w:val="en-US"/>
              </w:rPr>
              <w:t>)</w:t>
            </w:r>
          </w:p>
        </w:tc>
        <w:tc>
          <w:tcPr>
            <w:tcW w:w="540" w:type="dxa"/>
            <w:tcBorders>
              <w:left w:val="single" w:sz="24" w:space="0" w:color="auto"/>
            </w:tcBorders>
            <w:vAlign w:val="center"/>
          </w:tcPr>
          <w:p w:rsidR="009C7DE3" w:rsidRDefault="009C7DE3" w:rsidP="008B606C">
            <w:pPr>
              <w:spacing w:after="0"/>
              <w:jc w:val="center"/>
              <w:rPr>
                <w:b/>
                <w:lang w:val="en-US"/>
              </w:rPr>
            </w:pPr>
            <w:r>
              <w:rPr>
                <w:b/>
                <w:lang w:val="en-US"/>
              </w:rPr>
              <w:t>6</w:t>
            </w:r>
          </w:p>
        </w:tc>
        <w:tc>
          <w:tcPr>
            <w:tcW w:w="709" w:type="dxa"/>
            <w:vAlign w:val="center"/>
          </w:tcPr>
          <w:p w:rsidR="009C7DE3" w:rsidRPr="009C7DE3" w:rsidRDefault="009C7DE3" w:rsidP="009C7DE3">
            <w:pPr>
              <w:spacing w:after="0"/>
              <w:jc w:val="center"/>
              <w:rPr>
                <w:lang w:val="en-US"/>
              </w:rPr>
            </w:pPr>
            <w:r w:rsidRPr="009C7DE3">
              <w:rPr>
                <w:lang w:val="en-US"/>
              </w:rPr>
              <w:t>1040</w:t>
            </w:r>
          </w:p>
        </w:tc>
        <w:tc>
          <w:tcPr>
            <w:tcW w:w="1708" w:type="dxa"/>
            <w:tcBorders>
              <w:right w:val="single" w:sz="24" w:space="0" w:color="auto"/>
            </w:tcBorders>
            <w:vAlign w:val="center"/>
          </w:tcPr>
          <w:p w:rsidR="009C7DE3" w:rsidRPr="009C7DE3" w:rsidRDefault="009C7DE3" w:rsidP="009C7DE3">
            <w:pPr>
              <w:spacing w:after="0"/>
              <w:jc w:val="center"/>
              <w:rPr>
                <w:lang w:val="en-US"/>
              </w:rPr>
            </w:pPr>
            <w:r w:rsidRPr="009C7DE3">
              <w:rPr>
                <w:lang w:val="en-US"/>
              </w:rPr>
              <w:t>Sym. C-O stretching</w:t>
            </w:r>
          </w:p>
        </w:tc>
        <w:tc>
          <w:tcPr>
            <w:tcW w:w="418" w:type="dxa"/>
            <w:tcBorders>
              <w:left w:val="single" w:sz="24" w:space="0" w:color="auto"/>
            </w:tcBorders>
            <w:vAlign w:val="center"/>
          </w:tcPr>
          <w:p w:rsidR="009C7DE3" w:rsidRDefault="009C7DE3" w:rsidP="008B606C">
            <w:pPr>
              <w:spacing w:after="0"/>
              <w:jc w:val="center"/>
              <w:rPr>
                <w:b/>
                <w:lang w:val="en-US"/>
              </w:rPr>
            </w:pPr>
            <w:r>
              <w:rPr>
                <w:b/>
                <w:lang w:val="en-US"/>
              </w:rPr>
              <w:t>6</w:t>
            </w:r>
          </w:p>
        </w:tc>
        <w:tc>
          <w:tcPr>
            <w:tcW w:w="851" w:type="dxa"/>
            <w:vAlign w:val="center"/>
          </w:tcPr>
          <w:p w:rsidR="009C7DE3" w:rsidRPr="009C7DE3" w:rsidRDefault="009C7DE3" w:rsidP="009C7DE3">
            <w:pPr>
              <w:spacing w:after="0"/>
              <w:jc w:val="center"/>
              <w:rPr>
                <w:lang w:val="en-US"/>
              </w:rPr>
            </w:pPr>
            <w:r w:rsidRPr="009C7DE3">
              <w:rPr>
                <w:lang w:val="en-US"/>
              </w:rPr>
              <w:t>1090</w:t>
            </w:r>
          </w:p>
        </w:tc>
        <w:tc>
          <w:tcPr>
            <w:tcW w:w="1559" w:type="dxa"/>
            <w:tcBorders>
              <w:right w:val="single" w:sz="24" w:space="0" w:color="auto"/>
            </w:tcBorders>
            <w:vAlign w:val="center"/>
          </w:tcPr>
          <w:p w:rsidR="009C7DE3" w:rsidRPr="009C7DE3" w:rsidRDefault="00DA09FB" w:rsidP="009C7DE3">
            <w:pPr>
              <w:spacing w:after="0"/>
              <w:jc w:val="center"/>
              <w:rPr>
                <w:lang w:val="en-US"/>
              </w:rPr>
            </w:pPr>
            <w:r>
              <w:rPr>
                <w:lang w:val="en-US"/>
              </w:rPr>
              <w:t>Sym. C-O-C ether stretching</w:t>
            </w:r>
          </w:p>
        </w:tc>
      </w:tr>
      <w:tr w:rsidR="00ED436A" w:rsidTr="00ED436A">
        <w:trPr>
          <w:trHeight w:val="414"/>
        </w:trPr>
        <w:tc>
          <w:tcPr>
            <w:tcW w:w="517" w:type="dxa"/>
            <w:tcBorders>
              <w:left w:val="single" w:sz="24" w:space="0" w:color="auto"/>
            </w:tcBorders>
            <w:vAlign w:val="center"/>
          </w:tcPr>
          <w:p w:rsidR="009C7DE3" w:rsidRDefault="009C7DE3" w:rsidP="009C7DE3">
            <w:pPr>
              <w:spacing w:after="0"/>
              <w:jc w:val="center"/>
              <w:rPr>
                <w:b/>
                <w:lang w:val="en-US"/>
              </w:rPr>
            </w:pPr>
            <w:r>
              <w:rPr>
                <w:b/>
                <w:lang w:val="en-US"/>
              </w:rPr>
              <w:t>7</w:t>
            </w:r>
          </w:p>
        </w:tc>
        <w:tc>
          <w:tcPr>
            <w:tcW w:w="708" w:type="dxa"/>
            <w:vAlign w:val="center"/>
          </w:tcPr>
          <w:p w:rsidR="009C7DE3" w:rsidRPr="009C7DE3" w:rsidRDefault="009C7DE3" w:rsidP="009C7DE3">
            <w:pPr>
              <w:spacing w:after="0"/>
              <w:jc w:val="center"/>
              <w:rPr>
                <w:lang w:val="en-US"/>
              </w:rPr>
            </w:pPr>
            <w:r w:rsidRPr="009C7DE3">
              <w:rPr>
                <w:lang w:val="en-US"/>
              </w:rPr>
              <w:t>1160</w:t>
            </w:r>
          </w:p>
        </w:tc>
        <w:tc>
          <w:tcPr>
            <w:tcW w:w="1728" w:type="dxa"/>
            <w:tcBorders>
              <w:right w:val="single" w:sz="24" w:space="0" w:color="auto"/>
            </w:tcBorders>
            <w:vAlign w:val="center"/>
          </w:tcPr>
          <w:p w:rsidR="009C7DE3" w:rsidRPr="00FD144C" w:rsidRDefault="00FD144C" w:rsidP="009C7DE3">
            <w:pPr>
              <w:spacing w:after="0"/>
              <w:jc w:val="center"/>
              <w:rPr>
                <w:lang w:val="en-US"/>
              </w:rPr>
            </w:pPr>
            <w:r w:rsidRPr="00FD144C">
              <w:rPr>
                <w:lang w:val="en-US"/>
              </w:rPr>
              <w:t>C-H rocking (CH</w:t>
            </w:r>
            <w:r w:rsidRPr="00FD144C">
              <w:rPr>
                <w:vertAlign w:val="subscript"/>
                <w:lang w:val="en-US"/>
              </w:rPr>
              <w:t>3</w:t>
            </w:r>
            <w:r w:rsidRPr="00FD144C">
              <w:rPr>
                <w:lang w:val="en-US"/>
              </w:rPr>
              <w:t>)</w:t>
            </w:r>
          </w:p>
        </w:tc>
        <w:tc>
          <w:tcPr>
            <w:tcW w:w="540" w:type="dxa"/>
            <w:tcBorders>
              <w:left w:val="single" w:sz="24" w:space="0" w:color="auto"/>
            </w:tcBorders>
            <w:vAlign w:val="center"/>
          </w:tcPr>
          <w:p w:rsidR="009C7DE3" w:rsidRDefault="009C7DE3" w:rsidP="008B606C">
            <w:pPr>
              <w:spacing w:after="0"/>
              <w:jc w:val="center"/>
              <w:rPr>
                <w:b/>
                <w:lang w:val="en-US"/>
              </w:rPr>
            </w:pPr>
            <w:r>
              <w:rPr>
                <w:b/>
                <w:lang w:val="en-US"/>
              </w:rPr>
              <w:t>7</w:t>
            </w:r>
          </w:p>
        </w:tc>
        <w:tc>
          <w:tcPr>
            <w:tcW w:w="709" w:type="dxa"/>
            <w:vAlign w:val="center"/>
          </w:tcPr>
          <w:p w:rsidR="009C7DE3" w:rsidRPr="009C7DE3" w:rsidRDefault="009C7DE3" w:rsidP="009C7DE3">
            <w:pPr>
              <w:spacing w:after="0"/>
              <w:jc w:val="center"/>
              <w:rPr>
                <w:lang w:val="en-US"/>
              </w:rPr>
            </w:pPr>
            <w:r w:rsidRPr="009C7DE3">
              <w:rPr>
                <w:lang w:val="en-US"/>
              </w:rPr>
              <w:t>880</w:t>
            </w:r>
          </w:p>
        </w:tc>
        <w:tc>
          <w:tcPr>
            <w:tcW w:w="1708" w:type="dxa"/>
            <w:tcBorders>
              <w:right w:val="single" w:sz="24" w:space="0" w:color="auto"/>
            </w:tcBorders>
            <w:vAlign w:val="center"/>
          </w:tcPr>
          <w:p w:rsidR="009C7DE3" w:rsidRPr="009C7DE3" w:rsidRDefault="009C7DE3" w:rsidP="009C7DE3">
            <w:pPr>
              <w:spacing w:after="0"/>
              <w:jc w:val="center"/>
              <w:rPr>
                <w:lang w:val="en-US"/>
              </w:rPr>
            </w:pPr>
            <w:r w:rsidRPr="009C7DE3">
              <w:rPr>
                <w:lang w:val="en-US"/>
              </w:rPr>
              <w:t>CH</w:t>
            </w:r>
            <w:r w:rsidRPr="009C7DE3">
              <w:rPr>
                <w:vertAlign w:val="subscript"/>
                <w:lang w:val="en-US"/>
              </w:rPr>
              <w:t>3</w:t>
            </w:r>
            <w:r w:rsidRPr="009C7DE3">
              <w:rPr>
                <w:lang w:val="en-US"/>
              </w:rPr>
              <w:t>/C</w:t>
            </w:r>
            <w:r>
              <w:rPr>
                <w:lang w:val="en-US"/>
              </w:rPr>
              <w:t>H</w:t>
            </w:r>
            <w:r w:rsidRPr="009C7DE3">
              <w:rPr>
                <w:vertAlign w:val="subscript"/>
                <w:lang w:val="en-US"/>
              </w:rPr>
              <w:t>2</w:t>
            </w:r>
            <w:r w:rsidRPr="009C7DE3">
              <w:rPr>
                <w:lang w:val="en-US"/>
              </w:rPr>
              <w:t xml:space="preserve"> def.</w:t>
            </w:r>
          </w:p>
        </w:tc>
        <w:tc>
          <w:tcPr>
            <w:tcW w:w="418" w:type="dxa"/>
            <w:tcBorders>
              <w:left w:val="single" w:sz="24" w:space="0" w:color="auto"/>
            </w:tcBorders>
            <w:vAlign w:val="center"/>
          </w:tcPr>
          <w:p w:rsidR="009C7DE3" w:rsidRDefault="009C7DE3" w:rsidP="008B606C">
            <w:pPr>
              <w:spacing w:after="0"/>
              <w:jc w:val="center"/>
              <w:rPr>
                <w:b/>
                <w:lang w:val="en-US"/>
              </w:rPr>
            </w:pPr>
            <w:r>
              <w:rPr>
                <w:b/>
                <w:lang w:val="en-US"/>
              </w:rPr>
              <w:t>7</w:t>
            </w:r>
          </w:p>
        </w:tc>
        <w:tc>
          <w:tcPr>
            <w:tcW w:w="851" w:type="dxa"/>
            <w:vAlign w:val="center"/>
          </w:tcPr>
          <w:p w:rsidR="009C7DE3" w:rsidRPr="009C7DE3" w:rsidRDefault="009C7DE3" w:rsidP="009C7DE3">
            <w:pPr>
              <w:spacing w:after="0"/>
              <w:jc w:val="center"/>
              <w:rPr>
                <w:lang w:val="en-US"/>
              </w:rPr>
            </w:pPr>
            <w:r w:rsidRPr="009C7DE3">
              <w:rPr>
                <w:lang w:val="en-US"/>
              </w:rPr>
              <w:t>935</w:t>
            </w:r>
          </w:p>
        </w:tc>
        <w:tc>
          <w:tcPr>
            <w:tcW w:w="1559" w:type="dxa"/>
            <w:tcBorders>
              <w:right w:val="single" w:sz="24" w:space="0" w:color="auto"/>
            </w:tcBorders>
            <w:vAlign w:val="center"/>
          </w:tcPr>
          <w:p w:rsidR="009C7DE3" w:rsidRPr="009C7DE3" w:rsidRDefault="004318E5" w:rsidP="009C7DE3">
            <w:pPr>
              <w:spacing w:after="0"/>
              <w:jc w:val="center"/>
              <w:rPr>
                <w:lang w:val="en-US"/>
              </w:rPr>
            </w:pPr>
            <w:r>
              <w:rPr>
                <w:lang w:val="en-US"/>
              </w:rPr>
              <w:t>C-C stretching</w:t>
            </w:r>
          </w:p>
        </w:tc>
      </w:tr>
      <w:tr w:rsidR="00ED436A" w:rsidTr="00ED436A">
        <w:trPr>
          <w:trHeight w:val="374"/>
        </w:trPr>
        <w:tc>
          <w:tcPr>
            <w:tcW w:w="517" w:type="dxa"/>
            <w:tcBorders>
              <w:left w:val="single" w:sz="24" w:space="0" w:color="auto"/>
            </w:tcBorders>
            <w:vAlign w:val="center"/>
          </w:tcPr>
          <w:p w:rsidR="009C7DE3" w:rsidRDefault="009C7DE3" w:rsidP="009C7DE3">
            <w:pPr>
              <w:spacing w:after="0"/>
              <w:jc w:val="center"/>
              <w:rPr>
                <w:b/>
                <w:lang w:val="en-US"/>
              </w:rPr>
            </w:pPr>
            <w:r>
              <w:rPr>
                <w:b/>
                <w:lang w:val="en-US"/>
              </w:rPr>
              <w:t>8</w:t>
            </w:r>
          </w:p>
        </w:tc>
        <w:tc>
          <w:tcPr>
            <w:tcW w:w="708" w:type="dxa"/>
            <w:vAlign w:val="center"/>
          </w:tcPr>
          <w:p w:rsidR="009C7DE3" w:rsidRPr="009C7DE3" w:rsidRDefault="009C7DE3" w:rsidP="009C7DE3">
            <w:pPr>
              <w:spacing w:after="0"/>
              <w:jc w:val="center"/>
              <w:rPr>
                <w:lang w:val="en-US"/>
              </w:rPr>
            </w:pPr>
            <w:r w:rsidRPr="009C7DE3">
              <w:rPr>
                <w:lang w:val="en-US"/>
              </w:rPr>
              <w:t>1075</w:t>
            </w:r>
          </w:p>
        </w:tc>
        <w:tc>
          <w:tcPr>
            <w:tcW w:w="1728" w:type="dxa"/>
            <w:tcBorders>
              <w:right w:val="single" w:sz="24" w:space="0" w:color="auto"/>
            </w:tcBorders>
            <w:vAlign w:val="center"/>
          </w:tcPr>
          <w:p w:rsidR="009C7DE3" w:rsidRPr="00FD144C" w:rsidRDefault="00FD144C" w:rsidP="00ED7E67">
            <w:pPr>
              <w:spacing w:after="0"/>
              <w:jc w:val="center"/>
              <w:rPr>
                <w:lang w:val="en-US"/>
              </w:rPr>
            </w:pPr>
            <w:r w:rsidRPr="00FD144C">
              <w:rPr>
                <w:lang w:val="en-US"/>
              </w:rPr>
              <w:t xml:space="preserve">Sym. </w:t>
            </w:r>
            <w:r w:rsidR="00ED7E67">
              <w:rPr>
                <w:lang w:val="en-US"/>
              </w:rPr>
              <w:t>C-O</w:t>
            </w:r>
            <w:r w:rsidRPr="00FD144C">
              <w:rPr>
                <w:lang w:val="en-US"/>
              </w:rPr>
              <w:t xml:space="preserve"> stretching</w:t>
            </w:r>
          </w:p>
        </w:tc>
        <w:tc>
          <w:tcPr>
            <w:tcW w:w="540" w:type="dxa"/>
            <w:tcBorders>
              <w:left w:val="single" w:sz="24" w:space="0" w:color="auto"/>
            </w:tcBorders>
            <w:vAlign w:val="center"/>
          </w:tcPr>
          <w:p w:rsidR="009C7DE3" w:rsidRDefault="009C7DE3" w:rsidP="008B606C">
            <w:pPr>
              <w:spacing w:after="0"/>
              <w:jc w:val="center"/>
              <w:rPr>
                <w:b/>
                <w:lang w:val="en-US"/>
              </w:rPr>
            </w:pPr>
            <w:r>
              <w:rPr>
                <w:b/>
                <w:lang w:val="en-US"/>
              </w:rPr>
              <w:t>8</w:t>
            </w:r>
          </w:p>
        </w:tc>
        <w:tc>
          <w:tcPr>
            <w:tcW w:w="709" w:type="dxa"/>
            <w:vAlign w:val="center"/>
          </w:tcPr>
          <w:p w:rsidR="009C7DE3" w:rsidRPr="009C7DE3" w:rsidRDefault="009C7DE3" w:rsidP="009C7DE3">
            <w:pPr>
              <w:spacing w:after="0"/>
              <w:jc w:val="center"/>
              <w:rPr>
                <w:lang w:val="en-US"/>
              </w:rPr>
            </w:pPr>
            <w:r w:rsidRPr="009C7DE3">
              <w:rPr>
                <w:lang w:val="en-US"/>
              </w:rPr>
              <w:t>630</w:t>
            </w:r>
          </w:p>
        </w:tc>
        <w:tc>
          <w:tcPr>
            <w:tcW w:w="1708" w:type="dxa"/>
            <w:tcBorders>
              <w:right w:val="single" w:sz="24" w:space="0" w:color="auto"/>
            </w:tcBorders>
            <w:vAlign w:val="center"/>
          </w:tcPr>
          <w:p w:rsidR="009C7DE3" w:rsidRDefault="001405A3" w:rsidP="00163C84">
            <w:pPr>
              <w:spacing w:after="0"/>
              <w:jc w:val="center"/>
              <w:rPr>
                <w:b/>
                <w:lang w:val="en-US"/>
              </w:rPr>
            </w:pPr>
            <w:r>
              <w:rPr>
                <w:b/>
                <w:lang w:val="en-US"/>
              </w:rPr>
              <w:t>-</w:t>
            </w:r>
          </w:p>
        </w:tc>
        <w:tc>
          <w:tcPr>
            <w:tcW w:w="418" w:type="dxa"/>
            <w:tcBorders>
              <w:left w:val="single" w:sz="24" w:space="0" w:color="auto"/>
            </w:tcBorders>
            <w:vAlign w:val="center"/>
          </w:tcPr>
          <w:p w:rsidR="009C7DE3" w:rsidRDefault="009C7DE3" w:rsidP="008B606C">
            <w:pPr>
              <w:spacing w:after="0"/>
              <w:jc w:val="center"/>
              <w:rPr>
                <w:b/>
                <w:lang w:val="en-US"/>
              </w:rPr>
            </w:pPr>
            <w:r>
              <w:rPr>
                <w:b/>
                <w:lang w:val="en-US"/>
              </w:rPr>
              <w:t>8</w:t>
            </w:r>
          </w:p>
        </w:tc>
        <w:tc>
          <w:tcPr>
            <w:tcW w:w="851" w:type="dxa"/>
            <w:vAlign w:val="center"/>
          </w:tcPr>
          <w:p w:rsidR="009C7DE3" w:rsidRPr="009C7DE3" w:rsidRDefault="009C7DE3" w:rsidP="009C7DE3">
            <w:pPr>
              <w:spacing w:after="0"/>
              <w:jc w:val="center"/>
              <w:rPr>
                <w:lang w:val="en-US"/>
              </w:rPr>
            </w:pPr>
            <w:r w:rsidRPr="009C7DE3">
              <w:rPr>
                <w:lang w:val="en-US"/>
              </w:rPr>
              <w:t>530</w:t>
            </w:r>
          </w:p>
        </w:tc>
        <w:tc>
          <w:tcPr>
            <w:tcW w:w="1559" w:type="dxa"/>
            <w:tcBorders>
              <w:right w:val="single" w:sz="24" w:space="0" w:color="auto"/>
            </w:tcBorders>
            <w:vAlign w:val="center"/>
          </w:tcPr>
          <w:p w:rsidR="009C7DE3" w:rsidRPr="009C7DE3" w:rsidRDefault="001405A3" w:rsidP="009C7DE3">
            <w:pPr>
              <w:spacing w:after="0"/>
              <w:jc w:val="center"/>
              <w:rPr>
                <w:lang w:val="en-US"/>
              </w:rPr>
            </w:pPr>
            <w:r>
              <w:rPr>
                <w:lang w:val="en-US"/>
              </w:rPr>
              <w:t>-</w:t>
            </w:r>
          </w:p>
        </w:tc>
      </w:tr>
      <w:tr w:rsidR="000F295F" w:rsidTr="00ED436A">
        <w:trPr>
          <w:trHeight w:val="387"/>
        </w:trPr>
        <w:tc>
          <w:tcPr>
            <w:tcW w:w="517" w:type="dxa"/>
            <w:tcBorders>
              <w:left w:val="single" w:sz="24" w:space="0" w:color="auto"/>
            </w:tcBorders>
            <w:vAlign w:val="center"/>
          </w:tcPr>
          <w:p w:rsidR="000F295F" w:rsidRDefault="000F295F" w:rsidP="009C7DE3">
            <w:pPr>
              <w:spacing w:after="0"/>
              <w:jc w:val="center"/>
              <w:rPr>
                <w:b/>
                <w:lang w:val="en-US"/>
              </w:rPr>
            </w:pPr>
            <w:r>
              <w:rPr>
                <w:b/>
                <w:lang w:val="en-US"/>
              </w:rPr>
              <w:t>9</w:t>
            </w:r>
          </w:p>
        </w:tc>
        <w:tc>
          <w:tcPr>
            <w:tcW w:w="708" w:type="dxa"/>
            <w:vAlign w:val="center"/>
          </w:tcPr>
          <w:p w:rsidR="000F295F" w:rsidRPr="009C7DE3" w:rsidRDefault="000F295F" w:rsidP="009C7DE3">
            <w:pPr>
              <w:spacing w:after="0"/>
              <w:jc w:val="center"/>
              <w:rPr>
                <w:lang w:val="en-US"/>
              </w:rPr>
            </w:pPr>
            <w:r w:rsidRPr="009C7DE3">
              <w:rPr>
                <w:lang w:val="en-US"/>
              </w:rPr>
              <w:t>970</w:t>
            </w:r>
          </w:p>
        </w:tc>
        <w:tc>
          <w:tcPr>
            <w:tcW w:w="1728" w:type="dxa"/>
            <w:tcBorders>
              <w:right w:val="single" w:sz="24" w:space="0" w:color="auto"/>
            </w:tcBorders>
            <w:vAlign w:val="center"/>
          </w:tcPr>
          <w:p w:rsidR="000F295F" w:rsidRPr="00FD144C" w:rsidRDefault="000F295F" w:rsidP="009C7DE3">
            <w:pPr>
              <w:spacing w:after="0"/>
              <w:jc w:val="center"/>
              <w:rPr>
                <w:lang w:val="en-US"/>
              </w:rPr>
            </w:pPr>
            <w:r w:rsidRPr="00FD144C">
              <w:rPr>
                <w:lang w:val="en-US"/>
              </w:rPr>
              <w:t>C-H rocking (CH</w:t>
            </w:r>
            <w:r w:rsidRPr="00FD144C">
              <w:rPr>
                <w:vertAlign w:val="subscript"/>
                <w:lang w:val="en-US"/>
              </w:rPr>
              <w:t>3</w:t>
            </w:r>
            <w:r w:rsidRPr="00FD144C">
              <w:rPr>
                <w:lang w:val="en-US"/>
              </w:rPr>
              <w:t>)</w:t>
            </w:r>
          </w:p>
        </w:tc>
        <w:tc>
          <w:tcPr>
            <w:tcW w:w="540" w:type="dxa"/>
            <w:tcBorders>
              <w:left w:val="single" w:sz="24" w:space="0" w:color="auto"/>
            </w:tcBorders>
            <w:vAlign w:val="center"/>
          </w:tcPr>
          <w:p w:rsidR="000F295F" w:rsidRDefault="000F295F" w:rsidP="008B606C">
            <w:pPr>
              <w:spacing w:after="0"/>
              <w:jc w:val="center"/>
              <w:rPr>
                <w:b/>
                <w:lang w:val="en-US"/>
              </w:rPr>
            </w:pPr>
            <w:r>
              <w:rPr>
                <w:b/>
                <w:lang w:val="en-US"/>
              </w:rPr>
              <w:t>9</w:t>
            </w:r>
          </w:p>
        </w:tc>
        <w:tc>
          <w:tcPr>
            <w:tcW w:w="709" w:type="dxa"/>
            <w:vAlign w:val="center"/>
          </w:tcPr>
          <w:p w:rsidR="000F295F" w:rsidRPr="009C7DE3" w:rsidRDefault="000F295F" w:rsidP="009C7DE3">
            <w:pPr>
              <w:spacing w:after="0"/>
              <w:jc w:val="center"/>
              <w:rPr>
                <w:lang w:val="en-US"/>
              </w:rPr>
            </w:pPr>
            <w:r w:rsidRPr="009C7DE3">
              <w:rPr>
                <w:lang w:val="en-US"/>
              </w:rPr>
              <w:t>430</w:t>
            </w:r>
          </w:p>
        </w:tc>
        <w:tc>
          <w:tcPr>
            <w:tcW w:w="1708" w:type="dxa"/>
            <w:tcBorders>
              <w:right w:val="single" w:sz="24" w:space="0" w:color="auto"/>
            </w:tcBorders>
            <w:vAlign w:val="center"/>
          </w:tcPr>
          <w:p w:rsidR="000F295F" w:rsidRDefault="000F295F" w:rsidP="009C7DE3">
            <w:pPr>
              <w:spacing w:after="0"/>
              <w:jc w:val="center"/>
              <w:rPr>
                <w:b/>
                <w:lang w:val="en-US"/>
              </w:rPr>
            </w:pPr>
            <w:r w:rsidRPr="00FD144C">
              <w:rPr>
                <w:lang w:val="en-US"/>
              </w:rPr>
              <w:t>O-C-C def.</w:t>
            </w:r>
          </w:p>
        </w:tc>
        <w:tc>
          <w:tcPr>
            <w:tcW w:w="2828" w:type="dxa"/>
            <w:gridSpan w:val="3"/>
            <w:vMerge w:val="restart"/>
            <w:tcBorders>
              <w:left w:val="single" w:sz="24" w:space="0" w:color="auto"/>
              <w:right w:val="single" w:sz="24" w:space="0" w:color="auto"/>
            </w:tcBorders>
            <w:vAlign w:val="center"/>
          </w:tcPr>
          <w:p w:rsidR="000F295F" w:rsidRPr="009C7DE3" w:rsidRDefault="000F295F" w:rsidP="009C7DE3">
            <w:pPr>
              <w:spacing w:after="0"/>
              <w:jc w:val="center"/>
              <w:rPr>
                <w:lang w:val="en-US"/>
              </w:rPr>
            </w:pPr>
          </w:p>
        </w:tc>
      </w:tr>
      <w:tr w:rsidR="000F295F" w:rsidTr="00ED436A">
        <w:trPr>
          <w:trHeight w:val="1006"/>
        </w:trPr>
        <w:tc>
          <w:tcPr>
            <w:tcW w:w="517" w:type="dxa"/>
            <w:tcBorders>
              <w:left w:val="single" w:sz="24" w:space="0" w:color="auto"/>
            </w:tcBorders>
            <w:vAlign w:val="center"/>
          </w:tcPr>
          <w:p w:rsidR="000F295F" w:rsidRDefault="000F295F" w:rsidP="009C7DE3">
            <w:pPr>
              <w:spacing w:after="0"/>
              <w:jc w:val="center"/>
              <w:rPr>
                <w:b/>
                <w:lang w:val="en-US"/>
              </w:rPr>
            </w:pPr>
            <w:r>
              <w:rPr>
                <w:b/>
                <w:lang w:val="en-US"/>
              </w:rPr>
              <w:t>10</w:t>
            </w:r>
          </w:p>
        </w:tc>
        <w:tc>
          <w:tcPr>
            <w:tcW w:w="708" w:type="dxa"/>
            <w:vAlign w:val="center"/>
          </w:tcPr>
          <w:p w:rsidR="000F295F" w:rsidRPr="009C7DE3" w:rsidRDefault="000F295F" w:rsidP="00ED7E67">
            <w:pPr>
              <w:spacing w:after="0"/>
              <w:jc w:val="center"/>
              <w:rPr>
                <w:lang w:val="en-US"/>
              </w:rPr>
            </w:pPr>
            <w:r w:rsidRPr="009C7DE3">
              <w:rPr>
                <w:lang w:val="en-US"/>
              </w:rPr>
              <w:t>7</w:t>
            </w:r>
            <w:r>
              <w:rPr>
                <w:lang w:val="en-US"/>
              </w:rPr>
              <w:t>90</w:t>
            </w:r>
          </w:p>
        </w:tc>
        <w:tc>
          <w:tcPr>
            <w:tcW w:w="1728" w:type="dxa"/>
            <w:tcBorders>
              <w:right w:val="single" w:sz="24" w:space="0" w:color="auto"/>
            </w:tcBorders>
            <w:vAlign w:val="center"/>
          </w:tcPr>
          <w:p w:rsidR="000F295F" w:rsidRDefault="000F295F" w:rsidP="00FD144C">
            <w:pPr>
              <w:spacing w:after="0"/>
              <w:jc w:val="center"/>
              <w:rPr>
                <w:lang w:val="en-US"/>
              </w:rPr>
            </w:pPr>
            <w:r>
              <w:rPr>
                <w:lang w:val="en-US"/>
              </w:rPr>
              <w:t>As</w:t>
            </w:r>
            <w:r w:rsidRPr="00FD144C">
              <w:rPr>
                <w:lang w:val="en-US"/>
              </w:rPr>
              <w:t>ym. Si-O-Si stretching</w:t>
            </w:r>
            <w:r>
              <w:rPr>
                <w:lang w:val="en-US"/>
              </w:rPr>
              <w:t>,</w:t>
            </w:r>
          </w:p>
          <w:p w:rsidR="000F295F" w:rsidRPr="00FD144C" w:rsidRDefault="000F295F" w:rsidP="00ED7E67">
            <w:pPr>
              <w:spacing w:after="0"/>
              <w:jc w:val="center"/>
              <w:rPr>
                <w:lang w:val="en-US"/>
              </w:rPr>
            </w:pPr>
            <w:r w:rsidRPr="00FD144C">
              <w:rPr>
                <w:lang w:val="en-US"/>
              </w:rPr>
              <w:t>C-H rocking (CH</w:t>
            </w:r>
            <w:r>
              <w:rPr>
                <w:vertAlign w:val="subscript"/>
                <w:lang w:val="en-US"/>
              </w:rPr>
              <w:t>2</w:t>
            </w:r>
            <w:r w:rsidRPr="00FD144C">
              <w:rPr>
                <w:lang w:val="en-US"/>
              </w:rPr>
              <w:t>)</w:t>
            </w:r>
          </w:p>
        </w:tc>
        <w:tc>
          <w:tcPr>
            <w:tcW w:w="2957" w:type="dxa"/>
            <w:gridSpan w:val="3"/>
            <w:tcBorders>
              <w:left w:val="single" w:sz="24" w:space="0" w:color="auto"/>
              <w:bottom w:val="nil"/>
              <w:right w:val="single" w:sz="24" w:space="0" w:color="auto"/>
            </w:tcBorders>
            <w:vAlign w:val="center"/>
          </w:tcPr>
          <w:p w:rsidR="000F295F" w:rsidRDefault="000F295F" w:rsidP="009C7DE3">
            <w:pPr>
              <w:spacing w:after="0"/>
              <w:jc w:val="center"/>
              <w:rPr>
                <w:b/>
                <w:lang w:val="en-US"/>
              </w:rPr>
            </w:pPr>
          </w:p>
        </w:tc>
        <w:tc>
          <w:tcPr>
            <w:tcW w:w="2828" w:type="dxa"/>
            <w:gridSpan w:val="3"/>
            <w:vMerge/>
            <w:tcBorders>
              <w:left w:val="single" w:sz="24" w:space="0" w:color="auto"/>
              <w:right w:val="single" w:sz="24" w:space="0" w:color="auto"/>
            </w:tcBorders>
            <w:vAlign w:val="center"/>
          </w:tcPr>
          <w:p w:rsidR="000F295F" w:rsidRPr="009C7DE3" w:rsidRDefault="000F295F" w:rsidP="009C7DE3">
            <w:pPr>
              <w:spacing w:after="0"/>
              <w:jc w:val="center"/>
              <w:rPr>
                <w:lang w:val="en-US"/>
              </w:rPr>
            </w:pPr>
          </w:p>
        </w:tc>
      </w:tr>
      <w:tr w:rsidR="000F295F" w:rsidTr="00ED436A">
        <w:trPr>
          <w:trHeight w:val="373"/>
        </w:trPr>
        <w:tc>
          <w:tcPr>
            <w:tcW w:w="517" w:type="dxa"/>
            <w:tcBorders>
              <w:left w:val="single" w:sz="24" w:space="0" w:color="auto"/>
              <w:bottom w:val="single" w:sz="24" w:space="0" w:color="auto"/>
            </w:tcBorders>
            <w:vAlign w:val="center"/>
          </w:tcPr>
          <w:p w:rsidR="000F295F" w:rsidRDefault="000F295F" w:rsidP="009C7DE3">
            <w:pPr>
              <w:spacing w:after="0"/>
              <w:jc w:val="center"/>
              <w:rPr>
                <w:b/>
                <w:lang w:val="en-US"/>
              </w:rPr>
            </w:pPr>
            <w:r>
              <w:rPr>
                <w:b/>
                <w:lang w:val="en-US"/>
              </w:rPr>
              <w:t>11</w:t>
            </w:r>
          </w:p>
        </w:tc>
        <w:tc>
          <w:tcPr>
            <w:tcW w:w="708" w:type="dxa"/>
            <w:tcBorders>
              <w:bottom w:val="single" w:sz="24" w:space="0" w:color="auto"/>
            </w:tcBorders>
            <w:vAlign w:val="center"/>
          </w:tcPr>
          <w:p w:rsidR="000F295F" w:rsidRPr="009C7DE3" w:rsidRDefault="000F295F" w:rsidP="009C7DE3">
            <w:pPr>
              <w:spacing w:after="0"/>
              <w:jc w:val="center"/>
              <w:rPr>
                <w:lang w:val="en-US"/>
              </w:rPr>
            </w:pPr>
            <w:r w:rsidRPr="009C7DE3">
              <w:rPr>
                <w:lang w:val="en-US"/>
              </w:rPr>
              <w:t>475</w:t>
            </w:r>
          </w:p>
        </w:tc>
        <w:tc>
          <w:tcPr>
            <w:tcW w:w="1728" w:type="dxa"/>
            <w:tcBorders>
              <w:bottom w:val="single" w:sz="24" w:space="0" w:color="auto"/>
              <w:right w:val="single" w:sz="24" w:space="0" w:color="auto"/>
            </w:tcBorders>
            <w:vAlign w:val="center"/>
          </w:tcPr>
          <w:p w:rsidR="000F295F" w:rsidRPr="00FD144C" w:rsidRDefault="000F295F" w:rsidP="009C7DE3">
            <w:pPr>
              <w:spacing w:after="0"/>
              <w:jc w:val="center"/>
              <w:rPr>
                <w:lang w:val="en-US"/>
              </w:rPr>
            </w:pPr>
            <w:r w:rsidRPr="00FD144C">
              <w:rPr>
                <w:lang w:val="en-US"/>
              </w:rPr>
              <w:t>O-C-C def.</w:t>
            </w:r>
          </w:p>
        </w:tc>
        <w:tc>
          <w:tcPr>
            <w:tcW w:w="2957" w:type="dxa"/>
            <w:gridSpan w:val="3"/>
            <w:tcBorders>
              <w:top w:val="nil"/>
              <w:left w:val="single" w:sz="24" w:space="0" w:color="auto"/>
              <w:bottom w:val="single" w:sz="24" w:space="0" w:color="auto"/>
              <w:right w:val="single" w:sz="24" w:space="0" w:color="auto"/>
            </w:tcBorders>
            <w:vAlign w:val="center"/>
          </w:tcPr>
          <w:p w:rsidR="000F295F" w:rsidRDefault="000F295F" w:rsidP="009C7DE3">
            <w:pPr>
              <w:spacing w:after="0"/>
              <w:jc w:val="center"/>
              <w:rPr>
                <w:b/>
                <w:lang w:val="en-US"/>
              </w:rPr>
            </w:pPr>
          </w:p>
        </w:tc>
        <w:tc>
          <w:tcPr>
            <w:tcW w:w="2828" w:type="dxa"/>
            <w:gridSpan w:val="3"/>
            <w:vMerge/>
            <w:tcBorders>
              <w:left w:val="single" w:sz="24" w:space="0" w:color="auto"/>
              <w:bottom w:val="single" w:sz="24" w:space="0" w:color="auto"/>
              <w:right w:val="single" w:sz="24" w:space="0" w:color="auto"/>
            </w:tcBorders>
            <w:vAlign w:val="center"/>
          </w:tcPr>
          <w:p w:rsidR="000F295F" w:rsidRDefault="000F295F" w:rsidP="009C7DE3">
            <w:pPr>
              <w:spacing w:after="0"/>
              <w:jc w:val="center"/>
              <w:rPr>
                <w:b/>
                <w:lang w:val="en-US"/>
              </w:rPr>
            </w:pPr>
          </w:p>
        </w:tc>
      </w:tr>
    </w:tbl>
    <w:p w:rsidR="009C7DE3" w:rsidRDefault="000F295F" w:rsidP="009C7DE3">
      <w:pPr>
        <w:spacing w:after="0"/>
        <w:jc w:val="center"/>
        <w:rPr>
          <w:i/>
          <w:lang w:val="en-US"/>
        </w:rPr>
      </w:pPr>
      <w:r w:rsidRPr="000F295F">
        <w:rPr>
          <w:i/>
          <w:lang w:val="en-US"/>
        </w:rPr>
        <w:t>Asym: asymmetric; Sym: symmetric</w:t>
      </w:r>
    </w:p>
    <w:p w:rsidR="00DA59FF" w:rsidRDefault="00DA59FF" w:rsidP="009C7DE3">
      <w:pPr>
        <w:spacing w:after="0"/>
        <w:jc w:val="center"/>
        <w:rPr>
          <w:i/>
          <w:lang w:val="en-US"/>
        </w:rPr>
      </w:pPr>
    </w:p>
    <w:p w:rsidR="00DA59FF" w:rsidRDefault="00DA59FF" w:rsidP="009C7DE3">
      <w:pPr>
        <w:spacing w:after="0"/>
        <w:jc w:val="center"/>
        <w:rPr>
          <w:i/>
          <w:lang w:val="en-US"/>
        </w:rPr>
      </w:pPr>
    </w:p>
    <w:p w:rsidR="00DA59FF" w:rsidRDefault="00DA59FF" w:rsidP="009C7DE3">
      <w:pPr>
        <w:spacing w:after="0"/>
        <w:jc w:val="center"/>
        <w:rPr>
          <w:i/>
          <w:lang w:val="en-US"/>
        </w:rPr>
      </w:pPr>
    </w:p>
    <w:p w:rsidR="00DA59FF" w:rsidRDefault="00DA59FF" w:rsidP="009C7DE3">
      <w:pPr>
        <w:spacing w:after="0"/>
        <w:jc w:val="center"/>
        <w:rPr>
          <w:i/>
          <w:lang w:val="en-US"/>
        </w:rPr>
      </w:pPr>
    </w:p>
    <w:p w:rsidR="00DA59FF" w:rsidRDefault="00DA59FF" w:rsidP="009C7DE3">
      <w:pPr>
        <w:spacing w:after="0"/>
        <w:jc w:val="center"/>
        <w:rPr>
          <w:i/>
          <w:lang w:val="en-US"/>
        </w:rPr>
      </w:pPr>
    </w:p>
    <w:p w:rsidR="00DA59FF" w:rsidRDefault="00DA59FF" w:rsidP="009C7DE3">
      <w:pPr>
        <w:spacing w:after="0"/>
        <w:jc w:val="center"/>
        <w:rPr>
          <w:i/>
          <w:lang w:val="en-US"/>
        </w:rPr>
      </w:pPr>
    </w:p>
    <w:p w:rsidR="00DA59FF" w:rsidRDefault="00DA59FF" w:rsidP="009C7DE3">
      <w:pPr>
        <w:spacing w:after="0"/>
        <w:jc w:val="center"/>
        <w:rPr>
          <w:i/>
          <w:lang w:val="en-US"/>
        </w:rPr>
      </w:pPr>
    </w:p>
    <w:p w:rsidR="00DA59FF" w:rsidRDefault="00DA59FF" w:rsidP="009C7DE3">
      <w:pPr>
        <w:spacing w:after="0"/>
        <w:jc w:val="center"/>
        <w:rPr>
          <w:i/>
          <w:lang w:val="en-US"/>
        </w:rPr>
      </w:pPr>
    </w:p>
    <w:p w:rsidR="00DA59FF" w:rsidRDefault="00DA59FF" w:rsidP="009C7DE3">
      <w:pPr>
        <w:spacing w:after="0"/>
        <w:jc w:val="center"/>
        <w:rPr>
          <w:i/>
          <w:lang w:val="en-US"/>
        </w:rPr>
      </w:pPr>
    </w:p>
    <w:p w:rsidR="00DA59FF" w:rsidRDefault="00DA59FF" w:rsidP="009C7DE3">
      <w:pPr>
        <w:spacing w:after="0"/>
        <w:jc w:val="center"/>
        <w:rPr>
          <w:i/>
          <w:lang w:val="en-US"/>
        </w:rPr>
      </w:pPr>
    </w:p>
    <w:p w:rsidR="00DA59FF" w:rsidRDefault="00DA59FF" w:rsidP="009C7DE3">
      <w:pPr>
        <w:spacing w:after="0"/>
        <w:jc w:val="center"/>
        <w:rPr>
          <w:i/>
          <w:lang w:val="en-US"/>
        </w:rPr>
      </w:pPr>
    </w:p>
    <w:p w:rsidR="00DA59FF" w:rsidRDefault="00DA59FF" w:rsidP="009C7DE3">
      <w:pPr>
        <w:spacing w:after="0"/>
        <w:jc w:val="center"/>
        <w:rPr>
          <w:i/>
          <w:lang w:val="en-US"/>
        </w:rPr>
      </w:pPr>
    </w:p>
    <w:p w:rsidR="00DA59FF" w:rsidRDefault="00DA59FF" w:rsidP="009C7DE3">
      <w:pPr>
        <w:spacing w:after="0"/>
        <w:jc w:val="center"/>
        <w:rPr>
          <w:i/>
          <w:lang w:val="en-US"/>
        </w:rPr>
      </w:pPr>
    </w:p>
    <w:p w:rsidR="00DA59FF" w:rsidRDefault="00DA59FF" w:rsidP="009C7DE3">
      <w:pPr>
        <w:spacing w:after="0"/>
        <w:jc w:val="center"/>
        <w:rPr>
          <w:i/>
          <w:lang w:val="en-US"/>
        </w:rPr>
      </w:pPr>
    </w:p>
    <w:p w:rsidR="00DA59FF" w:rsidRDefault="00DA59FF" w:rsidP="009C7DE3">
      <w:pPr>
        <w:spacing w:after="0"/>
        <w:jc w:val="center"/>
        <w:rPr>
          <w:i/>
          <w:lang w:val="en-US"/>
        </w:rPr>
      </w:pPr>
    </w:p>
    <w:p w:rsidR="00DA59FF" w:rsidRPr="000F295F" w:rsidRDefault="00DA59FF" w:rsidP="009C7DE3">
      <w:pPr>
        <w:spacing w:after="0"/>
        <w:jc w:val="center"/>
        <w:rPr>
          <w:i/>
          <w:lang w:val="en-US"/>
        </w:rPr>
      </w:pPr>
    </w:p>
    <w:p w:rsidR="007675B5" w:rsidRDefault="007675B5" w:rsidP="007675B5">
      <w:pPr>
        <w:spacing w:after="0"/>
        <w:rPr>
          <w:b/>
          <w:lang w:val="en-US"/>
        </w:rPr>
      </w:pPr>
      <w:r>
        <w:rPr>
          <w:b/>
          <w:lang w:val="en-US"/>
        </w:rPr>
        <w:lastRenderedPageBreak/>
        <w:t xml:space="preserve">References </w:t>
      </w:r>
    </w:p>
    <w:p w:rsidR="00A47155" w:rsidRPr="00A47155" w:rsidRDefault="002C0BF9" w:rsidP="00A47155">
      <w:pPr>
        <w:widowControl w:val="0"/>
        <w:autoSpaceDE w:val="0"/>
        <w:autoSpaceDN w:val="0"/>
        <w:adjustRightInd w:val="0"/>
        <w:spacing w:line="240" w:lineRule="auto"/>
        <w:ind w:left="640" w:hanging="640"/>
        <w:rPr>
          <w:rFonts w:cs="Times New Roman"/>
          <w:noProof/>
          <w:szCs w:val="24"/>
        </w:rPr>
      </w:pPr>
      <w:r>
        <w:rPr>
          <w:b/>
          <w:lang w:val="en-US"/>
        </w:rPr>
        <w:fldChar w:fldCharType="begin" w:fldLock="1"/>
      </w:r>
      <w:r w:rsidR="004318E5">
        <w:rPr>
          <w:b/>
          <w:lang w:val="en-US"/>
        </w:rPr>
        <w:instrText xml:space="preserve">ADDIN Mendeley Bibliography CSL_BIBLIOGRAPHY </w:instrText>
      </w:r>
      <w:r>
        <w:rPr>
          <w:b/>
          <w:lang w:val="en-US"/>
        </w:rPr>
        <w:fldChar w:fldCharType="separate"/>
      </w:r>
      <w:r w:rsidR="00A47155" w:rsidRPr="00A47155">
        <w:rPr>
          <w:rFonts w:cs="Times New Roman"/>
          <w:noProof/>
          <w:szCs w:val="24"/>
        </w:rPr>
        <w:t>1.</w:t>
      </w:r>
      <w:r w:rsidR="00A47155" w:rsidRPr="00A47155">
        <w:rPr>
          <w:rFonts w:cs="Times New Roman"/>
          <w:noProof/>
          <w:szCs w:val="24"/>
        </w:rPr>
        <w:tab/>
        <w:t xml:space="preserve">M. C. Matos, L. M. Ilharco, and R. M. Almeida: The evolution of TEOS to silica gel and glass by vibrational spectroscopy. </w:t>
      </w:r>
      <w:r w:rsidR="00A47155" w:rsidRPr="00A47155">
        <w:rPr>
          <w:rFonts w:cs="Times New Roman"/>
          <w:i/>
          <w:iCs/>
          <w:noProof/>
          <w:szCs w:val="24"/>
        </w:rPr>
        <w:t>J. Non. Cryst. Solids</w:t>
      </w:r>
      <w:r w:rsidR="00A47155" w:rsidRPr="00A47155">
        <w:rPr>
          <w:rFonts w:cs="Times New Roman"/>
          <w:noProof/>
          <w:szCs w:val="24"/>
        </w:rPr>
        <w:t xml:space="preserve"> </w:t>
      </w:r>
      <w:r w:rsidR="00A47155" w:rsidRPr="00A47155">
        <w:rPr>
          <w:rFonts w:cs="Times New Roman"/>
          <w:b/>
          <w:bCs/>
          <w:noProof/>
          <w:szCs w:val="24"/>
        </w:rPr>
        <w:t>147</w:t>
      </w:r>
      <w:r w:rsidR="00A47155" w:rsidRPr="00A47155">
        <w:rPr>
          <w:rFonts w:cs="Times New Roman"/>
          <w:noProof/>
          <w:szCs w:val="24"/>
        </w:rPr>
        <w:t>–</w:t>
      </w:r>
      <w:r w:rsidR="00A47155" w:rsidRPr="00A47155">
        <w:rPr>
          <w:rFonts w:cs="Times New Roman"/>
          <w:b/>
          <w:bCs/>
          <w:noProof/>
          <w:szCs w:val="24"/>
        </w:rPr>
        <w:t>148</w:t>
      </w:r>
      <w:r w:rsidR="00A47155" w:rsidRPr="00A47155">
        <w:rPr>
          <w:rFonts w:cs="Times New Roman"/>
          <w:noProof/>
          <w:szCs w:val="24"/>
        </w:rPr>
        <w:t>, 232 (1992).</w:t>
      </w:r>
    </w:p>
    <w:p w:rsidR="00A47155" w:rsidRPr="00A47155" w:rsidRDefault="00A47155" w:rsidP="00A47155">
      <w:pPr>
        <w:widowControl w:val="0"/>
        <w:autoSpaceDE w:val="0"/>
        <w:autoSpaceDN w:val="0"/>
        <w:adjustRightInd w:val="0"/>
        <w:spacing w:line="240" w:lineRule="auto"/>
        <w:ind w:left="640" w:hanging="640"/>
        <w:rPr>
          <w:rFonts w:cs="Times New Roman"/>
          <w:noProof/>
          <w:szCs w:val="24"/>
        </w:rPr>
      </w:pPr>
      <w:r w:rsidRPr="00A47155">
        <w:rPr>
          <w:rFonts w:cs="Times New Roman"/>
          <w:noProof/>
          <w:szCs w:val="24"/>
        </w:rPr>
        <w:t>2.</w:t>
      </w:r>
      <w:r w:rsidRPr="00A47155">
        <w:rPr>
          <w:rFonts w:cs="Times New Roman"/>
          <w:noProof/>
          <w:szCs w:val="24"/>
        </w:rPr>
        <w:tab/>
        <w:t xml:space="preserve">F. Rubio, J. Rubio, and J. L. Oteo: A FT-IR Study of the Hydrolysis of </w:t>
      </w:r>
      <w:r w:rsidR="00163C84">
        <w:rPr>
          <w:rFonts w:cs="Times New Roman"/>
          <w:noProof/>
          <w:szCs w:val="24"/>
        </w:rPr>
        <w:t>T</w:t>
      </w:r>
      <w:r w:rsidRPr="00A47155">
        <w:rPr>
          <w:rFonts w:cs="Times New Roman"/>
          <w:noProof/>
          <w:szCs w:val="24"/>
        </w:rPr>
        <w:t>etraethylorthosilicate[,</w:t>
      </w:r>
      <w:r w:rsidRPr="00A47155">
        <w:rPr>
          <w:rFonts w:cs="Times New Roman"/>
          <w:i/>
          <w:iCs/>
          <w:noProof/>
          <w:szCs w:val="24"/>
        </w:rPr>
        <w:t>Spectrosc. Lett.</w:t>
      </w:r>
      <w:r w:rsidRPr="00A47155">
        <w:rPr>
          <w:rFonts w:cs="Times New Roman"/>
          <w:noProof/>
          <w:szCs w:val="24"/>
        </w:rPr>
        <w:t xml:space="preserve"> </w:t>
      </w:r>
      <w:r w:rsidRPr="00A47155">
        <w:rPr>
          <w:rFonts w:cs="Times New Roman"/>
          <w:b/>
          <w:bCs/>
          <w:noProof/>
          <w:szCs w:val="24"/>
        </w:rPr>
        <w:t>31</w:t>
      </w:r>
      <w:r w:rsidRPr="00A47155">
        <w:rPr>
          <w:rFonts w:cs="Times New Roman"/>
          <w:noProof/>
          <w:szCs w:val="24"/>
        </w:rPr>
        <w:t>, 199 (1998).</w:t>
      </w:r>
    </w:p>
    <w:p w:rsidR="00A47155" w:rsidRPr="00A47155" w:rsidRDefault="00A47155" w:rsidP="00A47155">
      <w:pPr>
        <w:widowControl w:val="0"/>
        <w:autoSpaceDE w:val="0"/>
        <w:autoSpaceDN w:val="0"/>
        <w:adjustRightInd w:val="0"/>
        <w:spacing w:line="240" w:lineRule="auto"/>
        <w:ind w:left="640" w:hanging="640"/>
        <w:rPr>
          <w:rFonts w:cs="Times New Roman"/>
          <w:noProof/>
          <w:szCs w:val="24"/>
        </w:rPr>
      </w:pPr>
      <w:r w:rsidRPr="00A47155">
        <w:rPr>
          <w:rFonts w:cs="Times New Roman"/>
          <w:noProof/>
          <w:szCs w:val="24"/>
        </w:rPr>
        <w:t>3.</w:t>
      </w:r>
      <w:r w:rsidRPr="00A47155">
        <w:rPr>
          <w:rFonts w:cs="Times New Roman"/>
          <w:noProof/>
          <w:szCs w:val="24"/>
        </w:rPr>
        <w:tab/>
        <w:t xml:space="preserve">N. A. Alcantar, E. S. Aydil, and J. N. Israelachvili: Polyethylene glycol-coated biocompatible surfaces. </w:t>
      </w:r>
      <w:r w:rsidRPr="00A47155">
        <w:rPr>
          <w:rFonts w:cs="Times New Roman"/>
          <w:i/>
          <w:iCs/>
          <w:noProof/>
          <w:szCs w:val="24"/>
        </w:rPr>
        <w:t>J. Biomed. Mater. Res.</w:t>
      </w:r>
      <w:r w:rsidRPr="00A47155">
        <w:rPr>
          <w:rFonts w:cs="Times New Roman"/>
          <w:noProof/>
          <w:szCs w:val="24"/>
        </w:rPr>
        <w:t xml:space="preserve"> </w:t>
      </w:r>
      <w:r w:rsidRPr="00A47155">
        <w:rPr>
          <w:rFonts w:cs="Times New Roman"/>
          <w:b/>
          <w:bCs/>
          <w:noProof/>
          <w:szCs w:val="24"/>
        </w:rPr>
        <w:t>51</w:t>
      </w:r>
      <w:r w:rsidRPr="00A47155">
        <w:rPr>
          <w:rFonts w:cs="Times New Roman"/>
          <w:noProof/>
          <w:szCs w:val="24"/>
        </w:rPr>
        <w:t>, 343 (2000).</w:t>
      </w:r>
    </w:p>
    <w:p w:rsidR="00A47155" w:rsidRPr="00A47155" w:rsidRDefault="00A47155" w:rsidP="00A47155">
      <w:pPr>
        <w:widowControl w:val="0"/>
        <w:autoSpaceDE w:val="0"/>
        <w:autoSpaceDN w:val="0"/>
        <w:adjustRightInd w:val="0"/>
        <w:spacing w:line="240" w:lineRule="auto"/>
        <w:ind w:left="640" w:hanging="640"/>
        <w:rPr>
          <w:rFonts w:cs="Times New Roman"/>
          <w:noProof/>
          <w:szCs w:val="24"/>
        </w:rPr>
      </w:pPr>
      <w:r w:rsidRPr="00A47155">
        <w:rPr>
          <w:rFonts w:cs="Times New Roman"/>
          <w:noProof/>
          <w:szCs w:val="24"/>
        </w:rPr>
        <w:t>4.</w:t>
      </w:r>
      <w:r w:rsidRPr="00A47155">
        <w:rPr>
          <w:rFonts w:cs="Times New Roman"/>
          <w:noProof/>
          <w:szCs w:val="24"/>
        </w:rPr>
        <w:tab/>
        <w:t xml:space="preserve">A. R. Polu and R. Kumar: Impedance spectroscopy and FTIR studies of PEG - Based polymer electrolytes. </w:t>
      </w:r>
      <w:r w:rsidRPr="00A47155">
        <w:rPr>
          <w:rFonts w:cs="Times New Roman"/>
          <w:i/>
          <w:iCs/>
          <w:noProof/>
          <w:szCs w:val="24"/>
        </w:rPr>
        <w:t>E-Journal Chem.</w:t>
      </w:r>
      <w:r w:rsidRPr="00A47155">
        <w:rPr>
          <w:rFonts w:cs="Times New Roman"/>
          <w:noProof/>
          <w:szCs w:val="24"/>
        </w:rPr>
        <w:t xml:space="preserve"> </w:t>
      </w:r>
      <w:r w:rsidRPr="00A47155">
        <w:rPr>
          <w:rFonts w:cs="Times New Roman"/>
          <w:b/>
          <w:bCs/>
          <w:noProof/>
          <w:szCs w:val="24"/>
        </w:rPr>
        <w:t>8</w:t>
      </w:r>
      <w:r w:rsidRPr="00A47155">
        <w:rPr>
          <w:rFonts w:cs="Times New Roman"/>
          <w:noProof/>
          <w:szCs w:val="24"/>
        </w:rPr>
        <w:t>, 347 (2011).</w:t>
      </w:r>
    </w:p>
    <w:p w:rsidR="009C7DE3" w:rsidRDefault="00A47155" w:rsidP="001405A3">
      <w:pPr>
        <w:widowControl w:val="0"/>
        <w:autoSpaceDE w:val="0"/>
        <w:autoSpaceDN w:val="0"/>
        <w:adjustRightInd w:val="0"/>
        <w:spacing w:line="240" w:lineRule="auto"/>
        <w:ind w:left="640" w:hanging="640"/>
        <w:rPr>
          <w:b/>
          <w:lang w:val="en-US"/>
        </w:rPr>
      </w:pPr>
      <w:r w:rsidRPr="00A47155">
        <w:rPr>
          <w:rFonts w:cs="Times New Roman"/>
          <w:noProof/>
          <w:szCs w:val="24"/>
        </w:rPr>
        <w:t>5.</w:t>
      </w:r>
      <w:r w:rsidRPr="00A47155">
        <w:rPr>
          <w:rFonts w:cs="Times New Roman"/>
          <w:noProof/>
          <w:szCs w:val="24"/>
        </w:rPr>
        <w:tab/>
        <w:t>Khairuddin, E. Pramono, S. B. Utomo, V. Wulandari, A. W. Zahrotul, and F. Clegg:</w:t>
      </w:r>
      <w:r w:rsidR="007675B5" w:rsidRPr="007675B5">
        <w:t xml:space="preserve"> </w:t>
      </w:r>
      <w:r w:rsidR="007675B5">
        <w:t xml:space="preserve">FTIR studies on the effect of concentration of polyethylene glycol on polimerization of Shellac. </w:t>
      </w:r>
      <w:r w:rsidRPr="00A47155">
        <w:rPr>
          <w:rFonts w:cs="Times New Roman"/>
          <w:noProof/>
          <w:szCs w:val="24"/>
        </w:rPr>
        <w:t xml:space="preserve"> </w:t>
      </w:r>
      <w:r w:rsidRPr="00A47155">
        <w:rPr>
          <w:rFonts w:cs="Times New Roman"/>
          <w:i/>
          <w:iCs/>
          <w:noProof/>
          <w:szCs w:val="24"/>
        </w:rPr>
        <w:t>J. Phys. Conf. Ser.</w:t>
      </w:r>
      <w:r w:rsidRPr="00A47155">
        <w:rPr>
          <w:rFonts w:cs="Times New Roman"/>
          <w:noProof/>
          <w:szCs w:val="24"/>
        </w:rPr>
        <w:t xml:space="preserve"> </w:t>
      </w:r>
      <w:r w:rsidR="007675B5" w:rsidRPr="007675B5">
        <w:rPr>
          <w:rFonts w:cs="Times New Roman"/>
          <w:b/>
          <w:noProof/>
          <w:szCs w:val="24"/>
        </w:rPr>
        <w:t>776</w:t>
      </w:r>
      <w:r w:rsidR="007675B5">
        <w:rPr>
          <w:rFonts w:cs="Times New Roman"/>
          <w:noProof/>
          <w:szCs w:val="24"/>
        </w:rPr>
        <w:t xml:space="preserve">, </w:t>
      </w:r>
      <w:r w:rsidR="007675B5" w:rsidRPr="007675B5">
        <w:rPr>
          <w:rFonts w:cs="Times New Roman"/>
          <w:noProof/>
          <w:szCs w:val="24"/>
        </w:rPr>
        <w:t xml:space="preserve">012053 </w:t>
      </w:r>
      <w:r w:rsidRPr="00A47155">
        <w:rPr>
          <w:rFonts w:cs="Times New Roman"/>
          <w:noProof/>
          <w:szCs w:val="24"/>
        </w:rPr>
        <w:t>(2016).</w:t>
      </w:r>
      <w:r w:rsidR="002C0BF9">
        <w:rPr>
          <w:b/>
          <w:lang w:val="en-US"/>
        </w:rPr>
        <w:fldChar w:fldCharType="end"/>
      </w:r>
    </w:p>
    <w:sectPr w:rsidR="009C7DE3" w:rsidSect="00420F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72DF5"/>
    <w:multiLevelType w:val="hybridMultilevel"/>
    <w:tmpl w:val="2E7EE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A0D6B66"/>
    <w:multiLevelType w:val="hybridMultilevel"/>
    <w:tmpl w:val="C812D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A55B3B"/>
    <w:multiLevelType w:val="hybridMultilevel"/>
    <w:tmpl w:val="D9C88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5214B"/>
    <w:rsid w:val="0005214B"/>
    <w:rsid w:val="000B5EDE"/>
    <w:rsid w:val="000F295F"/>
    <w:rsid w:val="001405A3"/>
    <w:rsid w:val="00163C84"/>
    <w:rsid w:val="002C0BF9"/>
    <w:rsid w:val="0041591E"/>
    <w:rsid w:val="00420FBF"/>
    <w:rsid w:val="004318E5"/>
    <w:rsid w:val="005C5B51"/>
    <w:rsid w:val="006334C2"/>
    <w:rsid w:val="007675B5"/>
    <w:rsid w:val="007A0896"/>
    <w:rsid w:val="00824B22"/>
    <w:rsid w:val="008445EE"/>
    <w:rsid w:val="00875B5C"/>
    <w:rsid w:val="00893EEB"/>
    <w:rsid w:val="008B464C"/>
    <w:rsid w:val="008B606C"/>
    <w:rsid w:val="00901850"/>
    <w:rsid w:val="00957518"/>
    <w:rsid w:val="009C7DE3"/>
    <w:rsid w:val="00A47155"/>
    <w:rsid w:val="00A67FF0"/>
    <w:rsid w:val="00A8372F"/>
    <w:rsid w:val="00AC6280"/>
    <w:rsid w:val="00AE16A4"/>
    <w:rsid w:val="00B2061D"/>
    <w:rsid w:val="00B37C12"/>
    <w:rsid w:val="00B93A41"/>
    <w:rsid w:val="00D96EE9"/>
    <w:rsid w:val="00DA09FB"/>
    <w:rsid w:val="00DA59FF"/>
    <w:rsid w:val="00DD3824"/>
    <w:rsid w:val="00E054DD"/>
    <w:rsid w:val="00ED436A"/>
    <w:rsid w:val="00ED7E67"/>
    <w:rsid w:val="00F579B0"/>
    <w:rsid w:val="00FD14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F0"/>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521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214B"/>
    <w:rPr>
      <w:rFonts w:ascii="Tahoma" w:hAnsi="Tahoma" w:cs="Tahoma"/>
      <w:sz w:val="16"/>
      <w:szCs w:val="16"/>
    </w:rPr>
  </w:style>
  <w:style w:type="table" w:styleId="TabloKlavuzu">
    <w:name w:val="Table Grid"/>
    <w:basedOn w:val="NormalTablo"/>
    <w:uiPriority w:val="59"/>
    <w:rsid w:val="005C5B51"/>
    <w:pPr>
      <w:spacing w:after="0" w:line="240" w:lineRule="auto"/>
    </w:pPr>
    <w:rPr>
      <w:rFonts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C5B51"/>
    <w:pPr>
      <w:spacing w:after="160" w:line="259" w:lineRule="auto"/>
      <w:ind w:left="720"/>
      <w:contextualSpacing/>
    </w:pPr>
    <w:rPr>
      <w:rFonts w:asciiTheme="minorHAnsi" w:eastAsia="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C1735-CD9D-4EC8-8CC8-6422AD6D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2594</Words>
  <Characters>14791</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windows user</cp:lastModifiedBy>
  <cp:revision>2</cp:revision>
  <dcterms:created xsi:type="dcterms:W3CDTF">2020-08-17T08:14:00Z</dcterms:created>
  <dcterms:modified xsi:type="dcterms:W3CDTF">2020-08-17T08:14:00Z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http://www.zotero.org/styles/journal-of-materials-research</vt:lpwstr>
  </property>
  <property fmtid="{D5CDD505-2E9C-101B-9397-08002B2CF9AE}" pid="13" name="Mendeley Recent Style Name 5_1">
    <vt:lpwstr>Journal of Materials Research</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http://www.zotero.org/styles/surface-science</vt:lpwstr>
  </property>
  <property fmtid="{D5CDD505-2E9C-101B-9397-08002B2CF9AE}" pid="21" name="Mendeley Recent Style Name 9_1">
    <vt:lpwstr>Surface Science</vt:lpwstr>
  </property>
  <property fmtid="{D5CDD505-2E9C-101B-9397-08002B2CF9AE}" pid="22" name="Mendeley Document_1">
    <vt:lpwstr>True</vt:lpwstr>
  </property>
  <property fmtid="{D5CDD505-2E9C-101B-9397-08002B2CF9AE}" pid="23" name="Mendeley Unique User Id_1">
    <vt:lpwstr>a496cb46-2d8f-3fa9-be85-6857ef5b1d9c</vt:lpwstr>
  </property>
  <property fmtid="{D5CDD505-2E9C-101B-9397-08002B2CF9AE}" pid="24" name="Mendeley Citation Style_1">
    <vt:lpwstr>http://www.zotero.org/styles/journal-of-materials-research</vt:lpwstr>
  </property>
</Properties>
</file>